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易方达恒久添利1年定期开放债券型证券投资基金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中国工商银行股份有限公司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541"/>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542"/>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40140E" w:rsidRDefault="009477A8">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40140E" w:rsidRDefault="009477A8">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40140E" w:rsidRDefault="009477A8">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40140E" w:rsidRDefault="009477A8">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40140E" w:rsidRDefault="009477A8">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543"/>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2B44BB"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541" w:history="1">
        <w:r w:rsidR="002B44BB" w:rsidRPr="003F01AB">
          <w:rPr>
            <w:rStyle w:val="a8"/>
            <w:noProof/>
          </w:rPr>
          <w:t>§1</w:t>
        </w:r>
        <w:r w:rsidR="002B44BB" w:rsidRPr="003F01AB">
          <w:rPr>
            <w:rStyle w:val="a8"/>
            <w:rFonts w:hint="eastAsia"/>
            <w:noProof/>
          </w:rPr>
          <w:t>重要提示及目录</w:t>
        </w:r>
        <w:r w:rsidR="002B44BB">
          <w:rPr>
            <w:noProof/>
            <w:webHidden/>
          </w:rPr>
          <w:tab/>
        </w:r>
        <w:r w:rsidR="002B44BB">
          <w:rPr>
            <w:noProof/>
            <w:webHidden/>
          </w:rPr>
          <w:fldChar w:fldCharType="begin"/>
        </w:r>
        <w:r w:rsidR="002B44BB">
          <w:rPr>
            <w:noProof/>
            <w:webHidden/>
          </w:rPr>
          <w:instrText xml:space="preserve"> PAGEREF _Toc48654541 \h </w:instrText>
        </w:r>
        <w:r w:rsidR="002B44BB">
          <w:rPr>
            <w:noProof/>
            <w:webHidden/>
          </w:rPr>
        </w:r>
        <w:r w:rsidR="002B44BB">
          <w:rPr>
            <w:noProof/>
            <w:webHidden/>
          </w:rPr>
          <w:fldChar w:fldCharType="separate"/>
        </w:r>
        <w:r w:rsidR="002B44BB">
          <w:rPr>
            <w:noProof/>
            <w:webHidden/>
          </w:rPr>
          <w:t>2</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2" w:history="1">
        <w:r w:rsidR="002B44BB" w:rsidRPr="003F01AB">
          <w:rPr>
            <w:rStyle w:val="a8"/>
            <w:rFonts w:ascii="宋体" w:hAnsi="宋体" w:cs="Arial"/>
            <w:noProof/>
          </w:rPr>
          <w:t>1.1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重要提示</w:t>
        </w:r>
        <w:r w:rsidR="002B44BB">
          <w:rPr>
            <w:noProof/>
            <w:webHidden/>
          </w:rPr>
          <w:tab/>
        </w:r>
        <w:r w:rsidR="002B44BB">
          <w:rPr>
            <w:noProof/>
            <w:webHidden/>
          </w:rPr>
          <w:fldChar w:fldCharType="begin"/>
        </w:r>
        <w:r w:rsidR="002B44BB">
          <w:rPr>
            <w:noProof/>
            <w:webHidden/>
          </w:rPr>
          <w:instrText xml:space="preserve"> PAGEREF _Toc48654542 \h </w:instrText>
        </w:r>
        <w:r w:rsidR="002B44BB">
          <w:rPr>
            <w:noProof/>
            <w:webHidden/>
          </w:rPr>
        </w:r>
        <w:r w:rsidR="002B44BB">
          <w:rPr>
            <w:noProof/>
            <w:webHidden/>
          </w:rPr>
          <w:fldChar w:fldCharType="separate"/>
        </w:r>
        <w:r w:rsidR="002B44BB">
          <w:rPr>
            <w:noProof/>
            <w:webHidden/>
          </w:rPr>
          <w:t>2</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3" w:history="1">
        <w:r w:rsidR="002B44BB" w:rsidRPr="003F01AB">
          <w:rPr>
            <w:rStyle w:val="a8"/>
            <w:rFonts w:ascii="宋体" w:hAnsi="宋体" w:cs="Arial"/>
            <w:noProof/>
          </w:rPr>
          <w:t>1.2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目录</w:t>
        </w:r>
        <w:r w:rsidR="002B44BB">
          <w:rPr>
            <w:noProof/>
            <w:webHidden/>
          </w:rPr>
          <w:tab/>
        </w:r>
        <w:r w:rsidR="002B44BB">
          <w:rPr>
            <w:noProof/>
            <w:webHidden/>
          </w:rPr>
          <w:fldChar w:fldCharType="begin"/>
        </w:r>
        <w:r w:rsidR="002B44BB">
          <w:rPr>
            <w:noProof/>
            <w:webHidden/>
          </w:rPr>
          <w:instrText xml:space="preserve"> PAGEREF _Toc48654543 \h </w:instrText>
        </w:r>
        <w:r w:rsidR="002B44BB">
          <w:rPr>
            <w:noProof/>
            <w:webHidden/>
          </w:rPr>
        </w:r>
        <w:r w:rsidR="002B44BB">
          <w:rPr>
            <w:noProof/>
            <w:webHidden/>
          </w:rPr>
          <w:fldChar w:fldCharType="separate"/>
        </w:r>
        <w:r w:rsidR="002B44BB">
          <w:rPr>
            <w:noProof/>
            <w:webHidden/>
          </w:rPr>
          <w:t>3</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44" w:history="1">
        <w:r w:rsidR="002B44BB" w:rsidRPr="003F01AB">
          <w:rPr>
            <w:rStyle w:val="a8"/>
            <w:noProof/>
          </w:rPr>
          <w:t>§2</w:t>
        </w:r>
        <w:r w:rsidR="002B44BB" w:rsidRPr="003F01AB">
          <w:rPr>
            <w:rStyle w:val="a8"/>
            <w:rFonts w:hint="eastAsia"/>
            <w:noProof/>
          </w:rPr>
          <w:t>基金简介</w:t>
        </w:r>
        <w:r w:rsidR="002B44BB">
          <w:rPr>
            <w:noProof/>
            <w:webHidden/>
          </w:rPr>
          <w:tab/>
        </w:r>
        <w:r w:rsidR="002B44BB">
          <w:rPr>
            <w:noProof/>
            <w:webHidden/>
          </w:rPr>
          <w:fldChar w:fldCharType="begin"/>
        </w:r>
        <w:r w:rsidR="002B44BB">
          <w:rPr>
            <w:noProof/>
            <w:webHidden/>
          </w:rPr>
          <w:instrText xml:space="preserve"> PAGEREF _Toc48654544 \h </w:instrText>
        </w:r>
        <w:r w:rsidR="002B44BB">
          <w:rPr>
            <w:noProof/>
            <w:webHidden/>
          </w:rPr>
        </w:r>
        <w:r w:rsidR="002B44BB">
          <w:rPr>
            <w:noProof/>
            <w:webHidden/>
          </w:rPr>
          <w:fldChar w:fldCharType="separate"/>
        </w:r>
        <w:r w:rsidR="002B44BB">
          <w:rPr>
            <w:noProof/>
            <w:webHidden/>
          </w:rPr>
          <w:t>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5" w:history="1">
        <w:r w:rsidR="002B44BB" w:rsidRPr="003F01AB">
          <w:rPr>
            <w:rStyle w:val="a8"/>
            <w:rFonts w:ascii="宋体" w:hAnsi="宋体" w:cs="Arial"/>
            <w:noProof/>
          </w:rPr>
          <w:t>2.1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基金基本情况</w:t>
        </w:r>
        <w:r w:rsidR="002B44BB">
          <w:rPr>
            <w:noProof/>
            <w:webHidden/>
          </w:rPr>
          <w:tab/>
        </w:r>
        <w:r w:rsidR="002B44BB">
          <w:rPr>
            <w:noProof/>
            <w:webHidden/>
          </w:rPr>
          <w:fldChar w:fldCharType="begin"/>
        </w:r>
        <w:r w:rsidR="002B44BB">
          <w:rPr>
            <w:noProof/>
            <w:webHidden/>
          </w:rPr>
          <w:instrText xml:space="preserve"> PAGEREF _Toc48654545 \h </w:instrText>
        </w:r>
        <w:r w:rsidR="002B44BB">
          <w:rPr>
            <w:noProof/>
            <w:webHidden/>
          </w:rPr>
        </w:r>
        <w:r w:rsidR="002B44BB">
          <w:rPr>
            <w:noProof/>
            <w:webHidden/>
          </w:rPr>
          <w:fldChar w:fldCharType="separate"/>
        </w:r>
        <w:r w:rsidR="002B44BB">
          <w:rPr>
            <w:noProof/>
            <w:webHidden/>
          </w:rPr>
          <w:t>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6" w:history="1">
        <w:r w:rsidR="002B44BB" w:rsidRPr="003F01AB">
          <w:rPr>
            <w:rStyle w:val="a8"/>
            <w:rFonts w:ascii="宋体" w:hAnsi="宋体" w:cs="Arial"/>
            <w:noProof/>
          </w:rPr>
          <w:t>2.2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基金产品说明</w:t>
        </w:r>
        <w:r w:rsidR="002B44BB">
          <w:rPr>
            <w:noProof/>
            <w:webHidden/>
          </w:rPr>
          <w:tab/>
        </w:r>
        <w:r w:rsidR="002B44BB">
          <w:rPr>
            <w:noProof/>
            <w:webHidden/>
          </w:rPr>
          <w:fldChar w:fldCharType="begin"/>
        </w:r>
        <w:r w:rsidR="002B44BB">
          <w:rPr>
            <w:noProof/>
            <w:webHidden/>
          </w:rPr>
          <w:instrText xml:space="preserve"> PAGEREF _Toc48654546 \h </w:instrText>
        </w:r>
        <w:r w:rsidR="002B44BB">
          <w:rPr>
            <w:noProof/>
            <w:webHidden/>
          </w:rPr>
        </w:r>
        <w:r w:rsidR="002B44BB">
          <w:rPr>
            <w:noProof/>
            <w:webHidden/>
          </w:rPr>
          <w:fldChar w:fldCharType="separate"/>
        </w:r>
        <w:r w:rsidR="002B44BB">
          <w:rPr>
            <w:noProof/>
            <w:webHidden/>
          </w:rPr>
          <w:t>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7" w:history="1">
        <w:r w:rsidR="002B44BB" w:rsidRPr="003F01AB">
          <w:rPr>
            <w:rStyle w:val="a8"/>
            <w:rFonts w:ascii="宋体" w:hAnsi="宋体" w:cs="Arial"/>
            <w:noProof/>
          </w:rPr>
          <w:t>2.3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基金管理人和基金托管人</w:t>
        </w:r>
        <w:r w:rsidR="002B44BB">
          <w:rPr>
            <w:noProof/>
            <w:webHidden/>
          </w:rPr>
          <w:tab/>
        </w:r>
        <w:r w:rsidR="002B44BB">
          <w:rPr>
            <w:noProof/>
            <w:webHidden/>
          </w:rPr>
          <w:fldChar w:fldCharType="begin"/>
        </w:r>
        <w:r w:rsidR="002B44BB">
          <w:rPr>
            <w:noProof/>
            <w:webHidden/>
          </w:rPr>
          <w:instrText xml:space="preserve"> PAGEREF _Toc48654547 \h </w:instrText>
        </w:r>
        <w:r w:rsidR="002B44BB">
          <w:rPr>
            <w:noProof/>
            <w:webHidden/>
          </w:rPr>
        </w:r>
        <w:r w:rsidR="002B44BB">
          <w:rPr>
            <w:noProof/>
            <w:webHidden/>
          </w:rPr>
          <w:fldChar w:fldCharType="separate"/>
        </w:r>
        <w:r w:rsidR="002B44BB">
          <w:rPr>
            <w:noProof/>
            <w:webHidden/>
          </w:rPr>
          <w:t>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8" w:history="1">
        <w:r w:rsidR="002B44BB" w:rsidRPr="003F01AB">
          <w:rPr>
            <w:rStyle w:val="a8"/>
            <w:rFonts w:ascii="宋体" w:hAnsi="宋体" w:cs="Arial"/>
            <w:noProof/>
          </w:rPr>
          <w:t>2.4</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信息披露方式</w:t>
        </w:r>
        <w:r w:rsidR="002B44BB">
          <w:rPr>
            <w:noProof/>
            <w:webHidden/>
          </w:rPr>
          <w:tab/>
        </w:r>
        <w:r w:rsidR="002B44BB">
          <w:rPr>
            <w:noProof/>
            <w:webHidden/>
          </w:rPr>
          <w:fldChar w:fldCharType="begin"/>
        </w:r>
        <w:r w:rsidR="002B44BB">
          <w:rPr>
            <w:noProof/>
            <w:webHidden/>
          </w:rPr>
          <w:instrText xml:space="preserve"> PAGEREF _Toc48654548 \h </w:instrText>
        </w:r>
        <w:r w:rsidR="002B44BB">
          <w:rPr>
            <w:noProof/>
            <w:webHidden/>
          </w:rPr>
        </w:r>
        <w:r w:rsidR="002B44BB">
          <w:rPr>
            <w:noProof/>
            <w:webHidden/>
          </w:rPr>
          <w:fldChar w:fldCharType="separate"/>
        </w:r>
        <w:r w:rsidR="002B44BB">
          <w:rPr>
            <w:noProof/>
            <w:webHidden/>
          </w:rPr>
          <w:t>6</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49" w:history="1">
        <w:r w:rsidR="002B44BB" w:rsidRPr="003F01AB">
          <w:rPr>
            <w:rStyle w:val="a8"/>
            <w:rFonts w:ascii="宋体" w:hAnsi="宋体" w:cs="Arial"/>
            <w:noProof/>
          </w:rPr>
          <w:t>2.5</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其他相关资料</w:t>
        </w:r>
        <w:r w:rsidR="002B44BB">
          <w:rPr>
            <w:noProof/>
            <w:webHidden/>
          </w:rPr>
          <w:tab/>
        </w:r>
        <w:r w:rsidR="002B44BB">
          <w:rPr>
            <w:noProof/>
            <w:webHidden/>
          </w:rPr>
          <w:fldChar w:fldCharType="begin"/>
        </w:r>
        <w:r w:rsidR="002B44BB">
          <w:rPr>
            <w:noProof/>
            <w:webHidden/>
          </w:rPr>
          <w:instrText xml:space="preserve"> PAGEREF _Toc48654549 \h </w:instrText>
        </w:r>
        <w:r w:rsidR="002B44BB">
          <w:rPr>
            <w:noProof/>
            <w:webHidden/>
          </w:rPr>
        </w:r>
        <w:r w:rsidR="002B44BB">
          <w:rPr>
            <w:noProof/>
            <w:webHidden/>
          </w:rPr>
          <w:fldChar w:fldCharType="separate"/>
        </w:r>
        <w:r w:rsidR="002B44BB">
          <w:rPr>
            <w:noProof/>
            <w:webHidden/>
          </w:rPr>
          <w:t>6</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50" w:history="1">
        <w:r w:rsidR="002B44BB" w:rsidRPr="003F01AB">
          <w:rPr>
            <w:rStyle w:val="a8"/>
            <w:noProof/>
          </w:rPr>
          <w:t>§3</w:t>
        </w:r>
        <w:r w:rsidR="002B44BB" w:rsidRPr="003F01AB">
          <w:rPr>
            <w:rStyle w:val="a8"/>
            <w:rFonts w:hint="eastAsia"/>
            <w:noProof/>
          </w:rPr>
          <w:t>主要财务指标和基金净值表现</w:t>
        </w:r>
        <w:r w:rsidR="002B44BB">
          <w:rPr>
            <w:noProof/>
            <w:webHidden/>
          </w:rPr>
          <w:tab/>
        </w:r>
        <w:r w:rsidR="002B44BB">
          <w:rPr>
            <w:noProof/>
            <w:webHidden/>
          </w:rPr>
          <w:fldChar w:fldCharType="begin"/>
        </w:r>
        <w:r w:rsidR="002B44BB">
          <w:rPr>
            <w:noProof/>
            <w:webHidden/>
          </w:rPr>
          <w:instrText xml:space="preserve"> PAGEREF _Toc48654550 \h </w:instrText>
        </w:r>
        <w:r w:rsidR="002B44BB">
          <w:rPr>
            <w:noProof/>
            <w:webHidden/>
          </w:rPr>
        </w:r>
        <w:r w:rsidR="002B44BB">
          <w:rPr>
            <w:noProof/>
            <w:webHidden/>
          </w:rPr>
          <w:fldChar w:fldCharType="separate"/>
        </w:r>
        <w:r w:rsidR="002B44BB">
          <w:rPr>
            <w:noProof/>
            <w:webHidden/>
          </w:rPr>
          <w:t>6</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1" w:history="1">
        <w:r w:rsidR="002B44BB" w:rsidRPr="003F01AB">
          <w:rPr>
            <w:rStyle w:val="a8"/>
            <w:rFonts w:ascii="宋体" w:hAnsi="宋体" w:cs="Arial"/>
            <w:noProof/>
          </w:rPr>
          <w:t>3.1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主要会计数据和财务指标</w:t>
        </w:r>
        <w:r w:rsidR="002B44BB">
          <w:rPr>
            <w:noProof/>
            <w:webHidden/>
          </w:rPr>
          <w:tab/>
        </w:r>
        <w:r w:rsidR="002B44BB">
          <w:rPr>
            <w:noProof/>
            <w:webHidden/>
          </w:rPr>
          <w:fldChar w:fldCharType="begin"/>
        </w:r>
        <w:r w:rsidR="002B44BB">
          <w:rPr>
            <w:noProof/>
            <w:webHidden/>
          </w:rPr>
          <w:instrText xml:space="preserve"> PAGEREF _Toc48654551 \h </w:instrText>
        </w:r>
        <w:r w:rsidR="002B44BB">
          <w:rPr>
            <w:noProof/>
            <w:webHidden/>
          </w:rPr>
        </w:r>
        <w:r w:rsidR="002B44BB">
          <w:rPr>
            <w:noProof/>
            <w:webHidden/>
          </w:rPr>
          <w:fldChar w:fldCharType="separate"/>
        </w:r>
        <w:r w:rsidR="002B44BB">
          <w:rPr>
            <w:noProof/>
            <w:webHidden/>
          </w:rPr>
          <w:t>6</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2" w:history="1">
        <w:r w:rsidR="002B44BB" w:rsidRPr="003F01AB">
          <w:rPr>
            <w:rStyle w:val="a8"/>
            <w:rFonts w:ascii="宋体" w:hAnsi="宋体" w:cs="Arial"/>
            <w:noProof/>
          </w:rPr>
          <w:t>3.2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基金净值表现</w:t>
        </w:r>
        <w:r w:rsidR="002B44BB">
          <w:rPr>
            <w:noProof/>
            <w:webHidden/>
          </w:rPr>
          <w:tab/>
        </w:r>
        <w:r w:rsidR="002B44BB">
          <w:rPr>
            <w:noProof/>
            <w:webHidden/>
          </w:rPr>
          <w:fldChar w:fldCharType="begin"/>
        </w:r>
        <w:r w:rsidR="002B44BB">
          <w:rPr>
            <w:noProof/>
            <w:webHidden/>
          </w:rPr>
          <w:instrText xml:space="preserve"> PAGEREF _Toc48654552 \h </w:instrText>
        </w:r>
        <w:r w:rsidR="002B44BB">
          <w:rPr>
            <w:noProof/>
            <w:webHidden/>
          </w:rPr>
        </w:r>
        <w:r w:rsidR="002B44BB">
          <w:rPr>
            <w:noProof/>
            <w:webHidden/>
          </w:rPr>
          <w:fldChar w:fldCharType="separate"/>
        </w:r>
        <w:r w:rsidR="002B44BB">
          <w:rPr>
            <w:noProof/>
            <w:webHidden/>
          </w:rPr>
          <w:t>7</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53" w:history="1">
        <w:r w:rsidR="002B44BB" w:rsidRPr="003F01AB">
          <w:rPr>
            <w:rStyle w:val="a8"/>
            <w:noProof/>
          </w:rPr>
          <w:t>§4</w:t>
        </w:r>
        <w:r w:rsidR="002B44BB" w:rsidRPr="003F01AB">
          <w:rPr>
            <w:rStyle w:val="a8"/>
            <w:rFonts w:hint="eastAsia"/>
            <w:noProof/>
          </w:rPr>
          <w:t>管理人报告</w:t>
        </w:r>
        <w:r w:rsidR="002B44BB">
          <w:rPr>
            <w:noProof/>
            <w:webHidden/>
          </w:rPr>
          <w:tab/>
        </w:r>
        <w:r w:rsidR="002B44BB">
          <w:rPr>
            <w:noProof/>
            <w:webHidden/>
          </w:rPr>
          <w:fldChar w:fldCharType="begin"/>
        </w:r>
        <w:r w:rsidR="002B44BB">
          <w:rPr>
            <w:noProof/>
            <w:webHidden/>
          </w:rPr>
          <w:instrText xml:space="preserve"> PAGEREF _Toc48654553 \h </w:instrText>
        </w:r>
        <w:r w:rsidR="002B44BB">
          <w:rPr>
            <w:noProof/>
            <w:webHidden/>
          </w:rPr>
        </w:r>
        <w:r w:rsidR="002B44BB">
          <w:rPr>
            <w:noProof/>
            <w:webHidden/>
          </w:rPr>
          <w:fldChar w:fldCharType="separate"/>
        </w:r>
        <w:r w:rsidR="002B44BB">
          <w:rPr>
            <w:noProof/>
            <w:webHidden/>
          </w:rPr>
          <w:t>9</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4" w:history="1">
        <w:r w:rsidR="002B44BB" w:rsidRPr="003F01AB">
          <w:rPr>
            <w:rStyle w:val="a8"/>
            <w:rFonts w:ascii="宋体" w:hAnsi="宋体" w:cs="Arial"/>
            <w:noProof/>
          </w:rPr>
          <w:t>4.1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基金管理人及基金经理情况</w:t>
        </w:r>
        <w:r w:rsidR="002B44BB">
          <w:rPr>
            <w:noProof/>
            <w:webHidden/>
          </w:rPr>
          <w:tab/>
        </w:r>
        <w:r w:rsidR="002B44BB">
          <w:rPr>
            <w:noProof/>
            <w:webHidden/>
          </w:rPr>
          <w:fldChar w:fldCharType="begin"/>
        </w:r>
        <w:r w:rsidR="002B44BB">
          <w:rPr>
            <w:noProof/>
            <w:webHidden/>
          </w:rPr>
          <w:instrText xml:space="preserve"> PAGEREF _Toc48654554 \h </w:instrText>
        </w:r>
        <w:r w:rsidR="002B44BB">
          <w:rPr>
            <w:noProof/>
            <w:webHidden/>
          </w:rPr>
        </w:r>
        <w:r w:rsidR="002B44BB">
          <w:rPr>
            <w:noProof/>
            <w:webHidden/>
          </w:rPr>
          <w:fldChar w:fldCharType="separate"/>
        </w:r>
        <w:r w:rsidR="002B44BB">
          <w:rPr>
            <w:noProof/>
            <w:webHidden/>
          </w:rPr>
          <w:t>9</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5" w:history="1">
        <w:r w:rsidR="002B44BB" w:rsidRPr="003F01AB">
          <w:rPr>
            <w:rStyle w:val="a8"/>
            <w:rFonts w:ascii="宋体" w:hAnsi="宋体" w:cs="Arial"/>
            <w:noProof/>
          </w:rPr>
          <w:t>4.2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管理人对报告期内本基金运作遵规守信情况的说明</w:t>
        </w:r>
        <w:r w:rsidR="002B44BB">
          <w:rPr>
            <w:noProof/>
            <w:webHidden/>
          </w:rPr>
          <w:tab/>
        </w:r>
        <w:r w:rsidR="002B44BB">
          <w:rPr>
            <w:noProof/>
            <w:webHidden/>
          </w:rPr>
          <w:fldChar w:fldCharType="begin"/>
        </w:r>
        <w:r w:rsidR="002B44BB">
          <w:rPr>
            <w:noProof/>
            <w:webHidden/>
          </w:rPr>
          <w:instrText xml:space="preserve"> PAGEREF _Toc48654555 \h </w:instrText>
        </w:r>
        <w:r w:rsidR="002B44BB">
          <w:rPr>
            <w:noProof/>
            <w:webHidden/>
          </w:rPr>
        </w:r>
        <w:r w:rsidR="002B44BB">
          <w:rPr>
            <w:noProof/>
            <w:webHidden/>
          </w:rPr>
          <w:fldChar w:fldCharType="separate"/>
        </w:r>
        <w:r w:rsidR="002B44BB">
          <w:rPr>
            <w:noProof/>
            <w:webHidden/>
          </w:rPr>
          <w:t>12</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6" w:history="1">
        <w:r w:rsidR="002B44BB" w:rsidRPr="003F01AB">
          <w:rPr>
            <w:rStyle w:val="a8"/>
            <w:rFonts w:ascii="宋体" w:hAnsi="宋体" w:cs="Arial"/>
            <w:noProof/>
          </w:rPr>
          <w:t>4.3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管理人对报告期内公平交易情况的专项说明</w:t>
        </w:r>
        <w:r w:rsidR="002B44BB">
          <w:rPr>
            <w:noProof/>
            <w:webHidden/>
          </w:rPr>
          <w:tab/>
        </w:r>
        <w:r w:rsidR="002B44BB">
          <w:rPr>
            <w:noProof/>
            <w:webHidden/>
          </w:rPr>
          <w:fldChar w:fldCharType="begin"/>
        </w:r>
        <w:r w:rsidR="002B44BB">
          <w:rPr>
            <w:noProof/>
            <w:webHidden/>
          </w:rPr>
          <w:instrText xml:space="preserve"> PAGEREF _Toc48654556 \h </w:instrText>
        </w:r>
        <w:r w:rsidR="002B44BB">
          <w:rPr>
            <w:noProof/>
            <w:webHidden/>
          </w:rPr>
        </w:r>
        <w:r w:rsidR="002B44BB">
          <w:rPr>
            <w:noProof/>
            <w:webHidden/>
          </w:rPr>
          <w:fldChar w:fldCharType="separate"/>
        </w:r>
        <w:r w:rsidR="002B44BB">
          <w:rPr>
            <w:noProof/>
            <w:webHidden/>
          </w:rPr>
          <w:t>13</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7" w:history="1">
        <w:r w:rsidR="002B44BB" w:rsidRPr="003F01AB">
          <w:rPr>
            <w:rStyle w:val="a8"/>
            <w:rFonts w:ascii="宋体" w:hAnsi="宋体" w:cs="Arial"/>
            <w:noProof/>
          </w:rPr>
          <w:t>4.4</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管理人对报告期内基金的投资策略和业绩表现的说明</w:t>
        </w:r>
        <w:r w:rsidR="002B44BB">
          <w:rPr>
            <w:noProof/>
            <w:webHidden/>
          </w:rPr>
          <w:tab/>
        </w:r>
        <w:r w:rsidR="002B44BB">
          <w:rPr>
            <w:noProof/>
            <w:webHidden/>
          </w:rPr>
          <w:fldChar w:fldCharType="begin"/>
        </w:r>
        <w:r w:rsidR="002B44BB">
          <w:rPr>
            <w:noProof/>
            <w:webHidden/>
          </w:rPr>
          <w:instrText xml:space="preserve"> PAGEREF _Toc48654557 \h </w:instrText>
        </w:r>
        <w:r w:rsidR="002B44BB">
          <w:rPr>
            <w:noProof/>
            <w:webHidden/>
          </w:rPr>
        </w:r>
        <w:r w:rsidR="002B44BB">
          <w:rPr>
            <w:noProof/>
            <w:webHidden/>
          </w:rPr>
          <w:fldChar w:fldCharType="separate"/>
        </w:r>
        <w:r w:rsidR="002B44BB">
          <w:rPr>
            <w:noProof/>
            <w:webHidden/>
          </w:rPr>
          <w:t>13</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8" w:history="1">
        <w:r w:rsidR="002B44BB" w:rsidRPr="003F01AB">
          <w:rPr>
            <w:rStyle w:val="a8"/>
            <w:rFonts w:ascii="宋体" w:hAnsi="宋体" w:cs="Arial"/>
            <w:noProof/>
          </w:rPr>
          <w:t>4.5</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管理人对宏观经济、证券市场及行业走势的简要展望</w:t>
        </w:r>
        <w:r w:rsidR="002B44BB">
          <w:rPr>
            <w:noProof/>
            <w:webHidden/>
          </w:rPr>
          <w:tab/>
        </w:r>
        <w:r w:rsidR="002B44BB">
          <w:rPr>
            <w:noProof/>
            <w:webHidden/>
          </w:rPr>
          <w:fldChar w:fldCharType="begin"/>
        </w:r>
        <w:r w:rsidR="002B44BB">
          <w:rPr>
            <w:noProof/>
            <w:webHidden/>
          </w:rPr>
          <w:instrText xml:space="preserve"> PAGEREF _Toc48654558 \h </w:instrText>
        </w:r>
        <w:r w:rsidR="002B44BB">
          <w:rPr>
            <w:noProof/>
            <w:webHidden/>
          </w:rPr>
        </w:r>
        <w:r w:rsidR="002B44BB">
          <w:rPr>
            <w:noProof/>
            <w:webHidden/>
          </w:rPr>
          <w:fldChar w:fldCharType="separate"/>
        </w:r>
        <w:r w:rsidR="002B44BB">
          <w:rPr>
            <w:noProof/>
            <w:webHidden/>
          </w:rPr>
          <w:t>14</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59" w:history="1">
        <w:r w:rsidR="002B44BB" w:rsidRPr="003F01AB">
          <w:rPr>
            <w:rStyle w:val="a8"/>
            <w:rFonts w:ascii="宋体" w:hAnsi="宋体" w:cs="Arial"/>
            <w:noProof/>
          </w:rPr>
          <w:t>4.6</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管理人对报告期内基金估值程序等事项的说明</w:t>
        </w:r>
        <w:r w:rsidR="002B44BB">
          <w:rPr>
            <w:noProof/>
            <w:webHidden/>
          </w:rPr>
          <w:tab/>
        </w:r>
        <w:r w:rsidR="002B44BB">
          <w:rPr>
            <w:noProof/>
            <w:webHidden/>
          </w:rPr>
          <w:fldChar w:fldCharType="begin"/>
        </w:r>
        <w:r w:rsidR="002B44BB">
          <w:rPr>
            <w:noProof/>
            <w:webHidden/>
          </w:rPr>
          <w:instrText xml:space="preserve"> PAGEREF _Toc48654559 \h </w:instrText>
        </w:r>
        <w:r w:rsidR="002B44BB">
          <w:rPr>
            <w:noProof/>
            <w:webHidden/>
          </w:rPr>
        </w:r>
        <w:r w:rsidR="002B44BB">
          <w:rPr>
            <w:noProof/>
            <w:webHidden/>
          </w:rPr>
          <w:fldChar w:fldCharType="separate"/>
        </w:r>
        <w:r w:rsidR="002B44BB">
          <w:rPr>
            <w:noProof/>
            <w:webHidden/>
          </w:rPr>
          <w:t>15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0" w:history="1">
        <w:r w:rsidR="002B44BB" w:rsidRPr="003F01AB">
          <w:rPr>
            <w:rStyle w:val="a8"/>
            <w:rFonts w:ascii="宋体" w:hAnsi="宋体" w:cs="Arial"/>
            <w:noProof/>
          </w:rPr>
          <w:t>4.7</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管理人对报告期内基金利润分配情况的说明</w:t>
        </w:r>
        <w:r w:rsidR="002B44BB">
          <w:rPr>
            <w:noProof/>
            <w:webHidden/>
          </w:rPr>
          <w:tab/>
        </w:r>
        <w:r w:rsidR="002B44BB">
          <w:rPr>
            <w:noProof/>
            <w:webHidden/>
          </w:rPr>
          <w:fldChar w:fldCharType="begin"/>
        </w:r>
        <w:r w:rsidR="002B44BB">
          <w:rPr>
            <w:noProof/>
            <w:webHidden/>
          </w:rPr>
          <w:instrText xml:space="preserve"> PAGEREF _Toc48654560 \h </w:instrText>
        </w:r>
        <w:r w:rsidR="002B44BB">
          <w:rPr>
            <w:noProof/>
            <w:webHidden/>
          </w:rPr>
        </w:r>
        <w:r w:rsidR="002B44BB">
          <w:rPr>
            <w:noProof/>
            <w:webHidden/>
          </w:rPr>
          <w:fldChar w:fldCharType="separate"/>
        </w:r>
        <w:r w:rsidR="002B44BB">
          <w:rPr>
            <w:noProof/>
            <w:webHidden/>
          </w:rPr>
          <w:t>15</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61" w:history="1">
        <w:r w:rsidR="002B44BB" w:rsidRPr="003F01AB">
          <w:rPr>
            <w:rStyle w:val="a8"/>
            <w:noProof/>
          </w:rPr>
          <w:t>§5</w:t>
        </w:r>
        <w:r w:rsidR="002B44BB" w:rsidRPr="003F01AB">
          <w:rPr>
            <w:rStyle w:val="a8"/>
            <w:rFonts w:hint="eastAsia"/>
            <w:noProof/>
          </w:rPr>
          <w:t>托管人报告</w:t>
        </w:r>
        <w:r w:rsidR="002B44BB">
          <w:rPr>
            <w:noProof/>
            <w:webHidden/>
          </w:rPr>
          <w:tab/>
        </w:r>
        <w:r w:rsidR="002B44BB">
          <w:rPr>
            <w:noProof/>
            <w:webHidden/>
          </w:rPr>
          <w:fldChar w:fldCharType="begin"/>
        </w:r>
        <w:r w:rsidR="002B44BB">
          <w:rPr>
            <w:noProof/>
            <w:webHidden/>
          </w:rPr>
          <w:instrText xml:space="preserve"> PAGEREF _Toc48654561 \h </w:instrText>
        </w:r>
        <w:r w:rsidR="002B44BB">
          <w:rPr>
            <w:noProof/>
            <w:webHidden/>
          </w:rPr>
        </w:r>
        <w:r w:rsidR="002B44BB">
          <w:rPr>
            <w:noProof/>
            <w:webHidden/>
          </w:rPr>
          <w:fldChar w:fldCharType="separate"/>
        </w:r>
        <w:r w:rsidR="002B44BB">
          <w:rPr>
            <w:noProof/>
            <w:webHidden/>
          </w:rPr>
          <w:t>15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2" w:history="1">
        <w:r w:rsidR="002B44BB" w:rsidRPr="003F01AB">
          <w:rPr>
            <w:rStyle w:val="a8"/>
            <w:rFonts w:ascii="宋体" w:hAnsi="宋体" w:cs="Arial"/>
            <w:noProof/>
          </w:rPr>
          <w:t>5.1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报告期内本基金托管人遵规守信情况声明</w:t>
        </w:r>
        <w:r w:rsidR="002B44BB">
          <w:rPr>
            <w:noProof/>
            <w:webHidden/>
          </w:rPr>
          <w:tab/>
        </w:r>
        <w:r w:rsidR="002B44BB">
          <w:rPr>
            <w:noProof/>
            <w:webHidden/>
          </w:rPr>
          <w:fldChar w:fldCharType="begin"/>
        </w:r>
        <w:r w:rsidR="002B44BB">
          <w:rPr>
            <w:noProof/>
            <w:webHidden/>
          </w:rPr>
          <w:instrText xml:space="preserve"> PAGEREF _Toc48654562 \h </w:instrText>
        </w:r>
        <w:r w:rsidR="002B44BB">
          <w:rPr>
            <w:noProof/>
            <w:webHidden/>
          </w:rPr>
        </w:r>
        <w:r w:rsidR="002B44BB">
          <w:rPr>
            <w:noProof/>
            <w:webHidden/>
          </w:rPr>
          <w:fldChar w:fldCharType="separate"/>
        </w:r>
        <w:r w:rsidR="002B44BB">
          <w:rPr>
            <w:noProof/>
            <w:webHidden/>
          </w:rPr>
          <w:t>15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3" w:history="1">
        <w:r w:rsidR="002B44BB" w:rsidRPr="003F01AB">
          <w:rPr>
            <w:rStyle w:val="a8"/>
            <w:rFonts w:ascii="宋体" w:hAnsi="宋体" w:cs="Arial"/>
            <w:noProof/>
          </w:rPr>
          <w:t>5.2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托管人对报告期内本基金投资运作遵规守信、净值计算、利润分配等情况的说明</w:t>
        </w:r>
        <w:r w:rsidR="002B44BB">
          <w:rPr>
            <w:noProof/>
            <w:webHidden/>
          </w:rPr>
          <w:tab/>
        </w:r>
        <w:r w:rsidR="002B44BB">
          <w:rPr>
            <w:noProof/>
            <w:webHidden/>
          </w:rPr>
          <w:fldChar w:fldCharType="begin"/>
        </w:r>
        <w:r w:rsidR="002B44BB">
          <w:rPr>
            <w:noProof/>
            <w:webHidden/>
          </w:rPr>
          <w:instrText xml:space="preserve"> PAGEREF _Toc48654563 \h </w:instrText>
        </w:r>
        <w:r w:rsidR="002B44BB">
          <w:rPr>
            <w:noProof/>
            <w:webHidden/>
          </w:rPr>
        </w:r>
        <w:r w:rsidR="002B44BB">
          <w:rPr>
            <w:noProof/>
            <w:webHidden/>
          </w:rPr>
          <w:fldChar w:fldCharType="separate"/>
        </w:r>
        <w:r w:rsidR="002B44BB">
          <w:rPr>
            <w:noProof/>
            <w:webHidden/>
          </w:rPr>
          <w:t>15</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4" w:history="1">
        <w:r w:rsidR="002B44BB" w:rsidRPr="003F01AB">
          <w:rPr>
            <w:rStyle w:val="a8"/>
            <w:rFonts w:ascii="宋体" w:hAnsi="宋体" w:cs="Arial"/>
            <w:noProof/>
          </w:rPr>
          <w:t>5.3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托管人对本中期报告中财务信息等内容的真实、准确和完整发表意见</w:t>
        </w:r>
        <w:r w:rsidR="002B44BB">
          <w:rPr>
            <w:noProof/>
            <w:webHidden/>
          </w:rPr>
          <w:tab/>
        </w:r>
        <w:r w:rsidR="002B44BB">
          <w:rPr>
            <w:noProof/>
            <w:webHidden/>
          </w:rPr>
          <w:fldChar w:fldCharType="begin"/>
        </w:r>
        <w:r w:rsidR="002B44BB">
          <w:rPr>
            <w:noProof/>
            <w:webHidden/>
          </w:rPr>
          <w:instrText xml:space="preserve"> PAGEREF _Toc48654564 \h </w:instrText>
        </w:r>
        <w:r w:rsidR="002B44BB">
          <w:rPr>
            <w:noProof/>
            <w:webHidden/>
          </w:rPr>
        </w:r>
        <w:r w:rsidR="002B44BB">
          <w:rPr>
            <w:noProof/>
            <w:webHidden/>
          </w:rPr>
          <w:fldChar w:fldCharType="separate"/>
        </w:r>
        <w:r w:rsidR="002B44BB">
          <w:rPr>
            <w:noProof/>
            <w:webHidden/>
          </w:rPr>
          <w:t>16</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65" w:history="1">
        <w:r w:rsidR="002B44BB" w:rsidRPr="003F01AB">
          <w:rPr>
            <w:rStyle w:val="a8"/>
            <w:noProof/>
          </w:rPr>
          <w:t>§6</w:t>
        </w:r>
        <w:r w:rsidR="002B44BB" w:rsidRPr="003F01AB">
          <w:rPr>
            <w:rStyle w:val="a8"/>
            <w:rFonts w:hint="eastAsia"/>
            <w:noProof/>
          </w:rPr>
          <w:t>半年度财务会计报告（未经审计）</w:t>
        </w:r>
        <w:r w:rsidR="002B44BB">
          <w:rPr>
            <w:noProof/>
            <w:webHidden/>
          </w:rPr>
          <w:tab/>
        </w:r>
        <w:r w:rsidR="002B44BB">
          <w:rPr>
            <w:noProof/>
            <w:webHidden/>
          </w:rPr>
          <w:fldChar w:fldCharType="begin"/>
        </w:r>
        <w:r w:rsidR="002B44BB">
          <w:rPr>
            <w:noProof/>
            <w:webHidden/>
          </w:rPr>
          <w:instrText xml:space="preserve"> PAGEREF _Toc48654565 \h </w:instrText>
        </w:r>
        <w:r w:rsidR="002B44BB">
          <w:rPr>
            <w:noProof/>
            <w:webHidden/>
          </w:rPr>
        </w:r>
        <w:r w:rsidR="002B44BB">
          <w:rPr>
            <w:noProof/>
            <w:webHidden/>
          </w:rPr>
          <w:fldChar w:fldCharType="separate"/>
        </w:r>
        <w:r w:rsidR="002B44BB">
          <w:rPr>
            <w:noProof/>
            <w:webHidden/>
          </w:rPr>
          <w:t>16</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6" w:history="1">
        <w:r w:rsidR="002B44BB" w:rsidRPr="003F01AB">
          <w:rPr>
            <w:rStyle w:val="a8"/>
            <w:rFonts w:ascii="宋体" w:hAnsi="宋体" w:cs="Arial"/>
            <w:noProof/>
          </w:rPr>
          <w:t>6.1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资产负债表</w:t>
        </w:r>
        <w:r w:rsidR="002B44BB">
          <w:rPr>
            <w:noProof/>
            <w:webHidden/>
          </w:rPr>
          <w:tab/>
        </w:r>
        <w:r w:rsidR="002B44BB">
          <w:rPr>
            <w:noProof/>
            <w:webHidden/>
          </w:rPr>
          <w:fldChar w:fldCharType="begin"/>
        </w:r>
        <w:r w:rsidR="002B44BB">
          <w:rPr>
            <w:noProof/>
            <w:webHidden/>
          </w:rPr>
          <w:instrText xml:space="preserve"> PAGEREF _Toc48654566 \h </w:instrText>
        </w:r>
        <w:r w:rsidR="002B44BB">
          <w:rPr>
            <w:noProof/>
            <w:webHidden/>
          </w:rPr>
        </w:r>
        <w:r w:rsidR="002B44BB">
          <w:rPr>
            <w:noProof/>
            <w:webHidden/>
          </w:rPr>
          <w:fldChar w:fldCharType="separate"/>
        </w:r>
        <w:r w:rsidR="002B44BB">
          <w:rPr>
            <w:noProof/>
            <w:webHidden/>
          </w:rPr>
          <w:t>16</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7" w:history="1">
        <w:r w:rsidR="002B44BB" w:rsidRPr="003F01AB">
          <w:rPr>
            <w:rStyle w:val="a8"/>
            <w:rFonts w:ascii="宋体" w:hAnsi="宋体" w:cs="Arial"/>
            <w:noProof/>
          </w:rPr>
          <w:t>6.2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利润表</w:t>
        </w:r>
        <w:r w:rsidR="002B44BB">
          <w:rPr>
            <w:noProof/>
            <w:webHidden/>
          </w:rPr>
          <w:tab/>
        </w:r>
        <w:r w:rsidR="002B44BB">
          <w:rPr>
            <w:noProof/>
            <w:webHidden/>
          </w:rPr>
          <w:fldChar w:fldCharType="begin"/>
        </w:r>
        <w:r w:rsidR="002B44BB">
          <w:rPr>
            <w:noProof/>
            <w:webHidden/>
          </w:rPr>
          <w:instrText xml:space="preserve"> PAGEREF _Toc48654567 \h </w:instrText>
        </w:r>
        <w:r w:rsidR="002B44BB">
          <w:rPr>
            <w:noProof/>
            <w:webHidden/>
          </w:rPr>
        </w:r>
        <w:r w:rsidR="002B44BB">
          <w:rPr>
            <w:noProof/>
            <w:webHidden/>
          </w:rPr>
          <w:fldChar w:fldCharType="separate"/>
        </w:r>
        <w:r w:rsidR="002B44BB">
          <w:rPr>
            <w:noProof/>
            <w:webHidden/>
          </w:rPr>
          <w:t>17</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8" w:history="1">
        <w:r w:rsidR="002B44BB" w:rsidRPr="003F01AB">
          <w:rPr>
            <w:rStyle w:val="a8"/>
            <w:rFonts w:ascii="宋体" w:hAnsi="宋体" w:cs="Arial"/>
            <w:noProof/>
          </w:rPr>
          <w:t>6.3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所有者权益（基金净值）变动表</w:t>
        </w:r>
        <w:r w:rsidR="002B44BB">
          <w:rPr>
            <w:noProof/>
            <w:webHidden/>
          </w:rPr>
          <w:tab/>
        </w:r>
        <w:r w:rsidR="002B44BB">
          <w:rPr>
            <w:noProof/>
            <w:webHidden/>
          </w:rPr>
          <w:fldChar w:fldCharType="begin"/>
        </w:r>
        <w:r w:rsidR="002B44BB">
          <w:rPr>
            <w:noProof/>
            <w:webHidden/>
          </w:rPr>
          <w:instrText xml:space="preserve"> PAGEREF _Toc48654568 \h </w:instrText>
        </w:r>
        <w:r w:rsidR="002B44BB">
          <w:rPr>
            <w:noProof/>
            <w:webHidden/>
          </w:rPr>
        </w:r>
        <w:r w:rsidR="002B44BB">
          <w:rPr>
            <w:noProof/>
            <w:webHidden/>
          </w:rPr>
          <w:fldChar w:fldCharType="separate"/>
        </w:r>
        <w:r w:rsidR="002B44BB">
          <w:rPr>
            <w:noProof/>
            <w:webHidden/>
          </w:rPr>
          <w:t>18</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69" w:history="1">
        <w:r w:rsidR="002B44BB" w:rsidRPr="003F01AB">
          <w:rPr>
            <w:rStyle w:val="a8"/>
            <w:rFonts w:ascii="宋体" w:hAnsi="宋体" w:cs="Arial"/>
            <w:noProof/>
          </w:rPr>
          <w:t>6.4</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报表附注</w:t>
        </w:r>
        <w:r w:rsidR="002B44BB">
          <w:rPr>
            <w:noProof/>
            <w:webHidden/>
          </w:rPr>
          <w:tab/>
        </w:r>
        <w:r w:rsidR="002B44BB">
          <w:rPr>
            <w:noProof/>
            <w:webHidden/>
          </w:rPr>
          <w:fldChar w:fldCharType="begin"/>
        </w:r>
        <w:r w:rsidR="002B44BB">
          <w:rPr>
            <w:noProof/>
            <w:webHidden/>
          </w:rPr>
          <w:instrText xml:space="preserve"> PAGEREF _Toc48654569 \h </w:instrText>
        </w:r>
        <w:r w:rsidR="002B44BB">
          <w:rPr>
            <w:noProof/>
            <w:webHidden/>
          </w:rPr>
        </w:r>
        <w:r w:rsidR="002B44BB">
          <w:rPr>
            <w:noProof/>
            <w:webHidden/>
          </w:rPr>
          <w:fldChar w:fldCharType="separate"/>
        </w:r>
        <w:r w:rsidR="002B44BB">
          <w:rPr>
            <w:noProof/>
            <w:webHidden/>
          </w:rPr>
          <w:t>19</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70" w:history="1">
        <w:r w:rsidR="002B44BB" w:rsidRPr="003F01AB">
          <w:rPr>
            <w:rStyle w:val="a8"/>
            <w:noProof/>
          </w:rPr>
          <w:t>§7</w:t>
        </w:r>
        <w:r w:rsidR="002B44BB" w:rsidRPr="003F01AB">
          <w:rPr>
            <w:rStyle w:val="a8"/>
            <w:rFonts w:hint="eastAsia"/>
            <w:noProof/>
          </w:rPr>
          <w:t>投资组合报告</w:t>
        </w:r>
        <w:r w:rsidR="002B44BB">
          <w:rPr>
            <w:noProof/>
            <w:webHidden/>
          </w:rPr>
          <w:tab/>
        </w:r>
        <w:r w:rsidR="002B44BB">
          <w:rPr>
            <w:noProof/>
            <w:webHidden/>
          </w:rPr>
          <w:fldChar w:fldCharType="begin"/>
        </w:r>
        <w:r w:rsidR="002B44BB">
          <w:rPr>
            <w:noProof/>
            <w:webHidden/>
          </w:rPr>
          <w:instrText xml:space="preserve"> PAGEREF _Toc48654570 \h </w:instrText>
        </w:r>
        <w:r w:rsidR="002B44BB">
          <w:rPr>
            <w:noProof/>
            <w:webHidden/>
          </w:rPr>
        </w:r>
        <w:r w:rsidR="002B44BB">
          <w:rPr>
            <w:noProof/>
            <w:webHidden/>
          </w:rPr>
          <w:fldChar w:fldCharType="separate"/>
        </w:r>
        <w:r w:rsidR="002B44BB">
          <w:rPr>
            <w:noProof/>
            <w:webHidden/>
          </w:rPr>
          <w:t>37</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1" w:history="1">
        <w:r w:rsidR="002B44BB" w:rsidRPr="003F01AB">
          <w:rPr>
            <w:rStyle w:val="a8"/>
            <w:rFonts w:ascii="宋体" w:hAnsi="宋体" w:cs="Arial"/>
            <w:noProof/>
          </w:rPr>
          <w:t>7.1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期末基金资产组合情况</w:t>
        </w:r>
        <w:r w:rsidR="002B44BB">
          <w:rPr>
            <w:noProof/>
            <w:webHidden/>
          </w:rPr>
          <w:tab/>
        </w:r>
        <w:r w:rsidR="002B44BB">
          <w:rPr>
            <w:noProof/>
            <w:webHidden/>
          </w:rPr>
          <w:fldChar w:fldCharType="begin"/>
        </w:r>
        <w:r w:rsidR="002B44BB">
          <w:rPr>
            <w:noProof/>
            <w:webHidden/>
          </w:rPr>
          <w:instrText xml:space="preserve"> PAGEREF _Toc48654571 \h </w:instrText>
        </w:r>
        <w:r w:rsidR="002B44BB">
          <w:rPr>
            <w:noProof/>
            <w:webHidden/>
          </w:rPr>
        </w:r>
        <w:r w:rsidR="002B44BB">
          <w:rPr>
            <w:noProof/>
            <w:webHidden/>
          </w:rPr>
          <w:fldChar w:fldCharType="separate"/>
        </w:r>
        <w:r w:rsidR="002B44BB">
          <w:rPr>
            <w:noProof/>
            <w:webHidden/>
          </w:rPr>
          <w:t>37</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72" w:history="1">
        <w:r w:rsidR="002B44BB" w:rsidRPr="003F01AB">
          <w:rPr>
            <w:rStyle w:val="a8"/>
            <w:rFonts w:ascii="宋体" w:hAnsi="宋体" w:cs="Arial"/>
            <w:noProof/>
          </w:rPr>
          <w:t xml:space="preserve">7.2 </w:t>
        </w:r>
        <w:r w:rsidR="002B44BB" w:rsidRPr="003F01AB">
          <w:rPr>
            <w:rStyle w:val="a8"/>
            <w:rFonts w:ascii="宋体" w:hAnsi="宋体" w:cs="Arial" w:hint="eastAsia"/>
            <w:noProof/>
          </w:rPr>
          <w:t>报告期末按行业分类的股票投资组合</w:t>
        </w:r>
        <w:r w:rsidR="002B44BB">
          <w:rPr>
            <w:noProof/>
            <w:webHidden/>
          </w:rPr>
          <w:tab/>
        </w:r>
        <w:r w:rsidR="002B44BB">
          <w:rPr>
            <w:noProof/>
            <w:webHidden/>
          </w:rPr>
          <w:fldChar w:fldCharType="begin"/>
        </w:r>
        <w:r w:rsidR="002B44BB">
          <w:rPr>
            <w:noProof/>
            <w:webHidden/>
          </w:rPr>
          <w:instrText xml:space="preserve"> PAGEREF _Toc48654572 \h </w:instrText>
        </w:r>
        <w:r w:rsidR="002B44BB">
          <w:rPr>
            <w:noProof/>
            <w:webHidden/>
          </w:rPr>
        </w:r>
        <w:r w:rsidR="002B44BB">
          <w:rPr>
            <w:noProof/>
            <w:webHidden/>
          </w:rPr>
          <w:fldChar w:fldCharType="separate"/>
        </w:r>
        <w:r w:rsidR="002B44BB">
          <w:rPr>
            <w:noProof/>
            <w:webHidden/>
          </w:rPr>
          <w:t>38</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3" w:history="1">
        <w:r w:rsidR="002B44BB" w:rsidRPr="003F01AB">
          <w:rPr>
            <w:rStyle w:val="a8"/>
            <w:rFonts w:ascii="宋体" w:hAnsi="宋体" w:cs="Arial"/>
            <w:noProof/>
          </w:rPr>
          <w:t>7.3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期末按公允价值占基金资产净值比例大小排序的所有股票投资明细</w:t>
        </w:r>
        <w:r w:rsidR="002B44BB">
          <w:rPr>
            <w:noProof/>
            <w:webHidden/>
          </w:rPr>
          <w:tab/>
        </w:r>
        <w:r w:rsidR="002B44BB">
          <w:rPr>
            <w:noProof/>
            <w:webHidden/>
          </w:rPr>
          <w:fldChar w:fldCharType="begin"/>
        </w:r>
        <w:r w:rsidR="002B44BB">
          <w:rPr>
            <w:noProof/>
            <w:webHidden/>
          </w:rPr>
          <w:instrText xml:space="preserve"> PAGEREF _Toc48654573 \h </w:instrText>
        </w:r>
        <w:r w:rsidR="002B44BB">
          <w:rPr>
            <w:noProof/>
            <w:webHidden/>
          </w:rPr>
        </w:r>
        <w:r w:rsidR="002B44BB">
          <w:rPr>
            <w:noProof/>
            <w:webHidden/>
          </w:rPr>
          <w:fldChar w:fldCharType="separate"/>
        </w:r>
        <w:r w:rsidR="002B44BB">
          <w:rPr>
            <w:noProof/>
            <w:webHidden/>
          </w:rPr>
          <w:t>38</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4" w:history="1">
        <w:r w:rsidR="002B44BB" w:rsidRPr="003F01AB">
          <w:rPr>
            <w:rStyle w:val="a8"/>
            <w:rFonts w:ascii="宋体" w:hAnsi="宋体" w:cs="Arial"/>
            <w:noProof/>
          </w:rPr>
          <w:t>7.4</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报告期内股票投资组合的重大变动</w:t>
        </w:r>
        <w:r w:rsidR="002B44BB">
          <w:rPr>
            <w:noProof/>
            <w:webHidden/>
          </w:rPr>
          <w:tab/>
        </w:r>
        <w:r w:rsidR="002B44BB">
          <w:rPr>
            <w:noProof/>
            <w:webHidden/>
          </w:rPr>
          <w:fldChar w:fldCharType="begin"/>
        </w:r>
        <w:r w:rsidR="002B44BB">
          <w:rPr>
            <w:noProof/>
            <w:webHidden/>
          </w:rPr>
          <w:instrText xml:space="preserve"> PAGEREF _Toc48654574 \h </w:instrText>
        </w:r>
        <w:r w:rsidR="002B44BB">
          <w:rPr>
            <w:noProof/>
            <w:webHidden/>
          </w:rPr>
        </w:r>
        <w:r w:rsidR="002B44BB">
          <w:rPr>
            <w:noProof/>
            <w:webHidden/>
          </w:rPr>
          <w:fldChar w:fldCharType="separate"/>
        </w:r>
        <w:r w:rsidR="002B44BB">
          <w:rPr>
            <w:noProof/>
            <w:webHidden/>
          </w:rPr>
          <w:t>38</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5" w:history="1">
        <w:r w:rsidR="002B44BB" w:rsidRPr="003F01AB">
          <w:rPr>
            <w:rStyle w:val="a8"/>
            <w:rFonts w:ascii="宋体" w:hAnsi="宋体" w:cs="Arial"/>
            <w:noProof/>
          </w:rPr>
          <w:t>7.5</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期末按债券品种分类的债券投资组合</w:t>
        </w:r>
        <w:r w:rsidR="002B44BB">
          <w:rPr>
            <w:noProof/>
            <w:webHidden/>
          </w:rPr>
          <w:tab/>
        </w:r>
        <w:r w:rsidR="002B44BB">
          <w:rPr>
            <w:noProof/>
            <w:webHidden/>
          </w:rPr>
          <w:fldChar w:fldCharType="begin"/>
        </w:r>
        <w:r w:rsidR="002B44BB">
          <w:rPr>
            <w:noProof/>
            <w:webHidden/>
          </w:rPr>
          <w:instrText xml:space="preserve"> PAGEREF _Toc48654575 \h </w:instrText>
        </w:r>
        <w:r w:rsidR="002B44BB">
          <w:rPr>
            <w:noProof/>
            <w:webHidden/>
          </w:rPr>
        </w:r>
        <w:r w:rsidR="002B44BB">
          <w:rPr>
            <w:noProof/>
            <w:webHidden/>
          </w:rPr>
          <w:fldChar w:fldCharType="separate"/>
        </w:r>
        <w:r w:rsidR="002B44BB">
          <w:rPr>
            <w:noProof/>
            <w:webHidden/>
          </w:rPr>
          <w:t>39</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6" w:history="1">
        <w:r w:rsidR="002B44BB" w:rsidRPr="003F01AB">
          <w:rPr>
            <w:rStyle w:val="a8"/>
            <w:rFonts w:ascii="宋体" w:hAnsi="宋体" w:cs="Arial"/>
            <w:noProof/>
          </w:rPr>
          <w:t>7.6</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期末按公允价值占基金资产净值比例大小排序的前五名债券投资明细</w:t>
        </w:r>
        <w:r w:rsidR="002B44BB">
          <w:rPr>
            <w:noProof/>
            <w:webHidden/>
          </w:rPr>
          <w:tab/>
        </w:r>
        <w:r w:rsidR="002B44BB">
          <w:rPr>
            <w:noProof/>
            <w:webHidden/>
          </w:rPr>
          <w:fldChar w:fldCharType="begin"/>
        </w:r>
        <w:r w:rsidR="002B44BB">
          <w:rPr>
            <w:noProof/>
            <w:webHidden/>
          </w:rPr>
          <w:instrText xml:space="preserve"> PAGEREF _Toc48654576 \h </w:instrText>
        </w:r>
        <w:r w:rsidR="002B44BB">
          <w:rPr>
            <w:noProof/>
            <w:webHidden/>
          </w:rPr>
        </w:r>
        <w:r w:rsidR="002B44BB">
          <w:rPr>
            <w:noProof/>
            <w:webHidden/>
          </w:rPr>
          <w:fldChar w:fldCharType="separate"/>
        </w:r>
        <w:r w:rsidR="002B44BB">
          <w:rPr>
            <w:noProof/>
            <w:webHidden/>
          </w:rPr>
          <w:t>39</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7" w:history="1">
        <w:r w:rsidR="002B44BB" w:rsidRPr="003F01AB">
          <w:rPr>
            <w:rStyle w:val="a8"/>
            <w:rFonts w:ascii="宋体" w:hAnsi="宋体" w:cs="Arial"/>
            <w:noProof/>
          </w:rPr>
          <w:t>7.7</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期末按公允价值占基金资产净值比例大小排序的所有资产支持证券投资明细</w:t>
        </w:r>
        <w:r w:rsidR="002B44BB">
          <w:rPr>
            <w:noProof/>
            <w:webHidden/>
          </w:rPr>
          <w:tab/>
        </w:r>
        <w:r w:rsidR="002B44BB">
          <w:rPr>
            <w:noProof/>
            <w:webHidden/>
          </w:rPr>
          <w:fldChar w:fldCharType="begin"/>
        </w:r>
        <w:r w:rsidR="002B44BB">
          <w:rPr>
            <w:noProof/>
            <w:webHidden/>
          </w:rPr>
          <w:instrText xml:space="preserve"> PAGEREF _Toc48654577 \h </w:instrText>
        </w:r>
        <w:r w:rsidR="002B44BB">
          <w:rPr>
            <w:noProof/>
            <w:webHidden/>
          </w:rPr>
        </w:r>
        <w:r w:rsidR="002B44BB">
          <w:rPr>
            <w:noProof/>
            <w:webHidden/>
          </w:rPr>
          <w:fldChar w:fldCharType="separate"/>
        </w:r>
        <w:r w:rsidR="002B44BB">
          <w:rPr>
            <w:noProof/>
            <w:webHidden/>
          </w:rPr>
          <w:t>39</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8" w:history="1">
        <w:r w:rsidR="002B44BB" w:rsidRPr="003F01AB">
          <w:rPr>
            <w:rStyle w:val="a8"/>
            <w:rFonts w:ascii="宋体" w:hAnsi="宋体" w:cs="Arial"/>
            <w:noProof/>
          </w:rPr>
          <w:t>7.8</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报告期末按公允价值占基金资产净值比例大小排序的前五名贵金属投资明细</w:t>
        </w:r>
        <w:r w:rsidR="002B44BB">
          <w:rPr>
            <w:noProof/>
            <w:webHidden/>
          </w:rPr>
          <w:tab/>
        </w:r>
        <w:r w:rsidR="002B44BB">
          <w:rPr>
            <w:noProof/>
            <w:webHidden/>
          </w:rPr>
          <w:fldChar w:fldCharType="begin"/>
        </w:r>
        <w:r w:rsidR="002B44BB">
          <w:rPr>
            <w:noProof/>
            <w:webHidden/>
          </w:rPr>
          <w:instrText xml:space="preserve"> PAGEREF _Toc48654578 \h </w:instrText>
        </w:r>
        <w:r w:rsidR="002B44BB">
          <w:rPr>
            <w:noProof/>
            <w:webHidden/>
          </w:rPr>
        </w:r>
        <w:r w:rsidR="002B44BB">
          <w:rPr>
            <w:noProof/>
            <w:webHidden/>
          </w:rPr>
          <w:fldChar w:fldCharType="separate"/>
        </w:r>
        <w:r w:rsidR="002B44BB">
          <w:rPr>
            <w:noProof/>
            <w:webHidden/>
          </w:rPr>
          <w:t>40</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79" w:history="1">
        <w:r w:rsidR="002B44BB" w:rsidRPr="003F01AB">
          <w:rPr>
            <w:rStyle w:val="a8"/>
            <w:rFonts w:ascii="宋体" w:hAnsi="宋体" w:cs="Arial"/>
            <w:noProof/>
          </w:rPr>
          <w:t>7.9</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期末按公允价值占基金资产净值比例大小排序的前五名权证投资明细</w:t>
        </w:r>
        <w:r w:rsidR="002B44BB">
          <w:rPr>
            <w:noProof/>
            <w:webHidden/>
          </w:rPr>
          <w:tab/>
        </w:r>
        <w:r w:rsidR="002B44BB">
          <w:rPr>
            <w:noProof/>
            <w:webHidden/>
          </w:rPr>
          <w:fldChar w:fldCharType="begin"/>
        </w:r>
        <w:r w:rsidR="002B44BB">
          <w:rPr>
            <w:noProof/>
            <w:webHidden/>
          </w:rPr>
          <w:instrText xml:space="preserve"> PAGEREF _Toc48654579 \h </w:instrText>
        </w:r>
        <w:r w:rsidR="002B44BB">
          <w:rPr>
            <w:noProof/>
            <w:webHidden/>
          </w:rPr>
        </w:r>
        <w:r w:rsidR="002B44BB">
          <w:rPr>
            <w:noProof/>
            <w:webHidden/>
          </w:rPr>
          <w:fldChar w:fldCharType="separate"/>
        </w:r>
        <w:r w:rsidR="002B44BB">
          <w:rPr>
            <w:noProof/>
            <w:webHidden/>
          </w:rPr>
          <w:t>40</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80" w:history="1">
        <w:r w:rsidR="002B44BB" w:rsidRPr="003F01AB">
          <w:rPr>
            <w:rStyle w:val="a8"/>
            <w:rFonts w:ascii="宋体" w:hAnsi="宋体" w:cs="Arial"/>
            <w:noProof/>
          </w:rPr>
          <w:t>7.10</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报告期末本基金投资的股指期货交易情况说明</w:t>
        </w:r>
        <w:r w:rsidR="002B44BB">
          <w:rPr>
            <w:noProof/>
            <w:webHidden/>
          </w:rPr>
          <w:tab/>
        </w:r>
        <w:r w:rsidR="002B44BB">
          <w:rPr>
            <w:noProof/>
            <w:webHidden/>
          </w:rPr>
          <w:fldChar w:fldCharType="begin"/>
        </w:r>
        <w:r w:rsidR="002B44BB">
          <w:rPr>
            <w:noProof/>
            <w:webHidden/>
          </w:rPr>
          <w:instrText xml:space="preserve"> PAGEREF _Toc48654580 \h </w:instrText>
        </w:r>
        <w:r w:rsidR="002B44BB">
          <w:rPr>
            <w:noProof/>
            <w:webHidden/>
          </w:rPr>
        </w:r>
        <w:r w:rsidR="002B44BB">
          <w:rPr>
            <w:noProof/>
            <w:webHidden/>
          </w:rPr>
          <w:fldChar w:fldCharType="separate"/>
        </w:r>
        <w:r w:rsidR="002B44BB">
          <w:rPr>
            <w:noProof/>
            <w:webHidden/>
          </w:rPr>
          <w:t>40</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81" w:history="1">
        <w:r w:rsidR="002B44BB" w:rsidRPr="003F01AB">
          <w:rPr>
            <w:rStyle w:val="a8"/>
            <w:rFonts w:ascii="宋体" w:hAnsi="宋体" w:cs="Arial"/>
            <w:noProof/>
          </w:rPr>
          <w:t>7.11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报告期末本基金投资的国债期货交易情况说明</w:t>
        </w:r>
        <w:r w:rsidR="002B44BB">
          <w:rPr>
            <w:noProof/>
            <w:webHidden/>
          </w:rPr>
          <w:tab/>
        </w:r>
        <w:r w:rsidR="002B44BB">
          <w:rPr>
            <w:noProof/>
            <w:webHidden/>
          </w:rPr>
          <w:fldChar w:fldCharType="begin"/>
        </w:r>
        <w:r w:rsidR="002B44BB">
          <w:rPr>
            <w:noProof/>
            <w:webHidden/>
          </w:rPr>
          <w:instrText xml:space="preserve"> PAGEREF _Toc48654581 \h </w:instrText>
        </w:r>
        <w:r w:rsidR="002B44BB">
          <w:rPr>
            <w:noProof/>
            <w:webHidden/>
          </w:rPr>
        </w:r>
        <w:r w:rsidR="002B44BB">
          <w:rPr>
            <w:noProof/>
            <w:webHidden/>
          </w:rPr>
          <w:fldChar w:fldCharType="separate"/>
        </w:r>
        <w:r w:rsidR="002B44BB">
          <w:rPr>
            <w:noProof/>
            <w:webHidden/>
          </w:rPr>
          <w:t>40</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82" w:history="1">
        <w:r w:rsidR="002B44BB" w:rsidRPr="003F01AB">
          <w:rPr>
            <w:rStyle w:val="a8"/>
            <w:rFonts w:ascii="宋体" w:hAnsi="宋体" w:cs="Arial"/>
            <w:noProof/>
          </w:rPr>
          <w:t>7.12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投资组合报告附注</w:t>
        </w:r>
        <w:r w:rsidR="002B44BB">
          <w:rPr>
            <w:noProof/>
            <w:webHidden/>
          </w:rPr>
          <w:tab/>
        </w:r>
        <w:r w:rsidR="002B44BB">
          <w:rPr>
            <w:noProof/>
            <w:webHidden/>
          </w:rPr>
          <w:fldChar w:fldCharType="begin"/>
        </w:r>
        <w:r w:rsidR="002B44BB">
          <w:rPr>
            <w:noProof/>
            <w:webHidden/>
          </w:rPr>
          <w:instrText xml:space="preserve"> PAGEREF _Toc48654582 \h </w:instrText>
        </w:r>
        <w:r w:rsidR="002B44BB">
          <w:rPr>
            <w:noProof/>
            <w:webHidden/>
          </w:rPr>
        </w:r>
        <w:r w:rsidR="002B44BB">
          <w:rPr>
            <w:noProof/>
            <w:webHidden/>
          </w:rPr>
          <w:fldChar w:fldCharType="separate"/>
        </w:r>
        <w:r w:rsidR="002B44BB">
          <w:rPr>
            <w:noProof/>
            <w:webHidden/>
          </w:rPr>
          <w:t>40</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83" w:history="1">
        <w:r w:rsidR="002B44BB" w:rsidRPr="003F01AB">
          <w:rPr>
            <w:rStyle w:val="a8"/>
            <w:noProof/>
          </w:rPr>
          <w:t>§8</w:t>
        </w:r>
        <w:r w:rsidR="002B44BB" w:rsidRPr="003F01AB">
          <w:rPr>
            <w:rStyle w:val="a8"/>
            <w:rFonts w:hint="eastAsia"/>
            <w:noProof/>
          </w:rPr>
          <w:t>基金份额持有人信息</w:t>
        </w:r>
        <w:r w:rsidR="002B44BB">
          <w:rPr>
            <w:noProof/>
            <w:webHidden/>
          </w:rPr>
          <w:tab/>
        </w:r>
        <w:r w:rsidR="002B44BB">
          <w:rPr>
            <w:noProof/>
            <w:webHidden/>
          </w:rPr>
          <w:fldChar w:fldCharType="begin"/>
        </w:r>
        <w:r w:rsidR="002B44BB">
          <w:rPr>
            <w:noProof/>
            <w:webHidden/>
          </w:rPr>
          <w:instrText xml:space="preserve"> PAGEREF _Toc48654583 \h </w:instrText>
        </w:r>
        <w:r w:rsidR="002B44BB">
          <w:rPr>
            <w:noProof/>
            <w:webHidden/>
          </w:rPr>
        </w:r>
        <w:r w:rsidR="002B44BB">
          <w:rPr>
            <w:noProof/>
            <w:webHidden/>
          </w:rPr>
          <w:fldChar w:fldCharType="separate"/>
        </w:r>
        <w:r w:rsidR="002B44BB">
          <w:rPr>
            <w:noProof/>
            <w:webHidden/>
          </w:rPr>
          <w:t>41</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84" w:history="1">
        <w:r w:rsidR="002B44BB" w:rsidRPr="003F01AB">
          <w:rPr>
            <w:rStyle w:val="a8"/>
            <w:rFonts w:ascii="宋体" w:hAnsi="宋体" w:cs="Arial"/>
            <w:noProof/>
          </w:rPr>
          <w:t>8.1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期末基金份额持有人户数及持有人结构</w:t>
        </w:r>
        <w:r w:rsidR="002B44BB">
          <w:rPr>
            <w:noProof/>
            <w:webHidden/>
          </w:rPr>
          <w:tab/>
        </w:r>
        <w:r w:rsidR="002B44BB">
          <w:rPr>
            <w:noProof/>
            <w:webHidden/>
          </w:rPr>
          <w:fldChar w:fldCharType="begin"/>
        </w:r>
        <w:r w:rsidR="002B44BB">
          <w:rPr>
            <w:noProof/>
            <w:webHidden/>
          </w:rPr>
          <w:instrText xml:space="preserve"> PAGEREF _Toc48654584 \h </w:instrText>
        </w:r>
        <w:r w:rsidR="002B44BB">
          <w:rPr>
            <w:noProof/>
            <w:webHidden/>
          </w:rPr>
        </w:r>
        <w:r w:rsidR="002B44BB">
          <w:rPr>
            <w:noProof/>
            <w:webHidden/>
          </w:rPr>
          <w:fldChar w:fldCharType="separate"/>
        </w:r>
        <w:r w:rsidR="002B44BB">
          <w:rPr>
            <w:noProof/>
            <w:webHidden/>
          </w:rPr>
          <w:t>41</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85" w:history="1">
        <w:r w:rsidR="002B44BB" w:rsidRPr="003F01AB">
          <w:rPr>
            <w:rStyle w:val="a8"/>
            <w:rFonts w:ascii="宋体" w:hAnsi="宋体" w:cs="Arial"/>
            <w:noProof/>
          </w:rPr>
          <w:t>8.2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期末基金管理人的从业人员持有本基金的情况</w:t>
        </w:r>
        <w:r w:rsidR="002B44BB">
          <w:rPr>
            <w:noProof/>
            <w:webHidden/>
          </w:rPr>
          <w:tab/>
        </w:r>
        <w:r w:rsidR="002B44BB">
          <w:rPr>
            <w:noProof/>
            <w:webHidden/>
          </w:rPr>
          <w:fldChar w:fldCharType="begin"/>
        </w:r>
        <w:r w:rsidR="002B44BB">
          <w:rPr>
            <w:noProof/>
            <w:webHidden/>
          </w:rPr>
          <w:instrText xml:space="preserve"> PAGEREF _Toc48654585 \h </w:instrText>
        </w:r>
        <w:r w:rsidR="002B44BB">
          <w:rPr>
            <w:noProof/>
            <w:webHidden/>
          </w:rPr>
        </w:r>
        <w:r w:rsidR="002B44BB">
          <w:rPr>
            <w:noProof/>
            <w:webHidden/>
          </w:rPr>
          <w:fldChar w:fldCharType="separate"/>
        </w:r>
        <w:r w:rsidR="002B44BB">
          <w:rPr>
            <w:noProof/>
            <w:webHidden/>
          </w:rPr>
          <w:t>41</w:t>
        </w:r>
        <w:r w:rsidR="002B44BB">
          <w:rPr>
            <w:noProof/>
            <w:webHidden/>
          </w:rPr>
          <w:fldChar w:fldCharType="end"/>
        </w:r>
      </w:hyperlink>
    </w:p>
    <w:p w:rsidR="002B44BB" w:rsidRDefault="00B034F2">
      <w:pPr>
        <w:pStyle w:val="22"/>
        <w:tabs>
          <w:tab w:val="left" w:pos="1050"/>
        </w:tabs>
        <w:rPr>
          <w:rFonts w:asciiTheme="minorHAnsi" w:eastAsiaTheme="minorEastAsia" w:hAnsiTheme="minorHAnsi" w:cstheme="minorBidi"/>
          <w:noProof/>
          <w:kern w:val="2"/>
          <w:szCs w:val="22"/>
        </w:rPr>
      </w:pPr>
      <w:hyperlink w:anchor="_Toc48654586" w:history="1">
        <w:r w:rsidR="002B44BB" w:rsidRPr="003F01AB">
          <w:rPr>
            <w:rStyle w:val="a8"/>
            <w:rFonts w:ascii="宋体" w:hAnsi="宋体" w:cs="Arial"/>
            <w:noProof/>
          </w:rPr>
          <w:t>8.3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期末基金管理人的从业人员持有本开放式基金份额总量区间的情况</w:t>
        </w:r>
        <w:r w:rsidR="002B44BB">
          <w:rPr>
            <w:noProof/>
            <w:webHidden/>
          </w:rPr>
          <w:tab/>
        </w:r>
        <w:r w:rsidR="002B44BB">
          <w:rPr>
            <w:noProof/>
            <w:webHidden/>
          </w:rPr>
          <w:fldChar w:fldCharType="begin"/>
        </w:r>
        <w:r w:rsidR="002B44BB">
          <w:rPr>
            <w:noProof/>
            <w:webHidden/>
          </w:rPr>
          <w:instrText xml:space="preserve"> PAGEREF _Toc48654586 \h </w:instrText>
        </w:r>
        <w:r w:rsidR="002B44BB">
          <w:rPr>
            <w:noProof/>
            <w:webHidden/>
          </w:rPr>
        </w:r>
        <w:r w:rsidR="002B44BB">
          <w:rPr>
            <w:noProof/>
            <w:webHidden/>
          </w:rPr>
          <w:fldChar w:fldCharType="separate"/>
        </w:r>
        <w:r w:rsidR="002B44BB">
          <w:rPr>
            <w:noProof/>
            <w:webHidden/>
          </w:rPr>
          <w:t>42</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87" w:history="1">
        <w:r w:rsidR="002B44BB" w:rsidRPr="003F01AB">
          <w:rPr>
            <w:rStyle w:val="a8"/>
            <w:noProof/>
          </w:rPr>
          <w:t>§9</w:t>
        </w:r>
        <w:r w:rsidR="002B44BB" w:rsidRPr="003F01AB">
          <w:rPr>
            <w:rStyle w:val="a8"/>
            <w:rFonts w:hint="eastAsia"/>
            <w:noProof/>
          </w:rPr>
          <w:t>开放式基金份额变动</w:t>
        </w:r>
        <w:r w:rsidR="002B44BB">
          <w:rPr>
            <w:noProof/>
            <w:webHidden/>
          </w:rPr>
          <w:tab/>
        </w:r>
        <w:r w:rsidR="002B44BB">
          <w:rPr>
            <w:noProof/>
            <w:webHidden/>
          </w:rPr>
          <w:fldChar w:fldCharType="begin"/>
        </w:r>
        <w:r w:rsidR="002B44BB">
          <w:rPr>
            <w:noProof/>
            <w:webHidden/>
          </w:rPr>
          <w:instrText xml:space="preserve"> PAGEREF _Toc48654587 \h </w:instrText>
        </w:r>
        <w:r w:rsidR="002B44BB">
          <w:rPr>
            <w:noProof/>
            <w:webHidden/>
          </w:rPr>
        </w:r>
        <w:r w:rsidR="002B44BB">
          <w:rPr>
            <w:noProof/>
            <w:webHidden/>
          </w:rPr>
          <w:fldChar w:fldCharType="separate"/>
        </w:r>
        <w:r w:rsidR="002B44BB">
          <w:rPr>
            <w:noProof/>
            <w:webHidden/>
          </w:rPr>
          <w:t>42</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88" w:history="1">
        <w:r w:rsidR="002B44BB" w:rsidRPr="003F01AB">
          <w:rPr>
            <w:rStyle w:val="a8"/>
            <w:noProof/>
          </w:rPr>
          <w:t>§10</w:t>
        </w:r>
        <w:r w:rsidR="002B44BB" w:rsidRPr="003F01AB">
          <w:rPr>
            <w:rStyle w:val="a8"/>
            <w:rFonts w:hint="eastAsia"/>
            <w:noProof/>
          </w:rPr>
          <w:t>重大事件揭示</w:t>
        </w:r>
        <w:r w:rsidR="002B44BB">
          <w:rPr>
            <w:noProof/>
            <w:webHidden/>
          </w:rPr>
          <w:tab/>
        </w:r>
        <w:r w:rsidR="002B44BB">
          <w:rPr>
            <w:noProof/>
            <w:webHidden/>
          </w:rPr>
          <w:fldChar w:fldCharType="begin"/>
        </w:r>
        <w:r w:rsidR="002B44BB">
          <w:rPr>
            <w:noProof/>
            <w:webHidden/>
          </w:rPr>
          <w:instrText xml:space="preserve"> PAGEREF _Toc48654588 \h </w:instrText>
        </w:r>
        <w:r w:rsidR="002B44BB">
          <w:rPr>
            <w:noProof/>
            <w:webHidden/>
          </w:rPr>
        </w:r>
        <w:r w:rsidR="002B44BB">
          <w:rPr>
            <w:noProof/>
            <w:webHidden/>
          </w:rPr>
          <w:fldChar w:fldCharType="separate"/>
        </w:r>
        <w:r w:rsidR="002B44BB">
          <w:rPr>
            <w:noProof/>
            <w:webHidden/>
          </w:rPr>
          <w:t>42</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89" w:history="1">
        <w:r w:rsidR="002B44BB" w:rsidRPr="003F01AB">
          <w:rPr>
            <w:rStyle w:val="a8"/>
            <w:noProof/>
          </w:rPr>
          <w:t>10.1</w:t>
        </w:r>
        <w:r w:rsidR="002B44BB">
          <w:rPr>
            <w:rFonts w:asciiTheme="minorHAnsi" w:eastAsiaTheme="minorEastAsia" w:hAnsiTheme="minorHAnsi" w:cstheme="minorBidi"/>
            <w:noProof/>
            <w:kern w:val="2"/>
            <w:szCs w:val="22"/>
          </w:rPr>
          <w:tab/>
        </w:r>
        <w:r w:rsidR="002B44BB" w:rsidRPr="003F01AB">
          <w:rPr>
            <w:rStyle w:val="a8"/>
            <w:rFonts w:hint="eastAsia"/>
            <w:noProof/>
          </w:rPr>
          <w:t>基金份额持有人大会决议</w:t>
        </w:r>
        <w:r w:rsidR="002B44BB">
          <w:rPr>
            <w:noProof/>
            <w:webHidden/>
          </w:rPr>
          <w:tab/>
        </w:r>
        <w:r w:rsidR="002B44BB">
          <w:rPr>
            <w:noProof/>
            <w:webHidden/>
          </w:rPr>
          <w:fldChar w:fldCharType="begin"/>
        </w:r>
        <w:r w:rsidR="002B44BB">
          <w:rPr>
            <w:noProof/>
            <w:webHidden/>
          </w:rPr>
          <w:instrText xml:space="preserve"> PAGEREF _Toc48654589 \h </w:instrText>
        </w:r>
        <w:r w:rsidR="002B44BB">
          <w:rPr>
            <w:noProof/>
            <w:webHidden/>
          </w:rPr>
        </w:r>
        <w:r w:rsidR="002B44BB">
          <w:rPr>
            <w:noProof/>
            <w:webHidden/>
          </w:rPr>
          <w:fldChar w:fldCharType="separate"/>
        </w:r>
        <w:r w:rsidR="002B44BB">
          <w:rPr>
            <w:noProof/>
            <w:webHidden/>
          </w:rPr>
          <w:t>42</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0" w:history="1">
        <w:r w:rsidR="002B44BB" w:rsidRPr="003F01AB">
          <w:rPr>
            <w:rStyle w:val="a8"/>
            <w:noProof/>
          </w:rPr>
          <w:t>10.2</w:t>
        </w:r>
        <w:r w:rsidR="002B44BB">
          <w:rPr>
            <w:rFonts w:asciiTheme="minorHAnsi" w:eastAsiaTheme="minorEastAsia" w:hAnsiTheme="minorHAnsi" w:cstheme="minorBidi"/>
            <w:noProof/>
            <w:kern w:val="2"/>
            <w:szCs w:val="22"/>
          </w:rPr>
          <w:tab/>
        </w:r>
        <w:r w:rsidR="002B44BB" w:rsidRPr="003F01AB">
          <w:rPr>
            <w:rStyle w:val="a8"/>
            <w:rFonts w:hint="eastAsia"/>
            <w:noProof/>
          </w:rPr>
          <w:t>基金管理人、基金托管人的专门基金托管部门的重大人事变动</w:t>
        </w:r>
        <w:r w:rsidR="002B44BB">
          <w:rPr>
            <w:noProof/>
            <w:webHidden/>
          </w:rPr>
          <w:tab/>
        </w:r>
        <w:r w:rsidR="002B44BB">
          <w:rPr>
            <w:noProof/>
            <w:webHidden/>
          </w:rPr>
          <w:fldChar w:fldCharType="begin"/>
        </w:r>
        <w:r w:rsidR="002B44BB">
          <w:rPr>
            <w:noProof/>
            <w:webHidden/>
          </w:rPr>
          <w:instrText xml:space="preserve"> PAGEREF _Toc48654590 \h </w:instrText>
        </w:r>
        <w:r w:rsidR="002B44BB">
          <w:rPr>
            <w:noProof/>
            <w:webHidden/>
          </w:rPr>
        </w:r>
        <w:r w:rsidR="002B44BB">
          <w:rPr>
            <w:noProof/>
            <w:webHidden/>
          </w:rPr>
          <w:fldChar w:fldCharType="separate"/>
        </w:r>
        <w:r w:rsidR="002B44BB">
          <w:rPr>
            <w:noProof/>
            <w:webHidden/>
          </w:rPr>
          <w:t>42</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1" w:history="1">
        <w:r w:rsidR="002B44BB" w:rsidRPr="003F01AB">
          <w:rPr>
            <w:rStyle w:val="a8"/>
            <w:noProof/>
          </w:rPr>
          <w:t>10.3</w:t>
        </w:r>
        <w:r w:rsidR="002B44BB">
          <w:rPr>
            <w:rFonts w:asciiTheme="minorHAnsi" w:eastAsiaTheme="minorEastAsia" w:hAnsiTheme="minorHAnsi" w:cstheme="minorBidi"/>
            <w:noProof/>
            <w:kern w:val="2"/>
            <w:szCs w:val="22"/>
          </w:rPr>
          <w:tab/>
        </w:r>
        <w:r w:rsidR="002B44BB" w:rsidRPr="003F01AB">
          <w:rPr>
            <w:rStyle w:val="a8"/>
            <w:rFonts w:hint="eastAsia"/>
            <w:noProof/>
          </w:rPr>
          <w:t>涉及基金管理人、基金财产、基金托管业务的诉讼</w:t>
        </w:r>
        <w:r w:rsidR="002B44BB">
          <w:rPr>
            <w:noProof/>
            <w:webHidden/>
          </w:rPr>
          <w:tab/>
        </w:r>
        <w:r w:rsidR="002B44BB">
          <w:rPr>
            <w:noProof/>
            <w:webHidden/>
          </w:rPr>
          <w:fldChar w:fldCharType="begin"/>
        </w:r>
        <w:r w:rsidR="002B44BB">
          <w:rPr>
            <w:noProof/>
            <w:webHidden/>
          </w:rPr>
          <w:instrText xml:space="preserve"> PAGEREF _Toc48654591 \h </w:instrText>
        </w:r>
        <w:r w:rsidR="002B44BB">
          <w:rPr>
            <w:noProof/>
            <w:webHidden/>
          </w:rPr>
        </w:r>
        <w:r w:rsidR="002B44BB">
          <w:rPr>
            <w:noProof/>
            <w:webHidden/>
          </w:rPr>
          <w:fldChar w:fldCharType="separate"/>
        </w:r>
        <w:r w:rsidR="002B44BB">
          <w:rPr>
            <w:noProof/>
            <w:webHidden/>
          </w:rPr>
          <w:t>43</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2" w:history="1">
        <w:r w:rsidR="002B44BB" w:rsidRPr="003F01AB">
          <w:rPr>
            <w:rStyle w:val="a8"/>
            <w:noProof/>
          </w:rPr>
          <w:t>10.4</w:t>
        </w:r>
        <w:r w:rsidR="002B44BB">
          <w:rPr>
            <w:rFonts w:asciiTheme="minorHAnsi" w:eastAsiaTheme="minorEastAsia" w:hAnsiTheme="minorHAnsi" w:cstheme="minorBidi"/>
            <w:noProof/>
            <w:kern w:val="2"/>
            <w:szCs w:val="22"/>
          </w:rPr>
          <w:tab/>
        </w:r>
        <w:r w:rsidR="002B44BB" w:rsidRPr="003F01AB">
          <w:rPr>
            <w:rStyle w:val="a8"/>
            <w:rFonts w:hint="eastAsia"/>
            <w:noProof/>
          </w:rPr>
          <w:t>基金投资策略的改变</w:t>
        </w:r>
        <w:r w:rsidR="002B44BB">
          <w:rPr>
            <w:noProof/>
            <w:webHidden/>
          </w:rPr>
          <w:tab/>
        </w:r>
        <w:r w:rsidR="002B44BB">
          <w:rPr>
            <w:noProof/>
            <w:webHidden/>
          </w:rPr>
          <w:fldChar w:fldCharType="begin"/>
        </w:r>
        <w:r w:rsidR="002B44BB">
          <w:rPr>
            <w:noProof/>
            <w:webHidden/>
          </w:rPr>
          <w:instrText xml:space="preserve"> PAGEREF _Toc48654592 \h </w:instrText>
        </w:r>
        <w:r w:rsidR="002B44BB">
          <w:rPr>
            <w:noProof/>
            <w:webHidden/>
          </w:rPr>
        </w:r>
        <w:r w:rsidR="002B44BB">
          <w:rPr>
            <w:noProof/>
            <w:webHidden/>
          </w:rPr>
          <w:fldChar w:fldCharType="separate"/>
        </w:r>
        <w:r w:rsidR="002B44BB">
          <w:rPr>
            <w:noProof/>
            <w:webHidden/>
          </w:rPr>
          <w:t>43</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93" w:history="1">
        <w:r w:rsidR="002B44BB" w:rsidRPr="003F01AB">
          <w:rPr>
            <w:rStyle w:val="a8"/>
            <w:noProof/>
          </w:rPr>
          <w:t>10.5</w:t>
        </w:r>
        <w:r w:rsidR="002B44BB" w:rsidRPr="003F01AB">
          <w:rPr>
            <w:rStyle w:val="a8"/>
            <w:rFonts w:hint="eastAsia"/>
            <w:noProof/>
          </w:rPr>
          <w:t>为基金进行审计的会计师事务所情况</w:t>
        </w:r>
        <w:r w:rsidR="002B44BB">
          <w:rPr>
            <w:noProof/>
            <w:webHidden/>
          </w:rPr>
          <w:tab/>
        </w:r>
        <w:r w:rsidR="002B44BB">
          <w:rPr>
            <w:noProof/>
            <w:webHidden/>
          </w:rPr>
          <w:fldChar w:fldCharType="begin"/>
        </w:r>
        <w:r w:rsidR="002B44BB">
          <w:rPr>
            <w:noProof/>
            <w:webHidden/>
          </w:rPr>
          <w:instrText xml:space="preserve"> PAGEREF _Toc48654593 \h </w:instrText>
        </w:r>
        <w:r w:rsidR="002B44BB">
          <w:rPr>
            <w:noProof/>
            <w:webHidden/>
          </w:rPr>
        </w:r>
        <w:r w:rsidR="002B44BB">
          <w:rPr>
            <w:noProof/>
            <w:webHidden/>
          </w:rPr>
          <w:fldChar w:fldCharType="separate"/>
        </w:r>
        <w:r w:rsidR="002B44BB">
          <w:rPr>
            <w:noProof/>
            <w:webHidden/>
          </w:rPr>
          <w:t>43</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4" w:history="1">
        <w:r w:rsidR="002B44BB" w:rsidRPr="003F01AB">
          <w:rPr>
            <w:rStyle w:val="a8"/>
            <w:noProof/>
          </w:rPr>
          <w:t>10.6</w:t>
        </w:r>
        <w:r w:rsidR="002B44BB">
          <w:rPr>
            <w:rFonts w:asciiTheme="minorHAnsi" w:eastAsiaTheme="minorEastAsia" w:hAnsiTheme="minorHAnsi" w:cstheme="minorBidi"/>
            <w:noProof/>
            <w:kern w:val="2"/>
            <w:szCs w:val="22"/>
          </w:rPr>
          <w:tab/>
        </w:r>
        <w:r w:rsidR="002B44BB" w:rsidRPr="003F01AB">
          <w:rPr>
            <w:rStyle w:val="a8"/>
            <w:rFonts w:hint="eastAsia"/>
            <w:noProof/>
          </w:rPr>
          <w:t>管理人、托管人及其高级管理人员受稽查或处罚等情况</w:t>
        </w:r>
        <w:r w:rsidR="002B44BB">
          <w:rPr>
            <w:noProof/>
            <w:webHidden/>
          </w:rPr>
          <w:tab/>
        </w:r>
        <w:r w:rsidR="002B44BB">
          <w:rPr>
            <w:noProof/>
            <w:webHidden/>
          </w:rPr>
          <w:fldChar w:fldCharType="begin"/>
        </w:r>
        <w:r w:rsidR="002B44BB">
          <w:rPr>
            <w:noProof/>
            <w:webHidden/>
          </w:rPr>
          <w:instrText xml:space="preserve"> PAGEREF _Toc48654594 \h </w:instrText>
        </w:r>
        <w:r w:rsidR="002B44BB">
          <w:rPr>
            <w:noProof/>
            <w:webHidden/>
          </w:rPr>
        </w:r>
        <w:r w:rsidR="002B44BB">
          <w:rPr>
            <w:noProof/>
            <w:webHidden/>
          </w:rPr>
          <w:fldChar w:fldCharType="separate"/>
        </w:r>
        <w:r w:rsidR="002B44BB">
          <w:rPr>
            <w:noProof/>
            <w:webHidden/>
          </w:rPr>
          <w:t>43</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5" w:history="1">
        <w:r w:rsidR="002B44BB" w:rsidRPr="003F01AB">
          <w:rPr>
            <w:rStyle w:val="a8"/>
            <w:noProof/>
          </w:rPr>
          <w:t>10.7</w:t>
        </w:r>
        <w:r w:rsidR="002B44BB">
          <w:rPr>
            <w:rFonts w:asciiTheme="minorHAnsi" w:eastAsiaTheme="minorEastAsia" w:hAnsiTheme="minorHAnsi" w:cstheme="minorBidi"/>
            <w:noProof/>
            <w:kern w:val="2"/>
            <w:szCs w:val="22"/>
          </w:rPr>
          <w:tab/>
        </w:r>
        <w:r w:rsidR="002B44BB" w:rsidRPr="003F01AB">
          <w:rPr>
            <w:rStyle w:val="a8"/>
            <w:rFonts w:hint="eastAsia"/>
            <w:noProof/>
          </w:rPr>
          <w:t>基金租用证券公司交易单元的有关情况</w:t>
        </w:r>
        <w:r w:rsidR="002B44BB">
          <w:rPr>
            <w:noProof/>
            <w:webHidden/>
          </w:rPr>
          <w:tab/>
        </w:r>
        <w:r w:rsidR="002B44BB">
          <w:rPr>
            <w:noProof/>
            <w:webHidden/>
          </w:rPr>
          <w:fldChar w:fldCharType="begin"/>
        </w:r>
        <w:r w:rsidR="002B44BB">
          <w:rPr>
            <w:noProof/>
            <w:webHidden/>
          </w:rPr>
          <w:instrText xml:space="preserve"> PAGEREF _Toc48654595 \h </w:instrText>
        </w:r>
        <w:r w:rsidR="002B44BB">
          <w:rPr>
            <w:noProof/>
            <w:webHidden/>
          </w:rPr>
        </w:r>
        <w:r w:rsidR="002B44BB">
          <w:rPr>
            <w:noProof/>
            <w:webHidden/>
          </w:rPr>
          <w:fldChar w:fldCharType="separate"/>
        </w:r>
        <w:r w:rsidR="002B44BB">
          <w:rPr>
            <w:noProof/>
            <w:webHidden/>
          </w:rPr>
          <w:t>43</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596" w:history="1">
        <w:r w:rsidR="002B44BB" w:rsidRPr="003F01AB">
          <w:rPr>
            <w:rStyle w:val="a8"/>
            <w:rFonts w:ascii="宋体" w:hAnsi="宋体" w:cs="Arial"/>
            <w:noProof/>
          </w:rPr>
          <w:t>10.8</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其他重大事件</w:t>
        </w:r>
        <w:r w:rsidR="002B44BB">
          <w:rPr>
            <w:noProof/>
            <w:webHidden/>
          </w:rPr>
          <w:tab/>
        </w:r>
        <w:r w:rsidR="002B44BB">
          <w:rPr>
            <w:noProof/>
            <w:webHidden/>
          </w:rPr>
          <w:fldChar w:fldCharType="begin"/>
        </w:r>
        <w:r w:rsidR="002B44BB">
          <w:rPr>
            <w:noProof/>
            <w:webHidden/>
          </w:rPr>
          <w:instrText xml:space="preserve"> PAGEREF _Toc48654596 \h </w:instrText>
        </w:r>
        <w:r w:rsidR="002B44BB">
          <w:rPr>
            <w:noProof/>
            <w:webHidden/>
          </w:rPr>
        </w:r>
        <w:r w:rsidR="002B44BB">
          <w:rPr>
            <w:noProof/>
            <w:webHidden/>
          </w:rPr>
          <w:fldChar w:fldCharType="separate"/>
        </w:r>
        <w:r w:rsidR="002B44BB">
          <w:rPr>
            <w:noProof/>
            <w:webHidden/>
          </w:rPr>
          <w:t>45</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97" w:history="1">
        <w:r w:rsidR="002B44BB" w:rsidRPr="003F01AB">
          <w:rPr>
            <w:rStyle w:val="a8"/>
            <w:noProof/>
          </w:rPr>
          <w:t>§11</w:t>
        </w:r>
        <w:r w:rsidR="002B44BB" w:rsidRPr="003F01AB">
          <w:rPr>
            <w:rStyle w:val="a8"/>
            <w:rFonts w:hint="eastAsia"/>
            <w:noProof/>
          </w:rPr>
          <w:t>影响投资者决策的其他重要信息</w:t>
        </w:r>
        <w:r w:rsidR="002B44BB">
          <w:rPr>
            <w:noProof/>
            <w:webHidden/>
          </w:rPr>
          <w:tab/>
        </w:r>
        <w:r w:rsidR="002B44BB">
          <w:rPr>
            <w:noProof/>
            <w:webHidden/>
          </w:rPr>
          <w:fldChar w:fldCharType="begin"/>
        </w:r>
        <w:r w:rsidR="002B44BB">
          <w:rPr>
            <w:noProof/>
            <w:webHidden/>
          </w:rPr>
          <w:instrText xml:space="preserve"> PAGEREF _Toc48654597 \h </w:instrText>
        </w:r>
        <w:r w:rsidR="002B44BB">
          <w:rPr>
            <w:noProof/>
            <w:webHidden/>
          </w:rPr>
        </w:r>
        <w:r w:rsidR="002B44BB">
          <w:rPr>
            <w:noProof/>
            <w:webHidden/>
          </w:rPr>
          <w:fldChar w:fldCharType="separate"/>
        </w:r>
        <w:r w:rsidR="002B44BB">
          <w:rPr>
            <w:noProof/>
            <w:webHidden/>
          </w:rPr>
          <w:t>46</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98" w:history="1">
        <w:r w:rsidR="002B44BB" w:rsidRPr="003F01AB">
          <w:rPr>
            <w:rStyle w:val="a8"/>
            <w:rFonts w:ascii="宋体" w:hAnsi="宋体" w:cs="Arial"/>
            <w:noProof/>
          </w:rPr>
          <w:t xml:space="preserve">11.1 </w:t>
        </w:r>
        <w:r w:rsidR="002B44BB" w:rsidRPr="003F01AB">
          <w:rPr>
            <w:rStyle w:val="a8"/>
            <w:rFonts w:ascii="宋体" w:hAnsi="宋体" w:cs="Arial" w:hint="eastAsia"/>
            <w:noProof/>
          </w:rPr>
          <w:t>报告期内单一投资者持有基金份额比例达到或超过</w:t>
        </w:r>
        <w:r w:rsidR="002B44BB" w:rsidRPr="003F01AB">
          <w:rPr>
            <w:rStyle w:val="a8"/>
            <w:rFonts w:ascii="宋体" w:hAnsi="宋体" w:cs="Arial"/>
            <w:noProof/>
          </w:rPr>
          <w:t>20%</w:t>
        </w:r>
        <w:r w:rsidR="002B44BB" w:rsidRPr="003F01AB">
          <w:rPr>
            <w:rStyle w:val="a8"/>
            <w:rFonts w:ascii="宋体" w:hAnsi="宋体" w:cs="Arial" w:hint="eastAsia"/>
            <w:noProof/>
          </w:rPr>
          <w:t>的情况</w:t>
        </w:r>
        <w:r w:rsidR="002B44BB">
          <w:rPr>
            <w:noProof/>
            <w:webHidden/>
          </w:rPr>
          <w:tab/>
        </w:r>
        <w:r w:rsidR="002B44BB">
          <w:rPr>
            <w:noProof/>
            <w:webHidden/>
          </w:rPr>
          <w:fldChar w:fldCharType="begin"/>
        </w:r>
        <w:r w:rsidR="002B44BB">
          <w:rPr>
            <w:noProof/>
            <w:webHidden/>
          </w:rPr>
          <w:instrText xml:space="preserve"> PAGEREF _Toc48654598 \h </w:instrText>
        </w:r>
        <w:r w:rsidR="002B44BB">
          <w:rPr>
            <w:noProof/>
            <w:webHidden/>
          </w:rPr>
        </w:r>
        <w:r w:rsidR="002B44BB">
          <w:rPr>
            <w:noProof/>
            <w:webHidden/>
          </w:rPr>
          <w:fldChar w:fldCharType="separate"/>
        </w:r>
        <w:r w:rsidR="002B44BB">
          <w:rPr>
            <w:noProof/>
            <w:webHidden/>
          </w:rPr>
          <w:t>46</w:t>
        </w:r>
        <w:r w:rsidR="002B44BB">
          <w:rPr>
            <w:noProof/>
            <w:webHidden/>
          </w:rPr>
          <w:fldChar w:fldCharType="end"/>
        </w:r>
      </w:hyperlink>
    </w:p>
    <w:p w:rsidR="002B44BB" w:rsidRDefault="00B034F2">
      <w:pPr>
        <w:pStyle w:val="22"/>
        <w:rPr>
          <w:rFonts w:asciiTheme="minorHAnsi" w:eastAsiaTheme="minorEastAsia" w:hAnsiTheme="minorHAnsi" w:cstheme="minorBidi"/>
          <w:noProof/>
          <w:kern w:val="2"/>
          <w:szCs w:val="22"/>
        </w:rPr>
      </w:pPr>
      <w:hyperlink w:anchor="_Toc48654599" w:history="1">
        <w:r w:rsidR="002B44BB" w:rsidRPr="003F01AB">
          <w:rPr>
            <w:rStyle w:val="a8"/>
            <w:noProof/>
          </w:rPr>
          <w:t>§12</w:t>
        </w:r>
        <w:r w:rsidR="002B44BB" w:rsidRPr="003F01AB">
          <w:rPr>
            <w:rStyle w:val="a8"/>
            <w:rFonts w:hint="eastAsia"/>
            <w:noProof/>
          </w:rPr>
          <w:t>备查文件目录</w:t>
        </w:r>
        <w:r w:rsidR="002B44BB">
          <w:rPr>
            <w:noProof/>
            <w:webHidden/>
          </w:rPr>
          <w:tab/>
        </w:r>
        <w:r w:rsidR="002B44BB">
          <w:rPr>
            <w:noProof/>
            <w:webHidden/>
          </w:rPr>
          <w:fldChar w:fldCharType="begin"/>
        </w:r>
        <w:r w:rsidR="002B44BB">
          <w:rPr>
            <w:noProof/>
            <w:webHidden/>
          </w:rPr>
          <w:instrText xml:space="preserve"> PAGEREF _Toc48654599 \h </w:instrText>
        </w:r>
        <w:r w:rsidR="002B44BB">
          <w:rPr>
            <w:noProof/>
            <w:webHidden/>
          </w:rPr>
        </w:r>
        <w:r w:rsidR="002B44BB">
          <w:rPr>
            <w:noProof/>
            <w:webHidden/>
          </w:rPr>
          <w:fldChar w:fldCharType="separate"/>
        </w:r>
        <w:r w:rsidR="002B44BB">
          <w:rPr>
            <w:noProof/>
            <w:webHidden/>
          </w:rPr>
          <w:t>47</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600" w:history="1">
        <w:r w:rsidR="002B44BB" w:rsidRPr="003F01AB">
          <w:rPr>
            <w:rStyle w:val="a8"/>
            <w:rFonts w:ascii="宋体" w:hAnsi="宋体" w:cs="Arial"/>
            <w:noProof/>
          </w:rPr>
          <w:t>12.1</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备查文件目录</w:t>
        </w:r>
        <w:r w:rsidR="002B44BB">
          <w:rPr>
            <w:noProof/>
            <w:webHidden/>
          </w:rPr>
          <w:tab/>
        </w:r>
        <w:r w:rsidR="002B44BB">
          <w:rPr>
            <w:noProof/>
            <w:webHidden/>
          </w:rPr>
          <w:fldChar w:fldCharType="begin"/>
        </w:r>
        <w:r w:rsidR="002B44BB">
          <w:rPr>
            <w:noProof/>
            <w:webHidden/>
          </w:rPr>
          <w:instrText xml:space="preserve"> PAGEREF _Toc48654600 \h </w:instrText>
        </w:r>
        <w:r w:rsidR="002B44BB">
          <w:rPr>
            <w:noProof/>
            <w:webHidden/>
          </w:rPr>
        </w:r>
        <w:r w:rsidR="002B44BB">
          <w:rPr>
            <w:noProof/>
            <w:webHidden/>
          </w:rPr>
          <w:fldChar w:fldCharType="separate"/>
        </w:r>
        <w:r w:rsidR="002B44BB">
          <w:rPr>
            <w:noProof/>
            <w:webHidden/>
          </w:rPr>
          <w:t>47</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601" w:history="1">
        <w:r w:rsidR="002B44BB" w:rsidRPr="003F01AB">
          <w:rPr>
            <w:rStyle w:val="a8"/>
            <w:rFonts w:ascii="宋体" w:hAnsi="宋体" w:cs="Arial"/>
            <w:noProof/>
          </w:rPr>
          <w:t>12.2</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存放地点</w:t>
        </w:r>
        <w:r w:rsidR="002B44BB">
          <w:rPr>
            <w:noProof/>
            <w:webHidden/>
          </w:rPr>
          <w:tab/>
        </w:r>
        <w:r w:rsidR="002B44BB">
          <w:rPr>
            <w:noProof/>
            <w:webHidden/>
          </w:rPr>
          <w:fldChar w:fldCharType="begin"/>
        </w:r>
        <w:r w:rsidR="002B44BB">
          <w:rPr>
            <w:noProof/>
            <w:webHidden/>
          </w:rPr>
          <w:instrText xml:space="preserve"> PAGEREF _Toc48654601 \h </w:instrText>
        </w:r>
        <w:r w:rsidR="002B44BB">
          <w:rPr>
            <w:noProof/>
            <w:webHidden/>
          </w:rPr>
        </w:r>
        <w:r w:rsidR="002B44BB">
          <w:rPr>
            <w:noProof/>
            <w:webHidden/>
          </w:rPr>
          <w:fldChar w:fldCharType="separate"/>
        </w:r>
        <w:r w:rsidR="002B44BB">
          <w:rPr>
            <w:noProof/>
            <w:webHidden/>
          </w:rPr>
          <w:t>47</w:t>
        </w:r>
        <w:r w:rsidR="002B44BB">
          <w:rPr>
            <w:noProof/>
            <w:webHidden/>
          </w:rPr>
          <w:fldChar w:fldCharType="end"/>
        </w:r>
      </w:hyperlink>
    </w:p>
    <w:p w:rsidR="002B44BB" w:rsidRDefault="00B034F2">
      <w:pPr>
        <w:pStyle w:val="22"/>
        <w:tabs>
          <w:tab w:val="left" w:pos="1260"/>
        </w:tabs>
        <w:rPr>
          <w:rFonts w:asciiTheme="minorHAnsi" w:eastAsiaTheme="minorEastAsia" w:hAnsiTheme="minorHAnsi" w:cstheme="minorBidi"/>
          <w:noProof/>
          <w:kern w:val="2"/>
          <w:szCs w:val="22"/>
        </w:rPr>
      </w:pPr>
      <w:hyperlink w:anchor="_Toc48654602" w:history="1">
        <w:r w:rsidR="002B44BB" w:rsidRPr="003F01AB">
          <w:rPr>
            <w:rStyle w:val="a8"/>
            <w:rFonts w:ascii="宋体" w:hAnsi="宋体" w:cs="Arial"/>
            <w:noProof/>
          </w:rPr>
          <w:t>12.3</w:t>
        </w:r>
        <w:r w:rsidR="002B44BB">
          <w:rPr>
            <w:rFonts w:asciiTheme="minorHAnsi" w:eastAsiaTheme="minorEastAsia" w:hAnsiTheme="minorHAnsi" w:cstheme="minorBidi"/>
            <w:noProof/>
            <w:kern w:val="2"/>
            <w:szCs w:val="22"/>
          </w:rPr>
          <w:tab/>
        </w:r>
        <w:r w:rsidR="002B44BB" w:rsidRPr="003F01AB">
          <w:rPr>
            <w:rStyle w:val="a8"/>
            <w:rFonts w:ascii="宋体" w:hAnsi="宋体" w:cs="Arial" w:hint="eastAsia"/>
            <w:noProof/>
          </w:rPr>
          <w:t>查阅方式</w:t>
        </w:r>
        <w:r w:rsidR="002B44BB">
          <w:rPr>
            <w:noProof/>
            <w:webHidden/>
          </w:rPr>
          <w:tab/>
        </w:r>
        <w:r w:rsidR="002B44BB">
          <w:rPr>
            <w:noProof/>
            <w:webHidden/>
          </w:rPr>
          <w:fldChar w:fldCharType="begin"/>
        </w:r>
        <w:r w:rsidR="002B44BB">
          <w:rPr>
            <w:noProof/>
            <w:webHidden/>
          </w:rPr>
          <w:instrText xml:space="preserve"> PAGEREF _Toc48654602 \h </w:instrText>
        </w:r>
        <w:r w:rsidR="002B44BB">
          <w:rPr>
            <w:noProof/>
            <w:webHidden/>
          </w:rPr>
        </w:r>
        <w:r w:rsidR="002B44BB">
          <w:rPr>
            <w:noProof/>
            <w:webHidden/>
          </w:rPr>
          <w:fldChar w:fldCharType="separate"/>
        </w:r>
        <w:r w:rsidR="002B44BB">
          <w:rPr>
            <w:noProof/>
            <w:webHidden/>
          </w:rPr>
          <w:t>47</w:t>
        </w:r>
        <w:r w:rsidR="002B44BB">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544"/>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545"/>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易方达恒久添利</w:t>
            </w:r>
            <w:r w:rsidRPr="001A7E24">
              <w:rPr>
                <w:szCs w:val="21"/>
              </w:rPr>
              <w:t>1</w:t>
            </w:r>
            <w:r w:rsidRPr="001A7E24">
              <w:rPr>
                <w:szCs w:val="21"/>
              </w:rPr>
              <w:t>年定期开放债券型证券投资基金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易方达恒久</w:t>
            </w:r>
            <w:r w:rsidRPr="001A7E24">
              <w:rPr>
                <w:szCs w:val="21"/>
              </w:rPr>
              <w:t>1</w:t>
            </w:r>
            <w:r w:rsidRPr="001A7E24">
              <w:rPr>
                <w:szCs w:val="21"/>
              </w:rPr>
              <w:t>年定期债券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000265</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2014</w:t>
            </w:r>
            <w:r w:rsidRPr="001A7E24">
              <w:rPr>
                <w:szCs w:val="21"/>
              </w:rPr>
              <w:t>年</w:t>
            </w:r>
            <w:r w:rsidRPr="001A7E24">
              <w:rPr>
                <w:szCs w:val="21"/>
              </w:rPr>
              <w:t>9</w:t>
            </w:r>
            <w:r w:rsidRPr="001A7E24">
              <w:rPr>
                <w:szCs w:val="21"/>
              </w:rPr>
              <w:t>月</w:t>
            </w:r>
            <w:r w:rsidRPr="001A7E24">
              <w:rPr>
                <w:szCs w:val="21"/>
              </w:rPr>
              <w:t>10</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中国工商银行股份有限公司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1,096,851,701.36</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易方达恒久</w:t>
            </w:r>
            <w:r w:rsidRPr="001A7E24">
              <w:rPr>
                <w:szCs w:val="21"/>
              </w:rPr>
              <w:t>1</w:t>
            </w:r>
            <w:r w:rsidRPr="001A7E24">
              <w:rPr>
                <w:szCs w:val="21"/>
              </w:rPr>
              <w:t>年定期债券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易方达恒久</w:t>
            </w:r>
            <w:r w:rsidRPr="001A7E24">
              <w:rPr>
                <w:szCs w:val="21"/>
              </w:rPr>
              <w:t>1</w:t>
            </w:r>
            <w:r w:rsidRPr="001A7E24">
              <w:rPr>
                <w:szCs w:val="21"/>
              </w:rPr>
              <w:t>年定期债券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000265</w:t>
            </w:r>
          </w:p>
        </w:tc>
        <w:tc>
          <w:tcPr>
            <w:tcW w:w="2553" w:type="dxa"/>
            <w:vAlign w:val="bottom"/>
          </w:tcPr>
          <w:p w:rsidR="00F23D65" w:rsidRPr="001A7E24" w:rsidRDefault="00F23D65" w:rsidP="002F1475">
            <w:pPr>
              <w:jc w:val="right"/>
              <w:rPr>
                <w:szCs w:val="21"/>
              </w:rPr>
            </w:pPr>
            <w:r w:rsidRPr="001A7E24">
              <w:rPr>
                <w:szCs w:val="21"/>
              </w:rPr>
              <w:t>000266</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1,071,498,588.88</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25,353,112.48</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546"/>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本基金在追求基金资产长期稳健增值的基础上，力争为基金份额持有人创造超越业绩比较基准的稳定收益。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40140E" w:rsidRDefault="009477A8">
            <w:pPr>
              <w:rPr>
                <w:szCs w:val="21"/>
              </w:rPr>
            </w:pPr>
            <w:r>
              <w:rPr>
                <w:szCs w:val="21"/>
              </w:rPr>
              <w:t>在封闭期，本基金将密切关注宏观经济走势，深入分析货币和财政政策、市场资金供求情况、证券市场走势等，综合考量各类资产的市场容量、流动性和风险特征等因素，在银行存款、债券和现金等资产类别之间进行动态配置，确定最优配置比例。根据对宏观经济变量和政策的分析，预测收益率曲线的变动趋势，综合考虑组合流动性决定投资品种；并据此调整投资组合的平均久期，提高组合的总投资收益。同时根据对资金面的综合分析，判断利差套利空间，通过杠杆操作放大组合收益。</w:t>
            </w:r>
          </w:p>
          <w:p w:rsidR="001548F9" w:rsidRPr="00340B86" w:rsidRDefault="001548F9">
            <w:pPr>
              <w:rPr>
                <w:szCs w:val="21"/>
              </w:rPr>
            </w:pPr>
            <w:r w:rsidRPr="00340B86">
              <w:rPr>
                <w:szCs w:val="21"/>
              </w:rPr>
              <w:t>在开放期，本基金为保持较高的组合流动性，方便投资人投资，在遵守有关投资限制与投资比例的前提下，主要投资于高流动性投资品种，减小基金净值波动。</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中国人民银行公布的一年期银行定期整存整取存款利率（税后）</w:t>
            </w:r>
            <w:r w:rsidRPr="00340B86">
              <w:rPr>
                <w:szCs w:val="21"/>
              </w:rPr>
              <w:t>+1.2%</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547"/>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中国工商银行股份有限公司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lastRenderedPageBreak/>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郭明</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010-66105799</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custody@icbc.com.cn</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010-66105798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100140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陈四清</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548"/>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证券时报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549"/>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550"/>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551"/>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易方达恒久</w:t>
            </w:r>
            <w:r w:rsidRPr="001A7E24">
              <w:rPr>
                <w:szCs w:val="21"/>
              </w:rPr>
              <w:t>1</w:t>
            </w:r>
            <w:r w:rsidRPr="001A7E24">
              <w:rPr>
                <w:szCs w:val="21"/>
              </w:rPr>
              <w:t>年定期债券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易方达恒久</w:t>
            </w:r>
            <w:r w:rsidRPr="001A7E24">
              <w:rPr>
                <w:szCs w:val="21"/>
              </w:rPr>
              <w:t>1</w:t>
            </w:r>
            <w:r w:rsidRPr="001A7E24">
              <w:rPr>
                <w:szCs w:val="21"/>
              </w:rPr>
              <w:t>年定期债券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27,142,377.03</w:t>
            </w:r>
          </w:p>
        </w:tc>
        <w:tc>
          <w:tcPr>
            <w:tcW w:w="2558" w:type="dxa"/>
            <w:vAlign w:val="bottom"/>
          </w:tcPr>
          <w:p w:rsidR="001548F9" w:rsidRPr="001A7E24" w:rsidRDefault="001548F9">
            <w:pPr>
              <w:jc w:val="right"/>
              <w:rPr>
                <w:szCs w:val="21"/>
              </w:rPr>
            </w:pPr>
            <w:r w:rsidRPr="001A7E24">
              <w:rPr>
                <w:szCs w:val="21"/>
              </w:rPr>
              <w:t>589,620.36</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27,314,829.63</w:t>
            </w:r>
          </w:p>
        </w:tc>
        <w:tc>
          <w:tcPr>
            <w:tcW w:w="2558" w:type="dxa"/>
            <w:vAlign w:val="bottom"/>
          </w:tcPr>
          <w:p w:rsidR="001548F9" w:rsidRPr="001A7E24" w:rsidRDefault="001548F9">
            <w:pPr>
              <w:jc w:val="right"/>
              <w:rPr>
                <w:szCs w:val="21"/>
              </w:rPr>
            </w:pPr>
            <w:r w:rsidRPr="001A7E24">
              <w:rPr>
                <w:szCs w:val="21"/>
              </w:rPr>
              <w:t>593,390.34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0.0255</w:t>
            </w:r>
          </w:p>
        </w:tc>
        <w:tc>
          <w:tcPr>
            <w:tcW w:w="2558" w:type="dxa"/>
            <w:vAlign w:val="bottom"/>
          </w:tcPr>
          <w:p w:rsidR="001548F9" w:rsidRPr="001A7E24" w:rsidRDefault="001548F9">
            <w:pPr>
              <w:jc w:val="right"/>
              <w:rPr>
                <w:szCs w:val="21"/>
              </w:rPr>
            </w:pPr>
            <w:r w:rsidRPr="001A7E24">
              <w:rPr>
                <w:szCs w:val="21"/>
              </w:rPr>
              <w:t>0.0234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本期加权平均净值利润率</w:t>
            </w:r>
          </w:p>
        </w:tc>
        <w:tc>
          <w:tcPr>
            <w:tcW w:w="2410" w:type="dxa"/>
            <w:vAlign w:val="bottom"/>
          </w:tcPr>
          <w:p w:rsidR="001548F9" w:rsidRPr="001A7E24" w:rsidRDefault="001548F9">
            <w:pPr>
              <w:jc w:val="right"/>
              <w:rPr>
                <w:szCs w:val="21"/>
              </w:rPr>
            </w:pPr>
            <w:r w:rsidRPr="001A7E24">
              <w:rPr>
                <w:szCs w:val="21"/>
              </w:rPr>
              <w:t>2.49%</w:t>
            </w:r>
          </w:p>
        </w:tc>
        <w:tc>
          <w:tcPr>
            <w:tcW w:w="2558" w:type="dxa"/>
            <w:vAlign w:val="bottom"/>
          </w:tcPr>
          <w:p w:rsidR="001548F9" w:rsidRPr="001A7E24" w:rsidRDefault="001548F9">
            <w:pPr>
              <w:jc w:val="right"/>
              <w:rPr>
                <w:szCs w:val="21"/>
              </w:rPr>
            </w:pPr>
            <w:r w:rsidRPr="001A7E24">
              <w:rPr>
                <w:szCs w:val="21"/>
              </w:rPr>
              <w:t>2.29%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2.54%</w:t>
            </w:r>
          </w:p>
        </w:tc>
        <w:tc>
          <w:tcPr>
            <w:tcW w:w="2558" w:type="dxa"/>
            <w:vAlign w:val="bottom"/>
          </w:tcPr>
          <w:p w:rsidR="001548F9" w:rsidRPr="001A7E24" w:rsidRDefault="001548F9">
            <w:pPr>
              <w:jc w:val="right"/>
              <w:rPr>
                <w:szCs w:val="21"/>
              </w:rPr>
            </w:pPr>
            <w:r w:rsidRPr="001A7E24">
              <w:rPr>
                <w:szCs w:val="21"/>
              </w:rPr>
              <w:t>2.24%</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易方达恒久</w:t>
            </w:r>
            <w:r w:rsidRPr="001A7E24">
              <w:rPr>
                <w:color w:val="000000"/>
                <w:szCs w:val="21"/>
              </w:rPr>
              <w:t>1</w:t>
            </w:r>
            <w:r w:rsidRPr="001A7E24">
              <w:rPr>
                <w:color w:val="000000"/>
                <w:szCs w:val="21"/>
              </w:rPr>
              <w:t>年定期债券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易方达恒久</w:t>
            </w:r>
            <w:r w:rsidRPr="001A7E24">
              <w:rPr>
                <w:color w:val="000000"/>
                <w:szCs w:val="21"/>
              </w:rPr>
              <w:t>1</w:t>
            </w:r>
            <w:r w:rsidRPr="001A7E24">
              <w:rPr>
                <w:color w:val="000000"/>
                <w:szCs w:val="21"/>
              </w:rPr>
              <w:t>年定期债券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4,053,899.32</w:t>
            </w:r>
          </w:p>
        </w:tc>
        <w:tc>
          <w:tcPr>
            <w:tcW w:w="2558" w:type="dxa"/>
            <w:vAlign w:val="bottom"/>
          </w:tcPr>
          <w:p w:rsidR="001548F9" w:rsidRPr="001A7E24" w:rsidRDefault="001548F9">
            <w:pPr>
              <w:jc w:val="right"/>
              <w:rPr>
                <w:szCs w:val="21"/>
              </w:rPr>
            </w:pPr>
            <w:r w:rsidRPr="001A7E24">
              <w:rPr>
                <w:szCs w:val="21"/>
              </w:rPr>
              <w:t>61,531.91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0.0038</w:t>
            </w:r>
          </w:p>
        </w:tc>
        <w:tc>
          <w:tcPr>
            <w:tcW w:w="2558" w:type="dxa"/>
            <w:vAlign w:val="bottom"/>
          </w:tcPr>
          <w:p w:rsidR="001548F9" w:rsidRPr="001A7E24" w:rsidRDefault="001548F9">
            <w:pPr>
              <w:jc w:val="right"/>
              <w:rPr>
                <w:szCs w:val="21"/>
              </w:rPr>
            </w:pPr>
            <w:r w:rsidRPr="001A7E24">
              <w:rPr>
                <w:szCs w:val="21"/>
              </w:rPr>
              <w:t>0.0024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1,075,552,488.20</w:t>
            </w:r>
          </w:p>
        </w:tc>
        <w:tc>
          <w:tcPr>
            <w:tcW w:w="2558" w:type="dxa"/>
            <w:vAlign w:val="bottom"/>
          </w:tcPr>
          <w:p w:rsidR="001548F9" w:rsidRPr="001A7E24" w:rsidRDefault="001548F9">
            <w:pPr>
              <w:jc w:val="right"/>
              <w:rPr>
                <w:szCs w:val="21"/>
              </w:rPr>
            </w:pPr>
            <w:r w:rsidRPr="001A7E24">
              <w:rPr>
                <w:szCs w:val="21"/>
              </w:rPr>
              <w:t>25,414,644.39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1.004</w:t>
            </w:r>
          </w:p>
        </w:tc>
        <w:tc>
          <w:tcPr>
            <w:tcW w:w="2558" w:type="dxa"/>
            <w:vAlign w:val="bottom"/>
          </w:tcPr>
          <w:p w:rsidR="001548F9" w:rsidRPr="001A7E24" w:rsidRDefault="001548F9">
            <w:pPr>
              <w:jc w:val="right"/>
              <w:rPr>
                <w:szCs w:val="21"/>
              </w:rPr>
            </w:pPr>
            <w:r w:rsidRPr="001A7E24">
              <w:rPr>
                <w:szCs w:val="21"/>
              </w:rPr>
              <w:t>1.002</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易方达恒久</w:t>
            </w:r>
            <w:r w:rsidRPr="001A7E24">
              <w:rPr>
                <w:szCs w:val="21"/>
              </w:rPr>
              <w:t>1</w:t>
            </w:r>
            <w:r w:rsidRPr="001A7E24">
              <w:rPr>
                <w:szCs w:val="21"/>
              </w:rPr>
              <w:t>年定期债券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易方达恒久</w:t>
            </w:r>
            <w:r w:rsidRPr="001A7E24">
              <w:rPr>
                <w:szCs w:val="21"/>
              </w:rPr>
              <w:t>1</w:t>
            </w:r>
            <w:r w:rsidRPr="001A7E24">
              <w:rPr>
                <w:szCs w:val="21"/>
              </w:rPr>
              <w:t>年定期债券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32.29%</w:t>
            </w:r>
          </w:p>
        </w:tc>
        <w:tc>
          <w:tcPr>
            <w:tcW w:w="2558" w:type="dxa"/>
            <w:vAlign w:val="center"/>
          </w:tcPr>
          <w:p w:rsidR="001548F9" w:rsidRPr="001A7E24" w:rsidRDefault="001548F9">
            <w:pPr>
              <w:jc w:val="right"/>
              <w:rPr>
                <w:szCs w:val="21"/>
              </w:rPr>
            </w:pPr>
            <w:r w:rsidRPr="001A7E24">
              <w:rPr>
                <w:szCs w:val="21"/>
              </w:rPr>
              <w:t>29.16%</w:t>
            </w:r>
          </w:p>
        </w:tc>
      </w:tr>
    </w:tbl>
    <w:p w:rsidR="0040140E" w:rsidRDefault="009477A8">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40140E" w:rsidRDefault="009477A8">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552"/>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易方达恒久1年定期债券A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40140E">
        <w:tc>
          <w:tcPr>
            <w:tcW w:w="1620" w:type="dxa"/>
            <w:vAlign w:val="center"/>
          </w:tcPr>
          <w:p w:rsidR="0040140E" w:rsidRDefault="009477A8">
            <w:pPr>
              <w:jc w:val="left"/>
            </w:pPr>
            <w:r>
              <w:rPr>
                <w:color w:val="000000"/>
                <w:szCs w:val="21"/>
              </w:rPr>
              <w:t>过去一个月</w:t>
            </w:r>
          </w:p>
        </w:tc>
        <w:tc>
          <w:tcPr>
            <w:tcW w:w="1350" w:type="dxa"/>
            <w:vAlign w:val="center"/>
          </w:tcPr>
          <w:p w:rsidR="0040140E" w:rsidRDefault="009477A8">
            <w:pPr>
              <w:jc w:val="center"/>
            </w:pPr>
            <w:r>
              <w:rPr>
                <w:color w:val="000000"/>
                <w:szCs w:val="21"/>
              </w:rPr>
              <w:t>-0.59%</w:t>
            </w:r>
          </w:p>
        </w:tc>
        <w:tc>
          <w:tcPr>
            <w:tcW w:w="1350" w:type="dxa"/>
            <w:vAlign w:val="center"/>
          </w:tcPr>
          <w:p w:rsidR="0040140E" w:rsidRDefault="009477A8">
            <w:pPr>
              <w:jc w:val="center"/>
            </w:pPr>
            <w:r>
              <w:rPr>
                <w:color w:val="000000"/>
                <w:szCs w:val="21"/>
              </w:rPr>
              <w:t>0.12%</w:t>
            </w:r>
          </w:p>
        </w:tc>
        <w:tc>
          <w:tcPr>
            <w:tcW w:w="1350" w:type="dxa"/>
            <w:vAlign w:val="center"/>
          </w:tcPr>
          <w:p w:rsidR="0040140E" w:rsidRDefault="009477A8">
            <w:pPr>
              <w:jc w:val="center"/>
            </w:pPr>
            <w:r>
              <w:rPr>
                <w:color w:val="000000"/>
                <w:szCs w:val="21"/>
              </w:rPr>
              <w:t>0.24%</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-0.83%</w:t>
            </w:r>
          </w:p>
        </w:tc>
        <w:tc>
          <w:tcPr>
            <w:tcW w:w="1350" w:type="dxa"/>
            <w:vAlign w:val="center"/>
          </w:tcPr>
          <w:p w:rsidR="0040140E" w:rsidRDefault="009477A8">
            <w:pPr>
              <w:jc w:val="center"/>
            </w:pPr>
            <w:r>
              <w:rPr>
                <w:color w:val="000000"/>
                <w:szCs w:val="21"/>
              </w:rPr>
              <w:t>0.11%</w:t>
            </w:r>
          </w:p>
        </w:tc>
      </w:tr>
      <w:tr w:rsidR="0040140E">
        <w:tc>
          <w:tcPr>
            <w:tcW w:w="1620" w:type="dxa"/>
            <w:vAlign w:val="center"/>
          </w:tcPr>
          <w:p w:rsidR="0040140E" w:rsidRDefault="009477A8">
            <w:pPr>
              <w:jc w:val="left"/>
            </w:pPr>
            <w:r>
              <w:rPr>
                <w:color w:val="000000"/>
                <w:szCs w:val="21"/>
              </w:rPr>
              <w:t>过去三个月</w:t>
            </w:r>
          </w:p>
        </w:tc>
        <w:tc>
          <w:tcPr>
            <w:tcW w:w="1350" w:type="dxa"/>
            <w:vAlign w:val="center"/>
          </w:tcPr>
          <w:p w:rsidR="0040140E" w:rsidRDefault="009477A8">
            <w:pPr>
              <w:jc w:val="center"/>
            </w:pPr>
            <w:r>
              <w:rPr>
                <w:color w:val="000000"/>
                <w:szCs w:val="21"/>
              </w:rPr>
              <w:t>0.27%</w:t>
            </w:r>
          </w:p>
        </w:tc>
        <w:tc>
          <w:tcPr>
            <w:tcW w:w="1350" w:type="dxa"/>
            <w:vAlign w:val="center"/>
          </w:tcPr>
          <w:p w:rsidR="0040140E" w:rsidRDefault="009477A8">
            <w:pPr>
              <w:jc w:val="center"/>
            </w:pPr>
            <w:r>
              <w:rPr>
                <w:color w:val="000000"/>
                <w:szCs w:val="21"/>
              </w:rPr>
              <w:t>0.09%</w:t>
            </w:r>
          </w:p>
        </w:tc>
        <w:tc>
          <w:tcPr>
            <w:tcW w:w="1350" w:type="dxa"/>
            <w:vAlign w:val="center"/>
          </w:tcPr>
          <w:p w:rsidR="0040140E" w:rsidRDefault="009477A8">
            <w:pPr>
              <w:jc w:val="center"/>
            </w:pPr>
            <w:r>
              <w:rPr>
                <w:color w:val="000000"/>
                <w:szCs w:val="21"/>
              </w:rPr>
              <w:t>0.68%</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-0.41%</w:t>
            </w:r>
          </w:p>
        </w:tc>
        <w:tc>
          <w:tcPr>
            <w:tcW w:w="1350" w:type="dxa"/>
            <w:vAlign w:val="center"/>
          </w:tcPr>
          <w:p w:rsidR="0040140E" w:rsidRDefault="009477A8">
            <w:pPr>
              <w:jc w:val="center"/>
            </w:pPr>
            <w:r>
              <w:rPr>
                <w:color w:val="000000"/>
                <w:szCs w:val="21"/>
              </w:rPr>
              <w:t>0.08%</w:t>
            </w:r>
          </w:p>
        </w:tc>
      </w:tr>
      <w:tr w:rsidR="0040140E">
        <w:tc>
          <w:tcPr>
            <w:tcW w:w="1620" w:type="dxa"/>
            <w:vAlign w:val="center"/>
          </w:tcPr>
          <w:p w:rsidR="0040140E" w:rsidRDefault="009477A8">
            <w:pPr>
              <w:jc w:val="left"/>
            </w:pPr>
            <w:r>
              <w:rPr>
                <w:color w:val="000000"/>
                <w:szCs w:val="21"/>
              </w:rPr>
              <w:t>过去六个月</w:t>
            </w:r>
          </w:p>
        </w:tc>
        <w:tc>
          <w:tcPr>
            <w:tcW w:w="1350" w:type="dxa"/>
            <w:vAlign w:val="center"/>
          </w:tcPr>
          <w:p w:rsidR="0040140E" w:rsidRDefault="009477A8">
            <w:pPr>
              <w:jc w:val="center"/>
            </w:pPr>
            <w:r>
              <w:rPr>
                <w:color w:val="000000"/>
                <w:szCs w:val="21"/>
              </w:rPr>
              <w:t>2.54%</w:t>
            </w:r>
          </w:p>
        </w:tc>
        <w:tc>
          <w:tcPr>
            <w:tcW w:w="1350" w:type="dxa"/>
            <w:vAlign w:val="center"/>
          </w:tcPr>
          <w:p w:rsidR="0040140E" w:rsidRDefault="009477A8">
            <w:pPr>
              <w:jc w:val="center"/>
            </w:pPr>
            <w:r>
              <w:rPr>
                <w:color w:val="000000"/>
                <w:szCs w:val="21"/>
              </w:rPr>
              <w:t>0.09%</w:t>
            </w:r>
          </w:p>
        </w:tc>
        <w:tc>
          <w:tcPr>
            <w:tcW w:w="1350" w:type="dxa"/>
            <w:vAlign w:val="center"/>
          </w:tcPr>
          <w:p w:rsidR="0040140E" w:rsidRDefault="009477A8">
            <w:pPr>
              <w:jc w:val="center"/>
            </w:pPr>
            <w:r>
              <w:rPr>
                <w:color w:val="000000"/>
                <w:szCs w:val="21"/>
              </w:rPr>
              <w:t>1.37%</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1.17%</w:t>
            </w:r>
          </w:p>
        </w:tc>
        <w:tc>
          <w:tcPr>
            <w:tcW w:w="1350" w:type="dxa"/>
            <w:vAlign w:val="center"/>
          </w:tcPr>
          <w:p w:rsidR="0040140E" w:rsidRDefault="009477A8">
            <w:pPr>
              <w:jc w:val="center"/>
            </w:pPr>
            <w:r>
              <w:rPr>
                <w:color w:val="000000"/>
                <w:szCs w:val="21"/>
              </w:rPr>
              <w:t>0.08%</w:t>
            </w:r>
          </w:p>
        </w:tc>
      </w:tr>
      <w:tr w:rsidR="0040140E">
        <w:tc>
          <w:tcPr>
            <w:tcW w:w="1620" w:type="dxa"/>
            <w:vAlign w:val="center"/>
          </w:tcPr>
          <w:p w:rsidR="0040140E" w:rsidRDefault="009477A8">
            <w:pPr>
              <w:jc w:val="left"/>
            </w:pPr>
            <w:r>
              <w:rPr>
                <w:color w:val="000000"/>
                <w:szCs w:val="21"/>
              </w:rPr>
              <w:t>过去一年</w:t>
            </w:r>
          </w:p>
        </w:tc>
        <w:tc>
          <w:tcPr>
            <w:tcW w:w="1350" w:type="dxa"/>
            <w:vAlign w:val="center"/>
          </w:tcPr>
          <w:p w:rsidR="0040140E" w:rsidRDefault="009477A8">
            <w:pPr>
              <w:jc w:val="center"/>
            </w:pPr>
            <w:r>
              <w:rPr>
                <w:color w:val="000000"/>
                <w:szCs w:val="21"/>
              </w:rPr>
              <w:t>5.23%</w:t>
            </w:r>
          </w:p>
        </w:tc>
        <w:tc>
          <w:tcPr>
            <w:tcW w:w="1350" w:type="dxa"/>
            <w:vAlign w:val="center"/>
          </w:tcPr>
          <w:p w:rsidR="0040140E" w:rsidRDefault="009477A8">
            <w:pPr>
              <w:jc w:val="center"/>
            </w:pPr>
            <w:r>
              <w:rPr>
                <w:color w:val="000000"/>
                <w:szCs w:val="21"/>
              </w:rPr>
              <w:t>0.07%</w:t>
            </w:r>
          </w:p>
        </w:tc>
        <w:tc>
          <w:tcPr>
            <w:tcW w:w="1350" w:type="dxa"/>
            <w:vAlign w:val="center"/>
          </w:tcPr>
          <w:p w:rsidR="0040140E" w:rsidRDefault="009477A8">
            <w:pPr>
              <w:jc w:val="center"/>
            </w:pPr>
            <w:r>
              <w:rPr>
                <w:color w:val="000000"/>
                <w:szCs w:val="21"/>
              </w:rPr>
              <w:t>2.75%</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2.48%</w:t>
            </w:r>
          </w:p>
        </w:tc>
        <w:tc>
          <w:tcPr>
            <w:tcW w:w="1350" w:type="dxa"/>
            <w:vAlign w:val="center"/>
          </w:tcPr>
          <w:p w:rsidR="0040140E" w:rsidRDefault="009477A8">
            <w:pPr>
              <w:jc w:val="center"/>
            </w:pPr>
            <w:r>
              <w:rPr>
                <w:color w:val="000000"/>
                <w:szCs w:val="21"/>
              </w:rPr>
              <w:t>0.06%</w:t>
            </w:r>
          </w:p>
        </w:tc>
      </w:tr>
      <w:tr w:rsidR="0040140E">
        <w:tc>
          <w:tcPr>
            <w:tcW w:w="1620" w:type="dxa"/>
            <w:vAlign w:val="center"/>
          </w:tcPr>
          <w:p w:rsidR="0040140E" w:rsidRDefault="009477A8">
            <w:pPr>
              <w:jc w:val="left"/>
            </w:pPr>
            <w:r>
              <w:rPr>
                <w:color w:val="000000"/>
                <w:szCs w:val="21"/>
              </w:rPr>
              <w:t>过去三年</w:t>
            </w:r>
          </w:p>
        </w:tc>
        <w:tc>
          <w:tcPr>
            <w:tcW w:w="1350" w:type="dxa"/>
            <w:vAlign w:val="center"/>
          </w:tcPr>
          <w:p w:rsidR="0040140E" w:rsidRDefault="009477A8">
            <w:pPr>
              <w:jc w:val="center"/>
            </w:pPr>
            <w:r>
              <w:rPr>
                <w:color w:val="000000"/>
                <w:szCs w:val="21"/>
              </w:rPr>
              <w:t>18.54%</w:t>
            </w:r>
          </w:p>
        </w:tc>
        <w:tc>
          <w:tcPr>
            <w:tcW w:w="1350" w:type="dxa"/>
            <w:vAlign w:val="center"/>
          </w:tcPr>
          <w:p w:rsidR="0040140E" w:rsidRDefault="009477A8">
            <w:pPr>
              <w:jc w:val="center"/>
            </w:pPr>
            <w:r>
              <w:rPr>
                <w:color w:val="000000"/>
                <w:szCs w:val="21"/>
              </w:rPr>
              <w:t>0.06%</w:t>
            </w:r>
          </w:p>
        </w:tc>
        <w:tc>
          <w:tcPr>
            <w:tcW w:w="1350" w:type="dxa"/>
            <w:vAlign w:val="center"/>
          </w:tcPr>
          <w:p w:rsidR="0040140E" w:rsidRDefault="009477A8">
            <w:pPr>
              <w:jc w:val="center"/>
            </w:pPr>
            <w:r>
              <w:rPr>
                <w:color w:val="000000"/>
                <w:szCs w:val="21"/>
              </w:rPr>
              <w:t>8.22%</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10.32%</w:t>
            </w:r>
          </w:p>
        </w:tc>
        <w:tc>
          <w:tcPr>
            <w:tcW w:w="1350" w:type="dxa"/>
            <w:vAlign w:val="center"/>
          </w:tcPr>
          <w:p w:rsidR="0040140E" w:rsidRDefault="009477A8">
            <w:pPr>
              <w:jc w:val="center"/>
            </w:pPr>
            <w:r>
              <w:rPr>
                <w:color w:val="000000"/>
                <w:szCs w:val="21"/>
              </w:rPr>
              <w:t>0.05%</w:t>
            </w:r>
          </w:p>
        </w:tc>
      </w:tr>
      <w:tr w:rsidR="0040140E">
        <w:tc>
          <w:tcPr>
            <w:tcW w:w="1620" w:type="dxa"/>
            <w:vAlign w:val="center"/>
          </w:tcPr>
          <w:p w:rsidR="0040140E" w:rsidRDefault="009477A8">
            <w:pPr>
              <w:jc w:val="left"/>
            </w:pPr>
            <w:r>
              <w:rPr>
                <w:color w:val="000000"/>
                <w:szCs w:val="21"/>
              </w:rPr>
              <w:t>自基金合同生效起至今</w:t>
            </w:r>
          </w:p>
        </w:tc>
        <w:tc>
          <w:tcPr>
            <w:tcW w:w="1350" w:type="dxa"/>
            <w:vAlign w:val="center"/>
          </w:tcPr>
          <w:p w:rsidR="0040140E" w:rsidRDefault="009477A8">
            <w:pPr>
              <w:jc w:val="center"/>
            </w:pPr>
            <w:r>
              <w:rPr>
                <w:color w:val="000000"/>
                <w:szCs w:val="21"/>
              </w:rPr>
              <w:t>32.29%</w:t>
            </w:r>
          </w:p>
        </w:tc>
        <w:tc>
          <w:tcPr>
            <w:tcW w:w="1350" w:type="dxa"/>
            <w:vAlign w:val="center"/>
          </w:tcPr>
          <w:p w:rsidR="0040140E" w:rsidRDefault="009477A8">
            <w:pPr>
              <w:jc w:val="center"/>
            </w:pPr>
            <w:r>
              <w:rPr>
                <w:color w:val="000000"/>
                <w:szCs w:val="21"/>
              </w:rPr>
              <w:t>0.08%</w:t>
            </w:r>
          </w:p>
        </w:tc>
        <w:tc>
          <w:tcPr>
            <w:tcW w:w="1350" w:type="dxa"/>
            <w:vAlign w:val="center"/>
          </w:tcPr>
          <w:p w:rsidR="0040140E" w:rsidRDefault="009477A8">
            <w:pPr>
              <w:jc w:val="center"/>
            </w:pPr>
            <w:r>
              <w:rPr>
                <w:color w:val="000000"/>
                <w:szCs w:val="21"/>
              </w:rPr>
              <w:t>17.71%</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14.58%</w:t>
            </w:r>
          </w:p>
        </w:tc>
        <w:tc>
          <w:tcPr>
            <w:tcW w:w="1350" w:type="dxa"/>
            <w:vAlign w:val="center"/>
          </w:tcPr>
          <w:p w:rsidR="0040140E" w:rsidRDefault="009477A8">
            <w:pPr>
              <w:jc w:val="center"/>
            </w:pPr>
            <w:r>
              <w:rPr>
                <w:color w:val="000000"/>
                <w:szCs w:val="21"/>
              </w:rPr>
              <w:t>0.07%</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易方达恒久</w:t>
      </w:r>
      <w:r w:rsidRPr="003560D2">
        <w:rPr>
          <w:rFonts w:ascii="Times New Roman" w:hAnsi="Times New Roman"/>
          <w:color w:val="auto"/>
          <w:sz w:val="21"/>
          <w:szCs w:val="21"/>
        </w:rPr>
        <w:t>1</w:t>
      </w:r>
      <w:r w:rsidRPr="003560D2">
        <w:rPr>
          <w:rFonts w:ascii="Times New Roman" w:hAnsi="Times New Roman"/>
          <w:color w:val="auto"/>
          <w:sz w:val="21"/>
          <w:szCs w:val="21"/>
        </w:rPr>
        <w:t>年定期债券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40140E">
        <w:tc>
          <w:tcPr>
            <w:tcW w:w="1620" w:type="dxa"/>
            <w:vAlign w:val="center"/>
          </w:tcPr>
          <w:p w:rsidR="0040140E" w:rsidRDefault="009477A8">
            <w:pPr>
              <w:jc w:val="left"/>
            </w:pPr>
            <w:r>
              <w:rPr>
                <w:color w:val="000000"/>
                <w:szCs w:val="21"/>
              </w:rPr>
              <w:t>过去一个月</w:t>
            </w:r>
          </w:p>
        </w:tc>
        <w:tc>
          <w:tcPr>
            <w:tcW w:w="1350" w:type="dxa"/>
            <w:vAlign w:val="center"/>
          </w:tcPr>
          <w:p w:rsidR="0040140E" w:rsidRDefault="009477A8">
            <w:pPr>
              <w:jc w:val="center"/>
            </w:pPr>
            <w:r>
              <w:rPr>
                <w:color w:val="000000"/>
                <w:szCs w:val="21"/>
              </w:rPr>
              <w:t>-0.69%</w:t>
            </w:r>
          </w:p>
        </w:tc>
        <w:tc>
          <w:tcPr>
            <w:tcW w:w="1350" w:type="dxa"/>
            <w:vAlign w:val="center"/>
          </w:tcPr>
          <w:p w:rsidR="0040140E" w:rsidRDefault="009477A8">
            <w:pPr>
              <w:jc w:val="center"/>
            </w:pPr>
            <w:r>
              <w:rPr>
                <w:color w:val="000000"/>
                <w:szCs w:val="21"/>
              </w:rPr>
              <w:t>0.11%</w:t>
            </w:r>
          </w:p>
        </w:tc>
        <w:tc>
          <w:tcPr>
            <w:tcW w:w="1350" w:type="dxa"/>
            <w:vAlign w:val="center"/>
          </w:tcPr>
          <w:p w:rsidR="0040140E" w:rsidRDefault="009477A8">
            <w:pPr>
              <w:jc w:val="center"/>
            </w:pPr>
            <w:r>
              <w:rPr>
                <w:color w:val="000000"/>
                <w:szCs w:val="21"/>
              </w:rPr>
              <w:t>0.24%</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-0.93%</w:t>
            </w:r>
          </w:p>
        </w:tc>
        <w:tc>
          <w:tcPr>
            <w:tcW w:w="1350" w:type="dxa"/>
            <w:vAlign w:val="center"/>
          </w:tcPr>
          <w:p w:rsidR="0040140E" w:rsidRDefault="009477A8">
            <w:pPr>
              <w:jc w:val="center"/>
            </w:pPr>
            <w:r>
              <w:rPr>
                <w:color w:val="000000"/>
                <w:szCs w:val="21"/>
              </w:rPr>
              <w:t>0.10%</w:t>
            </w:r>
          </w:p>
        </w:tc>
      </w:tr>
      <w:tr w:rsidR="0040140E">
        <w:tc>
          <w:tcPr>
            <w:tcW w:w="1620" w:type="dxa"/>
            <w:vAlign w:val="center"/>
          </w:tcPr>
          <w:p w:rsidR="0040140E" w:rsidRDefault="009477A8">
            <w:pPr>
              <w:jc w:val="left"/>
            </w:pPr>
            <w:r>
              <w:rPr>
                <w:color w:val="000000"/>
                <w:szCs w:val="21"/>
              </w:rPr>
              <w:t>过去三个月</w:t>
            </w:r>
          </w:p>
        </w:tc>
        <w:tc>
          <w:tcPr>
            <w:tcW w:w="1350" w:type="dxa"/>
            <w:vAlign w:val="center"/>
          </w:tcPr>
          <w:p w:rsidR="0040140E" w:rsidRDefault="009477A8">
            <w:pPr>
              <w:jc w:val="center"/>
            </w:pPr>
            <w:r>
              <w:rPr>
                <w:color w:val="000000"/>
                <w:szCs w:val="21"/>
              </w:rPr>
              <w:t>0.17%</w:t>
            </w:r>
          </w:p>
        </w:tc>
        <w:tc>
          <w:tcPr>
            <w:tcW w:w="1350" w:type="dxa"/>
            <w:vAlign w:val="center"/>
          </w:tcPr>
          <w:p w:rsidR="0040140E" w:rsidRDefault="009477A8">
            <w:pPr>
              <w:jc w:val="center"/>
            </w:pPr>
            <w:r>
              <w:rPr>
                <w:color w:val="000000"/>
                <w:szCs w:val="21"/>
              </w:rPr>
              <w:t>0.09%</w:t>
            </w:r>
          </w:p>
        </w:tc>
        <w:tc>
          <w:tcPr>
            <w:tcW w:w="1350" w:type="dxa"/>
            <w:vAlign w:val="center"/>
          </w:tcPr>
          <w:p w:rsidR="0040140E" w:rsidRDefault="009477A8">
            <w:pPr>
              <w:jc w:val="center"/>
            </w:pPr>
            <w:r>
              <w:rPr>
                <w:color w:val="000000"/>
                <w:szCs w:val="21"/>
              </w:rPr>
              <w:t>0.68%</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-0.51%</w:t>
            </w:r>
          </w:p>
        </w:tc>
        <w:tc>
          <w:tcPr>
            <w:tcW w:w="1350" w:type="dxa"/>
            <w:vAlign w:val="center"/>
          </w:tcPr>
          <w:p w:rsidR="0040140E" w:rsidRDefault="009477A8">
            <w:pPr>
              <w:jc w:val="center"/>
            </w:pPr>
            <w:r>
              <w:rPr>
                <w:color w:val="000000"/>
                <w:szCs w:val="21"/>
              </w:rPr>
              <w:t>0.08%</w:t>
            </w:r>
          </w:p>
        </w:tc>
      </w:tr>
      <w:tr w:rsidR="0040140E">
        <w:tc>
          <w:tcPr>
            <w:tcW w:w="1620" w:type="dxa"/>
            <w:vAlign w:val="center"/>
          </w:tcPr>
          <w:p w:rsidR="0040140E" w:rsidRDefault="009477A8">
            <w:pPr>
              <w:jc w:val="left"/>
            </w:pPr>
            <w:r>
              <w:rPr>
                <w:color w:val="000000"/>
                <w:szCs w:val="21"/>
              </w:rPr>
              <w:t>过去六个月</w:t>
            </w:r>
          </w:p>
        </w:tc>
        <w:tc>
          <w:tcPr>
            <w:tcW w:w="1350" w:type="dxa"/>
            <w:vAlign w:val="center"/>
          </w:tcPr>
          <w:p w:rsidR="0040140E" w:rsidRDefault="009477A8">
            <w:pPr>
              <w:jc w:val="center"/>
            </w:pPr>
            <w:r>
              <w:rPr>
                <w:color w:val="000000"/>
                <w:szCs w:val="21"/>
              </w:rPr>
              <w:t>2.24%</w:t>
            </w:r>
          </w:p>
        </w:tc>
        <w:tc>
          <w:tcPr>
            <w:tcW w:w="1350" w:type="dxa"/>
            <w:vAlign w:val="center"/>
          </w:tcPr>
          <w:p w:rsidR="0040140E" w:rsidRDefault="009477A8">
            <w:pPr>
              <w:jc w:val="center"/>
            </w:pPr>
            <w:r>
              <w:rPr>
                <w:color w:val="000000"/>
                <w:szCs w:val="21"/>
              </w:rPr>
              <w:t>0.09%</w:t>
            </w:r>
          </w:p>
        </w:tc>
        <w:tc>
          <w:tcPr>
            <w:tcW w:w="1350" w:type="dxa"/>
            <w:vAlign w:val="center"/>
          </w:tcPr>
          <w:p w:rsidR="0040140E" w:rsidRDefault="009477A8">
            <w:pPr>
              <w:jc w:val="center"/>
            </w:pPr>
            <w:r>
              <w:rPr>
                <w:color w:val="000000"/>
                <w:szCs w:val="21"/>
              </w:rPr>
              <w:t>1.37%</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0.87%</w:t>
            </w:r>
          </w:p>
        </w:tc>
        <w:tc>
          <w:tcPr>
            <w:tcW w:w="1350" w:type="dxa"/>
            <w:vAlign w:val="center"/>
          </w:tcPr>
          <w:p w:rsidR="0040140E" w:rsidRDefault="009477A8">
            <w:pPr>
              <w:jc w:val="center"/>
            </w:pPr>
            <w:r>
              <w:rPr>
                <w:color w:val="000000"/>
                <w:szCs w:val="21"/>
              </w:rPr>
              <w:t>0.08%</w:t>
            </w:r>
          </w:p>
        </w:tc>
      </w:tr>
      <w:tr w:rsidR="0040140E">
        <w:tc>
          <w:tcPr>
            <w:tcW w:w="1620" w:type="dxa"/>
            <w:vAlign w:val="center"/>
          </w:tcPr>
          <w:p w:rsidR="0040140E" w:rsidRDefault="009477A8">
            <w:pPr>
              <w:jc w:val="left"/>
            </w:pPr>
            <w:r>
              <w:rPr>
                <w:color w:val="000000"/>
                <w:szCs w:val="21"/>
              </w:rPr>
              <w:lastRenderedPageBreak/>
              <w:t>过去一年</w:t>
            </w:r>
          </w:p>
        </w:tc>
        <w:tc>
          <w:tcPr>
            <w:tcW w:w="1350" w:type="dxa"/>
            <w:vAlign w:val="center"/>
          </w:tcPr>
          <w:p w:rsidR="0040140E" w:rsidRDefault="009477A8">
            <w:pPr>
              <w:jc w:val="center"/>
            </w:pPr>
            <w:r>
              <w:rPr>
                <w:color w:val="000000"/>
                <w:szCs w:val="21"/>
              </w:rPr>
              <w:t>4.74%</w:t>
            </w:r>
          </w:p>
        </w:tc>
        <w:tc>
          <w:tcPr>
            <w:tcW w:w="1350" w:type="dxa"/>
            <w:vAlign w:val="center"/>
          </w:tcPr>
          <w:p w:rsidR="0040140E" w:rsidRDefault="009477A8">
            <w:pPr>
              <w:jc w:val="center"/>
            </w:pPr>
            <w:r>
              <w:rPr>
                <w:color w:val="000000"/>
                <w:szCs w:val="21"/>
              </w:rPr>
              <w:t>0.07%</w:t>
            </w:r>
          </w:p>
        </w:tc>
        <w:tc>
          <w:tcPr>
            <w:tcW w:w="1350" w:type="dxa"/>
            <w:vAlign w:val="center"/>
          </w:tcPr>
          <w:p w:rsidR="0040140E" w:rsidRDefault="009477A8">
            <w:pPr>
              <w:jc w:val="center"/>
            </w:pPr>
            <w:r>
              <w:rPr>
                <w:color w:val="000000"/>
                <w:szCs w:val="21"/>
              </w:rPr>
              <w:t>2.75%</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1.99%</w:t>
            </w:r>
          </w:p>
        </w:tc>
        <w:tc>
          <w:tcPr>
            <w:tcW w:w="1350" w:type="dxa"/>
            <w:vAlign w:val="center"/>
          </w:tcPr>
          <w:p w:rsidR="0040140E" w:rsidRDefault="009477A8">
            <w:pPr>
              <w:jc w:val="center"/>
            </w:pPr>
            <w:r>
              <w:rPr>
                <w:color w:val="000000"/>
                <w:szCs w:val="21"/>
              </w:rPr>
              <w:t>0.06%</w:t>
            </w:r>
          </w:p>
        </w:tc>
      </w:tr>
      <w:tr w:rsidR="0040140E">
        <w:tc>
          <w:tcPr>
            <w:tcW w:w="1620" w:type="dxa"/>
            <w:vAlign w:val="center"/>
          </w:tcPr>
          <w:p w:rsidR="0040140E" w:rsidRDefault="009477A8">
            <w:pPr>
              <w:jc w:val="left"/>
            </w:pPr>
            <w:r>
              <w:rPr>
                <w:color w:val="000000"/>
                <w:szCs w:val="21"/>
              </w:rPr>
              <w:t>过去三年</w:t>
            </w:r>
          </w:p>
        </w:tc>
        <w:tc>
          <w:tcPr>
            <w:tcW w:w="1350" w:type="dxa"/>
            <w:vAlign w:val="center"/>
          </w:tcPr>
          <w:p w:rsidR="0040140E" w:rsidRDefault="009477A8">
            <w:pPr>
              <w:jc w:val="center"/>
            </w:pPr>
            <w:r>
              <w:rPr>
                <w:color w:val="000000"/>
                <w:szCs w:val="21"/>
              </w:rPr>
              <w:t>16.99%</w:t>
            </w:r>
          </w:p>
        </w:tc>
        <w:tc>
          <w:tcPr>
            <w:tcW w:w="1350" w:type="dxa"/>
            <w:vAlign w:val="center"/>
          </w:tcPr>
          <w:p w:rsidR="0040140E" w:rsidRDefault="009477A8">
            <w:pPr>
              <w:jc w:val="center"/>
            </w:pPr>
            <w:r>
              <w:rPr>
                <w:color w:val="000000"/>
                <w:szCs w:val="21"/>
              </w:rPr>
              <w:t>0.06%</w:t>
            </w:r>
          </w:p>
        </w:tc>
        <w:tc>
          <w:tcPr>
            <w:tcW w:w="1350" w:type="dxa"/>
            <w:vAlign w:val="center"/>
          </w:tcPr>
          <w:p w:rsidR="0040140E" w:rsidRDefault="009477A8">
            <w:pPr>
              <w:jc w:val="center"/>
            </w:pPr>
            <w:r>
              <w:rPr>
                <w:color w:val="000000"/>
                <w:szCs w:val="21"/>
              </w:rPr>
              <w:t>8.22%</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8.77%</w:t>
            </w:r>
          </w:p>
        </w:tc>
        <w:tc>
          <w:tcPr>
            <w:tcW w:w="1350" w:type="dxa"/>
            <w:vAlign w:val="center"/>
          </w:tcPr>
          <w:p w:rsidR="0040140E" w:rsidRDefault="009477A8">
            <w:pPr>
              <w:jc w:val="center"/>
            </w:pPr>
            <w:r>
              <w:rPr>
                <w:color w:val="000000"/>
                <w:szCs w:val="21"/>
              </w:rPr>
              <w:t>0.05%</w:t>
            </w:r>
          </w:p>
        </w:tc>
      </w:tr>
      <w:tr w:rsidR="0040140E">
        <w:tc>
          <w:tcPr>
            <w:tcW w:w="1620" w:type="dxa"/>
            <w:vAlign w:val="center"/>
          </w:tcPr>
          <w:p w:rsidR="0040140E" w:rsidRDefault="009477A8">
            <w:pPr>
              <w:jc w:val="left"/>
            </w:pPr>
            <w:r>
              <w:rPr>
                <w:color w:val="000000"/>
                <w:szCs w:val="21"/>
              </w:rPr>
              <w:t>自基金合同生效起至今</w:t>
            </w:r>
          </w:p>
        </w:tc>
        <w:tc>
          <w:tcPr>
            <w:tcW w:w="1350" w:type="dxa"/>
            <w:vAlign w:val="center"/>
          </w:tcPr>
          <w:p w:rsidR="0040140E" w:rsidRDefault="009477A8">
            <w:pPr>
              <w:jc w:val="center"/>
            </w:pPr>
            <w:r>
              <w:rPr>
                <w:color w:val="000000"/>
                <w:szCs w:val="21"/>
              </w:rPr>
              <w:t>29.16%</w:t>
            </w:r>
          </w:p>
        </w:tc>
        <w:tc>
          <w:tcPr>
            <w:tcW w:w="1350" w:type="dxa"/>
            <w:vAlign w:val="center"/>
          </w:tcPr>
          <w:p w:rsidR="0040140E" w:rsidRDefault="009477A8">
            <w:pPr>
              <w:jc w:val="center"/>
            </w:pPr>
            <w:r>
              <w:rPr>
                <w:color w:val="000000"/>
                <w:szCs w:val="21"/>
              </w:rPr>
              <w:t>0.08%</w:t>
            </w:r>
          </w:p>
        </w:tc>
        <w:tc>
          <w:tcPr>
            <w:tcW w:w="1350" w:type="dxa"/>
            <w:vAlign w:val="center"/>
          </w:tcPr>
          <w:p w:rsidR="0040140E" w:rsidRDefault="009477A8">
            <w:pPr>
              <w:jc w:val="center"/>
            </w:pPr>
            <w:r>
              <w:rPr>
                <w:color w:val="000000"/>
                <w:szCs w:val="21"/>
              </w:rPr>
              <w:t>17.71%</w:t>
            </w:r>
          </w:p>
        </w:tc>
        <w:tc>
          <w:tcPr>
            <w:tcW w:w="1350" w:type="dxa"/>
            <w:vAlign w:val="center"/>
          </w:tcPr>
          <w:p w:rsidR="0040140E" w:rsidRDefault="009477A8">
            <w:pPr>
              <w:jc w:val="center"/>
            </w:pPr>
            <w:r>
              <w:rPr>
                <w:color w:val="000000"/>
                <w:szCs w:val="21"/>
              </w:rPr>
              <w:t>0.01%</w:t>
            </w:r>
          </w:p>
        </w:tc>
        <w:tc>
          <w:tcPr>
            <w:tcW w:w="1350" w:type="dxa"/>
            <w:vAlign w:val="center"/>
          </w:tcPr>
          <w:p w:rsidR="0040140E" w:rsidRDefault="009477A8">
            <w:pPr>
              <w:jc w:val="center"/>
            </w:pPr>
            <w:r>
              <w:rPr>
                <w:color w:val="000000"/>
                <w:szCs w:val="21"/>
              </w:rPr>
              <w:t>11.45%</w:t>
            </w:r>
          </w:p>
        </w:tc>
        <w:tc>
          <w:tcPr>
            <w:tcW w:w="1350" w:type="dxa"/>
            <w:vAlign w:val="center"/>
          </w:tcPr>
          <w:p w:rsidR="0040140E" w:rsidRDefault="009477A8">
            <w:pPr>
              <w:jc w:val="center"/>
            </w:pPr>
            <w:r>
              <w:rPr>
                <w:color w:val="000000"/>
                <w:szCs w:val="21"/>
              </w:rPr>
              <w:t>0.07%</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易方达恒久添利1年定期开放债券型证券投资基金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2014</w:t>
      </w:r>
      <w:r w:rsidRPr="00B42AC3">
        <w:rPr>
          <w:szCs w:val="21"/>
        </w:rPr>
        <w:t>年</w:t>
      </w:r>
      <w:r w:rsidRPr="00B42AC3">
        <w:rPr>
          <w:szCs w:val="21"/>
        </w:rPr>
        <w:t>9</w:t>
      </w:r>
      <w:r w:rsidRPr="00B42AC3">
        <w:rPr>
          <w:szCs w:val="21"/>
        </w:rPr>
        <w:t>月</w:t>
      </w:r>
      <w:r w:rsidRPr="00B42AC3">
        <w:rPr>
          <w:szCs w:val="21"/>
        </w:rPr>
        <w:t>10</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易方达恒久</w:t>
      </w:r>
      <w:r w:rsidRPr="00B17B29">
        <w:rPr>
          <w:rFonts w:ascii="Times New Roman" w:hAnsi="Times New Roman"/>
          <w:color w:val="auto"/>
          <w:sz w:val="21"/>
          <w:szCs w:val="21"/>
        </w:rPr>
        <w:t>1</w:t>
      </w:r>
      <w:r w:rsidRPr="00B17B29">
        <w:rPr>
          <w:rFonts w:ascii="Times New Roman" w:hAnsi="Times New Roman"/>
          <w:color w:val="auto"/>
          <w:sz w:val="21"/>
          <w:szCs w:val="21"/>
        </w:rPr>
        <w:t>年定期债券</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易方达恒久</w:t>
      </w:r>
      <w:r w:rsidRPr="00B17B29">
        <w:rPr>
          <w:rFonts w:ascii="Times New Roman" w:hAnsi="Times New Roman"/>
          <w:color w:val="auto"/>
          <w:sz w:val="21"/>
          <w:szCs w:val="21"/>
        </w:rPr>
        <w:t>1</w:t>
      </w:r>
      <w:r w:rsidRPr="00B17B29">
        <w:rPr>
          <w:rFonts w:ascii="Times New Roman" w:hAnsi="Times New Roman"/>
          <w:color w:val="auto"/>
          <w:sz w:val="21"/>
          <w:szCs w:val="21"/>
        </w:rPr>
        <w:t>年定期债券</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lastRenderedPageBreak/>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A</w:t>
      </w:r>
      <w:r w:rsidRPr="00683042">
        <w:rPr>
          <w:kern w:val="0"/>
          <w:szCs w:val="21"/>
        </w:rPr>
        <w:t>类基金份额净值增长率为</w:t>
      </w:r>
      <w:r w:rsidRPr="00683042">
        <w:rPr>
          <w:kern w:val="0"/>
          <w:szCs w:val="21"/>
        </w:rPr>
        <w:t>32.29%</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29.16%</w:t>
      </w:r>
      <w:r w:rsidRPr="00683042">
        <w:rPr>
          <w:kern w:val="0"/>
          <w:szCs w:val="21"/>
        </w:rPr>
        <w:t>，同期业绩比较基准收益率为</w:t>
      </w:r>
      <w:r w:rsidRPr="00683042">
        <w:rPr>
          <w:kern w:val="0"/>
          <w:szCs w:val="21"/>
        </w:rPr>
        <w:t>17.71%</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553"/>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554"/>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40140E">
        <w:tc>
          <w:tcPr>
            <w:tcW w:w="464" w:type="dxa"/>
            <w:vAlign w:val="center"/>
          </w:tcPr>
          <w:p w:rsidR="0040140E" w:rsidRDefault="009477A8">
            <w:pPr>
              <w:jc w:val="center"/>
            </w:pPr>
            <w:r>
              <w:rPr>
                <w:color w:val="000000"/>
                <w:szCs w:val="21"/>
              </w:rPr>
              <w:t>田宇</w:t>
            </w:r>
          </w:p>
        </w:tc>
        <w:tc>
          <w:tcPr>
            <w:tcW w:w="3402" w:type="dxa"/>
            <w:vAlign w:val="center"/>
          </w:tcPr>
          <w:p w:rsidR="0040140E" w:rsidRDefault="009477A8">
            <w:pPr>
              <w:jc w:val="left"/>
            </w:pPr>
            <w:r>
              <w:rPr>
                <w:color w:val="000000"/>
                <w:szCs w:val="21"/>
              </w:rPr>
              <w:t>本基金的基金经理、易方达丰和债券型证券投资基金的基金经理助理</w:t>
            </w:r>
            <w:r>
              <w:rPr>
                <w:color w:val="000000"/>
                <w:szCs w:val="21"/>
              </w:rPr>
              <w:lastRenderedPageBreak/>
              <w:t>（自</w:t>
            </w:r>
            <w:r>
              <w:rPr>
                <w:color w:val="000000"/>
                <w:szCs w:val="21"/>
              </w:rPr>
              <w:t>2017</w:t>
            </w:r>
            <w:r>
              <w:rPr>
                <w:color w:val="000000"/>
                <w:szCs w:val="21"/>
              </w:rPr>
              <w:t>年</w:t>
            </w:r>
            <w:r>
              <w:rPr>
                <w:color w:val="000000"/>
                <w:szCs w:val="21"/>
              </w:rPr>
              <w:t>03</w:t>
            </w:r>
            <w:r>
              <w:rPr>
                <w:color w:val="000000"/>
                <w:szCs w:val="21"/>
              </w:rPr>
              <w:t>月</w:t>
            </w:r>
            <w:r>
              <w:rPr>
                <w:color w:val="000000"/>
                <w:szCs w:val="21"/>
              </w:rPr>
              <w:t>01</w:t>
            </w:r>
            <w:r>
              <w:rPr>
                <w:color w:val="000000"/>
                <w:szCs w:val="21"/>
              </w:rPr>
              <w:t>日至</w:t>
            </w:r>
            <w:r>
              <w:rPr>
                <w:color w:val="000000"/>
                <w:szCs w:val="21"/>
              </w:rPr>
              <w:t>2020</w:t>
            </w:r>
            <w:r>
              <w:rPr>
                <w:color w:val="000000"/>
                <w:szCs w:val="21"/>
              </w:rPr>
              <w:t>年</w:t>
            </w:r>
            <w:r>
              <w:rPr>
                <w:color w:val="000000"/>
                <w:szCs w:val="21"/>
              </w:rPr>
              <w:t>02</w:t>
            </w:r>
            <w:r>
              <w:rPr>
                <w:color w:val="000000"/>
                <w:szCs w:val="21"/>
              </w:rPr>
              <w:t>月</w:t>
            </w:r>
            <w:r>
              <w:rPr>
                <w:color w:val="000000"/>
                <w:szCs w:val="21"/>
              </w:rPr>
              <w:t>28</w:t>
            </w:r>
            <w:r>
              <w:rPr>
                <w:color w:val="000000"/>
                <w:szCs w:val="21"/>
              </w:rPr>
              <w:t>日）</w:t>
            </w:r>
          </w:p>
        </w:tc>
        <w:tc>
          <w:tcPr>
            <w:tcW w:w="709" w:type="dxa"/>
            <w:vAlign w:val="center"/>
          </w:tcPr>
          <w:p w:rsidR="0040140E" w:rsidRDefault="009477A8">
            <w:pPr>
              <w:jc w:val="center"/>
            </w:pPr>
            <w:r>
              <w:rPr>
                <w:color w:val="000000"/>
                <w:szCs w:val="21"/>
              </w:rPr>
              <w:lastRenderedPageBreak/>
              <w:t>2017-10-20</w:t>
            </w:r>
          </w:p>
        </w:tc>
        <w:tc>
          <w:tcPr>
            <w:tcW w:w="708" w:type="dxa"/>
            <w:vAlign w:val="center"/>
          </w:tcPr>
          <w:p w:rsidR="0040140E" w:rsidRDefault="009477A8">
            <w:pPr>
              <w:jc w:val="center"/>
            </w:pPr>
            <w:r>
              <w:rPr>
                <w:color w:val="000000"/>
                <w:szCs w:val="21"/>
              </w:rPr>
              <w:t>2020-02-29</w:t>
            </w:r>
          </w:p>
        </w:tc>
        <w:tc>
          <w:tcPr>
            <w:tcW w:w="709" w:type="dxa"/>
            <w:vAlign w:val="center"/>
          </w:tcPr>
          <w:p w:rsidR="0040140E" w:rsidRDefault="009477A8">
            <w:pPr>
              <w:jc w:val="center"/>
            </w:pPr>
            <w:r>
              <w:rPr>
                <w:color w:val="000000"/>
                <w:szCs w:val="21"/>
              </w:rPr>
              <w:t>9</w:t>
            </w:r>
            <w:r>
              <w:rPr>
                <w:color w:val="000000"/>
                <w:szCs w:val="21"/>
              </w:rPr>
              <w:t>年</w:t>
            </w:r>
          </w:p>
        </w:tc>
        <w:tc>
          <w:tcPr>
            <w:tcW w:w="3548" w:type="dxa"/>
            <w:vAlign w:val="center"/>
          </w:tcPr>
          <w:p w:rsidR="0040140E" w:rsidRDefault="009477A8">
            <w:r>
              <w:rPr>
                <w:color w:val="000000"/>
                <w:szCs w:val="21"/>
              </w:rPr>
              <w:t>硕士研究生，具有基金从业资格。曾任中信证券股份有限公司资金运营</w:t>
            </w:r>
            <w:r>
              <w:rPr>
                <w:color w:val="000000"/>
                <w:szCs w:val="21"/>
              </w:rPr>
              <w:lastRenderedPageBreak/>
              <w:t>部研究员，中信建投证券股份有限公司固定收益部投资经理，易方达基金管理有限公司易方达恒久添利</w:t>
            </w:r>
            <w:r>
              <w:rPr>
                <w:color w:val="000000"/>
                <w:szCs w:val="21"/>
              </w:rPr>
              <w:t>1</w:t>
            </w:r>
            <w:r>
              <w:rPr>
                <w:color w:val="000000"/>
                <w:szCs w:val="21"/>
              </w:rPr>
              <w:t>年定期开放债券型证券投资基金基金经理助理、易方达瑞信灵活配置混合型证券投资基金基金经理助理、易方达安盈回报混合型证券投资基金基金经理助理、易方达安心回报债券型证券投资基金基金经理助理、易方达裕丰回报债券型证券投资基金基金经理助理、易方达纯债债券型证券投资基金基金经理助理、易方达中债</w:t>
            </w:r>
            <w:r>
              <w:rPr>
                <w:color w:val="000000"/>
                <w:szCs w:val="21"/>
              </w:rPr>
              <w:t>3-5</w:t>
            </w:r>
            <w:r>
              <w:rPr>
                <w:color w:val="000000"/>
                <w:szCs w:val="21"/>
              </w:rPr>
              <w:t>年期国债指数证券投资基金基金经理助理、易方达中债</w:t>
            </w:r>
            <w:r>
              <w:rPr>
                <w:color w:val="000000"/>
                <w:szCs w:val="21"/>
              </w:rPr>
              <w:t>7-10</w:t>
            </w:r>
            <w:r>
              <w:rPr>
                <w:color w:val="000000"/>
                <w:szCs w:val="21"/>
              </w:rPr>
              <w:t>年期国开行债券指数证券投资基金基金经理助理、易方达丰华债券型证券投资基金基金经理助理、易方达富财纯债债券型证券投资基金基金经理助理、易方达鑫转添利混合型证券投资基金基金经理助理、易方达鑫转增利混合型证券投资基金基金经理助理、易方达鑫转招利混合型证券投资基金基金经理助理。</w:t>
            </w:r>
          </w:p>
        </w:tc>
      </w:tr>
      <w:tr w:rsidR="0040140E">
        <w:tc>
          <w:tcPr>
            <w:tcW w:w="464" w:type="dxa"/>
            <w:vAlign w:val="center"/>
          </w:tcPr>
          <w:p w:rsidR="0040140E" w:rsidRDefault="009477A8">
            <w:pPr>
              <w:jc w:val="center"/>
            </w:pPr>
            <w:r>
              <w:rPr>
                <w:color w:val="000000"/>
                <w:szCs w:val="21"/>
              </w:rPr>
              <w:lastRenderedPageBreak/>
              <w:t>藏海涛</w:t>
            </w:r>
          </w:p>
        </w:tc>
        <w:tc>
          <w:tcPr>
            <w:tcW w:w="3402" w:type="dxa"/>
            <w:vAlign w:val="center"/>
          </w:tcPr>
          <w:p w:rsidR="0040140E" w:rsidRDefault="009477A8">
            <w:pPr>
              <w:jc w:val="left"/>
            </w:pPr>
            <w:r>
              <w:rPr>
                <w:color w:val="000000"/>
                <w:szCs w:val="21"/>
              </w:rPr>
              <w:t>本基金的基金经理、固定收益投资部总经理助理、投资经理</w:t>
            </w:r>
          </w:p>
        </w:tc>
        <w:tc>
          <w:tcPr>
            <w:tcW w:w="709" w:type="dxa"/>
            <w:vAlign w:val="center"/>
          </w:tcPr>
          <w:p w:rsidR="0040140E" w:rsidRDefault="009477A8">
            <w:pPr>
              <w:jc w:val="center"/>
            </w:pPr>
            <w:r>
              <w:rPr>
                <w:color w:val="000000"/>
                <w:szCs w:val="21"/>
              </w:rPr>
              <w:t>2020-02-29</w:t>
            </w:r>
          </w:p>
        </w:tc>
        <w:tc>
          <w:tcPr>
            <w:tcW w:w="708" w:type="dxa"/>
            <w:vAlign w:val="center"/>
          </w:tcPr>
          <w:p w:rsidR="0040140E" w:rsidRDefault="009477A8">
            <w:pPr>
              <w:jc w:val="center"/>
            </w:pPr>
            <w:r>
              <w:rPr>
                <w:color w:val="000000"/>
                <w:szCs w:val="21"/>
              </w:rPr>
              <w:t>-</w:t>
            </w:r>
          </w:p>
        </w:tc>
        <w:tc>
          <w:tcPr>
            <w:tcW w:w="709" w:type="dxa"/>
            <w:vAlign w:val="center"/>
          </w:tcPr>
          <w:p w:rsidR="0040140E" w:rsidRDefault="009477A8">
            <w:pPr>
              <w:jc w:val="center"/>
            </w:pPr>
            <w:r>
              <w:rPr>
                <w:color w:val="000000"/>
                <w:szCs w:val="21"/>
              </w:rPr>
              <w:t>15</w:t>
            </w:r>
            <w:r>
              <w:rPr>
                <w:color w:val="000000"/>
                <w:szCs w:val="21"/>
              </w:rPr>
              <w:t>年</w:t>
            </w:r>
          </w:p>
        </w:tc>
        <w:tc>
          <w:tcPr>
            <w:tcW w:w="3548" w:type="dxa"/>
            <w:vAlign w:val="center"/>
          </w:tcPr>
          <w:p w:rsidR="0040140E" w:rsidRDefault="009477A8">
            <w:r>
              <w:rPr>
                <w:color w:val="000000"/>
                <w:szCs w:val="21"/>
              </w:rPr>
              <w:t>硕士研究生，具有基金从业资格。曾任中央外汇业务中心投资部投资经理，泰康资产管理有限责任公司固定收益部投资经理，天安财产保险股份有限公司投资部固定收益负责人。</w:t>
            </w:r>
          </w:p>
        </w:tc>
      </w:tr>
      <w:tr w:rsidR="0040140E">
        <w:tc>
          <w:tcPr>
            <w:tcW w:w="464" w:type="dxa"/>
            <w:vAlign w:val="center"/>
          </w:tcPr>
          <w:p w:rsidR="0040140E" w:rsidRDefault="009477A8">
            <w:pPr>
              <w:jc w:val="center"/>
            </w:pPr>
            <w:r>
              <w:rPr>
                <w:color w:val="000000"/>
                <w:szCs w:val="21"/>
              </w:rPr>
              <w:t>张雅君</w:t>
            </w:r>
          </w:p>
        </w:tc>
        <w:tc>
          <w:tcPr>
            <w:tcW w:w="3402" w:type="dxa"/>
            <w:vAlign w:val="center"/>
          </w:tcPr>
          <w:p w:rsidR="0040140E" w:rsidRDefault="009477A8">
            <w:pPr>
              <w:jc w:val="left"/>
            </w:pPr>
            <w:r>
              <w:rPr>
                <w:color w:val="000000"/>
                <w:szCs w:val="21"/>
              </w:rPr>
              <w:t>本基金的基金经理助理、易方达增强回报债券型证券投资基金的基金经理（自</w:t>
            </w:r>
            <w:r>
              <w:rPr>
                <w:color w:val="000000"/>
                <w:szCs w:val="21"/>
              </w:rPr>
              <w:t>2014</w:t>
            </w:r>
            <w:r>
              <w:rPr>
                <w:color w:val="000000"/>
                <w:szCs w:val="21"/>
              </w:rPr>
              <w:t>年</w:t>
            </w:r>
            <w:r>
              <w:rPr>
                <w:color w:val="000000"/>
                <w:szCs w:val="21"/>
              </w:rPr>
              <w:t>07</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26</w:t>
            </w:r>
            <w:r>
              <w:rPr>
                <w:color w:val="000000"/>
                <w:szCs w:val="21"/>
              </w:rPr>
              <w:t>日）、易方达纯债债券型证券投资基金的基金经理、易方达中债</w:t>
            </w:r>
            <w:r>
              <w:rPr>
                <w:color w:val="000000"/>
                <w:szCs w:val="21"/>
              </w:rPr>
              <w:t>3-5</w:t>
            </w:r>
            <w:r>
              <w:rPr>
                <w:color w:val="000000"/>
                <w:szCs w:val="21"/>
              </w:rPr>
              <w:t>年期国债指数证券投资基金的基金经理（自</w:t>
            </w:r>
            <w:r>
              <w:rPr>
                <w:color w:val="000000"/>
                <w:szCs w:val="21"/>
              </w:rPr>
              <w:t>2015</w:t>
            </w:r>
            <w:r>
              <w:rPr>
                <w:color w:val="000000"/>
                <w:szCs w:val="21"/>
              </w:rPr>
              <w:t>年</w:t>
            </w:r>
            <w:r>
              <w:rPr>
                <w:color w:val="000000"/>
                <w:szCs w:val="21"/>
              </w:rPr>
              <w:t>07</w:t>
            </w:r>
            <w:r>
              <w:rPr>
                <w:color w:val="000000"/>
                <w:szCs w:val="21"/>
              </w:rPr>
              <w:t>月</w:t>
            </w:r>
            <w:r>
              <w:rPr>
                <w:color w:val="000000"/>
                <w:szCs w:val="21"/>
              </w:rPr>
              <w:t>08</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日）、易方达中债</w:t>
            </w:r>
            <w:r>
              <w:rPr>
                <w:color w:val="000000"/>
                <w:szCs w:val="21"/>
              </w:rPr>
              <w:t>7-10</w:t>
            </w:r>
            <w:r>
              <w:rPr>
                <w:color w:val="000000"/>
                <w:szCs w:val="21"/>
              </w:rPr>
              <w:t>年期国开行债券指数证券投资基金的基金经理（自</w:t>
            </w:r>
            <w:r>
              <w:rPr>
                <w:color w:val="000000"/>
                <w:szCs w:val="21"/>
              </w:rPr>
              <w:t>2016</w:t>
            </w:r>
            <w:r>
              <w:rPr>
                <w:color w:val="000000"/>
                <w:szCs w:val="21"/>
              </w:rPr>
              <w:t>年</w:t>
            </w:r>
            <w:r>
              <w:rPr>
                <w:color w:val="000000"/>
                <w:szCs w:val="21"/>
              </w:rPr>
              <w:t>09</w:t>
            </w:r>
            <w:r>
              <w:rPr>
                <w:color w:val="000000"/>
                <w:szCs w:val="21"/>
              </w:rPr>
              <w:t>月</w:t>
            </w:r>
            <w:r>
              <w:rPr>
                <w:color w:val="000000"/>
                <w:szCs w:val="21"/>
              </w:rPr>
              <w:t>27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日）、易方达裕丰回报债券型证券投资基金的基金经理、易方达富财纯债债券型证券投资基金的基金经理、易方达恒兴</w:t>
            </w:r>
            <w:r>
              <w:rPr>
                <w:color w:val="000000"/>
                <w:szCs w:val="21"/>
              </w:rPr>
              <w:t>3</w:t>
            </w:r>
            <w:r>
              <w:rPr>
                <w:color w:val="000000"/>
                <w:szCs w:val="21"/>
              </w:rPr>
              <w:t>个月定期开放债券型发起式证券投资基金的基金经理、易方达裕富债券型证券投资基金的基</w:t>
            </w:r>
            <w:r>
              <w:rPr>
                <w:color w:val="000000"/>
                <w:szCs w:val="21"/>
              </w:rPr>
              <w:lastRenderedPageBreak/>
              <w:t>金经理、易方达招易一年持有期混合型证券投资基金的基金经理、易方达安心回报债券型证券投资基金的基金经理助理、易方达鑫转增利混合型证券投资基金的基金经理助理、易方达鑫转添利混合型证券投资基金的基金经理助理、易方达鑫转招利混合型证券投资基金的基金经理助理、易方达丰华债券型证券投资基金的基金经理助理、易方达丰和债券型证券投资基金的基金经理助理、易方达安盈回报混合型证券投资基金的基金经理助理、混合资产投资部总经理助理</w:t>
            </w:r>
          </w:p>
        </w:tc>
        <w:tc>
          <w:tcPr>
            <w:tcW w:w="709" w:type="dxa"/>
            <w:vAlign w:val="center"/>
          </w:tcPr>
          <w:p w:rsidR="0040140E" w:rsidRDefault="009477A8">
            <w:pPr>
              <w:jc w:val="center"/>
            </w:pPr>
            <w:r>
              <w:rPr>
                <w:color w:val="000000"/>
                <w:szCs w:val="21"/>
              </w:rPr>
              <w:lastRenderedPageBreak/>
              <w:t>2019-04-04</w:t>
            </w:r>
          </w:p>
        </w:tc>
        <w:tc>
          <w:tcPr>
            <w:tcW w:w="708" w:type="dxa"/>
            <w:vAlign w:val="center"/>
          </w:tcPr>
          <w:p w:rsidR="0040140E" w:rsidRDefault="009477A8">
            <w:pPr>
              <w:jc w:val="center"/>
            </w:pPr>
            <w:r>
              <w:rPr>
                <w:color w:val="000000"/>
                <w:szCs w:val="21"/>
              </w:rPr>
              <w:t>2020-05-22</w:t>
            </w:r>
          </w:p>
        </w:tc>
        <w:tc>
          <w:tcPr>
            <w:tcW w:w="709" w:type="dxa"/>
            <w:vAlign w:val="center"/>
          </w:tcPr>
          <w:p w:rsidR="0040140E" w:rsidRDefault="009477A8">
            <w:pPr>
              <w:jc w:val="center"/>
            </w:pPr>
            <w:r>
              <w:rPr>
                <w:color w:val="000000"/>
                <w:szCs w:val="21"/>
              </w:rPr>
              <w:t>11</w:t>
            </w:r>
            <w:r>
              <w:rPr>
                <w:color w:val="000000"/>
                <w:szCs w:val="21"/>
              </w:rPr>
              <w:t>年</w:t>
            </w:r>
          </w:p>
        </w:tc>
        <w:tc>
          <w:tcPr>
            <w:tcW w:w="3548" w:type="dxa"/>
            <w:vAlign w:val="center"/>
          </w:tcPr>
          <w:p w:rsidR="0040140E" w:rsidRDefault="009477A8">
            <w:r>
              <w:rPr>
                <w:color w:val="000000"/>
                <w:szCs w:val="21"/>
              </w:rPr>
              <w:t>硕士研究生，具有基金从业资格。曾任海通证券股份有限公司项目经理，工银瑞信基金管理有限公司债券交易员，易方达基金管理有限公司债券交易员、固定收益研究员、固定收益基金投资部总经理助理、易方达裕祥回报债券型证券投资基金基金经理、易方达恒益定期开放债券型发起式证券投资基金基金经理、易方达富惠纯债债券型证券投资基金基金经理、易方达裕祥回报债券型证券投资基金基金经理助理、易方达裕丰回报债券型证券投资基金基金经理助理、易方达投资级信用债债券型证券投资基金基金经理助理、易方达新收益灵活配置混合型证券投资基金基金经理助理、易方达保本一号混合型证券</w:t>
            </w:r>
            <w:r>
              <w:rPr>
                <w:color w:val="000000"/>
                <w:szCs w:val="21"/>
              </w:rPr>
              <w:lastRenderedPageBreak/>
              <w:t>投资基金基金经理助理、易方达裕惠回报定期开放式混合型发起式证券投资基金基金经理助理、易方达安心回馈混合型证券投资基金基金经理助理、易方达裕如灵活配置混合型证券投资基金基金经理助理。</w:t>
            </w:r>
          </w:p>
        </w:tc>
      </w:tr>
      <w:tr w:rsidR="0040140E">
        <w:tc>
          <w:tcPr>
            <w:tcW w:w="464" w:type="dxa"/>
            <w:vAlign w:val="center"/>
          </w:tcPr>
          <w:p w:rsidR="0040140E" w:rsidRDefault="009477A8">
            <w:pPr>
              <w:jc w:val="center"/>
            </w:pPr>
            <w:r>
              <w:rPr>
                <w:color w:val="000000"/>
                <w:szCs w:val="21"/>
              </w:rPr>
              <w:lastRenderedPageBreak/>
              <w:t>周琼</w:t>
            </w:r>
          </w:p>
        </w:tc>
        <w:tc>
          <w:tcPr>
            <w:tcW w:w="3402" w:type="dxa"/>
            <w:vAlign w:val="center"/>
          </w:tcPr>
          <w:p w:rsidR="0040140E" w:rsidRDefault="009477A8">
            <w:pPr>
              <w:jc w:val="left"/>
            </w:pPr>
            <w:r>
              <w:rPr>
                <w:color w:val="000000"/>
                <w:szCs w:val="21"/>
              </w:rPr>
              <w:t>本基金的基金经理助理、易方达丰惠混合型证券投资基金的基金经理助理、易方达鑫转招利混合型证券投资基金的基金经理助理、易方达鑫转添利混合型证券投资基金的基金经理助理、易方达裕景添利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w:t>
            </w:r>
            <w:r>
              <w:rPr>
                <w:color w:val="000000"/>
                <w:szCs w:val="21"/>
              </w:rPr>
              <w:lastRenderedPageBreak/>
              <w:t>报债券型证券投资基金的基金经理助理、易方达新利灵活配置混合型证券投资基金的基金经理助理、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40140E" w:rsidRDefault="009477A8">
            <w:pPr>
              <w:jc w:val="center"/>
            </w:pPr>
            <w:r>
              <w:rPr>
                <w:color w:val="000000"/>
                <w:szCs w:val="21"/>
              </w:rPr>
              <w:lastRenderedPageBreak/>
              <w:t>2019-10-11</w:t>
            </w:r>
          </w:p>
        </w:tc>
        <w:tc>
          <w:tcPr>
            <w:tcW w:w="708" w:type="dxa"/>
            <w:vAlign w:val="center"/>
          </w:tcPr>
          <w:p w:rsidR="0040140E" w:rsidRDefault="009477A8">
            <w:pPr>
              <w:jc w:val="center"/>
            </w:pPr>
            <w:r>
              <w:rPr>
                <w:color w:val="000000"/>
                <w:szCs w:val="21"/>
              </w:rPr>
              <w:t>2020-05-22</w:t>
            </w:r>
          </w:p>
        </w:tc>
        <w:tc>
          <w:tcPr>
            <w:tcW w:w="709" w:type="dxa"/>
            <w:vAlign w:val="center"/>
          </w:tcPr>
          <w:p w:rsidR="0040140E" w:rsidRDefault="009477A8">
            <w:pPr>
              <w:jc w:val="center"/>
            </w:pPr>
            <w:r>
              <w:rPr>
                <w:color w:val="000000"/>
                <w:szCs w:val="21"/>
              </w:rPr>
              <w:t>6</w:t>
            </w:r>
            <w:r>
              <w:rPr>
                <w:color w:val="000000"/>
                <w:szCs w:val="21"/>
              </w:rPr>
              <w:t>年</w:t>
            </w:r>
          </w:p>
        </w:tc>
        <w:tc>
          <w:tcPr>
            <w:tcW w:w="3548" w:type="dxa"/>
            <w:vAlign w:val="center"/>
          </w:tcPr>
          <w:p w:rsidR="0040140E" w:rsidRDefault="009477A8">
            <w:r>
              <w:rPr>
                <w:color w:val="000000"/>
                <w:szCs w:val="21"/>
              </w:rPr>
              <w:t>硕士研究生，具有基金从业资格。曾任凯仁投资咨询（上海）有限公司客户经理，易方达基金管理有限公司投资支持专员、研究员。</w:t>
            </w:r>
          </w:p>
        </w:tc>
      </w:tr>
    </w:tbl>
    <w:p w:rsidR="0040140E" w:rsidRDefault="009477A8">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B25EAD" w:rsidRDefault="00A00A18" w:rsidP="00B25EAD">
      <w:pPr>
        <w:spacing w:line="360" w:lineRule="auto"/>
        <w:ind w:firstLineChars="196" w:firstLine="413"/>
        <w:rPr>
          <w:rFonts w:ascii="宋体" w:hAnsi="宋体"/>
          <w:b/>
          <w:bCs/>
          <w:color w:val="000000"/>
          <w:szCs w:val="21"/>
        </w:rPr>
      </w:pPr>
      <w:bookmarkStart w:id="26" w:name="_Hlk44921484"/>
      <w:r>
        <w:rPr>
          <w:rFonts w:ascii="宋体" w:hAnsi="宋体" w:hint="eastAsia"/>
          <w:b/>
          <w:bCs/>
          <w:color w:val="000000"/>
          <w:szCs w:val="21"/>
        </w:rPr>
        <w:t>4.1.3 期末兼任私募资产管理计划投资经理的基金经理同时管理的产品情况</w:t>
      </w:r>
      <w:bookmarkEnd w:id="2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410"/>
        <w:gridCol w:w="2693"/>
        <w:gridCol w:w="1843"/>
        <w:gridCol w:w="1381"/>
      </w:tblGrid>
      <w:tr w:rsidR="00B25EAD" w:rsidTr="00B25E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B25EAD" w:rsidTr="00963C3F">
        <w:tc>
          <w:tcPr>
            <w:tcW w:w="9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藏海涛</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1,100,967,132.59</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2020-02-29</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5,324,249,440.34</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2014-11-03</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214,527,395.73</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eastAsiaTheme="minorEastAsia"/>
                <w:color w:val="000000" w:themeColor="text1"/>
                <w:szCs w:val="21"/>
              </w:rPr>
              <w:t>2017-09-01</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6,639,743,968.66</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ascii="宋体" w:hAnsi="宋体" w:hint="eastAsia"/>
                <w:color w:val="0000FF"/>
                <w:kern w:val="0"/>
                <w:sz w:val="18"/>
              </w:rPr>
              <w:t>-</w:t>
            </w:r>
          </w:p>
        </w:tc>
      </w:tr>
    </w:tbl>
    <w:p w:rsidR="0040140E" w:rsidRDefault="009477A8">
      <w:pPr>
        <w:tabs>
          <w:tab w:val="left" w:pos="426"/>
        </w:tabs>
        <w:spacing w:line="360" w:lineRule="auto"/>
        <w:ind w:firstLineChars="200" w:firstLine="420"/>
        <w:rPr>
          <w:rFonts w:eastAsiaTheme="minorEastAsia"/>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任职时间</w:t>
      </w:r>
      <w:r>
        <w:rPr>
          <w:rFonts w:eastAsiaTheme="minorEastAsia"/>
          <w:kern w:val="0"/>
          <w:szCs w:val="21"/>
        </w:rPr>
        <w:t>”</w:t>
      </w:r>
      <w:r>
        <w:rPr>
          <w:rFonts w:eastAsiaTheme="minorEastAsia"/>
          <w:kern w:val="0"/>
          <w:szCs w:val="21"/>
        </w:rPr>
        <w:t>为首次开始管理上表中本类产品的时间。</w:t>
      </w:r>
    </w:p>
    <w:p w:rsidR="00DB66B9" w:rsidRPr="00E12D36" w:rsidRDefault="00B25EAD" w:rsidP="00C52803">
      <w:pPr>
        <w:tabs>
          <w:tab w:val="left" w:pos="426"/>
        </w:tabs>
        <w:spacing w:line="360" w:lineRule="auto"/>
        <w:ind w:firstLineChars="200" w:firstLine="420"/>
        <w:rPr>
          <w:rFonts w:eastAsiaTheme="minorEastAsia"/>
          <w:kern w:val="0"/>
          <w:szCs w:val="21"/>
        </w:rPr>
      </w:pPr>
      <w:r w:rsidRPr="00C52803">
        <w:rPr>
          <w:rFonts w:eastAsiaTheme="minorEastAsia"/>
          <w:kern w:val="0"/>
          <w:szCs w:val="21"/>
        </w:rPr>
        <w:t>2.</w:t>
      </w:r>
      <w:r w:rsidRPr="00C52803">
        <w:rPr>
          <w:rFonts w:eastAsiaTheme="minorEastAsia"/>
          <w:kern w:val="0"/>
          <w:szCs w:val="21"/>
        </w:rPr>
        <w:t>报告期内，藏海涛管理的</w:t>
      </w:r>
      <w:r w:rsidRPr="00C52803">
        <w:rPr>
          <w:rFonts w:eastAsiaTheme="minorEastAsia"/>
          <w:kern w:val="0"/>
          <w:szCs w:val="21"/>
        </w:rPr>
        <w:t>1</w:t>
      </w:r>
      <w:r w:rsidRPr="00C52803">
        <w:rPr>
          <w:rFonts w:eastAsiaTheme="minorEastAsia"/>
          <w:kern w:val="0"/>
          <w:szCs w:val="21"/>
        </w:rPr>
        <w:t>个私募资产管理计划于</w:t>
      </w:r>
      <w:r w:rsidRPr="00C52803">
        <w:rPr>
          <w:rFonts w:eastAsiaTheme="minorEastAsia"/>
          <w:kern w:val="0"/>
          <w:szCs w:val="21"/>
        </w:rPr>
        <w:t>2020</w:t>
      </w:r>
      <w:r w:rsidRPr="00C52803">
        <w:rPr>
          <w:rFonts w:eastAsiaTheme="minorEastAsia"/>
          <w:kern w:val="0"/>
          <w:szCs w:val="21"/>
        </w:rPr>
        <w:t>年</w:t>
      </w:r>
      <w:r w:rsidRPr="00C52803">
        <w:rPr>
          <w:rFonts w:eastAsiaTheme="minorEastAsia"/>
          <w:kern w:val="0"/>
          <w:szCs w:val="21"/>
        </w:rPr>
        <w:t>5</w:t>
      </w:r>
      <w:r w:rsidRPr="00C52803">
        <w:rPr>
          <w:rFonts w:eastAsiaTheme="minorEastAsia"/>
          <w:kern w:val="0"/>
          <w:szCs w:val="21"/>
        </w:rPr>
        <w:t>月</w:t>
      </w:r>
      <w:r w:rsidRPr="00C52803">
        <w:rPr>
          <w:rFonts w:eastAsiaTheme="minorEastAsia"/>
          <w:kern w:val="0"/>
          <w:szCs w:val="21"/>
        </w:rPr>
        <w:t>25</w:t>
      </w:r>
      <w:r w:rsidRPr="00C52803">
        <w:rPr>
          <w:rFonts w:eastAsiaTheme="minorEastAsia"/>
          <w:kern w:val="0"/>
          <w:szCs w:val="21"/>
        </w:rPr>
        <w:t>日终止。</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4555"/>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w:t>
      </w:r>
      <w:r w:rsidRPr="00A62732">
        <w:rPr>
          <w:kern w:val="0"/>
          <w:szCs w:val="21"/>
        </w:rPr>
        <w:lastRenderedPageBreak/>
        <w:t>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4556"/>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40140E" w:rsidRDefault="009477A8">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4557"/>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40140E" w:rsidRDefault="009477A8">
      <w:pPr>
        <w:tabs>
          <w:tab w:val="left" w:pos="426"/>
        </w:tabs>
        <w:spacing w:line="360" w:lineRule="auto"/>
        <w:ind w:firstLineChars="200" w:firstLine="420"/>
        <w:jc w:val="left"/>
        <w:rPr>
          <w:kern w:val="0"/>
          <w:szCs w:val="21"/>
        </w:rPr>
      </w:pPr>
      <w:r>
        <w:rPr>
          <w:kern w:val="0"/>
          <w:szCs w:val="21"/>
        </w:rPr>
        <w:t>上半年，债券市场收益率走势整体呈现先快速下行后又快速上行的</w:t>
      </w:r>
      <w:r>
        <w:rPr>
          <w:kern w:val="0"/>
          <w:szCs w:val="21"/>
        </w:rPr>
        <w:t>“V”</w:t>
      </w:r>
      <w:r>
        <w:rPr>
          <w:kern w:val="0"/>
          <w:szCs w:val="21"/>
        </w:rPr>
        <w:t>字形走势。前期债券市场快速上涨主要推动力来自突如其来的疫情冲击，进而强化了市场对于较差基本面以及宽松的货币政策预期，带动市场收益率快速下行。后期，货币政策基调调整叠加国内疫情控制向好、经济筑底逐步复苏，收益率在前期低位基础上又快速上行。</w:t>
      </w:r>
    </w:p>
    <w:p w:rsidR="0040140E" w:rsidRDefault="009477A8">
      <w:pPr>
        <w:tabs>
          <w:tab w:val="left" w:pos="426"/>
        </w:tabs>
        <w:spacing w:line="360" w:lineRule="auto"/>
        <w:ind w:firstLineChars="200" w:firstLine="420"/>
        <w:jc w:val="left"/>
        <w:rPr>
          <w:kern w:val="0"/>
          <w:szCs w:val="21"/>
        </w:rPr>
      </w:pPr>
      <w:r>
        <w:rPr>
          <w:kern w:val="0"/>
          <w:szCs w:val="21"/>
        </w:rPr>
        <w:t>具体来看，一季度，在疫情的影响下，市场避险情绪浓厚，债券收益率整体大幅震荡下行。年初，在</w:t>
      </w:r>
      <w:r>
        <w:rPr>
          <w:kern w:val="0"/>
          <w:szCs w:val="21"/>
        </w:rPr>
        <w:t>CPI</w:t>
      </w:r>
      <w:r>
        <w:rPr>
          <w:kern w:val="0"/>
          <w:szCs w:val="21"/>
        </w:rPr>
        <w:t>低于预期和较为宽松的资金面的双重推动下，收益率震荡下行。春节后，在国内疫情推升避险情绪的影响下，长端收益率单日下行接近</w:t>
      </w:r>
      <w:r>
        <w:rPr>
          <w:kern w:val="0"/>
          <w:szCs w:val="21"/>
        </w:rPr>
        <w:t>20BP</w:t>
      </w:r>
      <w:r>
        <w:rPr>
          <w:kern w:val="0"/>
          <w:szCs w:val="21"/>
        </w:rPr>
        <w:t>，信用债也跟随利率出现了较为明显的下行。随后，由于国内疫情逐渐好转复工预期升温，叠加权益市场走势强劲，债市一直处于小幅震荡调整模式。到</w:t>
      </w:r>
      <w:r>
        <w:rPr>
          <w:kern w:val="0"/>
          <w:szCs w:val="21"/>
        </w:rPr>
        <w:t>3</w:t>
      </w:r>
      <w:r>
        <w:rPr>
          <w:kern w:val="0"/>
          <w:szCs w:val="21"/>
        </w:rPr>
        <w:t>月初，在海外疫情超预期爆发的背景下，美联储紧急降息，加之油价暴跌，推动长端收益率再次大幅下行。在全球股市暴跌引发流动性危机之后，美联储在</w:t>
      </w:r>
      <w:r>
        <w:rPr>
          <w:kern w:val="0"/>
          <w:szCs w:val="21"/>
        </w:rPr>
        <w:t>3</w:t>
      </w:r>
      <w:r>
        <w:rPr>
          <w:kern w:val="0"/>
          <w:szCs w:val="21"/>
        </w:rPr>
        <w:t>月末开启了无限流动性支持，而此时国内降息预期持续发酵，长端收益率继续下行。</w:t>
      </w:r>
    </w:p>
    <w:p w:rsidR="0040140E" w:rsidRDefault="009477A8">
      <w:pPr>
        <w:tabs>
          <w:tab w:val="left" w:pos="426"/>
        </w:tabs>
        <w:spacing w:line="360" w:lineRule="auto"/>
        <w:ind w:firstLineChars="200" w:firstLine="420"/>
        <w:jc w:val="left"/>
        <w:rPr>
          <w:kern w:val="0"/>
          <w:szCs w:val="21"/>
        </w:rPr>
      </w:pPr>
      <w:r>
        <w:rPr>
          <w:kern w:val="0"/>
          <w:szCs w:val="21"/>
        </w:rPr>
        <w:t>二季度，债券市场收益率先下后上，整体波动很大。季初，海内外疫情影响仍在持续，市场风</w:t>
      </w:r>
      <w:r>
        <w:rPr>
          <w:kern w:val="0"/>
          <w:szCs w:val="21"/>
        </w:rPr>
        <w:lastRenderedPageBreak/>
        <w:t>险偏好仍处于相对低位。清明节期间央行实行定向降准、下调超额准备金利率等操作，资金面整体较为宽松，长端收益率震荡下行。但</w:t>
      </w:r>
      <w:r>
        <w:rPr>
          <w:kern w:val="0"/>
          <w:szCs w:val="21"/>
        </w:rPr>
        <w:t>5</w:t>
      </w:r>
      <w:r>
        <w:rPr>
          <w:kern w:val="0"/>
          <w:szCs w:val="21"/>
        </w:rPr>
        <w:t>月上旬，货币政策进一步宽松不及预期叠加五一消费复苏经济修复延续，长端收益率开始上行。随后，社融放量强化经济修复预期，收益率进一步大幅上行，且短端上行幅度更大，曲线呈现出熊平趋势。</w:t>
      </w:r>
      <w:r>
        <w:rPr>
          <w:kern w:val="0"/>
          <w:szCs w:val="21"/>
        </w:rPr>
        <w:t>6</w:t>
      </w:r>
      <w:r>
        <w:rPr>
          <w:kern w:val="0"/>
          <w:szCs w:val="21"/>
        </w:rPr>
        <w:t>月，货币环境仍未好转，叠加首批</w:t>
      </w:r>
      <w:r>
        <w:rPr>
          <w:kern w:val="0"/>
          <w:szCs w:val="21"/>
        </w:rPr>
        <w:t>1000</w:t>
      </w:r>
      <w:r>
        <w:rPr>
          <w:kern w:val="0"/>
          <w:szCs w:val="21"/>
        </w:rPr>
        <w:t>亿元特别国债发行但央行无配套动作，市场情绪进一步悲观，继续推动长端收益率上行。直至半年末，央行适时开启逆回购呵护半年末市场流动性，债券市场情绪有所恢复，长端收益率趋于稳定。</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本基金在报告期内杠杆水平由初期的较高水平逐步降低至中性水平，久期逐步调整至中性偏低水平。组合债券持仓主要以中短期限信用债为主，侧重票息收入。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1.004</w:t>
      </w:r>
      <w:r w:rsidRPr="00A62732">
        <w:rPr>
          <w:kern w:val="0"/>
          <w:szCs w:val="21"/>
        </w:rPr>
        <w:t>元，本报告期份额净值增长率为</w:t>
      </w:r>
      <w:r w:rsidRPr="00A62732">
        <w:rPr>
          <w:kern w:val="0"/>
          <w:szCs w:val="21"/>
        </w:rPr>
        <w:t>2.54%</w:t>
      </w:r>
      <w:r w:rsidRPr="00A62732">
        <w:rPr>
          <w:kern w:val="0"/>
          <w:szCs w:val="21"/>
        </w:rPr>
        <w:t>，同期业绩比较基准收益率为</w:t>
      </w:r>
      <w:r w:rsidRPr="00A62732">
        <w:rPr>
          <w:kern w:val="0"/>
          <w:szCs w:val="21"/>
        </w:rPr>
        <w:t>1.37%</w:t>
      </w:r>
      <w:r w:rsidRPr="00A62732">
        <w:rPr>
          <w:kern w:val="0"/>
          <w:szCs w:val="21"/>
        </w:rPr>
        <w:t>；</w:t>
      </w:r>
      <w:r w:rsidRPr="00A62732">
        <w:rPr>
          <w:kern w:val="0"/>
          <w:szCs w:val="21"/>
        </w:rPr>
        <w:t>C</w:t>
      </w:r>
      <w:r w:rsidRPr="00A62732">
        <w:rPr>
          <w:kern w:val="0"/>
          <w:szCs w:val="21"/>
        </w:rPr>
        <w:t>类基金份额净值为</w:t>
      </w:r>
      <w:r w:rsidRPr="00A62732">
        <w:rPr>
          <w:kern w:val="0"/>
          <w:szCs w:val="21"/>
        </w:rPr>
        <w:t>1.002</w:t>
      </w:r>
      <w:r w:rsidRPr="00A62732">
        <w:rPr>
          <w:kern w:val="0"/>
          <w:szCs w:val="21"/>
        </w:rPr>
        <w:t>元，本报告期份额净值增长率为</w:t>
      </w:r>
      <w:r w:rsidRPr="00A62732">
        <w:rPr>
          <w:kern w:val="0"/>
          <w:szCs w:val="21"/>
        </w:rPr>
        <w:t>2.24%</w:t>
      </w:r>
      <w:r w:rsidRPr="00A62732">
        <w:rPr>
          <w:kern w:val="0"/>
          <w:szCs w:val="21"/>
        </w:rPr>
        <w:t>，同期业绩比较基准收益率为</w:t>
      </w:r>
      <w:r w:rsidRPr="00A62732">
        <w:rPr>
          <w:kern w:val="0"/>
          <w:szCs w:val="21"/>
        </w:rPr>
        <w:t>1.37%</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4558"/>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40140E" w:rsidRDefault="009477A8">
      <w:pPr>
        <w:tabs>
          <w:tab w:val="left" w:pos="426"/>
        </w:tabs>
        <w:spacing w:line="360" w:lineRule="auto"/>
        <w:ind w:firstLineChars="200" w:firstLine="420"/>
        <w:jc w:val="left"/>
        <w:rPr>
          <w:kern w:val="0"/>
          <w:szCs w:val="21"/>
        </w:rPr>
      </w:pPr>
      <w:r>
        <w:rPr>
          <w:kern w:val="0"/>
          <w:szCs w:val="21"/>
        </w:rPr>
        <w:t>基本面方面，经济数据反应经济确实在复苏过程中，但复苏具有结构性特点。这主要体现在复苏的动力主要还是来自于基建，而地产仍维持了韧性，但制造业及民间投资仍然复苏乏力。零售疲弱，这与整体收入受疫情冲击下滑有比较大的关系。货币信贷方面，依然处于宽松趋势，居民中长期贷款、企业中长期贷款高增，短期能够支持经济复苏，但中期看，居民部门和企业部门的杠杆增加是有约束的，这也是制约中国经济中期内增长的一个潜在隐忧。总体看，经济处于复苏趋势内，但具有结构性，因此复苏力度偏弱。市场方面，投资者逐步修正了前期较为乐观的资金面预期，市场收益率水平也进行大幅修正，但鉴于货币政策收紧的概率较低，预计资金面整体将维持在中性适度水平。</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综上所述，未来我们对于债券市场的判断整体趋于中性。经济的弱复苏以及国内疫情有效控制、复工复产的继续，债券收益率难以触及前低，但前期市场收益率大幅调整之后，加之货币政策难以转向、基本面复苏仍不够坚实，收益率的上行空间也较为有限，整体债券市场将维持震荡整理态势。基于上述判断，本基金的组合久期和杠杆将维持在中性水平，注重组合的票息收益和流动性之间的平衡，并优选个券，积极寻找交易机会，以稳健的、可持续的优秀业绩回报基金持有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4559"/>
      <w:r w:rsidRPr="007D44A6">
        <w:rPr>
          <w:rFonts w:ascii="宋体" w:hAnsi="宋体" w:cs="Arial"/>
          <w:color w:val="000000"/>
          <w:sz w:val="21"/>
          <w:szCs w:val="21"/>
        </w:rPr>
        <w:lastRenderedPageBreak/>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40140E" w:rsidRDefault="009477A8">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4560"/>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40140E" w:rsidRDefault="009477A8">
      <w:pPr>
        <w:tabs>
          <w:tab w:val="left" w:pos="426"/>
        </w:tabs>
        <w:spacing w:line="360" w:lineRule="auto"/>
        <w:ind w:firstLineChars="200" w:firstLine="420"/>
        <w:jc w:val="left"/>
        <w:rPr>
          <w:kern w:val="0"/>
          <w:szCs w:val="21"/>
        </w:rPr>
      </w:pPr>
      <w:r>
        <w:rPr>
          <w:kern w:val="0"/>
          <w:szCs w:val="21"/>
        </w:rPr>
        <w:t>易方达恒久</w:t>
      </w:r>
      <w:r>
        <w:rPr>
          <w:kern w:val="0"/>
          <w:szCs w:val="21"/>
        </w:rPr>
        <w:t>1</w:t>
      </w:r>
      <w:r>
        <w:rPr>
          <w:kern w:val="0"/>
          <w:szCs w:val="21"/>
        </w:rPr>
        <w:t>年定期债券</w:t>
      </w:r>
      <w:r>
        <w:rPr>
          <w:kern w:val="0"/>
          <w:szCs w:val="21"/>
        </w:rPr>
        <w:t>A:</w:t>
      </w:r>
      <w:r>
        <w:rPr>
          <w:kern w:val="0"/>
          <w:szCs w:val="21"/>
        </w:rPr>
        <w:t>本报告期内实施的利润分配金额为</w:t>
      </w:r>
      <w:r>
        <w:rPr>
          <w:kern w:val="0"/>
          <w:szCs w:val="21"/>
        </w:rPr>
        <w:t>40,716,946.15</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易方达恒久</w:t>
      </w:r>
      <w:r w:rsidRPr="00A62732">
        <w:rPr>
          <w:kern w:val="0"/>
          <w:szCs w:val="21"/>
        </w:rPr>
        <w:t>1</w:t>
      </w:r>
      <w:r w:rsidRPr="00A62732">
        <w:rPr>
          <w:kern w:val="0"/>
          <w:szCs w:val="21"/>
        </w:rPr>
        <w:t>年定期债券</w:t>
      </w:r>
      <w:r w:rsidRPr="00A62732">
        <w:rPr>
          <w:kern w:val="0"/>
          <w:szCs w:val="21"/>
        </w:rPr>
        <w:t>C:</w:t>
      </w:r>
      <w:r w:rsidRPr="00A62732">
        <w:rPr>
          <w:kern w:val="0"/>
          <w:szCs w:val="21"/>
        </w:rPr>
        <w:t>本报告期内实施的利润分配金额为</w:t>
      </w:r>
      <w:r w:rsidRPr="00A62732">
        <w:rPr>
          <w:kern w:val="0"/>
          <w:szCs w:val="21"/>
        </w:rPr>
        <w:t>912,711.90</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4561"/>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4562"/>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本报告期内，本基金托管人在对易方达恒久添利</w:t>
      </w:r>
      <w:r w:rsidRPr="00A62732">
        <w:rPr>
          <w:kern w:val="0"/>
          <w:szCs w:val="21"/>
        </w:rPr>
        <w:t>1</w:t>
      </w:r>
      <w:r w:rsidRPr="00A62732">
        <w:rPr>
          <w:kern w:val="0"/>
          <w:szCs w:val="21"/>
        </w:rPr>
        <w:t>年定期开放债券型证券投资基金的托管过程中，严格遵守《证券投资基金法》及其他法律法规和基金合同的有关规定，不存在任何损害基金份额持有人利益的行为，完全尽职尽责地履行了基金托管人应尽的义务。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4563"/>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本报告期内，易方达恒久添利</w:t>
      </w:r>
      <w:r w:rsidRPr="00A62732">
        <w:rPr>
          <w:kern w:val="0"/>
          <w:szCs w:val="21"/>
        </w:rPr>
        <w:t>1</w:t>
      </w:r>
      <w:r w:rsidRPr="00A62732">
        <w:rPr>
          <w:kern w:val="0"/>
          <w:szCs w:val="21"/>
        </w:rPr>
        <w:t>年定期开放债券型证券投资基金的管理人</w:t>
      </w:r>
      <w:r w:rsidRPr="00A62732">
        <w:rPr>
          <w:kern w:val="0"/>
          <w:szCs w:val="21"/>
        </w:rPr>
        <w:t>——</w:t>
      </w:r>
      <w:r w:rsidRPr="00A62732">
        <w:rPr>
          <w:kern w:val="0"/>
          <w:szCs w:val="21"/>
        </w:rPr>
        <w:t>易方达基金管理有限公司在易方达恒久添利</w:t>
      </w:r>
      <w:r w:rsidRPr="00A62732">
        <w:rPr>
          <w:kern w:val="0"/>
          <w:szCs w:val="21"/>
        </w:rPr>
        <w:t>1</w:t>
      </w:r>
      <w:r w:rsidRPr="00A62732">
        <w:rPr>
          <w:kern w:val="0"/>
          <w:szCs w:val="21"/>
        </w:rPr>
        <w:t>年定期开放债券型证券投资基金的投资运作、基金资产净值计算、基金份额申购赎回价格计算、基金费用开支等问题上，不存在任何损害基金份额持有人利益的行为，在各重要方面的运作严格按照基金合同的规定进行。本报告期内，易方达恒久添利</w:t>
      </w:r>
      <w:r w:rsidRPr="00A62732">
        <w:rPr>
          <w:kern w:val="0"/>
          <w:szCs w:val="21"/>
        </w:rPr>
        <w:t>1</w:t>
      </w:r>
      <w:r w:rsidRPr="00A62732">
        <w:rPr>
          <w:kern w:val="0"/>
          <w:szCs w:val="21"/>
        </w:rPr>
        <w:t>年定期开放债</w:t>
      </w:r>
      <w:r w:rsidRPr="00A62732">
        <w:rPr>
          <w:kern w:val="0"/>
          <w:szCs w:val="21"/>
        </w:rPr>
        <w:lastRenderedPageBreak/>
        <w:t>券型证券投资基金对基金份额持有人进行了</w:t>
      </w:r>
      <w:r w:rsidRPr="00A62732">
        <w:rPr>
          <w:kern w:val="0"/>
          <w:szCs w:val="21"/>
        </w:rPr>
        <w:t>1</w:t>
      </w:r>
      <w:r w:rsidRPr="00A62732">
        <w:rPr>
          <w:kern w:val="0"/>
          <w:szCs w:val="21"/>
        </w:rPr>
        <w:t>次利润分配，分配金额为</w:t>
      </w:r>
      <w:r w:rsidRPr="00A62732">
        <w:rPr>
          <w:kern w:val="0"/>
          <w:szCs w:val="21"/>
        </w:rPr>
        <w:t>41,629,658.05</w:t>
      </w:r>
      <w:r w:rsidRPr="00A62732">
        <w:rPr>
          <w:kern w:val="0"/>
          <w:szCs w:val="21"/>
        </w:rPr>
        <w:t>元。</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4564"/>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本托管人依法对易方达基金管理有限公司编制和披露的易方达恒久添利</w:t>
      </w:r>
      <w:r w:rsidRPr="00A62732">
        <w:rPr>
          <w:kern w:val="0"/>
          <w:szCs w:val="21"/>
        </w:rPr>
        <w:t>1</w:t>
      </w:r>
      <w:r w:rsidRPr="00A62732">
        <w:rPr>
          <w:kern w:val="0"/>
          <w:szCs w:val="21"/>
        </w:rPr>
        <w:t>年定期开放债券型证券投资基金</w:t>
      </w:r>
      <w:r w:rsidRPr="00A62732">
        <w:rPr>
          <w:kern w:val="0"/>
          <w:szCs w:val="21"/>
        </w:rPr>
        <w:t>2020</w:t>
      </w:r>
      <w:r w:rsidRPr="00A62732">
        <w:rPr>
          <w:kern w:val="0"/>
          <w:szCs w:val="21"/>
        </w:rPr>
        <w:t>年中期报告中财务指标、净值表现、利润分配情况、财务会计报告、投资组合报告等内容进行了核查，以上内容真实、准确和完整。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4565"/>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4566"/>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易方达恒久添利1年定期开放债券型证券投资基金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5,705,456.18</w:t>
            </w:r>
          </w:p>
        </w:tc>
        <w:tc>
          <w:tcPr>
            <w:tcW w:w="2520" w:type="dxa"/>
            <w:vAlign w:val="bottom"/>
          </w:tcPr>
          <w:p w:rsidR="001548F9" w:rsidRPr="00BD131B" w:rsidRDefault="001548F9">
            <w:pPr>
              <w:jc w:val="right"/>
              <w:rPr>
                <w:color w:val="000000"/>
                <w:szCs w:val="21"/>
              </w:rPr>
            </w:pPr>
            <w:r w:rsidRPr="00BD131B">
              <w:rPr>
                <w:color w:val="000000"/>
                <w:szCs w:val="21"/>
              </w:rPr>
              <w:t>751,316.66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45,119,626.33</w:t>
            </w:r>
          </w:p>
        </w:tc>
        <w:tc>
          <w:tcPr>
            <w:tcW w:w="2520" w:type="dxa"/>
            <w:vAlign w:val="bottom"/>
          </w:tcPr>
          <w:p w:rsidR="001548F9" w:rsidRPr="00BD131B" w:rsidRDefault="001548F9">
            <w:pPr>
              <w:jc w:val="right"/>
              <w:rPr>
                <w:color w:val="000000"/>
                <w:szCs w:val="21"/>
              </w:rPr>
            </w:pPr>
            <w:r w:rsidRPr="00BD131B">
              <w:rPr>
                <w:color w:val="000000"/>
                <w:szCs w:val="21"/>
              </w:rPr>
              <w:t>28,561,357.37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4,446.80</w:t>
            </w:r>
          </w:p>
        </w:tc>
        <w:tc>
          <w:tcPr>
            <w:tcW w:w="2520" w:type="dxa"/>
            <w:vAlign w:val="bottom"/>
          </w:tcPr>
          <w:p w:rsidR="001548F9" w:rsidRPr="00BD131B" w:rsidRDefault="001548F9">
            <w:pPr>
              <w:jc w:val="right"/>
              <w:rPr>
                <w:color w:val="000000"/>
                <w:szCs w:val="21"/>
              </w:rPr>
            </w:pPr>
            <w:r w:rsidRPr="00BD131B">
              <w:rPr>
                <w:color w:val="000000"/>
                <w:szCs w:val="21"/>
              </w:rPr>
              <w:t>44,219.31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1,464,957,715.20</w:t>
            </w:r>
          </w:p>
        </w:tc>
        <w:tc>
          <w:tcPr>
            <w:tcW w:w="2520" w:type="dxa"/>
            <w:vAlign w:val="bottom"/>
          </w:tcPr>
          <w:p w:rsidR="001548F9" w:rsidRPr="00BD131B" w:rsidRDefault="001548F9">
            <w:pPr>
              <w:jc w:val="right"/>
              <w:rPr>
                <w:color w:val="000000"/>
                <w:szCs w:val="21"/>
              </w:rPr>
            </w:pPr>
            <w:r w:rsidRPr="00BD131B">
              <w:rPr>
                <w:color w:val="000000"/>
                <w:szCs w:val="21"/>
              </w:rPr>
              <w:t>1,727,943,102.30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1,434,876,715.20</w:t>
            </w:r>
          </w:p>
        </w:tc>
        <w:tc>
          <w:tcPr>
            <w:tcW w:w="2520" w:type="dxa"/>
            <w:vAlign w:val="bottom"/>
          </w:tcPr>
          <w:p w:rsidR="001548F9" w:rsidRPr="00BD131B" w:rsidRDefault="001548F9">
            <w:pPr>
              <w:jc w:val="right"/>
              <w:rPr>
                <w:color w:val="000000"/>
                <w:szCs w:val="21"/>
              </w:rPr>
            </w:pPr>
            <w:r w:rsidRPr="00BD131B">
              <w:rPr>
                <w:color w:val="000000"/>
                <w:szCs w:val="21"/>
              </w:rPr>
              <w:t>1,707,932,102.30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30,081,000.00</w:t>
            </w:r>
          </w:p>
        </w:tc>
        <w:tc>
          <w:tcPr>
            <w:tcW w:w="2520" w:type="dxa"/>
            <w:vAlign w:val="bottom"/>
          </w:tcPr>
          <w:p w:rsidR="001548F9" w:rsidRPr="00BD131B" w:rsidRDefault="001548F9">
            <w:pPr>
              <w:jc w:val="right"/>
              <w:rPr>
                <w:color w:val="000000"/>
                <w:szCs w:val="21"/>
              </w:rPr>
            </w:pPr>
            <w:r w:rsidRPr="00BD131B">
              <w:rPr>
                <w:color w:val="000000"/>
                <w:szCs w:val="21"/>
              </w:rPr>
              <w:t>20,011,000.00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5,413,231.91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32,325,485.40</w:t>
            </w:r>
          </w:p>
        </w:tc>
        <w:tc>
          <w:tcPr>
            <w:tcW w:w="2520" w:type="dxa"/>
            <w:vAlign w:val="bottom"/>
          </w:tcPr>
          <w:p w:rsidR="00EF1FC0" w:rsidRPr="00BD131B" w:rsidRDefault="00EF1FC0">
            <w:pPr>
              <w:jc w:val="right"/>
              <w:rPr>
                <w:color w:val="000000"/>
                <w:szCs w:val="21"/>
              </w:rPr>
            </w:pPr>
            <w:r w:rsidRPr="00BD131B">
              <w:rPr>
                <w:color w:val="000000"/>
                <w:szCs w:val="21"/>
              </w:rPr>
              <w:t>31,603,957.21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1,548,112,729.91</w:t>
            </w:r>
          </w:p>
        </w:tc>
        <w:tc>
          <w:tcPr>
            <w:tcW w:w="2520" w:type="dxa"/>
            <w:vAlign w:val="bottom"/>
          </w:tcPr>
          <w:p w:rsidR="00EF1FC0" w:rsidRPr="00BD131B" w:rsidRDefault="00EF1FC0">
            <w:pPr>
              <w:jc w:val="right"/>
              <w:rPr>
                <w:color w:val="000000"/>
                <w:szCs w:val="21"/>
              </w:rPr>
            </w:pPr>
            <w:r w:rsidRPr="00BD131B">
              <w:rPr>
                <w:color w:val="000000"/>
                <w:szCs w:val="21"/>
              </w:rPr>
              <w:t>1,794,317,184.76</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441,054,753.42</w:t>
            </w:r>
          </w:p>
        </w:tc>
        <w:tc>
          <w:tcPr>
            <w:tcW w:w="2520" w:type="dxa"/>
            <w:vAlign w:val="bottom"/>
          </w:tcPr>
          <w:p w:rsidR="001548F9" w:rsidRPr="00BD131B" w:rsidRDefault="001548F9">
            <w:pPr>
              <w:jc w:val="right"/>
              <w:rPr>
                <w:color w:val="000000"/>
                <w:szCs w:val="21"/>
              </w:rPr>
            </w:pPr>
            <w:r w:rsidRPr="00BD131B">
              <w:rPr>
                <w:color w:val="000000"/>
                <w:szCs w:val="21"/>
              </w:rPr>
              <w:t>673,238,598.63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5,057,077.46</w:t>
            </w:r>
          </w:p>
        </w:tc>
        <w:tc>
          <w:tcPr>
            <w:tcW w:w="2520" w:type="dxa"/>
            <w:vAlign w:val="bottom"/>
          </w:tcPr>
          <w:p w:rsidR="001548F9" w:rsidRPr="00BD131B" w:rsidRDefault="001548F9">
            <w:pPr>
              <w:jc w:val="right"/>
              <w:rPr>
                <w:color w:val="000000"/>
                <w:szCs w:val="21"/>
              </w:rPr>
            </w:pPr>
            <w:r w:rsidRPr="00BD131B">
              <w:rPr>
                <w:color w:val="000000"/>
                <w:szCs w:val="21"/>
              </w:rPr>
              <w:t>5,007,374.67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270,907.29</w:t>
            </w:r>
          </w:p>
        </w:tc>
        <w:tc>
          <w:tcPr>
            <w:tcW w:w="2520" w:type="dxa"/>
            <w:vAlign w:val="bottom"/>
          </w:tcPr>
          <w:p w:rsidR="001548F9" w:rsidRPr="00BD131B" w:rsidRDefault="001548F9">
            <w:pPr>
              <w:jc w:val="right"/>
              <w:rPr>
                <w:color w:val="000000"/>
                <w:szCs w:val="21"/>
              </w:rPr>
            </w:pPr>
            <w:r w:rsidRPr="00BD131B">
              <w:rPr>
                <w:color w:val="000000"/>
                <w:szCs w:val="21"/>
              </w:rPr>
              <w:t>283,192.87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180,604.83</w:t>
            </w:r>
          </w:p>
        </w:tc>
        <w:tc>
          <w:tcPr>
            <w:tcW w:w="2520" w:type="dxa"/>
            <w:vAlign w:val="bottom"/>
          </w:tcPr>
          <w:p w:rsidR="001548F9" w:rsidRPr="00BD131B" w:rsidRDefault="001548F9">
            <w:pPr>
              <w:jc w:val="right"/>
              <w:rPr>
                <w:color w:val="000000"/>
                <w:szCs w:val="21"/>
              </w:rPr>
            </w:pPr>
            <w:r w:rsidRPr="00BD131B">
              <w:rPr>
                <w:color w:val="000000"/>
                <w:szCs w:val="21"/>
              </w:rPr>
              <w:t>188,795.24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8,339.49</w:t>
            </w:r>
          </w:p>
        </w:tc>
        <w:tc>
          <w:tcPr>
            <w:tcW w:w="2520" w:type="dxa"/>
            <w:vAlign w:val="bottom"/>
          </w:tcPr>
          <w:p w:rsidR="001548F9" w:rsidRPr="00BD131B" w:rsidRDefault="001548F9">
            <w:pPr>
              <w:jc w:val="right"/>
              <w:rPr>
                <w:color w:val="000000"/>
                <w:szCs w:val="21"/>
              </w:rPr>
            </w:pPr>
            <w:r w:rsidRPr="00BD131B">
              <w:rPr>
                <w:color w:val="000000"/>
                <w:szCs w:val="21"/>
              </w:rPr>
              <w:t>8,718.63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14,073.39</w:t>
            </w:r>
          </w:p>
        </w:tc>
        <w:tc>
          <w:tcPr>
            <w:tcW w:w="2520" w:type="dxa"/>
            <w:vAlign w:val="bottom"/>
          </w:tcPr>
          <w:p w:rsidR="001548F9" w:rsidRPr="00BD131B" w:rsidRDefault="001548F9">
            <w:pPr>
              <w:jc w:val="right"/>
              <w:rPr>
                <w:color w:val="000000"/>
                <w:szCs w:val="21"/>
              </w:rPr>
            </w:pPr>
            <w:r w:rsidRPr="00BD131B">
              <w:rPr>
                <w:color w:val="000000"/>
                <w:szCs w:val="21"/>
              </w:rPr>
              <w:t>21,143.41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204,423.72</w:t>
            </w:r>
          </w:p>
        </w:tc>
        <w:tc>
          <w:tcPr>
            <w:tcW w:w="2520" w:type="dxa"/>
            <w:vAlign w:val="bottom"/>
          </w:tcPr>
          <w:p w:rsidR="001548F9" w:rsidRPr="00BD131B" w:rsidRDefault="001548F9">
            <w:pPr>
              <w:jc w:val="right"/>
              <w:rPr>
                <w:color w:val="000000"/>
                <w:szCs w:val="21"/>
              </w:rPr>
            </w:pPr>
            <w:r w:rsidRPr="00BD131B">
              <w:rPr>
                <w:color w:val="000000"/>
                <w:szCs w:val="21"/>
              </w:rPr>
              <w:t>237,818.18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31,887.02</w:t>
            </w:r>
          </w:p>
        </w:tc>
        <w:tc>
          <w:tcPr>
            <w:tcW w:w="2520" w:type="dxa"/>
            <w:vAlign w:val="bottom"/>
          </w:tcPr>
          <w:p w:rsidR="001548F9" w:rsidRPr="00BD131B" w:rsidRDefault="001548F9">
            <w:pPr>
              <w:jc w:val="right"/>
              <w:rPr>
                <w:color w:val="000000"/>
                <w:szCs w:val="21"/>
              </w:rPr>
            </w:pPr>
            <w:r w:rsidRPr="00BD131B">
              <w:rPr>
                <w:color w:val="000000"/>
                <w:szCs w:val="21"/>
              </w:rPr>
              <w:t>334,772.46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323,530.70</w:t>
            </w:r>
          </w:p>
        </w:tc>
        <w:tc>
          <w:tcPr>
            <w:tcW w:w="2520" w:type="dxa"/>
            <w:vAlign w:val="bottom"/>
          </w:tcPr>
          <w:p w:rsidR="001548F9" w:rsidRPr="00BD131B" w:rsidRDefault="001548F9">
            <w:pPr>
              <w:jc w:val="right"/>
              <w:rPr>
                <w:color w:val="000000"/>
                <w:szCs w:val="21"/>
              </w:rPr>
            </w:pPr>
            <w:r w:rsidRPr="00BD131B">
              <w:rPr>
                <w:color w:val="000000"/>
                <w:szCs w:val="21"/>
              </w:rPr>
              <w:t>308,200.00</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447,145,597.32</w:t>
            </w:r>
          </w:p>
        </w:tc>
        <w:tc>
          <w:tcPr>
            <w:tcW w:w="2520" w:type="dxa"/>
            <w:vAlign w:val="bottom"/>
          </w:tcPr>
          <w:p w:rsidR="001548F9" w:rsidRPr="00BD131B" w:rsidRDefault="001548F9">
            <w:pPr>
              <w:jc w:val="right"/>
              <w:rPr>
                <w:color w:val="000000"/>
                <w:szCs w:val="21"/>
              </w:rPr>
            </w:pPr>
            <w:r w:rsidRPr="00BD131B">
              <w:rPr>
                <w:color w:val="000000"/>
                <w:szCs w:val="21"/>
              </w:rPr>
              <w:t>679,628,614.09</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1,096,851,701.36</w:t>
            </w:r>
          </w:p>
        </w:tc>
        <w:tc>
          <w:tcPr>
            <w:tcW w:w="2520" w:type="dxa"/>
            <w:vAlign w:val="bottom"/>
          </w:tcPr>
          <w:p w:rsidR="001548F9" w:rsidRPr="00BD131B" w:rsidRDefault="001548F9">
            <w:pPr>
              <w:jc w:val="right"/>
              <w:rPr>
                <w:color w:val="000000"/>
                <w:szCs w:val="21"/>
              </w:rPr>
            </w:pPr>
            <w:r w:rsidRPr="00BD131B">
              <w:rPr>
                <w:color w:val="000000"/>
                <w:szCs w:val="21"/>
              </w:rPr>
              <w:t>1,096,851,701.36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4,115,431.23</w:t>
            </w:r>
          </w:p>
        </w:tc>
        <w:tc>
          <w:tcPr>
            <w:tcW w:w="2520" w:type="dxa"/>
            <w:vAlign w:val="bottom"/>
          </w:tcPr>
          <w:p w:rsidR="001548F9" w:rsidRPr="00BD131B" w:rsidRDefault="001548F9">
            <w:pPr>
              <w:jc w:val="right"/>
              <w:rPr>
                <w:color w:val="000000"/>
                <w:szCs w:val="21"/>
              </w:rPr>
            </w:pPr>
            <w:r w:rsidRPr="00BD131B">
              <w:rPr>
                <w:color w:val="000000"/>
                <w:szCs w:val="21"/>
              </w:rPr>
              <w:t>17,836,869.31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1,100,967,132.59</w:t>
            </w:r>
          </w:p>
        </w:tc>
        <w:tc>
          <w:tcPr>
            <w:tcW w:w="2520" w:type="dxa"/>
            <w:vAlign w:val="bottom"/>
          </w:tcPr>
          <w:p w:rsidR="001548F9" w:rsidRPr="00BD131B" w:rsidRDefault="001548F9">
            <w:pPr>
              <w:jc w:val="right"/>
              <w:rPr>
                <w:color w:val="000000"/>
                <w:szCs w:val="21"/>
              </w:rPr>
            </w:pPr>
            <w:r w:rsidRPr="00BD131B">
              <w:rPr>
                <w:color w:val="000000"/>
                <w:szCs w:val="21"/>
              </w:rPr>
              <w:t>1,114,688,570.67</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1,548,112,729.91</w:t>
            </w:r>
          </w:p>
        </w:tc>
        <w:tc>
          <w:tcPr>
            <w:tcW w:w="2520" w:type="dxa"/>
            <w:vAlign w:val="bottom"/>
          </w:tcPr>
          <w:p w:rsidR="001548F9" w:rsidRPr="00BD131B" w:rsidRDefault="001548F9">
            <w:pPr>
              <w:jc w:val="right"/>
              <w:rPr>
                <w:color w:val="000000"/>
                <w:szCs w:val="21"/>
              </w:rPr>
            </w:pPr>
            <w:r w:rsidRPr="00BD131B">
              <w:rPr>
                <w:color w:val="000000"/>
                <w:szCs w:val="21"/>
              </w:rPr>
              <w:t>1,794,317,184.76</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1.004</w:t>
      </w:r>
      <w:r w:rsidRPr="00683042">
        <w:rPr>
          <w:kern w:val="0"/>
          <w:szCs w:val="21"/>
        </w:rPr>
        <w:t>元，</w:t>
      </w:r>
      <w:r w:rsidRPr="00683042">
        <w:rPr>
          <w:kern w:val="0"/>
          <w:szCs w:val="21"/>
        </w:rPr>
        <w:t>C</w:t>
      </w:r>
      <w:r w:rsidRPr="00683042">
        <w:rPr>
          <w:kern w:val="0"/>
          <w:szCs w:val="21"/>
        </w:rPr>
        <w:t>类基金份额净值</w:t>
      </w:r>
      <w:r w:rsidRPr="00683042">
        <w:rPr>
          <w:kern w:val="0"/>
          <w:szCs w:val="21"/>
        </w:rPr>
        <w:t>1.002</w:t>
      </w:r>
      <w:r w:rsidRPr="00683042">
        <w:rPr>
          <w:kern w:val="0"/>
          <w:szCs w:val="21"/>
        </w:rPr>
        <w:t>元；基金份额总额</w:t>
      </w:r>
      <w:r w:rsidRPr="00683042">
        <w:rPr>
          <w:kern w:val="0"/>
          <w:szCs w:val="21"/>
        </w:rPr>
        <w:t>1,096,851,701.36</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1,071,498,588.88</w:t>
      </w:r>
      <w:r w:rsidRPr="00683042">
        <w:rPr>
          <w:kern w:val="0"/>
          <w:szCs w:val="21"/>
        </w:rPr>
        <w:t>份，</w:t>
      </w:r>
      <w:r w:rsidRPr="00683042">
        <w:rPr>
          <w:kern w:val="0"/>
          <w:szCs w:val="21"/>
        </w:rPr>
        <w:t>C</w:t>
      </w:r>
      <w:r w:rsidRPr="00683042">
        <w:rPr>
          <w:kern w:val="0"/>
          <w:szCs w:val="21"/>
        </w:rPr>
        <w:t>类基金份额总额</w:t>
      </w:r>
      <w:r w:rsidRPr="00683042">
        <w:rPr>
          <w:kern w:val="0"/>
          <w:szCs w:val="21"/>
        </w:rPr>
        <w:t>25,353,112.48</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4567"/>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易方达恒久添利1年定期开放债券型证券投资基金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37,765,757.68</w:t>
            </w:r>
          </w:p>
        </w:tc>
        <w:tc>
          <w:tcPr>
            <w:tcW w:w="2250" w:type="dxa"/>
            <w:vAlign w:val="bottom"/>
          </w:tcPr>
          <w:p w:rsidR="001548F9" w:rsidRPr="00BD131B" w:rsidRDefault="001548F9">
            <w:pPr>
              <w:jc w:val="right"/>
              <w:rPr>
                <w:b/>
                <w:color w:val="000000"/>
                <w:szCs w:val="21"/>
              </w:rPr>
            </w:pPr>
            <w:r w:rsidRPr="00BD131B">
              <w:rPr>
                <w:b/>
                <w:color w:val="000000"/>
                <w:szCs w:val="21"/>
              </w:rPr>
              <w:t>46,391,696.50</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39,216,560.61</w:t>
            </w:r>
          </w:p>
        </w:tc>
        <w:tc>
          <w:tcPr>
            <w:tcW w:w="2250" w:type="dxa"/>
            <w:vAlign w:val="bottom"/>
          </w:tcPr>
          <w:p w:rsidR="001548F9" w:rsidRPr="00BD131B" w:rsidRDefault="001548F9">
            <w:pPr>
              <w:jc w:val="right"/>
              <w:rPr>
                <w:color w:val="000000"/>
                <w:szCs w:val="21"/>
              </w:rPr>
            </w:pPr>
            <w:r w:rsidRPr="00BD131B">
              <w:rPr>
                <w:color w:val="000000"/>
                <w:szCs w:val="21"/>
              </w:rPr>
              <w:t>38,981,164.62</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295,542.60</w:t>
            </w:r>
          </w:p>
        </w:tc>
        <w:tc>
          <w:tcPr>
            <w:tcW w:w="2250" w:type="dxa"/>
            <w:vAlign w:val="bottom"/>
          </w:tcPr>
          <w:p w:rsidR="001548F9" w:rsidRPr="00BD131B" w:rsidRDefault="001548F9">
            <w:pPr>
              <w:jc w:val="right"/>
              <w:rPr>
                <w:color w:val="000000"/>
                <w:szCs w:val="21"/>
              </w:rPr>
            </w:pPr>
            <w:r w:rsidRPr="00BD131B">
              <w:rPr>
                <w:color w:val="000000"/>
                <w:szCs w:val="21"/>
              </w:rPr>
              <w:t>193,601.58</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38,370,023.52</w:t>
            </w:r>
          </w:p>
        </w:tc>
        <w:tc>
          <w:tcPr>
            <w:tcW w:w="2250" w:type="dxa"/>
            <w:vAlign w:val="bottom"/>
          </w:tcPr>
          <w:p w:rsidR="001548F9" w:rsidRPr="00BD131B" w:rsidRDefault="001548F9">
            <w:pPr>
              <w:jc w:val="right"/>
              <w:rPr>
                <w:color w:val="000000"/>
                <w:szCs w:val="21"/>
              </w:rPr>
            </w:pPr>
            <w:r w:rsidRPr="00BD131B">
              <w:rPr>
                <w:color w:val="000000"/>
                <w:szCs w:val="21"/>
              </w:rPr>
              <w:t>37,872,154.05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550,527.37</w:t>
            </w:r>
          </w:p>
        </w:tc>
        <w:tc>
          <w:tcPr>
            <w:tcW w:w="2250" w:type="dxa"/>
            <w:vAlign w:val="bottom"/>
          </w:tcPr>
          <w:p w:rsidR="001548F9" w:rsidRPr="00BD131B" w:rsidRDefault="001548F9">
            <w:pPr>
              <w:jc w:val="right"/>
              <w:rPr>
                <w:color w:val="000000"/>
                <w:szCs w:val="21"/>
              </w:rPr>
            </w:pPr>
            <w:r w:rsidRPr="00BD131B">
              <w:rPr>
                <w:color w:val="000000"/>
                <w:szCs w:val="21"/>
              </w:rPr>
              <w:t>915,408.99</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467.12</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lastRenderedPageBreak/>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-1,627,025.51</w:t>
            </w:r>
          </w:p>
        </w:tc>
        <w:tc>
          <w:tcPr>
            <w:tcW w:w="2250" w:type="dxa"/>
            <w:vAlign w:val="bottom"/>
          </w:tcPr>
          <w:p w:rsidR="001548F9" w:rsidRPr="00BD131B" w:rsidRDefault="001548F9">
            <w:pPr>
              <w:jc w:val="right"/>
              <w:rPr>
                <w:color w:val="000000"/>
                <w:szCs w:val="21"/>
              </w:rPr>
            </w:pPr>
            <w:r w:rsidRPr="00BD131B">
              <w:rPr>
                <w:color w:val="000000"/>
                <w:szCs w:val="21"/>
              </w:rPr>
              <w:t>9,555,051.14</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-1,627,025.51</w:t>
            </w:r>
          </w:p>
        </w:tc>
        <w:tc>
          <w:tcPr>
            <w:tcW w:w="2250" w:type="dxa"/>
            <w:vAlign w:val="bottom"/>
          </w:tcPr>
          <w:p w:rsidR="001548F9" w:rsidRPr="00BD131B" w:rsidRDefault="001548F9">
            <w:pPr>
              <w:jc w:val="right"/>
              <w:rPr>
                <w:color w:val="000000"/>
                <w:szCs w:val="21"/>
              </w:rPr>
            </w:pPr>
            <w:r w:rsidRPr="00BD131B">
              <w:rPr>
                <w:color w:val="000000"/>
                <w:szCs w:val="21"/>
              </w:rPr>
              <w:t>9,488,881.28</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66,169.86</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176,222.58</w:t>
            </w:r>
          </w:p>
        </w:tc>
        <w:tc>
          <w:tcPr>
            <w:tcW w:w="2250" w:type="dxa"/>
            <w:vAlign w:val="bottom"/>
          </w:tcPr>
          <w:p w:rsidR="00C73F5C" w:rsidRPr="00BD131B" w:rsidRDefault="00C73F5C">
            <w:pPr>
              <w:jc w:val="right"/>
              <w:rPr>
                <w:color w:val="000000"/>
                <w:szCs w:val="21"/>
              </w:rPr>
            </w:pPr>
            <w:r w:rsidRPr="00BD131B">
              <w:rPr>
                <w:color w:val="000000"/>
                <w:szCs w:val="21"/>
              </w:rPr>
              <w:t>-2,144,519.26</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9,857,537.71</w:t>
            </w:r>
          </w:p>
        </w:tc>
        <w:tc>
          <w:tcPr>
            <w:tcW w:w="2250" w:type="dxa"/>
            <w:vAlign w:val="bottom"/>
          </w:tcPr>
          <w:p w:rsidR="00C73F5C" w:rsidRPr="00BD131B" w:rsidRDefault="00C73F5C">
            <w:pPr>
              <w:jc w:val="right"/>
              <w:rPr>
                <w:b/>
                <w:color w:val="000000"/>
                <w:szCs w:val="21"/>
              </w:rPr>
            </w:pPr>
            <w:r w:rsidRPr="00BD131B">
              <w:rPr>
                <w:b/>
                <w:color w:val="000000"/>
                <w:szCs w:val="21"/>
              </w:rPr>
              <w:t>11,297,587.50</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1,675,303.29</w:t>
            </w:r>
          </w:p>
        </w:tc>
        <w:tc>
          <w:tcPr>
            <w:tcW w:w="2250" w:type="dxa"/>
            <w:vAlign w:val="bottom"/>
          </w:tcPr>
          <w:p w:rsidR="00C73F5C" w:rsidRPr="00BD131B" w:rsidRDefault="00C73F5C">
            <w:pPr>
              <w:jc w:val="right"/>
              <w:rPr>
                <w:color w:val="000000"/>
                <w:szCs w:val="21"/>
              </w:rPr>
            </w:pPr>
            <w:r w:rsidRPr="00BD131B">
              <w:rPr>
                <w:color w:val="000000"/>
                <w:szCs w:val="21"/>
              </w:rPr>
              <w:t>1,468,013.32</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1,116,868.79</w:t>
            </w:r>
          </w:p>
        </w:tc>
        <w:tc>
          <w:tcPr>
            <w:tcW w:w="2250" w:type="dxa"/>
            <w:vAlign w:val="bottom"/>
          </w:tcPr>
          <w:p w:rsidR="00C73F5C" w:rsidRPr="00BD131B" w:rsidRDefault="00C73F5C">
            <w:pPr>
              <w:jc w:val="right"/>
              <w:rPr>
                <w:color w:val="000000"/>
                <w:szCs w:val="21"/>
              </w:rPr>
            </w:pPr>
            <w:r w:rsidRPr="00BD131B">
              <w:rPr>
                <w:color w:val="000000"/>
                <w:szCs w:val="21"/>
              </w:rPr>
              <w:t>978,675.59</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51,551.24</w:t>
            </w:r>
          </w:p>
        </w:tc>
        <w:tc>
          <w:tcPr>
            <w:tcW w:w="2250" w:type="dxa"/>
            <w:vAlign w:val="bottom"/>
          </w:tcPr>
          <w:p w:rsidR="00C73F5C" w:rsidRPr="00BD131B" w:rsidRDefault="00C73F5C">
            <w:pPr>
              <w:jc w:val="right"/>
              <w:rPr>
                <w:color w:val="000000"/>
                <w:szCs w:val="21"/>
              </w:rPr>
            </w:pPr>
            <w:r w:rsidRPr="00BD131B">
              <w:rPr>
                <w:color w:val="000000"/>
                <w:szCs w:val="21"/>
              </w:rPr>
              <w:t>48,899.89</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4,831.95</w:t>
            </w:r>
          </w:p>
        </w:tc>
        <w:tc>
          <w:tcPr>
            <w:tcW w:w="2250" w:type="dxa"/>
            <w:vAlign w:val="bottom"/>
          </w:tcPr>
          <w:p w:rsidR="00C73F5C" w:rsidRPr="00BD131B" w:rsidRDefault="00C73F5C">
            <w:pPr>
              <w:jc w:val="right"/>
              <w:rPr>
                <w:color w:val="000000"/>
                <w:szCs w:val="21"/>
              </w:rPr>
            </w:pPr>
            <w:r w:rsidRPr="00BD131B">
              <w:rPr>
                <w:color w:val="000000"/>
                <w:szCs w:val="21"/>
              </w:rPr>
              <w:t>35,094.66</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6,738,162.72</w:t>
            </w:r>
          </w:p>
        </w:tc>
        <w:tc>
          <w:tcPr>
            <w:tcW w:w="2250" w:type="dxa"/>
            <w:vAlign w:val="bottom"/>
          </w:tcPr>
          <w:p w:rsidR="00C73F5C" w:rsidRPr="00BD131B" w:rsidRDefault="00C73F5C">
            <w:pPr>
              <w:jc w:val="right"/>
              <w:rPr>
                <w:color w:val="000000"/>
                <w:szCs w:val="21"/>
              </w:rPr>
            </w:pPr>
            <w:r w:rsidRPr="00BD131B">
              <w:rPr>
                <w:color w:val="000000"/>
                <w:szCs w:val="21"/>
              </w:rPr>
              <w:t>8,491,001.76</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6,738,162.72</w:t>
            </w:r>
          </w:p>
        </w:tc>
        <w:tc>
          <w:tcPr>
            <w:tcW w:w="2250" w:type="dxa"/>
            <w:vAlign w:val="bottom"/>
          </w:tcPr>
          <w:p w:rsidR="00C73F5C" w:rsidRPr="00BD131B" w:rsidRDefault="00C73F5C">
            <w:pPr>
              <w:jc w:val="right"/>
              <w:rPr>
                <w:color w:val="000000"/>
                <w:szCs w:val="21"/>
              </w:rPr>
            </w:pPr>
            <w:r w:rsidRPr="00BD131B">
              <w:rPr>
                <w:color w:val="000000"/>
                <w:szCs w:val="21"/>
              </w:rPr>
              <w:t>8,491,001.76</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139,871.97</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138,046.76</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130,947.75</w:t>
            </w:r>
          </w:p>
        </w:tc>
        <w:tc>
          <w:tcPr>
            <w:tcW w:w="2250" w:type="dxa"/>
            <w:vAlign w:val="bottom"/>
          </w:tcPr>
          <w:p w:rsidR="00C73F5C" w:rsidRPr="00BD131B" w:rsidRDefault="00C73F5C">
            <w:pPr>
              <w:jc w:val="right"/>
              <w:rPr>
                <w:color w:val="000000"/>
                <w:szCs w:val="21"/>
              </w:rPr>
            </w:pPr>
            <w:r w:rsidRPr="00BD131B">
              <w:rPr>
                <w:color w:val="000000"/>
                <w:szCs w:val="21"/>
              </w:rPr>
              <w:t>137,855.52</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27,908,219.97</w:t>
            </w:r>
          </w:p>
        </w:tc>
        <w:tc>
          <w:tcPr>
            <w:tcW w:w="2250" w:type="dxa"/>
            <w:vAlign w:val="bottom"/>
          </w:tcPr>
          <w:p w:rsidR="00C73F5C" w:rsidRPr="00BD131B" w:rsidRDefault="00C73F5C">
            <w:pPr>
              <w:jc w:val="right"/>
              <w:rPr>
                <w:b/>
                <w:color w:val="000000"/>
                <w:szCs w:val="21"/>
              </w:rPr>
            </w:pPr>
            <w:r w:rsidRPr="00BD131B">
              <w:rPr>
                <w:b/>
                <w:color w:val="000000"/>
                <w:szCs w:val="21"/>
              </w:rPr>
              <w:t>35,094,109.00</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27,908,219.97</w:t>
            </w:r>
          </w:p>
        </w:tc>
        <w:tc>
          <w:tcPr>
            <w:tcW w:w="2250" w:type="dxa"/>
            <w:vAlign w:val="bottom"/>
          </w:tcPr>
          <w:p w:rsidR="00C73F5C" w:rsidRPr="00BD131B" w:rsidRDefault="00C73F5C">
            <w:pPr>
              <w:jc w:val="right"/>
              <w:rPr>
                <w:b/>
                <w:color w:val="000000"/>
                <w:szCs w:val="21"/>
              </w:rPr>
            </w:pPr>
            <w:r w:rsidRPr="00BD131B">
              <w:rPr>
                <w:b/>
                <w:color w:val="000000"/>
                <w:szCs w:val="21"/>
              </w:rPr>
              <w:t>35,094,109.00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4568"/>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易方达恒久添利1年定期开放债券型证券投资基金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1,096,851,701.36</w:t>
            </w:r>
          </w:p>
        </w:tc>
        <w:tc>
          <w:tcPr>
            <w:tcW w:w="2149" w:type="dxa"/>
            <w:vAlign w:val="bottom"/>
          </w:tcPr>
          <w:p w:rsidR="001548F9" w:rsidRPr="00BD131B" w:rsidRDefault="001548F9">
            <w:pPr>
              <w:jc w:val="right"/>
              <w:rPr>
                <w:color w:val="000000"/>
                <w:szCs w:val="21"/>
              </w:rPr>
            </w:pPr>
            <w:r w:rsidRPr="00BD131B">
              <w:rPr>
                <w:color w:val="000000"/>
                <w:szCs w:val="21"/>
              </w:rPr>
              <w:t>17,836,869.31</w:t>
            </w:r>
          </w:p>
        </w:tc>
        <w:tc>
          <w:tcPr>
            <w:tcW w:w="2150" w:type="dxa"/>
            <w:vAlign w:val="bottom"/>
          </w:tcPr>
          <w:p w:rsidR="001548F9" w:rsidRPr="00BD131B" w:rsidRDefault="001548F9">
            <w:pPr>
              <w:jc w:val="right"/>
              <w:rPr>
                <w:color w:val="000000"/>
                <w:szCs w:val="21"/>
              </w:rPr>
            </w:pPr>
            <w:r w:rsidRPr="00BD131B">
              <w:rPr>
                <w:color w:val="000000"/>
                <w:szCs w:val="21"/>
              </w:rPr>
              <w:t>1,114,688,570.67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27,908,219.97</w:t>
            </w:r>
          </w:p>
        </w:tc>
        <w:tc>
          <w:tcPr>
            <w:tcW w:w="2150" w:type="dxa"/>
            <w:vAlign w:val="bottom"/>
          </w:tcPr>
          <w:p w:rsidR="001548F9" w:rsidRPr="00BD131B" w:rsidRDefault="001548F9">
            <w:pPr>
              <w:jc w:val="right"/>
              <w:rPr>
                <w:color w:val="000000"/>
                <w:szCs w:val="21"/>
              </w:rPr>
            </w:pPr>
            <w:r w:rsidRPr="00BD131B">
              <w:rPr>
                <w:color w:val="000000"/>
                <w:szCs w:val="21"/>
              </w:rPr>
              <w:t>27,908,219.97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lastRenderedPageBreak/>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-41,629,658.05</w:t>
            </w:r>
          </w:p>
        </w:tc>
        <w:tc>
          <w:tcPr>
            <w:tcW w:w="2150" w:type="dxa"/>
            <w:vAlign w:val="bottom"/>
          </w:tcPr>
          <w:p w:rsidR="001548F9" w:rsidRPr="00BD131B" w:rsidRDefault="001548F9">
            <w:pPr>
              <w:jc w:val="right"/>
              <w:rPr>
                <w:color w:val="000000"/>
                <w:szCs w:val="21"/>
              </w:rPr>
            </w:pPr>
            <w:r w:rsidRPr="00BD131B">
              <w:rPr>
                <w:color w:val="000000"/>
                <w:szCs w:val="21"/>
              </w:rPr>
              <w:t>-41,629,658.05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1,096,851,701.36</w:t>
            </w:r>
          </w:p>
        </w:tc>
        <w:tc>
          <w:tcPr>
            <w:tcW w:w="2149" w:type="dxa"/>
            <w:vAlign w:val="bottom"/>
          </w:tcPr>
          <w:p w:rsidR="001548F9" w:rsidRPr="00BD131B" w:rsidRDefault="001548F9">
            <w:pPr>
              <w:jc w:val="right"/>
              <w:rPr>
                <w:color w:val="000000"/>
                <w:szCs w:val="21"/>
              </w:rPr>
            </w:pPr>
            <w:r w:rsidRPr="00BD131B">
              <w:rPr>
                <w:color w:val="000000"/>
                <w:szCs w:val="21"/>
              </w:rPr>
              <w:t>4,115,431.23</w:t>
            </w:r>
          </w:p>
        </w:tc>
        <w:tc>
          <w:tcPr>
            <w:tcW w:w="2150" w:type="dxa"/>
            <w:vAlign w:val="bottom"/>
          </w:tcPr>
          <w:p w:rsidR="001548F9" w:rsidRPr="00BD131B" w:rsidRDefault="001548F9">
            <w:pPr>
              <w:jc w:val="right"/>
              <w:rPr>
                <w:color w:val="000000"/>
                <w:szCs w:val="21"/>
              </w:rPr>
            </w:pPr>
            <w:r w:rsidRPr="00BD131B">
              <w:rPr>
                <w:color w:val="000000"/>
                <w:szCs w:val="21"/>
              </w:rPr>
              <w:t>1,100,967,132.59</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904,991,047.12</w:t>
            </w:r>
          </w:p>
        </w:tc>
        <w:tc>
          <w:tcPr>
            <w:tcW w:w="2149" w:type="dxa"/>
            <w:vAlign w:val="bottom"/>
          </w:tcPr>
          <w:p w:rsidR="001548F9" w:rsidRPr="00BD131B" w:rsidRDefault="001548F9">
            <w:pPr>
              <w:jc w:val="right"/>
              <w:rPr>
                <w:color w:val="000000"/>
                <w:szCs w:val="21"/>
              </w:rPr>
            </w:pPr>
            <w:r w:rsidRPr="00BD131B">
              <w:rPr>
                <w:color w:val="000000"/>
                <w:szCs w:val="21"/>
              </w:rPr>
              <w:t>85,591,708.24</w:t>
            </w:r>
          </w:p>
        </w:tc>
        <w:tc>
          <w:tcPr>
            <w:tcW w:w="2150" w:type="dxa"/>
            <w:vAlign w:val="bottom"/>
          </w:tcPr>
          <w:p w:rsidR="001548F9" w:rsidRPr="00BD131B" w:rsidRDefault="001548F9">
            <w:pPr>
              <w:jc w:val="right"/>
              <w:rPr>
                <w:color w:val="000000"/>
                <w:szCs w:val="21"/>
              </w:rPr>
            </w:pPr>
            <w:r w:rsidRPr="00BD131B">
              <w:rPr>
                <w:color w:val="000000"/>
                <w:szCs w:val="21"/>
              </w:rPr>
              <w:t>990,582,755.36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35,094,109.00</w:t>
            </w:r>
          </w:p>
        </w:tc>
        <w:tc>
          <w:tcPr>
            <w:tcW w:w="2150" w:type="dxa"/>
            <w:vAlign w:val="bottom"/>
          </w:tcPr>
          <w:p w:rsidR="001548F9" w:rsidRPr="00BD131B" w:rsidRDefault="001548F9">
            <w:pPr>
              <w:jc w:val="right"/>
              <w:rPr>
                <w:color w:val="000000"/>
                <w:szCs w:val="21"/>
              </w:rPr>
            </w:pPr>
            <w:r w:rsidRPr="00BD131B">
              <w:rPr>
                <w:color w:val="000000"/>
                <w:szCs w:val="21"/>
              </w:rPr>
              <w:t>35,094,109.00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-89,389,101.61</w:t>
            </w:r>
          </w:p>
        </w:tc>
        <w:tc>
          <w:tcPr>
            <w:tcW w:w="2150" w:type="dxa"/>
            <w:vAlign w:val="bottom"/>
          </w:tcPr>
          <w:p w:rsidR="001548F9" w:rsidRPr="00BD131B" w:rsidRDefault="001548F9">
            <w:pPr>
              <w:jc w:val="right"/>
              <w:rPr>
                <w:color w:val="000000"/>
                <w:szCs w:val="21"/>
              </w:rPr>
            </w:pPr>
            <w:r w:rsidRPr="00BD131B">
              <w:rPr>
                <w:color w:val="000000"/>
                <w:szCs w:val="21"/>
              </w:rPr>
              <w:t>-89,389,101.61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904,991,047.12</w:t>
            </w:r>
          </w:p>
        </w:tc>
        <w:tc>
          <w:tcPr>
            <w:tcW w:w="2149" w:type="dxa"/>
            <w:vAlign w:val="bottom"/>
          </w:tcPr>
          <w:p w:rsidR="001548F9" w:rsidRPr="00BD131B" w:rsidRDefault="001548F9">
            <w:pPr>
              <w:jc w:val="right"/>
              <w:rPr>
                <w:color w:val="000000"/>
                <w:szCs w:val="21"/>
              </w:rPr>
            </w:pPr>
            <w:r w:rsidRPr="00BD131B">
              <w:rPr>
                <w:color w:val="000000"/>
                <w:szCs w:val="21"/>
              </w:rPr>
              <w:t>31,296,715.63</w:t>
            </w:r>
          </w:p>
        </w:tc>
        <w:tc>
          <w:tcPr>
            <w:tcW w:w="2150" w:type="dxa"/>
            <w:vAlign w:val="bottom"/>
          </w:tcPr>
          <w:p w:rsidR="001548F9" w:rsidRPr="00BD131B" w:rsidRDefault="001548F9">
            <w:pPr>
              <w:jc w:val="right"/>
              <w:rPr>
                <w:color w:val="000000"/>
                <w:szCs w:val="21"/>
              </w:rPr>
            </w:pPr>
            <w:r w:rsidRPr="00BD131B">
              <w:rPr>
                <w:color w:val="000000"/>
                <w:szCs w:val="21"/>
              </w:rPr>
              <w:t>936,287,762.75</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4569"/>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易方达恒久添利</w:t>
      </w:r>
      <w:r w:rsidRPr="00A62732">
        <w:rPr>
          <w:kern w:val="0"/>
          <w:szCs w:val="21"/>
        </w:rPr>
        <w:t>1</w:t>
      </w:r>
      <w:r w:rsidRPr="00A62732">
        <w:rPr>
          <w:kern w:val="0"/>
          <w:szCs w:val="21"/>
        </w:rPr>
        <w:t>年定期开放债券型证券投资基金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根据中国证券监督管理委员会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[2013]838</w:t>
      </w:r>
      <w:r w:rsidRPr="00A62732">
        <w:rPr>
          <w:kern w:val="0"/>
          <w:szCs w:val="21"/>
        </w:rPr>
        <w:t>号《关于核准易方达恒久添利</w:t>
      </w:r>
      <w:r w:rsidRPr="00A62732">
        <w:rPr>
          <w:kern w:val="0"/>
          <w:szCs w:val="21"/>
        </w:rPr>
        <w:t>1</w:t>
      </w:r>
      <w:r w:rsidRPr="00A62732">
        <w:rPr>
          <w:kern w:val="0"/>
          <w:szCs w:val="21"/>
        </w:rPr>
        <w:t>年定期开放债券型证券投资基金募集的批复》和证券基金机构监管部函</w:t>
      </w:r>
      <w:r w:rsidRPr="00A62732">
        <w:rPr>
          <w:kern w:val="0"/>
          <w:szCs w:val="21"/>
        </w:rPr>
        <w:t>[2014]1018</w:t>
      </w:r>
      <w:r w:rsidRPr="00A62732">
        <w:rPr>
          <w:kern w:val="0"/>
          <w:szCs w:val="21"/>
        </w:rPr>
        <w:t>号《关于易方达恒久添利</w:t>
      </w:r>
      <w:r w:rsidRPr="00A62732">
        <w:rPr>
          <w:kern w:val="0"/>
          <w:szCs w:val="21"/>
        </w:rPr>
        <w:t xml:space="preserve">1 </w:t>
      </w:r>
      <w:r w:rsidRPr="00A62732">
        <w:rPr>
          <w:kern w:val="0"/>
          <w:szCs w:val="21"/>
        </w:rPr>
        <w:t>年定期开放债券型证券投资基金延期募集备案的回函》进行募集，由易方达基金管理有限公司依照《中华人民共和国证券投资基金法》和《易方达恒久添利</w:t>
      </w:r>
      <w:r w:rsidRPr="00A62732">
        <w:rPr>
          <w:kern w:val="0"/>
          <w:szCs w:val="21"/>
        </w:rPr>
        <w:t>1</w:t>
      </w:r>
      <w:r w:rsidRPr="00A62732">
        <w:rPr>
          <w:kern w:val="0"/>
          <w:szCs w:val="21"/>
        </w:rPr>
        <w:t>年定期开放债券型证券投资基金基金合同》</w:t>
      </w:r>
      <w:r w:rsidRPr="00A62732">
        <w:rPr>
          <w:kern w:val="0"/>
          <w:szCs w:val="21"/>
        </w:rPr>
        <w:lastRenderedPageBreak/>
        <w:t>公开募集。经向中国证监会备案，《易方达恒久添利</w:t>
      </w:r>
      <w:r w:rsidRPr="00A62732">
        <w:rPr>
          <w:kern w:val="0"/>
          <w:szCs w:val="21"/>
        </w:rPr>
        <w:t>1</w:t>
      </w:r>
      <w:r w:rsidRPr="00A62732">
        <w:rPr>
          <w:kern w:val="0"/>
          <w:szCs w:val="21"/>
        </w:rPr>
        <w:t>年定期开放债券型证券投资基金基金合同》于</w:t>
      </w:r>
      <w:r w:rsidRPr="00A62732">
        <w:rPr>
          <w:kern w:val="0"/>
          <w:szCs w:val="21"/>
        </w:rPr>
        <w:t>2014</w:t>
      </w:r>
      <w:r w:rsidRPr="00A62732">
        <w:rPr>
          <w:kern w:val="0"/>
          <w:szCs w:val="21"/>
        </w:rPr>
        <w:t>年</w:t>
      </w:r>
      <w:r w:rsidRPr="00A62732">
        <w:rPr>
          <w:kern w:val="0"/>
          <w:szCs w:val="21"/>
        </w:rPr>
        <w:t>9</w:t>
      </w:r>
      <w:r w:rsidRPr="00A62732">
        <w:rPr>
          <w:kern w:val="0"/>
          <w:szCs w:val="21"/>
        </w:rPr>
        <w:t>月</w:t>
      </w:r>
      <w:r w:rsidRPr="00A62732">
        <w:rPr>
          <w:kern w:val="0"/>
          <w:szCs w:val="21"/>
        </w:rPr>
        <w:t>10</w:t>
      </w:r>
      <w:r w:rsidRPr="00A62732">
        <w:rPr>
          <w:kern w:val="0"/>
          <w:szCs w:val="21"/>
        </w:rPr>
        <w:t>日正式生效，基金合同生效日的基金份额总额为</w:t>
      </w:r>
      <w:r w:rsidRPr="00A62732">
        <w:rPr>
          <w:kern w:val="0"/>
          <w:szCs w:val="21"/>
        </w:rPr>
        <w:t>581,788,126.66</w:t>
      </w:r>
      <w:r w:rsidRPr="00A62732">
        <w:rPr>
          <w:kern w:val="0"/>
          <w:szCs w:val="21"/>
        </w:rPr>
        <w:t>份基金份额，其中认购资金利息折合</w:t>
      </w:r>
      <w:r w:rsidRPr="00A62732">
        <w:rPr>
          <w:kern w:val="0"/>
          <w:szCs w:val="21"/>
        </w:rPr>
        <w:t>208,026.51</w:t>
      </w:r>
      <w:r w:rsidRPr="00A62732">
        <w:rPr>
          <w:kern w:val="0"/>
          <w:szCs w:val="21"/>
        </w:rPr>
        <w:t>份基金份额。本基金为契约型开放式基金，存续期限不定。本基金的基金管理人为易方达基金管理有限公司，基金托管人为中国工商银行股份有限公司。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40140E" w:rsidRDefault="009477A8">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颁布的《证券投资基金会计核算业务指引》、《易方达恒久添利</w:t>
      </w:r>
      <w:r>
        <w:rPr>
          <w:kern w:val="0"/>
          <w:szCs w:val="21"/>
        </w:rPr>
        <w:t>1</w:t>
      </w:r>
      <w:r>
        <w:rPr>
          <w:kern w:val="0"/>
          <w:szCs w:val="21"/>
        </w:rPr>
        <w:t>年定期开放债券型证券投资基金基金合同》和财务报表附注所列示的中国证监会、中国基金业协会发布的有关规定及允许的基金行业实务操作编制。</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40140E" w:rsidRDefault="009477A8">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40140E" w:rsidRDefault="009477A8">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w:t>
      </w:r>
      <w:r>
        <w:rPr>
          <w:kern w:val="0"/>
          <w:szCs w:val="21"/>
        </w:rPr>
        <w:lastRenderedPageBreak/>
        <w:t>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40140E" w:rsidRDefault="009477A8">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40140E" w:rsidRDefault="009477A8">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40140E" w:rsidRDefault="009477A8">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40140E" w:rsidRDefault="009477A8">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5,705,456.18</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5,705,456.18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lastRenderedPageBreak/>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653,582,490.80</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659,150,615.20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5,568,124.40</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773,633,061.98</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775,726,100.00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2,093,038.02</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1,427,215,552.78</w:t>
            </w:r>
          </w:p>
        </w:tc>
        <w:tc>
          <w:tcPr>
            <w:tcW w:w="2339" w:type="dxa"/>
            <w:vAlign w:val="center"/>
          </w:tcPr>
          <w:p w:rsidR="001548F9" w:rsidRPr="00325F8A" w:rsidRDefault="001548F9" w:rsidP="00CB39C2">
            <w:pPr>
              <w:jc w:val="right"/>
              <w:rPr>
                <w:color w:val="000000"/>
                <w:szCs w:val="21"/>
              </w:rPr>
            </w:pPr>
            <w:r w:rsidRPr="00325F8A">
              <w:rPr>
                <w:szCs w:val="21"/>
              </w:rPr>
              <w:t>1,434,876,715.20</w:t>
            </w:r>
          </w:p>
        </w:tc>
        <w:tc>
          <w:tcPr>
            <w:tcW w:w="2340" w:type="dxa"/>
            <w:vAlign w:val="center"/>
          </w:tcPr>
          <w:p w:rsidR="001548F9" w:rsidRPr="00325F8A" w:rsidRDefault="001548F9" w:rsidP="00CB39C2">
            <w:pPr>
              <w:jc w:val="right"/>
              <w:rPr>
                <w:color w:val="000000"/>
                <w:szCs w:val="21"/>
              </w:rPr>
            </w:pPr>
            <w:r w:rsidRPr="00325F8A">
              <w:rPr>
                <w:szCs w:val="21"/>
              </w:rPr>
              <w:t>7,661,162.42</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30,000,000.00</w:t>
            </w:r>
          </w:p>
        </w:tc>
        <w:tc>
          <w:tcPr>
            <w:tcW w:w="2339" w:type="dxa"/>
            <w:vAlign w:val="bottom"/>
          </w:tcPr>
          <w:p w:rsidR="001548F9" w:rsidRPr="00325F8A" w:rsidRDefault="001548F9" w:rsidP="00CB39C2">
            <w:pPr>
              <w:jc w:val="right"/>
              <w:rPr>
                <w:szCs w:val="21"/>
              </w:rPr>
            </w:pPr>
            <w:r w:rsidRPr="00325F8A">
              <w:rPr>
                <w:szCs w:val="21"/>
              </w:rPr>
              <w:t>30,081,000.00</w:t>
            </w:r>
          </w:p>
        </w:tc>
        <w:tc>
          <w:tcPr>
            <w:tcW w:w="2340" w:type="dxa"/>
            <w:vAlign w:val="bottom"/>
          </w:tcPr>
          <w:p w:rsidR="001548F9" w:rsidRPr="00325F8A" w:rsidRDefault="001548F9" w:rsidP="00CB39C2">
            <w:pPr>
              <w:jc w:val="right"/>
              <w:rPr>
                <w:szCs w:val="21"/>
              </w:rPr>
            </w:pPr>
            <w:r w:rsidRPr="00325F8A">
              <w:rPr>
                <w:szCs w:val="21"/>
              </w:rPr>
              <w:t>81,000.00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1,457,215,552.78</w:t>
            </w:r>
          </w:p>
        </w:tc>
        <w:tc>
          <w:tcPr>
            <w:tcW w:w="2339" w:type="dxa"/>
            <w:vAlign w:val="bottom"/>
          </w:tcPr>
          <w:p w:rsidR="001548F9" w:rsidRPr="00325F8A" w:rsidRDefault="001548F9" w:rsidP="00CB39C2">
            <w:pPr>
              <w:jc w:val="right"/>
              <w:rPr>
                <w:szCs w:val="21"/>
              </w:rPr>
            </w:pPr>
            <w:r w:rsidRPr="00325F8A">
              <w:rPr>
                <w:szCs w:val="21"/>
              </w:rPr>
              <w:t>1,464,957,715.20</w:t>
            </w:r>
          </w:p>
        </w:tc>
        <w:tc>
          <w:tcPr>
            <w:tcW w:w="2340" w:type="dxa"/>
            <w:vAlign w:val="bottom"/>
          </w:tcPr>
          <w:p w:rsidR="001548F9" w:rsidRPr="00325F8A" w:rsidRDefault="001548F9" w:rsidP="00CB39C2">
            <w:pPr>
              <w:jc w:val="right"/>
              <w:rPr>
                <w:szCs w:val="21"/>
              </w:rPr>
            </w:pPr>
            <w:r w:rsidRPr="00325F8A">
              <w:rPr>
                <w:szCs w:val="21"/>
              </w:rPr>
              <w:t>7,742,162.42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137.82</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18,273.51</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31,800,882.68</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506,189.59</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1.80</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32,325,485.40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14,073.39</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14,073.39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40140E">
        <w:tc>
          <w:tcPr>
            <w:tcW w:w="3701" w:type="dxa"/>
            <w:vAlign w:val="center"/>
          </w:tcPr>
          <w:p w:rsidR="0040140E" w:rsidRDefault="009477A8">
            <w:pPr>
              <w:jc w:val="left"/>
            </w:pPr>
            <w:r>
              <w:rPr>
                <w:szCs w:val="21"/>
              </w:rPr>
              <w:t>预提费用</w:t>
            </w:r>
          </w:p>
        </w:tc>
        <w:tc>
          <w:tcPr>
            <w:tcW w:w="5528" w:type="dxa"/>
            <w:vAlign w:val="center"/>
          </w:tcPr>
          <w:p w:rsidR="0040140E" w:rsidRDefault="009477A8">
            <w:pPr>
              <w:jc w:val="right"/>
            </w:pPr>
            <w:r>
              <w:rPr>
                <w:szCs w:val="21"/>
              </w:rPr>
              <w:t>323,530.70</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323,530.70</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易方达恒久1年定期债券A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1,071,498,588.88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1,071,498,588.88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1,071,498,588.88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1,071,498,588.88</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易方达恒久1年定期债券C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25,353,112.48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25,353,112.48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lastRenderedPageBreak/>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25,353,112.48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25,353,112.48</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易方达恒久1年定期债券A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30,098,253.78</w:t>
            </w:r>
          </w:p>
        </w:tc>
        <w:tc>
          <w:tcPr>
            <w:tcW w:w="2236" w:type="dxa"/>
            <w:vAlign w:val="center"/>
          </w:tcPr>
          <w:p w:rsidR="001548F9" w:rsidRPr="00325F8A" w:rsidRDefault="001548F9" w:rsidP="00DD33BB">
            <w:pPr>
              <w:jc w:val="right"/>
              <w:rPr>
                <w:szCs w:val="21"/>
              </w:rPr>
            </w:pPr>
            <w:r w:rsidRPr="00325F8A">
              <w:rPr>
                <w:szCs w:val="21"/>
              </w:rPr>
              <w:t>-12,642,237.94</w:t>
            </w:r>
          </w:p>
        </w:tc>
        <w:tc>
          <w:tcPr>
            <w:tcW w:w="2237" w:type="dxa"/>
            <w:vAlign w:val="center"/>
          </w:tcPr>
          <w:p w:rsidR="001548F9" w:rsidRPr="00325F8A" w:rsidRDefault="001548F9" w:rsidP="00DD33BB">
            <w:pPr>
              <w:jc w:val="right"/>
              <w:rPr>
                <w:szCs w:val="21"/>
              </w:rPr>
            </w:pPr>
            <w:r w:rsidRPr="00325F8A">
              <w:rPr>
                <w:szCs w:val="21"/>
              </w:rPr>
              <w:t>17,456,015.84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27,142,377.03</w:t>
            </w:r>
          </w:p>
        </w:tc>
        <w:tc>
          <w:tcPr>
            <w:tcW w:w="2236" w:type="dxa"/>
            <w:vAlign w:val="center"/>
          </w:tcPr>
          <w:p w:rsidR="001548F9" w:rsidRPr="00325F8A" w:rsidRDefault="001548F9" w:rsidP="00DD33BB">
            <w:pPr>
              <w:jc w:val="right"/>
              <w:rPr>
                <w:szCs w:val="21"/>
              </w:rPr>
            </w:pPr>
            <w:r w:rsidRPr="00325F8A">
              <w:rPr>
                <w:szCs w:val="21"/>
              </w:rPr>
              <w:t>172,452.60</w:t>
            </w:r>
          </w:p>
        </w:tc>
        <w:tc>
          <w:tcPr>
            <w:tcW w:w="2237" w:type="dxa"/>
            <w:vAlign w:val="center"/>
          </w:tcPr>
          <w:p w:rsidR="001548F9" w:rsidRPr="00325F8A" w:rsidRDefault="001548F9" w:rsidP="00DD33BB">
            <w:pPr>
              <w:jc w:val="right"/>
              <w:rPr>
                <w:szCs w:val="21"/>
              </w:rPr>
            </w:pPr>
            <w:r w:rsidRPr="00325F8A">
              <w:rPr>
                <w:szCs w:val="21"/>
              </w:rPr>
              <w:t>27,314,829.63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-40,716,946.15</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-40,716,946.15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16,523,684.66</w:t>
            </w:r>
          </w:p>
        </w:tc>
        <w:tc>
          <w:tcPr>
            <w:tcW w:w="2236" w:type="dxa"/>
            <w:vAlign w:val="center"/>
          </w:tcPr>
          <w:p w:rsidR="001548F9" w:rsidRPr="00325F8A" w:rsidRDefault="001548F9" w:rsidP="00DD33BB">
            <w:pPr>
              <w:jc w:val="right"/>
              <w:rPr>
                <w:szCs w:val="21"/>
              </w:rPr>
            </w:pPr>
            <w:r w:rsidRPr="00325F8A">
              <w:rPr>
                <w:szCs w:val="21"/>
              </w:rPr>
              <w:t>-12,469,785.34</w:t>
            </w:r>
          </w:p>
        </w:tc>
        <w:tc>
          <w:tcPr>
            <w:tcW w:w="2237" w:type="dxa"/>
            <w:vAlign w:val="center"/>
          </w:tcPr>
          <w:p w:rsidR="001548F9" w:rsidRPr="00325F8A" w:rsidRDefault="001548F9" w:rsidP="00DD33BB">
            <w:pPr>
              <w:jc w:val="right"/>
              <w:rPr>
                <w:szCs w:val="21"/>
              </w:rPr>
            </w:pPr>
            <w:r w:rsidRPr="00325F8A">
              <w:rPr>
                <w:szCs w:val="21"/>
              </w:rPr>
              <w:t>4,053,899.32</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易方达恒久1年定期债券C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677,874.85</w:t>
            </w:r>
          </w:p>
        </w:tc>
        <w:tc>
          <w:tcPr>
            <w:tcW w:w="2236" w:type="dxa"/>
            <w:vAlign w:val="center"/>
          </w:tcPr>
          <w:p w:rsidR="001548F9" w:rsidRPr="00325F8A" w:rsidRDefault="001548F9" w:rsidP="00DD33BB">
            <w:pPr>
              <w:jc w:val="right"/>
              <w:rPr>
                <w:szCs w:val="21"/>
              </w:rPr>
            </w:pPr>
            <w:r w:rsidRPr="00325F8A">
              <w:rPr>
                <w:szCs w:val="21"/>
              </w:rPr>
              <w:t>-297,021.38</w:t>
            </w:r>
          </w:p>
        </w:tc>
        <w:tc>
          <w:tcPr>
            <w:tcW w:w="2237" w:type="dxa"/>
            <w:vAlign w:val="center"/>
          </w:tcPr>
          <w:p w:rsidR="001548F9" w:rsidRPr="00325F8A" w:rsidRDefault="001548F9" w:rsidP="00DD33BB">
            <w:pPr>
              <w:jc w:val="right"/>
              <w:rPr>
                <w:szCs w:val="21"/>
              </w:rPr>
            </w:pPr>
            <w:r w:rsidRPr="00325F8A">
              <w:rPr>
                <w:szCs w:val="21"/>
              </w:rPr>
              <w:t>380,853.47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589,620.36</w:t>
            </w:r>
          </w:p>
        </w:tc>
        <w:tc>
          <w:tcPr>
            <w:tcW w:w="2236" w:type="dxa"/>
            <w:vAlign w:val="center"/>
          </w:tcPr>
          <w:p w:rsidR="001548F9" w:rsidRPr="00325F8A" w:rsidRDefault="001548F9" w:rsidP="00DD33BB">
            <w:pPr>
              <w:jc w:val="right"/>
              <w:rPr>
                <w:szCs w:val="21"/>
              </w:rPr>
            </w:pPr>
            <w:r w:rsidRPr="00325F8A">
              <w:rPr>
                <w:szCs w:val="21"/>
              </w:rPr>
              <w:t>3,769.98</w:t>
            </w:r>
          </w:p>
        </w:tc>
        <w:tc>
          <w:tcPr>
            <w:tcW w:w="2237" w:type="dxa"/>
            <w:vAlign w:val="center"/>
          </w:tcPr>
          <w:p w:rsidR="001548F9" w:rsidRPr="00325F8A" w:rsidRDefault="001548F9" w:rsidP="00DD33BB">
            <w:pPr>
              <w:jc w:val="right"/>
              <w:rPr>
                <w:szCs w:val="21"/>
              </w:rPr>
            </w:pPr>
            <w:r w:rsidRPr="00325F8A">
              <w:rPr>
                <w:szCs w:val="21"/>
              </w:rPr>
              <w:t>593,390.34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-912,711.90</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-912,711.90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354,783.31</w:t>
            </w:r>
          </w:p>
        </w:tc>
        <w:tc>
          <w:tcPr>
            <w:tcW w:w="2236" w:type="dxa"/>
            <w:vAlign w:val="center"/>
          </w:tcPr>
          <w:p w:rsidR="001548F9" w:rsidRPr="00325F8A" w:rsidRDefault="001548F9" w:rsidP="00DD33BB">
            <w:pPr>
              <w:jc w:val="right"/>
              <w:rPr>
                <w:szCs w:val="21"/>
              </w:rPr>
            </w:pPr>
            <w:r w:rsidRPr="00325F8A">
              <w:rPr>
                <w:szCs w:val="21"/>
              </w:rPr>
              <w:t>-293,251.40</w:t>
            </w:r>
          </w:p>
        </w:tc>
        <w:tc>
          <w:tcPr>
            <w:tcW w:w="2237" w:type="dxa"/>
            <w:vAlign w:val="center"/>
          </w:tcPr>
          <w:p w:rsidR="001548F9" w:rsidRPr="00325F8A" w:rsidRDefault="001548F9" w:rsidP="00DD33BB">
            <w:pPr>
              <w:jc w:val="right"/>
              <w:rPr>
                <w:szCs w:val="21"/>
              </w:rPr>
            </w:pPr>
            <w:r w:rsidRPr="00325F8A">
              <w:rPr>
                <w:szCs w:val="21"/>
              </w:rPr>
              <w:t>61,531.91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6,579.09</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288,733.59</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229.92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295,542.60</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lastRenderedPageBreak/>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459,348,600.91</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440,835,593.71</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20,140,032.71</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-1,627,025.51</w:t>
            </w:r>
          </w:p>
        </w:tc>
      </w:tr>
    </w:tbl>
    <w:p w:rsidR="00E67508" w:rsidRPr="00060985" w:rsidRDefault="003E58D4" w:rsidP="00EE0AC0">
      <w:pPr>
        <w:spacing w:line="360" w:lineRule="auto"/>
        <w:ind w:firstLineChars="196" w:firstLine="413"/>
        <w:rPr>
          <w:rFonts w:ascii="宋体"/>
          <w:b/>
          <w:bCs/>
          <w:color w:val="000000"/>
          <w:kern w:val="0"/>
          <w:szCs w:val="21"/>
        </w:rPr>
      </w:pPr>
      <w:r w:rsidRPr="00D564C7">
        <w:rPr>
          <w:rFonts w:asciiTheme="minorEastAsia" w:eastAsiaTheme="minorEastAsia" w:hAnsiTheme="minorEastAsia"/>
          <w:b/>
          <w:bCs/>
          <w:color w:val="000000"/>
          <w:kern w:val="0"/>
          <w:szCs w:val="21"/>
        </w:rPr>
        <w:t>6.4.7.13</w:t>
      </w:r>
      <w:r w:rsidRPr="00D564C7">
        <w:rPr>
          <w:rFonts w:asciiTheme="minorEastAsia" w:eastAsiaTheme="minorEastAsia" w:hAnsiTheme="minorEastAsia" w:hint="eastAsia"/>
          <w:b/>
          <w:bCs/>
          <w:color w:val="000000"/>
          <w:kern w:val="0"/>
          <w:szCs w:val="21"/>
        </w:rPr>
        <w:t>.1</w:t>
      </w:r>
      <w:r w:rsidR="00E67508" w:rsidRPr="00060985">
        <w:rPr>
          <w:rFonts w:ascii="宋体" w:hint="eastAsia"/>
          <w:b/>
          <w:bCs/>
          <w:color w:val="000000"/>
          <w:kern w:val="0"/>
          <w:szCs w:val="21"/>
        </w:rPr>
        <w:t xml:space="preserve"> 资产支持证券投资收益</w:t>
      </w:r>
    </w:p>
    <w:p w:rsidR="00E67508" w:rsidRPr="00235099" w:rsidRDefault="00E67508" w:rsidP="00E67508">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395CC3" w:rsidRPr="00235099" w:rsidTr="00395CC3">
        <w:trPr>
          <w:trHeight w:val="315"/>
          <w:jc w:val="center"/>
        </w:trPr>
        <w:tc>
          <w:tcPr>
            <w:tcW w:w="3865" w:type="dxa"/>
            <w:vAlign w:val="center"/>
          </w:tcPr>
          <w:p w:rsidR="00395CC3" w:rsidRPr="00325F8A" w:rsidRDefault="00395CC3" w:rsidP="00F9321E">
            <w:pPr>
              <w:autoSpaceDE w:val="0"/>
              <w:autoSpaceDN w:val="0"/>
              <w:spacing w:line="360" w:lineRule="auto"/>
              <w:jc w:val="center"/>
              <w:textAlignment w:val="bottom"/>
              <w:rPr>
                <w:rFonts w:eastAsiaTheme="minorEastAsia"/>
                <w:kern w:val="0"/>
                <w:szCs w:val="21"/>
              </w:rPr>
            </w:pPr>
            <w:r w:rsidRPr="00325F8A">
              <w:rPr>
                <w:rFonts w:eastAsiaTheme="minorEastAsia" w:hAnsiTheme="minorEastAsia"/>
                <w:kern w:val="0"/>
                <w:szCs w:val="21"/>
              </w:rPr>
              <w:t>项目</w:t>
            </w:r>
          </w:p>
        </w:tc>
        <w:tc>
          <w:tcPr>
            <w:tcW w:w="5563" w:type="dxa"/>
            <w:vAlign w:val="center"/>
          </w:tcPr>
          <w:p w:rsidR="00395CC3" w:rsidRPr="00325F8A" w:rsidRDefault="00395CC3" w:rsidP="00F9321E">
            <w:pPr>
              <w:spacing w:line="360" w:lineRule="auto"/>
              <w:jc w:val="center"/>
              <w:rPr>
                <w:rFonts w:eastAsiaTheme="minorEastAsia"/>
                <w:szCs w:val="21"/>
              </w:rPr>
            </w:pPr>
            <w:r w:rsidRPr="00325F8A">
              <w:rPr>
                <w:rFonts w:eastAsiaTheme="minorEastAsia" w:hAnsiTheme="minorEastAsia"/>
                <w:szCs w:val="21"/>
              </w:rPr>
              <w:t>本期</w:t>
            </w:r>
          </w:p>
          <w:p w:rsidR="00395CC3" w:rsidRPr="00325F8A" w:rsidRDefault="00395CC3" w:rsidP="00F9321E">
            <w:pPr>
              <w:widowControl/>
              <w:autoSpaceDE w:val="0"/>
              <w:autoSpaceDN w:val="0"/>
              <w:spacing w:line="360" w:lineRule="auto"/>
              <w:ind w:right="-15"/>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卖出资产支持证券成交总额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10,366,904.11</w:t>
            </w:r>
          </w:p>
        </w:tc>
      </w:tr>
      <w:tr w:rsidR="00395CC3" w:rsidRPr="00235099" w:rsidTr="00395CC3">
        <w:trPr>
          <w:trHeight w:val="315"/>
          <w:jc w:val="center"/>
        </w:trPr>
        <w:tc>
          <w:tcPr>
            <w:tcW w:w="3865" w:type="dxa"/>
            <w:vAlign w:val="center"/>
          </w:tcPr>
          <w:p w:rsidR="00395CC3" w:rsidRPr="00325F8A" w:rsidRDefault="00395CC3" w:rsidP="00235099">
            <w:pPr>
              <w:widowControl/>
              <w:autoSpaceDE w:val="0"/>
              <w:autoSpaceDN w:val="0"/>
              <w:ind w:leftChars="-11" w:left="-2" w:hangingChars="10" w:hanging="21"/>
              <w:textAlignment w:val="bottom"/>
              <w:rPr>
                <w:kern w:val="0"/>
                <w:szCs w:val="21"/>
              </w:rPr>
            </w:pPr>
            <w:r w:rsidRPr="00325F8A">
              <w:rPr>
                <w:rFonts w:hAnsi="宋体"/>
                <w:kern w:val="0"/>
                <w:szCs w:val="21"/>
              </w:rPr>
              <w:t>减：卖出资产支持证券成本总额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10,000,000.00</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减：应收利息总额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366,904.11</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资产支持证券投资收益</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176,222.58</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106,222.58</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70,000.00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lastRenderedPageBreak/>
              <w:t>合计</w:t>
            </w:r>
          </w:p>
        </w:tc>
        <w:tc>
          <w:tcPr>
            <w:tcW w:w="5528" w:type="dxa"/>
            <w:vAlign w:val="center"/>
            <w:hideMark/>
          </w:tcPr>
          <w:p w:rsidR="00691B0E" w:rsidRDefault="00691B0E">
            <w:pPr>
              <w:jc w:val="right"/>
              <w:rPr>
                <w:szCs w:val="21"/>
              </w:rPr>
            </w:pPr>
            <w:r>
              <w:rPr>
                <w:szCs w:val="21"/>
              </w:rPr>
              <w:t>176,222.58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本基金本报告期无其他收入。</w:t>
      </w:r>
      <w:r w:rsidRPr="0090387E">
        <w:rPr>
          <w:kern w:val="0"/>
          <w:szCs w:val="21"/>
        </w:rPr>
        <w:tab/>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109.45</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4,722.50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4,831.95</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43,858.36</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40140E">
        <w:trPr>
          <w:jc w:val="center"/>
        </w:trPr>
        <w:tc>
          <w:tcPr>
            <w:tcW w:w="3853" w:type="dxa"/>
            <w:vAlign w:val="center"/>
          </w:tcPr>
          <w:p w:rsidR="0040140E" w:rsidRDefault="009477A8">
            <w:pPr>
              <w:jc w:val="left"/>
            </w:pPr>
            <w:r>
              <w:rPr>
                <w:szCs w:val="21"/>
              </w:rPr>
              <w:t>银行汇划费</w:t>
            </w:r>
          </w:p>
        </w:tc>
        <w:tc>
          <w:tcPr>
            <w:tcW w:w="5551" w:type="dxa"/>
            <w:vAlign w:val="center"/>
          </w:tcPr>
          <w:p w:rsidR="0040140E" w:rsidRDefault="009477A8">
            <w:pPr>
              <w:jc w:val="right"/>
            </w:pPr>
            <w:r>
              <w:rPr>
                <w:szCs w:val="21"/>
              </w:rPr>
              <w:t>8,817.05</w:t>
            </w:r>
          </w:p>
        </w:tc>
      </w:tr>
      <w:tr w:rsidR="0040140E">
        <w:trPr>
          <w:jc w:val="center"/>
        </w:trPr>
        <w:tc>
          <w:tcPr>
            <w:tcW w:w="3853" w:type="dxa"/>
            <w:vAlign w:val="center"/>
          </w:tcPr>
          <w:p w:rsidR="0040140E" w:rsidRDefault="009477A8">
            <w:pPr>
              <w:jc w:val="left"/>
            </w:pPr>
            <w:r>
              <w:rPr>
                <w:szCs w:val="21"/>
              </w:rPr>
              <w:t>银行间账户维护费</w:t>
            </w:r>
          </w:p>
        </w:tc>
        <w:tc>
          <w:tcPr>
            <w:tcW w:w="5551" w:type="dxa"/>
            <w:vAlign w:val="center"/>
          </w:tcPr>
          <w:p w:rsidR="0040140E" w:rsidRDefault="009477A8">
            <w:pPr>
              <w:jc w:val="right"/>
            </w:pPr>
            <w:r>
              <w:rPr>
                <w:szCs w:val="21"/>
              </w:rPr>
              <w:t>18,000.00</w:t>
            </w:r>
          </w:p>
        </w:tc>
      </w:tr>
      <w:tr w:rsidR="0040140E">
        <w:trPr>
          <w:jc w:val="center"/>
        </w:trPr>
        <w:tc>
          <w:tcPr>
            <w:tcW w:w="3853" w:type="dxa"/>
            <w:vAlign w:val="center"/>
          </w:tcPr>
          <w:p w:rsidR="0040140E" w:rsidRDefault="009477A8">
            <w:pPr>
              <w:jc w:val="left"/>
            </w:pPr>
            <w:r>
              <w:rPr>
                <w:szCs w:val="21"/>
              </w:rPr>
              <w:t>其他</w:t>
            </w:r>
          </w:p>
        </w:tc>
        <w:tc>
          <w:tcPr>
            <w:tcW w:w="5551" w:type="dxa"/>
            <w:vAlign w:val="center"/>
          </w:tcPr>
          <w:p w:rsidR="0040140E" w:rsidRDefault="009477A8">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130,947.75</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40140E">
        <w:tc>
          <w:tcPr>
            <w:tcW w:w="5220" w:type="dxa"/>
            <w:vAlign w:val="center"/>
          </w:tcPr>
          <w:p w:rsidR="0040140E" w:rsidRDefault="009477A8">
            <w:pPr>
              <w:jc w:val="left"/>
            </w:pPr>
            <w:r>
              <w:rPr>
                <w:color w:val="000000"/>
                <w:szCs w:val="21"/>
              </w:rPr>
              <w:t>易方达基金管理有限公司</w:t>
            </w:r>
          </w:p>
        </w:tc>
        <w:tc>
          <w:tcPr>
            <w:tcW w:w="3780" w:type="dxa"/>
            <w:vAlign w:val="center"/>
          </w:tcPr>
          <w:p w:rsidR="0040140E" w:rsidRDefault="009477A8">
            <w:pPr>
              <w:jc w:val="left"/>
            </w:pPr>
            <w:r>
              <w:rPr>
                <w:color w:val="000000"/>
                <w:szCs w:val="21"/>
              </w:rPr>
              <w:t>基金管理人、注册登记机构、基金销售机构</w:t>
            </w:r>
          </w:p>
        </w:tc>
      </w:tr>
      <w:tr w:rsidR="0040140E">
        <w:tc>
          <w:tcPr>
            <w:tcW w:w="5220" w:type="dxa"/>
            <w:vAlign w:val="center"/>
          </w:tcPr>
          <w:p w:rsidR="0040140E" w:rsidRDefault="009477A8">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40140E" w:rsidRDefault="009477A8">
            <w:pPr>
              <w:jc w:val="left"/>
            </w:pPr>
            <w:r>
              <w:rPr>
                <w:color w:val="000000"/>
                <w:szCs w:val="21"/>
              </w:rPr>
              <w:t>基金托管人、基金销售机构</w:t>
            </w:r>
          </w:p>
        </w:tc>
      </w:tr>
      <w:tr w:rsidR="0040140E">
        <w:tc>
          <w:tcPr>
            <w:tcW w:w="5220" w:type="dxa"/>
            <w:vAlign w:val="center"/>
          </w:tcPr>
          <w:p w:rsidR="0040140E" w:rsidRDefault="009477A8">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40140E" w:rsidRDefault="009477A8">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lastRenderedPageBreak/>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1,675,303.29</w:t>
            </w:r>
          </w:p>
        </w:tc>
        <w:tc>
          <w:tcPr>
            <w:tcW w:w="2657" w:type="dxa"/>
            <w:vAlign w:val="center"/>
          </w:tcPr>
          <w:p w:rsidR="001548F9" w:rsidRPr="00325F8A" w:rsidRDefault="001548F9" w:rsidP="00505CB1">
            <w:pPr>
              <w:jc w:val="right"/>
              <w:rPr>
                <w:szCs w:val="21"/>
              </w:rPr>
            </w:pPr>
            <w:r w:rsidRPr="00325F8A">
              <w:rPr>
                <w:szCs w:val="21"/>
              </w:rPr>
              <w:t>1,468,013.32</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39,996.37</w:t>
            </w:r>
          </w:p>
        </w:tc>
        <w:tc>
          <w:tcPr>
            <w:tcW w:w="2657" w:type="dxa"/>
            <w:vAlign w:val="center"/>
          </w:tcPr>
          <w:p w:rsidR="001548F9" w:rsidRPr="00325F8A" w:rsidRDefault="001548F9" w:rsidP="00505CB1">
            <w:pPr>
              <w:jc w:val="right"/>
              <w:rPr>
                <w:szCs w:val="21"/>
              </w:rPr>
            </w:pPr>
            <w:r w:rsidRPr="00325F8A">
              <w:rPr>
                <w:szCs w:val="21"/>
              </w:rPr>
              <w:t>58,196.36</w:t>
            </w:r>
          </w:p>
        </w:tc>
      </w:tr>
    </w:tbl>
    <w:p w:rsidR="0040140E" w:rsidRDefault="009477A8">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0.3%</w:t>
      </w:r>
      <w:r>
        <w:rPr>
          <w:kern w:val="0"/>
          <w:szCs w:val="21"/>
        </w:rPr>
        <w:t>年费率计提。管理费的计算方法如下：</w:t>
      </w:r>
    </w:p>
    <w:p w:rsidR="0040140E" w:rsidRDefault="009477A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E×0.3%÷</w:t>
      </w:r>
      <w:r>
        <w:rPr>
          <w:kern w:val="0"/>
          <w:szCs w:val="21"/>
        </w:rPr>
        <w:t>当年天数</w:t>
      </w:r>
    </w:p>
    <w:p w:rsidR="0040140E" w:rsidRDefault="009477A8">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40140E" w:rsidRDefault="009477A8">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基金管理费每日计算，逐日累计至每月月末，按月支付，由基金管理人向基金托管人发送基金管理费划款指令，基金托管人复核后于次月前</w:t>
      </w:r>
      <w:r w:rsidRPr="00683042">
        <w:rPr>
          <w:kern w:val="0"/>
          <w:szCs w:val="21"/>
        </w:rPr>
        <w:t>3</w:t>
      </w:r>
      <w:r w:rsidRPr="00683042">
        <w:rPr>
          <w:kern w:val="0"/>
          <w:szCs w:val="21"/>
        </w:rPr>
        <w:t>个工作日内从基金财产中一次性支付给基金管理人。若遇法定节假日、公休假等</w:t>
      </w:r>
      <w:r w:rsidRPr="00683042">
        <w:rPr>
          <w:kern w:val="0"/>
          <w:szCs w:val="21"/>
        </w:rPr>
        <w:t>,</w:t>
      </w:r>
      <w:r w:rsidRPr="00683042">
        <w:rPr>
          <w:kern w:val="0"/>
          <w:szCs w:val="21"/>
        </w:rPr>
        <w:t>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1,116,868.79</w:t>
            </w:r>
          </w:p>
        </w:tc>
        <w:tc>
          <w:tcPr>
            <w:tcW w:w="2657" w:type="dxa"/>
            <w:vAlign w:val="center"/>
          </w:tcPr>
          <w:p w:rsidR="001548F9" w:rsidRPr="00325F8A" w:rsidRDefault="001548F9" w:rsidP="00B56418">
            <w:pPr>
              <w:jc w:val="right"/>
              <w:rPr>
                <w:color w:val="000000"/>
                <w:szCs w:val="21"/>
              </w:rPr>
            </w:pPr>
            <w:r w:rsidRPr="00325F8A">
              <w:rPr>
                <w:szCs w:val="21"/>
              </w:rPr>
              <w:t>978,675.59</w:t>
            </w:r>
          </w:p>
        </w:tc>
      </w:tr>
    </w:tbl>
    <w:p w:rsidR="0040140E" w:rsidRDefault="009477A8">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w:t>
      </w:r>
      <w:r>
        <w:rPr>
          <w:kern w:val="0"/>
          <w:szCs w:val="21"/>
        </w:rPr>
        <w:t>的年费率计提。托管费的计算方法如下：</w:t>
      </w:r>
    </w:p>
    <w:p w:rsidR="0040140E" w:rsidRDefault="009477A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w:t>
      </w:r>
      <w:r>
        <w:rPr>
          <w:kern w:val="0"/>
          <w:szCs w:val="21"/>
        </w:rPr>
        <w:t>当年天数</w:t>
      </w:r>
    </w:p>
    <w:p w:rsidR="0040140E" w:rsidRDefault="009477A8">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p>
    <w:p w:rsidR="0040140E" w:rsidRDefault="009477A8">
      <w:pPr>
        <w:tabs>
          <w:tab w:val="left" w:pos="426"/>
        </w:tabs>
        <w:spacing w:line="360" w:lineRule="auto"/>
        <w:ind w:firstLineChars="200" w:firstLine="420"/>
        <w:jc w:val="left"/>
        <w:rPr>
          <w:kern w:val="0"/>
          <w:szCs w:val="21"/>
        </w:rPr>
      </w:pPr>
      <w:r>
        <w:rPr>
          <w:kern w:val="0"/>
          <w:szCs w:val="21"/>
        </w:rPr>
        <w:lastRenderedPageBreak/>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基金托管费每日计算，逐日累计至每月月末，按月支付，由基金管理人向基金托管人发送基金托管费划款指令，基金托管人复核后于次月前</w:t>
      </w:r>
      <w:r w:rsidRPr="00683042">
        <w:rPr>
          <w:kern w:val="0"/>
          <w:szCs w:val="21"/>
        </w:rPr>
        <w:t>3</w:t>
      </w:r>
      <w:r w:rsidRPr="00683042">
        <w:rPr>
          <w:kern w:val="0"/>
          <w:szCs w:val="21"/>
        </w:rPr>
        <w:t>个工作日内从基金财产中一次性支取。若遇法定节假日、公休日等</w:t>
      </w:r>
      <w:r w:rsidRPr="00683042">
        <w:rPr>
          <w:kern w:val="0"/>
          <w:szCs w:val="21"/>
        </w:rPr>
        <w:t>,</w:t>
      </w:r>
      <w:r w:rsidRPr="00683042">
        <w:rPr>
          <w:kern w:val="0"/>
          <w:szCs w:val="21"/>
        </w:rPr>
        <w:t>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易方达恒久</w:t>
            </w:r>
            <w:r w:rsidRPr="00325F8A">
              <w:rPr>
                <w:rFonts w:eastAsiaTheme="minorEastAsia"/>
                <w:szCs w:val="21"/>
              </w:rPr>
              <w:t>1</w:t>
            </w:r>
            <w:r w:rsidRPr="00325F8A">
              <w:rPr>
                <w:rFonts w:eastAsiaTheme="minorEastAsia"/>
                <w:szCs w:val="21"/>
              </w:rPr>
              <w:t>年定期债券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易方达恒久</w:t>
            </w:r>
            <w:r w:rsidRPr="00325F8A">
              <w:rPr>
                <w:rFonts w:eastAsiaTheme="minorEastAsia"/>
                <w:szCs w:val="21"/>
              </w:rPr>
              <w:t>1</w:t>
            </w:r>
            <w:r w:rsidRPr="00325F8A">
              <w:rPr>
                <w:rFonts w:eastAsiaTheme="minorEastAsia"/>
                <w:szCs w:val="21"/>
              </w:rPr>
              <w:t>年定期债券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40140E">
        <w:tc>
          <w:tcPr>
            <w:tcW w:w="2108" w:type="dxa"/>
            <w:vAlign w:val="center"/>
          </w:tcPr>
          <w:p w:rsidR="0040140E" w:rsidRDefault="009477A8">
            <w:pPr>
              <w:jc w:val="left"/>
            </w:pPr>
            <w:r>
              <w:rPr>
                <w:rFonts w:eastAsiaTheme="minorEastAsia"/>
                <w:szCs w:val="21"/>
              </w:rPr>
              <w:t>易方达基金管理有限公司</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4,635.37</w:t>
            </w:r>
          </w:p>
        </w:tc>
        <w:tc>
          <w:tcPr>
            <w:tcW w:w="3245" w:type="dxa"/>
            <w:vAlign w:val="center"/>
          </w:tcPr>
          <w:p w:rsidR="0040140E" w:rsidRDefault="009477A8">
            <w:pPr>
              <w:jc w:val="right"/>
            </w:pPr>
            <w:r>
              <w:rPr>
                <w:rFonts w:eastAsiaTheme="minorEastAsia"/>
                <w:szCs w:val="21"/>
              </w:rPr>
              <w:t>4,635.37</w:t>
            </w:r>
          </w:p>
        </w:tc>
      </w:tr>
      <w:tr w:rsidR="0040140E">
        <w:tc>
          <w:tcPr>
            <w:tcW w:w="2108" w:type="dxa"/>
            <w:vAlign w:val="center"/>
          </w:tcPr>
          <w:p w:rsidR="0040140E" w:rsidRDefault="009477A8">
            <w:pPr>
              <w:jc w:val="left"/>
            </w:pPr>
            <w:r>
              <w:rPr>
                <w:rFonts w:eastAsiaTheme="minorEastAsia"/>
                <w:szCs w:val="21"/>
              </w:rPr>
              <w:t>中国工商银行</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17,474.42</w:t>
            </w:r>
          </w:p>
        </w:tc>
        <w:tc>
          <w:tcPr>
            <w:tcW w:w="3245" w:type="dxa"/>
            <w:vAlign w:val="center"/>
          </w:tcPr>
          <w:p w:rsidR="0040140E" w:rsidRDefault="009477A8">
            <w:pPr>
              <w:jc w:val="right"/>
            </w:pPr>
            <w:r>
              <w:rPr>
                <w:rFonts w:eastAsiaTheme="minorEastAsia"/>
                <w:szCs w:val="21"/>
              </w:rPr>
              <w:t>17,474.42</w:t>
            </w:r>
          </w:p>
        </w:tc>
      </w:tr>
      <w:tr w:rsidR="0040140E">
        <w:tc>
          <w:tcPr>
            <w:tcW w:w="2108" w:type="dxa"/>
            <w:vAlign w:val="center"/>
          </w:tcPr>
          <w:p w:rsidR="0040140E" w:rsidRDefault="009477A8">
            <w:pPr>
              <w:jc w:val="left"/>
            </w:pPr>
            <w:r>
              <w:rPr>
                <w:rFonts w:eastAsiaTheme="minorEastAsia"/>
                <w:szCs w:val="21"/>
              </w:rPr>
              <w:t>广发证券</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7.96</w:t>
            </w:r>
          </w:p>
        </w:tc>
        <w:tc>
          <w:tcPr>
            <w:tcW w:w="3245" w:type="dxa"/>
            <w:vAlign w:val="center"/>
          </w:tcPr>
          <w:p w:rsidR="0040140E" w:rsidRDefault="009477A8">
            <w:pPr>
              <w:jc w:val="right"/>
            </w:pPr>
            <w:r>
              <w:rPr>
                <w:rFonts w:eastAsiaTheme="minorEastAsia"/>
                <w:szCs w:val="21"/>
              </w:rPr>
              <w:t>7.96</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22,117.75</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22,117.75</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易方达恒久</w:t>
            </w:r>
            <w:r w:rsidRPr="00325F8A">
              <w:rPr>
                <w:rFonts w:eastAsiaTheme="minorEastAsia"/>
                <w:szCs w:val="21"/>
              </w:rPr>
              <w:t>1</w:t>
            </w:r>
            <w:r w:rsidRPr="00325F8A">
              <w:rPr>
                <w:rFonts w:eastAsiaTheme="minorEastAsia"/>
                <w:szCs w:val="21"/>
              </w:rPr>
              <w:t>年定期债券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易方达恒久</w:t>
            </w:r>
            <w:r w:rsidRPr="00325F8A">
              <w:rPr>
                <w:rFonts w:eastAsiaTheme="minorEastAsia"/>
                <w:szCs w:val="21"/>
              </w:rPr>
              <w:t>1</w:t>
            </w:r>
            <w:r w:rsidRPr="00325F8A">
              <w:rPr>
                <w:rFonts w:eastAsiaTheme="minorEastAsia"/>
                <w:szCs w:val="21"/>
              </w:rPr>
              <w:t>年定期债券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40140E">
        <w:tc>
          <w:tcPr>
            <w:tcW w:w="2108" w:type="dxa"/>
            <w:vAlign w:val="center"/>
          </w:tcPr>
          <w:p w:rsidR="0040140E" w:rsidRDefault="009477A8">
            <w:pPr>
              <w:jc w:val="left"/>
            </w:pPr>
            <w:r>
              <w:rPr>
                <w:rFonts w:eastAsiaTheme="minorEastAsia"/>
                <w:szCs w:val="21"/>
              </w:rPr>
              <w:t>易方达基金管理有限公司</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5,747.86</w:t>
            </w:r>
          </w:p>
        </w:tc>
        <w:tc>
          <w:tcPr>
            <w:tcW w:w="3245" w:type="dxa"/>
            <w:vAlign w:val="center"/>
          </w:tcPr>
          <w:p w:rsidR="0040140E" w:rsidRDefault="009477A8">
            <w:pPr>
              <w:jc w:val="right"/>
            </w:pPr>
            <w:r>
              <w:rPr>
                <w:rFonts w:eastAsiaTheme="minorEastAsia"/>
                <w:szCs w:val="21"/>
              </w:rPr>
              <w:t>5,747.86</w:t>
            </w:r>
          </w:p>
        </w:tc>
      </w:tr>
      <w:tr w:rsidR="0040140E">
        <w:tc>
          <w:tcPr>
            <w:tcW w:w="2108" w:type="dxa"/>
            <w:vAlign w:val="center"/>
          </w:tcPr>
          <w:p w:rsidR="0040140E" w:rsidRDefault="009477A8">
            <w:pPr>
              <w:jc w:val="left"/>
            </w:pPr>
            <w:r>
              <w:rPr>
                <w:rFonts w:eastAsiaTheme="minorEastAsia"/>
                <w:szCs w:val="21"/>
              </w:rPr>
              <w:t>中国工商银行</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35,848.60</w:t>
            </w:r>
          </w:p>
        </w:tc>
        <w:tc>
          <w:tcPr>
            <w:tcW w:w="3245" w:type="dxa"/>
            <w:vAlign w:val="center"/>
          </w:tcPr>
          <w:p w:rsidR="0040140E" w:rsidRDefault="009477A8">
            <w:pPr>
              <w:jc w:val="right"/>
            </w:pPr>
            <w:r>
              <w:rPr>
                <w:rFonts w:eastAsiaTheme="minorEastAsia"/>
                <w:szCs w:val="21"/>
              </w:rPr>
              <w:t>35,848.60</w:t>
            </w:r>
          </w:p>
        </w:tc>
      </w:tr>
      <w:tr w:rsidR="0040140E">
        <w:tc>
          <w:tcPr>
            <w:tcW w:w="2108" w:type="dxa"/>
            <w:vAlign w:val="center"/>
          </w:tcPr>
          <w:p w:rsidR="0040140E" w:rsidRDefault="009477A8">
            <w:pPr>
              <w:jc w:val="left"/>
            </w:pPr>
            <w:r>
              <w:rPr>
                <w:rFonts w:eastAsiaTheme="minorEastAsia"/>
                <w:szCs w:val="21"/>
              </w:rPr>
              <w:t>广发证券</w:t>
            </w:r>
          </w:p>
        </w:tc>
        <w:tc>
          <w:tcPr>
            <w:tcW w:w="1861" w:type="dxa"/>
            <w:vAlign w:val="center"/>
          </w:tcPr>
          <w:p w:rsidR="0040140E" w:rsidRDefault="009477A8">
            <w:pPr>
              <w:jc w:val="right"/>
            </w:pPr>
            <w:r>
              <w:rPr>
                <w:rFonts w:eastAsiaTheme="minorEastAsia"/>
                <w:szCs w:val="21"/>
              </w:rPr>
              <w:t>-</w:t>
            </w:r>
          </w:p>
        </w:tc>
        <w:tc>
          <w:tcPr>
            <w:tcW w:w="2281" w:type="dxa"/>
            <w:vAlign w:val="center"/>
          </w:tcPr>
          <w:p w:rsidR="0040140E" w:rsidRDefault="009477A8">
            <w:pPr>
              <w:jc w:val="right"/>
            </w:pPr>
            <w:r>
              <w:rPr>
                <w:rFonts w:eastAsiaTheme="minorEastAsia"/>
                <w:szCs w:val="21"/>
              </w:rPr>
              <w:t>56.82</w:t>
            </w:r>
          </w:p>
        </w:tc>
        <w:tc>
          <w:tcPr>
            <w:tcW w:w="3245" w:type="dxa"/>
            <w:vAlign w:val="center"/>
          </w:tcPr>
          <w:p w:rsidR="0040140E" w:rsidRDefault="009477A8">
            <w:pPr>
              <w:jc w:val="right"/>
            </w:pPr>
            <w:r>
              <w:rPr>
                <w:rFonts w:eastAsiaTheme="minorEastAsia"/>
                <w:szCs w:val="21"/>
              </w:rPr>
              <w:t>56.82</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41,653.28</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41,653.28</w:t>
            </w:r>
          </w:p>
        </w:tc>
      </w:tr>
    </w:tbl>
    <w:p w:rsidR="0040140E" w:rsidRDefault="009477A8">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0.4%</w:t>
      </w:r>
      <w:r>
        <w:rPr>
          <w:kern w:val="0"/>
          <w:szCs w:val="21"/>
        </w:rPr>
        <w:t>。</w:t>
      </w:r>
    </w:p>
    <w:p w:rsidR="0040140E" w:rsidRDefault="009477A8">
      <w:pPr>
        <w:tabs>
          <w:tab w:val="left" w:pos="426"/>
        </w:tabs>
        <w:spacing w:line="360" w:lineRule="auto"/>
        <w:ind w:firstLineChars="200" w:firstLine="420"/>
        <w:jc w:val="left"/>
        <w:rPr>
          <w:kern w:val="0"/>
          <w:szCs w:val="21"/>
        </w:rPr>
      </w:pPr>
      <w:r>
        <w:rPr>
          <w:kern w:val="0"/>
          <w:szCs w:val="21"/>
        </w:rPr>
        <w:t>本基金销售服务费按前一日</w:t>
      </w:r>
      <w:r>
        <w:rPr>
          <w:kern w:val="0"/>
          <w:szCs w:val="21"/>
        </w:rPr>
        <w:t>C</w:t>
      </w:r>
      <w:r>
        <w:rPr>
          <w:kern w:val="0"/>
          <w:szCs w:val="21"/>
        </w:rPr>
        <w:t>类基金资产净值的</w:t>
      </w:r>
      <w:r>
        <w:rPr>
          <w:kern w:val="0"/>
          <w:szCs w:val="21"/>
        </w:rPr>
        <w:t>0.4%</w:t>
      </w:r>
      <w:r>
        <w:rPr>
          <w:kern w:val="0"/>
          <w:szCs w:val="21"/>
        </w:rPr>
        <w:t>年费率计提。</w:t>
      </w:r>
    </w:p>
    <w:p w:rsidR="0040140E" w:rsidRDefault="009477A8">
      <w:pPr>
        <w:tabs>
          <w:tab w:val="left" w:pos="426"/>
        </w:tabs>
        <w:spacing w:line="360" w:lineRule="auto"/>
        <w:ind w:firstLineChars="200" w:firstLine="420"/>
        <w:jc w:val="left"/>
        <w:rPr>
          <w:kern w:val="0"/>
          <w:szCs w:val="21"/>
        </w:rPr>
      </w:pPr>
      <w:r>
        <w:rPr>
          <w:kern w:val="0"/>
          <w:szCs w:val="21"/>
        </w:rPr>
        <w:t>销售服务费的计算方法如下：</w:t>
      </w:r>
    </w:p>
    <w:p w:rsidR="0040140E" w:rsidRDefault="009477A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E×0.4%÷</w:t>
      </w:r>
      <w:r>
        <w:rPr>
          <w:kern w:val="0"/>
          <w:szCs w:val="21"/>
        </w:rPr>
        <w:t>当年天数</w:t>
      </w:r>
    </w:p>
    <w:p w:rsidR="0040140E" w:rsidRDefault="009477A8">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C</w:t>
      </w:r>
      <w:r>
        <w:rPr>
          <w:kern w:val="0"/>
          <w:szCs w:val="21"/>
        </w:rPr>
        <w:t>类基金份额每日应计提的销售服务费</w:t>
      </w:r>
    </w:p>
    <w:p w:rsidR="0040140E" w:rsidRDefault="009477A8">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C</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销售服务费每日计提，按月支付。基金管理人和基金托管人核对一致后，由基金托管人于次月前</w:t>
      </w:r>
      <w:r w:rsidRPr="00683042">
        <w:rPr>
          <w:kern w:val="0"/>
          <w:szCs w:val="21"/>
        </w:rPr>
        <w:t>3</w:t>
      </w:r>
      <w:r w:rsidRPr="00683042">
        <w:rPr>
          <w:kern w:val="0"/>
          <w:szCs w:val="21"/>
        </w:rPr>
        <w:t>个工作日内从基金资产中划出，经注册登记机构分别支付给各个基金销售机构。若遇法定节假日、公休日或不可抗力等，支付日期顺延。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lastRenderedPageBreak/>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易方达恒久</w:t>
      </w:r>
      <w:r w:rsidRPr="003560D2">
        <w:rPr>
          <w:rFonts w:eastAsiaTheme="minorEastAsia" w:hint="eastAsia"/>
          <w:b/>
          <w:color w:val="000000"/>
          <w:szCs w:val="21"/>
        </w:rPr>
        <w:t>1</w:t>
      </w:r>
      <w:r w:rsidRPr="003560D2">
        <w:rPr>
          <w:rFonts w:eastAsiaTheme="minorEastAsia" w:hint="eastAsia"/>
          <w:b/>
          <w:color w:val="000000"/>
          <w:szCs w:val="21"/>
        </w:rPr>
        <w:t>年定期债券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易方达恒久</w:t>
      </w:r>
      <w:r w:rsidRPr="00325F8A">
        <w:rPr>
          <w:rFonts w:eastAsiaTheme="minorEastAsia"/>
          <w:b/>
          <w:szCs w:val="21"/>
        </w:rPr>
        <w:t>1</w:t>
      </w:r>
      <w:r w:rsidRPr="00325F8A">
        <w:rPr>
          <w:rFonts w:eastAsiaTheme="minorEastAsia"/>
          <w:b/>
          <w:szCs w:val="21"/>
        </w:rPr>
        <w:t>年定期债券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40140E">
        <w:tc>
          <w:tcPr>
            <w:tcW w:w="2694" w:type="dxa"/>
            <w:vAlign w:val="center"/>
          </w:tcPr>
          <w:p w:rsidR="0040140E" w:rsidRDefault="009477A8">
            <w:pPr>
              <w:jc w:val="left"/>
            </w:pPr>
            <w:r>
              <w:rPr>
                <w:szCs w:val="21"/>
              </w:rPr>
              <w:t>中国工商银行</w:t>
            </w:r>
            <w:r>
              <w:rPr>
                <w:szCs w:val="21"/>
              </w:rPr>
              <w:t>-</w:t>
            </w:r>
            <w:r>
              <w:rPr>
                <w:szCs w:val="21"/>
              </w:rPr>
              <w:t>活期存款</w:t>
            </w:r>
          </w:p>
        </w:tc>
        <w:tc>
          <w:tcPr>
            <w:tcW w:w="1417" w:type="dxa"/>
            <w:vAlign w:val="center"/>
          </w:tcPr>
          <w:p w:rsidR="0040140E" w:rsidRDefault="009477A8">
            <w:pPr>
              <w:jc w:val="right"/>
            </w:pPr>
            <w:r>
              <w:rPr>
                <w:szCs w:val="21"/>
              </w:rPr>
              <w:t>5,705,456.18</w:t>
            </w:r>
          </w:p>
        </w:tc>
        <w:tc>
          <w:tcPr>
            <w:tcW w:w="1736" w:type="dxa"/>
            <w:vAlign w:val="center"/>
          </w:tcPr>
          <w:p w:rsidR="0040140E" w:rsidRDefault="009477A8">
            <w:pPr>
              <w:jc w:val="right"/>
            </w:pPr>
            <w:r>
              <w:rPr>
                <w:szCs w:val="21"/>
              </w:rPr>
              <w:t>6,579.09</w:t>
            </w:r>
          </w:p>
        </w:tc>
        <w:tc>
          <w:tcPr>
            <w:tcW w:w="1383" w:type="dxa"/>
            <w:vAlign w:val="center"/>
          </w:tcPr>
          <w:p w:rsidR="0040140E" w:rsidRDefault="009477A8">
            <w:pPr>
              <w:jc w:val="right"/>
            </w:pPr>
            <w:r>
              <w:rPr>
                <w:szCs w:val="21"/>
              </w:rPr>
              <w:t>1,284,716.45</w:t>
            </w:r>
          </w:p>
        </w:tc>
        <w:tc>
          <w:tcPr>
            <w:tcW w:w="1770" w:type="dxa"/>
            <w:vAlign w:val="center"/>
          </w:tcPr>
          <w:p w:rsidR="0040140E" w:rsidRDefault="009477A8">
            <w:pPr>
              <w:jc w:val="right"/>
            </w:pPr>
            <w:r>
              <w:rPr>
                <w:szCs w:val="21"/>
              </w:rPr>
              <w:t>36,649.76</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注：本基金的上述银行存款由基金托管人中国工商银行股份有限公司保管，按银行同业利率或约定利率计息。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易方达恒久</w:t>
      </w:r>
      <w:r w:rsidRPr="003560D2">
        <w:rPr>
          <w:rFonts w:eastAsiaTheme="minorEastAsia"/>
          <w:b/>
          <w:color w:val="000000"/>
          <w:szCs w:val="21"/>
        </w:rPr>
        <w:t>1</w:t>
      </w:r>
      <w:r w:rsidRPr="003560D2">
        <w:rPr>
          <w:rFonts w:eastAsiaTheme="minorEastAsia"/>
          <w:b/>
          <w:color w:val="000000"/>
          <w:szCs w:val="21"/>
        </w:rPr>
        <w:t>年定期债券</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lastRenderedPageBreak/>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40140E">
        <w:trPr>
          <w:jc w:val="center"/>
        </w:trPr>
        <w:tc>
          <w:tcPr>
            <w:tcW w:w="853" w:type="dxa"/>
            <w:vAlign w:val="center"/>
          </w:tcPr>
          <w:p w:rsidR="0040140E" w:rsidRDefault="009477A8">
            <w:pPr>
              <w:jc w:val="center"/>
            </w:pPr>
            <w:r>
              <w:rPr>
                <w:szCs w:val="21"/>
              </w:rPr>
              <w:t>1</w:t>
            </w:r>
          </w:p>
        </w:tc>
        <w:tc>
          <w:tcPr>
            <w:tcW w:w="1216" w:type="dxa"/>
            <w:vAlign w:val="center"/>
          </w:tcPr>
          <w:p w:rsidR="0040140E" w:rsidRDefault="009477A8">
            <w:pPr>
              <w:jc w:val="center"/>
            </w:pPr>
            <w:r>
              <w:rPr>
                <w:szCs w:val="21"/>
              </w:rPr>
              <w:t>2020-04-28</w:t>
            </w:r>
          </w:p>
        </w:tc>
        <w:tc>
          <w:tcPr>
            <w:tcW w:w="739" w:type="dxa"/>
            <w:vAlign w:val="center"/>
          </w:tcPr>
          <w:p w:rsidR="0040140E" w:rsidRDefault="009477A8">
            <w:pPr>
              <w:jc w:val="center"/>
            </w:pPr>
            <w:r>
              <w:rPr>
                <w:szCs w:val="21"/>
              </w:rPr>
              <w:t>-</w:t>
            </w:r>
          </w:p>
        </w:tc>
        <w:tc>
          <w:tcPr>
            <w:tcW w:w="739" w:type="dxa"/>
            <w:vAlign w:val="center"/>
          </w:tcPr>
          <w:p w:rsidR="0040140E" w:rsidRDefault="009477A8">
            <w:pPr>
              <w:jc w:val="center"/>
            </w:pPr>
            <w:r>
              <w:rPr>
                <w:szCs w:val="21"/>
              </w:rPr>
              <w:t>2020-04-28</w:t>
            </w:r>
          </w:p>
        </w:tc>
        <w:tc>
          <w:tcPr>
            <w:tcW w:w="1171" w:type="dxa"/>
            <w:vAlign w:val="center"/>
          </w:tcPr>
          <w:p w:rsidR="0040140E" w:rsidRDefault="009477A8">
            <w:pPr>
              <w:jc w:val="right"/>
            </w:pPr>
            <w:r>
              <w:rPr>
                <w:szCs w:val="21"/>
              </w:rPr>
              <w:t>0.380</w:t>
            </w:r>
          </w:p>
        </w:tc>
        <w:tc>
          <w:tcPr>
            <w:tcW w:w="1325" w:type="dxa"/>
            <w:vAlign w:val="center"/>
          </w:tcPr>
          <w:p w:rsidR="0040140E" w:rsidRDefault="009477A8">
            <w:pPr>
              <w:jc w:val="right"/>
            </w:pPr>
            <w:r>
              <w:rPr>
                <w:szCs w:val="21"/>
              </w:rPr>
              <w:t>40,716,946.15</w:t>
            </w:r>
          </w:p>
        </w:tc>
        <w:tc>
          <w:tcPr>
            <w:tcW w:w="1325" w:type="dxa"/>
            <w:vAlign w:val="center"/>
          </w:tcPr>
          <w:p w:rsidR="0040140E" w:rsidRDefault="009477A8">
            <w:pPr>
              <w:jc w:val="right"/>
            </w:pPr>
            <w:r>
              <w:rPr>
                <w:szCs w:val="21"/>
              </w:rPr>
              <w:t>-</w:t>
            </w:r>
          </w:p>
        </w:tc>
        <w:tc>
          <w:tcPr>
            <w:tcW w:w="1325" w:type="dxa"/>
            <w:vAlign w:val="center"/>
          </w:tcPr>
          <w:p w:rsidR="0040140E" w:rsidRDefault="009477A8">
            <w:pPr>
              <w:jc w:val="right"/>
            </w:pPr>
            <w:r>
              <w:rPr>
                <w:szCs w:val="21"/>
              </w:rPr>
              <w:t>40,716,946.15</w:t>
            </w:r>
          </w:p>
        </w:tc>
        <w:tc>
          <w:tcPr>
            <w:tcW w:w="948" w:type="dxa"/>
            <w:vAlign w:val="center"/>
          </w:tcPr>
          <w:p w:rsidR="0040140E" w:rsidRDefault="009477A8">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0.380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40,716,946.15</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40,716,946.15</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易方达恒久</w:t>
      </w:r>
      <w:r w:rsidRPr="003560D2">
        <w:rPr>
          <w:rFonts w:eastAsiaTheme="minorEastAsia"/>
          <w:b/>
          <w:color w:val="000000"/>
          <w:szCs w:val="21"/>
        </w:rPr>
        <w:t>1</w:t>
      </w:r>
      <w:r w:rsidRPr="003560D2">
        <w:rPr>
          <w:rFonts w:eastAsiaTheme="minorEastAsia"/>
          <w:b/>
          <w:color w:val="000000"/>
          <w:szCs w:val="21"/>
        </w:rPr>
        <w:t>年定期债券</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40140E">
        <w:trPr>
          <w:jc w:val="center"/>
        </w:trPr>
        <w:tc>
          <w:tcPr>
            <w:tcW w:w="853" w:type="dxa"/>
            <w:vAlign w:val="center"/>
          </w:tcPr>
          <w:p w:rsidR="0040140E" w:rsidRDefault="009477A8">
            <w:pPr>
              <w:jc w:val="center"/>
            </w:pPr>
            <w:r>
              <w:rPr>
                <w:szCs w:val="21"/>
              </w:rPr>
              <w:t>1</w:t>
            </w:r>
          </w:p>
        </w:tc>
        <w:tc>
          <w:tcPr>
            <w:tcW w:w="1216" w:type="dxa"/>
            <w:vAlign w:val="center"/>
          </w:tcPr>
          <w:p w:rsidR="0040140E" w:rsidRDefault="009477A8">
            <w:pPr>
              <w:jc w:val="center"/>
            </w:pPr>
            <w:r>
              <w:rPr>
                <w:szCs w:val="21"/>
              </w:rPr>
              <w:t>2020-04-28</w:t>
            </w:r>
          </w:p>
        </w:tc>
        <w:tc>
          <w:tcPr>
            <w:tcW w:w="739" w:type="dxa"/>
            <w:vAlign w:val="center"/>
          </w:tcPr>
          <w:p w:rsidR="0040140E" w:rsidRDefault="009477A8">
            <w:pPr>
              <w:jc w:val="center"/>
            </w:pPr>
            <w:r>
              <w:rPr>
                <w:szCs w:val="21"/>
              </w:rPr>
              <w:t>-</w:t>
            </w:r>
          </w:p>
        </w:tc>
        <w:tc>
          <w:tcPr>
            <w:tcW w:w="739" w:type="dxa"/>
            <w:vAlign w:val="center"/>
          </w:tcPr>
          <w:p w:rsidR="0040140E" w:rsidRDefault="009477A8">
            <w:pPr>
              <w:jc w:val="center"/>
            </w:pPr>
            <w:r>
              <w:rPr>
                <w:szCs w:val="21"/>
              </w:rPr>
              <w:t>2020-04-28</w:t>
            </w:r>
          </w:p>
        </w:tc>
        <w:tc>
          <w:tcPr>
            <w:tcW w:w="1171" w:type="dxa"/>
            <w:vAlign w:val="center"/>
          </w:tcPr>
          <w:p w:rsidR="0040140E" w:rsidRDefault="009477A8">
            <w:pPr>
              <w:jc w:val="right"/>
            </w:pPr>
            <w:r>
              <w:rPr>
                <w:szCs w:val="21"/>
              </w:rPr>
              <w:t>0.360</w:t>
            </w:r>
          </w:p>
        </w:tc>
        <w:tc>
          <w:tcPr>
            <w:tcW w:w="1325" w:type="dxa"/>
            <w:vAlign w:val="center"/>
          </w:tcPr>
          <w:p w:rsidR="0040140E" w:rsidRDefault="009477A8">
            <w:pPr>
              <w:jc w:val="right"/>
            </w:pPr>
            <w:r>
              <w:rPr>
                <w:szCs w:val="21"/>
              </w:rPr>
              <w:t>912,711.90</w:t>
            </w:r>
          </w:p>
        </w:tc>
        <w:tc>
          <w:tcPr>
            <w:tcW w:w="1325" w:type="dxa"/>
            <w:vAlign w:val="center"/>
          </w:tcPr>
          <w:p w:rsidR="0040140E" w:rsidRDefault="009477A8">
            <w:pPr>
              <w:jc w:val="right"/>
            </w:pPr>
            <w:r>
              <w:rPr>
                <w:szCs w:val="21"/>
              </w:rPr>
              <w:t>-</w:t>
            </w:r>
          </w:p>
        </w:tc>
        <w:tc>
          <w:tcPr>
            <w:tcW w:w="1325" w:type="dxa"/>
            <w:vAlign w:val="center"/>
          </w:tcPr>
          <w:p w:rsidR="0040140E" w:rsidRDefault="009477A8">
            <w:pPr>
              <w:jc w:val="right"/>
            </w:pPr>
            <w:r>
              <w:rPr>
                <w:szCs w:val="21"/>
              </w:rPr>
              <w:t>912,711.90</w:t>
            </w:r>
          </w:p>
        </w:tc>
        <w:tc>
          <w:tcPr>
            <w:tcW w:w="948" w:type="dxa"/>
            <w:vAlign w:val="center"/>
          </w:tcPr>
          <w:p w:rsidR="0040140E" w:rsidRDefault="009477A8">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0.360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912,711.90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912,711.90</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本基金无因认购新发</w:t>
      </w:r>
      <w:r w:rsidRPr="00683042">
        <w:rPr>
          <w:kern w:val="0"/>
          <w:szCs w:val="21"/>
        </w:rPr>
        <w:t>/</w:t>
      </w:r>
      <w:r w:rsidRPr="00683042">
        <w:rPr>
          <w:kern w:val="0"/>
          <w:szCs w:val="21"/>
        </w:rPr>
        <w:t>增发证券而于期末持有的流通受限证券。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31,054,753.42</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lastRenderedPageBreak/>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40140E">
        <w:tc>
          <w:tcPr>
            <w:tcW w:w="1500" w:type="dxa"/>
            <w:vAlign w:val="center"/>
          </w:tcPr>
          <w:p w:rsidR="0040140E" w:rsidRDefault="009477A8">
            <w:pPr>
              <w:jc w:val="center"/>
            </w:pPr>
            <w:r>
              <w:rPr>
                <w:color w:val="000000"/>
                <w:kern w:val="0"/>
                <w:szCs w:val="21"/>
              </w:rPr>
              <w:t>101652016</w:t>
            </w:r>
          </w:p>
        </w:tc>
        <w:tc>
          <w:tcPr>
            <w:tcW w:w="1500" w:type="dxa"/>
            <w:vAlign w:val="center"/>
          </w:tcPr>
          <w:p w:rsidR="0040140E" w:rsidRDefault="009477A8">
            <w:pPr>
              <w:jc w:val="center"/>
            </w:pPr>
            <w:r>
              <w:rPr>
                <w:color w:val="000000"/>
                <w:kern w:val="0"/>
                <w:szCs w:val="21"/>
              </w:rPr>
              <w:t>16</w:t>
            </w:r>
            <w:r>
              <w:rPr>
                <w:color w:val="000000"/>
                <w:kern w:val="0"/>
                <w:szCs w:val="21"/>
              </w:rPr>
              <w:t>大连万达</w:t>
            </w:r>
            <w:r>
              <w:rPr>
                <w:color w:val="000000"/>
                <w:kern w:val="0"/>
                <w:szCs w:val="21"/>
              </w:rPr>
              <w:t>MTN001</w:t>
            </w:r>
          </w:p>
        </w:tc>
        <w:tc>
          <w:tcPr>
            <w:tcW w:w="1500" w:type="dxa"/>
            <w:vAlign w:val="center"/>
          </w:tcPr>
          <w:p w:rsidR="0040140E" w:rsidRDefault="009477A8">
            <w:pPr>
              <w:jc w:val="center"/>
            </w:pPr>
            <w:r>
              <w:rPr>
                <w:color w:val="000000"/>
                <w:kern w:val="0"/>
                <w:szCs w:val="21"/>
              </w:rPr>
              <w:t>2020-07-06</w:t>
            </w:r>
          </w:p>
        </w:tc>
        <w:tc>
          <w:tcPr>
            <w:tcW w:w="1260" w:type="dxa"/>
            <w:vAlign w:val="center"/>
          </w:tcPr>
          <w:p w:rsidR="0040140E" w:rsidRDefault="009477A8">
            <w:pPr>
              <w:jc w:val="right"/>
            </w:pPr>
            <w:r>
              <w:rPr>
                <w:color w:val="000000"/>
                <w:kern w:val="0"/>
                <w:szCs w:val="21"/>
              </w:rPr>
              <w:t>99.48</w:t>
            </w:r>
          </w:p>
        </w:tc>
        <w:tc>
          <w:tcPr>
            <w:tcW w:w="1440" w:type="dxa"/>
            <w:vAlign w:val="center"/>
          </w:tcPr>
          <w:p w:rsidR="0040140E" w:rsidRDefault="009477A8">
            <w:pPr>
              <w:jc w:val="right"/>
            </w:pPr>
            <w:r>
              <w:rPr>
                <w:color w:val="000000"/>
                <w:kern w:val="0"/>
                <w:szCs w:val="21"/>
              </w:rPr>
              <w:t>100,000</w:t>
            </w:r>
          </w:p>
        </w:tc>
        <w:tc>
          <w:tcPr>
            <w:tcW w:w="1836" w:type="dxa"/>
            <w:vAlign w:val="center"/>
          </w:tcPr>
          <w:p w:rsidR="0040140E" w:rsidRDefault="009477A8">
            <w:pPr>
              <w:jc w:val="right"/>
            </w:pPr>
            <w:r>
              <w:rPr>
                <w:color w:val="000000"/>
                <w:kern w:val="0"/>
                <w:szCs w:val="21"/>
              </w:rPr>
              <w:t>9,948,000.00</w:t>
            </w:r>
          </w:p>
        </w:tc>
      </w:tr>
      <w:tr w:rsidR="0040140E">
        <w:tc>
          <w:tcPr>
            <w:tcW w:w="1500" w:type="dxa"/>
            <w:vAlign w:val="center"/>
          </w:tcPr>
          <w:p w:rsidR="0040140E" w:rsidRDefault="009477A8">
            <w:pPr>
              <w:jc w:val="center"/>
            </w:pPr>
            <w:r>
              <w:rPr>
                <w:color w:val="000000"/>
                <w:kern w:val="0"/>
                <w:szCs w:val="21"/>
              </w:rPr>
              <w:t>101800750</w:t>
            </w:r>
          </w:p>
        </w:tc>
        <w:tc>
          <w:tcPr>
            <w:tcW w:w="1500" w:type="dxa"/>
            <w:vAlign w:val="center"/>
          </w:tcPr>
          <w:p w:rsidR="0040140E" w:rsidRDefault="009477A8">
            <w:pPr>
              <w:jc w:val="center"/>
            </w:pPr>
            <w:r>
              <w:rPr>
                <w:color w:val="000000"/>
                <w:kern w:val="0"/>
                <w:szCs w:val="21"/>
              </w:rPr>
              <w:t>18</w:t>
            </w:r>
            <w:r>
              <w:rPr>
                <w:color w:val="000000"/>
                <w:kern w:val="0"/>
                <w:szCs w:val="21"/>
              </w:rPr>
              <w:t>中铝集</w:t>
            </w:r>
            <w:r>
              <w:rPr>
                <w:color w:val="000000"/>
                <w:kern w:val="0"/>
                <w:szCs w:val="21"/>
              </w:rPr>
              <w:t>MTN002A</w:t>
            </w:r>
          </w:p>
        </w:tc>
        <w:tc>
          <w:tcPr>
            <w:tcW w:w="1500" w:type="dxa"/>
            <w:vAlign w:val="center"/>
          </w:tcPr>
          <w:p w:rsidR="0040140E" w:rsidRDefault="009477A8">
            <w:pPr>
              <w:jc w:val="center"/>
            </w:pPr>
            <w:r>
              <w:rPr>
                <w:color w:val="000000"/>
                <w:kern w:val="0"/>
                <w:szCs w:val="21"/>
              </w:rPr>
              <w:t>2020-07-06</w:t>
            </w:r>
          </w:p>
        </w:tc>
        <w:tc>
          <w:tcPr>
            <w:tcW w:w="1260" w:type="dxa"/>
            <w:vAlign w:val="center"/>
          </w:tcPr>
          <w:p w:rsidR="0040140E" w:rsidRDefault="009477A8">
            <w:pPr>
              <w:jc w:val="right"/>
            </w:pPr>
            <w:r>
              <w:rPr>
                <w:color w:val="000000"/>
                <w:kern w:val="0"/>
                <w:szCs w:val="21"/>
              </w:rPr>
              <w:t>102.82</w:t>
            </w:r>
          </w:p>
        </w:tc>
        <w:tc>
          <w:tcPr>
            <w:tcW w:w="1440" w:type="dxa"/>
            <w:vAlign w:val="center"/>
          </w:tcPr>
          <w:p w:rsidR="0040140E" w:rsidRDefault="009477A8">
            <w:pPr>
              <w:jc w:val="right"/>
            </w:pPr>
            <w:r>
              <w:rPr>
                <w:color w:val="000000"/>
                <w:kern w:val="0"/>
                <w:szCs w:val="21"/>
              </w:rPr>
              <w:t>129,000</w:t>
            </w:r>
          </w:p>
        </w:tc>
        <w:tc>
          <w:tcPr>
            <w:tcW w:w="1836" w:type="dxa"/>
            <w:vAlign w:val="center"/>
          </w:tcPr>
          <w:p w:rsidR="0040140E" w:rsidRDefault="009477A8">
            <w:pPr>
              <w:jc w:val="right"/>
            </w:pPr>
            <w:r>
              <w:rPr>
                <w:color w:val="000000"/>
                <w:kern w:val="0"/>
                <w:szCs w:val="21"/>
              </w:rPr>
              <w:t>13,263,780.00</w:t>
            </w:r>
          </w:p>
        </w:tc>
      </w:tr>
      <w:tr w:rsidR="0040140E">
        <w:tc>
          <w:tcPr>
            <w:tcW w:w="1500" w:type="dxa"/>
            <w:vAlign w:val="center"/>
          </w:tcPr>
          <w:p w:rsidR="0040140E" w:rsidRDefault="009477A8">
            <w:pPr>
              <w:jc w:val="center"/>
            </w:pPr>
            <w:r>
              <w:rPr>
                <w:color w:val="000000"/>
                <w:kern w:val="0"/>
                <w:szCs w:val="21"/>
              </w:rPr>
              <w:t>101800815</w:t>
            </w:r>
          </w:p>
        </w:tc>
        <w:tc>
          <w:tcPr>
            <w:tcW w:w="1500" w:type="dxa"/>
            <w:vAlign w:val="center"/>
          </w:tcPr>
          <w:p w:rsidR="0040140E" w:rsidRDefault="009477A8">
            <w:pPr>
              <w:jc w:val="center"/>
            </w:pPr>
            <w:r>
              <w:rPr>
                <w:color w:val="000000"/>
                <w:kern w:val="0"/>
                <w:szCs w:val="21"/>
              </w:rPr>
              <w:t>18</w:t>
            </w:r>
            <w:r>
              <w:rPr>
                <w:color w:val="000000"/>
                <w:kern w:val="0"/>
                <w:szCs w:val="21"/>
              </w:rPr>
              <w:t>长发集团</w:t>
            </w:r>
            <w:r>
              <w:rPr>
                <w:color w:val="000000"/>
                <w:kern w:val="0"/>
                <w:szCs w:val="21"/>
              </w:rPr>
              <w:t>MTN002</w:t>
            </w:r>
          </w:p>
        </w:tc>
        <w:tc>
          <w:tcPr>
            <w:tcW w:w="1500" w:type="dxa"/>
            <w:vAlign w:val="center"/>
          </w:tcPr>
          <w:p w:rsidR="0040140E" w:rsidRDefault="009477A8">
            <w:pPr>
              <w:jc w:val="center"/>
            </w:pPr>
            <w:r>
              <w:rPr>
                <w:color w:val="000000"/>
                <w:kern w:val="0"/>
                <w:szCs w:val="21"/>
              </w:rPr>
              <w:t>2020-07-06</w:t>
            </w:r>
          </w:p>
        </w:tc>
        <w:tc>
          <w:tcPr>
            <w:tcW w:w="1260" w:type="dxa"/>
            <w:vAlign w:val="center"/>
          </w:tcPr>
          <w:p w:rsidR="0040140E" w:rsidRDefault="009477A8">
            <w:pPr>
              <w:jc w:val="right"/>
            </w:pPr>
            <w:r>
              <w:rPr>
                <w:color w:val="000000"/>
                <w:kern w:val="0"/>
                <w:szCs w:val="21"/>
              </w:rPr>
              <w:t>105.81</w:t>
            </w:r>
          </w:p>
        </w:tc>
        <w:tc>
          <w:tcPr>
            <w:tcW w:w="1440" w:type="dxa"/>
            <w:vAlign w:val="center"/>
          </w:tcPr>
          <w:p w:rsidR="0040140E" w:rsidRDefault="009477A8">
            <w:pPr>
              <w:jc w:val="right"/>
            </w:pPr>
            <w:r>
              <w:rPr>
                <w:color w:val="000000"/>
                <w:kern w:val="0"/>
                <w:szCs w:val="21"/>
              </w:rPr>
              <w:t>100,000</w:t>
            </w:r>
          </w:p>
        </w:tc>
        <w:tc>
          <w:tcPr>
            <w:tcW w:w="1836" w:type="dxa"/>
            <w:vAlign w:val="center"/>
          </w:tcPr>
          <w:p w:rsidR="0040140E" w:rsidRDefault="009477A8">
            <w:pPr>
              <w:jc w:val="right"/>
            </w:pPr>
            <w:r>
              <w:rPr>
                <w:color w:val="000000"/>
                <w:kern w:val="0"/>
                <w:szCs w:val="21"/>
              </w:rPr>
              <w:t>10,581,000.00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329,000</w:t>
            </w:r>
          </w:p>
        </w:tc>
        <w:tc>
          <w:tcPr>
            <w:tcW w:w="1836" w:type="dxa"/>
          </w:tcPr>
          <w:p w:rsidR="001548F9" w:rsidRPr="00325F8A" w:rsidRDefault="001548F9" w:rsidP="0070173B">
            <w:pPr>
              <w:jc w:val="right"/>
              <w:rPr>
                <w:szCs w:val="21"/>
              </w:rPr>
            </w:pPr>
            <w:r w:rsidRPr="00325F8A">
              <w:rPr>
                <w:szCs w:val="21"/>
              </w:rPr>
              <w:t>33,792,780.00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410,000,000.00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14</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40140E" w:rsidRDefault="009477A8">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40140E" w:rsidRDefault="009477A8">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债券型基金，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A62732">
        <w:rPr>
          <w:kern w:val="0"/>
          <w:szCs w:val="21"/>
        </w:rPr>
        <w:t>“</w:t>
      </w:r>
      <w:r w:rsidRPr="00A62732">
        <w:rPr>
          <w:kern w:val="0"/>
          <w:szCs w:val="21"/>
        </w:rPr>
        <w:t>风险和收益相匹配</w:t>
      </w:r>
      <w:r w:rsidRPr="00A62732">
        <w:rPr>
          <w:kern w:val="0"/>
          <w:szCs w:val="21"/>
        </w:rPr>
        <w:t>”</w:t>
      </w:r>
      <w:r w:rsidRPr="00A62732">
        <w:rPr>
          <w:kern w:val="0"/>
          <w:szCs w:val="21"/>
        </w:rPr>
        <w:t>的风险收益目标。</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40140E" w:rsidRDefault="009477A8">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w:t>
      </w:r>
      <w:r>
        <w:rPr>
          <w:kern w:val="0"/>
          <w:szCs w:val="21"/>
        </w:rPr>
        <w:lastRenderedPageBreak/>
        <w:t>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134.17%(2019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157.85%)</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20,464,579.23</w:t>
            </w:r>
          </w:p>
        </w:tc>
        <w:tc>
          <w:tcPr>
            <w:tcW w:w="3043" w:type="dxa"/>
            <w:vAlign w:val="center"/>
            <w:hideMark/>
          </w:tcPr>
          <w:p w:rsidR="002211C1" w:rsidRDefault="002211C1">
            <w:pPr>
              <w:jc w:val="right"/>
              <w:rPr>
                <w:szCs w:val="21"/>
              </w:rPr>
            </w:pPr>
            <w:r>
              <w:rPr>
                <w:szCs w:val="21"/>
              </w:rPr>
              <w:t>40,613,246.40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30,624,437.16</w:t>
            </w:r>
          </w:p>
        </w:tc>
        <w:tc>
          <w:tcPr>
            <w:tcW w:w="3043" w:type="dxa"/>
            <w:vAlign w:val="center"/>
            <w:hideMark/>
          </w:tcPr>
          <w:p w:rsidR="002211C1" w:rsidRDefault="002211C1">
            <w:pPr>
              <w:jc w:val="right"/>
              <w:rPr>
                <w:szCs w:val="21"/>
              </w:rPr>
            </w:pPr>
            <w:r>
              <w:rPr>
                <w:szCs w:val="21"/>
              </w:rPr>
              <w:t>80,225,511.48</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51,089,016.39</w:t>
            </w:r>
          </w:p>
        </w:tc>
        <w:tc>
          <w:tcPr>
            <w:tcW w:w="3043" w:type="dxa"/>
            <w:vAlign w:val="center"/>
            <w:hideMark/>
          </w:tcPr>
          <w:p w:rsidR="002211C1" w:rsidRDefault="002211C1">
            <w:pPr>
              <w:jc w:val="right"/>
              <w:rPr>
                <w:szCs w:val="21"/>
              </w:rPr>
            </w:pPr>
            <w:r>
              <w:rPr>
                <w:szCs w:val="21"/>
              </w:rPr>
              <w:t>120,838,757.88</w:t>
            </w:r>
          </w:p>
        </w:tc>
      </w:tr>
    </w:tbl>
    <w:p w:rsidR="0040140E" w:rsidRDefault="009477A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40140E" w:rsidRDefault="009477A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758,612,905.97</w:t>
            </w:r>
          </w:p>
        </w:tc>
        <w:tc>
          <w:tcPr>
            <w:tcW w:w="3008" w:type="dxa"/>
            <w:vAlign w:val="center"/>
            <w:hideMark/>
          </w:tcPr>
          <w:p w:rsidR="002211C1" w:rsidRDefault="002211C1">
            <w:pPr>
              <w:jc w:val="right"/>
              <w:rPr>
                <w:szCs w:val="21"/>
              </w:rPr>
            </w:pPr>
            <w:r>
              <w:rPr>
                <w:szCs w:val="21"/>
              </w:rPr>
              <w:t>731,988,342.80</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636,899,587.85</w:t>
            </w:r>
          </w:p>
        </w:tc>
        <w:tc>
          <w:tcPr>
            <w:tcW w:w="3008" w:type="dxa"/>
            <w:vAlign w:val="center"/>
            <w:hideMark/>
          </w:tcPr>
          <w:p w:rsidR="002211C1" w:rsidRDefault="002211C1">
            <w:pPr>
              <w:jc w:val="right"/>
              <w:rPr>
                <w:szCs w:val="21"/>
              </w:rPr>
            </w:pPr>
            <w:r>
              <w:rPr>
                <w:szCs w:val="21"/>
              </w:rPr>
              <w:t>886,298,130.48</w:t>
            </w:r>
          </w:p>
        </w:tc>
      </w:tr>
      <w:tr w:rsidR="002211C1" w:rsidTr="002E243D">
        <w:tc>
          <w:tcPr>
            <w:tcW w:w="2655" w:type="dxa"/>
            <w:vAlign w:val="center"/>
            <w:hideMark/>
          </w:tcPr>
          <w:p w:rsidR="002211C1" w:rsidRDefault="002211C1">
            <w:pPr>
              <w:rPr>
                <w:szCs w:val="21"/>
              </w:rPr>
            </w:pPr>
            <w:r>
              <w:rPr>
                <w:rFonts w:hint="eastAsia"/>
                <w:kern w:val="0"/>
                <w:szCs w:val="21"/>
              </w:rPr>
              <w:lastRenderedPageBreak/>
              <w:t>未评级</w:t>
            </w:r>
          </w:p>
        </w:tc>
        <w:tc>
          <w:tcPr>
            <w:tcW w:w="2977" w:type="dxa"/>
            <w:vAlign w:val="center"/>
            <w:hideMark/>
          </w:tcPr>
          <w:p w:rsidR="002211C1" w:rsidRDefault="002211C1">
            <w:pPr>
              <w:jc w:val="right"/>
              <w:rPr>
                <w:szCs w:val="21"/>
              </w:rPr>
            </w:pPr>
            <w:r>
              <w:rPr>
                <w:szCs w:val="21"/>
              </w:rPr>
              <w:t>20,076,087.67</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1,415,588,581.49</w:t>
            </w:r>
          </w:p>
        </w:tc>
        <w:tc>
          <w:tcPr>
            <w:tcW w:w="3008" w:type="dxa"/>
            <w:vAlign w:val="center"/>
            <w:hideMark/>
          </w:tcPr>
          <w:p w:rsidR="002211C1" w:rsidRDefault="002211C1">
            <w:pPr>
              <w:jc w:val="right"/>
              <w:rPr>
                <w:szCs w:val="21"/>
              </w:rPr>
            </w:pPr>
            <w:r>
              <w:rPr>
                <w:szCs w:val="21"/>
              </w:rPr>
              <w:t>1,618,286,473.28</w:t>
            </w:r>
          </w:p>
        </w:tc>
      </w:tr>
    </w:tbl>
    <w:p w:rsidR="0040140E" w:rsidRDefault="009477A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40140E" w:rsidRDefault="009477A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30,587,189.59</w:t>
            </w:r>
          </w:p>
        </w:tc>
        <w:tc>
          <w:tcPr>
            <w:tcW w:w="3046" w:type="dxa"/>
            <w:hideMark/>
          </w:tcPr>
          <w:p w:rsidR="002211C1" w:rsidRDefault="002211C1">
            <w:pPr>
              <w:jc w:val="right"/>
              <w:rPr>
                <w:rFonts w:eastAsiaTheme="minorEastAsia"/>
                <w:szCs w:val="21"/>
              </w:rPr>
            </w:pPr>
            <w:r>
              <w:rPr>
                <w:rFonts w:eastAsiaTheme="minorEastAsia"/>
                <w:szCs w:val="21"/>
              </w:rPr>
              <w:t>20,408,775.35</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30,587,189.59</w:t>
            </w:r>
          </w:p>
        </w:tc>
        <w:tc>
          <w:tcPr>
            <w:tcW w:w="3046" w:type="dxa"/>
            <w:vAlign w:val="center"/>
            <w:hideMark/>
          </w:tcPr>
          <w:p w:rsidR="002211C1" w:rsidRDefault="002211C1">
            <w:pPr>
              <w:jc w:val="right"/>
              <w:rPr>
                <w:rFonts w:eastAsiaTheme="minorEastAsia"/>
                <w:szCs w:val="21"/>
              </w:rPr>
            </w:pPr>
            <w:r>
              <w:rPr>
                <w:rFonts w:eastAsiaTheme="minorEastAsia"/>
                <w:szCs w:val="21"/>
              </w:rPr>
              <w:t>20,408,775.35</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40140E" w:rsidRDefault="009477A8">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40140E" w:rsidRDefault="009477A8">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w:t>
      </w:r>
      <w:r>
        <w:rPr>
          <w:rFonts w:eastAsiaTheme="minorEastAsia"/>
          <w:color w:val="000000" w:themeColor="text1"/>
          <w:kern w:val="0"/>
          <w:szCs w:val="21"/>
        </w:rPr>
        <w:lastRenderedPageBreak/>
        <w:t>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40140E">
        <w:trPr>
          <w:jc w:val="center"/>
        </w:trPr>
        <w:tc>
          <w:tcPr>
            <w:tcW w:w="1588" w:type="dxa"/>
            <w:vAlign w:val="center"/>
          </w:tcPr>
          <w:p w:rsidR="0040140E" w:rsidRDefault="009477A8">
            <w:pPr>
              <w:jc w:val="center"/>
            </w:pPr>
            <w:r>
              <w:rPr>
                <w:color w:val="000000"/>
                <w:szCs w:val="21"/>
              </w:rPr>
              <w:t>银行存款</w:t>
            </w:r>
          </w:p>
        </w:tc>
        <w:tc>
          <w:tcPr>
            <w:tcW w:w="1701" w:type="dxa"/>
            <w:vAlign w:val="center"/>
          </w:tcPr>
          <w:p w:rsidR="0040140E" w:rsidRDefault="009477A8">
            <w:pPr>
              <w:jc w:val="right"/>
            </w:pPr>
            <w:r>
              <w:rPr>
                <w:color w:val="000000"/>
                <w:szCs w:val="21"/>
              </w:rPr>
              <w:t>5,705,456.18</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5,705,456.18</w:t>
            </w:r>
          </w:p>
        </w:tc>
      </w:tr>
      <w:tr w:rsidR="0040140E">
        <w:trPr>
          <w:jc w:val="center"/>
        </w:trPr>
        <w:tc>
          <w:tcPr>
            <w:tcW w:w="1588" w:type="dxa"/>
            <w:vAlign w:val="center"/>
          </w:tcPr>
          <w:p w:rsidR="0040140E" w:rsidRDefault="009477A8">
            <w:pPr>
              <w:jc w:val="center"/>
            </w:pPr>
            <w:r>
              <w:rPr>
                <w:color w:val="000000"/>
                <w:szCs w:val="21"/>
              </w:rPr>
              <w:t>结算备付金</w:t>
            </w:r>
          </w:p>
        </w:tc>
        <w:tc>
          <w:tcPr>
            <w:tcW w:w="1701" w:type="dxa"/>
            <w:vAlign w:val="center"/>
          </w:tcPr>
          <w:p w:rsidR="0040140E" w:rsidRDefault="009477A8">
            <w:pPr>
              <w:jc w:val="right"/>
            </w:pPr>
            <w:r>
              <w:rPr>
                <w:color w:val="000000"/>
                <w:szCs w:val="21"/>
              </w:rPr>
              <w:t>45,119,626.33</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45,119,626.33</w:t>
            </w:r>
          </w:p>
        </w:tc>
      </w:tr>
      <w:tr w:rsidR="0040140E">
        <w:trPr>
          <w:jc w:val="center"/>
        </w:trPr>
        <w:tc>
          <w:tcPr>
            <w:tcW w:w="1588" w:type="dxa"/>
            <w:vAlign w:val="center"/>
          </w:tcPr>
          <w:p w:rsidR="0040140E" w:rsidRDefault="009477A8">
            <w:pPr>
              <w:jc w:val="center"/>
            </w:pPr>
            <w:r>
              <w:rPr>
                <w:color w:val="000000"/>
                <w:szCs w:val="21"/>
              </w:rPr>
              <w:t>存出保证金</w:t>
            </w:r>
          </w:p>
        </w:tc>
        <w:tc>
          <w:tcPr>
            <w:tcW w:w="1701" w:type="dxa"/>
            <w:vAlign w:val="center"/>
          </w:tcPr>
          <w:p w:rsidR="0040140E" w:rsidRDefault="009477A8">
            <w:pPr>
              <w:jc w:val="right"/>
            </w:pPr>
            <w:r>
              <w:rPr>
                <w:color w:val="000000"/>
                <w:szCs w:val="21"/>
              </w:rPr>
              <w:t>4,446.80</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4,446.80</w:t>
            </w:r>
          </w:p>
        </w:tc>
      </w:tr>
      <w:tr w:rsidR="0040140E">
        <w:trPr>
          <w:jc w:val="center"/>
        </w:trPr>
        <w:tc>
          <w:tcPr>
            <w:tcW w:w="1588" w:type="dxa"/>
            <w:vAlign w:val="center"/>
          </w:tcPr>
          <w:p w:rsidR="0040140E" w:rsidRDefault="009477A8">
            <w:pPr>
              <w:jc w:val="center"/>
            </w:pPr>
            <w:r>
              <w:rPr>
                <w:color w:val="000000"/>
                <w:szCs w:val="21"/>
              </w:rPr>
              <w:t>交易性金融资产</w:t>
            </w:r>
          </w:p>
        </w:tc>
        <w:tc>
          <w:tcPr>
            <w:tcW w:w="1701" w:type="dxa"/>
            <w:vAlign w:val="center"/>
          </w:tcPr>
          <w:p w:rsidR="0040140E" w:rsidRDefault="009477A8">
            <w:pPr>
              <w:jc w:val="right"/>
            </w:pPr>
            <w:r>
              <w:rPr>
                <w:color w:val="000000"/>
                <w:szCs w:val="21"/>
              </w:rPr>
              <w:t>531,507,855.20</w:t>
            </w:r>
          </w:p>
        </w:tc>
        <w:tc>
          <w:tcPr>
            <w:tcW w:w="1701" w:type="dxa"/>
            <w:vAlign w:val="center"/>
          </w:tcPr>
          <w:p w:rsidR="0040140E" w:rsidRDefault="009477A8">
            <w:pPr>
              <w:jc w:val="right"/>
            </w:pPr>
            <w:r>
              <w:rPr>
                <w:color w:val="000000"/>
                <w:szCs w:val="21"/>
              </w:rPr>
              <w:t>913,563,860.00</w:t>
            </w:r>
          </w:p>
        </w:tc>
        <w:tc>
          <w:tcPr>
            <w:tcW w:w="1559" w:type="dxa"/>
            <w:vAlign w:val="center"/>
          </w:tcPr>
          <w:p w:rsidR="0040140E" w:rsidRDefault="009477A8">
            <w:pPr>
              <w:jc w:val="right"/>
            </w:pPr>
            <w:r>
              <w:rPr>
                <w:color w:val="000000"/>
                <w:szCs w:val="21"/>
              </w:rPr>
              <w:t>19,886,000.00</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1,464,957,715.20</w:t>
            </w:r>
          </w:p>
        </w:tc>
      </w:tr>
      <w:tr w:rsidR="0040140E">
        <w:trPr>
          <w:jc w:val="center"/>
        </w:trPr>
        <w:tc>
          <w:tcPr>
            <w:tcW w:w="1588" w:type="dxa"/>
            <w:vAlign w:val="center"/>
          </w:tcPr>
          <w:p w:rsidR="0040140E" w:rsidRDefault="009477A8">
            <w:pPr>
              <w:jc w:val="center"/>
            </w:pPr>
            <w:r>
              <w:rPr>
                <w:color w:val="000000"/>
                <w:szCs w:val="21"/>
              </w:rPr>
              <w:t>衍生金融资产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买入返售金融资产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应收证券清算款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应收利息</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32,325,485.40</w:t>
            </w:r>
          </w:p>
        </w:tc>
        <w:tc>
          <w:tcPr>
            <w:tcW w:w="1301" w:type="dxa"/>
            <w:vAlign w:val="center"/>
          </w:tcPr>
          <w:p w:rsidR="0040140E" w:rsidRDefault="009477A8">
            <w:pPr>
              <w:jc w:val="right"/>
            </w:pPr>
            <w:r>
              <w:rPr>
                <w:color w:val="000000"/>
                <w:szCs w:val="21"/>
              </w:rPr>
              <w:t>32,325,485.40</w:t>
            </w:r>
          </w:p>
        </w:tc>
      </w:tr>
      <w:tr w:rsidR="0040140E">
        <w:trPr>
          <w:jc w:val="center"/>
        </w:trPr>
        <w:tc>
          <w:tcPr>
            <w:tcW w:w="1588" w:type="dxa"/>
            <w:vAlign w:val="center"/>
          </w:tcPr>
          <w:p w:rsidR="0040140E" w:rsidRDefault="009477A8">
            <w:pPr>
              <w:jc w:val="center"/>
            </w:pPr>
            <w:r>
              <w:rPr>
                <w:color w:val="000000"/>
                <w:szCs w:val="21"/>
              </w:rPr>
              <w:t>应收股利</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应收申购款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递延所得税资产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其他资产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582,337,384.51</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913,563,860.00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19,886,000.00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32,325,485.40</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1,548,112,729.91</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40140E">
        <w:trPr>
          <w:jc w:val="center"/>
        </w:trPr>
        <w:tc>
          <w:tcPr>
            <w:tcW w:w="1588" w:type="dxa"/>
            <w:vAlign w:val="center"/>
          </w:tcPr>
          <w:p w:rsidR="0040140E" w:rsidRDefault="009477A8">
            <w:pPr>
              <w:jc w:val="center"/>
            </w:pPr>
            <w:r>
              <w:rPr>
                <w:color w:val="000000"/>
                <w:szCs w:val="21"/>
              </w:rPr>
              <w:t>短期借款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交易性金融负债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衍生金融负债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卖出回购金融资产款</w:t>
            </w:r>
          </w:p>
        </w:tc>
        <w:tc>
          <w:tcPr>
            <w:tcW w:w="1701" w:type="dxa"/>
            <w:vAlign w:val="center"/>
          </w:tcPr>
          <w:p w:rsidR="0040140E" w:rsidRDefault="009477A8">
            <w:pPr>
              <w:jc w:val="right"/>
            </w:pPr>
            <w:r>
              <w:rPr>
                <w:color w:val="000000"/>
                <w:szCs w:val="21"/>
              </w:rPr>
              <w:t>441,054,753.42</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441,054,753.42</w:t>
            </w:r>
          </w:p>
        </w:tc>
      </w:tr>
      <w:tr w:rsidR="0040140E">
        <w:trPr>
          <w:jc w:val="center"/>
        </w:trPr>
        <w:tc>
          <w:tcPr>
            <w:tcW w:w="1588" w:type="dxa"/>
            <w:vAlign w:val="center"/>
          </w:tcPr>
          <w:p w:rsidR="0040140E" w:rsidRDefault="009477A8">
            <w:pPr>
              <w:jc w:val="center"/>
            </w:pPr>
            <w:r>
              <w:rPr>
                <w:color w:val="000000"/>
                <w:szCs w:val="21"/>
              </w:rPr>
              <w:lastRenderedPageBreak/>
              <w:t>应付证券清算款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5,057,077.46</w:t>
            </w:r>
          </w:p>
        </w:tc>
        <w:tc>
          <w:tcPr>
            <w:tcW w:w="1301" w:type="dxa"/>
            <w:vAlign w:val="center"/>
          </w:tcPr>
          <w:p w:rsidR="0040140E" w:rsidRDefault="009477A8">
            <w:pPr>
              <w:jc w:val="right"/>
            </w:pPr>
            <w:r>
              <w:rPr>
                <w:color w:val="000000"/>
                <w:szCs w:val="21"/>
              </w:rPr>
              <w:t>5,057,077.46</w:t>
            </w:r>
          </w:p>
        </w:tc>
      </w:tr>
      <w:tr w:rsidR="0040140E">
        <w:trPr>
          <w:jc w:val="center"/>
        </w:trPr>
        <w:tc>
          <w:tcPr>
            <w:tcW w:w="1588" w:type="dxa"/>
            <w:vAlign w:val="center"/>
          </w:tcPr>
          <w:p w:rsidR="0040140E" w:rsidRDefault="009477A8">
            <w:pPr>
              <w:jc w:val="center"/>
            </w:pPr>
            <w:r>
              <w:rPr>
                <w:color w:val="000000"/>
                <w:szCs w:val="21"/>
              </w:rPr>
              <w:t>应付赎回款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应付管理人报酬</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270,907.29</w:t>
            </w:r>
          </w:p>
        </w:tc>
        <w:tc>
          <w:tcPr>
            <w:tcW w:w="1301" w:type="dxa"/>
            <w:vAlign w:val="center"/>
          </w:tcPr>
          <w:p w:rsidR="0040140E" w:rsidRDefault="009477A8">
            <w:pPr>
              <w:jc w:val="right"/>
            </w:pPr>
            <w:r>
              <w:rPr>
                <w:color w:val="000000"/>
                <w:szCs w:val="21"/>
              </w:rPr>
              <w:t>270,907.29</w:t>
            </w:r>
          </w:p>
        </w:tc>
      </w:tr>
      <w:tr w:rsidR="0040140E">
        <w:trPr>
          <w:jc w:val="center"/>
        </w:trPr>
        <w:tc>
          <w:tcPr>
            <w:tcW w:w="1588" w:type="dxa"/>
            <w:vAlign w:val="center"/>
          </w:tcPr>
          <w:p w:rsidR="0040140E" w:rsidRDefault="009477A8">
            <w:pPr>
              <w:jc w:val="center"/>
            </w:pPr>
            <w:r>
              <w:rPr>
                <w:color w:val="000000"/>
                <w:szCs w:val="21"/>
              </w:rPr>
              <w:t>应付托管费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180,604.83</w:t>
            </w:r>
          </w:p>
        </w:tc>
        <w:tc>
          <w:tcPr>
            <w:tcW w:w="1301" w:type="dxa"/>
            <w:vAlign w:val="center"/>
          </w:tcPr>
          <w:p w:rsidR="0040140E" w:rsidRDefault="009477A8">
            <w:pPr>
              <w:jc w:val="right"/>
            </w:pPr>
            <w:r>
              <w:rPr>
                <w:color w:val="000000"/>
                <w:szCs w:val="21"/>
              </w:rPr>
              <w:t>180,604.83</w:t>
            </w:r>
          </w:p>
        </w:tc>
      </w:tr>
      <w:tr w:rsidR="0040140E">
        <w:trPr>
          <w:jc w:val="center"/>
        </w:trPr>
        <w:tc>
          <w:tcPr>
            <w:tcW w:w="1588" w:type="dxa"/>
            <w:vAlign w:val="center"/>
          </w:tcPr>
          <w:p w:rsidR="0040140E" w:rsidRDefault="009477A8">
            <w:pPr>
              <w:jc w:val="center"/>
            </w:pPr>
            <w:r>
              <w:rPr>
                <w:color w:val="000000"/>
                <w:szCs w:val="21"/>
              </w:rPr>
              <w:t>应付销售服务费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8,339.49</w:t>
            </w:r>
          </w:p>
        </w:tc>
        <w:tc>
          <w:tcPr>
            <w:tcW w:w="1301" w:type="dxa"/>
            <w:vAlign w:val="center"/>
          </w:tcPr>
          <w:p w:rsidR="0040140E" w:rsidRDefault="009477A8">
            <w:pPr>
              <w:jc w:val="right"/>
            </w:pPr>
            <w:r>
              <w:rPr>
                <w:color w:val="000000"/>
                <w:szCs w:val="21"/>
              </w:rPr>
              <w:t>8,339.49</w:t>
            </w:r>
          </w:p>
        </w:tc>
      </w:tr>
      <w:tr w:rsidR="0040140E">
        <w:trPr>
          <w:jc w:val="center"/>
        </w:trPr>
        <w:tc>
          <w:tcPr>
            <w:tcW w:w="1588" w:type="dxa"/>
            <w:vAlign w:val="center"/>
          </w:tcPr>
          <w:p w:rsidR="0040140E" w:rsidRDefault="009477A8">
            <w:pPr>
              <w:jc w:val="center"/>
            </w:pPr>
            <w:r>
              <w:rPr>
                <w:color w:val="000000"/>
                <w:szCs w:val="21"/>
              </w:rPr>
              <w:t>应付交易费用</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14,073.39</w:t>
            </w:r>
          </w:p>
        </w:tc>
        <w:tc>
          <w:tcPr>
            <w:tcW w:w="1301" w:type="dxa"/>
            <w:vAlign w:val="center"/>
          </w:tcPr>
          <w:p w:rsidR="0040140E" w:rsidRDefault="009477A8">
            <w:pPr>
              <w:jc w:val="right"/>
            </w:pPr>
            <w:r>
              <w:rPr>
                <w:color w:val="000000"/>
                <w:szCs w:val="21"/>
              </w:rPr>
              <w:t>14,073.39</w:t>
            </w:r>
          </w:p>
        </w:tc>
      </w:tr>
      <w:tr w:rsidR="0040140E">
        <w:trPr>
          <w:jc w:val="center"/>
        </w:trPr>
        <w:tc>
          <w:tcPr>
            <w:tcW w:w="1588" w:type="dxa"/>
            <w:vAlign w:val="center"/>
          </w:tcPr>
          <w:p w:rsidR="0040140E" w:rsidRDefault="009477A8">
            <w:pPr>
              <w:jc w:val="center"/>
            </w:pPr>
            <w:r>
              <w:rPr>
                <w:color w:val="000000"/>
                <w:szCs w:val="21"/>
              </w:rPr>
              <w:t>应交税费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204,423.72</w:t>
            </w:r>
          </w:p>
        </w:tc>
        <w:tc>
          <w:tcPr>
            <w:tcW w:w="1301" w:type="dxa"/>
            <w:vAlign w:val="center"/>
          </w:tcPr>
          <w:p w:rsidR="0040140E" w:rsidRDefault="009477A8">
            <w:pPr>
              <w:jc w:val="right"/>
            </w:pPr>
            <w:r>
              <w:rPr>
                <w:color w:val="000000"/>
                <w:szCs w:val="21"/>
              </w:rPr>
              <w:t>204,423.72</w:t>
            </w:r>
          </w:p>
        </w:tc>
      </w:tr>
      <w:tr w:rsidR="0040140E">
        <w:trPr>
          <w:jc w:val="center"/>
        </w:trPr>
        <w:tc>
          <w:tcPr>
            <w:tcW w:w="1588" w:type="dxa"/>
            <w:vAlign w:val="center"/>
          </w:tcPr>
          <w:p w:rsidR="0040140E" w:rsidRDefault="009477A8">
            <w:pPr>
              <w:jc w:val="center"/>
            </w:pPr>
            <w:r>
              <w:rPr>
                <w:color w:val="000000"/>
                <w:szCs w:val="21"/>
              </w:rPr>
              <w:t>应付利息</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31,887.02</w:t>
            </w:r>
          </w:p>
        </w:tc>
        <w:tc>
          <w:tcPr>
            <w:tcW w:w="1301" w:type="dxa"/>
            <w:vAlign w:val="center"/>
          </w:tcPr>
          <w:p w:rsidR="0040140E" w:rsidRDefault="009477A8">
            <w:pPr>
              <w:jc w:val="right"/>
            </w:pPr>
            <w:r>
              <w:rPr>
                <w:color w:val="000000"/>
                <w:szCs w:val="21"/>
              </w:rPr>
              <w:t>31,887.02</w:t>
            </w:r>
          </w:p>
        </w:tc>
      </w:tr>
      <w:tr w:rsidR="0040140E">
        <w:trPr>
          <w:jc w:val="center"/>
        </w:trPr>
        <w:tc>
          <w:tcPr>
            <w:tcW w:w="1588" w:type="dxa"/>
            <w:vAlign w:val="center"/>
          </w:tcPr>
          <w:p w:rsidR="0040140E" w:rsidRDefault="009477A8">
            <w:pPr>
              <w:jc w:val="center"/>
            </w:pPr>
            <w:r>
              <w:rPr>
                <w:color w:val="000000"/>
                <w:szCs w:val="21"/>
              </w:rPr>
              <w:t>应付利润</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递延所得税负债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其他负债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323,530.70</w:t>
            </w:r>
          </w:p>
        </w:tc>
        <w:tc>
          <w:tcPr>
            <w:tcW w:w="1301" w:type="dxa"/>
            <w:vAlign w:val="center"/>
          </w:tcPr>
          <w:p w:rsidR="0040140E" w:rsidRDefault="009477A8">
            <w:pPr>
              <w:jc w:val="right"/>
            </w:pPr>
            <w:r>
              <w:rPr>
                <w:color w:val="000000"/>
                <w:szCs w:val="21"/>
              </w:rPr>
              <w:t>323,530.70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441,054,753.42</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6,090,843.90</w:t>
            </w:r>
          </w:p>
        </w:tc>
        <w:tc>
          <w:tcPr>
            <w:tcW w:w="1301" w:type="dxa"/>
          </w:tcPr>
          <w:p w:rsidR="001816E6" w:rsidRPr="004604CE" w:rsidRDefault="001816E6" w:rsidP="00E431A5">
            <w:pPr>
              <w:spacing w:line="360" w:lineRule="auto"/>
              <w:ind w:right="210"/>
              <w:jc w:val="right"/>
              <w:rPr>
                <w:szCs w:val="21"/>
              </w:rPr>
            </w:pPr>
            <w:r w:rsidRPr="004604CE">
              <w:rPr>
                <w:szCs w:val="21"/>
              </w:rPr>
              <w:t>447,145,597.32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141,282,631.09</w:t>
            </w:r>
          </w:p>
        </w:tc>
        <w:tc>
          <w:tcPr>
            <w:tcW w:w="1701" w:type="dxa"/>
          </w:tcPr>
          <w:p w:rsidR="001816E6" w:rsidRPr="004604CE" w:rsidRDefault="001816E6" w:rsidP="00E431A5">
            <w:pPr>
              <w:spacing w:line="360" w:lineRule="auto"/>
              <w:jc w:val="right"/>
              <w:rPr>
                <w:szCs w:val="21"/>
              </w:rPr>
            </w:pPr>
            <w:r w:rsidRPr="004604CE">
              <w:rPr>
                <w:szCs w:val="21"/>
              </w:rPr>
              <w:t>913,563,860.00</w:t>
            </w:r>
          </w:p>
        </w:tc>
        <w:tc>
          <w:tcPr>
            <w:tcW w:w="1559" w:type="dxa"/>
          </w:tcPr>
          <w:p w:rsidR="001816E6" w:rsidRPr="004604CE" w:rsidRDefault="001816E6" w:rsidP="00E431A5">
            <w:pPr>
              <w:spacing w:line="360" w:lineRule="auto"/>
              <w:jc w:val="right"/>
              <w:rPr>
                <w:szCs w:val="21"/>
              </w:rPr>
            </w:pPr>
            <w:r w:rsidRPr="004604CE">
              <w:rPr>
                <w:szCs w:val="21"/>
              </w:rPr>
              <w:t>19,886,000.00</w:t>
            </w:r>
          </w:p>
        </w:tc>
        <w:tc>
          <w:tcPr>
            <w:tcW w:w="1559" w:type="dxa"/>
          </w:tcPr>
          <w:p w:rsidR="001816E6" w:rsidRPr="004604CE" w:rsidRDefault="001816E6" w:rsidP="00E431A5">
            <w:pPr>
              <w:spacing w:line="360" w:lineRule="auto"/>
              <w:jc w:val="right"/>
              <w:rPr>
                <w:szCs w:val="21"/>
              </w:rPr>
            </w:pPr>
            <w:r w:rsidRPr="004604CE">
              <w:rPr>
                <w:szCs w:val="21"/>
              </w:rPr>
              <w:t>26,234,641.50</w:t>
            </w:r>
          </w:p>
        </w:tc>
        <w:tc>
          <w:tcPr>
            <w:tcW w:w="1301" w:type="dxa"/>
          </w:tcPr>
          <w:p w:rsidR="001816E6" w:rsidRPr="004604CE" w:rsidRDefault="001816E6" w:rsidP="00E431A5">
            <w:pPr>
              <w:spacing w:line="360" w:lineRule="auto"/>
              <w:jc w:val="right"/>
              <w:rPr>
                <w:szCs w:val="21"/>
              </w:rPr>
            </w:pPr>
            <w:r w:rsidRPr="004604CE">
              <w:rPr>
                <w:szCs w:val="21"/>
              </w:rPr>
              <w:t>1,100,967,132.59</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40140E">
        <w:trPr>
          <w:jc w:val="center"/>
        </w:trPr>
        <w:tc>
          <w:tcPr>
            <w:tcW w:w="1588" w:type="dxa"/>
            <w:vAlign w:val="center"/>
          </w:tcPr>
          <w:p w:rsidR="0040140E" w:rsidRDefault="009477A8">
            <w:pPr>
              <w:jc w:val="center"/>
            </w:pPr>
            <w:r>
              <w:rPr>
                <w:color w:val="000000"/>
                <w:szCs w:val="21"/>
              </w:rPr>
              <w:t>银行存款</w:t>
            </w:r>
          </w:p>
        </w:tc>
        <w:tc>
          <w:tcPr>
            <w:tcW w:w="1701" w:type="dxa"/>
            <w:vAlign w:val="center"/>
          </w:tcPr>
          <w:p w:rsidR="0040140E" w:rsidRDefault="009477A8">
            <w:pPr>
              <w:jc w:val="right"/>
            </w:pPr>
            <w:r>
              <w:rPr>
                <w:color w:val="000000"/>
                <w:szCs w:val="21"/>
              </w:rPr>
              <w:t>751,316.66</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751,316.66</w:t>
            </w:r>
          </w:p>
        </w:tc>
      </w:tr>
      <w:tr w:rsidR="0040140E">
        <w:trPr>
          <w:jc w:val="center"/>
        </w:trPr>
        <w:tc>
          <w:tcPr>
            <w:tcW w:w="1588" w:type="dxa"/>
            <w:vAlign w:val="center"/>
          </w:tcPr>
          <w:p w:rsidR="0040140E" w:rsidRDefault="009477A8">
            <w:pPr>
              <w:jc w:val="center"/>
            </w:pPr>
            <w:r>
              <w:rPr>
                <w:color w:val="000000"/>
                <w:szCs w:val="21"/>
              </w:rPr>
              <w:t>结算备付金</w:t>
            </w:r>
          </w:p>
        </w:tc>
        <w:tc>
          <w:tcPr>
            <w:tcW w:w="1701" w:type="dxa"/>
            <w:vAlign w:val="center"/>
          </w:tcPr>
          <w:p w:rsidR="0040140E" w:rsidRDefault="009477A8">
            <w:pPr>
              <w:jc w:val="right"/>
            </w:pPr>
            <w:r>
              <w:rPr>
                <w:color w:val="000000"/>
                <w:szCs w:val="21"/>
              </w:rPr>
              <w:t>28,561,357.37</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28,561,357.37</w:t>
            </w:r>
          </w:p>
        </w:tc>
      </w:tr>
      <w:tr w:rsidR="0040140E">
        <w:trPr>
          <w:jc w:val="center"/>
        </w:trPr>
        <w:tc>
          <w:tcPr>
            <w:tcW w:w="1588" w:type="dxa"/>
            <w:vAlign w:val="center"/>
          </w:tcPr>
          <w:p w:rsidR="0040140E" w:rsidRDefault="009477A8">
            <w:pPr>
              <w:jc w:val="center"/>
            </w:pPr>
            <w:r>
              <w:rPr>
                <w:color w:val="000000"/>
                <w:szCs w:val="21"/>
              </w:rPr>
              <w:t>存出保证金</w:t>
            </w:r>
          </w:p>
        </w:tc>
        <w:tc>
          <w:tcPr>
            <w:tcW w:w="1701" w:type="dxa"/>
            <w:vAlign w:val="center"/>
          </w:tcPr>
          <w:p w:rsidR="0040140E" w:rsidRDefault="009477A8">
            <w:pPr>
              <w:jc w:val="right"/>
            </w:pPr>
            <w:r>
              <w:rPr>
                <w:color w:val="000000"/>
                <w:szCs w:val="21"/>
              </w:rPr>
              <w:t>44,219.31</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44,219.31</w:t>
            </w:r>
          </w:p>
        </w:tc>
      </w:tr>
      <w:tr w:rsidR="0040140E">
        <w:trPr>
          <w:jc w:val="center"/>
        </w:trPr>
        <w:tc>
          <w:tcPr>
            <w:tcW w:w="1588" w:type="dxa"/>
            <w:vAlign w:val="center"/>
          </w:tcPr>
          <w:p w:rsidR="0040140E" w:rsidRDefault="009477A8">
            <w:pPr>
              <w:jc w:val="center"/>
            </w:pPr>
            <w:r>
              <w:rPr>
                <w:color w:val="000000"/>
                <w:szCs w:val="21"/>
              </w:rPr>
              <w:t>交易性金融资产</w:t>
            </w:r>
          </w:p>
        </w:tc>
        <w:tc>
          <w:tcPr>
            <w:tcW w:w="1701" w:type="dxa"/>
            <w:vAlign w:val="center"/>
          </w:tcPr>
          <w:p w:rsidR="0040140E" w:rsidRDefault="009477A8">
            <w:pPr>
              <w:jc w:val="right"/>
            </w:pPr>
            <w:r>
              <w:rPr>
                <w:color w:val="000000"/>
                <w:szCs w:val="21"/>
              </w:rPr>
              <w:t>525,900,175.70</w:t>
            </w:r>
          </w:p>
        </w:tc>
        <w:tc>
          <w:tcPr>
            <w:tcW w:w="1701" w:type="dxa"/>
            <w:vAlign w:val="center"/>
          </w:tcPr>
          <w:p w:rsidR="0040140E" w:rsidRDefault="009477A8">
            <w:pPr>
              <w:jc w:val="right"/>
            </w:pPr>
            <w:r>
              <w:rPr>
                <w:color w:val="000000"/>
                <w:szCs w:val="21"/>
              </w:rPr>
              <w:t>1,202,042,926.60</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1,727,943,102.30</w:t>
            </w:r>
          </w:p>
        </w:tc>
      </w:tr>
      <w:tr w:rsidR="0040140E">
        <w:trPr>
          <w:jc w:val="center"/>
        </w:trPr>
        <w:tc>
          <w:tcPr>
            <w:tcW w:w="1588" w:type="dxa"/>
            <w:vAlign w:val="center"/>
          </w:tcPr>
          <w:p w:rsidR="0040140E" w:rsidRDefault="009477A8">
            <w:pPr>
              <w:jc w:val="center"/>
            </w:pPr>
            <w:r>
              <w:rPr>
                <w:color w:val="000000"/>
                <w:szCs w:val="21"/>
              </w:rPr>
              <w:t>衍生金融资产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买入返售金融资产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应收证券清算款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5,413,231.91</w:t>
            </w:r>
          </w:p>
        </w:tc>
        <w:tc>
          <w:tcPr>
            <w:tcW w:w="1301" w:type="dxa"/>
            <w:vAlign w:val="center"/>
          </w:tcPr>
          <w:p w:rsidR="0040140E" w:rsidRDefault="009477A8">
            <w:pPr>
              <w:jc w:val="right"/>
            </w:pPr>
            <w:r>
              <w:rPr>
                <w:color w:val="000000"/>
                <w:szCs w:val="21"/>
              </w:rPr>
              <w:t>5,413,231.91</w:t>
            </w:r>
          </w:p>
        </w:tc>
      </w:tr>
      <w:tr w:rsidR="0040140E">
        <w:trPr>
          <w:jc w:val="center"/>
        </w:trPr>
        <w:tc>
          <w:tcPr>
            <w:tcW w:w="1588" w:type="dxa"/>
            <w:vAlign w:val="center"/>
          </w:tcPr>
          <w:p w:rsidR="0040140E" w:rsidRDefault="009477A8">
            <w:pPr>
              <w:jc w:val="center"/>
            </w:pPr>
            <w:r>
              <w:rPr>
                <w:color w:val="000000"/>
                <w:szCs w:val="21"/>
              </w:rPr>
              <w:t>应收利息</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31,603,957.21</w:t>
            </w:r>
          </w:p>
        </w:tc>
        <w:tc>
          <w:tcPr>
            <w:tcW w:w="1301" w:type="dxa"/>
            <w:vAlign w:val="center"/>
          </w:tcPr>
          <w:p w:rsidR="0040140E" w:rsidRDefault="009477A8">
            <w:pPr>
              <w:jc w:val="right"/>
            </w:pPr>
            <w:r>
              <w:rPr>
                <w:color w:val="000000"/>
                <w:szCs w:val="21"/>
              </w:rPr>
              <w:t>31,603,957.21</w:t>
            </w:r>
          </w:p>
        </w:tc>
      </w:tr>
      <w:tr w:rsidR="0040140E">
        <w:trPr>
          <w:jc w:val="center"/>
        </w:trPr>
        <w:tc>
          <w:tcPr>
            <w:tcW w:w="1588" w:type="dxa"/>
            <w:vAlign w:val="center"/>
          </w:tcPr>
          <w:p w:rsidR="0040140E" w:rsidRDefault="009477A8">
            <w:pPr>
              <w:jc w:val="center"/>
            </w:pPr>
            <w:r>
              <w:rPr>
                <w:color w:val="000000"/>
                <w:szCs w:val="21"/>
              </w:rPr>
              <w:t>应收股利</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应收申购款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递延所得税资产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其他资产</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301" w:type="dxa"/>
            <w:vAlign w:val="center"/>
          </w:tcPr>
          <w:p w:rsidR="0040140E" w:rsidRDefault="009477A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555,257,069.04</w:t>
            </w:r>
          </w:p>
        </w:tc>
        <w:tc>
          <w:tcPr>
            <w:tcW w:w="1701" w:type="dxa"/>
          </w:tcPr>
          <w:p w:rsidR="001816E6" w:rsidRPr="004604CE" w:rsidRDefault="001816E6" w:rsidP="00E431A5">
            <w:pPr>
              <w:spacing w:line="360" w:lineRule="auto"/>
              <w:jc w:val="right"/>
              <w:rPr>
                <w:szCs w:val="21"/>
              </w:rPr>
            </w:pPr>
            <w:r w:rsidRPr="004604CE">
              <w:rPr>
                <w:szCs w:val="21"/>
              </w:rPr>
              <w:t>1,202,042,926.60</w:t>
            </w:r>
          </w:p>
        </w:tc>
        <w:tc>
          <w:tcPr>
            <w:tcW w:w="1559" w:type="dxa"/>
            <w:vAlign w:val="center"/>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37,017,189.12</w:t>
            </w:r>
          </w:p>
        </w:tc>
        <w:tc>
          <w:tcPr>
            <w:tcW w:w="1301" w:type="dxa"/>
          </w:tcPr>
          <w:p w:rsidR="001816E6" w:rsidRPr="004604CE" w:rsidRDefault="001816E6" w:rsidP="00E431A5">
            <w:pPr>
              <w:spacing w:line="360" w:lineRule="auto"/>
              <w:jc w:val="right"/>
              <w:rPr>
                <w:szCs w:val="21"/>
              </w:rPr>
            </w:pPr>
            <w:r w:rsidRPr="004604CE">
              <w:rPr>
                <w:szCs w:val="21"/>
              </w:rPr>
              <w:t>1,794,317,184.76</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40140E">
        <w:trPr>
          <w:jc w:val="center"/>
        </w:trPr>
        <w:tc>
          <w:tcPr>
            <w:tcW w:w="1588" w:type="dxa"/>
            <w:vAlign w:val="center"/>
          </w:tcPr>
          <w:p w:rsidR="0040140E" w:rsidRDefault="009477A8">
            <w:pPr>
              <w:jc w:val="center"/>
            </w:pPr>
            <w:r>
              <w:rPr>
                <w:color w:val="000000"/>
                <w:szCs w:val="21"/>
              </w:rPr>
              <w:t>短期借款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交易性金融负债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lastRenderedPageBreak/>
              <w:t>衍生金融负债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卖出回购金融资产款</w:t>
            </w:r>
          </w:p>
        </w:tc>
        <w:tc>
          <w:tcPr>
            <w:tcW w:w="1701" w:type="dxa"/>
            <w:vAlign w:val="center"/>
          </w:tcPr>
          <w:p w:rsidR="0040140E" w:rsidRDefault="009477A8">
            <w:pPr>
              <w:jc w:val="right"/>
            </w:pPr>
            <w:r>
              <w:rPr>
                <w:color w:val="000000"/>
                <w:szCs w:val="21"/>
              </w:rPr>
              <w:t>673,238,598.63</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673,238,598.63</w:t>
            </w:r>
          </w:p>
        </w:tc>
      </w:tr>
      <w:tr w:rsidR="0040140E">
        <w:trPr>
          <w:jc w:val="center"/>
        </w:trPr>
        <w:tc>
          <w:tcPr>
            <w:tcW w:w="1588" w:type="dxa"/>
            <w:vAlign w:val="center"/>
          </w:tcPr>
          <w:p w:rsidR="0040140E" w:rsidRDefault="009477A8">
            <w:pPr>
              <w:jc w:val="center"/>
            </w:pPr>
            <w:r>
              <w:rPr>
                <w:color w:val="000000"/>
                <w:szCs w:val="21"/>
              </w:rPr>
              <w:t>应付证券清算款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5,007,374.67</w:t>
            </w:r>
          </w:p>
        </w:tc>
        <w:tc>
          <w:tcPr>
            <w:tcW w:w="1301" w:type="dxa"/>
            <w:vAlign w:val="center"/>
          </w:tcPr>
          <w:p w:rsidR="0040140E" w:rsidRDefault="009477A8">
            <w:pPr>
              <w:jc w:val="right"/>
            </w:pPr>
            <w:r>
              <w:rPr>
                <w:color w:val="000000"/>
                <w:szCs w:val="21"/>
              </w:rPr>
              <w:t>5,007,374.67</w:t>
            </w:r>
          </w:p>
        </w:tc>
      </w:tr>
      <w:tr w:rsidR="0040140E">
        <w:trPr>
          <w:jc w:val="center"/>
        </w:trPr>
        <w:tc>
          <w:tcPr>
            <w:tcW w:w="1588" w:type="dxa"/>
            <w:vAlign w:val="center"/>
          </w:tcPr>
          <w:p w:rsidR="0040140E" w:rsidRDefault="009477A8">
            <w:pPr>
              <w:jc w:val="center"/>
            </w:pPr>
            <w:r>
              <w:rPr>
                <w:color w:val="000000"/>
                <w:szCs w:val="21"/>
              </w:rPr>
              <w:t>应付赎回款</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应付管理人报酬</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283,192.87</w:t>
            </w:r>
          </w:p>
        </w:tc>
        <w:tc>
          <w:tcPr>
            <w:tcW w:w="1301" w:type="dxa"/>
            <w:vAlign w:val="center"/>
          </w:tcPr>
          <w:p w:rsidR="0040140E" w:rsidRDefault="009477A8">
            <w:pPr>
              <w:jc w:val="right"/>
            </w:pPr>
            <w:r>
              <w:rPr>
                <w:color w:val="000000"/>
                <w:szCs w:val="21"/>
              </w:rPr>
              <w:t>283,192.87</w:t>
            </w:r>
          </w:p>
        </w:tc>
      </w:tr>
      <w:tr w:rsidR="0040140E">
        <w:trPr>
          <w:jc w:val="center"/>
        </w:trPr>
        <w:tc>
          <w:tcPr>
            <w:tcW w:w="1588" w:type="dxa"/>
            <w:vAlign w:val="center"/>
          </w:tcPr>
          <w:p w:rsidR="0040140E" w:rsidRDefault="009477A8">
            <w:pPr>
              <w:jc w:val="center"/>
            </w:pPr>
            <w:r>
              <w:rPr>
                <w:color w:val="000000"/>
                <w:szCs w:val="21"/>
              </w:rPr>
              <w:t>应付托管费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188,795.24</w:t>
            </w:r>
          </w:p>
        </w:tc>
        <w:tc>
          <w:tcPr>
            <w:tcW w:w="1301" w:type="dxa"/>
            <w:vAlign w:val="center"/>
          </w:tcPr>
          <w:p w:rsidR="0040140E" w:rsidRDefault="009477A8">
            <w:pPr>
              <w:jc w:val="right"/>
            </w:pPr>
            <w:r>
              <w:rPr>
                <w:color w:val="000000"/>
                <w:szCs w:val="21"/>
              </w:rPr>
              <w:t>188,795.24</w:t>
            </w:r>
          </w:p>
        </w:tc>
      </w:tr>
      <w:tr w:rsidR="0040140E">
        <w:trPr>
          <w:jc w:val="center"/>
        </w:trPr>
        <w:tc>
          <w:tcPr>
            <w:tcW w:w="1588" w:type="dxa"/>
            <w:vAlign w:val="center"/>
          </w:tcPr>
          <w:p w:rsidR="0040140E" w:rsidRDefault="009477A8">
            <w:pPr>
              <w:jc w:val="center"/>
            </w:pPr>
            <w:r>
              <w:rPr>
                <w:color w:val="000000"/>
                <w:szCs w:val="21"/>
              </w:rPr>
              <w:t>应付销售服务费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8,718.63</w:t>
            </w:r>
          </w:p>
        </w:tc>
        <w:tc>
          <w:tcPr>
            <w:tcW w:w="1301" w:type="dxa"/>
            <w:vAlign w:val="center"/>
          </w:tcPr>
          <w:p w:rsidR="0040140E" w:rsidRDefault="009477A8">
            <w:pPr>
              <w:jc w:val="right"/>
            </w:pPr>
            <w:r>
              <w:rPr>
                <w:color w:val="000000"/>
                <w:szCs w:val="21"/>
              </w:rPr>
              <w:t>8,718.63</w:t>
            </w:r>
          </w:p>
        </w:tc>
      </w:tr>
      <w:tr w:rsidR="0040140E">
        <w:trPr>
          <w:jc w:val="center"/>
        </w:trPr>
        <w:tc>
          <w:tcPr>
            <w:tcW w:w="1588" w:type="dxa"/>
            <w:vAlign w:val="center"/>
          </w:tcPr>
          <w:p w:rsidR="0040140E" w:rsidRDefault="009477A8">
            <w:pPr>
              <w:jc w:val="center"/>
            </w:pPr>
            <w:r>
              <w:rPr>
                <w:color w:val="000000"/>
                <w:szCs w:val="21"/>
              </w:rPr>
              <w:t>应付交易费用</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21,143.41</w:t>
            </w:r>
          </w:p>
        </w:tc>
        <w:tc>
          <w:tcPr>
            <w:tcW w:w="1301" w:type="dxa"/>
            <w:vAlign w:val="center"/>
          </w:tcPr>
          <w:p w:rsidR="0040140E" w:rsidRDefault="009477A8">
            <w:pPr>
              <w:jc w:val="right"/>
            </w:pPr>
            <w:r>
              <w:rPr>
                <w:color w:val="000000"/>
                <w:szCs w:val="21"/>
              </w:rPr>
              <w:t>21,143.41</w:t>
            </w:r>
          </w:p>
        </w:tc>
      </w:tr>
      <w:tr w:rsidR="0040140E">
        <w:trPr>
          <w:jc w:val="center"/>
        </w:trPr>
        <w:tc>
          <w:tcPr>
            <w:tcW w:w="1588" w:type="dxa"/>
            <w:vAlign w:val="center"/>
          </w:tcPr>
          <w:p w:rsidR="0040140E" w:rsidRDefault="009477A8">
            <w:pPr>
              <w:jc w:val="center"/>
            </w:pPr>
            <w:r>
              <w:rPr>
                <w:color w:val="000000"/>
                <w:szCs w:val="21"/>
              </w:rPr>
              <w:t>应交税费</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237,818.18</w:t>
            </w:r>
          </w:p>
        </w:tc>
        <w:tc>
          <w:tcPr>
            <w:tcW w:w="1301" w:type="dxa"/>
            <w:vAlign w:val="center"/>
          </w:tcPr>
          <w:p w:rsidR="0040140E" w:rsidRDefault="009477A8">
            <w:pPr>
              <w:jc w:val="right"/>
            </w:pPr>
            <w:r>
              <w:rPr>
                <w:color w:val="000000"/>
                <w:szCs w:val="21"/>
              </w:rPr>
              <w:t>237,818.18</w:t>
            </w:r>
          </w:p>
        </w:tc>
      </w:tr>
      <w:tr w:rsidR="0040140E">
        <w:trPr>
          <w:jc w:val="center"/>
        </w:trPr>
        <w:tc>
          <w:tcPr>
            <w:tcW w:w="1588" w:type="dxa"/>
            <w:vAlign w:val="center"/>
          </w:tcPr>
          <w:p w:rsidR="0040140E" w:rsidRDefault="009477A8">
            <w:pPr>
              <w:jc w:val="center"/>
            </w:pPr>
            <w:r>
              <w:rPr>
                <w:color w:val="000000"/>
                <w:szCs w:val="21"/>
              </w:rPr>
              <w:t>应付利息</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334,772.46</w:t>
            </w:r>
          </w:p>
        </w:tc>
        <w:tc>
          <w:tcPr>
            <w:tcW w:w="1301" w:type="dxa"/>
            <w:vAlign w:val="center"/>
          </w:tcPr>
          <w:p w:rsidR="0040140E" w:rsidRDefault="009477A8">
            <w:pPr>
              <w:jc w:val="right"/>
            </w:pPr>
            <w:r>
              <w:rPr>
                <w:color w:val="000000"/>
                <w:szCs w:val="21"/>
              </w:rPr>
              <w:t>334,772.46</w:t>
            </w:r>
          </w:p>
        </w:tc>
      </w:tr>
      <w:tr w:rsidR="0040140E">
        <w:trPr>
          <w:jc w:val="center"/>
        </w:trPr>
        <w:tc>
          <w:tcPr>
            <w:tcW w:w="1588" w:type="dxa"/>
            <w:vAlign w:val="center"/>
          </w:tcPr>
          <w:p w:rsidR="0040140E" w:rsidRDefault="009477A8">
            <w:pPr>
              <w:jc w:val="center"/>
            </w:pPr>
            <w:r>
              <w:rPr>
                <w:color w:val="000000"/>
                <w:szCs w:val="21"/>
              </w:rPr>
              <w:t>应付利润</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递延所得税负债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w:t>
            </w:r>
          </w:p>
        </w:tc>
        <w:tc>
          <w:tcPr>
            <w:tcW w:w="1301" w:type="dxa"/>
            <w:vAlign w:val="center"/>
          </w:tcPr>
          <w:p w:rsidR="0040140E" w:rsidRDefault="009477A8">
            <w:pPr>
              <w:jc w:val="right"/>
            </w:pPr>
            <w:r>
              <w:rPr>
                <w:color w:val="000000"/>
                <w:szCs w:val="21"/>
              </w:rPr>
              <w:t>-</w:t>
            </w:r>
          </w:p>
        </w:tc>
      </w:tr>
      <w:tr w:rsidR="0040140E">
        <w:trPr>
          <w:jc w:val="center"/>
        </w:trPr>
        <w:tc>
          <w:tcPr>
            <w:tcW w:w="1588" w:type="dxa"/>
            <w:vAlign w:val="center"/>
          </w:tcPr>
          <w:p w:rsidR="0040140E" w:rsidRDefault="009477A8">
            <w:pPr>
              <w:jc w:val="center"/>
            </w:pPr>
            <w:r>
              <w:rPr>
                <w:color w:val="000000"/>
                <w:szCs w:val="21"/>
              </w:rPr>
              <w:t>其他负债</w:t>
            </w:r>
          </w:p>
        </w:tc>
        <w:tc>
          <w:tcPr>
            <w:tcW w:w="1701" w:type="dxa"/>
            <w:vAlign w:val="center"/>
          </w:tcPr>
          <w:p w:rsidR="0040140E" w:rsidRDefault="009477A8">
            <w:pPr>
              <w:jc w:val="right"/>
            </w:pPr>
            <w:r>
              <w:rPr>
                <w:color w:val="000000"/>
                <w:szCs w:val="21"/>
              </w:rPr>
              <w:t>-</w:t>
            </w:r>
          </w:p>
        </w:tc>
        <w:tc>
          <w:tcPr>
            <w:tcW w:w="1701" w:type="dxa"/>
            <w:vAlign w:val="center"/>
          </w:tcPr>
          <w:p w:rsidR="0040140E" w:rsidRDefault="009477A8">
            <w:pPr>
              <w:jc w:val="right"/>
            </w:pPr>
            <w:r>
              <w:rPr>
                <w:color w:val="000000"/>
                <w:szCs w:val="21"/>
              </w:rPr>
              <w:t>-</w:t>
            </w:r>
          </w:p>
        </w:tc>
        <w:tc>
          <w:tcPr>
            <w:tcW w:w="1559" w:type="dxa"/>
            <w:vAlign w:val="center"/>
          </w:tcPr>
          <w:p w:rsidR="0040140E" w:rsidRDefault="009477A8">
            <w:pPr>
              <w:jc w:val="right"/>
            </w:pPr>
            <w:r>
              <w:rPr>
                <w:color w:val="000000"/>
                <w:szCs w:val="21"/>
              </w:rPr>
              <w:t>-</w:t>
            </w:r>
          </w:p>
        </w:tc>
        <w:tc>
          <w:tcPr>
            <w:tcW w:w="1559" w:type="dxa"/>
            <w:vAlign w:val="center"/>
          </w:tcPr>
          <w:p w:rsidR="0040140E" w:rsidRDefault="009477A8">
            <w:pPr>
              <w:jc w:val="center"/>
            </w:pPr>
            <w:r>
              <w:rPr>
                <w:color w:val="000000"/>
                <w:szCs w:val="21"/>
              </w:rPr>
              <w:t>308,200.00</w:t>
            </w:r>
          </w:p>
        </w:tc>
        <w:tc>
          <w:tcPr>
            <w:tcW w:w="1301" w:type="dxa"/>
            <w:vAlign w:val="center"/>
          </w:tcPr>
          <w:p w:rsidR="0040140E" w:rsidRDefault="009477A8">
            <w:pPr>
              <w:jc w:val="right"/>
            </w:pPr>
            <w:r>
              <w:rPr>
                <w:color w:val="000000"/>
                <w:szCs w:val="21"/>
              </w:rPr>
              <w:t>308,200.00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673,238,598.63</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6,390,015.46</w:t>
            </w:r>
          </w:p>
        </w:tc>
        <w:tc>
          <w:tcPr>
            <w:tcW w:w="1301" w:type="dxa"/>
          </w:tcPr>
          <w:p w:rsidR="001816E6" w:rsidRPr="004604CE" w:rsidRDefault="001816E6" w:rsidP="00E431A5">
            <w:pPr>
              <w:spacing w:line="360" w:lineRule="auto"/>
              <w:jc w:val="right"/>
              <w:rPr>
                <w:szCs w:val="21"/>
              </w:rPr>
            </w:pPr>
            <w:r w:rsidRPr="004604CE">
              <w:rPr>
                <w:szCs w:val="21"/>
              </w:rPr>
              <w:t>679,628,614.09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-117,981,529.59</w:t>
            </w:r>
          </w:p>
        </w:tc>
        <w:tc>
          <w:tcPr>
            <w:tcW w:w="1701" w:type="dxa"/>
            <w:vAlign w:val="center"/>
          </w:tcPr>
          <w:p w:rsidR="001816E6" w:rsidRPr="004604CE" w:rsidRDefault="001816E6" w:rsidP="00E431A5">
            <w:pPr>
              <w:spacing w:line="360" w:lineRule="auto"/>
              <w:jc w:val="right"/>
              <w:rPr>
                <w:szCs w:val="21"/>
              </w:rPr>
            </w:pPr>
            <w:r w:rsidRPr="004604CE">
              <w:rPr>
                <w:szCs w:val="21"/>
              </w:rPr>
              <w:t>1,202,042,926.60</w:t>
            </w:r>
          </w:p>
        </w:tc>
        <w:tc>
          <w:tcPr>
            <w:tcW w:w="1559" w:type="dxa"/>
            <w:vAlign w:val="center"/>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30,627,173.66</w:t>
            </w:r>
          </w:p>
        </w:tc>
        <w:tc>
          <w:tcPr>
            <w:tcW w:w="1301" w:type="dxa"/>
            <w:vAlign w:val="center"/>
          </w:tcPr>
          <w:p w:rsidR="001816E6" w:rsidRPr="004604CE" w:rsidRDefault="001816E6" w:rsidP="00E431A5">
            <w:pPr>
              <w:spacing w:line="360" w:lineRule="auto"/>
              <w:jc w:val="right"/>
              <w:rPr>
                <w:szCs w:val="21"/>
              </w:rPr>
            </w:pPr>
            <w:r w:rsidRPr="004604CE">
              <w:rPr>
                <w:szCs w:val="21"/>
              </w:rPr>
              <w:t>1,114,688,570.67</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40140E">
        <w:tc>
          <w:tcPr>
            <w:tcW w:w="851" w:type="dxa"/>
            <w:vAlign w:val="center"/>
          </w:tcPr>
          <w:p w:rsidR="0040140E" w:rsidRDefault="009477A8">
            <w:pPr>
              <w:jc w:val="left"/>
            </w:pPr>
            <w:r>
              <w:rPr>
                <w:rFonts w:eastAsiaTheme="minorEastAsia"/>
                <w:color w:val="000000"/>
                <w:szCs w:val="21"/>
              </w:rPr>
              <w:t>假设</w:t>
            </w:r>
          </w:p>
        </w:tc>
        <w:tc>
          <w:tcPr>
            <w:tcW w:w="8149" w:type="dxa"/>
            <w:gridSpan w:val="3"/>
            <w:vAlign w:val="center"/>
          </w:tcPr>
          <w:p w:rsidR="0040140E" w:rsidRDefault="009477A8">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40140E">
        <w:tc>
          <w:tcPr>
            <w:tcW w:w="851" w:type="dxa"/>
            <w:vMerge/>
          </w:tcPr>
          <w:p w:rsidR="0040140E" w:rsidRDefault="0040140E"/>
        </w:tc>
        <w:tc>
          <w:tcPr>
            <w:tcW w:w="2551" w:type="dxa"/>
            <w:vAlign w:val="center"/>
          </w:tcPr>
          <w:p w:rsidR="0040140E" w:rsidRDefault="009477A8">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40140E" w:rsidRDefault="009477A8">
            <w:pPr>
              <w:jc w:val="right"/>
            </w:pPr>
            <w:r>
              <w:rPr>
                <w:rFonts w:eastAsiaTheme="minorEastAsia"/>
                <w:color w:val="000000"/>
                <w:szCs w:val="21"/>
              </w:rPr>
              <w:t>5,158,691.45</w:t>
            </w:r>
          </w:p>
        </w:tc>
        <w:tc>
          <w:tcPr>
            <w:tcW w:w="2904" w:type="dxa"/>
            <w:vAlign w:val="center"/>
          </w:tcPr>
          <w:p w:rsidR="0040140E" w:rsidRDefault="009477A8">
            <w:pPr>
              <w:jc w:val="right"/>
            </w:pPr>
            <w:r>
              <w:rPr>
                <w:rFonts w:eastAsiaTheme="minorEastAsia"/>
                <w:color w:val="000000"/>
                <w:szCs w:val="21"/>
              </w:rPr>
              <w:t>6,636,979.06</w:t>
            </w:r>
          </w:p>
        </w:tc>
      </w:tr>
      <w:tr w:rsidR="0040140E">
        <w:tc>
          <w:tcPr>
            <w:tcW w:w="851" w:type="dxa"/>
            <w:vMerge/>
          </w:tcPr>
          <w:p w:rsidR="0040140E" w:rsidRDefault="0040140E"/>
        </w:tc>
        <w:tc>
          <w:tcPr>
            <w:tcW w:w="2551" w:type="dxa"/>
            <w:vAlign w:val="center"/>
          </w:tcPr>
          <w:p w:rsidR="0040140E" w:rsidRDefault="009477A8">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40140E" w:rsidRDefault="009477A8">
            <w:pPr>
              <w:jc w:val="right"/>
            </w:pPr>
            <w:r>
              <w:rPr>
                <w:rFonts w:eastAsiaTheme="minorEastAsia"/>
                <w:color w:val="000000"/>
                <w:szCs w:val="21"/>
              </w:rPr>
              <w:t>-5,097,900.97</w:t>
            </w:r>
          </w:p>
        </w:tc>
        <w:tc>
          <w:tcPr>
            <w:tcW w:w="2904" w:type="dxa"/>
            <w:vAlign w:val="center"/>
          </w:tcPr>
          <w:p w:rsidR="0040140E" w:rsidRDefault="009477A8">
            <w:pPr>
              <w:jc w:val="right"/>
            </w:pPr>
            <w:r>
              <w:rPr>
                <w:rFonts w:eastAsiaTheme="minorEastAsia"/>
                <w:color w:val="000000"/>
                <w:szCs w:val="21"/>
              </w:rPr>
              <w:t>-6,565,528.28</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40140E" w:rsidRDefault="009477A8">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lastRenderedPageBreak/>
        <w:t>(a)</w:t>
      </w:r>
      <w:r>
        <w:rPr>
          <w:kern w:val="0"/>
          <w:szCs w:val="21"/>
        </w:rPr>
        <w:t>金融工具公允价值计量的方法</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40140E" w:rsidRDefault="009477A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日，本基金持有的以公允价值计量且其变动计入当期损益的金融资产中无属于第一层次的余额，属于第二层次的余额为</w:t>
      </w:r>
      <w:r>
        <w:rPr>
          <w:kern w:val="0"/>
          <w:szCs w:val="21"/>
        </w:rPr>
        <w:t>1,464,957,715.20</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日：无属于第一层次的余额，第二层次</w:t>
      </w:r>
      <w:r>
        <w:rPr>
          <w:kern w:val="0"/>
          <w:szCs w:val="21"/>
        </w:rPr>
        <w:t>1,727,943,102.30</w:t>
      </w:r>
      <w:r>
        <w:rPr>
          <w:kern w:val="0"/>
          <w:szCs w:val="21"/>
        </w:rPr>
        <w:t>元，无属于第三层次的余额</w:t>
      </w:r>
      <w:r>
        <w:rPr>
          <w:kern w:val="0"/>
          <w:szCs w:val="21"/>
        </w:rPr>
        <w:t>)</w:t>
      </w:r>
      <w:r>
        <w:rPr>
          <w:kern w:val="0"/>
          <w:szCs w:val="21"/>
        </w:rPr>
        <w:t>。</w:t>
      </w:r>
    </w:p>
    <w:p w:rsidR="0040140E" w:rsidRDefault="009477A8">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40140E" w:rsidRDefault="009477A8">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40140E" w:rsidRDefault="009477A8">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p>
    <w:p w:rsidR="0040140E" w:rsidRDefault="009477A8">
      <w:pPr>
        <w:tabs>
          <w:tab w:val="left" w:pos="426"/>
        </w:tabs>
        <w:spacing w:line="360" w:lineRule="auto"/>
        <w:ind w:firstLineChars="200" w:firstLine="420"/>
        <w:jc w:val="left"/>
        <w:rPr>
          <w:kern w:val="0"/>
          <w:szCs w:val="21"/>
        </w:rPr>
      </w:pPr>
      <w:r>
        <w:rPr>
          <w:kern w:val="0"/>
          <w:szCs w:val="21"/>
        </w:rPr>
        <w:t>无。</w:t>
      </w:r>
    </w:p>
    <w:p w:rsidR="0040140E" w:rsidRDefault="009477A8">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p>
    <w:p w:rsidR="0040140E" w:rsidRDefault="009477A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r>
        <w:rPr>
          <w:kern w:val="0"/>
          <w:szCs w:val="21"/>
        </w:rPr>
        <w:t>,</w:t>
      </w:r>
      <w:r>
        <w:rPr>
          <w:kern w:val="0"/>
          <w:szCs w:val="21"/>
        </w:rPr>
        <w:t>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w:t>
      </w:r>
      <w:r>
        <w:rPr>
          <w:kern w:val="0"/>
          <w:szCs w:val="21"/>
        </w:rPr>
        <w:t>:</w:t>
      </w:r>
      <w:r>
        <w:rPr>
          <w:kern w:val="0"/>
          <w:szCs w:val="21"/>
        </w:rPr>
        <w:t>同</w:t>
      </w:r>
      <w:r>
        <w:rPr>
          <w:kern w:val="0"/>
          <w:szCs w:val="21"/>
        </w:rPr>
        <w:t>)</w:t>
      </w:r>
      <w:r>
        <w:rPr>
          <w:kern w:val="0"/>
          <w:szCs w:val="21"/>
        </w:rPr>
        <w:t>。</w:t>
      </w:r>
    </w:p>
    <w:p w:rsidR="0040140E" w:rsidRDefault="009477A8">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p>
    <w:p w:rsidR="0040140E" w:rsidRDefault="009477A8">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w:t>
      </w:r>
      <w:r>
        <w:rPr>
          <w:kern w:val="0"/>
          <w:szCs w:val="21"/>
        </w:rPr>
        <w:t>,</w:t>
      </w:r>
      <w:r>
        <w:rPr>
          <w:kern w:val="0"/>
          <w:szCs w:val="21"/>
        </w:rPr>
        <w:t>其账面价值与公允价值相差很小。</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w:t>
      </w:r>
      <w:r w:rsidRPr="00A62732">
        <w:rPr>
          <w:kern w:val="0"/>
          <w:szCs w:val="21"/>
        </w:rPr>
        <w:t>,</w:t>
      </w:r>
      <w:r w:rsidRPr="00A62732">
        <w:rPr>
          <w:kern w:val="0"/>
          <w:szCs w:val="21"/>
        </w:rPr>
        <w:t>截至资产负债表日本基金无需要说明的其他重要事项。</w:t>
      </w:r>
      <w:r w:rsidRPr="00A62732">
        <w:rPr>
          <w:kern w:val="0"/>
          <w:szCs w:val="21"/>
        </w:rPr>
        <w:t xml:space="preserve"> </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4570"/>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4571"/>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hint="eastAsia"/>
                <w:color w:val="000000" w:themeColor="text1"/>
                <w:szCs w:val="21"/>
              </w:rPr>
              <w:lastRenderedPageBreak/>
              <w:t>（</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lastRenderedPageBreak/>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1,464,957,715.20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94.63</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1,434,876,715.20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92.69</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30,081,000.00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1.94</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50,825,082.51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3.28</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32,329,932.20</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2.09</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1,548,112,729.91</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572"/>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573"/>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3" w:name="_Toc48654574"/>
      <w:r w:rsidRPr="007D44A6">
        <w:rPr>
          <w:rFonts w:ascii="宋体" w:hAnsi="宋体" w:cs="Arial"/>
          <w:color w:val="000000"/>
          <w:sz w:val="21"/>
          <w:szCs w:val="21"/>
        </w:rPr>
        <w:t>7.4</w:t>
      </w:r>
      <w:bookmarkStart w:id="64"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4"/>
      <w:bookmarkEnd w:id="63"/>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234814104"/>
      <w:bookmarkStart w:id="66" w:name="_Toc48654575"/>
      <w:r w:rsidRPr="007D44A6">
        <w:rPr>
          <w:rFonts w:ascii="宋体" w:hAnsi="宋体" w:cs="Arial"/>
          <w:color w:val="000000"/>
          <w:sz w:val="21"/>
          <w:szCs w:val="21"/>
        </w:rPr>
        <w:lastRenderedPageBreak/>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5"/>
      <w:bookmarkEnd w:id="66"/>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19,886,000.00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1.81</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19,886,000.00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1.81</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946,731,715.20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85.99</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50,276,000.00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4.57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417,983,000.00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37.97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B034F2">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bookmarkStart w:id="67" w:name="_GoBack"/>
            <w:bookmarkEnd w:id="67"/>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B034F2">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1,434,876,715.20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130.33</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48654576"/>
      <w:r w:rsidRPr="007D44A6">
        <w:rPr>
          <w:rFonts w:ascii="宋体" w:hAnsi="宋体" w:cs="Arial"/>
          <w:color w:val="000000"/>
          <w:sz w:val="21"/>
          <w:szCs w:val="21"/>
        </w:rPr>
        <w:t>7.6</w:t>
      </w:r>
      <w:bookmarkStart w:id="69"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8"/>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40140E">
        <w:tc>
          <w:tcPr>
            <w:tcW w:w="1252" w:type="dxa"/>
            <w:vAlign w:val="center"/>
          </w:tcPr>
          <w:p w:rsidR="0040140E" w:rsidRDefault="009477A8">
            <w:pPr>
              <w:jc w:val="center"/>
            </w:pPr>
            <w:r>
              <w:rPr>
                <w:color w:val="000000"/>
                <w:szCs w:val="21"/>
              </w:rPr>
              <w:t>1</w:t>
            </w:r>
          </w:p>
        </w:tc>
        <w:tc>
          <w:tcPr>
            <w:tcW w:w="1310" w:type="dxa"/>
            <w:vAlign w:val="center"/>
          </w:tcPr>
          <w:p w:rsidR="0040140E" w:rsidRDefault="009477A8">
            <w:pPr>
              <w:jc w:val="center"/>
            </w:pPr>
            <w:r>
              <w:rPr>
                <w:color w:val="000000"/>
                <w:szCs w:val="21"/>
              </w:rPr>
              <w:t>101773021</w:t>
            </w:r>
          </w:p>
        </w:tc>
        <w:tc>
          <w:tcPr>
            <w:tcW w:w="1282" w:type="dxa"/>
            <w:vAlign w:val="center"/>
          </w:tcPr>
          <w:p w:rsidR="0040140E" w:rsidRDefault="009477A8">
            <w:pPr>
              <w:jc w:val="center"/>
            </w:pPr>
            <w:r>
              <w:rPr>
                <w:color w:val="000000"/>
                <w:szCs w:val="21"/>
              </w:rPr>
              <w:t>17</w:t>
            </w:r>
            <w:r>
              <w:rPr>
                <w:color w:val="000000"/>
                <w:szCs w:val="21"/>
              </w:rPr>
              <w:t>华远地产</w:t>
            </w:r>
            <w:r>
              <w:rPr>
                <w:color w:val="000000"/>
                <w:szCs w:val="21"/>
              </w:rPr>
              <w:t>MTN001</w:t>
            </w:r>
          </w:p>
        </w:tc>
        <w:tc>
          <w:tcPr>
            <w:tcW w:w="1426" w:type="dxa"/>
            <w:vAlign w:val="center"/>
          </w:tcPr>
          <w:p w:rsidR="0040140E" w:rsidRDefault="009477A8">
            <w:pPr>
              <w:jc w:val="right"/>
            </w:pPr>
            <w:r>
              <w:rPr>
                <w:color w:val="000000"/>
                <w:szCs w:val="21"/>
              </w:rPr>
              <w:t>600,000</w:t>
            </w:r>
          </w:p>
        </w:tc>
        <w:tc>
          <w:tcPr>
            <w:tcW w:w="2068" w:type="dxa"/>
            <w:vAlign w:val="center"/>
          </w:tcPr>
          <w:p w:rsidR="0040140E" w:rsidRDefault="009477A8">
            <w:pPr>
              <w:jc w:val="right"/>
            </w:pPr>
            <w:r>
              <w:rPr>
                <w:color w:val="000000"/>
                <w:szCs w:val="21"/>
              </w:rPr>
              <w:t>60,600,000.00</w:t>
            </w:r>
          </w:p>
        </w:tc>
        <w:tc>
          <w:tcPr>
            <w:tcW w:w="1842" w:type="dxa"/>
            <w:vAlign w:val="center"/>
          </w:tcPr>
          <w:p w:rsidR="0040140E" w:rsidRDefault="009477A8">
            <w:pPr>
              <w:jc w:val="right"/>
            </w:pPr>
            <w:r>
              <w:rPr>
                <w:color w:val="000000"/>
                <w:szCs w:val="21"/>
              </w:rPr>
              <w:t>5.50</w:t>
            </w:r>
          </w:p>
        </w:tc>
      </w:tr>
      <w:tr w:rsidR="0040140E">
        <w:tc>
          <w:tcPr>
            <w:tcW w:w="1252" w:type="dxa"/>
            <w:vAlign w:val="center"/>
          </w:tcPr>
          <w:p w:rsidR="0040140E" w:rsidRDefault="009477A8">
            <w:pPr>
              <w:jc w:val="center"/>
            </w:pPr>
            <w:r>
              <w:rPr>
                <w:color w:val="000000"/>
                <w:szCs w:val="21"/>
              </w:rPr>
              <w:t>2</w:t>
            </w:r>
          </w:p>
        </w:tc>
        <w:tc>
          <w:tcPr>
            <w:tcW w:w="1310" w:type="dxa"/>
            <w:vAlign w:val="center"/>
          </w:tcPr>
          <w:p w:rsidR="0040140E" w:rsidRDefault="009477A8">
            <w:pPr>
              <w:jc w:val="center"/>
            </w:pPr>
            <w:r>
              <w:rPr>
                <w:color w:val="000000"/>
                <w:szCs w:val="21"/>
              </w:rPr>
              <w:t>136806</w:t>
            </w:r>
          </w:p>
        </w:tc>
        <w:tc>
          <w:tcPr>
            <w:tcW w:w="1282" w:type="dxa"/>
            <w:vAlign w:val="center"/>
          </w:tcPr>
          <w:p w:rsidR="0040140E" w:rsidRDefault="009477A8">
            <w:pPr>
              <w:jc w:val="center"/>
            </w:pPr>
            <w:r>
              <w:rPr>
                <w:color w:val="000000"/>
                <w:szCs w:val="21"/>
              </w:rPr>
              <w:t>16</w:t>
            </w:r>
            <w:r>
              <w:rPr>
                <w:color w:val="000000"/>
                <w:szCs w:val="21"/>
              </w:rPr>
              <w:t>越交</w:t>
            </w:r>
            <w:r>
              <w:rPr>
                <w:color w:val="000000"/>
                <w:szCs w:val="21"/>
              </w:rPr>
              <w:t>04</w:t>
            </w:r>
          </w:p>
        </w:tc>
        <w:tc>
          <w:tcPr>
            <w:tcW w:w="1426" w:type="dxa"/>
            <w:vAlign w:val="center"/>
          </w:tcPr>
          <w:p w:rsidR="0040140E" w:rsidRDefault="009477A8">
            <w:pPr>
              <w:jc w:val="right"/>
            </w:pPr>
            <w:r>
              <w:rPr>
                <w:color w:val="000000"/>
                <w:szCs w:val="21"/>
              </w:rPr>
              <w:t>600,000</w:t>
            </w:r>
          </w:p>
        </w:tc>
        <w:tc>
          <w:tcPr>
            <w:tcW w:w="2068" w:type="dxa"/>
            <w:vAlign w:val="center"/>
          </w:tcPr>
          <w:p w:rsidR="0040140E" w:rsidRDefault="009477A8">
            <w:pPr>
              <w:jc w:val="right"/>
            </w:pPr>
            <w:r>
              <w:rPr>
                <w:color w:val="000000"/>
                <w:szCs w:val="21"/>
              </w:rPr>
              <w:t>60,096,000.00</w:t>
            </w:r>
          </w:p>
        </w:tc>
        <w:tc>
          <w:tcPr>
            <w:tcW w:w="1842" w:type="dxa"/>
            <w:vAlign w:val="center"/>
          </w:tcPr>
          <w:p w:rsidR="0040140E" w:rsidRDefault="009477A8">
            <w:pPr>
              <w:jc w:val="right"/>
            </w:pPr>
            <w:r>
              <w:rPr>
                <w:color w:val="000000"/>
                <w:szCs w:val="21"/>
              </w:rPr>
              <w:t>5.46</w:t>
            </w:r>
          </w:p>
        </w:tc>
      </w:tr>
      <w:tr w:rsidR="0040140E">
        <w:tc>
          <w:tcPr>
            <w:tcW w:w="1252" w:type="dxa"/>
            <w:vAlign w:val="center"/>
          </w:tcPr>
          <w:p w:rsidR="0040140E" w:rsidRDefault="009477A8">
            <w:pPr>
              <w:jc w:val="center"/>
            </w:pPr>
            <w:r>
              <w:rPr>
                <w:color w:val="000000"/>
                <w:szCs w:val="21"/>
              </w:rPr>
              <w:t>3</w:t>
            </w:r>
          </w:p>
        </w:tc>
        <w:tc>
          <w:tcPr>
            <w:tcW w:w="1310" w:type="dxa"/>
            <w:vAlign w:val="center"/>
          </w:tcPr>
          <w:p w:rsidR="0040140E" w:rsidRDefault="009477A8">
            <w:pPr>
              <w:jc w:val="center"/>
            </w:pPr>
            <w:r>
              <w:rPr>
                <w:color w:val="000000"/>
                <w:szCs w:val="21"/>
              </w:rPr>
              <w:t>112962</w:t>
            </w:r>
          </w:p>
        </w:tc>
        <w:tc>
          <w:tcPr>
            <w:tcW w:w="1282" w:type="dxa"/>
            <w:vAlign w:val="center"/>
          </w:tcPr>
          <w:p w:rsidR="0040140E" w:rsidRDefault="009477A8">
            <w:pPr>
              <w:jc w:val="center"/>
            </w:pPr>
            <w:r>
              <w:rPr>
                <w:color w:val="000000"/>
                <w:szCs w:val="21"/>
              </w:rPr>
              <w:t>19</w:t>
            </w:r>
            <w:r>
              <w:rPr>
                <w:color w:val="000000"/>
                <w:szCs w:val="21"/>
              </w:rPr>
              <w:t>深建</w:t>
            </w:r>
            <w:r>
              <w:rPr>
                <w:color w:val="000000"/>
                <w:szCs w:val="21"/>
              </w:rPr>
              <w:t>01</w:t>
            </w:r>
          </w:p>
        </w:tc>
        <w:tc>
          <w:tcPr>
            <w:tcW w:w="1426" w:type="dxa"/>
            <w:vAlign w:val="center"/>
          </w:tcPr>
          <w:p w:rsidR="0040140E" w:rsidRDefault="009477A8">
            <w:pPr>
              <w:jc w:val="right"/>
            </w:pPr>
            <w:r>
              <w:rPr>
                <w:color w:val="000000"/>
                <w:szCs w:val="21"/>
              </w:rPr>
              <w:t>500,000</w:t>
            </w:r>
          </w:p>
        </w:tc>
        <w:tc>
          <w:tcPr>
            <w:tcW w:w="2068" w:type="dxa"/>
            <w:vAlign w:val="center"/>
          </w:tcPr>
          <w:p w:rsidR="0040140E" w:rsidRDefault="009477A8">
            <w:pPr>
              <w:jc w:val="right"/>
            </w:pPr>
            <w:r>
              <w:rPr>
                <w:color w:val="000000"/>
                <w:szCs w:val="21"/>
              </w:rPr>
              <w:t>50,410,000.00</w:t>
            </w:r>
          </w:p>
        </w:tc>
        <w:tc>
          <w:tcPr>
            <w:tcW w:w="1842" w:type="dxa"/>
            <w:vAlign w:val="center"/>
          </w:tcPr>
          <w:p w:rsidR="0040140E" w:rsidRDefault="009477A8">
            <w:pPr>
              <w:jc w:val="right"/>
            </w:pPr>
            <w:r>
              <w:rPr>
                <w:color w:val="000000"/>
                <w:szCs w:val="21"/>
              </w:rPr>
              <w:t>4.58</w:t>
            </w:r>
          </w:p>
        </w:tc>
      </w:tr>
      <w:tr w:rsidR="0040140E">
        <w:tc>
          <w:tcPr>
            <w:tcW w:w="1252" w:type="dxa"/>
            <w:vAlign w:val="center"/>
          </w:tcPr>
          <w:p w:rsidR="0040140E" w:rsidRDefault="009477A8">
            <w:pPr>
              <w:jc w:val="center"/>
            </w:pPr>
            <w:r>
              <w:rPr>
                <w:color w:val="000000"/>
                <w:szCs w:val="21"/>
              </w:rPr>
              <w:t>4</w:t>
            </w:r>
          </w:p>
        </w:tc>
        <w:tc>
          <w:tcPr>
            <w:tcW w:w="1310" w:type="dxa"/>
            <w:vAlign w:val="center"/>
          </w:tcPr>
          <w:p w:rsidR="0040140E" w:rsidRDefault="009477A8">
            <w:pPr>
              <w:jc w:val="center"/>
            </w:pPr>
            <w:r>
              <w:rPr>
                <w:color w:val="000000"/>
                <w:szCs w:val="21"/>
              </w:rPr>
              <w:t>1680337</w:t>
            </w:r>
          </w:p>
        </w:tc>
        <w:tc>
          <w:tcPr>
            <w:tcW w:w="1282" w:type="dxa"/>
            <w:vAlign w:val="center"/>
          </w:tcPr>
          <w:p w:rsidR="0040140E" w:rsidRDefault="009477A8">
            <w:pPr>
              <w:jc w:val="center"/>
            </w:pPr>
            <w:r>
              <w:rPr>
                <w:color w:val="000000"/>
                <w:szCs w:val="21"/>
              </w:rPr>
              <w:t>16</w:t>
            </w:r>
            <w:r>
              <w:rPr>
                <w:color w:val="000000"/>
                <w:szCs w:val="21"/>
              </w:rPr>
              <w:t>诸暨城东债</w:t>
            </w:r>
          </w:p>
        </w:tc>
        <w:tc>
          <w:tcPr>
            <w:tcW w:w="1426" w:type="dxa"/>
            <w:vAlign w:val="center"/>
          </w:tcPr>
          <w:p w:rsidR="0040140E" w:rsidRDefault="009477A8">
            <w:pPr>
              <w:jc w:val="right"/>
            </w:pPr>
            <w:r>
              <w:rPr>
                <w:color w:val="000000"/>
                <w:szCs w:val="21"/>
              </w:rPr>
              <w:t>600,000</w:t>
            </w:r>
          </w:p>
        </w:tc>
        <w:tc>
          <w:tcPr>
            <w:tcW w:w="2068" w:type="dxa"/>
            <w:vAlign w:val="center"/>
          </w:tcPr>
          <w:p w:rsidR="0040140E" w:rsidRDefault="009477A8">
            <w:pPr>
              <w:jc w:val="right"/>
            </w:pPr>
            <w:r>
              <w:rPr>
                <w:color w:val="000000"/>
                <w:szCs w:val="21"/>
              </w:rPr>
              <w:t>48,498,000.00</w:t>
            </w:r>
          </w:p>
        </w:tc>
        <w:tc>
          <w:tcPr>
            <w:tcW w:w="1842" w:type="dxa"/>
            <w:vAlign w:val="center"/>
          </w:tcPr>
          <w:p w:rsidR="0040140E" w:rsidRDefault="009477A8">
            <w:pPr>
              <w:jc w:val="right"/>
            </w:pPr>
            <w:r>
              <w:rPr>
                <w:color w:val="000000"/>
                <w:szCs w:val="21"/>
              </w:rPr>
              <w:t>4.41</w:t>
            </w:r>
          </w:p>
        </w:tc>
      </w:tr>
      <w:tr w:rsidR="0040140E">
        <w:tc>
          <w:tcPr>
            <w:tcW w:w="1252" w:type="dxa"/>
            <w:vAlign w:val="center"/>
          </w:tcPr>
          <w:p w:rsidR="0040140E" w:rsidRDefault="009477A8">
            <w:pPr>
              <w:jc w:val="center"/>
            </w:pPr>
            <w:r>
              <w:rPr>
                <w:color w:val="000000"/>
                <w:szCs w:val="21"/>
              </w:rPr>
              <w:t>5</w:t>
            </w:r>
          </w:p>
        </w:tc>
        <w:tc>
          <w:tcPr>
            <w:tcW w:w="1310" w:type="dxa"/>
            <w:vAlign w:val="center"/>
          </w:tcPr>
          <w:p w:rsidR="0040140E" w:rsidRDefault="009477A8">
            <w:pPr>
              <w:jc w:val="center"/>
            </w:pPr>
            <w:r>
              <w:rPr>
                <w:color w:val="000000"/>
                <w:szCs w:val="21"/>
              </w:rPr>
              <w:t>1280405</w:t>
            </w:r>
          </w:p>
        </w:tc>
        <w:tc>
          <w:tcPr>
            <w:tcW w:w="1282" w:type="dxa"/>
            <w:vAlign w:val="center"/>
          </w:tcPr>
          <w:p w:rsidR="0040140E" w:rsidRDefault="009477A8">
            <w:pPr>
              <w:jc w:val="center"/>
            </w:pPr>
            <w:r>
              <w:rPr>
                <w:color w:val="000000"/>
                <w:szCs w:val="21"/>
              </w:rPr>
              <w:t>12</w:t>
            </w:r>
            <w:r>
              <w:rPr>
                <w:color w:val="000000"/>
                <w:szCs w:val="21"/>
              </w:rPr>
              <w:t>豫铁投债</w:t>
            </w:r>
          </w:p>
        </w:tc>
        <w:tc>
          <w:tcPr>
            <w:tcW w:w="1426" w:type="dxa"/>
            <w:vAlign w:val="center"/>
          </w:tcPr>
          <w:p w:rsidR="0040140E" w:rsidRDefault="009477A8">
            <w:pPr>
              <w:jc w:val="right"/>
            </w:pPr>
            <w:r>
              <w:rPr>
                <w:color w:val="000000"/>
                <w:szCs w:val="21"/>
              </w:rPr>
              <w:t>400,000</w:t>
            </w:r>
          </w:p>
        </w:tc>
        <w:tc>
          <w:tcPr>
            <w:tcW w:w="2068" w:type="dxa"/>
            <w:vAlign w:val="center"/>
          </w:tcPr>
          <w:p w:rsidR="0040140E" w:rsidRDefault="009477A8">
            <w:pPr>
              <w:jc w:val="right"/>
            </w:pPr>
            <w:r>
              <w:rPr>
                <w:color w:val="000000"/>
                <w:szCs w:val="21"/>
              </w:rPr>
              <w:t>42,892,000.00</w:t>
            </w:r>
          </w:p>
        </w:tc>
        <w:tc>
          <w:tcPr>
            <w:tcW w:w="1842" w:type="dxa"/>
            <w:vAlign w:val="center"/>
          </w:tcPr>
          <w:p w:rsidR="0040140E" w:rsidRDefault="009477A8">
            <w:pPr>
              <w:jc w:val="right"/>
            </w:pPr>
            <w:r>
              <w:rPr>
                <w:color w:val="000000"/>
                <w:szCs w:val="21"/>
              </w:rPr>
              <w:t>3.90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577"/>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0"/>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lastRenderedPageBreak/>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40140E">
        <w:tc>
          <w:tcPr>
            <w:tcW w:w="1246" w:type="dxa"/>
            <w:vAlign w:val="center"/>
          </w:tcPr>
          <w:p w:rsidR="0040140E" w:rsidRDefault="009477A8">
            <w:pPr>
              <w:jc w:val="center"/>
            </w:pPr>
            <w:r>
              <w:rPr>
                <w:color w:val="000000"/>
                <w:szCs w:val="21"/>
              </w:rPr>
              <w:t>1</w:t>
            </w:r>
          </w:p>
        </w:tc>
        <w:tc>
          <w:tcPr>
            <w:tcW w:w="1288" w:type="dxa"/>
            <w:vAlign w:val="center"/>
          </w:tcPr>
          <w:p w:rsidR="0040140E" w:rsidRDefault="009477A8">
            <w:pPr>
              <w:jc w:val="center"/>
            </w:pPr>
            <w:r>
              <w:rPr>
                <w:color w:val="000000"/>
                <w:szCs w:val="21"/>
              </w:rPr>
              <w:t>138381</w:t>
            </w:r>
          </w:p>
        </w:tc>
        <w:tc>
          <w:tcPr>
            <w:tcW w:w="1271" w:type="dxa"/>
            <w:vAlign w:val="center"/>
          </w:tcPr>
          <w:p w:rsidR="0040140E" w:rsidRDefault="009477A8">
            <w:pPr>
              <w:jc w:val="center"/>
            </w:pPr>
            <w:r>
              <w:rPr>
                <w:color w:val="000000"/>
                <w:szCs w:val="21"/>
              </w:rPr>
              <w:t>云庐</w:t>
            </w:r>
            <w:r>
              <w:rPr>
                <w:color w:val="000000"/>
                <w:szCs w:val="21"/>
              </w:rPr>
              <w:t>1A1</w:t>
            </w:r>
          </w:p>
        </w:tc>
        <w:tc>
          <w:tcPr>
            <w:tcW w:w="1507" w:type="dxa"/>
            <w:vAlign w:val="center"/>
          </w:tcPr>
          <w:p w:rsidR="0040140E" w:rsidRDefault="009477A8">
            <w:pPr>
              <w:jc w:val="right"/>
            </w:pPr>
            <w:r>
              <w:rPr>
                <w:color w:val="000000"/>
                <w:szCs w:val="21"/>
              </w:rPr>
              <w:t>100,000</w:t>
            </w:r>
          </w:p>
        </w:tc>
        <w:tc>
          <w:tcPr>
            <w:tcW w:w="2026" w:type="dxa"/>
            <w:vAlign w:val="center"/>
          </w:tcPr>
          <w:p w:rsidR="0040140E" w:rsidRDefault="009477A8">
            <w:pPr>
              <w:jc w:val="right"/>
            </w:pPr>
            <w:r>
              <w:rPr>
                <w:color w:val="000000"/>
                <w:szCs w:val="21"/>
              </w:rPr>
              <w:t>10,048,000.00</w:t>
            </w:r>
          </w:p>
        </w:tc>
        <w:tc>
          <w:tcPr>
            <w:tcW w:w="1842" w:type="dxa"/>
            <w:vAlign w:val="center"/>
          </w:tcPr>
          <w:p w:rsidR="0040140E" w:rsidRDefault="009477A8">
            <w:pPr>
              <w:jc w:val="right"/>
            </w:pPr>
            <w:r>
              <w:rPr>
                <w:color w:val="000000"/>
                <w:szCs w:val="21"/>
              </w:rPr>
              <w:t>0.91</w:t>
            </w:r>
          </w:p>
        </w:tc>
      </w:tr>
      <w:tr w:rsidR="0040140E">
        <w:tc>
          <w:tcPr>
            <w:tcW w:w="1246" w:type="dxa"/>
            <w:vAlign w:val="center"/>
          </w:tcPr>
          <w:p w:rsidR="0040140E" w:rsidRDefault="009477A8">
            <w:pPr>
              <w:jc w:val="center"/>
            </w:pPr>
            <w:r>
              <w:rPr>
                <w:color w:val="000000"/>
                <w:szCs w:val="21"/>
              </w:rPr>
              <w:t>2</w:t>
            </w:r>
          </w:p>
        </w:tc>
        <w:tc>
          <w:tcPr>
            <w:tcW w:w="1288" w:type="dxa"/>
            <w:vAlign w:val="center"/>
          </w:tcPr>
          <w:p w:rsidR="0040140E" w:rsidRDefault="009477A8">
            <w:pPr>
              <w:jc w:val="center"/>
            </w:pPr>
            <w:r>
              <w:rPr>
                <w:color w:val="000000"/>
                <w:szCs w:val="21"/>
              </w:rPr>
              <w:t>165226</w:t>
            </w:r>
          </w:p>
        </w:tc>
        <w:tc>
          <w:tcPr>
            <w:tcW w:w="1271" w:type="dxa"/>
            <w:vAlign w:val="center"/>
          </w:tcPr>
          <w:p w:rsidR="0040140E" w:rsidRDefault="009477A8">
            <w:pPr>
              <w:jc w:val="center"/>
            </w:pPr>
            <w:r>
              <w:rPr>
                <w:color w:val="000000"/>
                <w:szCs w:val="21"/>
              </w:rPr>
              <w:t>19</w:t>
            </w:r>
            <w:r>
              <w:rPr>
                <w:color w:val="000000"/>
                <w:szCs w:val="21"/>
              </w:rPr>
              <w:t>信易</w:t>
            </w:r>
            <w:r>
              <w:rPr>
                <w:color w:val="000000"/>
                <w:szCs w:val="21"/>
              </w:rPr>
              <w:t>07</w:t>
            </w:r>
          </w:p>
        </w:tc>
        <w:tc>
          <w:tcPr>
            <w:tcW w:w="1507" w:type="dxa"/>
            <w:vAlign w:val="center"/>
          </w:tcPr>
          <w:p w:rsidR="0040140E" w:rsidRDefault="009477A8">
            <w:pPr>
              <w:jc w:val="right"/>
            </w:pPr>
            <w:r>
              <w:rPr>
                <w:color w:val="000000"/>
                <w:szCs w:val="21"/>
              </w:rPr>
              <w:t>100,000</w:t>
            </w:r>
          </w:p>
        </w:tc>
        <w:tc>
          <w:tcPr>
            <w:tcW w:w="2026" w:type="dxa"/>
            <w:vAlign w:val="center"/>
          </w:tcPr>
          <w:p w:rsidR="0040140E" w:rsidRDefault="009477A8">
            <w:pPr>
              <w:jc w:val="right"/>
            </w:pPr>
            <w:r>
              <w:rPr>
                <w:color w:val="000000"/>
                <w:szCs w:val="21"/>
              </w:rPr>
              <w:t>10,024,000.00</w:t>
            </w:r>
          </w:p>
        </w:tc>
        <w:tc>
          <w:tcPr>
            <w:tcW w:w="1842" w:type="dxa"/>
            <w:vAlign w:val="center"/>
          </w:tcPr>
          <w:p w:rsidR="0040140E" w:rsidRDefault="009477A8">
            <w:pPr>
              <w:jc w:val="right"/>
            </w:pPr>
            <w:r>
              <w:rPr>
                <w:color w:val="000000"/>
                <w:szCs w:val="21"/>
              </w:rPr>
              <w:t>0.91</w:t>
            </w:r>
          </w:p>
        </w:tc>
      </w:tr>
      <w:tr w:rsidR="0040140E">
        <w:tc>
          <w:tcPr>
            <w:tcW w:w="1246" w:type="dxa"/>
            <w:vAlign w:val="center"/>
          </w:tcPr>
          <w:p w:rsidR="0040140E" w:rsidRDefault="009477A8">
            <w:pPr>
              <w:jc w:val="center"/>
            </w:pPr>
            <w:r>
              <w:rPr>
                <w:color w:val="000000"/>
                <w:szCs w:val="21"/>
              </w:rPr>
              <w:t>3</w:t>
            </w:r>
          </w:p>
        </w:tc>
        <w:tc>
          <w:tcPr>
            <w:tcW w:w="1288" w:type="dxa"/>
            <w:vAlign w:val="center"/>
          </w:tcPr>
          <w:p w:rsidR="0040140E" w:rsidRDefault="009477A8">
            <w:pPr>
              <w:jc w:val="center"/>
            </w:pPr>
            <w:r>
              <w:rPr>
                <w:color w:val="000000"/>
                <w:szCs w:val="21"/>
              </w:rPr>
              <w:t>165695</w:t>
            </w:r>
          </w:p>
        </w:tc>
        <w:tc>
          <w:tcPr>
            <w:tcW w:w="1271" w:type="dxa"/>
            <w:vAlign w:val="center"/>
          </w:tcPr>
          <w:p w:rsidR="0040140E" w:rsidRDefault="009477A8">
            <w:pPr>
              <w:jc w:val="center"/>
            </w:pPr>
            <w:r>
              <w:rPr>
                <w:color w:val="000000"/>
                <w:szCs w:val="21"/>
              </w:rPr>
              <w:t>金地</w:t>
            </w:r>
            <w:r>
              <w:rPr>
                <w:color w:val="000000"/>
                <w:szCs w:val="21"/>
              </w:rPr>
              <w:t>14A</w:t>
            </w:r>
          </w:p>
        </w:tc>
        <w:tc>
          <w:tcPr>
            <w:tcW w:w="1507" w:type="dxa"/>
            <w:vAlign w:val="center"/>
          </w:tcPr>
          <w:p w:rsidR="0040140E" w:rsidRDefault="009477A8">
            <w:pPr>
              <w:jc w:val="right"/>
            </w:pPr>
            <w:r>
              <w:rPr>
                <w:color w:val="000000"/>
                <w:szCs w:val="21"/>
              </w:rPr>
              <w:t>100,000</w:t>
            </w:r>
          </w:p>
        </w:tc>
        <w:tc>
          <w:tcPr>
            <w:tcW w:w="2026" w:type="dxa"/>
            <w:vAlign w:val="center"/>
          </w:tcPr>
          <w:p w:rsidR="0040140E" w:rsidRDefault="009477A8">
            <w:pPr>
              <w:jc w:val="right"/>
            </w:pPr>
            <w:r>
              <w:rPr>
                <w:color w:val="000000"/>
                <w:szCs w:val="21"/>
              </w:rPr>
              <w:t>10,009,000.00</w:t>
            </w:r>
          </w:p>
        </w:tc>
        <w:tc>
          <w:tcPr>
            <w:tcW w:w="1842" w:type="dxa"/>
            <w:vAlign w:val="center"/>
          </w:tcPr>
          <w:p w:rsidR="0040140E" w:rsidRDefault="009477A8">
            <w:pPr>
              <w:jc w:val="right"/>
            </w:pPr>
            <w:r>
              <w:rPr>
                <w:color w:val="000000"/>
                <w:szCs w:val="21"/>
              </w:rPr>
              <w:t>0.91</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578"/>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1"/>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579"/>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580"/>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3"/>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581"/>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4"/>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4582"/>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5"/>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本基金本报告期没有投资股票，因此不存在投资的前十名股票超出基金合同规定的备选股票库情况。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4,446.80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lastRenderedPageBreak/>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32,325,485.40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32,329,932.20</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6" w:name="_Toc225500050"/>
      <w:bookmarkStart w:id="77" w:name="_Toc48654583"/>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6"/>
      <w:bookmarkEnd w:id="7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8" w:name="_Toc225500051"/>
      <w:bookmarkStart w:id="79" w:name="_Toc48654584"/>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8"/>
      <w:bookmarkEnd w:id="79"/>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易方达恒久</w:t>
            </w:r>
            <w:r w:rsidRPr="004604CE">
              <w:rPr>
                <w:rFonts w:eastAsiaTheme="minorEastAsia"/>
                <w:bCs/>
                <w:color w:val="000000"/>
                <w:szCs w:val="21"/>
              </w:rPr>
              <w:t>1</w:t>
            </w:r>
            <w:r w:rsidRPr="004604CE">
              <w:rPr>
                <w:rFonts w:eastAsiaTheme="minorEastAsia"/>
                <w:bCs/>
                <w:color w:val="000000"/>
                <w:szCs w:val="21"/>
              </w:rPr>
              <w:t>年定期债券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755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1,419,203.43</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1,020,694,878.18</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95.26%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50,803,710.70</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4.74%</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易方达恒久</w:t>
            </w:r>
            <w:r w:rsidRPr="004604CE">
              <w:rPr>
                <w:rFonts w:eastAsiaTheme="minorEastAsia"/>
                <w:bCs/>
                <w:color w:val="000000"/>
                <w:szCs w:val="21"/>
              </w:rPr>
              <w:t>1</w:t>
            </w:r>
            <w:r w:rsidRPr="004604CE">
              <w:rPr>
                <w:rFonts w:eastAsiaTheme="minorEastAsia"/>
                <w:bCs/>
                <w:color w:val="000000"/>
                <w:szCs w:val="21"/>
              </w:rPr>
              <w:t>年定期债券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600</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42,255.19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8,833.92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0.03%</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25,344,278.56</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99.97%</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1,355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809,484.65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1,020,703,712.10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93.06%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76,147,989.26</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6.94%</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585"/>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0"/>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易方达恒久</w:t>
            </w:r>
            <w:r w:rsidRPr="004604CE">
              <w:rPr>
                <w:szCs w:val="21"/>
              </w:rPr>
              <w:t>1</w:t>
            </w:r>
            <w:r w:rsidRPr="004604CE">
              <w:rPr>
                <w:szCs w:val="21"/>
              </w:rPr>
              <w:t>年定期债券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62,763.72</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0.0059%</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易方达恒久</w:t>
            </w:r>
            <w:r w:rsidRPr="004604CE">
              <w:rPr>
                <w:szCs w:val="21"/>
              </w:rPr>
              <w:t>1</w:t>
            </w:r>
            <w:r w:rsidRPr="004604CE">
              <w:rPr>
                <w:szCs w:val="21"/>
              </w:rPr>
              <w:t>年定期债券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8.83</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62,772.55</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0.0057%</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1" w:name="_Toc48654586"/>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易方达恒久</w:t>
            </w:r>
            <w:r w:rsidRPr="00AC5A44">
              <w:rPr>
                <w:rFonts w:hint="eastAsia"/>
                <w:kern w:val="0"/>
                <w:szCs w:val="21"/>
              </w:rPr>
              <w:t>1</w:t>
            </w:r>
            <w:r w:rsidRPr="00AC5A44">
              <w:rPr>
                <w:rFonts w:hint="eastAsia"/>
                <w:kern w:val="0"/>
                <w:szCs w:val="21"/>
              </w:rPr>
              <w:t>年定期债券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易方达恒久</w:t>
            </w:r>
            <w:r w:rsidRPr="00AC5A44">
              <w:rPr>
                <w:rFonts w:hint="eastAsia"/>
                <w:kern w:val="0"/>
                <w:szCs w:val="21"/>
              </w:rPr>
              <w:t>1</w:t>
            </w:r>
            <w:r w:rsidRPr="00AC5A44">
              <w:rPr>
                <w:rFonts w:hint="eastAsia"/>
                <w:kern w:val="0"/>
                <w:szCs w:val="21"/>
              </w:rPr>
              <w:t>年定期债券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易方达恒久</w:t>
            </w:r>
            <w:r w:rsidRPr="00AC5A44">
              <w:rPr>
                <w:rFonts w:hint="eastAsia"/>
                <w:kern w:val="0"/>
                <w:szCs w:val="21"/>
              </w:rPr>
              <w:t>1</w:t>
            </w:r>
            <w:r w:rsidRPr="00AC5A44">
              <w:rPr>
                <w:rFonts w:hint="eastAsia"/>
                <w:kern w:val="0"/>
                <w:szCs w:val="21"/>
              </w:rPr>
              <w:t>年定期债券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易方达恒久</w:t>
            </w:r>
            <w:r w:rsidRPr="00AC5A44">
              <w:rPr>
                <w:rFonts w:hint="eastAsia"/>
                <w:kern w:val="0"/>
                <w:szCs w:val="21"/>
              </w:rPr>
              <w:t>1</w:t>
            </w:r>
            <w:r w:rsidRPr="00AC5A44">
              <w:rPr>
                <w:rFonts w:hint="eastAsia"/>
                <w:kern w:val="0"/>
                <w:szCs w:val="21"/>
              </w:rPr>
              <w:t>年定期债券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2" w:name="_Toc225500053"/>
      <w:bookmarkStart w:id="83" w:name="_Toc48654587"/>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2"/>
      <w:bookmarkEnd w:id="83"/>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易方达恒久</w:t>
            </w:r>
            <w:r w:rsidRPr="004604CE">
              <w:rPr>
                <w:szCs w:val="21"/>
              </w:rPr>
              <w:t>1</w:t>
            </w:r>
            <w:r w:rsidRPr="004604CE">
              <w:rPr>
                <w:szCs w:val="21"/>
              </w:rPr>
              <w:t>年定期债券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易方达恒久</w:t>
            </w:r>
            <w:r w:rsidRPr="004604CE">
              <w:rPr>
                <w:szCs w:val="21"/>
              </w:rPr>
              <w:t>1</w:t>
            </w:r>
            <w:r w:rsidRPr="004604CE">
              <w:rPr>
                <w:szCs w:val="21"/>
              </w:rPr>
              <w:t>年定期债券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2014</w:t>
            </w:r>
            <w:r w:rsidRPr="004604CE">
              <w:rPr>
                <w:szCs w:val="21"/>
              </w:rPr>
              <w:t>年</w:t>
            </w:r>
            <w:r w:rsidRPr="004604CE">
              <w:rPr>
                <w:szCs w:val="21"/>
              </w:rPr>
              <w:t>9</w:t>
            </w:r>
            <w:r w:rsidRPr="004604CE">
              <w:rPr>
                <w:szCs w:val="21"/>
              </w:rPr>
              <w:t>月</w:t>
            </w:r>
            <w:r w:rsidRPr="004604CE">
              <w:rPr>
                <w:szCs w:val="21"/>
              </w:rPr>
              <w:t>10</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340,506,903.67</w:t>
            </w:r>
          </w:p>
        </w:tc>
        <w:tc>
          <w:tcPr>
            <w:tcW w:w="1615" w:type="pct"/>
            <w:vAlign w:val="center"/>
          </w:tcPr>
          <w:p w:rsidR="001548F9" w:rsidRPr="004604CE" w:rsidRDefault="001548F9" w:rsidP="002E5E56">
            <w:pPr>
              <w:jc w:val="right"/>
              <w:rPr>
                <w:szCs w:val="21"/>
              </w:rPr>
            </w:pPr>
            <w:r w:rsidRPr="004604CE">
              <w:rPr>
                <w:szCs w:val="21"/>
              </w:rPr>
              <w:t>241,281,222.99</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1,071,498,588.88</w:t>
            </w:r>
          </w:p>
        </w:tc>
        <w:tc>
          <w:tcPr>
            <w:tcW w:w="1615" w:type="pct"/>
            <w:vAlign w:val="bottom"/>
          </w:tcPr>
          <w:p w:rsidR="001548F9" w:rsidRPr="004604CE" w:rsidRDefault="001548F9" w:rsidP="002E5E56">
            <w:pPr>
              <w:jc w:val="right"/>
              <w:rPr>
                <w:szCs w:val="21"/>
              </w:rPr>
            </w:pPr>
            <w:r w:rsidRPr="004604CE">
              <w:rPr>
                <w:szCs w:val="21"/>
              </w:rPr>
              <w:t>25,353,112.48</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1,071,498,588.88</w:t>
            </w:r>
          </w:p>
        </w:tc>
        <w:tc>
          <w:tcPr>
            <w:tcW w:w="1615" w:type="pct"/>
            <w:vAlign w:val="center"/>
          </w:tcPr>
          <w:p w:rsidR="001548F9" w:rsidRPr="004604CE" w:rsidRDefault="001548F9" w:rsidP="002E5E56">
            <w:pPr>
              <w:jc w:val="right"/>
              <w:rPr>
                <w:szCs w:val="21"/>
              </w:rPr>
            </w:pPr>
            <w:r w:rsidRPr="004604CE">
              <w:rPr>
                <w:szCs w:val="21"/>
              </w:rPr>
              <w:t>25,353,112.48</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4"/>
      <w:bookmarkStart w:id="85" w:name="_Toc48654588"/>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4"/>
      <w:bookmarkEnd w:id="85"/>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6" w:name="_Toc374542168"/>
      <w:bookmarkStart w:id="87" w:name="_Toc48654589"/>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6"/>
      <w:bookmarkEnd w:id="87"/>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9"/>
      <w:bookmarkStart w:id="89" w:name="_Toc48654590"/>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8"/>
      <w:bookmarkEnd w:id="89"/>
    </w:p>
    <w:p w:rsidR="0040140E" w:rsidRDefault="009477A8">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lastRenderedPageBreak/>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70"/>
      <w:bookmarkStart w:id="91" w:name="_Toc48654591"/>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0"/>
      <w:bookmarkEnd w:id="91"/>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1"/>
      <w:bookmarkStart w:id="93" w:name="_Toc48654592"/>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2"/>
      <w:bookmarkEnd w:id="93"/>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48654593"/>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4"/>
    </w:p>
    <w:p w:rsidR="004655EC" w:rsidRDefault="004655EC" w:rsidP="004655EC">
      <w:pPr>
        <w:widowControl/>
        <w:spacing w:line="360" w:lineRule="auto"/>
        <w:ind w:firstLineChars="200" w:firstLine="420"/>
        <w:rPr>
          <w:kern w:val="0"/>
          <w:szCs w:val="21"/>
        </w:rPr>
      </w:pPr>
      <w:bookmarkStart w:id="95"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374542173"/>
      <w:bookmarkStart w:id="97" w:name="_Toc48654594"/>
      <w:bookmarkEnd w:id="95"/>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6"/>
      <w:bookmarkEnd w:id="97"/>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4"/>
      <w:bookmarkStart w:id="99" w:name="_Toc48654595"/>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8"/>
      <w:bookmarkEnd w:id="99"/>
    </w:p>
    <w:p w:rsidR="001548F9" w:rsidRPr="00235099" w:rsidRDefault="004655EC" w:rsidP="004655EC">
      <w:pPr>
        <w:spacing w:line="360" w:lineRule="auto"/>
        <w:ind w:firstLineChars="196" w:firstLine="413"/>
        <w:rPr>
          <w:rFonts w:ascii="宋体"/>
          <w:b/>
          <w:szCs w:val="21"/>
        </w:rPr>
      </w:pPr>
      <w:bookmarkStart w:id="100"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0"/>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1"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40140E">
        <w:tc>
          <w:tcPr>
            <w:tcW w:w="1560" w:type="dxa"/>
            <w:vAlign w:val="center"/>
          </w:tcPr>
          <w:p w:rsidR="0040140E" w:rsidRDefault="009477A8">
            <w:pPr>
              <w:jc w:val="center"/>
            </w:pPr>
            <w:r>
              <w:rPr>
                <w:color w:val="000000"/>
                <w:szCs w:val="21"/>
              </w:rPr>
              <w:t>中金公司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中信证券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中信建投</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国信证券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长江证券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华泰证券</w:t>
            </w:r>
          </w:p>
        </w:tc>
        <w:tc>
          <w:tcPr>
            <w:tcW w:w="780" w:type="dxa"/>
            <w:vAlign w:val="center"/>
          </w:tcPr>
          <w:p w:rsidR="0040140E" w:rsidRDefault="009477A8">
            <w:pPr>
              <w:jc w:val="center"/>
            </w:pPr>
            <w:r>
              <w:rPr>
                <w:color w:val="000000"/>
                <w:szCs w:val="21"/>
              </w:rPr>
              <w:t>2</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申万宏源</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东北证券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银河证券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国盛证券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海通证券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r w:rsidR="0040140E">
        <w:tc>
          <w:tcPr>
            <w:tcW w:w="1560" w:type="dxa"/>
            <w:vAlign w:val="center"/>
          </w:tcPr>
          <w:p w:rsidR="0040140E" w:rsidRDefault="009477A8">
            <w:pPr>
              <w:jc w:val="center"/>
            </w:pPr>
            <w:r>
              <w:rPr>
                <w:color w:val="000000"/>
                <w:szCs w:val="21"/>
              </w:rPr>
              <w:t>长城证券</w:t>
            </w:r>
          </w:p>
        </w:tc>
        <w:tc>
          <w:tcPr>
            <w:tcW w:w="780" w:type="dxa"/>
            <w:vAlign w:val="center"/>
          </w:tcPr>
          <w:p w:rsidR="0040140E" w:rsidRDefault="009477A8">
            <w:pPr>
              <w:jc w:val="center"/>
            </w:pPr>
            <w:r>
              <w:rPr>
                <w:color w:val="000000"/>
                <w:szCs w:val="21"/>
              </w:rPr>
              <w:t>1</w:t>
            </w:r>
          </w:p>
        </w:tc>
        <w:tc>
          <w:tcPr>
            <w:tcW w:w="180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620" w:type="dxa"/>
            <w:vAlign w:val="center"/>
          </w:tcPr>
          <w:p w:rsidR="0040140E" w:rsidRDefault="009477A8">
            <w:pPr>
              <w:jc w:val="right"/>
            </w:pPr>
            <w:r>
              <w:rPr>
                <w:color w:val="000000"/>
                <w:szCs w:val="21"/>
              </w:rPr>
              <w:t>-</w:t>
            </w:r>
          </w:p>
        </w:tc>
        <w:tc>
          <w:tcPr>
            <w:tcW w:w="1080" w:type="dxa"/>
            <w:vAlign w:val="center"/>
          </w:tcPr>
          <w:p w:rsidR="0040140E" w:rsidRDefault="009477A8">
            <w:pPr>
              <w:jc w:val="right"/>
            </w:pPr>
            <w:r>
              <w:rPr>
                <w:color w:val="000000"/>
                <w:szCs w:val="21"/>
              </w:rPr>
              <w:t>-</w:t>
            </w:r>
          </w:p>
        </w:tc>
        <w:tc>
          <w:tcPr>
            <w:tcW w:w="1080" w:type="dxa"/>
            <w:vAlign w:val="center"/>
          </w:tcPr>
          <w:p w:rsidR="0040140E" w:rsidRDefault="009477A8">
            <w:pPr>
              <w:jc w:val="left"/>
            </w:pPr>
            <w:r>
              <w:rPr>
                <w:color w:val="000000"/>
                <w:szCs w:val="21"/>
              </w:rPr>
              <w:t>-</w:t>
            </w:r>
          </w:p>
        </w:tc>
      </w:tr>
    </w:tbl>
    <w:p w:rsidR="0040140E" w:rsidRDefault="009477A8">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40140E" w:rsidRDefault="009477A8">
      <w:pPr>
        <w:tabs>
          <w:tab w:val="left" w:pos="426"/>
        </w:tabs>
        <w:spacing w:line="360" w:lineRule="auto"/>
        <w:ind w:firstLineChars="200" w:firstLine="420"/>
        <w:jc w:val="left"/>
        <w:rPr>
          <w:kern w:val="0"/>
          <w:szCs w:val="21"/>
        </w:rPr>
      </w:pPr>
      <w:r>
        <w:rPr>
          <w:kern w:val="0"/>
          <w:szCs w:val="21"/>
        </w:rPr>
        <w:lastRenderedPageBreak/>
        <w:t xml:space="preserve">b) </w:t>
      </w:r>
      <w:r>
        <w:rPr>
          <w:kern w:val="0"/>
          <w:szCs w:val="21"/>
        </w:rPr>
        <w:t>本基金管理人负责选择证券经营机构，租用其交易单元作为本基金的交易单元。基金交易单元的选择标准如下：</w:t>
      </w:r>
    </w:p>
    <w:p w:rsidR="0040140E" w:rsidRDefault="009477A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40140E" w:rsidRDefault="009477A8">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40140E" w:rsidRDefault="009477A8">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40140E" w:rsidRDefault="009477A8">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40140E" w:rsidRDefault="009477A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1"/>
    </w:p>
    <w:p w:rsidR="001548F9" w:rsidRPr="00235099" w:rsidRDefault="001548F9" w:rsidP="008971E9">
      <w:pPr>
        <w:wordWrap w:val="0"/>
        <w:ind w:firstLine="420"/>
        <w:jc w:val="right"/>
        <w:rPr>
          <w:rFonts w:ascii="宋体"/>
          <w:color w:val="000000"/>
          <w:szCs w:val="21"/>
        </w:rPr>
      </w:pPr>
      <w:bookmarkStart w:id="102"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40140E">
        <w:tc>
          <w:tcPr>
            <w:tcW w:w="1560" w:type="dxa"/>
            <w:vAlign w:val="center"/>
          </w:tcPr>
          <w:p w:rsidR="0040140E" w:rsidRDefault="009477A8">
            <w:pPr>
              <w:jc w:val="left"/>
            </w:pPr>
            <w:r>
              <w:rPr>
                <w:rFonts w:eastAsiaTheme="minorEastAsia"/>
                <w:color w:val="000000"/>
                <w:szCs w:val="21"/>
              </w:rPr>
              <w:t>中金公司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中信证券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中信建投</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国信证券</w:t>
            </w:r>
          </w:p>
        </w:tc>
        <w:tc>
          <w:tcPr>
            <w:tcW w:w="1320" w:type="dxa"/>
            <w:vAlign w:val="center"/>
          </w:tcPr>
          <w:p w:rsidR="0040140E" w:rsidRDefault="009477A8">
            <w:pPr>
              <w:jc w:val="right"/>
            </w:pPr>
            <w:r>
              <w:rPr>
                <w:rFonts w:eastAsiaTheme="minorEastAsia"/>
                <w:color w:val="000000"/>
                <w:szCs w:val="21"/>
              </w:rPr>
              <w:t>81,621,000.00</w:t>
            </w:r>
          </w:p>
        </w:tc>
        <w:tc>
          <w:tcPr>
            <w:tcW w:w="1080" w:type="dxa"/>
            <w:vAlign w:val="center"/>
          </w:tcPr>
          <w:p w:rsidR="0040140E" w:rsidRDefault="009477A8">
            <w:pPr>
              <w:jc w:val="right"/>
            </w:pPr>
            <w:r>
              <w:rPr>
                <w:rFonts w:eastAsiaTheme="minorEastAsia"/>
                <w:color w:val="000000"/>
                <w:szCs w:val="21"/>
              </w:rPr>
              <w:t>76.99%</w:t>
            </w:r>
          </w:p>
        </w:tc>
        <w:tc>
          <w:tcPr>
            <w:tcW w:w="1143" w:type="dxa"/>
            <w:vAlign w:val="center"/>
          </w:tcPr>
          <w:p w:rsidR="0040140E" w:rsidRDefault="009477A8">
            <w:pPr>
              <w:jc w:val="right"/>
            </w:pPr>
            <w:r>
              <w:rPr>
                <w:rFonts w:eastAsiaTheme="minorEastAsia"/>
                <w:color w:val="000000"/>
                <w:szCs w:val="21"/>
              </w:rPr>
              <w:t>23,676,700,000.00</w:t>
            </w:r>
          </w:p>
        </w:tc>
        <w:tc>
          <w:tcPr>
            <w:tcW w:w="1197" w:type="dxa"/>
            <w:vAlign w:val="center"/>
          </w:tcPr>
          <w:p w:rsidR="0040140E" w:rsidRDefault="009477A8">
            <w:pPr>
              <w:jc w:val="right"/>
            </w:pPr>
            <w:r>
              <w:rPr>
                <w:rFonts w:eastAsiaTheme="minorEastAsia"/>
                <w:color w:val="000000"/>
                <w:szCs w:val="21"/>
              </w:rPr>
              <w:t>55.35%</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长江证券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华泰证券</w:t>
            </w:r>
          </w:p>
        </w:tc>
        <w:tc>
          <w:tcPr>
            <w:tcW w:w="1320" w:type="dxa"/>
            <w:vAlign w:val="center"/>
          </w:tcPr>
          <w:p w:rsidR="0040140E" w:rsidRDefault="009477A8">
            <w:pPr>
              <w:jc w:val="right"/>
            </w:pPr>
            <w:r>
              <w:rPr>
                <w:rFonts w:eastAsiaTheme="minorEastAsia"/>
                <w:color w:val="000000"/>
                <w:szCs w:val="21"/>
              </w:rPr>
              <w:t>24,390,500.00</w:t>
            </w:r>
          </w:p>
        </w:tc>
        <w:tc>
          <w:tcPr>
            <w:tcW w:w="1080" w:type="dxa"/>
            <w:vAlign w:val="center"/>
          </w:tcPr>
          <w:p w:rsidR="0040140E" w:rsidRDefault="009477A8">
            <w:pPr>
              <w:jc w:val="right"/>
            </w:pPr>
            <w:r>
              <w:rPr>
                <w:rFonts w:eastAsiaTheme="minorEastAsia"/>
                <w:color w:val="000000"/>
                <w:szCs w:val="21"/>
              </w:rPr>
              <w:t>23.01%</w:t>
            </w:r>
          </w:p>
        </w:tc>
        <w:tc>
          <w:tcPr>
            <w:tcW w:w="1143" w:type="dxa"/>
            <w:vAlign w:val="center"/>
          </w:tcPr>
          <w:p w:rsidR="0040140E" w:rsidRDefault="009477A8">
            <w:pPr>
              <w:jc w:val="right"/>
            </w:pPr>
            <w:r>
              <w:rPr>
                <w:rFonts w:eastAsiaTheme="minorEastAsia"/>
                <w:color w:val="000000"/>
                <w:szCs w:val="21"/>
              </w:rPr>
              <w:t>19,098,992,000.00</w:t>
            </w:r>
          </w:p>
        </w:tc>
        <w:tc>
          <w:tcPr>
            <w:tcW w:w="1197" w:type="dxa"/>
            <w:vAlign w:val="center"/>
          </w:tcPr>
          <w:p w:rsidR="0040140E" w:rsidRDefault="009477A8">
            <w:pPr>
              <w:jc w:val="right"/>
            </w:pPr>
            <w:r>
              <w:rPr>
                <w:rFonts w:eastAsiaTheme="minorEastAsia"/>
                <w:color w:val="000000"/>
                <w:szCs w:val="21"/>
              </w:rPr>
              <w:t>44.65%</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申万宏源</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东北证券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银河证券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国盛证券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海通证券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r w:rsidR="0040140E">
        <w:tc>
          <w:tcPr>
            <w:tcW w:w="1560" w:type="dxa"/>
            <w:vAlign w:val="center"/>
          </w:tcPr>
          <w:p w:rsidR="0040140E" w:rsidRDefault="009477A8">
            <w:pPr>
              <w:jc w:val="left"/>
            </w:pPr>
            <w:r>
              <w:rPr>
                <w:rFonts w:eastAsiaTheme="minorEastAsia"/>
                <w:color w:val="000000"/>
                <w:szCs w:val="21"/>
              </w:rPr>
              <w:t>长城证券</w:t>
            </w:r>
          </w:p>
        </w:tc>
        <w:tc>
          <w:tcPr>
            <w:tcW w:w="1320" w:type="dxa"/>
            <w:vAlign w:val="center"/>
          </w:tcPr>
          <w:p w:rsidR="0040140E" w:rsidRDefault="009477A8">
            <w:pPr>
              <w:jc w:val="right"/>
            </w:pPr>
            <w:r>
              <w:rPr>
                <w:rFonts w:eastAsiaTheme="minorEastAsia"/>
                <w:color w:val="000000"/>
                <w:szCs w:val="21"/>
              </w:rPr>
              <w:t>-</w:t>
            </w:r>
          </w:p>
        </w:tc>
        <w:tc>
          <w:tcPr>
            <w:tcW w:w="1080" w:type="dxa"/>
            <w:vAlign w:val="center"/>
          </w:tcPr>
          <w:p w:rsidR="0040140E" w:rsidRDefault="009477A8">
            <w:pPr>
              <w:jc w:val="right"/>
            </w:pPr>
            <w:r>
              <w:rPr>
                <w:rFonts w:eastAsiaTheme="minorEastAsia"/>
                <w:color w:val="000000"/>
                <w:szCs w:val="21"/>
              </w:rPr>
              <w:t>-</w:t>
            </w:r>
          </w:p>
        </w:tc>
        <w:tc>
          <w:tcPr>
            <w:tcW w:w="1143" w:type="dxa"/>
            <w:vAlign w:val="center"/>
          </w:tcPr>
          <w:p w:rsidR="0040140E" w:rsidRDefault="009477A8">
            <w:pPr>
              <w:jc w:val="right"/>
            </w:pPr>
            <w:r>
              <w:rPr>
                <w:rFonts w:eastAsiaTheme="minorEastAsia"/>
                <w:color w:val="000000"/>
                <w:szCs w:val="21"/>
              </w:rPr>
              <w:t>-</w:t>
            </w:r>
          </w:p>
        </w:tc>
        <w:tc>
          <w:tcPr>
            <w:tcW w:w="1197" w:type="dxa"/>
            <w:vAlign w:val="center"/>
          </w:tcPr>
          <w:p w:rsidR="0040140E" w:rsidRDefault="009477A8">
            <w:pPr>
              <w:jc w:val="right"/>
            </w:pPr>
            <w:r>
              <w:rPr>
                <w:rFonts w:eastAsiaTheme="minorEastAsia"/>
                <w:color w:val="000000"/>
                <w:szCs w:val="21"/>
              </w:rPr>
              <w:t>-</w:t>
            </w:r>
          </w:p>
        </w:tc>
        <w:tc>
          <w:tcPr>
            <w:tcW w:w="1497" w:type="dxa"/>
            <w:vAlign w:val="center"/>
          </w:tcPr>
          <w:p w:rsidR="0040140E" w:rsidRDefault="009477A8">
            <w:pPr>
              <w:jc w:val="right"/>
            </w:pPr>
            <w:r>
              <w:rPr>
                <w:rFonts w:eastAsiaTheme="minorEastAsia"/>
                <w:color w:val="000000"/>
                <w:szCs w:val="21"/>
              </w:rPr>
              <w:t>-</w:t>
            </w:r>
          </w:p>
        </w:tc>
        <w:tc>
          <w:tcPr>
            <w:tcW w:w="1203" w:type="dxa"/>
            <w:vAlign w:val="center"/>
          </w:tcPr>
          <w:p w:rsidR="0040140E" w:rsidRDefault="009477A8">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3" w:name="_Toc48654596"/>
      <w:r w:rsidRPr="007D44A6">
        <w:rPr>
          <w:rFonts w:ascii="宋体" w:hAnsi="宋体" w:cs="Arial"/>
          <w:color w:val="000000"/>
          <w:sz w:val="21"/>
          <w:szCs w:val="21"/>
        </w:rPr>
        <w:lastRenderedPageBreak/>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40140E">
        <w:tc>
          <w:tcPr>
            <w:tcW w:w="720" w:type="dxa"/>
            <w:vAlign w:val="center"/>
          </w:tcPr>
          <w:p w:rsidR="0040140E" w:rsidRDefault="009477A8">
            <w:pPr>
              <w:jc w:val="center"/>
            </w:pPr>
            <w:r>
              <w:rPr>
                <w:color w:val="000000"/>
                <w:szCs w:val="21"/>
              </w:rPr>
              <w:t>1</w:t>
            </w:r>
          </w:p>
        </w:tc>
        <w:tc>
          <w:tcPr>
            <w:tcW w:w="4320" w:type="dxa"/>
            <w:vAlign w:val="center"/>
          </w:tcPr>
          <w:p w:rsidR="0040140E" w:rsidRDefault="009477A8">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40140E" w:rsidRDefault="009477A8">
            <w:r>
              <w:rPr>
                <w:color w:val="000000"/>
                <w:szCs w:val="21"/>
              </w:rPr>
              <w:t>证券时报</w:t>
            </w:r>
          </w:p>
        </w:tc>
        <w:tc>
          <w:tcPr>
            <w:tcW w:w="1440" w:type="dxa"/>
            <w:vAlign w:val="center"/>
          </w:tcPr>
          <w:p w:rsidR="0040140E" w:rsidRDefault="009477A8">
            <w:pPr>
              <w:jc w:val="center"/>
            </w:pPr>
            <w:r>
              <w:rPr>
                <w:color w:val="000000"/>
                <w:szCs w:val="21"/>
              </w:rPr>
              <w:t>2020-01-18</w:t>
            </w:r>
          </w:p>
        </w:tc>
      </w:tr>
      <w:tr w:rsidR="0040140E">
        <w:tc>
          <w:tcPr>
            <w:tcW w:w="720" w:type="dxa"/>
            <w:vAlign w:val="center"/>
          </w:tcPr>
          <w:p w:rsidR="0040140E" w:rsidRDefault="009477A8">
            <w:pPr>
              <w:jc w:val="center"/>
            </w:pPr>
            <w:r>
              <w:rPr>
                <w:color w:val="000000"/>
                <w:szCs w:val="21"/>
              </w:rPr>
              <w:t>2</w:t>
            </w:r>
          </w:p>
        </w:tc>
        <w:tc>
          <w:tcPr>
            <w:tcW w:w="4320" w:type="dxa"/>
            <w:vAlign w:val="center"/>
          </w:tcPr>
          <w:p w:rsidR="0040140E" w:rsidRDefault="009477A8">
            <w:r>
              <w:rPr>
                <w:color w:val="000000"/>
                <w:szCs w:val="21"/>
              </w:rPr>
              <w:t>易方达基金管理有限公司旗下部分开放式基金参加泉州银行费率优惠活动的公告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2020-01-23</w:t>
            </w:r>
          </w:p>
        </w:tc>
      </w:tr>
      <w:tr w:rsidR="0040140E">
        <w:tc>
          <w:tcPr>
            <w:tcW w:w="720" w:type="dxa"/>
            <w:vAlign w:val="center"/>
          </w:tcPr>
          <w:p w:rsidR="0040140E" w:rsidRDefault="009477A8">
            <w:pPr>
              <w:jc w:val="center"/>
            </w:pPr>
            <w:r>
              <w:rPr>
                <w:color w:val="000000"/>
                <w:szCs w:val="21"/>
              </w:rPr>
              <w:t>3</w:t>
            </w:r>
          </w:p>
        </w:tc>
        <w:tc>
          <w:tcPr>
            <w:tcW w:w="4320" w:type="dxa"/>
            <w:vAlign w:val="center"/>
          </w:tcPr>
          <w:p w:rsidR="0040140E" w:rsidRDefault="009477A8">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2020-01-30</w:t>
            </w:r>
          </w:p>
        </w:tc>
      </w:tr>
      <w:tr w:rsidR="0040140E">
        <w:tc>
          <w:tcPr>
            <w:tcW w:w="720" w:type="dxa"/>
            <w:vAlign w:val="center"/>
          </w:tcPr>
          <w:p w:rsidR="0040140E" w:rsidRDefault="009477A8">
            <w:pPr>
              <w:jc w:val="center"/>
            </w:pPr>
            <w:r>
              <w:rPr>
                <w:color w:val="000000"/>
                <w:szCs w:val="21"/>
              </w:rPr>
              <w:t>4</w:t>
            </w:r>
          </w:p>
        </w:tc>
        <w:tc>
          <w:tcPr>
            <w:tcW w:w="4320" w:type="dxa"/>
            <w:vAlign w:val="center"/>
          </w:tcPr>
          <w:p w:rsidR="0040140E" w:rsidRDefault="009477A8">
            <w:r>
              <w:rPr>
                <w:color w:val="000000"/>
                <w:szCs w:val="21"/>
              </w:rPr>
              <w:t>易方达基金管理有限公司及全资子公司投资旗下基金相关事宜的公告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2020-02-04</w:t>
            </w:r>
          </w:p>
        </w:tc>
      </w:tr>
      <w:tr w:rsidR="0040140E">
        <w:tc>
          <w:tcPr>
            <w:tcW w:w="720" w:type="dxa"/>
            <w:vAlign w:val="center"/>
          </w:tcPr>
          <w:p w:rsidR="0040140E" w:rsidRDefault="009477A8">
            <w:pPr>
              <w:jc w:val="center"/>
            </w:pPr>
            <w:r>
              <w:rPr>
                <w:color w:val="000000"/>
                <w:szCs w:val="21"/>
              </w:rPr>
              <w:t>5</w:t>
            </w:r>
          </w:p>
        </w:tc>
        <w:tc>
          <w:tcPr>
            <w:tcW w:w="4320" w:type="dxa"/>
            <w:vAlign w:val="center"/>
          </w:tcPr>
          <w:p w:rsidR="0040140E" w:rsidRDefault="009477A8">
            <w:r>
              <w:rPr>
                <w:color w:val="000000"/>
                <w:szCs w:val="21"/>
              </w:rPr>
              <w:t>易方达恒久添利</w:t>
            </w:r>
            <w:r>
              <w:rPr>
                <w:color w:val="000000"/>
                <w:szCs w:val="21"/>
              </w:rPr>
              <w:t>1</w:t>
            </w:r>
            <w:r>
              <w:rPr>
                <w:color w:val="000000"/>
                <w:szCs w:val="21"/>
              </w:rPr>
              <w:t>年定期开放债券型证券投资基金基金经理变更公告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2020-02-29</w:t>
            </w:r>
          </w:p>
        </w:tc>
      </w:tr>
      <w:tr w:rsidR="0040140E">
        <w:tc>
          <w:tcPr>
            <w:tcW w:w="720" w:type="dxa"/>
            <w:vAlign w:val="center"/>
          </w:tcPr>
          <w:p w:rsidR="0040140E" w:rsidRDefault="009477A8">
            <w:pPr>
              <w:jc w:val="center"/>
            </w:pPr>
            <w:r>
              <w:rPr>
                <w:color w:val="000000"/>
                <w:szCs w:val="21"/>
              </w:rPr>
              <w:t>6</w:t>
            </w:r>
          </w:p>
        </w:tc>
        <w:tc>
          <w:tcPr>
            <w:tcW w:w="4320" w:type="dxa"/>
            <w:vAlign w:val="center"/>
          </w:tcPr>
          <w:p w:rsidR="0040140E" w:rsidRDefault="009477A8">
            <w:r>
              <w:rPr>
                <w:color w:val="000000"/>
                <w:szCs w:val="21"/>
              </w:rPr>
              <w:t>易方达基金管理有限公司旗下部分开放式基金增加中欧钱滚滚为销售机构的公告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2020-03-02</w:t>
            </w:r>
          </w:p>
        </w:tc>
      </w:tr>
      <w:tr w:rsidR="0040140E">
        <w:tc>
          <w:tcPr>
            <w:tcW w:w="720" w:type="dxa"/>
            <w:vAlign w:val="center"/>
          </w:tcPr>
          <w:p w:rsidR="0040140E" w:rsidRDefault="009477A8">
            <w:pPr>
              <w:jc w:val="center"/>
            </w:pPr>
            <w:r>
              <w:rPr>
                <w:color w:val="000000"/>
                <w:szCs w:val="21"/>
              </w:rPr>
              <w:t>7</w:t>
            </w:r>
          </w:p>
        </w:tc>
        <w:tc>
          <w:tcPr>
            <w:tcW w:w="4320" w:type="dxa"/>
            <w:vAlign w:val="center"/>
          </w:tcPr>
          <w:p w:rsidR="0040140E" w:rsidRDefault="009477A8">
            <w:r>
              <w:rPr>
                <w:color w:val="000000"/>
                <w:szCs w:val="21"/>
              </w:rPr>
              <w:t>易方达基金管理有限公司旗下部分开放式基金参加中金公司费率优惠活动的公告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2020-03-05</w:t>
            </w:r>
          </w:p>
        </w:tc>
      </w:tr>
      <w:tr w:rsidR="0040140E">
        <w:tc>
          <w:tcPr>
            <w:tcW w:w="720" w:type="dxa"/>
            <w:vAlign w:val="center"/>
          </w:tcPr>
          <w:p w:rsidR="0040140E" w:rsidRDefault="009477A8">
            <w:pPr>
              <w:jc w:val="center"/>
            </w:pPr>
            <w:r>
              <w:rPr>
                <w:color w:val="000000"/>
                <w:szCs w:val="21"/>
              </w:rPr>
              <w:t>8</w:t>
            </w:r>
          </w:p>
        </w:tc>
        <w:tc>
          <w:tcPr>
            <w:tcW w:w="4320" w:type="dxa"/>
            <w:vAlign w:val="center"/>
          </w:tcPr>
          <w:p w:rsidR="0040140E" w:rsidRDefault="009477A8">
            <w:r>
              <w:rPr>
                <w:color w:val="000000"/>
                <w:szCs w:val="21"/>
              </w:rPr>
              <w:t>易方达基金管理有限公司旗下部分开放式基金参加百度百盈费率优惠活动的公告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2020-03-10</w:t>
            </w:r>
          </w:p>
        </w:tc>
      </w:tr>
      <w:tr w:rsidR="0040140E">
        <w:tc>
          <w:tcPr>
            <w:tcW w:w="720" w:type="dxa"/>
            <w:vAlign w:val="center"/>
          </w:tcPr>
          <w:p w:rsidR="0040140E" w:rsidRDefault="009477A8">
            <w:pPr>
              <w:jc w:val="center"/>
            </w:pPr>
            <w:r>
              <w:rPr>
                <w:color w:val="000000"/>
                <w:szCs w:val="21"/>
              </w:rPr>
              <w:t>9</w:t>
            </w:r>
          </w:p>
        </w:tc>
        <w:tc>
          <w:tcPr>
            <w:tcW w:w="4320" w:type="dxa"/>
            <w:vAlign w:val="center"/>
          </w:tcPr>
          <w:p w:rsidR="0040140E" w:rsidRDefault="009477A8">
            <w:r>
              <w:rPr>
                <w:color w:val="000000"/>
                <w:szCs w:val="21"/>
              </w:rPr>
              <w:t>易方达基金管理有限公司旗下部分开放式基金增加华瑞保险销售为销售机构、参加华瑞保险销售费率优惠活动的公告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2020-03-23</w:t>
            </w:r>
          </w:p>
        </w:tc>
      </w:tr>
      <w:tr w:rsidR="0040140E">
        <w:tc>
          <w:tcPr>
            <w:tcW w:w="720" w:type="dxa"/>
            <w:vAlign w:val="center"/>
          </w:tcPr>
          <w:p w:rsidR="0040140E" w:rsidRDefault="009477A8">
            <w:pPr>
              <w:jc w:val="center"/>
            </w:pPr>
            <w:r>
              <w:rPr>
                <w:color w:val="000000"/>
                <w:szCs w:val="21"/>
              </w:rPr>
              <w:t>10</w:t>
            </w:r>
          </w:p>
        </w:tc>
        <w:tc>
          <w:tcPr>
            <w:tcW w:w="4320" w:type="dxa"/>
            <w:vAlign w:val="center"/>
          </w:tcPr>
          <w:p w:rsidR="0040140E" w:rsidRDefault="009477A8">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40140E" w:rsidRDefault="009477A8">
            <w:r>
              <w:rPr>
                <w:color w:val="000000"/>
                <w:szCs w:val="21"/>
              </w:rPr>
              <w:t>证券时报</w:t>
            </w:r>
          </w:p>
        </w:tc>
        <w:tc>
          <w:tcPr>
            <w:tcW w:w="1440" w:type="dxa"/>
            <w:vAlign w:val="center"/>
          </w:tcPr>
          <w:p w:rsidR="0040140E" w:rsidRDefault="009477A8">
            <w:pPr>
              <w:jc w:val="center"/>
            </w:pPr>
            <w:r>
              <w:rPr>
                <w:color w:val="000000"/>
                <w:szCs w:val="21"/>
              </w:rPr>
              <w:t>2020-03-31</w:t>
            </w:r>
          </w:p>
        </w:tc>
      </w:tr>
      <w:tr w:rsidR="0040140E">
        <w:tc>
          <w:tcPr>
            <w:tcW w:w="720" w:type="dxa"/>
            <w:vAlign w:val="center"/>
          </w:tcPr>
          <w:p w:rsidR="0040140E" w:rsidRDefault="009477A8">
            <w:pPr>
              <w:jc w:val="center"/>
            </w:pPr>
            <w:r>
              <w:rPr>
                <w:color w:val="000000"/>
                <w:szCs w:val="21"/>
              </w:rPr>
              <w:t>11</w:t>
            </w:r>
          </w:p>
        </w:tc>
        <w:tc>
          <w:tcPr>
            <w:tcW w:w="4320" w:type="dxa"/>
            <w:vAlign w:val="center"/>
          </w:tcPr>
          <w:p w:rsidR="0040140E" w:rsidRDefault="009477A8">
            <w:r>
              <w:rPr>
                <w:color w:val="000000"/>
                <w:szCs w:val="21"/>
              </w:rPr>
              <w:t>易方达基金管理有限公司关于提醒投资者及时提供或更新身份信息资料的公告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2020-04-10</w:t>
            </w:r>
          </w:p>
        </w:tc>
      </w:tr>
      <w:tr w:rsidR="0040140E">
        <w:tc>
          <w:tcPr>
            <w:tcW w:w="720" w:type="dxa"/>
            <w:vAlign w:val="center"/>
          </w:tcPr>
          <w:p w:rsidR="0040140E" w:rsidRDefault="009477A8">
            <w:pPr>
              <w:jc w:val="center"/>
            </w:pPr>
            <w:r>
              <w:rPr>
                <w:color w:val="000000"/>
                <w:szCs w:val="21"/>
              </w:rPr>
              <w:t>12</w:t>
            </w:r>
          </w:p>
        </w:tc>
        <w:tc>
          <w:tcPr>
            <w:tcW w:w="4320" w:type="dxa"/>
            <w:vAlign w:val="center"/>
          </w:tcPr>
          <w:p w:rsidR="0040140E" w:rsidRDefault="009477A8">
            <w:r>
              <w:rPr>
                <w:color w:val="000000"/>
                <w:szCs w:val="21"/>
              </w:rPr>
              <w:t>易方达基金管理有限公司旗下部分开放式基金参加诺亚正行费率优惠活动的公告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2020-04-17</w:t>
            </w:r>
          </w:p>
        </w:tc>
      </w:tr>
      <w:tr w:rsidR="0040140E">
        <w:tc>
          <w:tcPr>
            <w:tcW w:w="720" w:type="dxa"/>
            <w:vAlign w:val="center"/>
          </w:tcPr>
          <w:p w:rsidR="0040140E" w:rsidRDefault="009477A8">
            <w:pPr>
              <w:jc w:val="center"/>
            </w:pPr>
            <w:r>
              <w:rPr>
                <w:color w:val="000000"/>
                <w:szCs w:val="21"/>
              </w:rPr>
              <w:t>13</w:t>
            </w:r>
          </w:p>
        </w:tc>
        <w:tc>
          <w:tcPr>
            <w:tcW w:w="4320" w:type="dxa"/>
            <w:vAlign w:val="center"/>
          </w:tcPr>
          <w:p w:rsidR="0040140E" w:rsidRDefault="009477A8">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40140E" w:rsidRDefault="009477A8">
            <w:r>
              <w:rPr>
                <w:color w:val="000000"/>
                <w:szCs w:val="21"/>
              </w:rPr>
              <w:t>证券时报</w:t>
            </w:r>
          </w:p>
        </w:tc>
        <w:tc>
          <w:tcPr>
            <w:tcW w:w="1440" w:type="dxa"/>
            <w:vAlign w:val="center"/>
          </w:tcPr>
          <w:p w:rsidR="0040140E" w:rsidRDefault="009477A8">
            <w:pPr>
              <w:jc w:val="center"/>
            </w:pPr>
            <w:r>
              <w:rPr>
                <w:color w:val="000000"/>
                <w:szCs w:val="21"/>
              </w:rPr>
              <w:t>2020-04-21</w:t>
            </w:r>
          </w:p>
        </w:tc>
      </w:tr>
      <w:tr w:rsidR="0040140E">
        <w:tc>
          <w:tcPr>
            <w:tcW w:w="720" w:type="dxa"/>
            <w:vAlign w:val="center"/>
          </w:tcPr>
          <w:p w:rsidR="0040140E" w:rsidRDefault="009477A8">
            <w:pPr>
              <w:jc w:val="center"/>
            </w:pPr>
            <w:r>
              <w:rPr>
                <w:color w:val="000000"/>
                <w:szCs w:val="21"/>
              </w:rPr>
              <w:t>14</w:t>
            </w:r>
          </w:p>
        </w:tc>
        <w:tc>
          <w:tcPr>
            <w:tcW w:w="4320" w:type="dxa"/>
            <w:vAlign w:val="center"/>
          </w:tcPr>
          <w:p w:rsidR="0040140E" w:rsidRDefault="009477A8">
            <w:r>
              <w:rPr>
                <w:color w:val="000000"/>
                <w:szCs w:val="21"/>
              </w:rPr>
              <w:t>易方达恒久添利</w:t>
            </w:r>
            <w:r>
              <w:rPr>
                <w:color w:val="000000"/>
                <w:szCs w:val="21"/>
              </w:rPr>
              <w:t>1</w:t>
            </w:r>
            <w:r>
              <w:rPr>
                <w:color w:val="000000"/>
                <w:szCs w:val="21"/>
              </w:rPr>
              <w:t>年定期开放债券型证券投资基金分红公告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2020-04-28</w:t>
            </w:r>
          </w:p>
        </w:tc>
      </w:tr>
      <w:tr w:rsidR="0040140E">
        <w:tc>
          <w:tcPr>
            <w:tcW w:w="720" w:type="dxa"/>
            <w:vAlign w:val="center"/>
          </w:tcPr>
          <w:p w:rsidR="0040140E" w:rsidRDefault="009477A8">
            <w:pPr>
              <w:jc w:val="center"/>
            </w:pPr>
            <w:r>
              <w:rPr>
                <w:color w:val="000000"/>
                <w:szCs w:val="21"/>
              </w:rPr>
              <w:lastRenderedPageBreak/>
              <w:t>15</w:t>
            </w:r>
          </w:p>
        </w:tc>
        <w:tc>
          <w:tcPr>
            <w:tcW w:w="4320" w:type="dxa"/>
            <w:vAlign w:val="center"/>
          </w:tcPr>
          <w:p w:rsidR="0040140E" w:rsidRDefault="009477A8">
            <w:r>
              <w:rPr>
                <w:color w:val="000000"/>
                <w:szCs w:val="21"/>
              </w:rPr>
              <w:t>易方达基金管理有限公司旗下部分开放式基金增加金海九州为销售机构、参加金海九州费率优惠活动的公告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2020-04-28</w:t>
            </w:r>
          </w:p>
        </w:tc>
      </w:tr>
      <w:tr w:rsidR="0040140E">
        <w:tc>
          <w:tcPr>
            <w:tcW w:w="720" w:type="dxa"/>
            <w:vAlign w:val="center"/>
          </w:tcPr>
          <w:p w:rsidR="0040140E" w:rsidRDefault="009477A8">
            <w:pPr>
              <w:jc w:val="center"/>
            </w:pPr>
            <w:r>
              <w:rPr>
                <w:color w:val="000000"/>
                <w:szCs w:val="21"/>
              </w:rPr>
              <w:t>16</w:t>
            </w:r>
          </w:p>
        </w:tc>
        <w:tc>
          <w:tcPr>
            <w:tcW w:w="4320" w:type="dxa"/>
            <w:vAlign w:val="center"/>
          </w:tcPr>
          <w:p w:rsidR="0040140E" w:rsidRDefault="009477A8">
            <w:r>
              <w:rPr>
                <w:color w:val="000000"/>
                <w:szCs w:val="21"/>
              </w:rPr>
              <w:t>易方达基金管理有限公司旗下部分开放式基金参加中金公司申购费率优惠活动的公告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2020-05-14</w:t>
            </w:r>
          </w:p>
        </w:tc>
      </w:tr>
      <w:tr w:rsidR="0040140E">
        <w:tc>
          <w:tcPr>
            <w:tcW w:w="720" w:type="dxa"/>
            <w:vAlign w:val="center"/>
          </w:tcPr>
          <w:p w:rsidR="0040140E" w:rsidRDefault="009477A8">
            <w:pPr>
              <w:jc w:val="center"/>
            </w:pPr>
            <w:r>
              <w:rPr>
                <w:color w:val="000000"/>
                <w:szCs w:val="21"/>
              </w:rPr>
              <w:t>17</w:t>
            </w:r>
          </w:p>
        </w:tc>
        <w:tc>
          <w:tcPr>
            <w:tcW w:w="4320" w:type="dxa"/>
            <w:vAlign w:val="center"/>
          </w:tcPr>
          <w:p w:rsidR="0040140E" w:rsidRDefault="009477A8">
            <w:r>
              <w:rPr>
                <w:color w:val="000000"/>
                <w:szCs w:val="21"/>
              </w:rPr>
              <w:t>易方达基金管理有限公司旗下部分开放式基金参加万联证券费率优惠活动的公告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2020-05-18</w:t>
            </w:r>
          </w:p>
        </w:tc>
      </w:tr>
      <w:tr w:rsidR="0040140E">
        <w:tc>
          <w:tcPr>
            <w:tcW w:w="720" w:type="dxa"/>
            <w:vAlign w:val="center"/>
          </w:tcPr>
          <w:p w:rsidR="0040140E" w:rsidRDefault="009477A8">
            <w:pPr>
              <w:jc w:val="center"/>
            </w:pPr>
            <w:r>
              <w:rPr>
                <w:color w:val="000000"/>
                <w:szCs w:val="21"/>
              </w:rPr>
              <w:t>18</w:t>
            </w:r>
          </w:p>
        </w:tc>
        <w:tc>
          <w:tcPr>
            <w:tcW w:w="4320" w:type="dxa"/>
            <w:vAlign w:val="center"/>
          </w:tcPr>
          <w:p w:rsidR="0040140E" w:rsidRDefault="009477A8">
            <w:r>
              <w:rPr>
                <w:color w:val="000000"/>
                <w:szCs w:val="21"/>
              </w:rPr>
              <w:t>易方达基金管理有限公司旗下部分开放式基金参加华夏财富费率优惠活动的公告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2020-05-23</w:t>
            </w:r>
          </w:p>
        </w:tc>
      </w:tr>
      <w:tr w:rsidR="0040140E">
        <w:tc>
          <w:tcPr>
            <w:tcW w:w="720" w:type="dxa"/>
            <w:vAlign w:val="center"/>
          </w:tcPr>
          <w:p w:rsidR="0040140E" w:rsidRDefault="009477A8">
            <w:pPr>
              <w:jc w:val="center"/>
            </w:pPr>
            <w:r>
              <w:rPr>
                <w:color w:val="000000"/>
                <w:szCs w:val="21"/>
              </w:rPr>
              <w:t>19</w:t>
            </w:r>
          </w:p>
        </w:tc>
        <w:tc>
          <w:tcPr>
            <w:tcW w:w="4320" w:type="dxa"/>
            <w:vAlign w:val="center"/>
          </w:tcPr>
          <w:p w:rsidR="0040140E" w:rsidRDefault="009477A8">
            <w:r>
              <w:rPr>
                <w:color w:val="000000"/>
                <w:szCs w:val="21"/>
              </w:rPr>
              <w:t>易方达基金管理有限公司关于暂停上海朝阳永续基金销售有限公司办理旗下基金相关销售业务的公告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2020-06-03</w:t>
            </w:r>
          </w:p>
        </w:tc>
      </w:tr>
      <w:tr w:rsidR="0040140E">
        <w:tc>
          <w:tcPr>
            <w:tcW w:w="720" w:type="dxa"/>
            <w:vAlign w:val="center"/>
          </w:tcPr>
          <w:p w:rsidR="0040140E" w:rsidRDefault="009477A8">
            <w:pPr>
              <w:jc w:val="center"/>
            </w:pPr>
            <w:r>
              <w:rPr>
                <w:color w:val="000000"/>
                <w:szCs w:val="21"/>
              </w:rPr>
              <w:t>20</w:t>
            </w:r>
          </w:p>
        </w:tc>
        <w:tc>
          <w:tcPr>
            <w:tcW w:w="4320" w:type="dxa"/>
            <w:vAlign w:val="center"/>
          </w:tcPr>
          <w:p w:rsidR="0040140E" w:rsidRDefault="009477A8">
            <w:r>
              <w:rPr>
                <w:color w:val="000000"/>
                <w:szCs w:val="21"/>
              </w:rPr>
              <w:t>易方达基金管理有限公司高级管理人员变更公告</w:t>
            </w:r>
          </w:p>
        </w:tc>
        <w:tc>
          <w:tcPr>
            <w:tcW w:w="2520" w:type="dxa"/>
            <w:vAlign w:val="center"/>
          </w:tcPr>
          <w:p w:rsidR="0040140E" w:rsidRDefault="009477A8">
            <w:r>
              <w:rPr>
                <w:color w:val="000000"/>
                <w:szCs w:val="21"/>
              </w:rPr>
              <w:t>证券时报、基金管理人网站及中国证监会基金电子披露网站</w:t>
            </w:r>
          </w:p>
        </w:tc>
        <w:tc>
          <w:tcPr>
            <w:tcW w:w="1440" w:type="dxa"/>
            <w:vAlign w:val="center"/>
          </w:tcPr>
          <w:p w:rsidR="0040140E" w:rsidRDefault="009477A8">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4" w:name="_Toc48654597"/>
      <w:r w:rsidRPr="00662508">
        <w:rPr>
          <w:rFonts w:ascii="Times New Roman" w:hAnsi="Times New Roman"/>
          <w:color w:val="000000"/>
          <w:sz w:val="21"/>
          <w:szCs w:val="21"/>
        </w:rPr>
        <w:t>§11</w:t>
      </w:r>
      <w:r w:rsidRPr="00662508">
        <w:rPr>
          <w:rFonts w:ascii="Times New Roman" w:hAnsi="Times New Roman"/>
          <w:color w:val="000000"/>
          <w:sz w:val="21"/>
          <w:szCs w:val="21"/>
        </w:rPr>
        <w:t>影响投资者决策的其他重要信息</w:t>
      </w:r>
      <w:bookmarkEnd w:id="104"/>
    </w:p>
    <w:p w:rsidR="00433EDC" w:rsidRPr="00BE526D" w:rsidRDefault="00433EDC" w:rsidP="002811E3">
      <w:pPr>
        <w:pStyle w:val="20"/>
        <w:tabs>
          <w:tab w:val="num" w:pos="927"/>
        </w:tabs>
        <w:spacing w:beforeLines="100" w:before="312" w:afterLines="100" w:after="312"/>
        <w:ind w:left="927" w:hanging="567"/>
        <w:rPr>
          <w:rFonts w:ascii="宋体" w:hAnsi="宋体" w:cs="Arial"/>
          <w:color w:val="000000"/>
          <w:sz w:val="21"/>
          <w:szCs w:val="21"/>
        </w:rPr>
      </w:pPr>
      <w:bookmarkStart w:id="105" w:name="_Toc48654598"/>
      <w:r w:rsidRPr="00BE526D">
        <w:rPr>
          <w:rFonts w:ascii="宋体" w:hAnsi="宋体" w:cs="Arial"/>
          <w:color w:val="000000"/>
          <w:sz w:val="21"/>
          <w:szCs w:val="21"/>
        </w:rPr>
        <w:t>11.1 报告期内单一投资者持有基金份额比例达到或超过20%的情况</w:t>
      </w:r>
      <w:bookmarkEnd w:id="105"/>
    </w:p>
    <w:tbl>
      <w:tblPr>
        <w:tblStyle w:val="af7"/>
        <w:tblW w:w="9640" w:type="dxa"/>
        <w:jc w:val="center"/>
        <w:tblLayout w:type="fixed"/>
        <w:tblLook w:val="04A0" w:firstRow="1" w:lastRow="0" w:firstColumn="1" w:lastColumn="0" w:noHBand="0" w:noVBand="1"/>
      </w:tblPr>
      <w:tblGrid>
        <w:gridCol w:w="709"/>
        <w:gridCol w:w="709"/>
        <w:gridCol w:w="2126"/>
        <w:gridCol w:w="1276"/>
        <w:gridCol w:w="1276"/>
        <w:gridCol w:w="1276"/>
        <w:gridCol w:w="1417"/>
        <w:gridCol w:w="851"/>
      </w:tblGrid>
      <w:tr w:rsidR="00433EDC" w:rsidRPr="00130C74" w:rsidTr="00AA5843">
        <w:trPr>
          <w:jc w:val="center"/>
        </w:trPr>
        <w:tc>
          <w:tcPr>
            <w:tcW w:w="709" w:type="dxa"/>
            <w:vMerge w:val="restart"/>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6663" w:type="dxa"/>
            <w:gridSpan w:val="5"/>
            <w:vAlign w:val="center"/>
          </w:tcPr>
          <w:p w:rsidR="00433EDC" w:rsidRPr="00130C74" w:rsidRDefault="00433EDC" w:rsidP="00AA5843">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2268" w:type="dxa"/>
            <w:gridSpan w:val="2"/>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433EDC" w:rsidRPr="00130C74" w:rsidTr="00AA5843">
        <w:trPr>
          <w:jc w:val="center"/>
        </w:trPr>
        <w:tc>
          <w:tcPr>
            <w:tcW w:w="709" w:type="dxa"/>
            <w:vMerge/>
            <w:vAlign w:val="center"/>
          </w:tcPr>
          <w:p w:rsidR="00433EDC" w:rsidRPr="00130C74" w:rsidRDefault="00433EDC" w:rsidP="00AA5843">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2126"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期初份额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申购份额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赎回份额</w:t>
            </w:r>
          </w:p>
        </w:tc>
        <w:tc>
          <w:tcPr>
            <w:tcW w:w="1417"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40140E">
        <w:trPr>
          <w:jc w:val="center"/>
        </w:trPr>
        <w:tc>
          <w:tcPr>
            <w:tcW w:w="709" w:type="dxa"/>
            <w:vMerge w:val="restart"/>
            <w:vAlign w:val="center"/>
          </w:tcPr>
          <w:p w:rsidR="0040140E" w:rsidRDefault="009477A8">
            <w:r>
              <w:rPr>
                <w:rFonts w:eastAsiaTheme="minorEastAsia"/>
                <w:bCs/>
                <w:color w:val="000000" w:themeColor="text1"/>
                <w:szCs w:val="21"/>
              </w:rPr>
              <w:t>机构</w:t>
            </w:r>
          </w:p>
        </w:tc>
        <w:tc>
          <w:tcPr>
            <w:tcW w:w="709" w:type="dxa"/>
            <w:vAlign w:val="center"/>
          </w:tcPr>
          <w:p w:rsidR="0040140E" w:rsidRDefault="009477A8">
            <w:pPr>
              <w:jc w:val="center"/>
            </w:pPr>
            <w:r>
              <w:t>1</w:t>
            </w:r>
          </w:p>
        </w:tc>
        <w:tc>
          <w:tcPr>
            <w:tcW w:w="2126" w:type="dxa"/>
            <w:vAlign w:val="center"/>
          </w:tcPr>
          <w:p w:rsidR="0040140E" w:rsidRDefault="009477A8">
            <w:pPr>
              <w:jc w:val="center"/>
            </w:pPr>
            <w:r>
              <w:t>2020</w:t>
            </w:r>
            <w:r>
              <w:t>年</w:t>
            </w:r>
            <w:r>
              <w:t>01</w:t>
            </w:r>
            <w:r>
              <w:t>月</w:t>
            </w:r>
            <w:r>
              <w:t>01</w:t>
            </w:r>
            <w:r>
              <w:t>日</w:t>
            </w:r>
            <w:r>
              <w:t>~2020</w:t>
            </w:r>
            <w:r>
              <w:t>年</w:t>
            </w:r>
            <w:r>
              <w:t>06</w:t>
            </w:r>
            <w:r>
              <w:t>月</w:t>
            </w:r>
            <w:r>
              <w:t>30</w:t>
            </w:r>
            <w:r>
              <w:t>日</w:t>
            </w:r>
          </w:p>
        </w:tc>
        <w:tc>
          <w:tcPr>
            <w:tcW w:w="1276" w:type="dxa"/>
            <w:vAlign w:val="center"/>
          </w:tcPr>
          <w:p w:rsidR="0040140E" w:rsidRDefault="009477A8">
            <w:pPr>
              <w:jc w:val="center"/>
            </w:pPr>
            <w:r>
              <w:t>550,000,000.00</w:t>
            </w:r>
          </w:p>
        </w:tc>
        <w:tc>
          <w:tcPr>
            <w:tcW w:w="1276" w:type="dxa"/>
            <w:vAlign w:val="center"/>
          </w:tcPr>
          <w:p w:rsidR="0040140E" w:rsidRDefault="009477A8">
            <w:pPr>
              <w:jc w:val="center"/>
            </w:pPr>
            <w:r>
              <w:t>-</w:t>
            </w:r>
          </w:p>
        </w:tc>
        <w:tc>
          <w:tcPr>
            <w:tcW w:w="1276" w:type="dxa"/>
            <w:vAlign w:val="center"/>
          </w:tcPr>
          <w:p w:rsidR="0040140E" w:rsidRDefault="009477A8">
            <w:pPr>
              <w:jc w:val="center"/>
            </w:pPr>
            <w:r>
              <w:t>-</w:t>
            </w:r>
          </w:p>
        </w:tc>
        <w:tc>
          <w:tcPr>
            <w:tcW w:w="1417" w:type="dxa"/>
            <w:vAlign w:val="center"/>
          </w:tcPr>
          <w:p w:rsidR="0040140E" w:rsidRDefault="009477A8">
            <w:pPr>
              <w:jc w:val="center"/>
            </w:pPr>
            <w:r>
              <w:t>550,000,000.00</w:t>
            </w:r>
          </w:p>
        </w:tc>
        <w:tc>
          <w:tcPr>
            <w:tcW w:w="851" w:type="dxa"/>
            <w:vAlign w:val="center"/>
          </w:tcPr>
          <w:p w:rsidR="0040140E" w:rsidRDefault="009477A8">
            <w:pPr>
              <w:jc w:val="center"/>
            </w:pPr>
            <w:r>
              <w:t>50.14%</w:t>
            </w:r>
          </w:p>
        </w:tc>
      </w:tr>
      <w:tr w:rsidR="00433EDC" w:rsidRPr="00130C74" w:rsidTr="00AA5843">
        <w:trPr>
          <w:jc w:val="center"/>
        </w:trPr>
        <w:tc>
          <w:tcPr>
            <w:tcW w:w="9637" w:type="dxa"/>
            <w:gridSpan w:val="8"/>
            <w:vAlign w:val="center"/>
          </w:tcPr>
          <w:p w:rsidR="00433EDC" w:rsidRPr="00130C74" w:rsidRDefault="00433EDC" w:rsidP="00FD2758">
            <w:pPr>
              <w:autoSpaceDE w:val="0"/>
              <w:autoSpaceDN w:val="0"/>
              <w:adjustRightInd w:val="0"/>
              <w:jc w:val="center"/>
              <w:rPr>
                <w:szCs w:val="21"/>
              </w:rPr>
            </w:pPr>
            <w:r w:rsidRPr="00130C74">
              <w:rPr>
                <w:color w:val="000000"/>
                <w:szCs w:val="21"/>
              </w:rPr>
              <w:t>产品特有风险</w:t>
            </w:r>
          </w:p>
        </w:tc>
      </w:tr>
      <w:tr w:rsidR="00433EDC" w:rsidRPr="00130C74" w:rsidTr="00AA5843">
        <w:trPr>
          <w:jc w:val="center"/>
        </w:trPr>
        <w:tc>
          <w:tcPr>
            <w:tcW w:w="9637" w:type="dxa"/>
            <w:gridSpan w:val="8"/>
            <w:vAlign w:val="center"/>
          </w:tcPr>
          <w:p w:rsidR="00433EDC" w:rsidRPr="001333A8" w:rsidRDefault="00433EDC" w:rsidP="00AA5843">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6" w:name="_Toc225500055"/>
      <w:bookmarkStart w:id="107" w:name="_Toc48654599"/>
      <w:r w:rsidRPr="00662508">
        <w:rPr>
          <w:rFonts w:ascii="Times New Roman" w:hAnsi="Times New Roman"/>
          <w:color w:val="000000"/>
          <w:sz w:val="21"/>
          <w:szCs w:val="21"/>
        </w:rPr>
        <w:lastRenderedPageBreak/>
        <w:t>§12</w:t>
      </w:r>
      <w:r w:rsidRPr="00662508">
        <w:rPr>
          <w:rFonts w:ascii="Times New Roman" w:hAnsi="Times New Roman"/>
          <w:color w:val="000000"/>
          <w:sz w:val="21"/>
          <w:szCs w:val="21"/>
        </w:rPr>
        <w:t>备查文件目录</w:t>
      </w:r>
      <w:bookmarkEnd w:id="106"/>
      <w:bookmarkEnd w:id="10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4600"/>
      <w:r w:rsidRPr="007D44A6">
        <w:rPr>
          <w:rFonts w:ascii="宋体" w:hAnsi="宋体" w:cs="Arial"/>
          <w:color w:val="000000"/>
          <w:sz w:val="21"/>
          <w:szCs w:val="21"/>
        </w:rPr>
        <w:t>12.1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8"/>
    </w:p>
    <w:p w:rsidR="0040140E" w:rsidRDefault="009477A8">
      <w:pPr>
        <w:tabs>
          <w:tab w:val="left" w:pos="426"/>
        </w:tabs>
        <w:spacing w:line="360" w:lineRule="auto"/>
        <w:ind w:firstLineChars="200" w:firstLine="420"/>
        <w:jc w:val="left"/>
        <w:rPr>
          <w:kern w:val="0"/>
          <w:szCs w:val="21"/>
        </w:rPr>
      </w:pPr>
      <w:r>
        <w:rPr>
          <w:kern w:val="0"/>
          <w:szCs w:val="21"/>
        </w:rPr>
        <w:t>1.</w:t>
      </w:r>
      <w:r>
        <w:rPr>
          <w:kern w:val="0"/>
          <w:szCs w:val="21"/>
        </w:rPr>
        <w:t>中国证监会注册易方达恒久添利</w:t>
      </w:r>
      <w:r>
        <w:rPr>
          <w:kern w:val="0"/>
          <w:szCs w:val="21"/>
        </w:rPr>
        <w:t>1</w:t>
      </w:r>
      <w:r>
        <w:rPr>
          <w:kern w:val="0"/>
          <w:szCs w:val="21"/>
        </w:rPr>
        <w:t>年定期开放债券型证券投资基金募集的文件；</w:t>
      </w:r>
    </w:p>
    <w:p w:rsidR="0040140E" w:rsidRDefault="009477A8">
      <w:pPr>
        <w:tabs>
          <w:tab w:val="left" w:pos="426"/>
        </w:tabs>
        <w:spacing w:line="360" w:lineRule="auto"/>
        <w:ind w:firstLineChars="200" w:firstLine="420"/>
        <w:jc w:val="left"/>
        <w:rPr>
          <w:kern w:val="0"/>
          <w:szCs w:val="21"/>
        </w:rPr>
      </w:pPr>
      <w:r>
        <w:rPr>
          <w:kern w:val="0"/>
          <w:szCs w:val="21"/>
        </w:rPr>
        <w:t>2.</w:t>
      </w:r>
      <w:r>
        <w:rPr>
          <w:kern w:val="0"/>
          <w:szCs w:val="21"/>
        </w:rPr>
        <w:t>《易方达恒久添利</w:t>
      </w:r>
      <w:r>
        <w:rPr>
          <w:kern w:val="0"/>
          <w:szCs w:val="21"/>
        </w:rPr>
        <w:t>1</w:t>
      </w:r>
      <w:r>
        <w:rPr>
          <w:kern w:val="0"/>
          <w:szCs w:val="21"/>
        </w:rPr>
        <w:t>年定期开放债券型证券投资基金基金合同》；</w:t>
      </w:r>
    </w:p>
    <w:p w:rsidR="0040140E" w:rsidRDefault="009477A8">
      <w:pPr>
        <w:tabs>
          <w:tab w:val="left" w:pos="426"/>
        </w:tabs>
        <w:spacing w:line="360" w:lineRule="auto"/>
        <w:ind w:firstLineChars="200" w:firstLine="420"/>
        <w:jc w:val="left"/>
        <w:rPr>
          <w:kern w:val="0"/>
          <w:szCs w:val="21"/>
        </w:rPr>
      </w:pPr>
      <w:r>
        <w:rPr>
          <w:kern w:val="0"/>
          <w:szCs w:val="21"/>
        </w:rPr>
        <w:t>3.</w:t>
      </w:r>
      <w:r>
        <w:rPr>
          <w:kern w:val="0"/>
          <w:szCs w:val="21"/>
        </w:rPr>
        <w:t>《易方达恒久添利</w:t>
      </w:r>
      <w:r>
        <w:rPr>
          <w:kern w:val="0"/>
          <w:szCs w:val="21"/>
        </w:rPr>
        <w:t>1</w:t>
      </w:r>
      <w:r>
        <w:rPr>
          <w:kern w:val="0"/>
          <w:szCs w:val="21"/>
        </w:rPr>
        <w:t>年定期开放债券型证券投资基金托管协议》；</w:t>
      </w:r>
    </w:p>
    <w:p w:rsidR="0040140E" w:rsidRDefault="009477A8">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4601"/>
      <w:r w:rsidRPr="007D44A6">
        <w:rPr>
          <w:rFonts w:ascii="宋体" w:hAnsi="宋体" w:cs="Arial"/>
          <w:color w:val="000000"/>
          <w:sz w:val="21"/>
          <w:szCs w:val="21"/>
        </w:rPr>
        <w:t>12.2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0" w:name="_Toc48654602"/>
      <w:r w:rsidRPr="007D44A6">
        <w:rPr>
          <w:rFonts w:ascii="宋体" w:hAnsi="宋体" w:cs="Arial"/>
          <w:color w:val="000000"/>
          <w:sz w:val="21"/>
          <w:szCs w:val="21"/>
        </w:rPr>
        <w:t>12.3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10"/>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B034F2">
      <w:rPr>
        <w:noProof/>
        <w:kern w:val="0"/>
        <w:szCs w:val="21"/>
      </w:rPr>
      <w:t>39</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B034F2">
      <w:rPr>
        <w:noProof/>
        <w:kern w:val="0"/>
        <w:szCs w:val="21"/>
      </w:rPr>
      <w:t>47</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易方达恒久添利</w:t>
    </w:r>
    <w:r w:rsidRPr="005044DD">
      <w:rPr>
        <w:szCs w:val="21"/>
      </w:rPr>
      <w:t>1</w:t>
    </w:r>
    <w:r w:rsidRPr="005044DD">
      <w:rPr>
        <w:szCs w:val="21"/>
      </w:rPr>
      <w:t>年定期开放债券型证券投资基金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44BB"/>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40E"/>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7A8"/>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34F2"/>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2B58F921-6757-4FC4-8207-F5FED3FB7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BF6665C-41A7-40AB-A311-C6EC1E47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6030</Words>
  <Characters>34372</Characters>
  <Application>Microsoft Office Word</Application>
  <DocSecurity>0</DocSecurity>
  <Lines>286</Lines>
  <Paragraphs>80</Paragraphs>
  <ScaleCrop>false</ScaleCrop>
  <Company/>
  <LinksUpToDate>false</LinksUpToDate>
  <CharactersWithSpaces>40322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2020-08-17T12:21:00Z</dcterms:created>
  <dcterms:modified xsi:type="dcterms:W3CDTF">2020-08-19T02:22:00Z</dcterms:modified>
</cp:coreProperties>
</file>