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易方达改革红利混合型证券投资基金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中国邮政储蓄银行股份有限公司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5458"/>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5459"/>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C932E3" w:rsidRDefault="00F041BC">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C932E3" w:rsidRDefault="00F041BC">
      <w:pPr>
        <w:ind w:firstLineChars="200" w:firstLine="420"/>
        <w:rPr>
          <w:szCs w:val="21"/>
        </w:rPr>
      </w:pPr>
      <w:r>
        <w:rPr>
          <w:color w:val="000000"/>
          <w:szCs w:val="21"/>
        </w:rPr>
        <w:t>基金托管人中国邮政储蓄银行股份有限公司根据本基金合同规定，于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C932E3" w:rsidRDefault="00F041BC">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C932E3" w:rsidRDefault="00F041BC">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C932E3" w:rsidRDefault="00F041BC">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5460"/>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D72956"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5458" w:history="1">
        <w:r w:rsidR="00D72956" w:rsidRPr="004C6678">
          <w:rPr>
            <w:rStyle w:val="a8"/>
            <w:rFonts w:ascii="宋体" w:hAnsi="宋体" w:cs="Arial"/>
            <w:bCs/>
            <w:noProof/>
          </w:rPr>
          <w:t>1</w:t>
        </w:r>
        <w:r w:rsidR="00D72956" w:rsidRPr="004C6678">
          <w:rPr>
            <w:rStyle w:val="a8"/>
            <w:rFonts w:ascii="宋体" w:hAnsi="宋体" w:cs="Arial" w:hint="eastAsia"/>
            <w:bCs/>
            <w:noProof/>
          </w:rPr>
          <w:t>重要提示及目录</w:t>
        </w:r>
        <w:r w:rsidR="00D72956">
          <w:rPr>
            <w:noProof/>
            <w:webHidden/>
          </w:rPr>
          <w:tab/>
        </w:r>
        <w:r w:rsidR="00D72956">
          <w:rPr>
            <w:noProof/>
            <w:webHidden/>
          </w:rPr>
          <w:fldChar w:fldCharType="begin"/>
        </w:r>
        <w:r w:rsidR="00D72956">
          <w:rPr>
            <w:noProof/>
            <w:webHidden/>
          </w:rPr>
          <w:instrText xml:space="preserve"> PAGEREF _Toc48655458 \h </w:instrText>
        </w:r>
        <w:r w:rsidR="00D72956">
          <w:rPr>
            <w:noProof/>
            <w:webHidden/>
          </w:rPr>
        </w:r>
        <w:r w:rsidR="00D72956">
          <w:rPr>
            <w:noProof/>
            <w:webHidden/>
          </w:rPr>
          <w:fldChar w:fldCharType="separate"/>
        </w:r>
        <w:r w:rsidR="00D72956">
          <w:rPr>
            <w:noProof/>
            <w:webHidden/>
          </w:rPr>
          <w:t>2</w:t>
        </w:r>
        <w:r w:rsidR="00D72956">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59" w:history="1">
        <w:r w:rsidRPr="004C6678">
          <w:rPr>
            <w:rStyle w:val="a8"/>
            <w:noProof/>
          </w:rPr>
          <w:t>1.1</w:t>
        </w:r>
        <w:r>
          <w:rPr>
            <w:rFonts w:asciiTheme="minorHAnsi" w:eastAsiaTheme="minorEastAsia" w:hAnsiTheme="minorHAnsi" w:cstheme="minorBidi"/>
            <w:noProof/>
            <w:kern w:val="2"/>
            <w:szCs w:val="22"/>
          </w:rPr>
          <w:tab/>
        </w:r>
        <w:r w:rsidRPr="004C6678">
          <w:rPr>
            <w:rStyle w:val="a8"/>
            <w:rFonts w:hint="eastAsia"/>
            <w:noProof/>
          </w:rPr>
          <w:t>重要提示</w:t>
        </w:r>
        <w:r>
          <w:rPr>
            <w:noProof/>
            <w:webHidden/>
          </w:rPr>
          <w:tab/>
        </w:r>
        <w:r>
          <w:rPr>
            <w:noProof/>
            <w:webHidden/>
          </w:rPr>
          <w:fldChar w:fldCharType="begin"/>
        </w:r>
        <w:r>
          <w:rPr>
            <w:noProof/>
            <w:webHidden/>
          </w:rPr>
          <w:instrText xml:space="preserve"> PAGEREF _Toc48655459 \h </w:instrText>
        </w:r>
        <w:r>
          <w:rPr>
            <w:noProof/>
            <w:webHidden/>
          </w:rPr>
        </w:r>
        <w:r>
          <w:rPr>
            <w:noProof/>
            <w:webHidden/>
          </w:rPr>
          <w:fldChar w:fldCharType="separate"/>
        </w:r>
        <w:r>
          <w:rPr>
            <w:noProof/>
            <w:webHidden/>
          </w:rPr>
          <w:t>2</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0" w:history="1">
        <w:r w:rsidRPr="004C6678">
          <w:rPr>
            <w:rStyle w:val="a8"/>
            <w:noProof/>
          </w:rPr>
          <w:t>1.2</w:t>
        </w:r>
        <w:r>
          <w:rPr>
            <w:rFonts w:asciiTheme="minorHAnsi" w:eastAsiaTheme="minorEastAsia" w:hAnsiTheme="minorHAnsi" w:cstheme="minorBidi"/>
            <w:noProof/>
            <w:kern w:val="2"/>
            <w:szCs w:val="22"/>
          </w:rPr>
          <w:tab/>
        </w:r>
        <w:r w:rsidRPr="004C6678">
          <w:rPr>
            <w:rStyle w:val="a8"/>
            <w:rFonts w:hint="eastAsia"/>
            <w:noProof/>
          </w:rPr>
          <w:t>目录</w:t>
        </w:r>
        <w:r>
          <w:rPr>
            <w:noProof/>
            <w:webHidden/>
          </w:rPr>
          <w:tab/>
        </w:r>
        <w:r>
          <w:rPr>
            <w:noProof/>
            <w:webHidden/>
          </w:rPr>
          <w:fldChar w:fldCharType="begin"/>
        </w:r>
        <w:r>
          <w:rPr>
            <w:noProof/>
            <w:webHidden/>
          </w:rPr>
          <w:instrText xml:space="preserve"> PAGEREF _Toc48655460 \h </w:instrText>
        </w:r>
        <w:r>
          <w:rPr>
            <w:noProof/>
            <w:webHidden/>
          </w:rPr>
        </w:r>
        <w:r>
          <w:rPr>
            <w:noProof/>
            <w:webHidden/>
          </w:rPr>
          <w:fldChar w:fldCharType="separate"/>
        </w:r>
        <w:r>
          <w:rPr>
            <w:noProof/>
            <w:webHidden/>
          </w:rPr>
          <w:t>3</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61" w:history="1">
        <w:r w:rsidRPr="004C6678">
          <w:rPr>
            <w:rStyle w:val="a8"/>
            <w:rFonts w:ascii="宋体" w:hAnsi="宋体" w:cs="Arial"/>
            <w:bCs/>
            <w:noProof/>
          </w:rPr>
          <w:t>2</w:t>
        </w:r>
        <w:r w:rsidRPr="004C6678">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_Toc48655461 \h </w:instrText>
        </w:r>
        <w:r>
          <w:rPr>
            <w:noProof/>
            <w:webHidden/>
          </w:rPr>
        </w:r>
        <w:r>
          <w:rPr>
            <w:noProof/>
            <w:webHidden/>
          </w:rPr>
          <w:fldChar w:fldCharType="separate"/>
        </w:r>
        <w:r>
          <w:rPr>
            <w:noProof/>
            <w:webHidden/>
          </w:rPr>
          <w:t>5</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2" w:history="1">
        <w:r w:rsidRPr="004C6678">
          <w:rPr>
            <w:rStyle w:val="a8"/>
            <w:rFonts w:ascii="宋体" w:hAnsi="宋体" w:cs="Arial"/>
            <w:noProof/>
          </w:rPr>
          <w:t>2.1</w:t>
        </w:r>
        <w:r>
          <w:rPr>
            <w:rFonts w:asciiTheme="minorHAnsi" w:eastAsiaTheme="minorEastAsia" w:hAnsiTheme="minorHAnsi" w:cstheme="minorBidi"/>
            <w:noProof/>
            <w:kern w:val="2"/>
            <w:szCs w:val="22"/>
          </w:rPr>
          <w:tab/>
        </w:r>
        <w:r w:rsidRPr="004C6678">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_Toc48655462 \h </w:instrText>
        </w:r>
        <w:r>
          <w:rPr>
            <w:noProof/>
            <w:webHidden/>
          </w:rPr>
        </w:r>
        <w:r>
          <w:rPr>
            <w:noProof/>
            <w:webHidden/>
          </w:rPr>
          <w:fldChar w:fldCharType="separate"/>
        </w:r>
        <w:r>
          <w:rPr>
            <w:noProof/>
            <w:webHidden/>
          </w:rPr>
          <w:t>5</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3" w:history="1">
        <w:r w:rsidRPr="004C6678">
          <w:rPr>
            <w:rStyle w:val="a8"/>
            <w:rFonts w:ascii="宋体" w:hAnsi="宋体" w:cs="Arial"/>
            <w:noProof/>
          </w:rPr>
          <w:t>2.2</w:t>
        </w:r>
        <w:r>
          <w:rPr>
            <w:rFonts w:asciiTheme="minorHAnsi" w:eastAsiaTheme="minorEastAsia" w:hAnsiTheme="minorHAnsi" w:cstheme="minorBidi"/>
            <w:noProof/>
            <w:kern w:val="2"/>
            <w:szCs w:val="22"/>
          </w:rPr>
          <w:tab/>
        </w:r>
        <w:r w:rsidRPr="004C6678">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_Toc48655463 \h </w:instrText>
        </w:r>
        <w:r>
          <w:rPr>
            <w:noProof/>
            <w:webHidden/>
          </w:rPr>
        </w:r>
        <w:r>
          <w:rPr>
            <w:noProof/>
            <w:webHidden/>
          </w:rPr>
          <w:fldChar w:fldCharType="separate"/>
        </w:r>
        <w:r>
          <w:rPr>
            <w:noProof/>
            <w:webHidden/>
          </w:rPr>
          <w:t>5</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4" w:history="1">
        <w:r w:rsidRPr="004C6678">
          <w:rPr>
            <w:rStyle w:val="a8"/>
            <w:rFonts w:ascii="宋体" w:hAnsi="宋体" w:cs="Arial"/>
            <w:noProof/>
          </w:rPr>
          <w:t>2.3</w:t>
        </w:r>
        <w:r>
          <w:rPr>
            <w:rFonts w:asciiTheme="minorHAnsi" w:eastAsiaTheme="minorEastAsia" w:hAnsiTheme="minorHAnsi" w:cstheme="minorBidi"/>
            <w:noProof/>
            <w:kern w:val="2"/>
            <w:szCs w:val="22"/>
          </w:rPr>
          <w:tab/>
        </w:r>
        <w:r w:rsidRPr="004C6678">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_Toc48655464 \h </w:instrText>
        </w:r>
        <w:r>
          <w:rPr>
            <w:noProof/>
            <w:webHidden/>
          </w:rPr>
        </w:r>
        <w:r>
          <w:rPr>
            <w:noProof/>
            <w:webHidden/>
          </w:rPr>
          <w:fldChar w:fldCharType="separate"/>
        </w:r>
        <w:r>
          <w:rPr>
            <w:noProof/>
            <w:webHidden/>
          </w:rPr>
          <w:t>5</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5" w:history="1">
        <w:r w:rsidRPr="004C6678">
          <w:rPr>
            <w:rStyle w:val="a8"/>
            <w:rFonts w:ascii="宋体" w:hAnsi="宋体" w:cs="Arial"/>
            <w:noProof/>
          </w:rPr>
          <w:t>2.4</w:t>
        </w:r>
        <w:r>
          <w:rPr>
            <w:rFonts w:asciiTheme="minorHAnsi" w:eastAsiaTheme="minorEastAsia" w:hAnsiTheme="minorHAnsi" w:cstheme="minorBidi"/>
            <w:noProof/>
            <w:kern w:val="2"/>
            <w:szCs w:val="22"/>
          </w:rPr>
          <w:tab/>
        </w:r>
        <w:r w:rsidRPr="004C6678">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_Toc48655465 \h </w:instrText>
        </w:r>
        <w:r>
          <w:rPr>
            <w:noProof/>
            <w:webHidden/>
          </w:rPr>
        </w:r>
        <w:r>
          <w:rPr>
            <w:noProof/>
            <w:webHidden/>
          </w:rPr>
          <w:fldChar w:fldCharType="separate"/>
        </w:r>
        <w:r>
          <w:rPr>
            <w:noProof/>
            <w:webHidden/>
          </w:rPr>
          <w:t>6</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6" w:history="1">
        <w:r w:rsidRPr="004C6678">
          <w:rPr>
            <w:rStyle w:val="a8"/>
            <w:rFonts w:ascii="宋体" w:hAnsi="宋体" w:cs="Arial"/>
            <w:noProof/>
          </w:rPr>
          <w:t>2.5</w:t>
        </w:r>
        <w:r>
          <w:rPr>
            <w:rFonts w:asciiTheme="minorHAnsi" w:eastAsiaTheme="minorEastAsia" w:hAnsiTheme="minorHAnsi" w:cstheme="minorBidi"/>
            <w:noProof/>
            <w:kern w:val="2"/>
            <w:szCs w:val="22"/>
          </w:rPr>
          <w:tab/>
        </w:r>
        <w:r w:rsidRPr="004C6678">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_Toc48655466 \h </w:instrText>
        </w:r>
        <w:r>
          <w:rPr>
            <w:noProof/>
            <w:webHidden/>
          </w:rPr>
        </w:r>
        <w:r>
          <w:rPr>
            <w:noProof/>
            <w:webHidden/>
          </w:rPr>
          <w:fldChar w:fldCharType="separate"/>
        </w:r>
        <w:r>
          <w:rPr>
            <w:noProof/>
            <w:webHidden/>
          </w:rPr>
          <w:t>6</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67" w:history="1">
        <w:r w:rsidRPr="004C6678">
          <w:rPr>
            <w:rStyle w:val="a8"/>
            <w:rFonts w:ascii="宋体" w:hAnsi="宋体" w:cs="Arial"/>
            <w:bCs/>
            <w:noProof/>
          </w:rPr>
          <w:t>3</w:t>
        </w:r>
        <w:r w:rsidRPr="004C6678">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_Toc48655467 \h </w:instrText>
        </w:r>
        <w:r>
          <w:rPr>
            <w:noProof/>
            <w:webHidden/>
          </w:rPr>
        </w:r>
        <w:r>
          <w:rPr>
            <w:noProof/>
            <w:webHidden/>
          </w:rPr>
          <w:fldChar w:fldCharType="separate"/>
        </w:r>
        <w:r>
          <w:rPr>
            <w:noProof/>
            <w:webHidden/>
          </w:rPr>
          <w:t>6</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8" w:history="1">
        <w:r w:rsidRPr="004C6678">
          <w:rPr>
            <w:rStyle w:val="a8"/>
            <w:rFonts w:ascii="宋体" w:hAnsi="宋体" w:cs="Arial"/>
            <w:noProof/>
          </w:rPr>
          <w:t>3.1</w:t>
        </w:r>
        <w:r>
          <w:rPr>
            <w:rFonts w:asciiTheme="minorHAnsi" w:eastAsiaTheme="minorEastAsia" w:hAnsiTheme="minorHAnsi" w:cstheme="minorBidi"/>
            <w:noProof/>
            <w:kern w:val="2"/>
            <w:szCs w:val="22"/>
          </w:rPr>
          <w:tab/>
        </w:r>
        <w:r w:rsidRPr="004C6678">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_Toc48655468 \h </w:instrText>
        </w:r>
        <w:r>
          <w:rPr>
            <w:noProof/>
            <w:webHidden/>
          </w:rPr>
        </w:r>
        <w:r>
          <w:rPr>
            <w:noProof/>
            <w:webHidden/>
          </w:rPr>
          <w:fldChar w:fldCharType="separate"/>
        </w:r>
        <w:r>
          <w:rPr>
            <w:noProof/>
            <w:webHidden/>
          </w:rPr>
          <w:t>6</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69" w:history="1">
        <w:r w:rsidRPr="004C6678">
          <w:rPr>
            <w:rStyle w:val="a8"/>
            <w:rFonts w:ascii="宋体" w:hAnsi="宋体" w:cs="Arial"/>
            <w:noProof/>
          </w:rPr>
          <w:t>3.2</w:t>
        </w:r>
        <w:r>
          <w:rPr>
            <w:rFonts w:asciiTheme="minorHAnsi" w:eastAsiaTheme="minorEastAsia" w:hAnsiTheme="minorHAnsi" w:cstheme="minorBidi"/>
            <w:noProof/>
            <w:kern w:val="2"/>
            <w:szCs w:val="22"/>
          </w:rPr>
          <w:tab/>
        </w:r>
        <w:r w:rsidRPr="004C6678">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_Toc48655469 \h </w:instrText>
        </w:r>
        <w:r>
          <w:rPr>
            <w:noProof/>
            <w:webHidden/>
          </w:rPr>
        </w:r>
        <w:r>
          <w:rPr>
            <w:noProof/>
            <w:webHidden/>
          </w:rPr>
          <w:fldChar w:fldCharType="separate"/>
        </w:r>
        <w:r>
          <w:rPr>
            <w:noProof/>
            <w:webHidden/>
          </w:rPr>
          <w:t>7</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70" w:history="1">
        <w:r w:rsidRPr="004C6678">
          <w:rPr>
            <w:rStyle w:val="a8"/>
            <w:rFonts w:ascii="宋体" w:hAnsi="宋体" w:cs="Arial"/>
            <w:bCs/>
            <w:noProof/>
          </w:rPr>
          <w:t>4</w:t>
        </w:r>
        <w:r w:rsidRPr="004C6678">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_Toc48655470 \h </w:instrText>
        </w:r>
        <w:r>
          <w:rPr>
            <w:noProof/>
            <w:webHidden/>
          </w:rPr>
        </w:r>
        <w:r>
          <w:rPr>
            <w:noProof/>
            <w:webHidden/>
          </w:rPr>
          <w:fldChar w:fldCharType="separate"/>
        </w:r>
        <w:r>
          <w:rPr>
            <w:noProof/>
            <w:webHidden/>
          </w:rPr>
          <w:t>8</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1" w:history="1">
        <w:r w:rsidRPr="004C6678">
          <w:rPr>
            <w:rStyle w:val="a8"/>
            <w:rFonts w:ascii="宋体" w:hAnsi="宋体" w:cs="Arial"/>
            <w:noProof/>
          </w:rPr>
          <w:t>4.1</w:t>
        </w:r>
        <w:r>
          <w:rPr>
            <w:rFonts w:asciiTheme="minorHAnsi" w:eastAsiaTheme="minorEastAsia" w:hAnsiTheme="minorHAnsi" w:cstheme="minorBidi"/>
            <w:noProof/>
            <w:kern w:val="2"/>
            <w:szCs w:val="22"/>
          </w:rPr>
          <w:tab/>
        </w:r>
        <w:r w:rsidRPr="004C6678">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_Toc48655471 \h </w:instrText>
        </w:r>
        <w:r>
          <w:rPr>
            <w:noProof/>
            <w:webHidden/>
          </w:rPr>
        </w:r>
        <w:r>
          <w:rPr>
            <w:noProof/>
            <w:webHidden/>
          </w:rPr>
          <w:fldChar w:fldCharType="separate"/>
        </w:r>
        <w:r>
          <w:rPr>
            <w:noProof/>
            <w:webHidden/>
          </w:rPr>
          <w:t>8</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2" w:history="1">
        <w:r w:rsidRPr="004C6678">
          <w:rPr>
            <w:rStyle w:val="a8"/>
            <w:rFonts w:ascii="宋体" w:hAnsi="宋体" w:cs="Arial"/>
            <w:noProof/>
          </w:rPr>
          <w:t>4.2</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_Toc48655472 \h </w:instrText>
        </w:r>
        <w:r>
          <w:rPr>
            <w:noProof/>
            <w:webHidden/>
          </w:rPr>
        </w:r>
        <w:r>
          <w:rPr>
            <w:noProof/>
            <w:webHidden/>
          </w:rPr>
          <w:fldChar w:fldCharType="separate"/>
        </w:r>
        <w:r>
          <w:rPr>
            <w:noProof/>
            <w:webHidden/>
          </w:rPr>
          <w:t>9</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3" w:history="1">
        <w:r w:rsidRPr="004C6678">
          <w:rPr>
            <w:rStyle w:val="a8"/>
            <w:rFonts w:ascii="宋体" w:hAnsi="宋体" w:cs="Arial"/>
            <w:noProof/>
          </w:rPr>
          <w:t>4.3</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_Toc48655473 \h </w:instrText>
        </w:r>
        <w:r>
          <w:rPr>
            <w:noProof/>
            <w:webHidden/>
          </w:rPr>
        </w:r>
        <w:r>
          <w:rPr>
            <w:noProof/>
            <w:webHidden/>
          </w:rPr>
          <w:fldChar w:fldCharType="separate"/>
        </w:r>
        <w:r>
          <w:rPr>
            <w:noProof/>
            <w:webHidden/>
          </w:rPr>
          <w:t>9</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4" w:history="1">
        <w:r w:rsidRPr="004C6678">
          <w:rPr>
            <w:rStyle w:val="a8"/>
            <w:rFonts w:ascii="宋体" w:hAnsi="宋体" w:cs="Arial"/>
            <w:noProof/>
          </w:rPr>
          <w:t>4.4</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_Toc48655474 \h </w:instrText>
        </w:r>
        <w:r>
          <w:rPr>
            <w:noProof/>
            <w:webHidden/>
          </w:rPr>
        </w:r>
        <w:r>
          <w:rPr>
            <w:noProof/>
            <w:webHidden/>
          </w:rPr>
          <w:fldChar w:fldCharType="separate"/>
        </w:r>
        <w:r>
          <w:rPr>
            <w:noProof/>
            <w:webHidden/>
          </w:rPr>
          <w:t>9</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5" w:history="1">
        <w:r w:rsidRPr="004C6678">
          <w:rPr>
            <w:rStyle w:val="a8"/>
            <w:rFonts w:ascii="宋体" w:hAnsi="宋体" w:cs="Arial"/>
            <w:noProof/>
          </w:rPr>
          <w:t>4.5</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_Toc48655475 \h </w:instrText>
        </w:r>
        <w:r>
          <w:rPr>
            <w:noProof/>
            <w:webHidden/>
          </w:rPr>
        </w:r>
        <w:r>
          <w:rPr>
            <w:noProof/>
            <w:webHidden/>
          </w:rPr>
          <w:fldChar w:fldCharType="separate"/>
        </w:r>
        <w:r>
          <w:rPr>
            <w:noProof/>
            <w:webHidden/>
          </w:rPr>
          <w:t>10</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6" w:history="1">
        <w:r w:rsidRPr="004C6678">
          <w:rPr>
            <w:rStyle w:val="a8"/>
            <w:rFonts w:ascii="宋体" w:hAnsi="宋体" w:cs="Arial"/>
            <w:noProof/>
          </w:rPr>
          <w:t>4.6</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_Toc48655476 \h </w:instrText>
        </w:r>
        <w:r>
          <w:rPr>
            <w:noProof/>
            <w:webHidden/>
          </w:rPr>
        </w:r>
        <w:r>
          <w:rPr>
            <w:noProof/>
            <w:webHidden/>
          </w:rPr>
          <w:fldChar w:fldCharType="separate"/>
        </w:r>
        <w:r>
          <w:rPr>
            <w:noProof/>
            <w:webHidden/>
          </w:rPr>
          <w:t>11</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7" w:history="1">
        <w:r w:rsidRPr="004C6678">
          <w:rPr>
            <w:rStyle w:val="a8"/>
            <w:rFonts w:ascii="宋体" w:hAnsi="宋体" w:cs="Arial"/>
            <w:noProof/>
          </w:rPr>
          <w:t>4.7</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_Toc48655477 \h </w:instrText>
        </w:r>
        <w:r>
          <w:rPr>
            <w:noProof/>
            <w:webHidden/>
          </w:rPr>
        </w:r>
        <w:r>
          <w:rPr>
            <w:noProof/>
            <w:webHidden/>
          </w:rPr>
          <w:fldChar w:fldCharType="separate"/>
        </w:r>
        <w:r>
          <w:rPr>
            <w:noProof/>
            <w:webHidden/>
          </w:rPr>
          <w:t>11</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78" w:history="1">
        <w:r w:rsidRPr="004C6678">
          <w:rPr>
            <w:rStyle w:val="a8"/>
            <w:rFonts w:ascii="宋体" w:hAnsi="宋体" w:cs="Arial"/>
            <w:bCs/>
            <w:noProof/>
          </w:rPr>
          <w:t>5</w:t>
        </w:r>
        <w:r w:rsidRPr="004C6678">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_Toc48655478 \h </w:instrText>
        </w:r>
        <w:r>
          <w:rPr>
            <w:noProof/>
            <w:webHidden/>
          </w:rPr>
        </w:r>
        <w:r>
          <w:rPr>
            <w:noProof/>
            <w:webHidden/>
          </w:rPr>
          <w:fldChar w:fldCharType="separate"/>
        </w:r>
        <w:r>
          <w:rPr>
            <w:noProof/>
            <w:webHidden/>
          </w:rPr>
          <w:t>11</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79" w:history="1">
        <w:r w:rsidRPr="004C6678">
          <w:rPr>
            <w:rStyle w:val="a8"/>
            <w:rFonts w:ascii="宋体" w:hAnsi="宋体" w:cs="Arial"/>
            <w:noProof/>
          </w:rPr>
          <w:t>5.1</w:t>
        </w:r>
        <w:r>
          <w:rPr>
            <w:rFonts w:asciiTheme="minorHAnsi" w:eastAsiaTheme="minorEastAsia" w:hAnsiTheme="minorHAnsi" w:cstheme="minorBidi"/>
            <w:noProof/>
            <w:kern w:val="2"/>
            <w:szCs w:val="22"/>
          </w:rPr>
          <w:tab/>
        </w:r>
        <w:r w:rsidRPr="004C6678">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_Toc48655479 \h </w:instrText>
        </w:r>
        <w:r>
          <w:rPr>
            <w:noProof/>
            <w:webHidden/>
          </w:rPr>
        </w:r>
        <w:r>
          <w:rPr>
            <w:noProof/>
            <w:webHidden/>
          </w:rPr>
          <w:fldChar w:fldCharType="separate"/>
        </w:r>
        <w:r>
          <w:rPr>
            <w:noProof/>
            <w:webHidden/>
          </w:rPr>
          <w:t>11</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0" w:history="1">
        <w:r w:rsidRPr="004C6678">
          <w:rPr>
            <w:rStyle w:val="a8"/>
            <w:rFonts w:ascii="宋体" w:hAnsi="宋体" w:cs="Arial"/>
            <w:noProof/>
          </w:rPr>
          <w:t>5.2</w:t>
        </w:r>
        <w:r>
          <w:rPr>
            <w:rFonts w:asciiTheme="minorHAnsi" w:eastAsiaTheme="minorEastAsia" w:hAnsiTheme="minorHAnsi" w:cstheme="minorBidi"/>
            <w:noProof/>
            <w:kern w:val="2"/>
            <w:szCs w:val="22"/>
          </w:rPr>
          <w:tab/>
        </w:r>
        <w:r w:rsidRPr="004C6678">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_Toc48655480 \h </w:instrText>
        </w:r>
        <w:r>
          <w:rPr>
            <w:noProof/>
            <w:webHidden/>
          </w:rPr>
        </w:r>
        <w:r>
          <w:rPr>
            <w:noProof/>
            <w:webHidden/>
          </w:rPr>
          <w:fldChar w:fldCharType="separate"/>
        </w:r>
        <w:r>
          <w:rPr>
            <w:noProof/>
            <w:webHidden/>
          </w:rPr>
          <w:t>11</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1" w:history="1">
        <w:r w:rsidRPr="004C6678">
          <w:rPr>
            <w:rStyle w:val="a8"/>
            <w:rFonts w:ascii="宋体" w:hAnsi="宋体" w:cs="Arial"/>
            <w:noProof/>
          </w:rPr>
          <w:t>5.3</w:t>
        </w:r>
        <w:r>
          <w:rPr>
            <w:rFonts w:asciiTheme="minorHAnsi" w:eastAsiaTheme="minorEastAsia" w:hAnsiTheme="minorHAnsi" w:cstheme="minorBidi"/>
            <w:noProof/>
            <w:kern w:val="2"/>
            <w:szCs w:val="22"/>
          </w:rPr>
          <w:tab/>
        </w:r>
        <w:r w:rsidRPr="004C6678">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_Toc48655481 \h </w:instrText>
        </w:r>
        <w:r>
          <w:rPr>
            <w:noProof/>
            <w:webHidden/>
          </w:rPr>
        </w:r>
        <w:r>
          <w:rPr>
            <w:noProof/>
            <w:webHidden/>
          </w:rPr>
          <w:fldChar w:fldCharType="separate"/>
        </w:r>
        <w:r>
          <w:rPr>
            <w:noProof/>
            <w:webHidden/>
          </w:rPr>
          <w:t>12</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82" w:history="1">
        <w:r w:rsidRPr="004C6678">
          <w:rPr>
            <w:rStyle w:val="a8"/>
            <w:rFonts w:ascii="宋体" w:hAnsi="宋体" w:cs="Arial"/>
            <w:bCs/>
            <w:noProof/>
          </w:rPr>
          <w:t>6</w:t>
        </w:r>
        <w:r w:rsidRPr="004C6678">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_Toc48655482 \h </w:instrText>
        </w:r>
        <w:r>
          <w:rPr>
            <w:noProof/>
            <w:webHidden/>
          </w:rPr>
        </w:r>
        <w:r>
          <w:rPr>
            <w:noProof/>
            <w:webHidden/>
          </w:rPr>
          <w:fldChar w:fldCharType="separate"/>
        </w:r>
        <w:r>
          <w:rPr>
            <w:noProof/>
            <w:webHidden/>
          </w:rPr>
          <w:t>12</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3" w:history="1">
        <w:r w:rsidRPr="004C6678">
          <w:rPr>
            <w:rStyle w:val="a8"/>
            <w:rFonts w:ascii="宋体" w:hAnsi="宋体" w:cs="Arial"/>
            <w:noProof/>
          </w:rPr>
          <w:t>6.1</w:t>
        </w:r>
        <w:r>
          <w:rPr>
            <w:rFonts w:asciiTheme="minorHAnsi" w:eastAsiaTheme="minorEastAsia" w:hAnsiTheme="minorHAnsi" w:cstheme="minorBidi"/>
            <w:noProof/>
            <w:kern w:val="2"/>
            <w:szCs w:val="22"/>
          </w:rPr>
          <w:tab/>
        </w:r>
        <w:r w:rsidRPr="004C6678">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_Toc48655483 \h </w:instrText>
        </w:r>
        <w:r>
          <w:rPr>
            <w:noProof/>
            <w:webHidden/>
          </w:rPr>
        </w:r>
        <w:r>
          <w:rPr>
            <w:noProof/>
            <w:webHidden/>
          </w:rPr>
          <w:fldChar w:fldCharType="separate"/>
        </w:r>
        <w:r>
          <w:rPr>
            <w:noProof/>
            <w:webHidden/>
          </w:rPr>
          <w:t>12</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4" w:history="1">
        <w:r w:rsidRPr="004C6678">
          <w:rPr>
            <w:rStyle w:val="a8"/>
            <w:rFonts w:ascii="宋体" w:hAnsi="宋体" w:cs="Arial"/>
            <w:noProof/>
          </w:rPr>
          <w:t>6.2</w:t>
        </w:r>
        <w:r>
          <w:rPr>
            <w:rFonts w:asciiTheme="minorHAnsi" w:eastAsiaTheme="minorEastAsia" w:hAnsiTheme="minorHAnsi" w:cstheme="minorBidi"/>
            <w:noProof/>
            <w:kern w:val="2"/>
            <w:szCs w:val="22"/>
          </w:rPr>
          <w:tab/>
        </w:r>
        <w:r w:rsidRPr="004C6678">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_Toc48655484 \h </w:instrText>
        </w:r>
        <w:r>
          <w:rPr>
            <w:noProof/>
            <w:webHidden/>
          </w:rPr>
        </w:r>
        <w:r>
          <w:rPr>
            <w:noProof/>
            <w:webHidden/>
          </w:rPr>
          <w:fldChar w:fldCharType="separate"/>
        </w:r>
        <w:r>
          <w:rPr>
            <w:noProof/>
            <w:webHidden/>
          </w:rPr>
          <w:t>13</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5" w:history="1">
        <w:r w:rsidRPr="004C6678">
          <w:rPr>
            <w:rStyle w:val="a8"/>
            <w:rFonts w:ascii="宋体" w:hAnsi="宋体" w:cs="Arial"/>
            <w:noProof/>
          </w:rPr>
          <w:t>6.3</w:t>
        </w:r>
        <w:r>
          <w:rPr>
            <w:rFonts w:asciiTheme="minorHAnsi" w:eastAsiaTheme="minorEastAsia" w:hAnsiTheme="minorHAnsi" w:cstheme="minorBidi"/>
            <w:noProof/>
            <w:kern w:val="2"/>
            <w:szCs w:val="22"/>
          </w:rPr>
          <w:tab/>
        </w:r>
        <w:r w:rsidRPr="004C6678">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_Toc48655485 \h </w:instrText>
        </w:r>
        <w:r>
          <w:rPr>
            <w:noProof/>
            <w:webHidden/>
          </w:rPr>
        </w:r>
        <w:r>
          <w:rPr>
            <w:noProof/>
            <w:webHidden/>
          </w:rPr>
          <w:fldChar w:fldCharType="separate"/>
        </w:r>
        <w:r>
          <w:rPr>
            <w:noProof/>
            <w:webHidden/>
          </w:rPr>
          <w:t>14</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6" w:history="1">
        <w:r w:rsidRPr="004C6678">
          <w:rPr>
            <w:rStyle w:val="a8"/>
            <w:rFonts w:ascii="宋体" w:hAnsi="宋体" w:cs="Arial"/>
            <w:noProof/>
          </w:rPr>
          <w:t>6.4</w:t>
        </w:r>
        <w:r>
          <w:rPr>
            <w:rFonts w:asciiTheme="minorHAnsi" w:eastAsiaTheme="minorEastAsia" w:hAnsiTheme="minorHAnsi" w:cstheme="minorBidi"/>
            <w:noProof/>
            <w:kern w:val="2"/>
            <w:szCs w:val="22"/>
          </w:rPr>
          <w:tab/>
        </w:r>
        <w:r w:rsidRPr="004C6678">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_Toc48655486 \h </w:instrText>
        </w:r>
        <w:r>
          <w:rPr>
            <w:noProof/>
            <w:webHidden/>
          </w:rPr>
        </w:r>
        <w:r>
          <w:rPr>
            <w:noProof/>
            <w:webHidden/>
          </w:rPr>
          <w:fldChar w:fldCharType="separate"/>
        </w:r>
        <w:r>
          <w:rPr>
            <w:noProof/>
            <w:webHidden/>
          </w:rPr>
          <w:t>15</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87" w:history="1">
        <w:r w:rsidRPr="004C6678">
          <w:rPr>
            <w:rStyle w:val="a8"/>
            <w:rFonts w:ascii="宋体" w:hAnsi="宋体" w:cs="Arial"/>
            <w:bCs/>
            <w:noProof/>
          </w:rPr>
          <w:t>7</w:t>
        </w:r>
        <w:r w:rsidRPr="004C6678">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_Toc48655487 \h </w:instrText>
        </w:r>
        <w:r>
          <w:rPr>
            <w:noProof/>
            <w:webHidden/>
          </w:rPr>
        </w:r>
        <w:r>
          <w:rPr>
            <w:noProof/>
            <w:webHidden/>
          </w:rPr>
          <w:fldChar w:fldCharType="separate"/>
        </w:r>
        <w:r>
          <w:rPr>
            <w:noProof/>
            <w:webHidden/>
          </w:rPr>
          <w:t>33</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88" w:history="1">
        <w:r w:rsidRPr="004C6678">
          <w:rPr>
            <w:rStyle w:val="a8"/>
            <w:rFonts w:ascii="宋体" w:hAnsi="宋体" w:cs="Arial"/>
            <w:noProof/>
          </w:rPr>
          <w:t>7.1</w:t>
        </w:r>
        <w:r>
          <w:rPr>
            <w:rFonts w:asciiTheme="minorHAnsi" w:eastAsiaTheme="minorEastAsia" w:hAnsiTheme="minorHAnsi" w:cstheme="minorBidi"/>
            <w:noProof/>
            <w:kern w:val="2"/>
            <w:szCs w:val="22"/>
          </w:rPr>
          <w:tab/>
        </w:r>
        <w:r w:rsidRPr="004C6678">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_Toc48655488 \h </w:instrText>
        </w:r>
        <w:r>
          <w:rPr>
            <w:noProof/>
            <w:webHidden/>
          </w:rPr>
        </w:r>
        <w:r>
          <w:rPr>
            <w:noProof/>
            <w:webHidden/>
          </w:rPr>
          <w:fldChar w:fldCharType="separate"/>
        </w:r>
        <w:r>
          <w:rPr>
            <w:noProof/>
            <w:webHidden/>
          </w:rPr>
          <w:t>33</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489" w:history="1">
        <w:r w:rsidRPr="004C6678">
          <w:rPr>
            <w:rStyle w:val="a8"/>
            <w:rFonts w:ascii="宋体" w:cs="Arial"/>
            <w:noProof/>
          </w:rPr>
          <w:t xml:space="preserve">7.2 </w:t>
        </w:r>
        <w:r w:rsidRPr="004C6678">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_Toc48655489 \h </w:instrText>
        </w:r>
        <w:r>
          <w:rPr>
            <w:noProof/>
            <w:webHidden/>
          </w:rPr>
        </w:r>
        <w:r>
          <w:rPr>
            <w:noProof/>
            <w:webHidden/>
          </w:rPr>
          <w:fldChar w:fldCharType="separate"/>
        </w:r>
        <w:r>
          <w:rPr>
            <w:noProof/>
            <w:webHidden/>
          </w:rPr>
          <w:t>33</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0" w:history="1">
        <w:r w:rsidRPr="004C6678">
          <w:rPr>
            <w:rStyle w:val="a8"/>
            <w:rFonts w:ascii="宋体" w:hAnsi="宋体" w:cs="Arial"/>
            <w:noProof/>
          </w:rPr>
          <w:t>7.3</w:t>
        </w:r>
        <w:r>
          <w:rPr>
            <w:rFonts w:asciiTheme="minorHAnsi" w:eastAsiaTheme="minorEastAsia" w:hAnsiTheme="minorHAnsi" w:cstheme="minorBidi"/>
            <w:noProof/>
            <w:kern w:val="2"/>
            <w:szCs w:val="22"/>
          </w:rPr>
          <w:tab/>
        </w:r>
        <w:r w:rsidRPr="004C6678">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_Toc48655490 \h </w:instrText>
        </w:r>
        <w:r>
          <w:rPr>
            <w:noProof/>
            <w:webHidden/>
          </w:rPr>
        </w:r>
        <w:r>
          <w:rPr>
            <w:noProof/>
            <w:webHidden/>
          </w:rPr>
          <w:fldChar w:fldCharType="separate"/>
        </w:r>
        <w:r>
          <w:rPr>
            <w:noProof/>
            <w:webHidden/>
          </w:rPr>
          <w:t>34</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1" w:history="1">
        <w:r w:rsidRPr="004C6678">
          <w:rPr>
            <w:rStyle w:val="a8"/>
            <w:rFonts w:ascii="宋体" w:hAnsi="宋体" w:cs="Arial"/>
            <w:noProof/>
          </w:rPr>
          <w:t>7.4</w:t>
        </w:r>
        <w:r>
          <w:rPr>
            <w:rFonts w:asciiTheme="minorHAnsi" w:eastAsiaTheme="minorEastAsia" w:hAnsiTheme="minorHAnsi" w:cstheme="minorBidi"/>
            <w:noProof/>
            <w:kern w:val="2"/>
            <w:szCs w:val="22"/>
          </w:rPr>
          <w:tab/>
        </w:r>
        <w:r w:rsidRPr="004C6678">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_Toc48655491 \h </w:instrText>
        </w:r>
        <w:r>
          <w:rPr>
            <w:noProof/>
            <w:webHidden/>
          </w:rPr>
        </w:r>
        <w:r>
          <w:rPr>
            <w:noProof/>
            <w:webHidden/>
          </w:rPr>
          <w:fldChar w:fldCharType="separate"/>
        </w:r>
        <w:r>
          <w:rPr>
            <w:noProof/>
            <w:webHidden/>
          </w:rPr>
          <w:t>35</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2" w:history="1">
        <w:r w:rsidRPr="004C6678">
          <w:rPr>
            <w:rStyle w:val="a8"/>
            <w:rFonts w:ascii="宋体" w:hAnsi="宋体" w:cs="Arial"/>
            <w:noProof/>
          </w:rPr>
          <w:t>7.5</w:t>
        </w:r>
        <w:r>
          <w:rPr>
            <w:rFonts w:asciiTheme="minorHAnsi" w:eastAsiaTheme="minorEastAsia" w:hAnsiTheme="minorHAnsi" w:cstheme="minorBidi"/>
            <w:noProof/>
            <w:kern w:val="2"/>
            <w:szCs w:val="22"/>
          </w:rPr>
          <w:tab/>
        </w:r>
        <w:r w:rsidRPr="004C6678">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_Toc48655492 \h </w:instrText>
        </w:r>
        <w:r>
          <w:rPr>
            <w:noProof/>
            <w:webHidden/>
          </w:rPr>
        </w:r>
        <w:r>
          <w:rPr>
            <w:noProof/>
            <w:webHidden/>
          </w:rPr>
          <w:fldChar w:fldCharType="separate"/>
        </w:r>
        <w:r>
          <w:rPr>
            <w:noProof/>
            <w:webHidden/>
          </w:rPr>
          <w:t>36</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3" w:history="1">
        <w:r w:rsidRPr="004C6678">
          <w:rPr>
            <w:rStyle w:val="a8"/>
            <w:rFonts w:ascii="宋体" w:hAnsi="宋体" w:cs="Arial"/>
            <w:noProof/>
          </w:rPr>
          <w:t>7.6</w:t>
        </w:r>
        <w:r>
          <w:rPr>
            <w:rFonts w:asciiTheme="minorHAnsi" w:eastAsiaTheme="minorEastAsia" w:hAnsiTheme="minorHAnsi" w:cstheme="minorBidi"/>
            <w:noProof/>
            <w:kern w:val="2"/>
            <w:szCs w:val="22"/>
          </w:rPr>
          <w:tab/>
        </w:r>
        <w:r w:rsidRPr="004C6678">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_Toc48655493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4" w:history="1">
        <w:r w:rsidRPr="004C6678">
          <w:rPr>
            <w:rStyle w:val="a8"/>
            <w:rFonts w:ascii="宋体" w:hAnsi="宋体" w:cs="Arial"/>
            <w:noProof/>
          </w:rPr>
          <w:t>7.7</w:t>
        </w:r>
        <w:r>
          <w:rPr>
            <w:rFonts w:asciiTheme="minorHAnsi" w:eastAsiaTheme="minorEastAsia" w:hAnsiTheme="minorHAnsi" w:cstheme="minorBidi"/>
            <w:noProof/>
            <w:kern w:val="2"/>
            <w:szCs w:val="22"/>
          </w:rPr>
          <w:tab/>
        </w:r>
        <w:r w:rsidRPr="004C6678">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_Toc48655494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5" w:history="1">
        <w:r w:rsidRPr="004C6678">
          <w:rPr>
            <w:rStyle w:val="a8"/>
            <w:rFonts w:ascii="宋体" w:hAnsi="宋体" w:cs="Arial"/>
            <w:noProof/>
          </w:rPr>
          <w:t>7.8</w:t>
        </w:r>
        <w:r>
          <w:rPr>
            <w:rFonts w:asciiTheme="minorHAnsi" w:eastAsiaTheme="minorEastAsia" w:hAnsiTheme="minorHAnsi" w:cstheme="minorBidi"/>
            <w:noProof/>
            <w:kern w:val="2"/>
            <w:szCs w:val="22"/>
          </w:rPr>
          <w:tab/>
        </w:r>
        <w:r w:rsidRPr="004C6678">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_Toc48655495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496" w:history="1">
        <w:r w:rsidRPr="004C6678">
          <w:rPr>
            <w:rStyle w:val="a8"/>
            <w:rFonts w:ascii="宋体" w:hAnsi="宋体" w:cs="Arial"/>
            <w:noProof/>
          </w:rPr>
          <w:t>7.9</w:t>
        </w:r>
        <w:r>
          <w:rPr>
            <w:rFonts w:asciiTheme="minorHAnsi" w:eastAsiaTheme="minorEastAsia" w:hAnsiTheme="minorHAnsi" w:cstheme="minorBidi"/>
            <w:noProof/>
            <w:kern w:val="2"/>
            <w:szCs w:val="22"/>
          </w:rPr>
          <w:tab/>
        </w:r>
        <w:r w:rsidRPr="004C6678">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_Toc48655496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497" w:history="1">
        <w:r w:rsidRPr="004C6678">
          <w:rPr>
            <w:rStyle w:val="a8"/>
            <w:rFonts w:ascii="宋体" w:hAnsi="宋体" w:cs="Arial"/>
            <w:noProof/>
          </w:rPr>
          <w:t>7.10</w:t>
        </w:r>
        <w:r>
          <w:rPr>
            <w:rFonts w:asciiTheme="minorHAnsi" w:eastAsiaTheme="minorEastAsia" w:hAnsiTheme="minorHAnsi" w:cstheme="minorBidi"/>
            <w:noProof/>
            <w:kern w:val="2"/>
            <w:szCs w:val="22"/>
          </w:rPr>
          <w:tab/>
        </w:r>
        <w:r w:rsidRPr="004C6678">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_Toc48655497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498" w:history="1">
        <w:r w:rsidRPr="004C6678">
          <w:rPr>
            <w:rStyle w:val="a8"/>
            <w:rFonts w:ascii="宋体" w:hAnsi="宋体" w:cs="Arial"/>
            <w:noProof/>
          </w:rPr>
          <w:t>7.11</w:t>
        </w:r>
        <w:r>
          <w:rPr>
            <w:rFonts w:asciiTheme="minorHAnsi" w:eastAsiaTheme="minorEastAsia" w:hAnsiTheme="minorHAnsi" w:cstheme="minorBidi"/>
            <w:noProof/>
            <w:kern w:val="2"/>
            <w:szCs w:val="22"/>
          </w:rPr>
          <w:tab/>
        </w:r>
        <w:r w:rsidRPr="004C6678">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_Toc48655498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499" w:history="1">
        <w:r w:rsidRPr="004C6678">
          <w:rPr>
            <w:rStyle w:val="a8"/>
            <w:rFonts w:ascii="宋体" w:hAnsi="宋体" w:cs="Arial"/>
            <w:noProof/>
          </w:rPr>
          <w:t>7.12</w:t>
        </w:r>
        <w:r>
          <w:rPr>
            <w:rFonts w:asciiTheme="minorHAnsi" w:eastAsiaTheme="minorEastAsia" w:hAnsiTheme="minorHAnsi" w:cstheme="minorBidi"/>
            <w:noProof/>
            <w:kern w:val="2"/>
            <w:szCs w:val="22"/>
          </w:rPr>
          <w:tab/>
        </w:r>
        <w:r w:rsidRPr="004C6678">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_Toc48655499 \h </w:instrText>
        </w:r>
        <w:r>
          <w:rPr>
            <w:noProof/>
            <w:webHidden/>
          </w:rPr>
        </w:r>
        <w:r>
          <w:rPr>
            <w:noProof/>
            <w:webHidden/>
          </w:rPr>
          <w:fldChar w:fldCharType="separate"/>
        </w:r>
        <w:r>
          <w:rPr>
            <w:noProof/>
            <w:webHidden/>
          </w:rPr>
          <w:t>37</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500" w:history="1">
        <w:r w:rsidRPr="004C6678">
          <w:rPr>
            <w:rStyle w:val="a8"/>
            <w:rFonts w:ascii="宋体" w:hAnsi="宋体" w:cs="Arial"/>
            <w:bCs/>
            <w:noProof/>
          </w:rPr>
          <w:t>8</w:t>
        </w:r>
        <w:r w:rsidRPr="004C6678">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_Toc48655500 \h </w:instrText>
        </w:r>
        <w:r>
          <w:rPr>
            <w:noProof/>
            <w:webHidden/>
          </w:rPr>
        </w:r>
        <w:r>
          <w:rPr>
            <w:noProof/>
            <w:webHidden/>
          </w:rPr>
          <w:fldChar w:fldCharType="separate"/>
        </w:r>
        <w:r>
          <w:rPr>
            <w:noProof/>
            <w:webHidden/>
          </w:rPr>
          <w:t>38</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501" w:history="1">
        <w:r w:rsidRPr="004C6678">
          <w:rPr>
            <w:rStyle w:val="a8"/>
            <w:rFonts w:ascii="宋体" w:hAnsi="宋体" w:cs="Arial"/>
            <w:noProof/>
          </w:rPr>
          <w:t>8.1</w:t>
        </w:r>
        <w:r>
          <w:rPr>
            <w:rFonts w:asciiTheme="minorHAnsi" w:eastAsiaTheme="minorEastAsia" w:hAnsiTheme="minorHAnsi" w:cstheme="minorBidi"/>
            <w:noProof/>
            <w:kern w:val="2"/>
            <w:szCs w:val="22"/>
          </w:rPr>
          <w:tab/>
        </w:r>
        <w:r w:rsidRPr="004C6678">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_Toc48655501 \h </w:instrText>
        </w:r>
        <w:r>
          <w:rPr>
            <w:noProof/>
            <w:webHidden/>
          </w:rPr>
        </w:r>
        <w:r>
          <w:rPr>
            <w:noProof/>
            <w:webHidden/>
          </w:rPr>
          <w:fldChar w:fldCharType="separate"/>
        </w:r>
        <w:r>
          <w:rPr>
            <w:noProof/>
            <w:webHidden/>
          </w:rPr>
          <w:t>38</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502" w:history="1">
        <w:r w:rsidRPr="004C6678">
          <w:rPr>
            <w:rStyle w:val="a8"/>
            <w:rFonts w:ascii="宋体" w:hAnsi="宋体" w:cs="Arial"/>
            <w:noProof/>
          </w:rPr>
          <w:t>8.2</w:t>
        </w:r>
        <w:r>
          <w:rPr>
            <w:rFonts w:asciiTheme="minorHAnsi" w:eastAsiaTheme="minorEastAsia" w:hAnsiTheme="minorHAnsi" w:cstheme="minorBidi"/>
            <w:noProof/>
            <w:kern w:val="2"/>
            <w:szCs w:val="22"/>
          </w:rPr>
          <w:tab/>
        </w:r>
        <w:r w:rsidRPr="004C6678">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_Toc48655502 \h </w:instrText>
        </w:r>
        <w:r>
          <w:rPr>
            <w:noProof/>
            <w:webHidden/>
          </w:rPr>
        </w:r>
        <w:r>
          <w:rPr>
            <w:noProof/>
            <w:webHidden/>
          </w:rPr>
          <w:fldChar w:fldCharType="separate"/>
        </w:r>
        <w:r>
          <w:rPr>
            <w:noProof/>
            <w:webHidden/>
          </w:rPr>
          <w:t>39</w:t>
        </w:r>
        <w:r>
          <w:rPr>
            <w:noProof/>
            <w:webHidden/>
          </w:rPr>
          <w:fldChar w:fldCharType="end"/>
        </w:r>
      </w:hyperlink>
    </w:p>
    <w:p w:rsidR="00D72956" w:rsidRDefault="00D72956">
      <w:pPr>
        <w:pStyle w:val="22"/>
        <w:tabs>
          <w:tab w:val="left" w:pos="840"/>
        </w:tabs>
        <w:rPr>
          <w:rFonts w:asciiTheme="minorHAnsi" w:eastAsiaTheme="minorEastAsia" w:hAnsiTheme="minorHAnsi" w:cstheme="minorBidi"/>
          <w:noProof/>
          <w:kern w:val="2"/>
          <w:szCs w:val="22"/>
        </w:rPr>
      </w:pPr>
      <w:hyperlink w:anchor="_Toc48655503" w:history="1">
        <w:r w:rsidRPr="004C6678">
          <w:rPr>
            <w:rStyle w:val="a8"/>
            <w:rFonts w:ascii="宋体" w:cs="Arial"/>
            <w:noProof/>
          </w:rPr>
          <w:t>8.3</w:t>
        </w:r>
        <w:r>
          <w:rPr>
            <w:rFonts w:asciiTheme="minorHAnsi" w:eastAsiaTheme="minorEastAsia" w:hAnsiTheme="minorHAnsi" w:cstheme="minorBidi"/>
            <w:noProof/>
            <w:kern w:val="2"/>
            <w:szCs w:val="22"/>
          </w:rPr>
          <w:tab/>
        </w:r>
        <w:r w:rsidRPr="004C6678">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_Toc48655503 \h </w:instrText>
        </w:r>
        <w:r>
          <w:rPr>
            <w:noProof/>
            <w:webHidden/>
          </w:rPr>
        </w:r>
        <w:r>
          <w:rPr>
            <w:noProof/>
            <w:webHidden/>
          </w:rPr>
          <w:fldChar w:fldCharType="separate"/>
        </w:r>
        <w:r>
          <w:rPr>
            <w:noProof/>
            <w:webHidden/>
          </w:rPr>
          <w:t>39</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504" w:history="1">
        <w:r w:rsidRPr="004C6678">
          <w:rPr>
            <w:rStyle w:val="a8"/>
            <w:rFonts w:ascii="宋体" w:hAnsi="宋体" w:cs="Arial"/>
            <w:bCs/>
            <w:noProof/>
          </w:rPr>
          <w:t>9</w:t>
        </w:r>
        <w:r w:rsidRPr="004C6678">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_Toc48655504 \h </w:instrText>
        </w:r>
        <w:r>
          <w:rPr>
            <w:noProof/>
            <w:webHidden/>
          </w:rPr>
        </w:r>
        <w:r>
          <w:rPr>
            <w:noProof/>
            <w:webHidden/>
          </w:rPr>
          <w:fldChar w:fldCharType="separate"/>
        </w:r>
        <w:r>
          <w:rPr>
            <w:noProof/>
            <w:webHidden/>
          </w:rPr>
          <w:t>39</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505" w:history="1">
        <w:r w:rsidRPr="004C6678">
          <w:rPr>
            <w:rStyle w:val="a8"/>
            <w:rFonts w:ascii="宋体" w:hAnsi="宋体" w:cs="Arial"/>
            <w:bCs/>
            <w:noProof/>
          </w:rPr>
          <w:t>10</w:t>
        </w:r>
        <w:r w:rsidRPr="004C6678">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_Toc48655505 \h </w:instrText>
        </w:r>
        <w:r>
          <w:rPr>
            <w:noProof/>
            <w:webHidden/>
          </w:rPr>
        </w:r>
        <w:r>
          <w:rPr>
            <w:noProof/>
            <w:webHidden/>
          </w:rPr>
          <w:fldChar w:fldCharType="separate"/>
        </w:r>
        <w:r>
          <w:rPr>
            <w:noProof/>
            <w:webHidden/>
          </w:rPr>
          <w:t>39</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06" w:history="1">
        <w:r w:rsidRPr="004C6678">
          <w:rPr>
            <w:rStyle w:val="a8"/>
            <w:rFonts w:ascii="宋体" w:cs="Arial"/>
            <w:noProof/>
          </w:rPr>
          <w:t>10.1</w:t>
        </w:r>
        <w:r>
          <w:rPr>
            <w:rFonts w:asciiTheme="minorHAnsi" w:eastAsiaTheme="minorEastAsia" w:hAnsiTheme="minorHAnsi" w:cstheme="minorBidi"/>
            <w:noProof/>
            <w:kern w:val="2"/>
            <w:szCs w:val="22"/>
          </w:rPr>
          <w:tab/>
        </w:r>
        <w:r w:rsidRPr="004C6678">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_Toc48655506 \h </w:instrText>
        </w:r>
        <w:r>
          <w:rPr>
            <w:noProof/>
            <w:webHidden/>
          </w:rPr>
        </w:r>
        <w:r>
          <w:rPr>
            <w:noProof/>
            <w:webHidden/>
          </w:rPr>
          <w:fldChar w:fldCharType="separate"/>
        </w:r>
        <w:r>
          <w:rPr>
            <w:noProof/>
            <w:webHidden/>
          </w:rPr>
          <w:t>39</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07" w:history="1">
        <w:r w:rsidRPr="004C6678">
          <w:rPr>
            <w:rStyle w:val="a8"/>
            <w:rFonts w:ascii="宋体" w:cs="Arial"/>
            <w:noProof/>
          </w:rPr>
          <w:t>10.2</w:t>
        </w:r>
        <w:r>
          <w:rPr>
            <w:rFonts w:asciiTheme="minorHAnsi" w:eastAsiaTheme="minorEastAsia" w:hAnsiTheme="minorHAnsi" w:cstheme="minorBidi"/>
            <w:noProof/>
            <w:kern w:val="2"/>
            <w:szCs w:val="22"/>
          </w:rPr>
          <w:tab/>
        </w:r>
        <w:r w:rsidRPr="004C6678">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_Toc48655507 \h </w:instrText>
        </w:r>
        <w:r>
          <w:rPr>
            <w:noProof/>
            <w:webHidden/>
          </w:rPr>
        </w:r>
        <w:r>
          <w:rPr>
            <w:noProof/>
            <w:webHidden/>
          </w:rPr>
          <w:fldChar w:fldCharType="separate"/>
        </w:r>
        <w:r>
          <w:rPr>
            <w:noProof/>
            <w:webHidden/>
          </w:rPr>
          <w:t>39</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08" w:history="1">
        <w:r w:rsidRPr="004C6678">
          <w:rPr>
            <w:rStyle w:val="a8"/>
            <w:rFonts w:ascii="宋体" w:cs="Arial"/>
            <w:noProof/>
          </w:rPr>
          <w:t>10.3</w:t>
        </w:r>
        <w:r>
          <w:rPr>
            <w:rFonts w:asciiTheme="minorHAnsi" w:eastAsiaTheme="minorEastAsia" w:hAnsiTheme="minorHAnsi" w:cstheme="minorBidi"/>
            <w:noProof/>
            <w:kern w:val="2"/>
            <w:szCs w:val="22"/>
          </w:rPr>
          <w:tab/>
        </w:r>
        <w:r w:rsidRPr="004C6678">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_Toc48655508 \h </w:instrText>
        </w:r>
        <w:r>
          <w:rPr>
            <w:noProof/>
            <w:webHidden/>
          </w:rPr>
        </w:r>
        <w:r>
          <w:rPr>
            <w:noProof/>
            <w:webHidden/>
          </w:rPr>
          <w:fldChar w:fldCharType="separate"/>
        </w:r>
        <w:r>
          <w:rPr>
            <w:noProof/>
            <w:webHidden/>
          </w:rPr>
          <w:t>40</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09" w:history="1">
        <w:r w:rsidRPr="004C6678">
          <w:rPr>
            <w:rStyle w:val="a8"/>
            <w:rFonts w:ascii="宋体" w:cs="Arial"/>
            <w:noProof/>
          </w:rPr>
          <w:t>10.4</w:t>
        </w:r>
        <w:r>
          <w:rPr>
            <w:rFonts w:asciiTheme="minorHAnsi" w:eastAsiaTheme="minorEastAsia" w:hAnsiTheme="minorHAnsi" w:cstheme="minorBidi"/>
            <w:noProof/>
            <w:kern w:val="2"/>
            <w:szCs w:val="22"/>
          </w:rPr>
          <w:tab/>
        </w:r>
        <w:r w:rsidRPr="004C6678">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_Toc48655509 \h </w:instrText>
        </w:r>
        <w:r>
          <w:rPr>
            <w:noProof/>
            <w:webHidden/>
          </w:rPr>
        </w:r>
        <w:r>
          <w:rPr>
            <w:noProof/>
            <w:webHidden/>
          </w:rPr>
          <w:fldChar w:fldCharType="separate"/>
        </w:r>
        <w:r>
          <w:rPr>
            <w:noProof/>
            <w:webHidden/>
          </w:rPr>
          <w:t>40</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0" w:history="1">
        <w:r w:rsidRPr="004C6678">
          <w:rPr>
            <w:rStyle w:val="a8"/>
            <w:rFonts w:ascii="宋体" w:cs="Arial"/>
            <w:noProof/>
          </w:rPr>
          <w:t>10.5</w:t>
        </w:r>
        <w:r>
          <w:rPr>
            <w:rFonts w:asciiTheme="minorHAnsi" w:eastAsiaTheme="minorEastAsia" w:hAnsiTheme="minorHAnsi" w:cstheme="minorBidi"/>
            <w:noProof/>
            <w:kern w:val="2"/>
            <w:szCs w:val="22"/>
          </w:rPr>
          <w:tab/>
        </w:r>
        <w:r w:rsidRPr="004C6678">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_Toc48655510 \h </w:instrText>
        </w:r>
        <w:r>
          <w:rPr>
            <w:noProof/>
            <w:webHidden/>
          </w:rPr>
        </w:r>
        <w:r>
          <w:rPr>
            <w:noProof/>
            <w:webHidden/>
          </w:rPr>
          <w:fldChar w:fldCharType="separate"/>
        </w:r>
        <w:r>
          <w:rPr>
            <w:noProof/>
            <w:webHidden/>
          </w:rPr>
          <w:t>40</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1" w:history="1">
        <w:r w:rsidRPr="004C6678">
          <w:rPr>
            <w:rStyle w:val="a8"/>
            <w:rFonts w:ascii="宋体" w:cs="Arial"/>
            <w:noProof/>
          </w:rPr>
          <w:t>10.6</w:t>
        </w:r>
        <w:r>
          <w:rPr>
            <w:rFonts w:asciiTheme="minorHAnsi" w:eastAsiaTheme="minorEastAsia" w:hAnsiTheme="minorHAnsi" w:cstheme="minorBidi"/>
            <w:noProof/>
            <w:kern w:val="2"/>
            <w:szCs w:val="22"/>
          </w:rPr>
          <w:tab/>
        </w:r>
        <w:r w:rsidRPr="004C6678">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_Toc48655511 \h </w:instrText>
        </w:r>
        <w:r>
          <w:rPr>
            <w:noProof/>
            <w:webHidden/>
          </w:rPr>
        </w:r>
        <w:r>
          <w:rPr>
            <w:noProof/>
            <w:webHidden/>
          </w:rPr>
          <w:fldChar w:fldCharType="separate"/>
        </w:r>
        <w:r>
          <w:rPr>
            <w:noProof/>
            <w:webHidden/>
          </w:rPr>
          <w:t>40</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2" w:history="1">
        <w:r w:rsidRPr="004C6678">
          <w:rPr>
            <w:rStyle w:val="a8"/>
            <w:rFonts w:ascii="宋体" w:cs="Arial"/>
            <w:noProof/>
          </w:rPr>
          <w:t>10.7</w:t>
        </w:r>
        <w:r>
          <w:rPr>
            <w:rFonts w:asciiTheme="minorHAnsi" w:eastAsiaTheme="minorEastAsia" w:hAnsiTheme="minorHAnsi" w:cstheme="minorBidi"/>
            <w:noProof/>
            <w:kern w:val="2"/>
            <w:szCs w:val="22"/>
          </w:rPr>
          <w:tab/>
        </w:r>
        <w:r w:rsidRPr="004C6678">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_Toc48655512 \h </w:instrText>
        </w:r>
        <w:r>
          <w:rPr>
            <w:noProof/>
            <w:webHidden/>
          </w:rPr>
        </w:r>
        <w:r>
          <w:rPr>
            <w:noProof/>
            <w:webHidden/>
          </w:rPr>
          <w:fldChar w:fldCharType="separate"/>
        </w:r>
        <w:r>
          <w:rPr>
            <w:noProof/>
            <w:webHidden/>
          </w:rPr>
          <w:t>40</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3" w:history="1">
        <w:r w:rsidRPr="004C6678">
          <w:rPr>
            <w:rStyle w:val="a8"/>
            <w:rFonts w:ascii="宋体" w:hAnsi="宋体" w:cs="Arial"/>
            <w:noProof/>
          </w:rPr>
          <w:t>10.8</w:t>
        </w:r>
        <w:r>
          <w:rPr>
            <w:rFonts w:asciiTheme="minorHAnsi" w:eastAsiaTheme="minorEastAsia" w:hAnsiTheme="minorHAnsi" w:cstheme="minorBidi"/>
            <w:noProof/>
            <w:kern w:val="2"/>
            <w:szCs w:val="22"/>
          </w:rPr>
          <w:tab/>
        </w:r>
        <w:r w:rsidRPr="004C6678">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_Toc48655513 \h </w:instrText>
        </w:r>
        <w:r>
          <w:rPr>
            <w:noProof/>
            <w:webHidden/>
          </w:rPr>
        </w:r>
        <w:r>
          <w:rPr>
            <w:noProof/>
            <w:webHidden/>
          </w:rPr>
          <w:fldChar w:fldCharType="separate"/>
        </w:r>
        <w:r>
          <w:rPr>
            <w:noProof/>
            <w:webHidden/>
          </w:rPr>
          <w:t>41</w:t>
        </w:r>
        <w:r>
          <w:rPr>
            <w:noProof/>
            <w:webHidden/>
          </w:rPr>
          <w:fldChar w:fldCharType="end"/>
        </w:r>
      </w:hyperlink>
    </w:p>
    <w:p w:rsidR="00D72956" w:rsidRDefault="00D72956">
      <w:pPr>
        <w:pStyle w:val="22"/>
        <w:rPr>
          <w:rFonts w:asciiTheme="minorHAnsi" w:eastAsiaTheme="minorEastAsia" w:hAnsiTheme="minorHAnsi" w:cstheme="minorBidi"/>
          <w:noProof/>
          <w:kern w:val="2"/>
          <w:szCs w:val="22"/>
        </w:rPr>
      </w:pPr>
      <w:hyperlink w:anchor="_Toc48655514" w:history="1">
        <w:r w:rsidRPr="004C6678">
          <w:rPr>
            <w:rStyle w:val="a8"/>
            <w:rFonts w:ascii="宋体" w:hAnsi="宋体" w:cs="Arial"/>
            <w:bCs/>
            <w:noProof/>
          </w:rPr>
          <w:t>11</w:t>
        </w:r>
        <w:r w:rsidRPr="004C6678">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_Toc48655514 \h </w:instrText>
        </w:r>
        <w:r>
          <w:rPr>
            <w:noProof/>
            <w:webHidden/>
          </w:rPr>
        </w:r>
        <w:r>
          <w:rPr>
            <w:noProof/>
            <w:webHidden/>
          </w:rPr>
          <w:fldChar w:fldCharType="separate"/>
        </w:r>
        <w:r>
          <w:rPr>
            <w:noProof/>
            <w:webHidden/>
          </w:rPr>
          <w:t>43</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5" w:history="1">
        <w:r w:rsidRPr="004C6678">
          <w:rPr>
            <w:rStyle w:val="a8"/>
            <w:rFonts w:ascii="宋体" w:hAnsi="宋体" w:cs="Arial"/>
            <w:noProof/>
          </w:rPr>
          <w:t>11.1</w:t>
        </w:r>
        <w:r>
          <w:rPr>
            <w:rFonts w:asciiTheme="minorHAnsi" w:eastAsiaTheme="minorEastAsia" w:hAnsiTheme="minorHAnsi" w:cstheme="minorBidi"/>
            <w:noProof/>
            <w:kern w:val="2"/>
            <w:szCs w:val="22"/>
          </w:rPr>
          <w:tab/>
        </w:r>
        <w:r w:rsidRPr="004C6678">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_Toc48655515 \h </w:instrText>
        </w:r>
        <w:r>
          <w:rPr>
            <w:noProof/>
            <w:webHidden/>
          </w:rPr>
        </w:r>
        <w:r>
          <w:rPr>
            <w:noProof/>
            <w:webHidden/>
          </w:rPr>
          <w:fldChar w:fldCharType="separate"/>
        </w:r>
        <w:r>
          <w:rPr>
            <w:noProof/>
            <w:webHidden/>
          </w:rPr>
          <w:t>43</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6" w:history="1">
        <w:r w:rsidRPr="004C6678">
          <w:rPr>
            <w:rStyle w:val="a8"/>
            <w:rFonts w:ascii="宋体" w:hAnsi="宋体" w:cs="Arial"/>
            <w:noProof/>
          </w:rPr>
          <w:t>11.2</w:t>
        </w:r>
        <w:r>
          <w:rPr>
            <w:rFonts w:asciiTheme="minorHAnsi" w:eastAsiaTheme="minorEastAsia" w:hAnsiTheme="minorHAnsi" w:cstheme="minorBidi"/>
            <w:noProof/>
            <w:kern w:val="2"/>
            <w:szCs w:val="22"/>
          </w:rPr>
          <w:tab/>
        </w:r>
        <w:r w:rsidRPr="004C6678">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_Toc48655516 \h </w:instrText>
        </w:r>
        <w:r>
          <w:rPr>
            <w:noProof/>
            <w:webHidden/>
          </w:rPr>
        </w:r>
        <w:r>
          <w:rPr>
            <w:noProof/>
            <w:webHidden/>
          </w:rPr>
          <w:fldChar w:fldCharType="separate"/>
        </w:r>
        <w:r>
          <w:rPr>
            <w:noProof/>
            <w:webHidden/>
          </w:rPr>
          <w:t>43</w:t>
        </w:r>
        <w:r>
          <w:rPr>
            <w:noProof/>
            <w:webHidden/>
          </w:rPr>
          <w:fldChar w:fldCharType="end"/>
        </w:r>
      </w:hyperlink>
    </w:p>
    <w:p w:rsidR="00D72956" w:rsidRDefault="00D72956">
      <w:pPr>
        <w:pStyle w:val="22"/>
        <w:tabs>
          <w:tab w:val="left" w:pos="1050"/>
        </w:tabs>
        <w:rPr>
          <w:rFonts w:asciiTheme="minorHAnsi" w:eastAsiaTheme="minorEastAsia" w:hAnsiTheme="minorHAnsi" w:cstheme="minorBidi"/>
          <w:noProof/>
          <w:kern w:val="2"/>
          <w:szCs w:val="22"/>
        </w:rPr>
      </w:pPr>
      <w:hyperlink w:anchor="_Toc48655517" w:history="1">
        <w:r w:rsidRPr="004C6678">
          <w:rPr>
            <w:rStyle w:val="a8"/>
            <w:rFonts w:ascii="宋体" w:hAnsi="宋体" w:cs="Arial"/>
            <w:noProof/>
          </w:rPr>
          <w:t>11.3</w:t>
        </w:r>
        <w:r>
          <w:rPr>
            <w:rFonts w:asciiTheme="minorHAnsi" w:eastAsiaTheme="minorEastAsia" w:hAnsiTheme="minorHAnsi" w:cstheme="minorBidi"/>
            <w:noProof/>
            <w:kern w:val="2"/>
            <w:szCs w:val="22"/>
          </w:rPr>
          <w:tab/>
        </w:r>
        <w:r w:rsidRPr="004C6678">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_Toc48655517 \h </w:instrText>
        </w:r>
        <w:r>
          <w:rPr>
            <w:noProof/>
            <w:webHidden/>
          </w:rPr>
        </w:r>
        <w:r>
          <w:rPr>
            <w:noProof/>
            <w:webHidden/>
          </w:rPr>
          <w:fldChar w:fldCharType="separate"/>
        </w:r>
        <w:r>
          <w:rPr>
            <w:noProof/>
            <w:webHidden/>
          </w:rPr>
          <w:t>43</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5461"/>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5462"/>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易方达改革红利混合型证券投资基金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易方达改革红利混合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001076</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001076</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4</w:t>
            </w:r>
            <w:r w:rsidRPr="00224952">
              <w:rPr>
                <w:szCs w:val="21"/>
              </w:rPr>
              <w:t>月</w:t>
            </w:r>
            <w:r w:rsidRPr="00224952">
              <w:rPr>
                <w:szCs w:val="21"/>
              </w:rPr>
              <w:t>23</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中国邮政储蓄银行股份有限公司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833,344,303.58</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5463"/>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本基金在控制风险的前提下，追求超越业绩比较基准的投资回报。</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将密切关注各项改革举措及其对相关产业和公司的影响，包括国企改革、财税金融改革、公用事业价格改革、土地改革、户籍制度改革以及逐步推进的各项经济、政治、社会、文化等方面的改革，捕捉改革红利释放带来的投资机会。基金将通过研究各类行业和公司受益于改革红利的程度，选择直接受益于改革红利、或在全面深化改革推动下预期盈利水平将显著提升的行业和公司。</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沪深</w:t>
            </w:r>
            <w:r w:rsidRPr="00224952">
              <w:rPr>
                <w:szCs w:val="21"/>
              </w:rPr>
              <w:t>300</w:t>
            </w:r>
            <w:r w:rsidRPr="00224952">
              <w:rPr>
                <w:szCs w:val="21"/>
              </w:rPr>
              <w:t>指数收益率</w:t>
            </w:r>
            <w:r w:rsidRPr="00224952">
              <w:rPr>
                <w:szCs w:val="21"/>
              </w:rPr>
              <w:t>×70%+</w:t>
            </w:r>
            <w:r w:rsidRPr="00224952">
              <w:rPr>
                <w:szCs w:val="21"/>
              </w:rPr>
              <w:t>一年期人民币定期存款利率（税后）</w:t>
            </w:r>
            <w:r w:rsidRPr="00224952">
              <w:rPr>
                <w:szCs w:val="21"/>
              </w:rPr>
              <w:t>×30%</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本基金为混合型基金，理论上其预期风险与预期收益水平低于股票型基金，高于债券型基金和货币市场基金。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5464"/>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中国邮政储蓄银行股份有限公司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田东辉</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010-68858113</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tiandonghui@psbc.com</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95580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010-68858120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北京市西城区金融大街</w:t>
            </w:r>
            <w:r w:rsidRPr="00224952">
              <w:rPr>
                <w:color w:val="000000"/>
                <w:kern w:val="0"/>
                <w:szCs w:val="21"/>
              </w:rPr>
              <w:t>3</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北京市西城区金融大街</w:t>
            </w:r>
            <w:r w:rsidRPr="00224952">
              <w:rPr>
                <w:color w:val="000000"/>
                <w:kern w:val="0"/>
                <w:szCs w:val="21"/>
              </w:rPr>
              <w:t>3</w:t>
            </w:r>
            <w:r w:rsidRPr="00224952">
              <w:rPr>
                <w:color w:val="000000"/>
                <w:kern w:val="0"/>
                <w:szCs w:val="21"/>
              </w:rPr>
              <w:t>号</w:t>
            </w:r>
            <w:r w:rsidRPr="00224952">
              <w:rPr>
                <w:color w:val="000000"/>
                <w:kern w:val="0"/>
                <w:szCs w:val="21"/>
              </w:rPr>
              <w:t>A</w:t>
            </w:r>
            <w:r w:rsidRPr="00224952">
              <w:rPr>
                <w:color w:val="000000"/>
                <w:kern w:val="0"/>
                <w:szCs w:val="21"/>
              </w:rPr>
              <w:t>座</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100808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张金良</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5465"/>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证券时报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5466"/>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5467"/>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5468"/>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195,339,917.49</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110,599,327.42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0.1064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9.19%</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11.14%</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64,319,143.26</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0.0772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1,089,378,566.51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1.307</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30.70%</w:t>
            </w:r>
          </w:p>
        </w:tc>
      </w:tr>
    </w:tbl>
    <w:bookmarkEnd w:id="21"/>
    <w:bookmarkEnd w:id="22"/>
    <w:p w:rsidR="00C932E3" w:rsidRDefault="00F041BC">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C932E3" w:rsidRDefault="00F041BC">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5469"/>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C932E3">
        <w:tc>
          <w:tcPr>
            <w:tcW w:w="1560" w:type="dxa"/>
            <w:vAlign w:val="center"/>
          </w:tcPr>
          <w:p w:rsidR="00C932E3" w:rsidRDefault="00F041BC">
            <w:pPr>
              <w:jc w:val="left"/>
            </w:pPr>
            <w:r>
              <w:rPr>
                <w:color w:val="000000"/>
                <w:szCs w:val="21"/>
              </w:rPr>
              <w:t>过去一个月</w:t>
            </w:r>
          </w:p>
        </w:tc>
        <w:tc>
          <w:tcPr>
            <w:tcW w:w="1275" w:type="dxa"/>
            <w:vAlign w:val="center"/>
          </w:tcPr>
          <w:p w:rsidR="00C932E3" w:rsidRDefault="00F041BC">
            <w:pPr>
              <w:jc w:val="center"/>
            </w:pPr>
            <w:r>
              <w:rPr>
                <w:color w:val="000000"/>
                <w:szCs w:val="21"/>
              </w:rPr>
              <w:t>6.69%</w:t>
            </w:r>
          </w:p>
        </w:tc>
        <w:tc>
          <w:tcPr>
            <w:tcW w:w="1276" w:type="dxa"/>
            <w:vAlign w:val="center"/>
          </w:tcPr>
          <w:p w:rsidR="00C932E3" w:rsidRDefault="00F041BC">
            <w:pPr>
              <w:jc w:val="center"/>
            </w:pPr>
            <w:r>
              <w:rPr>
                <w:color w:val="000000"/>
                <w:szCs w:val="21"/>
              </w:rPr>
              <w:t>1.28%</w:t>
            </w:r>
          </w:p>
        </w:tc>
        <w:tc>
          <w:tcPr>
            <w:tcW w:w="1276" w:type="dxa"/>
            <w:vAlign w:val="center"/>
          </w:tcPr>
          <w:p w:rsidR="00C932E3" w:rsidRDefault="00F041BC">
            <w:pPr>
              <w:jc w:val="center"/>
            </w:pPr>
            <w:r>
              <w:rPr>
                <w:color w:val="000000"/>
                <w:szCs w:val="21"/>
              </w:rPr>
              <w:t>5.38%</w:t>
            </w:r>
          </w:p>
        </w:tc>
        <w:tc>
          <w:tcPr>
            <w:tcW w:w="1276" w:type="dxa"/>
            <w:vAlign w:val="center"/>
          </w:tcPr>
          <w:p w:rsidR="00C932E3" w:rsidRDefault="00F041BC">
            <w:pPr>
              <w:jc w:val="center"/>
            </w:pPr>
            <w:r>
              <w:rPr>
                <w:color w:val="000000"/>
                <w:szCs w:val="21"/>
              </w:rPr>
              <w:t>0.63%</w:t>
            </w:r>
          </w:p>
        </w:tc>
        <w:tc>
          <w:tcPr>
            <w:tcW w:w="1134" w:type="dxa"/>
            <w:vAlign w:val="center"/>
          </w:tcPr>
          <w:p w:rsidR="00C932E3" w:rsidRDefault="00F041BC">
            <w:pPr>
              <w:jc w:val="center"/>
            </w:pPr>
            <w:r>
              <w:rPr>
                <w:color w:val="000000"/>
                <w:szCs w:val="21"/>
              </w:rPr>
              <w:t>1.31%</w:t>
            </w:r>
          </w:p>
        </w:tc>
        <w:tc>
          <w:tcPr>
            <w:tcW w:w="1134" w:type="dxa"/>
            <w:vAlign w:val="center"/>
          </w:tcPr>
          <w:p w:rsidR="00C932E3" w:rsidRDefault="00F041BC">
            <w:pPr>
              <w:jc w:val="center"/>
            </w:pPr>
            <w:r>
              <w:rPr>
                <w:color w:val="000000"/>
                <w:szCs w:val="21"/>
              </w:rPr>
              <w:t>0.65%</w:t>
            </w:r>
          </w:p>
        </w:tc>
      </w:tr>
      <w:tr w:rsidR="00C932E3">
        <w:tc>
          <w:tcPr>
            <w:tcW w:w="1560" w:type="dxa"/>
            <w:vAlign w:val="center"/>
          </w:tcPr>
          <w:p w:rsidR="00C932E3" w:rsidRDefault="00F041BC">
            <w:pPr>
              <w:jc w:val="left"/>
            </w:pPr>
            <w:r>
              <w:rPr>
                <w:color w:val="000000"/>
                <w:szCs w:val="21"/>
              </w:rPr>
              <w:t>过去三个月</w:t>
            </w:r>
          </w:p>
        </w:tc>
        <w:tc>
          <w:tcPr>
            <w:tcW w:w="1275" w:type="dxa"/>
            <w:vAlign w:val="center"/>
          </w:tcPr>
          <w:p w:rsidR="00C932E3" w:rsidRDefault="00F041BC">
            <w:pPr>
              <w:jc w:val="center"/>
            </w:pPr>
            <w:r>
              <w:rPr>
                <w:color w:val="000000"/>
                <w:szCs w:val="21"/>
              </w:rPr>
              <w:t>24.12%</w:t>
            </w:r>
          </w:p>
        </w:tc>
        <w:tc>
          <w:tcPr>
            <w:tcW w:w="1276" w:type="dxa"/>
            <w:vAlign w:val="center"/>
          </w:tcPr>
          <w:p w:rsidR="00C932E3" w:rsidRDefault="00F041BC">
            <w:pPr>
              <w:jc w:val="center"/>
            </w:pPr>
            <w:r>
              <w:rPr>
                <w:color w:val="000000"/>
                <w:szCs w:val="21"/>
              </w:rPr>
              <w:t>1.14%</w:t>
            </w:r>
          </w:p>
        </w:tc>
        <w:tc>
          <w:tcPr>
            <w:tcW w:w="1276" w:type="dxa"/>
            <w:vAlign w:val="center"/>
          </w:tcPr>
          <w:p w:rsidR="00C932E3" w:rsidRDefault="00F041BC">
            <w:pPr>
              <w:jc w:val="center"/>
            </w:pPr>
            <w:r>
              <w:rPr>
                <w:color w:val="000000"/>
                <w:szCs w:val="21"/>
              </w:rPr>
              <w:t>9.09%</w:t>
            </w:r>
          </w:p>
        </w:tc>
        <w:tc>
          <w:tcPr>
            <w:tcW w:w="1276" w:type="dxa"/>
            <w:vAlign w:val="center"/>
          </w:tcPr>
          <w:p w:rsidR="00C932E3" w:rsidRDefault="00F041BC">
            <w:pPr>
              <w:jc w:val="center"/>
            </w:pPr>
            <w:r>
              <w:rPr>
                <w:color w:val="000000"/>
                <w:szCs w:val="21"/>
              </w:rPr>
              <w:t>0.63%</w:t>
            </w:r>
          </w:p>
        </w:tc>
        <w:tc>
          <w:tcPr>
            <w:tcW w:w="1134" w:type="dxa"/>
            <w:vAlign w:val="center"/>
          </w:tcPr>
          <w:p w:rsidR="00C932E3" w:rsidRDefault="00F041BC">
            <w:pPr>
              <w:jc w:val="center"/>
            </w:pPr>
            <w:r>
              <w:rPr>
                <w:color w:val="000000"/>
                <w:szCs w:val="21"/>
              </w:rPr>
              <w:t>15.03%</w:t>
            </w:r>
          </w:p>
        </w:tc>
        <w:tc>
          <w:tcPr>
            <w:tcW w:w="1134" w:type="dxa"/>
            <w:vAlign w:val="center"/>
          </w:tcPr>
          <w:p w:rsidR="00C932E3" w:rsidRDefault="00F041BC">
            <w:pPr>
              <w:jc w:val="center"/>
            </w:pPr>
            <w:r>
              <w:rPr>
                <w:color w:val="000000"/>
                <w:szCs w:val="21"/>
              </w:rPr>
              <w:t>0.51%</w:t>
            </w:r>
          </w:p>
        </w:tc>
      </w:tr>
      <w:tr w:rsidR="00C932E3">
        <w:tc>
          <w:tcPr>
            <w:tcW w:w="1560" w:type="dxa"/>
            <w:vAlign w:val="center"/>
          </w:tcPr>
          <w:p w:rsidR="00C932E3" w:rsidRDefault="00F041BC">
            <w:pPr>
              <w:jc w:val="left"/>
            </w:pPr>
            <w:r>
              <w:rPr>
                <w:color w:val="000000"/>
                <w:szCs w:val="21"/>
              </w:rPr>
              <w:t>过去六个月</w:t>
            </w:r>
          </w:p>
        </w:tc>
        <w:tc>
          <w:tcPr>
            <w:tcW w:w="1275" w:type="dxa"/>
            <w:vAlign w:val="center"/>
          </w:tcPr>
          <w:p w:rsidR="00C932E3" w:rsidRDefault="00F041BC">
            <w:pPr>
              <w:jc w:val="center"/>
            </w:pPr>
            <w:r>
              <w:rPr>
                <w:color w:val="000000"/>
                <w:szCs w:val="21"/>
              </w:rPr>
              <w:t>11.14%</w:t>
            </w:r>
          </w:p>
        </w:tc>
        <w:tc>
          <w:tcPr>
            <w:tcW w:w="1276" w:type="dxa"/>
            <w:vAlign w:val="center"/>
          </w:tcPr>
          <w:p w:rsidR="00C932E3" w:rsidRDefault="00F041BC">
            <w:pPr>
              <w:jc w:val="center"/>
            </w:pPr>
            <w:r>
              <w:rPr>
                <w:color w:val="000000"/>
                <w:szCs w:val="21"/>
              </w:rPr>
              <w:t>1.66%</w:t>
            </w:r>
          </w:p>
        </w:tc>
        <w:tc>
          <w:tcPr>
            <w:tcW w:w="1276" w:type="dxa"/>
            <w:vAlign w:val="center"/>
          </w:tcPr>
          <w:p w:rsidR="00C932E3" w:rsidRDefault="00F041BC">
            <w:pPr>
              <w:jc w:val="center"/>
            </w:pPr>
            <w:r>
              <w:rPr>
                <w:color w:val="000000"/>
                <w:szCs w:val="21"/>
              </w:rPr>
              <w:t>1.67%</w:t>
            </w:r>
          </w:p>
        </w:tc>
        <w:tc>
          <w:tcPr>
            <w:tcW w:w="1276" w:type="dxa"/>
            <w:vAlign w:val="center"/>
          </w:tcPr>
          <w:p w:rsidR="00C932E3" w:rsidRDefault="00F041BC">
            <w:pPr>
              <w:jc w:val="center"/>
            </w:pPr>
            <w:r>
              <w:rPr>
                <w:color w:val="000000"/>
                <w:szCs w:val="21"/>
              </w:rPr>
              <w:t>1.06%</w:t>
            </w:r>
          </w:p>
        </w:tc>
        <w:tc>
          <w:tcPr>
            <w:tcW w:w="1134" w:type="dxa"/>
            <w:vAlign w:val="center"/>
          </w:tcPr>
          <w:p w:rsidR="00C932E3" w:rsidRDefault="00F041BC">
            <w:pPr>
              <w:jc w:val="center"/>
            </w:pPr>
            <w:r>
              <w:rPr>
                <w:color w:val="000000"/>
                <w:szCs w:val="21"/>
              </w:rPr>
              <w:t>9.47%</w:t>
            </w:r>
          </w:p>
        </w:tc>
        <w:tc>
          <w:tcPr>
            <w:tcW w:w="1134" w:type="dxa"/>
            <w:vAlign w:val="center"/>
          </w:tcPr>
          <w:p w:rsidR="00C932E3" w:rsidRDefault="00F041BC">
            <w:pPr>
              <w:jc w:val="center"/>
            </w:pPr>
            <w:r>
              <w:rPr>
                <w:color w:val="000000"/>
                <w:szCs w:val="21"/>
              </w:rPr>
              <w:t>0.60%</w:t>
            </w:r>
          </w:p>
        </w:tc>
      </w:tr>
      <w:tr w:rsidR="00C932E3">
        <w:tc>
          <w:tcPr>
            <w:tcW w:w="1560" w:type="dxa"/>
            <w:vAlign w:val="center"/>
          </w:tcPr>
          <w:p w:rsidR="00C932E3" w:rsidRDefault="00F041BC">
            <w:pPr>
              <w:jc w:val="left"/>
            </w:pPr>
            <w:r>
              <w:rPr>
                <w:color w:val="000000"/>
                <w:szCs w:val="21"/>
              </w:rPr>
              <w:t>过去一年</w:t>
            </w:r>
          </w:p>
        </w:tc>
        <w:tc>
          <w:tcPr>
            <w:tcW w:w="1275" w:type="dxa"/>
            <w:vAlign w:val="center"/>
          </w:tcPr>
          <w:p w:rsidR="00C932E3" w:rsidRDefault="00F041BC">
            <w:pPr>
              <w:jc w:val="center"/>
            </w:pPr>
            <w:r>
              <w:rPr>
                <w:color w:val="000000"/>
                <w:szCs w:val="21"/>
              </w:rPr>
              <w:t>18.50%</w:t>
            </w:r>
          </w:p>
        </w:tc>
        <w:tc>
          <w:tcPr>
            <w:tcW w:w="1276" w:type="dxa"/>
            <w:vAlign w:val="center"/>
          </w:tcPr>
          <w:p w:rsidR="00C932E3" w:rsidRDefault="00F041BC">
            <w:pPr>
              <w:jc w:val="center"/>
            </w:pPr>
            <w:r>
              <w:rPr>
                <w:color w:val="000000"/>
                <w:szCs w:val="21"/>
              </w:rPr>
              <w:t>1.37%</w:t>
            </w:r>
          </w:p>
        </w:tc>
        <w:tc>
          <w:tcPr>
            <w:tcW w:w="1276" w:type="dxa"/>
            <w:vAlign w:val="center"/>
          </w:tcPr>
          <w:p w:rsidR="00C932E3" w:rsidRDefault="00F041BC">
            <w:pPr>
              <w:jc w:val="center"/>
            </w:pPr>
            <w:r>
              <w:rPr>
                <w:color w:val="000000"/>
                <w:szCs w:val="21"/>
              </w:rPr>
              <w:t>7.01%</w:t>
            </w:r>
          </w:p>
        </w:tc>
        <w:tc>
          <w:tcPr>
            <w:tcW w:w="1276" w:type="dxa"/>
            <w:vAlign w:val="center"/>
          </w:tcPr>
          <w:p w:rsidR="00C932E3" w:rsidRDefault="00F041BC">
            <w:pPr>
              <w:jc w:val="center"/>
            </w:pPr>
            <w:r>
              <w:rPr>
                <w:color w:val="000000"/>
                <w:szCs w:val="21"/>
              </w:rPr>
              <w:t>0.85%</w:t>
            </w:r>
          </w:p>
        </w:tc>
        <w:tc>
          <w:tcPr>
            <w:tcW w:w="1134" w:type="dxa"/>
            <w:vAlign w:val="center"/>
          </w:tcPr>
          <w:p w:rsidR="00C932E3" w:rsidRDefault="00F041BC">
            <w:pPr>
              <w:jc w:val="center"/>
            </w:pPr>
            <w:r>
              <w:rPr>
                <w:color w:val="000000"/>
                <w:szCs w:val="21"/>
              </w:rPr>
              <w:t>11.49%</w:t>
            </w:r>
          </w:p>
        </w:tc>
        <w:tc>
          <w:tcPr>
            <w:tcW w:w="1134" w:type="dxa"/>
            <w:vAlign w:val="center"/>
          </w:tcPr>
          <w:p w:rsidR="00C932E3" w:rsidRDefault="00F041BC">
            <w:pPr>
              <w:jc w:val="center"/>
            </w:pPr>
            <w:r>
              <w:rPr>
                <w:color w:val="000000"/>
                <w:szCs w:val="21"/>
              </w:rPr>
              <w:t>0.52%</w:t>
            </w:r>
          </w:p>
        </w:tc>
      </w:tr>
      <w:tr w:rsidR="00C932E3">
        <w:tc>
          <w:tcPr>
            <w:tcW w:w="1560" w:type="dxa"/>
            <w:vAlign w:val="center"/>
          </w:tcPr>
          <w:p w:rsidR="00C932E3" w:rsidRDefault="00F041BC">
            <w:pPr>
              <w:jc w:val="left"/>
            </w:pPr>
            <w:r>
              <w:rPr>
                <w:color w:val="000000"/>
                <w:szCs w:val="21"/>
              </w:rPr>
              <w:t>过去三年</w:t>
            </w:r>
          </w:p>
        </w:tc>
        <w:tc>
          <w:tcPr>
            <w:tcW w:w="1275" w:type="dxa"/>
            <w:vAlign w:val="center"/>
          </w:tcPr>
          <w:p w:rsidR="00C932E3" w:rsidRDefault="00F041BC">
            <w:pPr>
              <w:jc w:val="center"/>
            </w:pPr>
            <w:r>
              <w:rPr>
                <w:color w:val="000000"/>
                <w:szCs w:val="21"/>
              </w:rPr>
              <w:t>68.65%</w:t>
            </w:r>
          </w:p>
        </w:tc>
        <w:tc>
          <w:tcPr>
            <w:tcW w:w="1276" w:type="dxa"/>
            <w:vAlign w:val="center"/>
          </w:tcPr>
          <w:p w:rsidR="00C932E3" w:rsidRDefault="00F041BC">
            <w:pPr>
              <w:jc w:val="center"/>
            </w:pPr>
            <w:r>
              <w:rPr>
                <w:color w:val="000000"/>
                <w:szCs w:val="21"/>
              </w:rPr>
              <w:t>1.56%</w:t>
            </w:r>
          </w:p>
        </w:tc>
        <w:tc>
          <w:tcPr>
            <w:tcW w:w="1276" w:type="dxa"/>
            <w:vAlign w:val="center"/>
          </w:tcPr>
          <w:p w:rsidR="00C932E3" w:rsidRDefault="00F041BC">
            <w:pPr>
              <w:jc w:val="center"/>
            </w:pPr>
            <w:r>
              <w:rPr>
                <w:color w:val="000000"/>
                <w:szCs w:val="21"/>
              </w:rPr>
              <w:t>12.18%</w:t>
            </w:r>
          </w:p>
        </w:tc>
        <w:tc>
          <w:tcPr>
            <w:tcW w:w="1276" w:type="dxa"/>
            <w:vAlign w:val="center"/>
          </w:tcPr>
          <w:p w:rsidR="00C932E3" w:rsidRDefault="00F041BC">
            <w:pPr>
              <w:jc w:val="center"/>
            </w:pPr>
            <w:r>
              <w:rPr>
                <w:color w:val="000000"/>
                <w:szCs w:val="21"/>
              </w:rPr>
              <w:t>0.88%</w:t>
            </w:r>
          </w:p>
        </w:tc>
        <w:tc>
          <w:tcPr>
            <w:tcW w:w="1134" w:type="dxa"/>
            <w:vAlign w:val="center"/>
          </w:tcPr>
          <w:p w:rsidR="00C932E3" w:rsidRDefault="00F041BC">
            <w:pPr>
              <w:jc w:val="center"/>
            </w:pPr>
            <w:r>
              <w:rPr>
                <w:color w:val="000000"/>
                <w:szCs w:val="21"/>
              </w:rPr>
              <w:t>56.47%</w:t>
            </w:r>
          </w:p>
        </w:tc>
        <w:tc>
          <w:tcPr>
            <w:tcW w:w="1134" w:type="dxa"/>
            <w:vAlign w:val="center"/>
          </w:tcPr>
          <w:p w:rsidR="00C932E3" w:rsidRDefault="00F041BC">
            <w:pPr>
              <w:jc w:val="center"/>
            </w:pPr>
            <w:r>
              <w:rPr>
                <w:color w:val="000000"/>
                <w:szCs w:val="21"/>
              </w:rPr>
              <w:t>0.68%</w:t>
            </w:r>
          </w:p>
        </w:tc>
      </w:tr>
      <w:tr w:rsidR="00C932E3">
        <w:tc>
          <w:tcPr>
            <w:tcW w:w="1560" w:type="dxa"/>
            <w:vAlign w:val="center"/>
          </w:tcPr>
          <w:p w:rsidR="00C932E3" w:rsidRDefault="00F041BC">
            <w:pPr>
              <w:jc w:val="left"/>
            </w:pPr>
            <w:r>
              <w:rPr>
                <w:color w:val="000000"/>
                <w:szCs w:val="21"/>
              </w:rPr>
              <w:t>自基金合同生效起至今</w:t>
            </w:r>
          </w:p>
        </w:tc>
        <w:tc>
          <w:tcPr>
            <w:tcW w:w="1275" w:type="dxa"/>
            <w:vAlign w:val="center"/>
          </w:tcPr>
          <w:p w:rsidR="00C932E3" w:rsidRDefault="00F041BC">
            <w:pPr>
              <w:jc w:val="center"/>
            </w:pPr>
            <w:r>
              <w:rPr>
                <w:color w:val="000000"/>
                <w:szCs w:val="21"/>
              </w:rPr>
              <w:t>30.70%</w:t>
            </w:r>
          </w:p>
        </w:tc>
        <w:tc>
          <w:tcPr>
            <w:tcW w:w="1276" w:type="dxa"/>
            <w:vAlign w:val="center"/>
          </w:tcPr>
          <w:p w:rsidR="00C932E3" w:rsidRDefault="00F041BC">
            <w:pPr>
              <w:jc w:val="center"/>
            </w:pPr>
            <w:r>
              <w:rPr>
                <w:color w:val="000000"/>
                <w:szCs w:val="21"/>
              </w:rPr>
              <w:t>1.86%</w:t>
            </w:r>
          </w:p>
        </w:tc>
        <w:tc>
          <w:tcPr>
            <w:tcW w:w="1276" w:type="dxa"/>
            <w:vAlign w:val="center"/>
          </w:tcPr>
          <w:p w:rsidR="00C932E3" w:rsidRDefault="00F041BC">
            <w:pPr>
              <w:jc w:val="center"/>
            </w:pPr>
            <w:r>
              <w:rPr>
                <w:color w:val="000000"/>
                <w:szCs w:val="21"/>
              </w:rPr>
              <w:t>-3.42%</w:t>
            </w:r>
          </w:p>
        </w:tc>
        <w:tc>
          <w:tcPr>
            <w:tcW w:w="1276" w:type="dxa"/>
            <w:vAlign w:val="center"/>
          </w:tcPr>
          <w:p w:rsidR="00C932E3" w:rsidRDefault="00F041BC">
            <w:pPr>
              <w:jc w:val="center"/>
            </w:pPr>
            <w:r>
              <w:rPr>
                <w:color w:val="000000"/>
                <w:szCs w:val="21"/>
              </w:rPr>
              <w:t>1.06%</w:t>
            </w:r>
          </w:p>
        </w:tc>
        <w:tc>
          <w:tcPr>
            <w:tcW w:w="1134" w:type="dxa"/>
            <w:vAlign w:val="center"/>
          </w:tcPr>
          <w:p w:rsidR="00C932E3" w:rsidRDefault="00F041BC">
            <w:pPr>
              <w:jc w:val="center"/>
            </w:pPr>
            <w:r>
              <w:rPr>
                <w:color w:val="000000"/>
                <w:szCs w:val="21"/>
              </w:rPr>
              <w:t>34.12%</w:t>
            </w:r>
          </w:p>
        </w:tc>
        <w:tc>
          <w:tcPr>
            <w:tcW w:w="1134" w:type="dxa"/>
            <w:vAlign w:val="center"/>
          </w:tcPr>
          <w:p w:rsidR="00C932E3" w:rsidRDefault="00F041BC">
            <w:pPr>
              <w:jc w:val="center"/>
            </w:pPr>
            <w:r>
              <w:rPr>
                <w:color w:val="000000"/>
                <w:szCs w:val="21"/>
              </w:rPr>
              <w:t>0.80%</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易方达改革红利混合型证券投资基金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4</w:t>
      </w:r>
      <w:r w:rsidRPr="00224952">
        <w:rPr>
          <w:rFonts w:ascii="Times New Roman" w:hAnsi="Times New Roman"/>
        </w:rPr>
        <w:t>月</w:t>
      </w:r>
      <w:r w:rsidRPr="00224952">
        <w:rPr>
          <w:rFonts w:ascii="Times New Roman" w:hAnsi="Times New Roman"/>
        </w:rPr>
        <w:t>23</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D72956"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30.70%</w:t>
      </w:r>
      <w:r w:rsidRPr="00224952">
        <w:rPr>
          <w:kern w:val="0"/>
          <w:szCs w:val="21"/>
        </w:rPr>
        <w:t>，同期业绩比较基准收益率为</w:t>
      </w:r>
      <w:r w:rsidRPr="00224952">
        <w:rPr>
          <w:kern w:val="0"/>
          <w:szCs w:val="21"/>
        </w:rPr>
        <w:t>-3.42%</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5470"/>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5471"/>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C932E3">
        <w:tc>
          <w:tcPr>
            <w:tcW w:w="464" w:type="dxa"/>
            <w:vAlign w:val="center"/>
          </w:tcPr>
          <w:p w:rsidR="00C932E3" w:rsidRDefault="00F041BC">
            <w:pPr>
              <w:jc w:val="center"/>
            </w:pPr>
            <w:r>
              <w:rPr>
                <w:color w:val="000000"/>
                <w:szCs w:val="21"/>
              </w:rPr>
              <w:t>郭杰</w:t>
            </w:r>
          </w:p>
        </w:tc>
        <w:tc>
          <w:tcPr>
            <w:tcW w:w="3402" w:type="dxa"/>
            <w:vAlign w:val="center"/>
          </w:tcPr>
          <w:p w:rsidR="00C932E3" w:rsidRDefault="00F041BC">
            <w:pPr>
              <w:jc w:val="left"/>
            </w:pPr>
            <w:r>
              <w:rPr>
                <w:color w:val="000000"/>
                <w:szCs w:val="21"/>
              </w:rPr>
              <w:t>本基金的基金经理、易方达国企改革混合型证券投资基金的基金经理、易方达</w:t>
            </w:r>
            <w:r>
              <w:rPr>
                <w:color w:val="000000"/>
                <w:szCs w:val="21"/>
              </w:rPr>
              <w:t>ESG</w:t>
            </w:r>
            <w:r>
              <w:rPr>
                <w:color w:val="000000"/>
                <w:szCs w:val="21"/>
              </w:rPr>
              <w:t>责任投资股票型发起式证券投资基金的基金经理、研究部副总经理</w:t>
            </w:r>
          </w:p>
        </w:tc>
        <w:tc>
          <w:tcPr>
            <w:tcW w:w="709" w:type="dxa"/>
            <w:vAlign w:val="center"/>
          </w:tcPr>
          <w:p w:rsidR="00C932E3" w:rsidRDefault="00F041BC">
            <w:pPr>
              <w:jc w:val="center"/>
            </w:pPr>
            <w:r>
              <w:rPr>
                <w:color w:val="000000"/>
                <w:szCs w:val="21"/>
              </w:rPr>
              <w:t>2015-04-23</w:t>
            </w:r>
          </w:p>
        </w:tc>
        <w:tc>
          <w:tcPr>
            <w:tcW w:w="708" w:type="dxa"/>
            <w:vAlign w:val="center"/>
          </w:tcPr>
          <w:p w:rsidR="00C932E3" w:rsidRDefault="00F041BC">
            <w:pPr>
              <w:jc w:val="center"/>
            </w:pPr>
            <w:r>
              <w:rPr>
                <w:color w:val="000000"/>
                <w:szCs w:val="21"/>
              </w:rPr>
              <w:t>-</w:t>
            </w:r>
          </w:p>
        </w:tc>
        <w:tc>
          <w:tcPr>
            <w:tcW w:w="709" w:type="dxa"/>
            <w:vAlign w:val="center"/>
          </w:tcPr>
          <w:p w:rsidR="00C932E3" w:rsidRDefault="00F041BC">
            <w:pPr>
              <w:jc w:val="center"/>
            </w:pPr>
            <w:r>
              <w:rPr>
                <w:color w:val="000000"/>
                <w:szCs w:val="21"/>
              </w:rPr>
              <w:t>12</w:t>
            </w:r>
            <w:r>
              <w:rPr>
                <w:color w:val="000000"/>
                <w:szCs w:val="21"/>
              </w:rPr>
              <w:t>年</w:t>
            </w:r>
          </w:p>
        </w:tc>
        <w:tc>
          <w:tcPr>
            <w:tcW w:w="3548" w:type="dxa"/>
            <w:vAlign w:val="center"/>
          </w:tcPr>
          <w:p w:rsidR="00C932E3" w:rsidRDefault="00F041BC">
            <w:r>
              <w:rPr>
                <w:color w:val="000000"/>
                <w:szCs w:val="21"/>
              </w:rPr>
              <w:t>硕士研究生，具有基金从业资格。曾任易方达基金管理有限公司行业研究员、基金经理助理、易方达资源行业股票型证券投资基金基金经理、易方达科汇灵活配置混合型证券投资基金基金经理、易方达新丝路灵活配置混合型证券投资基金基金经理。</w:t>
            </w:r>
          </w:p>
        </w:tc>
      </w:tr>
    </w:tbl>
    <w:p w:rsidR="00C932E3" w:rsidRDefault="00F041BC">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2.</w:t>
      </w:r>
      <w:r w:rsidRPr="00E56272">
        <w:rPr>
          <w:kern w:val="0"/>
          <w:szCs w:val="21"/>
        </w:rPr>
        <w:t>证券从业的含义遵从《证券业从业人员资格管理办法》的相关规定。</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5472"/>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5473"/>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C932E3" w:rsidRDefault="00F041BC">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5474"/>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C932E3" w:rsidRDefault="00F041BC">
      <w:pPr>
        <w:tabs>
          <w:tab w:val="left" w:pos="426"/>
        </w:tabs>
        <w:spacing w:line="360" w:lineRule="auto"/>
        <w:ind w:firstLineChars="200" w:firstLine="420"/>
        <w:rPr>
          <w:kern w:val="0"/>
          <w:szCs w:val="21"/>
        </w:rPr>
      </w:pPr>
      <w:r>
        <w:rPr>
          <w:kern w:val="0"/>
          <w:szCs w:val="21"/>
        </w:rPr>
        <w:t>上半年，市场受到了新冠病毒疫情的冲击，呈现先跌后涨的震荡走势。虽然经济受到疫情的冲击，但是宽松的流动性化解了金融风险，预期经济也会随着疫情的趋缓而逐步复苏。股票市场从疫情的悲观中逐步恢复，在经济复苏和市场流动性充裕的助推下整体震荡上行，呈现一定分化，沪深</w:t>
      </w:r>
      <w:r>
        <w:rPr>
          <w:kern w:val="0"/>
          <w:szCs w:val="21"/>
        </w:rPr>
        <w:t>300</w:t>
      </w:r>
      <w:r>
        <w:rPr>
          <w:kern w:val="0"/>
          <w:szCs w:val="21"/>
        </w:rPr>
        <w:t>指数上涨</w:t>
      </w:r>
      <w:r>
        <w:rPr>
          <w:kern w:val="0"/>
          <w:szCs w:val="21"/>
        </w:rPr>
        <w:t>1.64%</w:t>
      </w:r>
      <w:r>
        <w:rPr>
          <w:kern w:val="0"/>
          <w:szCs w:val="21"/>
        </w:rPr>
        <w:t>，创业板指数上涨</w:t>
      </w:r>
      <w:r>
        <w:rPr>
          <w:kern w:val="0"/>
          <w:szCs w:val="21"/>
        </w:rPr>
        <w:t>35.60%</w:t>
      </w:r>
      <w:r>
        <w:rPr>
          <w:kern w:val="0"/>
          <w:szCs w:val="21"/>
        </w:rPr>
        <w:t>，消费、医药、</w:t>
      </w:r>
      <w:r>
        <w:rPr>
          <w:kern w:val="0"/>
          <w:szCs w:val="21"/>
        </w:rPr>
        <w:t>TMT</w:t>
      </w:r>
      <w:r>
        <w:rPr>
          <w:kern w:val="0"/>
          <w:szCs w:val="21"/>
        </w:rPr>
        <w:t>行业内的个股表现明显好于与经济相关度高的行业个股。</w:t>
      </w:r>
    </w:p>
    <w:p w:rsidR="00C932E3" w:rsidRDefault="00F041BC">
      <w:pPr>
        <w:tabs>
          <w:tab w:val="left" w:pos="426"/>
        </w:tabs>
        <w:spacing w:line="360" w:lineRule="auto"/>
        <w:ind w:firstLineChars="200" w:firstLine="420"/>
        <w:rPr>
          <w:kern w:val="0"/>
          <w:szCs w:val="21"/>
        </w:rPr>
      </w:pPr>
      <w:r>
        <w:rPr>
          <w:kern w:val="0"/>
          <w:szCs w:val="21"/>
        </w:rPr>
        <w:t>本基金上半年的投资思路一如既往，坚持长期持有商业模式具有明显规模效应、竞争优势突出的优质公司，以分享这些企业的盈利增长获取收益。我们一直认为股票市场属于高度复杂事物，面对复杂事物的不确定性，我们倾向于选择简单、清晰、稳定的商业模式进行投资，希望能够收获那些</w:t>
      </w:r>
      <w:r>
        <w:rPr>
          <w:kern w:val="0"/>
          <w:szCs w:val="21"/>
        </w:rPr>
        <w:t>“</w:t>
      </w:r>
      <w:r>
        <w:rPr>
          <w:kern w:val="0"/>
          <w:szCs w:val="21"/>
        </w:rPr>
        <w:t>低垂的果实</w:t>
      </w:r>
      <w:r>
        <w:rPr>
          <w:kern w:val="0"/>
          <w:szCs w:val="21"/>
        </w:rPr>
        <w:t>”</w:t>
      </w:r>
      <w:r>
        <w:rPr>
          <w:kern w:val="0"/>
          <w:szCs w:val="21"/>
        </w:rPr>
        <w:t>。我们希望找到这样的企业：其依赖于商业模式本身的某些特质以及自身所独有的优势，可以更大地获取市场份额，更高地获取资本回报，更好地抵御外部环境和自身发展遇到的各种问题，从而实现持续稳定的发展。由此，我们能够对这些企业的未来有更清晰的把握，从而赚取更具确定性的收益。</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一直保持了较高的股票仓位运作，投资方向集中在以下看好的领域：具有巨大品牌壁垒的高端白酒行业、具有一定规模效应和品牌溢价的白色家电龙头、具有长期发展前景和稳定壁垒的医药生物和医疗服务行业、具有明显规模效应和快速增长潜力的快递行业等。</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1.307</w:t>
      </w:r>
      <w:r w:rsidRPr="00E56272">
        <w:rPr>
          <w:kern w:val="0"/>
          <w:szCs w:val="21"/>
        </w:rPr>
        <w:t>元，本报告期份额净值增长率为</w:t>
      </w:r>
      <w:r w:rsidRPr="00E56272">
        <w:rPr>
          <w:kern w:val="0"/>
          <w:szCs w:val="21"/>
        </w:rPr>
        <w:t>11.14%</w:t>
      </w:r>
      <w:r w:rsidRPr="00E56272">
        <w:rPr>
          <w:kern w:val="0"/>
          <w:szCs w:val="21"/>
        </w:rPr>
        <w:t>，同期业绩比较基准收益率为</w:t>
      </w:r>
      <w:r w:rsidRPr="00E56272">
        <w:rPr>
          <w:kern w:val="0"/>
          <w:szCs w:val="21"/>
        </w:rPr>
        <w:t>1.67%</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5475"/>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C932E3" w:rsidRDefault="00F041BC">
      <w:pPr>
        <w:tabs>
          <w:tab w:val="left" w:pos="426"/>
        </w:tabs>
        <w:spacing w:line="360" w:lineRule="auto"/>
        <w:ind w:firstLineChars="200" w:firstLine="420"/>
        <w:rPr>
          <w:kern w:val="0"/>
          <w:szCs w:val="21"/>
        </w:rPr>
      </w:pPr>
      <w:r>
        <w:rPr>
          <w:kern w:val="0"/>
          <w:szCs w:val="21"/>
        </w:rPr>
        <w:t>展望下半年，宏观方面，各项经济指标预计将继续改善，上市公司的季报将呈现盈利底部回升态势；流动性方面，金融环境将维持货币信用</w:t>
      </w:r>
      <w:r>
        <w:rPr>
          <w:kern w:val="0"/>
          <w:szCs w:val="21"/>
        </w:rPr>
        <w:t>“</w:t>
      </w:r>
      <w:r>
        <w:rPr>
          <w:kern w:val="0"/>
          <w:szCs w:val="21"/>
        </w:rPr>
        <w:t>弱双宽</w:t>
      </w:r>
      <w:r>
        <w:rPr>
          <w:kern w:val="0"/>
          <w:szCs w:val="21"/>
        </w:rPr>
        <w:t>”</w:t>
      </w:r>
      <w:r>
        <w:rPr>
          <w:kern w:val="0"/>
          <w:szCs w:val="21"/>
        </w:rPr>
        <w:t>，外资将持续流入</w:t>
      </w:r>
      <w:r>
        <w:rPr>
          <w:kern w:val="0"/>
          <w:szCs w:val="21"/>
        </w:rPr>
        <w:t>A</w:t>
      </w:r>
      <w:r>
        <w:rPr>
          <w:kern w:val="0"/>
          <w:szCs w:val="21"/>
        </w:rPr>
        <w:t>股市场；风险偏好方面，经济环境和中美关系呈现出跷跷板效应，风险偏好向上和向下的空间均不大。整体来看，流动性宽松的持续和监管层对市场的态度将成为影响市场的重要因素。</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将坚持一贯的投资理念，坚持长期持有商业模式具有明显规模效应、竞争优势突出的优质公司，以分享这些企业的盈利增长获取收益。本基金长期看好的投资方向包括高端白酒、白色家电、生物医药、大众消费品、快递等行业内的优秀公司。</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5476"/>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C932E3" w:rsidRDefault="00F041BC">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5477"/>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5478"/>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5479"/>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本报告期内，中国邮政储蓄银行股份有限公司（以下称</w:t>
      </w:r>
      <w:r w:rsidRPr="00E56272">
        <w:rPr>
          <w:kern w:val="0"/>
          <w:szCs w:val="21"/>
        </w:rPr>
        <w:t>“</w:t>
      </w:r>
      <w:r w:rsidRPr="00E56272">
        <w:rPr>
          <w:kern w:val="0"/>
          <w:szCs w:val="21"/>
        </w:rPr>
        <w:t>本托管人</w:t>
      </w:r>
      <w:r w:rsidRPr="00E56272">
        <w:rPr>
          <w:kern w:val="0"/>
          <w:szCs w:val="21"/>
        </w:rPr>
        <w:t>”</w:t>
      </w:r>
      <w:r w:rsidRPr="00E56272">
        <w:rPr>
          <w:kern w:val="0"/>
          <w:szCs w:val="21"/>
        </w:rPr>
        <w:t>）在易方达改革红利混合型证券投资基金（以下称</w:t>
      </w:r>
      <w:r w:rsidRPr="00E56272">
        <w:rPr>
          <w:kern w:val="0"/>
          <w:szCs w:val="21"/>
        </w:rPr>
        <w:t>“</w:t>
      </w:r>
      <w:r w:rsidRPr="00E56272">
        <w:rPr>
          <w:kern w:val="0"/>
          <w:szCs w:val="21"/>
        </w:rPr>
        <w:t>本基金</w:t>
      </w:r>
      <w:r w:rsidRPr="00E56272">
        <w:rPr>
          <w:kern w:val="0"/>
          <w:szCs w:val="21"/>
        </w:rPr>
        <w:t>”</w:t>
      </w:r>
      <w:r w:rsidRPr="00E56272">
        <w:rPr>
          <w:kern w:val="0"/>
          <w:szCs w:val="21"/>
        </w:rPr>
        <w:t>）的托管过程中，严格遵守《证券投资基金法》及其他有关法律法规、基金合同和托管协议的有关规定，不存在损害基金份额持有人利益的行为，完全尽职尽责地履行了应尽的义务。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5480"/>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C932E3" w:rsidRDefault="00F041BC">
      <w:pPr>
        <w:tabs>
          <w:tab w:val="left" w:pos="426"/>
        </w:tabs>
        <w:spacing w:line="360" w:lineRule="auto"/>
        <w:ind w:firstLineChars="200" w:firstLine="420"/>
        <w:rPr>
          <w:kern w:val="0"/>
          <w:szCs w:val="21"/>
        </w:rPr>
      </w:pPr>
      <w:r>
        <w:rPr>
          <w:kern w:val="0"/>
          <w:szCs w:val="21"/>
        </w:rPr>
        <w:t>本报告期内，本托管人根据《证券投资基金法》及其他有关法律法规、基金合同和托管协议的规定，对本基金管理人的投资运作进行了必要的监督，对基金资产净值的计算、基金份额申购赎回价格的计算以及基金费用开支等方面进行了认真地复核，未发现本基金管理人存在损害基金份额持有人利益的行为。</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5481"/>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本报告中的财务指标、净值表现、收益分配情况、财务会计报告、投资组合报告等数据真实、准确和完整。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5482"/>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5483"/>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易方达改革红利混合型证券投资基金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87,751,068.17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60,164,612.61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83,047.40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173,913.05</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369,613.35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475,587.36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1,013,344,491.89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1,445,962,390.17</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1,013,344,491.89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1,375,757,390.17</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70,205,000.00</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6,190,497.78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6,769,589.25</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15,794.03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1,678,562.46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1,543,374.82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586,335.26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1,109,297,887.44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1,515,810,990.16</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17,636,009.39</w:t>
            </w:r>
          </w:p>
        </w:tc>
        <w:tc>
          <w:tcPr>
            <w:tcW w:w="2520" w:type="dxa"/>
            <w:vAlign w:val="center"/>
          </w:tcPr>
          <w:p w:rsidR="00753756" w:rsidRPr="00224952" w:rsidRDefault="00753756" w:rsidP="00523381">
            <w:pPr>
              <w:jc w:val="right"/>
              <w:rPr>
                <w:color w:val="000000"/>
                <w:szCs w:val="21"/>
              </w:rPr>
            </w:pPr>
            <w:r w:rsidRPr="00224952">
              <w:rPr>
                <w:color w:val="000000"/>
                <w:szCs w:val="21"/>
              </w:rPr>
              <w:t>13,998,162.25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1,386,342.81</w:t>
            </w:r>
          </w:p>
        </w:tc>
        <w:tc>
          <w:tcPr>
            <w:tcW w:w="2520" w:type="dxa"/>
            <w:vAlign w:val="center"/>
          </w:tcPr>
          <w:p w:rsidR="00753756" w:rsidRPr="00224952" w:rsidRDefault="00753756" w:rsidP="00523381">
            <w:pPr>
              <w:jc w:val="right"/>
              <w:rPr>
                <w:color w:val="000000"/>
                <w:szCs w:val="21"/>
              </w:rPr>
            </w:pPr>
            <w:r w:rsidRPr="00224952">
              <w:rPr>
                <w:color w:val="000000"/>
                <w:szCs w:val="21"/>
              </w:rPr>
              <w:t>1,904,421.26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231,057.13</w:t>
            </w:r>
          </w:p>
        </w:tc>
        <w:tc>
          <w:tcPr>
            <w:tcW w:w="2520" w:type="dxa"/>
            <w:vAlign w:val="center"/>
          </w:tcPr>
          <w:p w:rsidR="00753756" w:rsidRPr="00224952" w:rsidRDefault="00753756" w:rsidP="00523381">
            <w:pPr>
              <w:jc w:val="right"/>
              <w:rPr>
                <w:color w:val="000000"/>
                <w:szCs w:val="21"/>
              </w:rPr>
            </w:pPr>
            <w:r w:rsidRPr="00224952">
              <w:rPr>
                <w:color w:val="000000"/>
                <w:szCs w:val="21"/>
              </w:rPr>
              <w:t>317,403.55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329,528.07</w:t>
            </w:r>
          </w:p>
        </w:tc>
        <w:tc>
          <w:tcPr>
            <w:tcW w:w="2520" w:type="dxa"/>
            <w:vAlign w:val="center"/>
          </w:tcPr>
          <w:p w:rsidR="00753756" w:rsidRPr="00224952" w:rsidRDefault="00753756" w:rsidP="00523381">
            <w:pPr>
              <w:jc w:val="right"/>
              <w:rPr>
                <w:color w:val="000000"/>
                <w:szCs w:val="21"/>
              </w:rPr>
            </w:pPr>
            <w:r w:rsidRPr="00224952">
              <w:rPr>
                <w:color w:val="000000"/>
                <w:szCs w:val="21"/>
              </w:rPr>
              <w:t>326,159.33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0.63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336,383.53</w:t>
            </w:r>
          </w:p>
        </w:tc>
        <w:tc>
          <w:tcPr>
            <w:tcW w:w="2520" w:type="dxa"/>
            <w:vAlign w:val="center"/>
          </w:tcPr>
          <w:p w:rsidR="00753756" w:rsidRPr="00224952" w:rsidRDefault="00753756" w:rsidP="00523381">
            <w:pPr>
              <w:jc w:val="right"/>
              <w:rPr>
                <w:color w:val="000000"/>
                <w:szCs w:val="21"/>
              </w:rPr>
            </w:pPr>
            <w:r w:rsidRPr="00224952">
              <w:rPr>
                <w:color w:val="000000"/>
                <w:szCs w:val="21"/>
              </w:rPr>
              <w:t>330,970.62</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19,919,320.93</w:t>
            </w:r>
          </w:p>
        </w:tc>
        <w:tc>
          <w:tcPr>
            <w:tcW w:w="2520" w:type="dxa"/>
            <w:vAlign w:val="center"/>
          </w:tcPr>
          <w:p w:rsidR="00753756" w:rsidRPr="00523381" w:rsidRDefault="00753756" w:rsidP="00523381">
            <w:pPr>
              <w:jc w:val="right"/>
              <w:rPr>
                <w:color w:val="000000"/>
                <w:szCs w:val="21"/>
              </w:rPr>
            </w:pPr>
            <w:r w:rsidRPr="00523381">
              <w:rPr>
                <w:color w:val="000000"/>
                <w:szCs w:val="21"/>
              </w:rPr>
              <w:t>16,877,117.64</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833,344,303.58</w:t>
            </w:r>
          </w:p>
        </w:tc>
        <w:tc>
          <w:tcPr>
            <w:tcW w:w="2520" w:type="dxa"/>
            <w:vAlign w:val="center"/>
          </w:tcPr>
          <w:p w:rsidR="00753756" w:rsidRPr="00224952" w:rsidRDefault="00753756" w:rsidP="00523381">
            <w:pPr>
              <w:jc w:val="right"/>
              <w:rPr>
                <w:color w:val="000000"/>
                <w:szCs w:val="21"/>
              </w:rPr>
            </w:pPr>
            <w:r w:rsidRPr="00224952">
              <w:rPr>
                <w:color w:val="000000"/>
                <w:szCs w:val="21"/>
              </w:rPr>
              <w:t>1,274,171,146.93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256,034,262.93</w:t>
            </w:r>
          </w:p>
        </w:tc>
        <w:tc>
          <w:tcPr>
            <w:tcW w:w="2520" w:type="dxa"/>
            <w:vAlign w:val="center"/>
          </w:tcPr>
          <w:p w:rsidR="00753756" w:rsidRPr="00224952" w:rsidRDefault="00753756" w:rsidP="00523381">
            <w:pPr>
              <w:jc w:val="right"/>
              <w:rPr>
                <w:color w:val="000000"/>
                <w:szCs w:val="21"/>
              </w:rPr>
            </w:pPr>
            <w:r w:rsidRPr="00224952">
              <w:rPr>
                <w:color w:val="000000"/>
                <w:szCs w:val="21"/>
              </w:rPr>
              <w:t>224,762,725.59</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1,089,378,566.51</w:t>
            </w:r>
          </w:p>
        </w:tc>
        <w:tc>
          <w:tcPr>
            <w:tcW w:w="2520" w:type="dxa"/>
            <w:vAlign w:val="center"/>
          </w:tcPr>
          <w:p w:rsidR="00753756" w:rsidRPr="00523381" w:rsidRDefault="00753756" w:rsidP="00523381">
            <w:pPr>
              <w:jc w:val="right"/>
              <w:rPr>
                <w:color w:val="000000"/>
                <w:szCs w:val="21"/>
              </w:rPr>
            </w:pPr>
            <w:r w:rsidRPr="00523381">
              <w:rPr>
                <w:color w:val="000000"/>
                <w:szCs w:val="21"/>
              </w:rPr>
              <w:t>1,498,933,872.52</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1,109,297,887.44</w:t>
            </w:r>
          </w:p>
        </w:tc>
        <w:tc>
          <w:tcPr>
            <w:tcW w:w="2520" w:type="dxa"/>
            <w:vAlign w:val="center"/>
          </w:tcPr>
          <w:p w:rsidR="00753756" w:rsidRPr="00523381" w:rsidRDefault="00753756" w:rsidP="00523381">
            <w:pPr>
              <w:jc w:val="right"/>
              <w:rPr>
                <w:color w:val="000000"/>
                <w:szCs w:val="21"/>
              </w:rPr>
            </w:pPr>
            <w:r w:rsidRPr="00523381">
              <w:rPr>
                <w:color w:val="000000"/>
                <w:szCs w:val="21"/>
              </w:rPr>
              <w:t>1,515,810,990.16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1.307</w:t>
      </w:r>
      <w:r w:rsidRPr="00224952">
        <w:rPr>
          <w:kern w:val="0"/>
          <w:szCs w:val="21"/>
        </w:rPr>
        <w:t>元，基金份额总额</w:t>
      </w:r>
      <w:r w:rsidRPr="00224952">
        <w:rPr>
          <w:kern w:val="0"/>
          <w:szCs w:val="21"/>
        </w:rPr>
        <w:t>833,344,303.58</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5484"/>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易方达改革红利混合型证券投资基金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122,961,666.92</w:t>
            </w:r>
          </w:p>
        </w:tc>
        <w:tc>
          <w:tcPr>
            <w:tcW w:w="2250" w:type="dxa"/>
            <w:vAlign w:val="center"/>
          </w:tcPr>
          <w:p w:rsidR="00753756" w:rsidRPr="00224952" w:rsidRDefault="00753756" w:rsidP="00BC6113">
            <w:pPr>
              <w:jc w:val="right"/>
              <w:rPr>
                <w:b/>
                <w:color w:val="000000"/>
                <w:szCs w:val="21"/>
              </w:rPr>
            </w:pPr>
            <w:r w:rsidRPr="00224952">
              <w:rPr>
                <w:b/>
                <w:color w:val="000000"/>
                <w:szCs w:val="21"/>
              </w:rPr>
              <w:t>671,792,913.09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596,942.03</w:t>
            </w:r>
          </w:p>
        </w:tc>
        <w:tc>
          <w:tcPr>
            <w:tcW w:w="2250" w:type="dxa"/>
            <w:vAlign w:val="center"/>
          </w:tcPr>
          <w:p w:rsidR="00753756" w:rsidRPr="00224952" w:rsidRDefault="00753756" w:rsidP="00BC6113">
            <w:pPr>
              <w:jc w:val="right"/>
              <w:rPr>
                <w:color w:val="000000"/>
                <w:szCs w:val="21"/>
              </w:rPr>
            </w:pPr>
            <w:r w:rsidRPr="00224952">
              <w:rPr>
                <w:color w:val="000000"/>
                <w:szCs w:val="21"/>
              </w:rPr>
              <w:t>979,173.65</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374,573.19</w:t>
            </w:r>
          </w:p>
        </w:tc>
        <w:tc>
          <w:tcPr>
            <w:tcW w:w="2250" w:type="dxa"/>
            <w:vAlign w:val="center"/>
          </w:tcPr>
          <w:p w:rsidR="00753756" w:rsidRPr="00224952" w:rsidRDefault="00753756" w:rsidP="00BC6113">
            <w:pPr>
              <w:jc w:val="right"/>
              <w:rPr>
                <w:color w:val="000000"/>
                <w:szCs w:val="21"/>
              </w:rPr>
            </w:pPr>
            <w:r w:rsidRPr="00224952">
              <w:rPr>
                <w:color w:val="000000"/>
                <w:szCs w:val="21"/>
              </w:rPr>
              <w:t>597,892.49</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222,368.84</w:t>
            </w:r>
          </w:p>
        </w:tc>
        <w:tc>
          <w:tcPr>
            <w:tcW w:w="2250" w:type="dxa"/>
            <w:vAlign w:val="center"/>
          </w:tcPr>
          <w:p w:rsidR="00753756" w:rsidRPr="00224952" w:rsidRDefault="00753756" w:rsidP="00BC6113">
            <w:pPr>
              <w:jc w:val="right"/>
              <w:rPr>
                <w:color w:val="000000"/>
                <w:szCs w:val="21"/>
              </w:rPr>
            </w:pPr>
            <w:r w:rsidRPr="00224952">
              <w:rPr>
                <w:color w:val="000000"/>
                <w:szCs w:val="21"/>
              </w:rPr>
              <w:t>243,242.26</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138,038.90</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206,532,349.31</w:t>
            </w:r>
          </w:p>
        </w:tc>
        <w:tc>
          <w:tcPr>
            <w:tcW w:w="2250" w:type="dxa"/>
            <w:vAlign w:val="center"/>
          </w:tcPr>
          <w:p w:rsidR="00753756" w:rsidRPr="00224952" w:rsidRDefault="00753756" w:rsidP="00BC6113">
            <w:pPr>
              <w:jc w:val="right"/>
              <w:rPr>
                <w:color w:val="000000"/>
                <w:szCs w:val="21"/>
              </w:rPr>
            </w:pPr>
            <w:r w:rsidRPr="00224952">
              <w:rPr>
                <w:color w:val="000000"/>
                <w:szCs w:val="21"/>
              </w:rPr>
              <w:t>49,409,885.29</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195,252,496.42</w:t>
            </w:r>
          </w:p>
        </w:tc>
        <w:tc>
          <w:tcPr>
            <w:tcW w:w="2250" w:type="dxa"/>
            <w:vAlign w:val="center"/>
          </w:tcPr>
          <w:p w:rsidR="00753756" w:rsidRPr="00224952" w:rsidRDefault="00753756" w:rsidP="00BC6113">
            <w:pPr>
              <w:jc w:val="right"/>
              <w:rPr>
                <w:color w:val="000000"/>
                <w:szCs w:val="21"/>
              </w:rPr>
            </w:pPr>
            <w:r w:rsidRPr="00224952">
              <w:rPr>
                <w:color w:val="000000"/>
                <w:szCs w:val="21"/>
              </w:rPr>
              <w:t>26,556,659.87</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-52,170.00</w:t>
            </w:r>
          </w:p>
        </w:tc>
        <w:tc>
          <w:tcPr>
            <w:tcW w:w="2250" w:type="dxa"/>
            <w:vAlign w:val="center"/>
          </w:tcPr>
          <w:p w:rsidR="00753756" w:rsidRPr="00224952" w:rsidRDefault="00753756" w:rsidP="00BC6113">
            <w:pPr>
              <w:jc w:val="right"/>
              <w:rPr>
                <w:color w:val="000000"/>
                <w:szCs w:val="21"/>
              </w:rPr>
            </w:pPr>
            <w:r w:rsidRPr="00224952">
              <w:rPr>
                <w:color w:val="000000"/>
                <w:szCs w:val="21"/>
              </w:rPr>
              <w:t>261,932.32</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11,332,022.89</w:t>
            </w:r>
          </w:p>
        </w:tc>
        <w:tc>
          <w:tcPr>
            <w:tcW w:w="2250" w:type="dxa"/>
            <w:vAlign w:val="center"/>
          </w:tcPr>
          <w:p w:rsidR="00753756" w:rsidRPr="00224952" w:rsidRDefault="00753756" w:rsidP="00BC6113">
            <w:pPr>
              <w:jc w:val="right"/>
              <w:rPr>
                <w:color w:val="000000"/>
                <w:szCs w:val="21"/>
              </w:rPr>
            </w:pPr>
            <w:r w:rsidRPr="00224952">
              <w:rPr>
                <w:color w:val="000000"/>
                <w:szCs w:val="21"/>
              </w:rPr>
              <w:t>22,591,293.10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-84,740,590.07</w:t>
            </w:r>
          </w:p>
        </w:tc>
        <w:tc>
          <w:tcPr>
            <w:tcW w:w="2250" w:type="dxa"/>
            <w:vAlign w:val="center"/>
          </w:tcPr>
          <w:p w:rsidR="00753756" w:rsidRPr="00224952" w:rsidRDefault="00753756" w:rsidP="00BC6113">
            <w:pPr>
              <w:jc w:val="right"/>
              <w:rPr>
                <w:color w:val="000000"/>
                <w:szCs w:val="21"/>
              </w:rPr>
            </w:pPr>
            <w:r w:rsidRPr="00224952">
              <w:rPr>
                <w:color w:val="000000"/>
                <w:szCs w:val="21"/>
              </w:rPr>
              <w:t>620,438,045.42</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572,965.65</w:t>
            </w:r>
          </w:p>
        </w:tc>
        <w:tc>
          <w:tcPr>
            <w:tcW w:w="2250" w:type="dxa"/>
            <w:vAlign w:val="center"/>
          </w:tcPr>
          <w:p w:rsidR="00753756" w:rsidRPr="00224952" w:rsidRDefault="00753756" w:rsidP="00BC6113">
            <w:pPr>
              <w:jc w:val="right"/>
              <w:rPr>
                <w:color w:val="000000"/>
                <w:szCs w:val="21"/>
              </w:rPr>
            </w:pPr>
            <w:r w:rsidRPr="00224952">
              <w:rPr>
                <w:color w:val="000000"/>
                <w:szCs w:val="21"/>
              </w:rPr>
              <w:t>965,808.73</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12,362,339.50</w:t>
            </w:r>
          </w:p>
        </w:tc>
        <w:tc>
          <w:tcPr>
            <w:tcW w:w="2250" w:type="dxa"/>
            <w:vAlign w:val="center"/>
          </w:tcPr>
          <w:p w:rsidR="00753756" w:rsidRPr="00224952" w:rsidRDefault="00753756" w:rsidP="00BC6113">
            <w:pPr>
              <w:jc w:val="right"/>
              <w:rPr>
                <w:b/>
                <w:color w:val="000000"/>
                <w:szCs w:val="21"/>
              </w:rPr>
            </w:pPr>
            <w:r w:rsidRPr="00224952">
              <w:rPr>
                <w:b/>
                <w:color w:val="000000"/>
                <w:szCs w:val="21"/>
              </w:rPr>
              <w:t>16,900,539.13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9,026,550.29</w:t>
            </w:r>
          </w:p>
        </w:tc>
        <w:tc>
          <w:tcPr>
            <w:tcW w:w="2250" w:type="dxa"/>
            <w:vAlign w:val="center"/>
          </w:tcPr>
          <w:p w:rsidR="00753756" w:rsidRPr="00224952" w:rsidRDefault="00753756" w:rsidP="00BC6113">
            <w:pPr>
              <w:jc w:val="right"/>
              <w:rPr>
                <w:color w:val="000000"/>
                <w:szCs w:val="21"/>
              </w:rPr>
            </w:pPr>
            <w:r w:rsidRPr="00224952">
              <w:rPr>
                <w:color w:val="000000"/>
                <w:szCs w:val="21"/>
              </w:rPr>
              <w:t>12,808,585.98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1,504,425.09</w:t>
            </w:r>
          </w:p>
        </w:tc>
        <w:tc>
          <w:tcPr>
            <w:tcW w:w="2250" w:type="dxa"/>
            <w:vAlign w:val="center"/>
          </w:tcPr>
          <w:p w:rsidR="00753756" w:rsidRPr="00224952" w:rsidRDefault="00753756" w:rsidP="00BC6113">
            <w:pPr>
              <w:jc w:val="right"/>
              <w:rPr>
                <w:color w:val="000000"/>
                <w:szCs w:val="21"/>
              </w:rPr>
            </w:pPr>
            <w:r w:rsidRPr="00224952">
              <w:rPr>
                <w:color w:val="000000"/>
                <w:szCs w:val="21"/>
              </w:rPr>
              <w:t>2,134,764.33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1,703,365.74</w:t>
            </w:r>
          </w:p>
        </w:tc>
        <w:tc>
          <w:tcPr>
            <w:tcW w:w="2250" w:type="dxa"/>
            <w:vAlign w:val="center"/>
          </w:tcPr>
          <w:p w:rsidR="00753756" w:rsidRPr="00224952" w:rsidRDefault="00753756" w:rsidP="00BC6113">
            <w:pPr>
              <w:jc w:val="right"/>
              <w:rPr>
                <w:color w:val="000000"/>
                <w:szCs w:val="21"/>
              </w:rPr>
            </w:pPr>
            <w:r w:rsidRPr="00224952">
              <w:rPr>
                <w:color w:val="000000"/>
                <w:szCs w:val="21"/>
              </w:rPr>
              <w:t>1,830,298.95</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0.55</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127,998.38</w:t>
            </w:r>
          </w:p>
        </w:tc>
        <w:tc>
          <w:tcPr>
            <w:tcW w:w="2250" w:type="dxa"/>
            <w:vAlign w:val="bottom"/>
            <w:hideMark/>
          </w:tcPr>
          <w:p w:rsidR="0046665E" w:rsidRDefault="0046665E">
            <w:pPr>
              <w:jc w:val="right"/>
              <w:rPr>
                <w:color w:val="000000"/>
                <w:szCs w:val="21"/>
              </w:rPr>
            </w:pPr>
            <w:r>
              <w:rPr>
                <w:color w:val="000000"/>
                <w:szCs w:val="21"/>
              </w:rPr>
              <w:t>126,889.32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110,599,327.42</w:t>
            </w:r>
          </w:p>
        </w:tc>
        <w:tc>
          <w:tcPr>
            <w:tcW w:w="2250" w:type="dxa"/>
            <w:vAlign w:val="center"/>
          </w:tcPr>
          <w:p w:rsidR="00753756" w:rsidRPr="00224952" w:rsidRDefault="00753756" w:rsidP="00BC6113">
            <w:pPr>
              <w:jc w:val="right"/>
              <w:rPr>
                <w:b/>
                <w:color w:val="000000"/>
                <w:szCs w:val="21"/>
              </w:rPr>
            </w:pPr>
            <w:r w:rsidRPr="00224952">
              <w:rPr>
                <w:b/>
                <w:color w:val="000000"/>
                <w:szCs w:val="21"/>
              </w:rPr>
              <w:t>654,892,373.96</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110,599,327.42</w:t>
            </w:r>
          </w:p>
        </w:tc>
        <w:tc>
          <w:tcPr>
            <w:tcW w:w="2250" w:type="dxa"/>
            <w:vAlign w:val="center"/>
          </w:tcPr>
          <w:p w:rsidR="00753756" w:rsidRPr="00224952" w:rsidRDefault="00753756" w:rsidP="00BC6113">
            <w:pPr>
              <w:jc w:val="right"/>
              <w:rPr>
                <w:b/>
                <w:color w:val="000000"/>
                <w:szCs w:val="21"/>
              </w:rPr>
            </w:pPr>
            <w:r w:rsidRPr="00224952">
              <w:rPr>
                <w:b/>
                <w:color w:val="000000"/>
                <w:szCs w:val="21"/>
              </w:rPr>
              <w:t>654,892,373.96</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5485"/>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易方达改革红利混合型证券投资基金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1,274,171,146.93</w:t>
            </w:r>
          </w:p>
        </w:tc>
        <w:tc>
          <w:tcPr>
            <w:tcW w:w="2149" w:type="dxa"/>
            <w:vAlign w:val="center"/>
          </w:tcPr>
          <w:p w:rsidR="00753756" w:rsidRPr="00224952" w:rsidRDefault="00753756" w:rsidP="001B7EE2">
            <w:pPr>
              <w:jc w:val="right"/>
              <w:rPr>
                <w:color w:val="000000"/>
                <w:szCs w:val="21"/>
              </w:rPr>
            </w:pPr>
            <w:r w:rsidRPr="00224952">
              <w:rPr>
                <w:color w:val="000000"/>
                <w:szCs w:val="21"/>
              </w:rPr>
              <w:t>224,762,725.59</w:t>
            </w:r>
          </w:p>
        </w:tc>
        <w:tc>
          <w:tcPr>
            <w:tcW w:w="2150" w:type="dxa"/>
            <w:vAlign w:val="center"/>
          </w:tcPr>
          <w:p w:rsidR="00753756" w:rsidRPr="00224952" w:rsidRDefault="00753756" w:rsidP="001B7EE2">
            <w:pPr>
              <w:jc w:val="right"/>
              <w:rPr>
                <w:color w:val="000000"/>
                <w:szCs w:val="21"/>
              </w:rPr>
            </w:pPr>
            <w:r w:rsidRPr="00224952">
              <w:rPr>
                <w:color w:val="000000"/>
                <w:szCs w:val="21"/>
              </w:rPr>
              <w:t>1,498,933,872.52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110,599,327.42</w:t>
            </w:r>
          </w:p>
        </w:tc>
        <w:tc>
          <w:tcPr>
            <w:tcW w:w="2150" w:type="dxa"/>
            <w:vAlign w:val="center"/>
          </w:tcPr>
          <w:p w:rsidR="00753756" w:rsidRPr="00224952" w:rsidRDefault="00753756" w:rsidP="001B7EE2">
            <w:pPr>
              <w:jc w:val="right"/>
              <w:rPr>
                <w:color w:val="000000"/>
                <w:szCs w:val="21"/>
              </w:rPr>
            </w:pPr>
            <w:r w:rsidRPr="00224952">
              <w:rPr>
                <w:color w:val="000000"/>
                <w:szCs w:val="21"/>
              </w:rPr>
              <w:t>110,599,327.42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-440,826,843.35</w:t>
            </w:r>
          </w:p>
        </w:tc>
        <w:tc>
          <w:tcPr>
            <w:tcW w:w="2149" w:type="dxa"/>
            <w:vAlign w:val="center"/>
          </w:tcPr>
          <w:p w:rsidR="00753756" w:rsidRPr="00224952" w:rsidRDefault="00753756" w:rsidP="001B7EE2">
            <w:pPr>
              <w:jc w:val="right"/>
              <w:rPr>
                <w:color w:val="000000"/>
                <w:szCs w:val="21"/>
              </w:rPr>
            </w:pPr>
            <w:r w:rsidRPr="00224952">
              <w:rPr>
                <w:color w:val="000000"/>
                <w:szCs w:val="21"/>
              </w:rPr>
              <w:t>-79,327,790.08</w:t>
            </w:r>
          </w:p>
        </w:tc>
        <w:tc>
          <w:tcPr>
            <w:tcW w:w="2150" w:type="dxa"/>
            <w:vAlign w:val="center"/>
          </w:tcPr>
          <w:p w:rsidR="00753756" w:rsidRPr="00224952" w:rsidRDefault="00753756" w:rsidP="001B7EE2">
            <w:pPr>
              <w:jc w:val="right"/>
              <w:rPr>
                <w:color w:val="000000"/>
                <w:szCs w:val="21"/>
              </w:rPr>
            </w:pPr>
            <w:r w:rsidRPr="00224952">
              <w:rPr>
                <w:color w:val="000000"/>
                <w:szCs w:val="21"/>
              </w:rPr>
              <w:t>-520,154,633.43</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117,788,646.43</w:t>
            </w:r>
          </w:p>
        </w:tc>
        <w:tc>
          <w:tcPr>
            <w:tcW w:w="2149" w:type="dxa"/>
            <w:vAlign w:val="center"/>
          </w:tcPr>
          <w:p w:rsidR="00753756" w:rsidRPr="00224952" w:rsidRDefault="00753756" w:rsidP="001B7EE2">
            <w:pPr>
              <w:jc w:val="right"/>
              <w:rPr>
                <w:color w:val="000000"/>
                <w:szCs w:val="21"/>
              </w:rPr>
            </w:pPr>
            <w:r w:rsidRPr="00224952">
              <w:rPr>
                <w:color w:val="000000"/>
                <w:szCs w:val="21"/>
              </w:rPr>
              <w:t>17,297,846.65</w:t>
            </w:r>
          </w:p>
        </w:tc>
        <w:tc>
          <w:tcPr>
            <w:tcW w:w="2150" w:type="dxa"/>
            <w:vAlign w:val="center"/>
          </w:tcPr>
          <w:p w:rsidR="00753756" w:rsidRPr="00224952" w:rsidRDefault="00753756" w:rsidP="001B7EE2">
            <w:pPr>
              <w:jc w:val="right"/>
              <w:rPr>
                <w:color w:val="000000"/>
                <w:szCs w:val="21"/>
              </w:rPr>
            </w:pPr>
            <w:r w:rsidRPr="00224952">
              <w:rPr>
                <w:color w:val="000000"/>
                <w:szCs w:val="21"/>
              </w:rPr>
              <w:t>135,086,493.08</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-558,615,489.78</w:t>
            </w:r>
          </w:p>
        </w:tc>
        <w:tc>
          <w:tcPr>
            <w:tcW w:w="2149" w:type="dxa"/>
            <w:vAlign w:val="center"/>
          </w:tcPr>
          <w:p w:rsidR="00753756" w:rsidRPr="00224952" w:rsidRDefault="00753756" w:rsidP="001B7EE2">
            <w:pPr>
              <w:jc w:val="right"/>
              <w:rPr>
                <w:color w:val="000000"/>
                <w:szCs w:val="21"/>
              </w:rPr>
            </w:pPr>
            <w:r w:rsidRPr="00224952">
              <w:rPr>
                <w:color w:val="000000"/>
                <w:szCs w:val="21"/>
              </w:rPr>
              <w:t>-96,625,636.73</w:t>
            </w:r>
          </w:p>
        </w:tc>
        <w:tc>
          <w:tcPr>
            <w:tcW w:w="2150" w:type="dxa"/>
            <w:vAlign w:val="center"/>
          </w:tcPr>
          <w:p w:rsidR="00753756" w:rsidRPr="00224952" w:rsidRDefault="00753756" w:rsidP="001B7EE2">
            <w:pPr>
              <w:jc w:val="right"/>
              <w:rPr>
                <w:color w:val="000000"/>
                <w:szCs w:val="21"/>
              </w:rPr>
            </w:pPr>
            <w:r w:rsidRPr="00224952">
              <w:rPr>
                <w:color w:val="000000"/>
                <w:szCs w:val="21"/>
              </w:rPr>
              <w:t>-655,241,126.51</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833,344,303.58</w:t>
            </w:r>
          </w:p>
        </w:tc>
        <w:tc>
          <w:tcPr>
            <w:tcW w:w="2149" w:type="dxa"/>
            <w:vAlign w:val="center"/>
          </w:tcPr>
          <w:p w:rsidR="00753756" w:rsidRPr="00224952" w:rsidRDefault="00753756" w:rsidP="001B7EE2">
            <w:pPr>
              <w:jc w:val="right"/>
              <w:rPr>
                <w:color w:val="000000"/>
                <w:szCs w:val="21"/>
              </w:rPr>
            </w:pPr>
            <w:r w:rsidRPr="00224952">
              <w:rPr>
                <w:color w:val="000000"/>
                <w:szCs w:val="21"/>
              </w:rPr>
              <w:t>256,034,262.93</w:t>
            </w:r>
          </w:p>
        </w:tc>
        <w:tc>
          <w:tcPr>
            <w:tcW w:w="2150" w:type="dxa"/>
            <w:vAlign w:val="center"/>
          </w:tcPr>
          <w:p w:rsidR="00753756" w:rsidRPr="00224952" w:rsidRDefault="00753756" w:rsidP="001B7EE2">
            <w:pPr>
              <w:jc w:val="right"/>
              <w:rPr>
                <w:color w:val="000000"/>
                <w:szCs w:val="21"/>
              </w:rPr>
            </w:pPr>
            <w:r w:rsidRPr="00224952">
              <w:rPr>
                <w:color w:val="000000"/>
                <w:szCs w:val="21"/>
              </w:rPr>
              <w:t>1,089,378,566.51</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1,949,748,675.60</w:t>
            </w:r>
          </w:p>
        </w:tc>
        <w:tc>
          <w:tcPr>
            <w:tcW w:w="2149" w:type="dxa"/>
            <w:vAlign w:val="center"/>
          </w:tcPr>
          <w:p w:rsidR="00753756" w:rsidRPr="00224952" w:rsidRDefault="00753756" w:rsidP="00850FCB">
            <w:pPr>
              <w:jc w:val="right"/>
              <w:rPr>
                <w:color w:val="000000"/>
                <w:szCs w:val="21"/>
              </w:rPr>
            </w:pPr>
            <w:r w:rsidRPr="00224952">
              <w:rPr>
                <w:color w:val="000000"/>
                <w:szCs w:val="21"/>
              </w:rPr>
              <w:t>-482,740,353.83</w:t>
            </w:r>
          </w:p>
        </w:tc>
        <w:tc>
          <w:tcPr>
            <w:tcW w:w="2150" w:type="dxa"/>
            <w:vAlign w:val="center"/>
          </w:tcPr>
          <w:p w:rsidR="00753756" w:rsidRPr="00224952" w:rsidRDefault="00753756" w:rsidP="00850FCB">
            <w:pPr>
              <w:jc w:val="right"/>
              <w:rPr>
                <w:color w:val="000000"/>
                <w:szCs w:val="21"/>
              </w:rPr>
            </w:pPr>
            <w:r w:rsidRPr="00224952">
              <w:rPr>
                <w:color w:val="000000"/>
                <w:szCs w:val="21"/>
              </w:rPr>
              <w:t>1,467,008,321.77</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654,892,373.96</w:t>
            </w:r>
          </w:p>
        </w:tc>
        <w:tc>
          <w:tcPr>
            <w:tcW w:w="2150" w:type="dxa"/>
            <w:vAlign w:val="center"/>
          </w:tcPr>
          <w:p w:rsidR="00753756" w:rsidRPr="00224952" w:rsidRDefault="00753756" w:rsidP="00850FCB">
            <w:pPr>
              <w:jc w:val="right"/>
              <w:rPr>
                <w:color w:val="000000"/>
                <w:szCs w:val="21"/>
              </w:rPr>
            </w:pPr>
            <w:r w:rsidRPr="00224952">
              <w:rPr>
                <w:color w:val="000000"/>
                <w:szCs w:val="21"/>
              </w:rPr>
              <w:t>654,892,373.96</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-307,303,368.77</w:t>
            </w:r>
          </w:p>
        </w:tc>
        <w:tc>
          <w:tcPr>
            <w:tcW w:w="2149" w:type="dxa"/>
            <w:vAlign w:val="center"/>
          </w:tcPr>
          <w:p w:rsidR="00753756" w:rsidRPr="00224952" w:rsidRDefault="00753756" w:rsidP="007462A0">
            <w:pPr>
              <w:jc w:val="right"/>
              <w:rPr>
                <w:color w:val="000000"/>
                <w:szCs w:val="21"/>
              </w:rPr>
            </w:pPr>
            <w:r w:rsidRPr="00224952">
              <w:rPr>
                <w:color w:val="000000"/>
                <w:szCs w:val="21"/>
              </w:rPr>
              <w:t>-2,286,299.43</w:t>
            </w:r>
          </w:p>
        </w:tc>
        <w:tc>
          <w:tcPr>
            <w:tcW w:w="2150" w:type="dxa"/>
            <w:vAlign w:val="center"/>
          </w:tcPr>
          <w:p w:rsidR="00753756" w:rsidRPr="00224952" w:rsidRDefault="00753756" w:rsidP="00850FCB">
            <w:pPr>
              <w:jc w:val="right"/>
              <w:rPr>
                <w:color w:val="000000"/>
                <w:szCs w:val="21"/>
              </w:rPr>
            </w:pPr>
            <w:r w:rsidRPr="00224952">
              <w:rPr>
                <w:color w:val="000000"/>
                <w:szCs w:val="21"/>
              </w:rPr>
              <w:t>-309,589,668.20</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211,017,086.88</w:t>
            </w:r>
          </w:p>
        </w:tc>
        <w:tc>
          <w:tcPr>
            <w:tcW w:w="2149" w:type="dxa"/>
            <w:vAlign w:val="center"/>
          </w:tcPr>
          <w:p w:rsidR="00753756" w:rsidRPr="00224952" w:rsidRDefault="00753756" w:rsidP="007462A0">
            <w:pPr>
              <w:jc w:val="right"/>
              <w:rPr>
                <w:color w:val="000000"/>
                <w:szCs w:val="21"/>
              </w:rPr>
            </w:pPr>
            <w:r w:rsidRPr="00224952">
              <w:rPr>
                <w:color w:val="000000"/>
                <w:szCs w:val="21"/>
              </w:rPr>
              <w:t>-6,206,211.00</w:t>
            </w:r>
          </w:p>
        </w:tc>
        <w:tc>
          <w:tcPr>
            <w:tcW w:w="2150" w:type="dxa"/>
            <w:vAlign w:val="center"/>
          </w:tcPr>
          <w:p w:rsidR="00753756" w:rsidRPr="00224952" w:rsidRDefault="00753756" w:rsidP="00850FCB">
            <w:pPr>
              <w:jc w:val="right"/>
              <w:rPr>
                <w:color w:val="000000"/>
                <w:szCs w:val="21"/>
              </w:rPr>
            </w:pPr>
            <w:r w:rsidRPr="00224952">
              <w:rPr>
                <w:color w:val="000000"/>
                <w:szCs w:val="21"/>
              </w:rPr>
              <w:t>204,810,875.88</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-518,320,455.65</w:t>
            </w:r>
          </w:p>
        </w:tc>
        <w:tc>
          <w:tcPr>
            <w:tcW w:w="2149" w:type="dxa"/>
            <w:vAlign w:val="center"/>
          </w:tcPr>
          <w:p w:rsidR="00753756" w:rsidRPr="00224952" w:rsidRDefault="00753756" w:rsidP="007462A0">
            <w:pPr>
              <w:jc w:val="right"/>
              <w:rPr>
                <w:color w:val="000000"/>
                <w:szCs w:val="21"/>
              </w:rPr>
            </w:pPr>
            <w:r w:rsidRPr="00224952">
              <w:rPr>
                <w:color w:val="000000"/>
                <w:szCs w:val="21"/>
              </w:rPr>
              <w:t>3,919,911.57</w:t>
            </w:r>
          </w:p>
        </w:tc>
        <w:tc>
          <w:tcPr>
            <w:tcW w:w="2150" w:type="dxa"/>
            <w:vAlign w:val="center"/>
          </w:tcPr>
          <w:p w:rsidR="00753756" w:rsidRPr="00224952" w:rsidRDefault="00753756" w:rsidP="00850FCB">
            <w:pPr>
              <w:jc w:val="right"/>
              <w:rPr>
                <w:color w:val="000000"/>
                <w:szCs w:val="21"/>
              </w:rPr>
            </w:pPr>
            <w:r w:rsidRPr="00224952">
              <w:rPr>
                <w:color w:val="000000"/>
                <w:szCs w:val="21"/>
              </w:rPr>
              <w:t>-514,400,544.08</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1,642,445,306.83</w:t>
            </w:r>
          </w:p>
        </w:tc>
        <w:tc>
          <w:tcPr>
            <w:tcW w:w="2149" w:type="dxa"/>
            <w:vAlign w:val="center"/>
          </w:tcPr>
          <w:p w:rsidR="00753756" w:rsidRPr="00224952" w:rsidRDefault="00753756" w:rsidP="007462A0">
            <w:pPr>
              <w:jc w:val="right"/>
              <w:rPr>
                <w:color w:val="000000"/>
                <w:szCs w:val="21"/>
              </w:rPr>
            </w:pPr>
            <w:r w:rsidRPr="00224952">
              <w:rPr>
                <w:color w:val="000000"/>
                <w:szCs w:val="21"/>
              </w:rPr>
              <w:t>169,865,720.70</w:t>
            </w:r>
          </w:p>
        </w:tc>
        <w:tc>
          <w:tcPr>
            <w:tcW w:w="2150" w:type="dxa"/>
            <w:vAlign w:val="center"/>
          </w:tcPr>
          <w:p w:rsidR="00753756" w:rsidRPr="00224952" w:rsidRDefault="00753756" w:rsidP="00850FCB">
            <w:pPr>
              <w:jc w:val="right"/>
              <w:rPr>
                <w:color w:val="000000"/>
                <w:szCs w:val="21"/>
              </w:rPr>
            </w:pPr>
            <w:r w:rsidRPr="00224952">
              <w:rPr>
                <w:color w:val="000000"/>
                <w:szCs w:val="21"/>
              </w:rPr>
              <w:t>1,812,311,027.53</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5486"/>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易方达改革红利混合型证券投资基金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[2015] 206</w:t>
      </w:r>
      <w:r w:rsidRPr="00E56272">
        <w:rPr>
          <w:kern w:val="0"/>
          <w:szCs w:val="21"/>
        </w:rPr>
        <w:t>号《关于准予易方达改革红利混合型证券投资基金注册的批复》进行募集，由易方达基金管理有限公司依照《中华人民共和国证券投资基金法》和《易方达改革红利混合型证券投资基金基金合同》公开募集。经向中国证监会备案，《易方达改革红利混合型证券投资基金基金合同》于</w:t>
      </w:r>
      <w:r w:rsidRPr="00E56272">
        <w:rPr>
          <w:kern w:val="0"/>
          <w:szCs w:val="21"/>
        </w:rPr>
        <w:t>2015</w:t>
      </w:r>
      <w:r w:rsidRPr="00E56272">
        <w:rPr>
          <w:kern w:val="0"/>
          <w:szCs w:val="21"/>
        </w:rPr>
        <w:t>年</w:t>
      </w:r>
      <w:r w:rsidRPr="00E56272">
        <w:rPr>
          <w:kern w:val="0"/>
          <w:szCs w:val="21"/>
        </w:rPr>
        <w:t>4</w:t>
      </w:r>
      <w:r w:rsidRPr="00E56272">
        <w:rPr>
          <w:kern w:val="0"/>
          <w:szCs w:val="21"/>
        </w:rPr>
        <w:t>月</w:t>
      </w:r>
      <w:r w:rsidRPr="00E56272">
        <w:rPr>
          <w:kern w:val="0"/>
          <w:szCs w:val="21"/>
        </w:rPr>
        <w:t>23</w:t>
      </w:r>
      <w:r w:rsidRPr="00E56272">
        <w:rPr>
          <w:kern w:val="0"/>
          <w:szCs w:val="21"/>
        </w:rPr>
        <w:t>日正式生效，基金合同生效日的基金份额总额为</w:t>
      </w:r>
      <w:r w:rsidRPr="00E56272">
        <w:rPr>
          <w:kern w:val="0"/>
          <w:szCs w:val="21"/>
        </w:rPr>
        <w:t>2,199,272,144.27</w:t>
      </w:r>
      <w:r w:rsidRPr="00E56272">
        <w:rPr>
          <w:kern w:val="0"/>
          <w:szCs w:val="21"/>
        </w:rPr>
        <w:t>份基金份额，其中认购资金利息折合</w:t>
      </w:r>
      <w:r w:rsidRPr="00E56272">
        <w:rPr>
          <w:kern w:val="0"/>
          <w:szCs w:val="21"/>
        </w:rPr>
        <w:t>998,320.15</w:t>
      </w:r>
      <w:r w:rsidRPr="00E56272">
        <w:rPr>
          <w:kern w:val="0"/>
          <w:szCs w:val="21"/>
        </w:rPr>
        <w:t>份基金份额。本基金为契约型开放式基金，存续期限不定。本基金的基金管理人为易方达基金管理有限公司，基金托管人为中国邮政储蓄银行股份有限公司。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C932E3" w:rsidRDefault="00F041BC">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颁布的《证券投资基金会计核算业务指引》、《易方达改革红利混合型证券投资基金基金合同》和财务报表附注所列示的中国证监会、中国基金业协会发布的有关规定及允许的基金行业实务操作编制。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C932E3" w:rsidRDefault="00F041BC">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C932E3" w:rsidRDefault="00F041BC">
      <w:pPr>
        <w:tabs>
          <w:tab w:val="left" w:pos="426"/>
        </w:tabs>
        <w:spacing w:line="360" w:lineRule="auto"/>
        <w:ind w:firstLineChars="200" w:firstLine="420"/>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C932E3" w:rsidRDefault="00F041BC">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C932E3" w:rsidRDefault="00F041BC">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C932E3" w:rsidRDefault="00F041BC">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C932E3" w:rsidRDefault="00F041BC">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 xml:space="preserve">(5) </w:t>
      </w:r>
      <w:r w:rsidRPr="00E56272">
        <w:rPr>
          <w:kern w:val="0"/>
          <w:szCs w:val="21"/>
        </w:rPr>
        <w:t>本基金的城市维护建设税、教育费附加和地方教育附加等税费按照实际缴纳增值税额的适用比例计算缴纳。</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87,751,068.17</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87,751,068.17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645,487,143.19</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1,013,344,491.89</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367,857,348.70</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w:t>
            </w:r>
          </w:p>
        </w:tc>
        <w:tc>
          <w:tcPr>
            <w:tcW w:w="2339" w:type="dxa"/>
            <w:vAlign w:val="center"/>
          </w:tcPr>
          <w:p w:rsidR="00753756" w:rsidRPr="00224952" w:rsidRDefault="00753756" w:rsidP="00CB39C2">
            <w:pPr>
              <w:jc w:val="right"/>
              <w:rPr>
                <w:color w:val="000000"/>
                <w:szCs w:val="21"/>
              </w:rPr>
            </w:pPr>
            <w:r w:rsidRPr="00224952">
              <w:rPr>
                <w:szCs w:val="21"/>
              </w:rPr>
              <w:t>-</w:t>
            </w:r>
          </w:p>
        </w:tc>
        <w:tc>
          <w:tcPr>
            <w:tcW w:w="2340" w:type="dxa"/>
            <w:vAlign w:val="center"/>
          </w:tcPr>
          <w:p w:rsidR="00753756" w:rsidRPr="00224952" w:rsidRDefault="00753756" w:rsidP="00CB39C2">
            <w:pPr>
              <w:jc w:val="right"/>
              <w:rPr>
                <w:color w:val="000000"/>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645,487,143.19</w:t>
            </w:r>
          </w:p>
        </w:tc>
        <w:tc>
          <w:tcPr>
            <w:tcW w:w="2339" w:type="dxa"/>
            <w:vAlign w:val="center"/>
          </w:tcPr>
          <w:p w:rsidR="00753756" w:rsidRPr="00224952" w:rsidRDefault="00753756" w:rsidP="00CB39C2">
            <w:pPr>
              <w:jc w:val="right"/>
              <w:rPr>
                <w:szCs w:val="21"/>
              </w:rPr>
            </w:pPr>
            <w:r w:rsidRPr="00224952">
              <w:rPr>
                <w:szCs w:val="21"/>
              </w:rPr>
              <w:t>1,013,344,491.89</w:t>
            </w:r>
          </w:p>
        </w:tc>
        <w:tc>
          <w:tcPr>
            <w:tcW w:w="2340" w:type="dxa"/>
            <w:vAlign w:val="center"/>
          </w:tcPr>
          <w:p w:rsidR="00753756" w:rsidRPr="00224952" w:rsidRDefault="00753756" w:rsidP="00CB39C2">
            <w:pPr>
              <w:jc w:val="right"/>
              <w:rPr>
                <w:szCs w:val="21"/>
              </w:rPr>
            </w:pPr>
            <w:r w:rsidRPr="00224952">
              <w:rPr>
                <w:szCs w:val="21"/>
              </w:rPr>
              <w:t>367,857,348.70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15,610.70</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33.66</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149.67</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15,794.03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329,528.07</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329,528.07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6,985.15</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C932E3">
        <w:tc>
          <w:tcPr>
            <w:tcW w:w="3701" w:type="dxa"/>
            <w:vAlign w:val="center"/>
          </w:tcPr>
          <w:p w:rsidR="00C932E3" w:rsidRDefault="00F041BC">
            <w:pPr>
              <w:jc w:val="left"/>
            </w:pPr>
            <w:r>
              <w:rPr>
                <w:szCs w:val="21"/>
              </w:rPr>
              <w:t>预提费用</w:t>
            </w:r>
          </w:p>
        </w:tc>
        <w:tc>
          <w:tcPr>
            <w:tcW w:w="5528" w:type="dxa"/>
            <w:vAlign w:val="center"/>
          </w:tcPr>
          <w:p w:rsidR="00C932E3" w:rsidRDefault="00F041BC">
            <w:pPr>
              <w:jc w:val="right"/>
            </w:pPr>
            <w:r>
              <w:rPr>
                <w:szCs w:val="21"/>
              </w:rPr>
              <w:t>329,398.38</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336,383.53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1,274,171,146.93</w:t>
            </w:r>
          </w:p>
        </w:tc>
        <w:tc>
          <w:tcPr>
            <w:tcW w:w="3364" w:type="dxa"/>
            <w:vAlign w:val="center"/>
          </w:tcPr>
          <w:p w:rsidR="00753756" w:rsidRPr="00224952" w:rsidRDefault="00753756" w:rsidP="0070173B">
            <w:pPr>
              <w:jc w:val="right"/>
              <w:rPr>
                <w:szCs w:val="21"/>
              </w:rPr>
            </w:pPr>
            <w:r w:rsidRPr="00224952">
              <w:rPr>
                <w:szCs w:val="21"/>
              </w:rPr>
              <w:t>1,274,171,146.93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117,788,646.43</w:t>
            </w:r>
          </w:p>
        </w:tc>
        <w:tc>
          <w:tcPr>
            <w:tcW w:w="3364" w:type="dxa"/>
            <w:vAlign w:val="center"/>
          </w:tcPr>
          <w:p w:rsidR="00753756" w:rsidRPr="00224952" w:rsidRDefault="00753756" w:rsidP="0070173B">
            <w:pPr>
              <w:jc w:val="right"/>
              <w:rPr>
                <w:szCs w:val="21"/>
              </w:rPr>
            </w:pPr>
            <w:r w:rsidRPr="00224952">
              <w:rPr>
                <w:szCs w:val="21"/>
              </w:rPr>
              <w:t>117,788,646.43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-558,615,489.78</w:t>
            </w:r>
          </w:p>
        </w:tc>
        <w:tc>
          <w:tcPr>
            <w:tcW w:w="3364" w:type="dxa"/>
            <w:vAlign w:val="center"/>
          </w:tcPr>
          <w:p w:rsidR="00753756" w:rsidRPr="00224952" w:rsidRDefault="00753756" w:rsidP="0070173B">
            <w:pPr>
              <w:jc w:val="right"/>
              <w:rPr>
                <w:szCs w:val="21"/>
              </w:rPr>
            </w:pPr>
            <w:r w:rsidRPr="00224952">
              <w:rPr>
                <w:szCs w:val="21"/>
              </w:rPr>
              <w:t>-558,615,489.78</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833,344,303.58</w:t>
            </w:r>
          </w:p>
        </w:tc>
        <w:tc>
          <w:tcPr>
            <w:tcW w:w="3364" w:type="dxa"/>
            <w:vAlign w:val="center"/>
          </w:tcPr>
          <w:p w:rsidR="00753756" w:rsidRPr="00224952" w:rsidRDefault="00753756" w:rsidP="00EE2AE3">
            <w:pPr>
              <w:jc w:val="right"/>
              <w:rPr>
                <w:szCs w:val="21"/>
              </w:rPr>
            </w:pPr>
            <w:r w:rsidRPr="00224952">
              <w:rPr>
                <w:szCs w:val="21"/>
              </w:rPr>
              <w:t>833,344,303.58</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-146,354,122.68</w:t>
            </w:r>
          </w:p>
        </w:tc>
        <w:tc>
          <w:tcPr>
            <w:tcW w:w="2100" w:type="dxa"/>
            <w:vAlign w:val="center"/>
          </w:tcPr>
          <w:p w:rsidR="00753756" w:rsidRPr="00224952" w:rsidRDefault="00753756" w:rsidP="0070173B">
            <w:pPr>
              <w:jc w:val="right"/>
              <w:rPr>
                <w:szCs w:val="21"/>
              </w:rPr>
            </w:pPr>
            <w:r w:rsidRPr="00224952">
              <w:rPr>
                <w:szCs w:val="21"/>
              </w:rPr>
              <w:t>371,116,848.27</w:t>
            </w:r>
          </w:p>
        </w:tc>
        <w:tc>
          <w:tcPr>
            <w:tcW w:w="2100" w:type="dxa"/>
            <w:vAlign w:val="center"/>
          </w:tcPr>
          <w:p w:rsidR="00753756" w:rsidRPr="00224952" w:rsidRDefault="00753756" w:rsidP="0070173B">
            <w:pPr>
              <w:jc w:val="right"/>
              <w:rPr>
                <w:szCs w:val="21"/>
              </w:rPr>
            </w:pPr>
            <w:r w:rsidRPr="00224952">
              <w:rPr>
                <w:szCs w:val="21"/>
              </w:rPr>
              <w:t>224,762,725.59</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195,339,917.49</w:t>
            </w:r>
          </w:p>
        </w:tc>
        <w:tc>
          <w:tcPr>
            <w:tcW w:w="2100" w:type="dxa"/>
            <w:vAlign w:val="center"/>
          </w:tcPr>
          <w:p w:rsidR="00753756" w:rsidRPr="00224952" w:rsidRDefault="00753756" w:rsidP="0070173B">
            <w:pPr>
              <w:jc w:val="right"/>
              <w:rPr>
                <w:szCs w:val="21"/>
              </w:rPr>
            </w:pPr>
            <w:r w:rsidRPr="00224952">
              <w:rPr>
                <w:szCs w:val="21"/>
              </w:rPr>
              <w:t>-84,740,590.07</w:t>
            </w:r>
          </w:p>
        </w:tc>
        <w:tc>
          <w:tcPr>
            <w:tcW w:w="2100" w:type="dxa"/>
            <w:vAlign w:val="center"/>
          </w:tcPr>
          <w:p w:rsidR="00753756" w:rsidRPr="00224952" w:rsidRDefault="00753756" w:rsidP="0070173B">
            <w:pPr>
              <w:jc w:val="right"/>
              <w:rPr>
                <w:szCs w:val="21"/>
              </w:rPr>
            </w:pPr>
            <w:r w:rsidRPr="00224952">
              <w:rPr>
                <w:szCs w:val="21"/>
              </w:rPr>
              <w:t>110,599,327.42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15,333,348.45</w:t>
            </w:r>
          </w:p>
        </w:tc>
        <w:tc>
          <w:tcPr>
            <w:tcW w:w="2100" w:type="dxa"/>
            <w:vAlign w:val="center"/>
          </w:tcPr>
          <w:p w:rsidR="00753756" w:rsidRPr="00224952" w:rsidRDefault="00753756" w:rsidP="00C27ED7">
            <w:pPr>
              <w:jc w:val="right"/>
              <w:rPr>
                <w:szCs w:val="21"/>
              </w:rPr>
            </w:pPr>
            <w:r w:rsidRPr="00224952">
              <w:rPr>
                <w:szCs w:val="21"/>
              </w:rPr>
              <w:t>-94,661,138.53</w:t>
            </w:r>
          </w:p>
        </w:tc>
        <w:tc>
          <w:tcPr>
            <w:tcW w:w="2100" w:type="dxa"/>
            <w:vAlign w:val="center"/>
          </w:tcPr>
          <w:p w:rsidR="00753756" w:rsidRPr="00224952" w:rsidRDefault="00753756" w:rsidP="00C27ED7">
            <w:pPr>
              <w:jc w:val="right"/>
              <w:rPr>
                <w:szCs w:val="21"/>
              </w:rPr>
            </w:pPr>
            <w:r w:rsidRPr="00224952">
              <w:rPr>
                <w:szCs w:val="21"/>
              </w:rPr>
              <w:t>-79,327,790.08</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-4,085,689.36</w:t>
            </w:r>
          </w:p>
        </w:tc>
        <w:tc>
          <w:tcPr>
            <w:tcW w:w="2100" w:type="dxa"/>
            <w:vAlign w:val="center"/>
          </w:tcPr>
          <w:p w:rsidR="00753756" w:rsidRPr="00224952" w:rsidRDefault="00753756" w:rsidP="0070173B">
            <w:pPr>
              <w:jc w:val="right"/>
              <w:rPr>
                <w:szCs w:val="21"/>
              </w:rPr>
            </w:pPr>
            <w:r w:rsidRPr="00224952">
              <w:rPr>
                <w:szCs w:val="21"/>
              </w:rPr>
              <w:t>21,383,536.01</w:t>
            </w:r>
          </w:p>
        </w:tc>
        <w:tc>
          <w:tcPr>
            <w:tcW w:w="2100" w:type="dxa"/>
            <w:vAlign w:val="center"/>
          </w:tcPr>
          <w:p w:rsidR="00753756" w:rsidRPr="00224952" w:rsidRDefault="00753756" w:rsidP="0070173B">
            <w:pPr>
              <w:jc w:val="right"/>
              <w:rPr>
                <w:szCs w:val="21"/>
              </w:rPr>
            </w:pPr>
            <w:r w:rsidRPr="00224952">
              <w:rPr>
                <w:szCs w:val="21"/>
              </w:rPr>
              <w:t>17,297,846.65</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19,419,037.81</w:t>
            </w:r>
          </w:p>
        </w:tc>
        <w:tc>
          <w:tcPr>
            <w:tcW w:w="2100" w:type="dxa"/>
            <w:vAlign w:val="center"/>
          </w:tcPr>
          <w:p w:rsidR="00753756" w:rsidRPr="00224952" w:rsidRDefault="00753756" w:rsidP="0070173B">
            <w:pPr>
              <w:jc w:val="right"/>
              <w:rPr>
                <w:szCs w:val="21"/>
              </w:rPr>
            </w:pPr>
            <w:r w:rsidRPr="00224952">
              <w:rPr>
                <w:szCs w:val="21"/>
              </w:rPr>
              <w:t>-116,044,674.54</w:t>
            </w:r>
          </w:p>
        </w:tc>
        <w:tc>
          <w:tcPr>
            <w:tcW w:w="2100" w:type="dxa"/>
            <w:vAlign w:val="center"/>
          </w:tcPr>
          <w:p w:rsidR="00753756" w:rsidRPr="00224952" w:rsidRDefault="00753756" w:rsidP="0070173B">
            <w:pPr>
              <w:jc w:val="right"/>
              <w:rPr>
                <w:szCs w:val="21"/>
              </w:rPr>
            </w:pPr>
            <w:r w:rsidRPr="00224952">
              <w:rPr>
                <w:szCs w:val="21"/>
              </w:rPr>
              <w:t>-96,625,636.73</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64,319,143.26</w:t>
            </w:r>
          </w:p>
        </w:tc>
        <w:tc>
          <w:tcPr>
            <w:tcW w:w="2100" w:type="dxa"/>
            <w:vAlign w:val="center"/>
          </w:tcPr>
          <w:p w:rsidR="00753756" w:rsidRPr="00224952" w:rsidRDefault="00753756" w:rsidP="0070173B">
            <w:pPr>
              <w:jc w:val="right"/>
              <w:rPr>
                <w:szCs w:val="21"/>
              </w:rPr>
            </w:pPr>
            <w:r w:rsidRPr="00224952">
              <w:rPr>
                <w:szCs w:val="21"/>
              </w:rPr>
              <w:t>191,715,119.67</w:t>
            </w:r>
          </w:p>
        </w:tc>
        <w:tc>
          <w:tcPr>
            <w:tcW w:w="2100" w:type="dxa"/>
            <w:vAlign w:val="center"/>
          </w:tcPr>
          <w:p w:rsidR="00753756" w:rsidRPr="00224952" w:rsidRDefault="00753756" w:rsidP="0070173B">
            <w:pPr>
              <w:jc w:val="right"/>
              <w:rPr>
                <w:szCs w:val="21"/>
              </w:rPr>
            </w:pPr>
            <w:r w:rsidRPr="00224952">
              <w:rPr>
                <w:szCs w:val="21"/>
              </w:rPr>
              <w:t>256,034,262.93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368,419.21</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2,790.36</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3,363.62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374,573.19</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748,116,447.60</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552,863,951.18</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195,252,496.42</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72,080,162.34</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70,244,540.00</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1,887,792.34</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-52,170.00</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11,332,022.89</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11,332,022.89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-84,740,590.07</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-84,780,130.07</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39,540.00</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-84,740,590.07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572,965.65</w:t>
            </w:r>
          </w:p>
        </w:tc>
      </w:tr>
      <w:tr w:rsidR="00C932E3">
        <w:tc>
          <w:tcPr>
            <w:tcW w:w="3828" w:type="dxa"/>
            <w:vAlign w:val="center"/>
          </w:tcPr>
          <w:p w:rsidR="00C932E3" w:rsidRDefault="00F041BC">
            <w:pPr>
              <w:jc w:val="left"/>
            </w:pPr>
            <w:r>
              <w:rPr>
                <w:szCs w:val="21"/>
              </w:rPr>
              <w:t>其他</w:t>
            </w:r>
          </w:p>
        </w:tc>
        <w:tc>
          <w:tcPr>
            <w:tcW w:w="5528" w:type="dxa"/>
            <w:vAlign w:val="center"/>
          </w:tcPr>
          <w:p w:rsidR="00C932E3" w:rsidRDefault="00F041BC">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572,965.65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1,702,740.74</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625.00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1,703,365.74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49,726.04</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C932E3">
        <w:trPr>
          <w:jc w:val="center"/>
        </w:trPr>
        <w:tc>
          <w:tcPr>
            <w:tcW w:w="3853" w:type="dxa"/>
            <w:vAlign w:val="center"/>
          </w:tcPr>
          <w:p w:rsidR="00C932E3" w:rsidRDefault="00F041BC">
            <w:pPr>
              <w:jc w:val="left"/>
            </w:pPr>
            <w:r>
              <w:rPr>
                <w:szCs w:val="21"/>
              </w:rPr>
              <w:t>银行汇划费</w:t>
            </w:r>
          </w:p>
        </w:tc>
        <w:tc>
          <w:tcPr>
            <w:tcW w:w="5551" w:type="dxa"/>
            <w:vAlign w:val="center"/>
          </w:tcPr>
          <w:p w:rsidR="00C932E3" w:rsidRDefault="00F041BC">
            <w:pPr>
              <w:jc w:val="right"/>
            </w:pPr>
            <w:r>
              <w:rPr>
                <w:szCs w:val="21"/>
              </w:rPr>
              <w:t>-</w:t>
            </w:r>
          </w:p>
        </w:tc>
      </w:tr>
      <w:tr w:rsidR="00C932E3">
        <w:trPr>
          <w:jc w:val="center"/>
        </w:trPr>
        <w:tc>
          <w:tcPr>
            <w:tcW w:w="3853" w:type="dxa"/>
            <w:vAlign w:val="center"/>
          </w:tcPr>
          <w:p w:rsidR="00C932E3" w:rsidRDefault="00F041BC">
            <w:pPr>
              <w:jc w:val="left"/>
            </w:pPr>
            <w:r>
              <w:rPr>
                <w:szCs w:val="21"/>
              </w:rPr>
              <w:t>银行间账户维护费</w:t>
            </w:r>
          </w:p>
        </w:tc>
        <w:tc>
          <w:tcPr>
            <w:tcW w:w="5551" w:type="dxa"/>
            <w:vAlign w:val="center"/>
          </w:tcPr>
          <w:p w:rsidR="00C932E3" w:rsidRDefault="00F041BC">
            <w:pPr>
              <w:jc w:val="right"/>
            </w:pPr>
            <w:r>
              <w:rPr>
                <w:szCs w:val="21"/>
              </w:rPr>
              <w:t>18,000.00</w:t>
            </w:r>
          </w:p>
        </w:tc>
      </w:tr>
      <w:tr w:rsidR="00C932E3">
        <w:trPr>
          <w:jc w:val="center"/>
        </w:trPr>
        <w:tc>
          <w:tcPr>
            <w:tcW w:w="3853" w:type="dxa"/>
            <w:vAlign w:val="center"/>
          </w:tcPr>
          <w:p w:rsidR="00C932E3" w:rsidRDefault="00F041BC">
            <w:pPr>
              <w:jc w:val="left"/>
            </w:pPr>
            <w:r>
              <w:rPr>
                <w:szCs w:val="21"/>
              </w:rPr>
              <w:t>其他</w:t>
            </w:r>
          </w:p>
        </w:tc>
        <w:tc>
          <w:tcPr>
            <w:tcW w:w="5551" w:type="dxa"/>
            <w:vAlign w:val="center"/>
          </w:tcPr>
          <w:p w:rsidR="00C932E3" w:rsidRDefault="00F041BC">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127,998.38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C932E3">
        <w:tc>
          <w:tcPr>
            <w:tcW w:w="5220" w:type="dxa"/>
            <w:vAlign w:val="center"/>
          </w:tcPr>
          <w:p w:rsidR="00C932E3" w:rsidRDefault="00F041BC">
            <w:pPr>
              <w:jc w:val="left"/>
            </w:pPr>
            <w:r>
              <w:rPr>
                <w:color w:val="000000"/>
                <w:szCs w:val="21"/>
              </w:rPr>
              <w:t>易方达基金管理有限公司</w:t>
            </w:r>
          </w:p>
        </w:tc>
        <w:tc>
          <w:tcPr>
            <w:tcW w:w="3780" w:type="dxa"/>
            <w:vAlign w:val="center"/>
          </w:tcPr>
          <w:p w:rsidR="00C932E3" w:rsidRDefault="00F041BC">
            <w:pPr>
              <w:jc w:val="left"/>
            </w:pPr>
            <w:r>
              <w:rPr>
                <w:color w:val="000000"/>
                <w:szCs w:val="21"/>
              </w:rPr>
              <w:t>基金管理人、注册登记机构、基金销售机构</w:t>
            </w:r>
          </w:p>
        </w:tc>
      </w:tr>
      <w:tr w:rsidR="00C932E3">
        <w:tc>
          <w:tcPr>
            <w:tcW w:w="5220" w:type="dxa"/>
            <w:vAlign w:val="center"/>
          </w:tcPr>
          <w:p w:rsidR="00C932E3" w:rsidRDefault="00F041BC">
            <w:pPr>
              <w:jc w:val="left"/>
            </w:pPr>
            <w:r>
              <w:rPr>
                <w:color w:val="000000"/>
                <w:szCs w:val="21"/>
              </w:rPr>
              <w:t>中国邮政储蓄银行股份有限公司</w:t>
            </w:r>
            <w:r>
              <w:rPr>
                <w:color w:val="000000"/>
                <w:szCs w:val="21"/>
              </w:rPr>
              <w:t>(</w:t>
            </w:r>
            <w:r>
              <w:rPr>
                <w:color w:val="000000"/>
                <w:szCs w:val="21"/>
              </w:rPr>
              <w:t>以下简称</w:t>
            </w:r>
            <w:r>
              <w:rPr>
                <w:color w:val="000000"/>
                <w:szCs w:val="21"/>
              </w:rPr>
              <w:t>“</w:t>
            </w:r>
            <w:r>
              <w:rPr>
                <w:color w:val="000000"/>
                <w:szCs w:val="21"/>
              </w:rPr>
              <w:t>中国邮政储蓄银行</w:t>
            </w:r>
            <w:r>
              <w:rPr>
                <w:color w:val="000000"/>
                <w:szCs w:val="21"/>
              </w:rPr>
              <w:t>”)</w:t>
            </w:r>
          </w:p>
        </w:tc>
        <w:tc>
          <w:tcPr>
            <w:tcW w:w="3780" w:type="dxa"/>
            <w:vAlign w:val="center"/>
          </w:tcPr>
          <w:p w:rsidR="00C932E3" w:rsidRDefault="00F041BC">
            <w:pPr>
              <w:jc w:val="left"/>
            </w:pPr>
            <w:r>
              <w:rPr>
                <w:color w:val="000000"/>
                <w:szCs w:val="21"/>
              </w:rPr>
              <w:t>基金托管人、基金销售机构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本基金本报告期及上年度可比期间未发生通过关联方交易单元进行的股票交易。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本基金本报告期及上年度可比期间无应支付关联方的佣金。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9,026,550.29</w:t>
            </w:r>
          </w:p>
        </w:tc>
        <w:tc>
          <w:tcPr>
            <w:tcW w:w="2657" w:type="dxa"/>
            <w:vAlign w:val="center"/>
          </w:tcPr>
          <w:p w:rsidR="00753756" w:rsidRPr="00224952" w:rsidRDefault="00753756" w:rsidP="00505CB1">
            <w:pPr>
              <w:jc w:val="right"/>
              <w:rPr>
                <w:szCs w:val="21"/>
              </w:rPr>
            </w:pPr>
            <w:r w:rsidRPr="00224952">
              <w:rPr>
                <w:szCs w:val="21"/>
              </w:rPr>
              <w:t>12,808,585.98</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2,760,397.42</w:t>
            </w:r>
          </w:p>
        </w:tc>
        <w:tc>
          <w:tcPr>
            <w:tcW w:w="2657" w:type="dxa"/>
            <w:vAlign w:val="center"/>
          </w:tcPr>
          <w:p w:rsidR="00753756" w:rsidRPr="00224952" w:rsidRDefault="00753756" w:rsidP="00505CB1">
            <w:pPr>
              <w:jc w:val="right"/>
              <w:rPr>
                <w:szCs w:val="21"/>
              </w:rPr>
            </w:pPr>
            <w:r w:rsidRPr="00224952">
              <w:rPr>
                <w:szCs w:val="21"/>
              </w:rPr>
              <w:t>3,946,554.71</w:t>
            </w:r>
          </w:p>
        </w:tc>
      </w:tr>
    </w:tbl>
    <w:p w:rsidR="00C932E3" w:rsidRDefault="00F041BC">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1.50%</w:t>
      </w:r>
      <w:r>
        <w:rPr>
          <w:kern w:val="0"/>
          <w:szCs w:val="21"/>
        </w:rPr>
        <w:t>年费率计提。管理费的计算方法如下：</w:t>
      </w:r>
    </w:p>
    <w:p w:rsidR="00C932E3" w:rsidRDefault="00F041BC">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E×1.50%÷</w:t>
      </w:r>
      <w:r>
        <w:rPr>
          <w:kern w:val="0"/>
          <w:szCs w:val="21"/>
        </w:rPr>
        <w:t>当年天数</w:t>
      </w:r>
    </w:p>
    <w:p w:rsidR="00C932E3" w:rsidRDefault="00F041BC">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C932E3" w:rsidRDefault="00F041BC">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1,504,425.09</w:t>
            </w:r>
          </w:p>
        </w:tc>
        <w:tc>
          <w:tcPr>
            <w:tcW w:w="2657" w:type="dxa"/>
            <w:vAlign w:val="center"/>
          </w:tcPr>
          <w:p w:rsidR="00753756" w:rsidRPr="00224952" w:rsidRDefault="00753756" w:rsidP="00B56418">
            <w:pPr>
              <w:jc w:val="right"/>
              <w:rPr>
                <w:color w:val="000000"/>
                <w:szCs w:val="21"/>
              </w:rPr>
            </w:pPr>
            <w:r w:rsidRPr="00224952">
              <w:rPr>
                <w:szCs w:val="21"/>
              </w:rPr>
              <w:t>2,134,764.33</w:t>
            </w:r>
          </w:p>
        </w:tc>
      </w:tr>
    </w:tbl>
    <w:p w:rsidR="00C932E3" w:rsidRDefault="00F041BC">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0.25%</w:t>
      </w:r>
      <w:r>
        <w:rPr>
          <w:kern w:val="0"/>
          <w:szCs w:val="21"/>
        </w:rPr>
        <w:t>的年费率计提。托管费的计算方法如下：</w:t>
      </w:r>
    </w:p>
    <w:p w:rsidR="00C932E3" w:rsidRDefault="00F041BC">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E×0.25%÷</w:t>
      </w:r>
      <w:r>
        <w:rPr>
          <w:kern w:val="0"/>
          <w:szCs w:val="21"/>
        </w:rPr>
        <w:t>当年天数</w:t>
      </w:r>
    </w:p>
    <w:p w:rsidR="00C932E3" w:rsidRDefault="00F041BC">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p>
    <w:p w:rsidR="00C932E3" w:rsidRDefault="00F041BC">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基金托管费每日计提，按月支付。由基金管理人在次月初</w:t>
      </w:r>
      <w:r w:rsidRPr="00224952">
        <w:rPr>
          <w:kern w:val="0"/>
          <w:szCs w:val="21"/>
        </w:rPr>
        <w:t>3</w:t>
      </w:r>
      <w:r w:rsidRPr="00224952">
        <w:rPr>
          <w:kern w:val="0"/>
          <w:szCs w:val="21"/>
        </w:rPr>
        <w:t>个工作日内出具资金划拨指令，基金托管人复核无误后于</w:t>
      </w:r>
      <w:r w:rsidRPr="00224952">
        <w:rPr>
          <w:kern w:val="0"/>
          <w:szCs w:val="21"/>
        </w:rPr>
        <w:t>2</w:t>
      </w:r>
      <w:r w:rsidRPr="00224952">
        <w:rPr>
          <w:kern w:val="0"/>
          <w:szCs w:val="21"/>
        </w:rPr>
        <w:t>个工作日内进行支付。若遇法定节假日、休息日等，支付日期顺延。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C932E3">
        <w:tc>
          <w:tcPr>
            <w:tcW w:w="2694" w:type="dxa"/>
            <w:vAlign w:val="center"/>
          </w:tcPr>
          <w:p w:rsidR="00C932E3" w:rsidRDefault="00F041BC">
            <w:pPr>
              <w:jc w:val="left"/>
            </w:pPr>
            <w:r>
              <w:rPr>
                <w:szCs w:val="21"/>
              </w:rPr>
              <w:t>中国邮政储蓄银行</w:t>
            </w:r>
            <w:r>
              <w:rPr>
                <w:szCs w:val="21"/>
              </w:rPr>
              <w:t>-</w:t>
            </w:r>
            <w:r>
              <w:rPr>
                <w:szCs w:val="21"/>
              </w:rPr>
              <w:t>活期存款</w:t>
            </w:r>
          </w:p>
        </w:tc>
        <w:tc>
          <w:tcPr>
            <w:tcW w:w="1417" w:type="dxa"/>
            <w:vAlign w:val="center"/>
          </w:tcPr>
          <w:p w:rsidR="00C932E3" w:rsidRDefault="00F041BC">
            <w:pPr>
              <w:jc w:val="right"/>
            </w:pPr>
            <w:r>
              <w:rPr>
                <w:szCs w:val="21"/>
              </w:rPr>
              <w:t>87,751,068.17</w:t>
            </w:r>
          </w:p>
        </w:tc>
        <w:tc>
          <w:tcPr>
            <w:tcW w:w="1736" w:type="dxa"/>
            <w:vAlign w:val="center"/>
          </w:tcPr>
          <w:p w:rsidR="00C932E3" w:rsidRDefault="00F041BC">
            <w:pPr>
              <w:jc w:val="right"/>
            </w:pPr>
            <w:r>
              <w:rPr>
                <w:szCs w:val="21"/>
              </w:rPr>
              <w:t>368,419.21</w:t>
            </w:r>
          </w:p>
        </w:tc>
        <w:tc>
          <w:tcPr>
            <w:tcW w:w="1383" w:type="dxa"/>
            <w:vAlign w:val="center"/>
          </w:tcPr>
          <w:p w:rsidR="00C932E3" w:rsidRDefault="00F041BC">
            <w:pPr>
              <w:jc w:val="right"/>
            </w:pPr>
            <w:r>
              <w:rPr>
                <w:szCs w:val="21"/>
              </w:rPr>
              <w:t>58,963,754.96</w:t>
            </w:r>
          </w:p>
        </w:tc>
        <w:tc>
          <w:tcPr>
            <w:tcW w:w="1770" w:type="dxa"/>
            <w:vAlign w:val="center"/>
          </w:tcPr>
          <w:p w:rsidR="00C932E3" w:rsidRDefault="00F041BC">
            <w:pPr>
              <w:jc w:val="right"/>
            </w:pPr>
            <w:r>
              <w:rPr>
                <w:szCs w:val="21"/>
              </w:rPr>
              <w:t>579,096.74</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注：本基金的上述银行存款由基金托管人中国邮政储蓄银行股份有限公司保管，按银行同业利率或约定利率计息。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C932E3">
        <w:tc>
          <w:tcPr>
            <w:tcW w:w="834" w:type="dxa"/>
            <w:vAlign w:val="center"/>
          </w:tcPr>
          <w:p w:rsidR="00C932E3" w:rsidRDefault="00F041BC">
            <w:pPr>
              <w:jc w:val="center"/>
            </w:pPr>
            <w:r>
              <w:rPr>
                <w:szCs w:val="21"/>
              </w:rPr>
              <w:t>300840</w:t>
            </w:r>
          </w:p>
        </w:tc>
        <w:tc>
          <w:tcPr>
            <w:tcW w:w="835" w:type="dxa"/>
            <w:vAlign w:val="center"/>
          </w:tcPr>
          <w:p w:rsidR="00C932E3" w:rsidRDefault="00F041BC">
            <w:pPr>
              <w:jc w:val="center"/>
            </w:pPr>
            <w:r>
              <w:rPr>
                <w:szCs w:val="21"/>
              </w:rPr>
              <w:t>酷特智能</w:t>
            </w:r>
          </w:p>
        </w:tc>
        <w:tc>
          <w:tcPr>
            <w:tcW w:w="834" w:type="dxa"/>
            <w:vAlign w:val="center"/>
          </w:tcPr>
          <w:p w:rsidR="00C932E3" w:rsidRDefault="00F041BC">
            <w:pPr>
              <w:jc w:val="center"/>
            </w:pPr>
            <w:r>
              <w:rPr>
                <w:szCs w:val="21"/>
              </w:rPr>
              <w:t>2020-06-30</w:t>
            </w:r>
          </w:p>
        </w:tc>
        <w:tc>
          <w:tcPr>
            <w:tcW w:w="835" w:type="dxa"/>
            <w:vAlign w:val="center"/>
          </w:tcPr>
          <w:p w:rsidR="00C932E3" w:rsidRDefault="00F041BC">
            <w:pPr>
              <w:jc w:val="center"/>
            </w:pPr>
            <w:r>
              <w:rPr>
                <w:szCs w:val="21"/>
              </w:rPr>
              <w:t>2020-07-08</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5.94</w:t>
            </w:r>
          </w:p>
        </w:tc>
        <w:tc>
          <w:tcPr>
            <w:tcW w:w="834" w:type="dxa"/>
            <w:vAlign w:val="center"/>
          </w:tcPr>
          <w:p w:rsidR="00C932E3" w:rsidRDefault="00F041BC">
            <w:pPr>
              <w:jc w:val="center"/>
            </w:pPr>
            <w:r>
              <w:rPr>
                <w:szCs w:val="21"/>
              </w:rPr>
              <w:t>5.94</w:t>
            </w:r>
          </w:p>
        </w:tc>
        <w:tc>
          <w:tcPr>
            <w:tcW w:w="835" w:type="dxa"/>
            <w:vAlign w:val="center"/>
          </w:tcPr>
          <w:p w:rsidR="00C932E3" w:rsidRDefault="00F041BC">
            <w:pPr>
              <w:jc w:val="right"/>
            </w:pPr>
            <w:r>
              <w:rPr>
                <w:szCs w:val="21"/>
              </w:rPr>
              <w:t>1,185</w:t>
            </w:r>
          </w:p>
        </w:tc>
        <w:tc>
          <w:tcPr>
            <w:tcW w:w="834" w:type="dxa"/>
            <w:vAlign w:val="center"/>
          </w:tcPr>
          <w:p w:rsidR="00C932E3" w:rsidRDefault="00F041BC">
            <w:pPr>
              <w:jc w:val="right"/>
            </w:pPr>
            <w:r>
              <w:rPr>
                <w:szCs w:val="21"/>
              </w:rPr>
              <w:t>7,038.90</w:t>
            </w:r>
          </w:p>
        </w:tc>
        <w:tc>
          <w:tcPr>
            <w:tcW w:w="835" w:type="dxa"/>
            <w:vAlign w:val="center"/>
          </w:tcPr>
          <w:p w:rsidR="00C932E3" w:rsidRDefault="00F041BC">
            <w:pPr>
              <w:jc w:val="right"/>
            </w:pPr>
            <w:r>
              <w:rPr>
                <w:szCs w:val="21"/>
              </w:rPr>
              <w:t>7,038.90</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300843</w:t>
            </w:r>
          </w:p>
        </w:tc>
        <w:tc>
          <w:tcPr>
            <w:tcW w:w="835" w:type="dxa"/>
            <w:vAlign w:val="center"/>
          </w:tcPr>
          <w:p w:rsidR="00C932E3" w:rsidRDefault="00F041BC">
            <w:pPr>
              <w:jc w:val="center"/>
            </w:pPr>
            <w:r>
              <w:rPr>
                <w:szCs w:val="21"/>
              </w:rPr>
              <w:t>胜蓝股份</w:t>
            </w:r>
          </w:p>
        </w:tc>
        <w:tc>
          <w:tcPr>
            <w:tcW w:w="834" w:type="dxa"/>
            <w:vAlign w:val="center"/>
          </w:tcPr>
          <w:p w:rsidR="00C932E3" w:rsidRDefault="00F041BC">
            <w:pPr>
              <w:jc w:val="center"/>
            </w:pPr>
            <w:r>
              <w:rPr>
                <w:szCs w:val="21"/>
              </w:rPr>
              <w:t>2020-06-23</w:t>
            </w:r>
          </w:p>
        </w:tc>
        <w:tc>
          <w:tcPr>
            <w:tcW w:w="835" w:type="dxa"/>
            <w:vAlign w:val="center"/>
          </w:tcPr>
          <w:p w:rsidR="00C932E3" w:rsidRDefault="00F041BC">
            <w:pPr>
              <w:jc w:val="center"/>
            </w:pPr>
            <w:r>
              <w:rPr>
                <w:szCs w:val="21"/>
              </w:rPr>
              <w:t>2020-07-02</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10.01</w:t>
            </w:r>
          </w:p>
        </w:tc>
        <w:tc>
          <w:tcPr>
            <w:tcW w:w="834" w:type="dxa"/>
            <w:vAlign w:val="center"/>
          </w:tcPr>
          <w:p w:rsidR="00C932E3" w:rsidRDefault="00F041BC">
            <w:pPr>
              <w:jc w:val="center"/>
            </w:pPr>
            <w:r>
              <w:rPr>
                <w:szCs w:val="21"/>
              </w:rPr>
              <w:t>10.01</w:t>
            </w:r>
          </w:p>
        </w:tc>
        <w:tc>
          <w:tcPr>
            <w:tcW w:w="835" w:type="dxa"/>
            <w:vAlign w:val="center"/>
          </w:tcPr>
          <w:p w:rsidR="00C932E3" w:rsidRDefault="00F041BC">
            <w:pPr>
              <w:jc w:val="right"/>
            </w:pPr>
            <w:r>
              <w:rPr>
                <w:szCs w:val="21"/>
              </w:rPr>
              <w:t>751</w:t>
            </w:r>
          </w:p>
        </w:tc>
        <w:tc>
          <w:tcPr>
            <w:tcW w:w="834" w:type="dxa"/>
            <w:vAlign w:val="center"/>
          </w:tcPr>
          <w:p w:rsidR="00C932E3" w:rsidRDefault="00F041BC">
            <w:pPr>
              <w:jc w:val="right"/>
            </w:pPr>
            <w:r>
              <w:rPr>
                <w:szCs w:val="21"/>
              </w:rPr>
              <w:t>7,517.51</w:t>
            </w:r>
          </w:p>
        </w:tc>
        <w:tc>
          <w:tcPr>
            <w:tcW w:w="835" w:type="dxa"/>
            <w:vAlign w:val="center"/>
          </w:tcPr>
          <w:p w:rsidR="00C932E3" w:rsidRDefault="00F041BC">
            <w:pPr>
              <w:jc w:val="right"/>
            </w:pPr>
            <w:r>
              <w:rPr>
                <w:szCs w:val="21"/>
              </w:rPr>
              <w:t>7,517.51</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300845</w:t>
            </w:r>
          </w:p>
        </w:tc>
        <w:tc>
          <w:tcPr>
            <w:tcW w:w="835" w:type="dxa"/>
            <w:vAlign w:val="center"/>
          </w:tcPr>
          <w:p w:rsidR="00C932E3" w:rsidRDefault="00F041BC">
            <w:pPr>
              <w:jc w:val="center"/>
            </w:pPr>
            <w:r>
              <w:rPr>
                <w:szCs w:val="21"/>
              </w:rPr>
              <w:t>捷安高科</w:t>
            </w:r>
          </w:p>
        </w:tc>
        <w:tc>
          <w:tcPr>
            <w:tcW w:w="834" w:type="dxa"/>
            <w:vAlign w:val="center"/>
          </w:tcPr>
          <w:p w:rsidR="00C932E3" w:rsidRDefault="00F041BC">
            <w:pPr>
              <w:jc w:val="center"/>
            </w:pPr>
            <w:r>
              <w:rPr>
                <w:szCs w:val="21"/>
              </w:rPr>
              <w:t>2020-06-24</w:t>
            </w:r>
          </w:p>
        </w:tc>
        <w:tc>
          <w:tcPr>
            <w:tcW w:w="835" w:type="dxa"/>
            <w:vAlign w:val="center"/>
          </w:tcPr>
          <w:p w:rsidR="00C932E3" w:rsidRDefault="00F041BC">
            <w:pPr>
              <w:jc w:val="center"/>
            </w:pPr>
            <w:r>
              <w:rPr>
                <w:szCs w:val="21"/>
              </w:rPr>
              <w:t>2020-07-03</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17.63</w:t>
            </w:r>
          </w:p>
        </w:tc>
        <w:tc>
          <w:tcPr>
            <w:tcW w:w="834" w:type="dxa"/>
            <w:vAlign w:val="center"/>
          </w:tcPr>
          <w:p w:rsidR="00C932E3" w:rsidRDefault="00F041BC">
            <w:pPr>
              <w:jc w:val="center"/>
            </w:pPr>
            <w:r>
              <w:rPr>
                <w:szCs w:val="21"/>
              </w:rPr>
              <w:t>17.63</w:t>
            </w:r>
          </w:p>
        </w:tc>
        <w:tc>
          <w:tcPr>
            <w:tcW w:w="835" w:type="dxa"/>
            <w:vAlign w:val="center"/>
          </w:tcPr>
          <w:p w:rsidR="00C932E3" w:rsidRDefault="00F041BC">
            <w:pPr>
              <w:jc w:val="right"/>
            </w:pPr>
            <w:r>
              <w:rPr>
                <w:szCs w:val="21"/>
              </w:rPr>
              <w:t>470</w:t>
            </w:r>
          </w:p>
        </w:tc>
        <w:tc>
          <w:tcPr>
            <w:tcW w:w="834" w:type="dxa"/>
            <w:vAlign w:val="center"/>
          </w:tcPr>
          <w:p w:rsidR="00C932E3" w:rsidRDefault="00F041BC">
            <w:pPr>
              <w:jc w:val="right"/>
            </w:pPr>
            <w:r>
              <w:rPr>
                <w:szCs w:val="21"/>
              </w:rPr>
              <w:t>8,286.10</w:t>
            </w:r>
          </w:p>
        </w:tc>
        <w:tc>
          <w:tcPr>
            <w:tcW w:w="835" w:type="dxa"/>
            <w:vAlign w:val="center"/>
          </w:tcPr>
          <w:p w:rsidR="00C932E3" w:rsidRDefault="00F041BC">
            <w:pPr>
              <w:jc w:val="right"/>
            </w:pPr>
            <w:r>
              <w:rPr>
                <w:szCs w:val="21"/>
              </w:rPr>
              <w:t>8,286.10</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300846</w:t>
            </w:r>
          </w:p>
        </w:tc>
        <w:tc>
          <w:tcPr>
            <w:tcW w:w="835" w:type="dxa"/>
            <w:vAlign w:val="center"/>
          </w:tcPr>
          <w:p w:rsidR="00C932E3" w:rsidRDefault="00F041BC">
            <w:pPr>
              <w:jc w:val="center"/>
            </w:pPr>
            <w:r>
              <w:rPr>
                <w:szCs w:val="21"/>
              </w:rPr>
              <w:t>首都在线</w:t>
            </w:r>
          </w:p>
        </w:tc>
        <w:tc>
          <w:tcPr>
            <w:tcW w:w="834" w:type="dxa"/>
            <w:vAlign w:val="center"/>
          </w:tcPr>
          <w:p w:rsidR="00C932E3" w:rsidRDefault="00F041BC">
            <w:pPr>
              <w:jc w:val="center"/>
            </w:pPr>
            <w:r>
              <w:rPr>
                <w:szCs w:val="21"/>
              </w:rPr>
              <w:t>2020-06-22</w:t>
            </w:r>
          </w:p>
        </w:tc>
        <w:tc>
          <w:tcPr>
            <w:tcW w:w="835" w:type="dxa"/>
            <w:vAlign w:val="center"/>
          </w:tcPr>
          <w:p w:rsidR="00C932E3" w:rsidRDefault="00F041BC">
            <w:pPr>
              <w:jc w:val="center"/>
            </w:pPr>
            <w:r>
              <w:rPr>
                <w:szCs w:val="21"/>
              </w:rPr>
              <w:t>2020-07-01</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3.37</w:t>
            </w:r>
          </w:p>
        </w:tc>
        <w:tc>
          <w:tcPr>
            <w:tcW w:w="834" w:type="dxa"/>
            <w:vAlign w:val="center"/>
          </w:tcPr>
          <w:p w:rsidR="00C932E3" w:rsidRDefault="00F041BC">
            <w:pPr>
              <w:jc w:val="center"/>
            </w:pPr>
            <w:r>
              <w:rPr>
                <w:szCs w:val="21"/>
              </w:rPr>
              <w:t>3.37</w:t>
            </w:r>
          </w:p>
        </w:tc>
        <w:tc>
          <w:tcPr>
            <w:tcW w:w="835" w:type="dxa"/>
            <w:vAlign w:val="center"/>
          </w:tcPr>
          <w:p w:rsidR="00C932E3" w:rsidRDefault="00F041BC">
            <w:pPr>
              <w:jc w:val="right"/>
            </w:pPr>
            <w:r>
              <w:rPr>
                <w:szCs w:val="21"/>
              </w:rPr>
              <w:t>1,131</w:t>
            </w:r>
          </w:p>
        </w:tc>
        <w:tc>
          <w:tcPr>
            <w:tcW w:w="834" w:type="dxa"/>
            <w:vAlign w:val="center"/>
          </w:tcPr>
          <w:p w:rsidR="00C932E3" w:rsidRDefault="00F041BC">
            <w:pPr>
              <w:jc w:val="right"/>
            </w:pPr>
            <w:r>
              <w:rPr>
                <w:szCs w:val="21"/>
              </w:rPr>
              <w:t>3,811.47</w:t>
            </w:r>
          </w:p>
        </w:tc>
        <w:tc>
          <w:tcPr>
            <w:tcW w:w="835" w:type="dxa"/>
            <w:vAlign w:val="center"/>
          </w:tcPr>
          <w:p w:rsidR="00C932E3" w:rsidRDefault="00F041BC">
            <w:pPr>
              <w:jc w:val="right"/>
            </w:pPr>
            <w:r>
              <w:rPr>
                <w:szCs w:val="21"/>
              </w:rPr>
              <w:t>3,811.47</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300847</w:t>
            </w:r>
          </w:p>
        </w:tc>
        <w:tc>
          <w:tcPr>
            <w:tcW w:w="835" w:type="dxa"/>
            <w:vAlign w:val="center"/>
          </w:tcPr>
          <w:p w:rsidR="00C932E3" w:rsidRDefault="00F041BC">
            <w:pPr>
              <w:jc w:val="center"/>
            </w:pPr>
            <w:r>
              <w:rPr>
                <w:szCs w:val="21"/>
              </w:rPr>
              <w:t>中船汉光</w:t>
            </w:r>
          </w:p>
        </w:tc>
        <w:tc>
          <w:tcPr>
            <w:tcW w:w="834" w:type="dxa"/>
            <w:vAlign w:val="center"/>
          </w:tcPr>
          <w:p w:rsidR="00C932E3" w:rsidRDefault="00F041BC">
            <w:pPr>
              <w:jc w:val="center"/>
            </w:pPr>
            <w:r>
              <w:rPr>
                <w:szCs w:val="21"/>
              </w:rPr>
              <w:t>2020-06-29</w:t>
            </w:r>
          </w:p>
        </w:tc>
        <w:tc>
          <w:tcPr>
            <w:tcW w:w="835" w:type="dxa"/>
            <w:vAlign w:val="center"/>
          </w:tcPr>
          <w:p w:rsidR="00C932E3" w:rsidRDefault="00F041BC">
            <w:pPr>
              <w:jc w:val="center"/>
            </w:pPr>
            <w:r>
              <w:rPr>
                <w:szCs w:val="21"/>
              </w:rPr>
              <w:t>2020-07-09</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6.94</w:t>
            </w:r>
          </w:p>
        </w:tc>
        <w:tc>
          <w:tcPr>
            <w:tcW w:w="834" w:type="dxa"/>
            <w:vAlign w:val="center"/>
          </w:tcPr>
          <w:p w:rsidR="00C932E3" w:rsidRDefault="00F041BC">
            <w:pPr>
              <w:jc w:val="center"/>
            </w:pPr>
            <w:r>
              <w:rPr>
                <w:szCs w:val="21"/>
              </w:rPr>
              <w:t>6.94</w:t>
            </w:r>
          </w:p>
        </w:tc>
        <w:tc>
          <w:tcPr>
            <w:tcW w:w="835" w:type="dxa"/>
            <w:vAlign w:val="center"/>
          </w:tcPr>
          <w:p w:rsidR="00C932E3" w:rsidRDefault="00F041BC">
            <w:pPr>
              <w:jc w:val="right"/>
            </w:pPr>
            <w:r>
              <w:rPr>
                <w:szCs w:val="21"/>
              </w:rPr>
              <w:t>1,421</w:t>
            </w:r>
          </w:p>
        </w:tc>
        <w:tc>
          <w:tcPr>
            <w:tcW w:w="834" w:type="dxa"/>
            <w:vAlign w:val="center"/>
          </w:tcPr>
          <w:p w:rsidR="00C932E3" w:rsidRDefault="00F041BC">
            <w:pPr>
              <w:jc w:val="right"/>
            </w:pPr>
            <w:r>
              <w:rPr>
                <w:szCs w:val="21"/>
              </w:rPr>
              <w:t>9,861.74</w:t>
            </w:r>
          </w:p>
        </w:tc>
        <w:tc>
          <w:tcPr>
            <w:tcW w:w="835" w:type="dxa"/>
            <w:vAlign w:val="center"/>
          </w:tcPr>
          <w:p w:rsidR="00C932E3" w:rsidRDefault="00F041BC">
            <w:pPr>
              <w:jc w:val="right"/>
            </w:pPr>
            <w:r>
              <w:rPr>
                <w:szCs w:val="21"/>
              </w:rPr>
              <w:t>9,861.74</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601816</w:t>
            </w:r>
          </w:p>
        </w:tc>
        <w:tc>
          <w:tcPr>
            <w:tcW w:w="835" w:type="dxa"/>
            <w:vAlign w:val="center"/>
          </w:tcPr>
          <w:p w:rsidR="00C932E3" w:rsidRDefault="00F041BC">
            <w:pPr>
              <w:jc w:val="center"/>
            </w:pPr>
            <w:r>
              <w:rPr>
                <w:szCs w:val="21"/>
              </w:rPr>
              <w:t>京沪高铁</w:t>
            </w:r>
          </w:p>
        </w:tc>
        <w:tc>
          <w:tcPr>
            <w:tcW w:w="834" w:type="dxa"/>
            <w:vAlign w:val="center"/>
          </w:tcPr>
          <w:p w:rsidR="00C932E3" w:rsidRDefault="00F041BC">
            <w:pPr>
              <w:jc w:val="center"/>
            </w:pPr>
            <w:r>
              <w:rPr>
                <w:szCs w:val="21"/>
              </w:rPr>
              <w:t>2020-01-08</w:t>
            </w:r>
          </w:p>
        </w:tc>
        <w:tc>
          <w:tcPr>
            <w:tcW w:w="835" w:type="dxa"/>
            <w:vAlign w:val="center"/>
          </w:tcPr>
          <w:p w:rsidR="00C932E3" w:rsidRDefault="00F041BC">
            <w:pPr>
              <w:jc w:val="center"/>
            </w:pPr>
            <w:r>
              <w:rPr>
                <w:szCs w:val="21"/>
              </w:rPr>
              <w:t>2020-07-16</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4.88</w:t>
            </w:r>
          </w:p>
        </w:tc>
        <w:tc>
          <w:tcPr>
            <w:tcW w:w="834" w:type="dxa"/>
            <w:vAlign w:val="center"/>
          </w:tcPr>
          <w:p w:rsidR="00C932E3" w:rsidRDefault="00F041BC">
            <w:pPr>
              <w:jc w:val="center"/>
            </w:pPr>
            <w:r>
              <w:rPr>
                <w:szCs w:val="21"/>
              </w:rPr>
              <w:t>6.17</w:t>
            </w:r>
          </w:p>
        </w:tc>
        <w:tc>
          <w:tcPr>
            <w:tcW w:w="835" w:type="dxa"/>
            <w:vAlign w:val="center"/>
          </w:tcPr>
          <w:p w:rsidR="00C932E3" w:rsidRDefault="00F041BC">
            <w:pPr>
              <w:jc w:val="right"/>
            </w:pPr>
            <w:r>
              <w:rPr>
                <w:szCs w:val="21"/>
              </w:rPr>
              <w:t>906,536</w:t>
            </w:r>
          </w:p>
        </w:tc>
        <w:tc>
          <w:tcPr>
            <w:tcW w:w="834" w:type="dxa"/>
            <w:vAlign w:val="center"/>
          </w:tcPr>
          <w:p w:rsidR="00C932E3" w:rsidRDefault="00F041BC">
            <w:pPr>
              <w:jc w:val="right"/>
            </w:pPr>
            <w:r>
              <w:rPr>
                <w:szCs w:val="21"/>
              </w:rPr>
              <w:t>4,423,895.68</w:t>
            </w:r>
          </w:p>
        </w:tc>
        <w:tc>
          <w:tcPr>
            <w:tcW w:w="835" w:type="dxa"/>
            <w:vAlign w:val="center"/>
          </w:tcPr>
          <w:p w:rsidR="00C932E3" w:rsidRDefault="00F041BC">
            <w:pPr>
              <w:jc w:val="right"/>
            </w:pPr>
            <w:r>
              <w:rPr>
                <w:szCs w:val="21"/>
              </w:rPr>
              <w:t>5,593,327.12</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688027</w:t>
            </w:r>
          </w:p>
        </w:tc>
        <w:tc>
          <w:tcPr>
            <w:tcW w:w="835" w:type="dxa"/>
            <w:vAlign w:val="center"/>
          </w:tcPr>
          <w:p w:rsidR="00C932E3" w:rsidRDefault="00F041BC">
            <w:pPr>
              <w:jc w:val="center"/>
            </w:pPr>
            <w:r>
              <w:rPr>
                <w:szCs w:val="21"/>
              </w:rPr>
              <w:t>国盾量子</w:t>
            </w:r>
          </w:p>
        </w:tc>
        <w:tc>
          <w:tcPr>
            <w:tcW w:w="834" w:type="dxa"/>
            <w:vAlign w:val="center"/>
          </w:tcPr>
          <w:p w:rsidR="00C932E3" w:rsidRDefault="00F041BC">
            <w:pPr>
              <w:jc w:val="center"/>
            </w:pPr>
            <w:r>
              <w:rPr>
                <w:szCs w:val="21"/>
              </w:rPr>
              <w:t>2020-06-30</w:t>
            </w:r>
          </w:p>
        </w:tc>
        <w:tc>
          <w:tcPr>
            <w:tcW w:w="835" w:type="dxa"/>
            <w:vAlign w:val="center"/>
          </w:tcPr>
          <w:p w:rsidR="00C932E3" w:rsidRDefault="00F041BC">
            <w:pPr>
              <w:jc w:val="center"/>
            </w:pPr>
            <w:r>
              <w:rPr>
                <w:szCs w:val="21"/>
              </w:rPr>
              <w:t>2020-07-09</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36.18</w:t>
            </w:r>
          </w:p>
        </w:tc>
        <w:tc>
          <w:tcPr>
            <w:tcW w:w="834" w:type="dxa"/>
            <w:vAlign w:val="center"/>
          </w:tcPr>
          <w:p w:rsidR="00C932E3" w:rsidRDefault="00F041BC">
            <w:pPr>
              <w:jc w:val="center"/>
            </w:pPr>
            <w:r>
              <w:rPr>
                <w:szCs w:val="21"/>
              </w:rPr>
              <w:t>36.18</w:t>
            </w:r>
          </w:p>
        </w:tc>
        <w:tc>
          <w:tcPr>
            <w:tcW w:w="835" w:type="dxa"/>
            <w:vAlign w:val="center"/>
          </w:tcPr>
          <w:p w:rsidR="00C932E3" w:rsidRDefault="00F041BC">
            <w:pPr>
              <w:jc w:val="right"/>
            </w:pPr>
            <w:r>
              <w:rPr>
                <w:szCs w:val="21"/>
              </w:rPr>
              <w:t>2,830</w:t>
            </w:r>
          </w:p>
        </w:tc>
        <w:tc>
          <w:tcPr>
            <w:tcW w:w="834" w:type="dxa"/>
            <w:vAlign w:val="center"/>
          </w:tcPr>
          <w:p w:rsidR="00C932E3" w:rsidRDefault="00F041BC">
            <w:pPr>
              <w:jc w:val="right"/>
            </w:pPr>
            <w:r>
              <w:rPr>
                <w:szCs w:val="21"/>
              </w:rPr>
              <w:t>102,389.40</w:t>
            </w:r>
          </w:p>
        </w:tc>
        <w:tc>
          <w:tcPr>
            <w:tcW w:w="835" w:type="dxa"/>
            <w:vAlign w:val="center"/>
          </w:tcPr>
          <w:p w:rsidR="00C932E3" w:rsidRDefault="00F041BC">
            <w:pPr>
              <w:jc w:val="right"/>
            </w:pPr>
            <w:r>
              <w:rPr>
                <w:szCs w:val="21"/>
              </w:rPr>
              <w:t>102,389.40</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688100</w:t>
            </w:r>
          </w:p>
        </w:tc>
        <w:tc>
          <w:tcPr>
            <w:tcW w:w="835" w:type="dxa"/>
            <w:vAlign w:val="center"/>
          </w:tcPr>
          <w:p w:rsidR="00C932E3" w:rsidRDefault="00F041BC">
            <w:pPr>
              <w:jc w:val="center"/>
            </w:pPr>
            <w:r>
              <w:rPr>
                <w:szCs w:val="21"/>
              </w:rPr>
              <w:t>威胜信息</w:t>
            </w:r>
          </w:p>
        </w:tc>
        <w:tc>
          <w:tcPr>
            <w:tcW w:w="834" w:type="dxa"/>
            <w:vAlign w:val="center"/>
          </w:tcPr>
          <w:p w:rsidR="00C932E3" w:rsidRDefault="00F041BC">
            <w:pPr>
              <w:jc w:val="center"/>
            </w:pPr>
            <w:r>
              <w:rPr>
                <w:szCs w:val="21"/>
              </w:rPr>
              <w:t>2020-01-09</w:t>
            </w:r>
          </w:p>
        </w:tc>
        <w:tc>
          <w:tcPr>
            <w:tcW w:w="835" w:type="dxa"/>
            <w:vAlign w:val="center"/>
          </w:tcPr>
          <w:p w:rsidR="00C932E3" w:rsidRDefault="00F041BC">
            <w:pPr>
              <w:jc w:val="center"/>
            </w:pPr>
            <w:r>
              <w:rPr>
                <w:szCs w:val="21"/>
              </w:rPr>
              <w:t>2020-07-21</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13.78</w:t>
            </w:r>
          </w:p>
        </w:tc>
        <w:tc>
          <w:tcPr>
            <w:tcW w:w="834" w:type="dxa"/>
            <w:vAlign w:val="center"/>
          </w:tcPr>
          <w:p w:rsidR="00C932E3" w:rsidRDefault="00F041BC">
            <w:pPr>
              <w:jc w:val="center"/>
            </w:pPr>
            <w:r>
              <w:rPr>
                <w:szCs w:val="21"/>
              </w:rPr>
              <w:t>25.92</w:t>
            </w:r>
          </w:p>
        </w:tc>
        <w:tc>
          <w:tcPr>
            <w:tcW w:w="835" w:type="dxa"/>
            <w:vAlign w:val="center"/>
          </w:tcPr>
          <w:p w:rsidR="00C932E3" w:rsidRDefault="00F041BC">
            <w:pPr>
              <w:jc w:val="right"/>
            </w:pPr>
            <w:r>
              <w:rPr>
                <w:szCs w:val="21"/>
              </w:rPr>
              <w:t>11,602</w:t>
            </w:r>
          </w:p>
        </w:tc>
        <w:tc>
          <w:tcPr>
            <w:tcW w:w="834" w:type="dxa"/>
            <w:vAlign w:val="center"/>
          </w:tcPr>
          <w:p w:rsidR="00C932E3" w:rsidRDefault="00F041BC">
            <w:pPr>
              <w:jc w:val="right"/>
            </w:pPr>
            <w:r>
              <w:rPr>
                <w:szCs w:val="21"/>
              </w:rPr>
              <w:t>159,875.56</w:t>
            </w:r>
          </w:p>
        </w:tc>
        <w:tc>
          <w:tcPr>
            <w:tcW w:w="835" w:type="dxa"/>
            <w:vAlign w:val="center"/>
          </w:tcPr>
          <w:p w:rsidR="00C932E3" w:rsidRDefault="00F041BC">
            <w:pPr>
              <w:jc w:val="right"/>
            </w:pPr>
            <w:r>
              <w:rPr>
                <w:szCs w:val="21"/>
              </w:rPr>
              <w:t>300,723.84</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688277</w:t>
            </w:r>
          </w:p>
        </w:tc>
        <w:tc>
          <w:tcPr>
            <w:tcW w:w="835" w:type="dxa"/>
            <w:vAlign w:val="center"/>
          </w:tcPr>
          <w:p w:rsidR="00C932E3" w:rsidRDefault="00F041BC">
            <w:pPr>
              <w:jc w:val="center"/>
            </w:pPr>
            <w:r>
              <w:rPr>
                <w:szCs w:val="21"/>
              </w:rPr>
              <w:t>天智航</w:t>
            </w:r>
          </w:p>
        </w:tc>
        <w:tc>
          <w:tcPr>
            <w:tcW w:w="834" w:type="dxa"/>
            <w:vAlign w:val="center"/>
          </w:tcPr>
          <w:p w:rsidR="00C932E3" w:rsidRDefault="00F041BC">
            <w:pPr>
              <w:jc w:val="center"/>
            </w:pPr>
            <w:r>
              <w:rPr>
                <w:szCs w:val="21"/>
              </w:rPr>
              <w:t>2020-06-24</w:t>
            </w:r>
          </w:p>
        </w:tc>
        <w:tc>
          <w:tcPr>
            <w:tcW w:w="835" w:type="dxa"/>
            <w:vAlign w:val="center"/>
          </w:tcPr>
          <w:p w:rsidR="00C932E3" w:rsidRDefault="00F041BC">
            <w:pPr>
              <w:jc w:val="center"/>
            </w:pPr>
            <w:r>
              <w:rPr>
                <w:szCs w:val="21"/>
              </w:rPr>
              <w:t>2020-07-07</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12.04</w:t>
            </w:r>
          </w:p>
        </w:tc>
        <w:tc>
          <w:tcPr>
            <w:tcW w:w="834" w:type="dxa"/>
            <w:vAlign w:val="center"/>
          </w:tcPr>
          <w:p w:rsidR="00C932E3" w:rsidRDefault="00F041BC">
            <w:pPr>
              <w:jc w:val="center"/>
            </w:pPr>
            <w:r>
              <w:rPr>
                <w:szCs w:val="21"/>
              </w:rPr>
              <w:t>12.04</w:t>
            </w:r>
          </w:p>
        </w:tc>
        <w:tc>
          <w:tcPr>
            <w:tcW w:w="835" w:type="dxa"/>
            <w:vAlign w:val="center"/>
          </w:tcPr>
          <w:p w:rsidR="00C932E3" w:rsidRDefault="00F041BC">
            <w:pPr>
              <w:jc w:val="right"/>
            </w:pPr>
            <w:r>
              <w:rPr>
                <w:szCs w:val="21"/>
              </w:rPr>
              <w:t>8,810</w:t>
            </w:r>
          </w:p>
        </w:tc>
        <w:tc>
          <w:tcPr>
            <w:tcW w:w="834" w:type="dxa"/>
            <w:vAlign w:val="center"/>
          </w:tcPr>
          <w:p w:rsidR="00C932E3" w:rsidRDefault="00F041BC">
            <w:pPr>
              <w:jc w:val="right"/>
            </w:pPr>
            <w:r>
              <w:rPr>
                <w:szCs w:val="21"/>
              </w:rPr>
              <w:t>106,072.40</w:t>
            </w:r>
          </w:p>
        </w:tc>
        <w:tc>
          <w:tcPr>
            <w:tcW w:w="835" w:type="dxa"/>
            <w:vAlign w:val="center"/>
          </w:tcPr>
          <w:p w:rsidR="00C932E3" w:rsidRDefault="00F041BC">
            <w:pPr>
              <w:jc w:val="right"/>
            </w:pPr>
            <w:r>
              <w:rPr>
                <w:szCs w:val="21"/>
              </w:rPr>
              <w:t>106,072.40</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688377</w:t>
            </w:r>
          </w:p>
        </w:tc>
        <w:tc>
          <w:tcPr>
            <w:tcW w:w="835" w:type="dxa"/>
            <w:vAlign w:val="center"/>
          </w:tcPr>
          <w:p w:rsidR="00C932E3" w:rsidRDefault="00F041BC">
            <w:pPr>
              <w:jc w:val="center"/>
            </w:pPr>
            <w:r>
              <w:rPr>
                <w:szCs w:val="21"/>
              </w:rPr>
              <w:t>迪威尔</w:t>
            </w:r>
          </w:p>
        </w:tc>
        <w:tc>
          <w:tcPr>
            <w:tcW w:w="834" w:type="dxa"/>
            <w:vAlign w:val="center"/>
          </w:tcPr>
          <w:p w:rsidR="00C932E3" w:rsidRDefault="00F041BC">
            <w:pPr>
              <w:jc w:val="center"/>
            </w:pPr>
            <w:r>
              <w:rPr>
                <w:szCs w:val="21"/>
              </w:rPr>
              <w:t>2020-06-29</w:t>
            </w:r>
          </w:p>
        </w:tc>
        <w:tc>
          <w:tcPr>
            <w:tcW w:w="835" w:type="dxa"/>
            <w:vAlign w:val="center"/>
          </w:tcPr>
          <w:p w:rsidR="00C932E3" w:rsidRDefault="00F041BC">
            <w:pPr>
              <w:jc w:val="center"/>
            </w:pPr>
            <w:r>
              <w:rPr>
                <w:szCs w:val="21"/>
              </w:rPr>
              <w:t>2020-07-08</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16.42</w:t>
            </w:r>
          </w:p>
        </w:tc>
        <w:tc>
          <w:tcPr>
            <w:tcW w:w="834" w:type="dxa"/>
            <w:vAlign w:val="center"/>
          </w:tcPr>
          <w:p w:rsidR="00C932E3" w:rsidRDefault="00F041BC">
            <w:pPr>
              <w:jc w:val="center"/>
            </w:pPr>
            <w:r>
              <w:rPr>
                <w:szCs w:val="21"/>
              </w:rPr>
              <w:t>16.42</w:t>
            </w:r>
          </w:p>
        </w:tc>
        <w:tc>
          <w:tcPr>
            <w:tcW w:w="835" w:type="dxa"/>
            <w:vAlign w:val="center"/>
          </w:tcPr>
          <w:p w:rsidR="00C932E3" w:rsidRDefault="00F041BC">
            <w:pPr>
              <w:jc w:val="right"/>
            </w:pPr>
            <w:r>
              <w:rPr>
                <w:szCs w:val="21"/>
              </w:rPr>
              <w:t>7,894</w:t>
            </w:r>
          </w:p>
        </w:tc>
        <w:tc>
          <w:tcPr>
            <w:tcW w:w="834" w:type="dxa"/>
            <w:vAlign w:val="center"/>
          </w:tcPr>
          <w:p w:rsidR="00C932E3" w:rsidRDefault="00F041BC">
            <w:pPr>
              <w:jc w:val="right"/>
            </w:pPr>
            <w:r>
              <w:rPr>
                <w:szCs w:val="21"/>
              </w:rPr>
              <w:t>129,619.48</w:t>
            </w:r>
          </w:p>
        </w:tc>
        <w:tc>
          <w:tcPr>
            <w:tcW w:w="835" w:type="dxa"/>
            <w:vAlign w:val="center"/>
          </w:tcPr>
          <w:p w:rsidR="00C932E3" w:rsidRDefault="00F041BC">
            <w:pPr>
              <w:jc w:val="right"/>
            </w:pPr>
            <w:r>
              <w:rPr>
                <w:szCs w:val="21"/>
              </w:rPr>
              <w:t>129,619.48</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688568</w:t>
            </w:r>
          </w:p>
        </w:tc>
        <w:tc>
          <w:tcPr>
            <w:tcW w:w="835" w:type="dxa"/>
            <w:vAlign w:val="center"/>
          </w:tcPr>
          <w:p w:rsidR="00C932E3" w:rsidRDefault="00F041BC">
            <w:pPr>
              <w:jc w:val="center"/>
            </w:pPr>
            <w:r>
              <w:rPr>
                <w:szCs w:val="21"/>
              </w:rPr>
              <w:t>中科星图</w:t>
            </w:r>
          </w:p>
        </w:tc>
        <w:tc>
          <w:tcPr>
            <w:tcW w:w="834" w:type="dxa"/>
            <w:vAlign w:val="center"/>
          </w:tcPr>
          <w:p w:rsidR="00C932E3" w:rsidRDefault="00F041BC">
            <w:pPr>
              <w:jc w:val="center"/>
            </w:pPr>
            <w:r>
              <w:rPr>
                <w:szCs w:val="21"/>
              </w:rPr>
              <w:t>2020-06-30</w:t>
            </w:r>
          </w:p>
        </w:tc>
        <w:tc>
          <w:tcPr>
            <w:tcW w:w="835" w:type="dxa"/>
            <w:vAlign w:val="center"/>
          </w:tcPr>
          <w:p w:rsidR="00C932E3" w:rsidRDefault="00F041BC">
            <w:pPr>
              <w:jc w:val="center"/>
            </w:pPr>
            <w:r>
              <w:rPr>
                <w:szCs w:val="21"/>
              </w:rPr>
              <w:t>2020-07-08</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16.21</w:t>
            </w:r>
          </w:p>
        </w:tc>
        <w:tc>
          <w:tcPr>
            <w:tcW w:w="834" w:type="dxa"/>
            <w:vAlign w:val="center"/>
          </w:tcPr>
          <w:p w:rsidR="00C932E3" w:rsidRDefault="00F041BC">
            <w:pPr>
              <w:jc w:val="center"/>
            </w:pPr>
            <w:r>
              <w:rPr>
                <w:szCs w:val="21"/>
              </w:rPr>
              <w:t>16.21</w:t>
            </w:r>
          </w:p>
        </w:tc>
        <w:tc>
          <w:tcPr>
            <w:tcW w:w="835" w:type="dxa"/>
            <w:vAlign w:val="center"/>
          </w:tcPr>
          <w:p w:rsidR="00C932E3" w:rsidRDefault="00F041BC">
            <w:pPr>
              <w:jc w:val="right"/>
            </w:pPr>
            <w:r>
              <w:rPr>
                <w:szCs w:val="21"/>
              </w:rPr>
              <w:t>11,020</w:t>
            </w:r>
          </w:p>
        </w:tc>
        <w:tc>
          <w:tcPr>
            <w:tcW w:w="834" w:type="dxa"/>
            <w:vAlign w:val="center"/>
          </w:tcPr>
          <w:p w:rsidR="00C932E3" w:rsidRDefault="00F041BC">
            <w:pPr>
              <w:jc w:val="right"/>
            </w:pPr>
            <w:r>
              <w:rPr>
                <w:szCs w:val="21"/>
              </w:rPr>
              <w:t>178,634.20</w:t>
            </w:r>
          </w:p>
        </w:tc>
        <w:tc>
          <w:tcPr>
            <w:tcW w:w="835" w:type="dxa"/>
            <w:vAlign w:val="center"/>
          </w:tcPr>
          <w:p w:rsidR="00C932E3" w:rsidRDefault="00F041BC">
            <w:pPr>
              <w:jc w:val="right"/>
            </w:pPr>
            <w:r>
              <w:rPr>
                <w:szCs w:val="21"/>
              </w:rPr>
              <w:t>178,634.20</w:t>
            </w:r>
          </w:p>
        </w:tc>
        <w:tc>
          <w:tcPr>
            <w:tcW w:w="835" w:type="dxa"/>
            <w:vAlign w:val="center"/>
          </w:tcPr>
          <w:p w:rsidR="00C932E3" w:rsidRDefault="00F041BC">
            <w:pPr>
              <w:jc w:val="center"/>
            </w:pPr>
            <w:r>
              <w:rPr>
                <w:szCs w:val="21"/>
              </w:rPr>
              <w:t>-</w:t>
            </w:r>
          </w:p>
        </w:tc>
      </w:tr>
      <w:tr w:rsidR="00C932E3">
        <w:tc>
          <w:tcPr>
            <w:tcW w:w="834" w:type="dxa"/>
            <w:vAlign w:val="center"/>
          </w:tcPr>
          <w:p w:rsidR="00C932E3" w:rsidRDefault="00F041BC">
            <w:pPr>
              <w:jc w:val="center"/>
            </w:pPr>
            <w:r>
              <w:rPr>
                <w:szCs w:val="21"/>
              </w:rPr>
              <w:t>688600</w:t>
            </w:r>
          </w:p>
        </w:tc>
        <w:tc>
          <w:tcPr>
            <w:tcW w:w="835" w:type="dxa"/>
            <w:vAlign w:val="center"/>
          </w:tcPr>
          <w:p w:rsidR="00C932E3" w:rsidRDefault="00F041BC">
            <w:pPr>
              <w:jc w:val="center"/>
            </w:pPr>
            <w:r>
              <w:rPr>
                <w:szCs w:val="21"/>
              </w:rPr>
              <w:t>皖仪科技</w:t>
            </w:r>
          </w:p>
        </w:tc>
        <w:tc>
          <w:tcPr>
            <w:tcW w:w="834" w:type="dxa"/>
            <w:vAlign w:val="center"/>
          </w:tcPr>
          <w:p w:rsidR="00C932E3" w:rsidRDefault="00F041BC">
            <w:pPr>
              <w:jc w:val="center"/>
            </w:pPr>
            <w:r>
              <w:rPr>
                <w:szCs w:val="21"/>
              </w:rPr>
              <w:t>2020-06-23</w:t>
            </w:r>
          </w:p>
        </w:tc>
        <w:tc>
          <w:tcPr>
            <w:tcW w:w="835" w:type="dxa"/>
            <w:vAlign w:val="center"/>
          </w:tcPr>
          <w:p w:rsidR="00C932E3" w:rsidRDefault="00F041BC">
            <w:pPr>
              <w:jc w:val="center"/>
            </w:pPr>
            <w:r>
              <w:rPr>
                <w:szCs w:val="21"/>
              </w:rPr>
              <w:t>2020-07-03</w:t>
            </w:r>
          </w:p>
        </w:tc>
        <w:tc>
          <w:tcPr>
            <w:tcW w:w="834" w:type="dxa"/>
            <w:vAlign w:val="center"/>
          </w:tcPr>
          <w:p w:rsidR="00C932E3" w:rsidRDefault="00F041BC">
            <w:pPr>
              <w:jc w:val="center"/>
            </w:pPr>
            <w:r>
              <w:rPr>
                <w:szCs w:val="21"/>
              </w:rPr>
              <w:t>新股流通受限</w:t>
            </w:r>
          </w:p>
        </w:tc>
        <w:tc>
          <w:tcPr>
            <w:tcW w:w="835" w:type="dxa"/>
            <w:vAlign w:val="center"/>
          </w:tcPr>
          <w:p w:rsidR="00C932E3" w:rsidRDefault="00F041BC">
            <w:pPr>
              <w:jc w:val="right"/>
            </w:pPr>
            <w:r>
              <w:rPr>
                <w:szCs w:val="21"/>
              </w:rPr>
              <w:t>15.50</w:t>
            </w:r>
          </w:p>
        </w:tc>
        <w:tc>
          <w:tcPr>
            <w:tcW w:w="834" w:type="dxa"/>
            <w:vAlign w:val="center"/>
          </w:tcPr>
          <w:p w:rsidR="00C932E3" w:rsidRDefault="00F041BC">
            <w:pPr>
              <w:jc w:val="center"/>
            </w:pPr>
            <w:r>
              <w:rPr>
                <w:szCs w:val="21"/>
              </w:rPr>
              <w:t>15.50</w:t>
            </w:r>
          </w:p>
        </w:tc>
        <w:tc>
          <w:tcPr>
            <w:tcW w:w="835" w:type="dxa"/>
            <w:vAlign w:val="center"/>
          </w:tcPr>
          <w:p w:rsidR="00C932E3" w:rsidRDefault="00F041BC">
            <w:pPr>
              <w:jc w:val="right"/>
            </w:pPr>
            <w:r>
              <w:rPr>
                <w:szCs w:val="21"/>
              </w:rPr>
              <w:t>5,468</w:t>
            </w:r>
          </w:p>
        </w:tc>
        <w:tc>
          <w:tcPr>
            <w:tcW w:w="834" w:type="dxa"/>
            <w:vAlign w:val="center"/>
          </w:tcPr>
          <w:p w:rsidR="00C932E3" w:rsidRDefault="00F041BC">
            <w:pPr>
              <w:jc w:val="right"/>
            </w:pPr>
            <w:r>
              <w:rPr>
                <w:szCs w:val="21"/>
              </w:rPr>
              <w:t>84,754.00</w:t>
            </w:r>
          </w:p>
        </w:tc>
        <w:tc>
          <w:tcPr>
            <w:tcW w:w="835" w:type="dxa"/>
            <w:vAlign w:val="center"/>
          </w:tcPr>
          <w:p w:rsidR="00C932E3" w:rsidRDefault="00F041BC">
            <w:pPr>
              <w:jc w:val="right"/>
            </w:pPr>
            <w:r>
              <w:rPr>
                <w:szCs w:val="21"/>
              </w:rPr>
              <w:t>84,754.00</w:t>
            </w:r>
          </w:p>
        </w:tc>
        <w:tc>
          <w:tcPr>
            <w:tcW w:w="835" w:type="dxa"/>
            <w:vAlign w:val="center"/>
          </w:tcPr>
          <w:p w:rsidR="00C932E3" w:rsidRDefault="00F041BC">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日止，本基金从事银行间市场债券正回购交易形成的卖出回购证券款余额为</w:t>
      </w:r>
      <w:r w:rsidRPr="00224952">
        <w:rPr>
          <w:color w:val="000000"/>
          <w:szCs w:val="21"/>
        </w:rPr>
        <w:t>0</w:t>
      </w:r>
      <w:r w:rsidRPr="00224952">
        <w:rPr>
          <w:color w:val="000000"/>
          <w:szCs w:val="21"/>
        </w:rPr>
        <w:t>，无抵押债券。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日止，本基金从事证券交易所债券正回购交易形成的卖出回购证券款余额为</w:t>
      </w:r>
      <w:r w:rsidRPr="00E56272">
        <w:rPr>
          <w:kern w:val="0"/>
          <w:szCs w:val="21"/>
        </w:rPr>
        <w:t>0</w:t>
      </w:r>
      <w:r w:rsidRPr="00E56272">
        <w:rPr>
          <w:kern w:val="0"/>
          <w:szCs w:val="21"/>
        </w:rPr>
        <w:t>，无抵押债券。</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C932E3" w:rsidRDefault="00F041BC">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C932E3" w:rsidRDefault="00F041BC">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是混合型基金，属于证券投资基金中的中高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C932E3" w:rsidRDefault="00F041BC">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0.00%(2019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0.00%)</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71,870,423.50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71,870,423.50</w:t>
            </w:r>
          </w:p>
        </w:tc>
      </w:tr>
    </w:tbl>
    <w:p w:rsidR="00C932E3" w:rsidRDefault="00F041BC">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C932E3" w:rsidRDefault="00F041BC">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bl>
    <w:p w:rsidR="00C932E3" w:rsidRDefault="00F041BC">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C932E3" w:rsidRDefault="00F041BC">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C932E3" w:rsidRDefault="00F041BC">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C932E3">
        <w:trPr>
          <w:jc w:val="center"/>
        </w:trPr>
        <w:tc>
          <w:tcPr>
            <w:tcW w:w="1588" w:type="dxa"/>
            <w:vAlign w:val="center"/>
          </w:tcPr>
          <w:p w:rsidR="00C932E3" w:rsidRDefault="00F041BC">
            <w:pPr>
              <w:jc w:val="center"/>
            </w:pPr>
            <w:r>
              <w:rPr>
                <w:color w:val="000000"/>
                <w:szCs w:val="21"/>
              </w:rPr>
              <w:t>银行存款</w:t>
            </w:r>
          </w:p>
        </w:tc>
        <w:tc>
          <w:tcPr>
            <w:tcW w:w="1701" w:type="dxa"/>
            <w:vAlign w:val="center"/>
          </w:tcPr>
          <w:p w:rsidR="00C932E3" w:rsidRDefault="00F041BC">
            <w:pPr>
              <w:jc w:val="right"/>
            </w:pPr>
            <w:r>
              <w:rPr>
                <w:color w:val="000000"/>
                <w:szCs w:val="21"/>
              </w:rPr>
              <w:t>87,751,068.17</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87,751,068.17</w:t>
            </w:r>
          </w:p>
        </w:tc>
      </w:tr>
      <w:tr w:rsidR="00C932E3">
        <w:trPr>
          <w:jc w:val="center"/>
        </w:trPr>
        <w:tc>
          <w:tcPr>
            <w:tcW w:w="1588" w:type="dxa"/>
            <w:vAlign w:val="center"/>
          </w:tcPr>
          <w:p w:rsidR="00C932E3" w:rsidRDefault="00F041BC">
            <w:pPr>
              <w:jc w:val="center"/>
            </w:pPr>
            <w:r>
              <w:rPr>
                <w:color w:val="000000"/>
                <w:szCs w:val="21"/>
              </w:rPr>
              <w:t>结算备付金</w:t>
            </w:r>
          </w:p>
        </w:tc>
        <w:tc>
          <w:tcPr>
            <w:tcW w:w="1701" w:type="dxa"/>
            <w:vAlign w:val="center"/>
          </w:tcPr>
          <w:p w:rsidR="00C932E3" w:rsidRDefault="00F041BC">
            <w:pPr>
              <w:jc w:val="right"/>
            </w:pPr>
            <w:r>
              <w:rPr>
                <w:color w:val="000000"/>
                <w:szCs w:val="21"/>
              </w:rPr>
              <w:t>83,047.40</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83,047.40</w:t>
            </w:r>
          </w:p>
        </w:tc>
      </w:tr>
      <w:tr w:rsidR="00C932E3">
        <w:trPr>
          <w:jc w:val="center"/>
        </w:trPr>
        <w:tc>
          <w:tcPr>
            <w:tcW w:w="1588" w:type="dxa"/>
            <w:vAlign w:val="center"/>
          </w:tcPr>
          <w:p w:rsidR="00C932E3" w:rsidRDefault="00F041BC">
            <w:pPr>
              <w:jc w:val="center"/>
            </w:pPr>
            <w:r>
              <w:rPr>
                <w:color w:val="000000"/>
                <w:szCs w:val="21"/>
              </w:rPr>
              <w:t>存出保证金</w:t>
            </w:r>
          </w:p>
        </w:tc>
        <w:tc>
          <w:tcPr>
            <w:tcW w:w="1701" w:type="dxa"/>
            <w:vAlign w:val="center"/>
          </w:tcPr>
          <w:p w:rsidR="00C932E3" w:rsidRDefault="00F041BC">
            <w:pPr>
              <w:jc w:val="right"/>
            </w:pPr>
            <w:r>
              <w:rPr>
                <w:color w:val="000000"/>
                <w:szCs w:val="21"/>
              </w:rPr>
              <w:t>369,613.35</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369,613.35</w:t>
            </w:r>
          </w:p>
        </w:tc>
      </w:tr>
      <w:tr w:rsidR="00C932E3">
        <w:trPr>
          <w:jc w:val="center"/>
        </w:trPr>
        <w:tc>
          <w:tcPr>
            <w:tcW w:w="1588" w:type="dxa"/>
            <w:vAlign w:val="center"/>
          </w:tcPr>
          <w:p w:rsidR="00C932E3" w:rsidRDefault="00F041BC">
            <w:pPr>
              <w:jc w:val="center"/>
            </w:pPr>
            <w:r>
              <w:rPr>
                <w:color w:val="000000"/>
                <w:szCs w:val="21"/>
              </w:rPr>
              <w:t>交易性金融资产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1,013,344,491.89</w:t>
            </w:r>
          </w:p>
        </w:tc>
        <w:tc>
          <w:tcPr>
            <w:tcW w:w="1301" w:type="dxa"/>
            <w:vAlign w:val="center"/>
          </w:tcPr>
          <w:p w:rsidR="00C932E3" w:rsidRDefault="00F041BC">
            <w:pPr>
              <w:jc w:val="right"/>
            </w:pPr>
            <w:r>
              <w:rPr>
                <w:color w:val="000000"/>
                <w:szCs w:val="21"/>
              </w:rPr>
              <w:t>1,013,344,491.89</w:t>
            </w:r>
          </w:p>
        </w:tc>
      </w:tr>
      <w:tr w:rsidR="00C932E3">
        <w:trPr>
          <w:jc w:val="center"/>
        </w:trPr>
        <w:tc>
          <w:tcPr>
            <w:tcW w:w="1588" w:type="dxa"/>
            <w:vAlign w:val="center"/>
          </w:tcPr>
          <w:p w:rsidR="00C932E3" w:rsidRDefault="00F041BC">
            <w:pPr>
              <w:jc w:val="center"/>
            </w:pPr>
            <w:r>
              <w:rPr>
                <w:color w:val="000000"/>
                <w:szCs w:val="21"/>
              </w:rPr>
              <w:t>衍生金融资产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买入返售金融资产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应收证券清算款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6,190,497.78</w:t>
            </w:r>
          </w:p>
        </w:tc>
        <w:tc>
          <w:tcPr>
            <w:tcW w:w="1301" w:type="dxa"/>
            <w:vAlign w:val="center"/>
          </w:tcPr>
          <w:p w:rsidR="00C932E3" w:rsidRDefault="00F041BC">
            <w:pPr>
              <w:jc w:val="right"/>
            </w:pPr>
            <w:r>
              <w:rPr>
                <w:color w:val="000000"/>
                <w:szCs w:val="21"/>
              </w:rPr>
              <w:t>6,190,497.78</w:t>
            </w:r>
          </w:p>
        </w:tc>
      </w:tr>
      <w:tr w:rsidR="00C932E3">
        <w:trPr>
          <w:jc w:val="center"/>
        </w:trPr>
        <w:tc>
          <w:tcPr>
            <w:tcW w:w="1588" w:type="dxa"/>
            <w:vAlign w:val="center"/>
          </w:tcPr>
          <w:p w:rsidR="00C932E3" w:rsidRDefault="00F041BC">
            <w:pPr>
              <w:jc w:val="center"/>
            </w:pPr>
            <w:r>
              <w:rPr>
                <w:color w:val="000000"/>
                <w:szCs w:val="21"/>
              </w:rPr>
              <w:t>应收利息</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15,794.03</w:t>
            </w:r>
          </w:p>
        </w:tc>
        <w:tc>
          <w:tcPr>
            <w:tcW w:w="1301" w:type="dxa"/>
            <w:vAlign w:val="center"/>
          </w:tcPr>
          <w:p w:rsidR="00C932E3" w:rsidRDefault="00F041BC">
            <w:pPr>
              <w:jc w:val="right"/>
            </w:pPr>
            <w:r>
              <w:rPr>
                <w:color w:val="000000"/>
                <w:szCs w:val="21"/>
              </w:rPr>
              <w:t>15,794.03</w:t>
            </w:r>
          </w:p>
        </w:tc>
      </w:tr>
      <w:tr w:rsidR="00C932E3">
        <w:trPr>
          <w:jc w:val="center"/>
        </w:trPr>
        <w:tc>
          <w:tcPr>
            <w:tcW w:w="1588" w:type="dxa"/>
            <w:vAlign w:val="center"/>
          </w:tcPr>
          <w:p w:rsidR="00C932E3" w:rsidRDefault="00F041BC">
            <w:pPr>
              <w:jc w:val="center"/>
            </w:pPr>
            <w:r>
              <w:rPr>
                <w:color w:val="000000"/>
                <w:szCs w:val="21"/>
              </w:rPr>
              <w:t>应收股利</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应收申购款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1,543,374.82</w:t>
            </w:r>
          </w:p>
        </w:tc>
        <w:tc>
          <w:tcPr>
            <w:tcW w:w="1301" w:type="dxa"/>
            <w:vAlign w:val="center"/>
          </w:tcPr>
          <w:p w:rsidR="00C932E3" w:rsidRDefault="00F041BC">
            <w:pPr>
              <w:jc w:val="right"/>
            </w:pPr>
            <w:r>
              <w:rPr>
                <w:color w:val="000000"/>
                <w:szCs w:val="21"/>
              </w:rPr>
              <w:t>1,543,374.82</w:t>
            </w:r>
          </w:p>
        </w:tc>
      </w:tr>
      <w:tr w:rsidR="00C932E3">
        <w:trPr>
          <w:jc w:val="center"/>
        </w:trPr>
        <w:tc>
          <w:tcPr>
            <w:tcW w:w="1588" w:type="dxa"/>
            <w:vAlign w:val="center"/>
          </w:tcPr>
          <w:p w:rsidR="00C932E3" w:rsidRDefault="00F041BC">
            <w:pPr>
              <w:jc w:val="center"/>
            </w:pPr>
            <w:r>
              <w:rPr>
                <w:color w:val="000000"/>
                <w:szCs w:val="21"/>
              </w:rPr>
              <w:t>递延所得税资产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其他资产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88,203,728.92</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1,021,094,158.52</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1,109,297,887.44</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C932E3">
        <w:trPr>
          <w:jc w:val="center"/>
        </w:trPr>
        <w:tc>
          <w:tcPr>
            <w:tcW w:w="1588" w:type="dxa"/>
            <w:vAlign w:val="center"/>
          </w:tcPr>
          <w:p w:rsidR="00C932E3" w:rsidRDefault="00F041BC">
            <w:pPr>
              <w:jc w:val="center"/>
            </w:pPr>
            <w:r>
              <w:rPr>
                <w:color w:val="000000"/>
                <w:szCs w:val="21"/>
              </w:rPr>
              <w:t>短期借款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交易性金融负债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衍生金融负债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卖出回购金融资产款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应付证券清算款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应付赎回款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17,636,009.39</w:t>
            </w:r>
          </w:p>
        </w:tc>
        <w:tc>
          <w:tcPr>
            <w:tcW w:w="1301" w:type="dxa"/>
            <w:vAlign w:val="center"/>
          </w:tcPr>
          <w:p w:rsidR="00C932E3" w:rsidRDefault="00F041BC">
            <w:pPr>
              <w:jc w:val="right"/>
            </w:pPr>
            <w:r>
              <w:rPr>
                <w:color w:val="000000"/>
                <w:szCs w:val="21"/>
              </w:rPr>
              <w:t>17,636,009.39</w:t>
            </w:r>
          </w:p>
        </w:tc>
      </w:tr>
      <w:tr w:rsidR="00C932E3">
        <w:trPr>
          <w:jc w:val="center"/>
        </w:trPr>
        <w:tc>
          <w:tcPr>
            <w:tcW w:w="1588" w:type="dxa"/>
            <w:vAlign w:val="center"/>
          </w:tcPr>
          <w:p w:rsidR="00C932E3" w:rsidRDefault="00F041BC">
            <w:pPr>
              <w:jc w:val="center"/>
            </w:pPr>
            <w:r>
              <w:rPr>
                <w:color w:val="000000"/>
                <w:szCs w:val="21"/>
              </w:rPr>
              <w:t>应付管理人报酬</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1,386,342.81</w:t>
            </w:r>
          </w:p>
        </w:tc>
        <w:tc>
          <w:tcPr>
            <w:tcW w:w="1301" w:type="dxa"/>
            <w:vAlign w:val="center"/>
          </w:tcPr>
          <w:p w:rsidR="00C932E3" w:rsidRDefault="00F041BC">
            <w:pPr>
              <w:jc w:val="right"/>
            </w:pPr>
            <w:r>
              <w:rPr>
                <w:color w:val="000000"/>
                <w:szCs w:val="21"/>
              </w:rPr>
              <w:t>1,386,342.81</w:t>
            </w:r>
          </w:p>
        </w:tc>
      </w:tr>
      <w:tr w:rsidR="00C932E3">
        <w:trPr>
          <w:jc w:val="center"/>
        </w:trPr>
        <w:tc>
          <w:tcPr>
            <w:tcW w:w="1588" w:type="dxa"/>
            <w:vAlign w:val="center"/>
          </w:tcPr>
          <w:p w:rsidR="00C932E3" w:rsidRDefault="00F041BC">
            <w:pPr>
              <w:jc w:val="center"/>
            </w:pPr>
            <w:r>
              <w:rPr>
                <w:color w:val="000000"/>
                <w:szCs w:val="21"/>
              </w:rPr>
              <w:t>应付托管费</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231,057.13</w:t>
            </w:r>
          </w:p>
        </w:tc>
        <w:tc>
          <w:tcPr>
            <w:tcW w:w="1301" w:type="dxa"/>
            <w:vAlign w:val="center"/>
          </w:tcPr>
          <w:p w:rsidR="00C932E3" w:rsidRDefault="00F041BC">
            <w:pPr>
              <w:jc w:val="right"/>
            </w:pPr>
            <w:r>
              <w:rPr>
                <w:color w:val="000000"/>
                <w:szCs w:val="21"/>
              </w:rPr>
              <w:t>231,057.13</w:t>
            </w:r>
          </w:p>
        </w:tc>
      </w:tr>
      <w:tr w:rsidR="00C932E3">
        <w:trPr>
          <w:jc w:val="center"/>
        </w:trPr>
        <w:tc>
          <w:tcPr>
            <w:tcW w:w="1588" w:type="dxa"/>
            <w:vAlign w:val="center"/>
          </w:tcPr>
          <w:p w:rsidR="00C932E3" w:rsidRDefault="00F041BC">
            <w:pPr>
              <w:jc w:val="center"/>
            </w:pPr>
            <w:r>
              <w:rPr>
                <w:color w:val="000000"/>
                <w:szCs w:val="21"/>
              </w:rPr>
              <w:t>应付销售服务费</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应付交易费用</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329,528.07</w:t>
            </w:r>
          </w:p>
        </w:tc>
        <w:tc>
          <w:tcPr>
            <w:tcW w:w="1301" w:type="dxa"/>
            <w:vAlign w:val="center"/>
          </w:tcPr>
          <w:p w:rsidR="00C932E3" w:rsidRDefault="00F041BC">
            <w:pPr>
              <w:jc w:val="right"/>
            </w:pPr>
            <w:r>
              <w:rPr>
                <w:color w:val="000000"/>
                <w:szCs w:val="21"/>
              </w:rPr>
              <w:t>329,528.07</w:t>
            </w:r>
          </w:p>
        </w:tc>
      </w:tr>
      <w:tr w:rsidR="00C932E3">
        <w:trPr>
          <w:jc w:val="center"/>
        </w:trPr>
        <w:tc>
          <w:tcPr>
            <w:tcW w:w="1588" w:type="dxa"/>
            <w:vAlign w:val="center"/>
          </w:tcPr>
          <w:p w:rsidR="00C932E3" w:rsidRDefault="00F041BC">
            <w:pPr>
              <w:jc w:val="center"/>
            </w:pPr>
            <w:r>
              <w:rPr>
                <w:color w:val="000000"/>
                <w:szCs w:val="21"/>
              </w:rPr>
              <w:t>应交税费</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应付利息</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应付利润</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递延所得税负债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其他负债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336,383.53</w:t>
            </w:r>
          </w:p>
        </w:tc>
        <w:tc>
          <w:tcPr>
            <w:tcW w:w="1301" w:type="dxa"/>
            <w:vAlign w:val="center"/>
          </w:tcPr>
          <w:p w:rsidR="00C932E3" w:rsidRDefault="00F041BC">
            <w:pPr>
              <w:jc w:val="right"/>
            </w:pPr>
            <w:r>
              <w:rPr>
                <w:color w:val="000000"/>
                <w:szCs w:val="21"/>
              </w:rPr>
              <w:t>336,383.53</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19,919,320.93</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19,919,320.93</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88,203,728.92</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C201C3">
            <w:pPr>
              <w:spacing w:line="360" w:lineRule="auto"/>
              <w:jc w:val="center"/>
              <w:rPr>
                <w:szCs w:val="21"/>
              </w:rPr>
            </w:pPr>
            <w:r w:rsidRPr="00224952">
              <w:rPr>
                <w:szCs w:val="21"/>
              </w:rPr>
              <w:t>1,001,174,837.59</w:t>
            </w:r>
          </w:p>
        </w:tc>
        <w:tc>
          <w:tcPr>
            <w:tcW w:w="1301" w:type="dxa"/>
            <w:vAlign w:val="center"/>
          </w:tcPr>
          <w:p w:rsidR="00753756" w:rsidRPr="00224952" w:rsidRDefault="00753756" w:rsidP="00B60413">
            <w:pPr>
              <w:spacing w:line="360" w:lineRule="auto"/>
              <w:jc w:val="center"/>
              <w:rPr>
                <w:szCs w:val="21"/>
              </w:rPr>
            </w:pPr>
            <w:r w:rsidRPr="00224952">
              <w:rPr>
                <w:szCs w:val="21"/>
              </w:rPr>
              <w:t>1,089,378,566.51</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C932E3">
        <w:trPr>
          <w:jc w:val="center"/>
        </w:trPr>
        <w:tc>
          <w:tcPr>
            <w:tcW w:w="1588" w:type="dxa"/>
            <w:vAlign w:val="center"/>
          </w:tcPr>
          <w:p w:rsidR="00C932E3" w:rsidRDefault="00F041BC">
            <w:pPr>
              <w:jc w:val="center"/>
            </w:pPr>
            <w:r>
              <w:rPr>
                <w:color w:val="000000"/>
                <w:szCs w:val="21"/>
              </w:rPr>
              <w:t>银行存款</w:t>
            </w:r>
          </w:p>
        </w:tc>
        <w:tc>
          <w:tcPr>
            <w:tcW w:w="1701" w:type="dxa"/>
            <w:vAlign w:val="center"/>
          </w:tcPr>
          <w:p w:rsidR="00C932E3" w:rsidRDefault="00F041BC">
            <w:pPr>
              <w:jc w:val="right"/>
            </w:pPr>
            <w:r>
              <w:rPr>
                <w:color w:val="000000"/>
                <w:szCs w:val="21"/>
              </w:rPr>
              <w:t>60,164,612.61</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60,164,612.61</w:t>
            </w:r>
          </w:p>
        </w:tc>
      </w:tr>
      <w:tr w:rsidR="00C932E3">
        <w:trPr>
          <w:jc w:val="center"/>
        </w:trPr>
        <w:tc>
          <w:tcPr>
            <w:tcW w:w="1588" w:type="dxa"/>
            <w:vAlign w:val="center"/>
          </w:tcPr>
          <w:p w:rsidR="00C932E3" w:rsidRDefault="00F041BC">
            <w:pPr>
              <w:jc w:val="center"/>
            </w:pPr>
            <w:r>
              <w:rPr>
                <w:color w:val="000000"/>
                <w:szCs w:val="21"/>
              </w:rPr>
              <w:t>结算备付金</w:t>
            </w:r>
          </w:p>
        </w:tc>
        <w:tc>
          <w:tcPr>
            <w:tcW w:w="1701" w:type="dxa"/>
            <w:vAlign w:val="center"/>
          </w:tcPr>
          <w:p w:rsidR="00C932E3" w:rsidRDefault="00F041BC">
            <w:pPr>
              <w:jc w:val="right"/>
            </w:pPr>
            <w:r>
              <w:rPr>
                <w:color w:val="000000"/>
                <w:szCs w:val="21"/>
              </w:rPr>
              <w:t>173,913.05</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173,913.05</w:t>
            </w:r>
          </w:p>
        </w:tc>
      </w:tr>
      <w:tr w:rsidR="00C932E3">
        <w:trPr>
          <w:jc w:val="center"/>
        </w:trPr>
        <w:tc>
          <w:tcPr>
            <w:tcW w:w="1588" w:type="dxa"/>
            <w:vAlign w:val="center"/>
          </w:tcPr>
          <w:p w:rsidR="00C932E3" w:rsidRDefault="00F041BC">
            <w:pPr>
              <w:jc w:val="center"/>
            </w:pPr>
            <w:r>
              <w:rPr>
                <w:color w:val="000000"/>
                <w:szCs w:val="21"/>
              </w:rPr>
              <w:t>存出保证金</w:t>
            </w:r>
          </w:p>
        </w:tc>
        <w:tc>
          <w:tcPr>
            <w:tcW w:w="1701" w:type="dxa"/>
            <w:vAlign w:val="center"/>
          </w:tcPr>
          <w:p w:rsidR="00C932E3" w:rsidRDefault="00F041BC">
            <w:pPr>
              <w:jc w:val="right"/>
            </w:pPr>
            <w:r>
              <w:rPr>
                <w:color w:val="000000"/>
                <w:szCs w:val="21"/>
              </w:rPr>
              <w:t>475,587.36</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475,587.36</w:t>
            </w:r>
          </w:p>
        </w:tc>
      </w:tr>
      <w:tr w:rsidR="00C932E3">
        <w:trPr>
          <w:jc w:val="center"/>
        </w:trPr>
        <w:tc>
          <w:tcPr>
            <w:tcW w:w="1588" w:type="dxa"/>
            <w:vAlign w:val="center"/>
          </w:tcPr>
          <w:p w:rsidR="00C932E3" w:rsidRDefault="00F041BC">
            <w:pPr>
              <w:jc w:val="center"/>
            </w:pPr>
            <w:r>
              <w:rPr>
                <w:color w:val="000000"/>
                <w:szCs w:val="21"/>
              </w:rPr>
              <w:t>交易性金融资产</w:t>
            </w:r>
          </w:p>
        </w:tc>
        <w:tc>
          <w:tcPr>
            <w:tcW w:w="1701" w:type="dxa"/>
            <w:vAlign w:val="center"/>
          </w:tcPr>
          <w:p w:rsidR="00C932E3" w:rsidRDefault="00F041BC">
            <w:pPr>
              <w:jc w:val="right"/>
            </w:pPr>
            <w:r>
              <w:rPr>
                <w:color w:val="000000"/>
                <w:szCs w:val="21"/>
              </w:rPr>
              <w:t>70,205,000.00</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1,375,757,390.17</w:t>
            </w:r>
          </w:p>
        </w:tc>
        <w:tc>
          <w:tcPr>
            <w:tcW w:w="1301" w:type="dxa"/>
            <w:vAlign w:val="center"/>
          </w:tcPr>
          <w:p w:rsidR="00C932E3" w:rsidRDefault="00F041BC">
            <w:pPr>
              <w:jc w:val="right"/>
            </w:pPr>
            <w:r>
              <w:rPr>
                <w:color w:val="000000"/>
                <w:szCs w:val="21"/>
              </w:rPr>
              <w:t>1,445,962,390.17</w:t>
            </w:r>
          </w:p>
        </w:tc>
      </w:tr>
      <w:tr w:rsidR="00C932E3">
        <w:trPr>
          <w:jc w:val="center"/>
        </w:trPr>
        <w:tc>
          <w:tcPr>
            <w:tcW w:w="1588" w:type="dxa"/>
            <w:vAlign w:val="center"/>
          </w:tcPr>
          <w:p w:rsidR="00C932E3" w:rsidRDefault="00F041BC">
            <w:pPr>
              <w:jc w:val="center"/>
            </w:pPr>
            <w:r>
              <w:rPr>
                <w:color w:val="000000"/>
                <w:szCs w:val="21"/>
              </w:rPr>
              <w:t>衍生金融资产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买入返售金融资产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应收证券清算款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6,769,589.25</w:t>
            </w:r>
          </w:p>
        </w:tc>
        <w:tc>
          <w:tcPr>
            <w:tcW w:w="1301" w:type="dxa"/>
            <w:vAlign w:val="center"/>
          </w:tcPr>
          <w:p w:rsidR="00C932E3" w:rsidRDefault="00F041BC">
            <w:pPr>
              <w:jc w:val="right"/>
            </w:pPr>
            <w:r>
              <w:rPr>
                <w:color w:val="000000"/>
                <w:szCs w:val="21"/>
              </w:rPr>
              <w:t>6,769,589.25</w:t>
            </w:r>
          </w:p>
        </w:tc>
      </w:tr>
      <w:tr w:rsidR="00C932E3">
        <w:trPr>
          <w:jc w:val="center"/>
        </w:trPr>
        <w:tc>
          <w:tcPr>
            <w:tcW w:w="1588" w:type="dxa"/>
            <w:vAlign w:val="center"/>
          </w:tcPr>
          <w:p w:rsidR="00C932E3" w:rsidRDefault="00F041BC">
            <w:pPr>
              <w:jc w:val="center"/>
            </w:pPr>
            <w:r>
              <w:rPr>
                <w:color w:val="000000"/>
                <w:szCs w:val="21"/>
              </w:rPr>
              <w:t>应收利息</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1,678,562.46</w:t>
            </w:r>
          </w:p>
        </w:tc>
        <w:tc>
          <w:tcPr>
            <w:tcW w:w="1301" w:type="dxa"/>
            <w:vAlign w:val="center"/>
          </w:tcPr>
          <w:p w:rsidR="00C932E3" w:rsidRDefault="00F041BC">
            <w:pPr>
              <w:jc w:val="right"/>
            </w:pPr>
            <w:r>
              <w:rPr>
                <w:color w:val="000000"/>
                <w:szCs w:val="21"/>
              </w:rPr>
              <w:t>1,678,562.46</w:t>
            </w:r>
          </w:p>
        </w:tc>
      </w:tr>
      <w:tr w:rsidR="00C932E3">
        <w:trPr>
          <w:jc w:val="center"/>
        </w:trPr>
        <w:tc>
          <w:tcPr>
            <w:tcW w:w="1588" w:type="dxa"/>
            <w:vAlign w:val="center"/>
          </w:tcPr>
          <w:p w:rsidR="00C932E3" w:rsidRDefault="00F041BC">
            <w:pPr>
              <w:jc w:val="center"/>
            </w:pPr>
            <w:r>
              <w:rPr>
                <w:color w:val="000000"/>
                <w:szCs w:val="21"/>
              </w:rPr>
              <w:t>应收股利</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应收申购款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586,335.26</w:t>
            </w:r>
          </w:p>
        </w:tc>
        <w:tc>
          <w:tcPr>
            <w:tcW w:w="1301" w:type="dxa"/>
            <w:vAlign w:val="center"/>
          </w:tcPr>
          <w:p w:rsidR="00C932E3" w:rsidRDefault="00F041BC">
            <w:pPr>
              <w:jc w:val="right"/>
            </w:pPr>
            <w:r>
              <w:rPr>
                <w:color w:val="000000"/>
                <w:szCs w:val="21"/>
              </w:rPr>
              <w:t>586,335.26</w:t>
            </w:r>
          </w:p>
        </w:tc>
      </w:tr>
      <w:tr w:rsidR="00C932E3">
        <w:trPr>
          <w:jc w:val="center"/>
        </w:trPr>
        <w:tc>
          <w:tcPr>
            <w:tcW w:w="1588" w:type="dxa"/>
            <w:vAlign w:val="center"/>
          </w:tcPr>
          <w:p w:rsidR="00C932E3" w:rsidRDefault="00F041BC">
            <w:pPr>
              <w:jc w:val="center"/>
            </w:pPr>
            <w:r>
              <w:rPr>
                <w:color w:val="000000"/>
                <w:szCs w:val="21"/>
              </w:rPr>
              <w:t>递延所得税资产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其他资产</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131,019,113.02</w:t>
            </w:r>
          </w:p>
        </w:tc>
        <w:tc>
          <w:tcPr>
            <w:tcW w:w="1701" w:type="dxa"/>
            <w:vAlign w:val="center"/>
          </w:tcPr>
          <w:p w:rsidR="00753756" w:rsidRPr="00224952" w:rsidRDefault="00753756" w:rsidP="001A1348">
            <w:pPr>
              <w:spacing w:line="360" w:lineRule="auto"/>
              <w:jc w:val="center"/>
              <w:rPr>
                <w:szCs w:val="21"/>
              </w:rPr>
            </w:pPr>
            <w:r w:rsidRPr="00224952">
              <w:rPr>
                <w:szCs w:val="21"/>
              </w:rPr>
              <w:t>-</w:t>
            </w:r>
          </w:p>
        </w:tc>
        <w:tc>
          <w:tcPr>
            <w:tcW w:w="1559" w:type="dxa"/>
            <w:vAlign w:val="center"/>
          </w:tcPr>
          <w:p w:rsidR="00753756" w:rsidRPr="00224952" w:rsidRDefault="00753756" w:rsidP="001A1348">
            <w:pPr>
              <w:spacing w:line="360" w:lineRule="auto"/>
              <w:jc w:val="center"/>
              <w:rPr>
                <w:szCs w:val="21"/>
              </w:rPr>
            </w:pPr>
            <w:r w:rsidRPr="00224952">
              <w:rPr>
                <w:szCs w:val="21"/>
              </w:rPr>
              <w:t>-</w:t>
            </w:r>
          </w:p>
        </w:tc>
        <w:tc>
          <w:tcPr>
            <w:tcW w:w="1559" w:type="dxa"/>
            <w:vAlign w:val="center"/>
          </w:tcPr>
          <w:p w:rsidR="00753756" w:rsidRPr="00224952" w:rsidRDefault="00753756" w:rsidP="001A1348">
            <w:pPr>
              <w:spacing w:line="360" w:lineRule="auto"/>
              <w:jc w:val="center"/>
              <w:rPr>
                <w:szCs w:val="21"/>
              </w:rPr>
            </w:pPr>
            <w:r w:rsidRPr="00224952">
              <w:rPr>
                <w:szCs w:val="21"/>
              </w:rPr>
              <w:t>1,384,791,877.14</w:t>
            </w:r>
          </w:p>
        </w:tc>
        <w:tc>
          <w:tcPr>
            <w:tcW w:w="1301" w:type="dxa"/>
            <w:vAlign w:val="center"/>
          </w:tcPr>
          <w:p w:rsidR="00753756" w:rsidRPr="00224952" w:rsidRDefault="00753756" w:rsidP="001A1348">
            <w:pPr>
              <w:spacing w:line="360" w:lineRule="auto"/>
              <w:jc w:val="center"/>
              <w:rPr>
                <w:szCs w:val="21"/>
              </w:rPr>
            </w:pPr>
            <w:r w:rsidRPr="00224952">
              <w:rPr>
                <w:szCs w:val="21"/>
              </w:rPr>
              <w:t>1,515,810,990.16</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C932E3">
        <w:trPr>
          <w:jc w:val="center"/>
        </w:trPr>
        <w:tc>
          <w:tcPr>
            <w:tcW w:w="1588" w:type="dxa"/>
            <w:vAlign w:val="center"/>
          </w:tcPr>
          <w:p w:rsidR="00C932E3" w:rsidRDefault="00F041BC">
            <w:pPr>
              <w:jc w:val="center"/>
            </w:pPr>
            <w:r>
              <w:rPr>
                <w:color w:val="000000"/>
                <w:szCs w:val="21"/>
              </w:rPr>
              <w:t>短期借款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交易性金融负债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衍生金融负债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卖出回购金融资产款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应付证券清算款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应付赎回款</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13,998,162.25</w:t>
            </w:r>
          </w:p>
        </w:tc>
        <w:tc>
          <w:tcPr>
            <w:tcW w:w="1301" w:type="dxa"/>
            <w:vAlign w:val="center"/>
          </w:tcPr>
          <w:p w:rsidR="00C932E3" w:rsidRDefault="00F041BC">
            <w:pPr>
              <w:jc w:val="right"/>
            </w:pPr>
            <w:r>
              <w:rPr>
                <w:color w:val="000000"/>
                <w:szCs w:val="21"/>
              </w:rPr>
              <w:t>13,998,162.25</w:t>
            </w:r>
          </w:p>
        </w:tc>
      </w:tr>
      <w:tr w:rsidR="00C932E3">
        <w:trPr>
          <w:jc w:val="center"/>
        </w:trPr>
        <w:tc>
          <w:tcPr>
            <w:tcW w:w="1588" w:type="dxa"/>
            <w:vAlign w:val="center"/>
          </w:tcPr>
          <w:p w:rsidR="00C932E3" w:rsidRDefault="00F041BC">
            <w:pPr>
              <w:jc w:val="center"/>
            </w:pPr>
            <w:r>
              <w:rPr>
                <w:color w:val="000000"/>
                <w:szCs w:val="21"/>
              </w:rPr>
              <w:t>应付管理人报酬</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1,904,421.26</w:t>
            </w:r>
          </w:p>
        </w:tc>
        <w:tc>
          <w:tcPr>
            <w:tcW w:w="1301" w:type="dxa"/>
            <w:vAlign w:val="center"/>
          </w:tcPr>
          <w:p w:rsidR="00C932E3" w:rsidRDefault="00F041BC">
            <w:pPr>
              <w:jc w:val="right"/>
            </w:pPr>
            <w:r>
              <w:rPr>
                <w:color w:val="000000"/>
                <w:szCs w:val="21"/>
              </w:rPr>
              <w:t>1,904,421.26</w:t>
            </w:r>
          </w:p>
        </w:tc>
      </w:tr>
      <w:tr w:rsidR="00C932E3">
        <w:trPr>
          <w:jc w:val="center"/>
        </w:trPr>
        <w:tc>
          <w:tcPr>
            <w:tcW w:w="1588" w:type="dxa"/>
            <w:vAlign w:val="center"/>
          </w:tcPr>
          <w:p w:rsidR="00C932E3" w:rsidRDefault="00F041BC">
            <w:pPr>
              <w:jc w:val="center"/>
            </w:pPr>
            <w:r>
              <w:rPr>
                <w:color w:val="000000"/>
                <w:szCs w:val="21"/>
              </w:rPr>
              <w:t>应付托管费</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317,403.55</w:t>
            </w:r>
          </w:p>
        </w:tc>
        <w:tc>
          <w:tcPr>
            <w:tcW w:w="1301" w:type="dxa"/>
            <w:vAlign w:val="center"/>
          </w:tcPr>
          <w:p w:rsidR="00C932E3" w:rsidRDefault="00F041BC">
            <w:pPr>
              <w:jc w:val="right"/>
            </w:pPr>
            <w:r>
              <w:rPr>
                <w:color w:val="000000"/>
                <w:szCs w:val="21"/>
              </w:rPr>
              <w:t>317,403.55</w:t>
            </w:r>
          </w:p>
        </w:tc>
      </w:tr>
      <w:tr w:rsidR="00C932E3">
        <w:trPr>
          <w:jc w:val="center"/>
        </w:trPr>
        <w:tc>
          <w:tcPr>
            <w:tcW w:w="1588" w:type="dxa"/>
            <w:vAlign w:val="center"/>
          </w:tcPr>
          <w:p w:rsidR="00C932E3" w:rsidRDefault="00F041BC">
            <w:pPr>
              <w:jc w:val="center"/>
            </w:pPr>
            <w:r>
              <w:rPr>
                <w:color w:val="000000"/>
                <w:szCs w:val="21"/>
              </w:rPr>
              <w:t>应付销售服务费</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应付交易费用</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326,159.33</w:t>
            </w:r>
          </w:p>
        </w:tc>
        <w:tc>
          <w:tcPr>
            <w:tcW w:w="1301" w:type="dxa"/>
            <w:vAlign w:val="center"/>
          </w:tcPr>
          <w:p w:rsidR="00C932E3" w:rsidRDefault="00F041BC">
            <w:pPr>
              <w:jc w:val="right"/>
            </w:pPr>
            <w:r>
              <w:rPr>
                <w:color w:val="000000"/>
                <w:szCs w:val="21"/>
              </w:rPr>
              <w:t>326,159.33</w:t>
            </w:r>
          </w:p>
        </w:tc>
      </w:tr>
      <w:tr w:rsidR="00C932E3">
        <w:trPr>
          <w:jc w:val="center"/>
        </w:trPr>
        <w:tc>
          <w:tcPr>
            <w:tcW w:w="1588" w:type="dxa"/>
            <w:vAlign w:val="center"/>
          </w:tcPr>
          <w:p w:rsidR="00C932E3" w:rsidRDefault="00F041BC">
            <w:pPr>
              <w:jc w:val="center"/>
            </w:pPr>
            <w:r>
              <w:rPr>
                <w:color w:val="000000"/>
                <w:szCs w:val="21"/>
              </w:rPr>
              <w:t>应交税费</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0.63</w:t>
            </w:r>
          </w:p>
        </w:tc>
        <w:tc>
          <w:tcPr>
            <w:tcW w:w="1301" w:type="dxa"/>
            <w:vAlign w:val="center"/>
          </w:tcPr>
          <w:p w:rsidR="00C932E3" w:rsidRDefault="00F041BC">
            <w:pPr>
              <w:jc w:val="right"/>
            </w:pPr>
            <w:r>
              <w:rPr>
                <w:color w:val="000000"/>
                <w:szCs w:val="21"/>
              </w:rPr>
              <w:t>0.63</w:t>
            </w:r>
          </w:p>
        </w:tc>
      </w:tr>
      <w:tr w:rsidR="00C932E3">
        <w:trPr>
          <w:jc w:val="center"/>
        </w:trPr>
        <w:tc>
          <w:tcPr>
            <w:tcW w:w="1588" w:type="dxa"/>
            <w:vAlign w:val="center"/>
          </w:tcPr>
          <w:p w:rsidR="00C932E3" w:rsidRDefault="00F041BC">
            <w:pPr>
              <w:jc w:val="center"/>
            </w:pPr>
            <w:r>
              <w:rPr>
                <w:color w:val="000000"/>
                <w:szCs w:val="21"/>
              </w:rPr>
              <w:t>应付利息</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应付利润</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递延所得税负债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301" w:type="dxa"/>
            <w:vAlign w:val="center"/>
          </w:tcPr>
          <w:p w:rsidR="00C932E3" w:rsidRDefault="00F041BC">
            <w:pPr>
              <w:jc w:val="right"/>
            </w:pPr>
            <w:r>
              <w:rPr>
                <w:color w:val="000000"/>
                <w:szCs w:val="21"/>
              </w:rPr>
              <w:t>-</w:t>
            </w:r>
          </w:p>
        </w:tc>
      </w:tr>
      <w:tr w:rsidR="00C932E3">
        <w:trPr>
          <w:jc w:val="center"/>
        </w:trPr>
        <w:tc>
          <w:tcPr>
            <w:tcW w:w="1588" w:type="dxa"/>
            <w:vAlign w:val="center"/>
          </w:tcPr>
          <w:p w:rsidR="00C932E3" w:rsidRDefault="00F041BC">
            <w:pPr>
              <w:jc w:val="center"/>
            </w:pPr>
            <w:r>
              <w:rPr>
                <w:color w:val="000000"/>
                <w:szCs w:val="21"/>
              </w:rPr>
              <w:t>其他负债</w:t>
            </w:r>
          </w:p>
        </w:tc>
        <w:tc>
          <w:tcPr>
            <w:tcW w:w="1701" w:type="dxa"/>
            <w:vAlign w:val="center"/>
          </w:tcPr>
          <w:p w:rsidR="00C932E3" w:rsidRDefault="00F041BC">
            <w:pPr>
              <w:jc w:val="right"/>
            </w:pPr>
            <w:r>
              <w:rPr>
                <w:color w:val="000000"/>
                <w:szCs w:val="21"/>
              </w:rPr>
              <w:t>-</w:t>
            </w:r>
          </w:p>
        </w:tc>
        <w:tc>
          <w:tcPr>
            <w:tcW w:w="1701"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w:t>
            </w:r>
          </w:p>
        </w:tc>
        <w:tc>
          <w:tcPr>
            <w:tcW w:w="1559" w:type="dxa"/>
            <w:vAlign w:val="center"/>
          </w:tcPr>
          <w:p w:rsidR="00C932E3" w:rsidRDefault="00F041BC">
            <w:pPr>
              <w:jc w:val="right"/>
            </w:pPr>
            <w:r>
              <w:rPr>
                <w:color w:val="000000"/>
                <w:szCs w:val="21"/>
              </w:rPr>
              <w:t>330,970.62</w:t>
            </w:r>
          </w:p>
        </w:tc>
        <w:tc>
          <w:tcPr>
            <w:tcW w:w="1301" w:type="dxa"/>
            <w:vAlign w:val="center"/>
          </w:tcPr>
          <w:p w:rsidR="00C932E3" w:rsidRDefault="00F041BC">
            <w:pPr>
              <w:jc w:val="right"/>
            </w:pPr>
            <w:r>
              <w:rPr>
                <w:color w:val="000000"/>
                <w:szCs w:val="21"/>
              </w:rPr>
              <w:t>330,970.62</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16,877,117.64</w:t>
            </w:r>
          </w:p>
        </w:tc>
        <w:tc>
          <w:tcPr>
            <w:tcW w:w="1301" w:type="dxa"/>
            <w:vAlign w:val="center"/>
          </w:tcPr>
          <w:p w:rsidR="00753756" w:rsidRPr="00224952" w:rsidRDefault="00753756" w:rsidP="00B60413">
            <w:pPr>
              <w:spacing w:line="360" w:lineRule="auto"/>
              <w:jc w:val="center"/>
              <w:rPr>
                <w:szCs w:val="21"/>
              </w:rPr>
            </w:pPr>
            <w:r w:rsidRPr="00224952">
              <w:rPr>
                <w:szCs w:val="21"/>
              </w:rPr>
              <w:t>16,877,117.64</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131,019,113.02</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1,367,914,759.50</w:t>
            </w:r>
          </w:p>
        </w:tc>
        <w:tc>
          <w:tcPr>
            <w:tcW w:w="1301" w:type="dxa"/>
            <w:vAlign w:val="center"/>
          </w:tcPr>
          <w:p w:rsidR="00753756" w:rsidRPr="00224952" w:rsidRDefault="00753756" w:rsidP="00B60413">
            <w:pPr>
              <w:spacing w:line="360" w:lineRule="auto"/>
              <w:jc w:val="center"/>
              <w:rPr>
                <w:szCs w:val="21"/>
              </w:rPr>
            </w:pPr>
            <w:r w:rsidRPr="00224952">
              <w:rPr>
                <w:szCs w:val="21"/>
              </w:rPr>
              <w:t>1,498,933,872.52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C932E3">
        <w:tc>
          <w:tcPr>
            <w:tcW w:w="851" w:type="dxa"/>
            <w:vAlign w:val="center"/>
          </w:tcPr>
          <w:p w:rsidR="00C932E3" w:rsidRDefault="00F041BC">
            <w:pPr>
              <w:jc w:val="left"/>
            </w:pPr>
            <w:r>
              <w:rPr>
                <w:rFonts w:eastAsiaTheme="minorEastAsia"/>
                <w:color w:val="000000"/>
                <w:szCs w:val="21"/>
              </w:rPr>
              <w:t>假设</w:t>
            </w:r>
          </w:p>
        </w:tc>
        <w:tc>
          <w:tcPr>
            <w:tcW w:w="8149" w:type="dxa"/>
            <w:gridSpan w:val="3"/>
            <w:vAlign w:val="center"/>
          </w:tcPr>
          <w:p w:rsidR="00C932E3" w:rsidRDefault="00F041BC">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C932E3">
        <w:tc>
          <w:tcPr>
            <w:tcW w:w="851" w:type="dxa"/>
            <w:vMerge/>
          </w:tcPr>
          <w:p w:rsidR="00C932E3" w:rsidRDefault="00C932E3"/>
        </w:tc>
        <w:tc>
          <w:tcPr>
            <w:tcW w:w="2551" w:type="dxa"/>
            <w:vAlign w:val="center"/>
          </w:tcPr>
          <w:p w:rsidR="00C932E3" w:rsidRDefault="00F041BC">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C932E3" w:rsidRDefault="00F041BC">
            <w:pPr>
              <w:jc w:val="right"/>
            </w:pPr>
            <w:r>
              <w:rPr>
                <w:rFonts w:eastAsiaTheme="minorEastAsia"/>
                <w:color w:val="000000"/>
                <w:szCs w:val="21"/>
              </w:rPr>
              <w:t>-</w:t>
            </w:r>
          </w:p>
        </w:tc>
        <w:tc>
          <w:tcPr>
            <w:tcW w:w="2904" w:type="dxa"/>
            <w:vAlign w:val="center"/>
          </w:tcPr>
          <w:p w:rsidR="00C932E3" w:rsidRDefault="00F041BC">
            <w:pPr>
              <w:jc w:val="right"/>
            </w:pPr>
            <w:r>
              <w:rPr>
                <w:rFonts w:eastAsiaTheme="minorEastAsia"/>
                <w:color w:val="000000"/>
                <w:szCs w:val="21"/>
              </w:rPr>
              <w:t>45,944.28</w:t>
            </w:r>
          </w:p>
        </w:tc>
      </w:tr>
      <w:tr w:rsidR="00C932E3">
        <w:tc>
          <w:tcPr>
            <w:tcW w:w="851" w:type="dxa"/>
            <w:vMerge/>
          </w:tcPr>
          <w:p w:rsidR="00C932E3" w:rsidRDefault="00C932E3"/>
        </w:tc>
        <w:tc>
          <w:tcPr>
            <w:tcW w:w="2551" w:type="dxa"/>
            <w:vAlign w:val="center"/>
          </w:tcPr>
          <w:p w:rsidR="00C932E3" w:rsidRDefault="00F041BC">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C932E3" w:rsidRDefault="00F041BC">
            <w:pPr>
              <w:jc w:val="right"/>
            </w:pPr>
            <w:r>
              <w:rPr>
                <w:rFonts w:eastAsiaTheme="minorEastAsia"/>
                <w:color w:val="000000"/>
                <w:szCs w:val="21"/>
              </w:rPr>
              <w:t>-</w:t>
            </w:r>
          </w:p>
        </w:tc>
        <w:tc>
          <w:tcPr>
            <w:tcW w:w="2904" w:type="dxa"/>
            <w:vAlign w:val="center"/>
          </w:tcPr>
          <w:p w:rsidR="00C932E3" w:rsidRDefault="00F041BC">
            <w:pPr>
              <w:jc w:val="right"/>
            </w:pPr>
            <w:r>
              <w:rPr>
                <w:rFonts w:eastAsiaTheme="minorEastAsia"/>
                <w:color w:val="000000"/>
                <w:szCs w:val="21"/>
              </w:rPr>
              <w:t>-45,882.62</w:t>
            </w:r>
          </w:p>
        </w:tc>
      </w:tr>
    </w:tbl>
    <w:p w:rsidR="00753756" w:rsidRPr="00224952" w:rsidRDefault="00D65F6C" w:rsidP="00E56272">
      <w:pPr>
        <w:tabs>
          <w:tab w:val="left" w:pos="426"/>
        </w:tabs>
        <w:spacing w:line="360" w:lineRule="auto"/>
        <w:ind w:firstLineChars="200" w:firstLine="420"/>
        <w:rPr>
          <w:kern w:val="0"/>
          <w:szCs w:val="21"/>
        </w:rPr>
      </w:pPr>
      <w:r w:rsidRPr="00E56272">
        <w:rPr>
          <w:kern w:val="0"/>
          <w:szCs w:val="21"/>
        </w:rPr>
        <w:t>注：本期末本基金未持有交易性债券投资</w:t>
      </w:r>
      <w:r w:rsidRPr="00E56272">
        <w:rPr>
          <w:kern w:val="0"/>
          <w:szCs w:val="21"/>
        </w:rPr>
        <w:t>(</w:t>
      </w:r>
      <w:r w:rsidRPr="00E56272">
        <w:rPr>
          <w:kern w:val="0"/>
          <w:szCs w:val="21"/>
        </w:rPr>
        <w:t>不包括可转债），因此市场利率的变动对于本基金资产净值无重大影响。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C932E3" w:rsidRDefault="00F041BC">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1,013,344,491.89</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93.02</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1,375,757,390.17</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91.78</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1,013,344,491.89</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93.02</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1,375,757,390.17</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91.78</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C932E3">
        <w:tc>
          <w:tcPr>
            <w:tcW w:w="993" w:type="dxa"/>
            <w:vAlign w:val="center"/>
          </w:tcPr>
          <w:p w:rsidR="00C932E3" w:rsidRDefault="00F041BC">
            <w:pPr>
              <w:jc w:val="left"/>
            </w:pPr>
            <w:r>
              <w:rPr>
                <w:color w:val="000000"/>
                <w:szCs w:val="21"/>
              </w:rPr>
              <w:t>假设</w:t>
            </w:r>
          </w:p>
        </w:tc>
        <w:tc>
          <w:tcPr>
            <w:tcW w:w="7938" w:type="dxa"/>
            <w:gridSpan w:val="3"/>
            <w:vAlign w:val="center"/>
          </w:tcPr>
          <w:p w:rsidR="00C932E3" w:rsidRDefault="00F041BC">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C932E3">
        <w:tc>
          <w:tcPr>
            <w:tcW w:w="993" w:type="dxa"/>
            <w:vMerge/>
          </w:tcPr>
          <w:p w:rsidR="00C932E3" w:rsidRDefault="00C932E3"/>
        </w:tc>
        <w:tc>
          <w:tcPr>
            <w:tcW w:w="2448" w:type="dxa"/>
            <w:vAlign w:val="center"/>
          </w:tcPr>
          <w:p w:rsidR="00C932E3" w:rsidRDefault="00F041BC">
            <w:r>
              <w:rPr>
                <w:color w:val="000000"/>
                <w:szCs w:val="21"/>
              </w:rPr>
              <w:t>1.</w:t>
            </w:r>
            <w:r>
              <w:rPr>
                <w:color w:val="000000"/>
                <w:szCs w:val="21"/>
              </w:rPr>
              <w:t>业绩比较基准上升</w:t>
            </w:r>
            <w:r>
              <w:rPr>
                <w:color w:val="000000"/>
                <w:szCs w:val="21"/>
              </w:rPr>
              <w:t>5%</w:t>
            </w:r>
          </w:p>
        </w:tc>
        <w:tc>
          <w:tcPr>
            <w:tcW w:w="2880" w:type="dxa"/>
            <w:vAlign w:val="center"/>
          </w:tcPr>
          <w:p w:rsidR="00C932E3" w:rsidRDefault="00F041BC">
            <w:pPr>
              <w:jc w:val="right"/>
            </w:pPr>
            <w:r>
              <w:rPr>
                <w:color w:val="000000"/>
                <w:szCs w:val="21"/>
              </w:rPr>
              <w:t>74,337,659.89</w:t>
            </w:r>
          </w:p>
        </w:tc>
        <w:tc>
          <w:tcPr>
            <w:tcW w:w="2610" w:type="dxa"/>
            <w:vAlign w:val="center"/>
          </w:tcPr>
          <w:p w:rsidR="00C932E3" w:rsidRDefault="00F041BC">
            <w:pPr>
              <w:jc w:val="right"/>
            </w:pPr>
            <w:r>
              <w:rPr>
                <w:color w:val="000000"/>
                <w:szCs w:val="21"/>
              </w:rPr>
              <w:t>108,793,837.28</w:t>
            </w:r>
          </w:p>
        </w:tc>
      </w:tr>
      <w:tr w:rsidR="00C932E3">
        <w:tc>
          <w:tcPr>
            <w:tcW w:w="993" w:type="dxa"/>
            <w:vMerge/>
          </w:tcPr>
          <w:p w:rsidR="00C932E3" w:rsidRDefault="00C932E3"/>
        </w:tc>
        <w:tc>
          <w:tcPr>
            <w:tcW w:w="2448" w:type="dxa"/>
            <w:vAlign w:val="center"/>
          </w:tcPr>
          <w:p w:rsidR="00C932E3" w:rsidRDefault="00F041BC">
            <w:r>
              <w:rPr>
                <w:color w:val="000000"/>
                <w:szCs w:val="21"/>
              </w:rPr>
              <w:t>2.</w:t>
            </w:r>
            <w:r>
              <w:rPr>
                <w:color w:val="000000"/>
                <w:szCs w:val="21"/>
              </w:rPr>
              <w:t>业绩比较基准下降</w:t>
            </w:r>
            <w:r>
              <w:rPr>
                <w:color w:val="000000"/>
                <w:szCs w:val="21"/>
              </w:rPr>
              <w:t>5%</w:t>
            </w:r>
          </w:p>
        </w:tc>
        <w:tc>
          <w:tcPr>
            <w:tcW w:w="2880" w:type="dxa"/>
            <w:vAlign w:val="center"/>
          </w:tcPr>
          <w:p w:rsidR="00C932E3" w:rsidRDefault="00F041BC">
            <w:pPr>
              <w:jc w:val="right"/>
            </w:pPr>
            <w:r>
              <w:rPr>
                <w:color w:val="000000"/>
                <w:szCs w:val="21"/>
              </w:rPr>
              <w:t>-74,337,659.89</w:t>
            </w:r>
          </w:p>
        </w:tc>
        <w:tc>
          <w:tcPr>
            <w:tcW w:w="2610" w:type="dxa"/>
            <w:vAlign w:val="center"/>
          </w:tcPr>
          <w:p w:rsidR="00C932E3" w:rsidRDefault="00F041BC">
            <w:pPr>
              <w:jc w:val="right"/>
            </w:pPr>
            <w:r>
              <w:rPr>
                <w:color w:val="000000"/>
                <w:szCs w:val="21"/>
              </w:rPr>
              <w:t>-108,793,837.28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C932E3" w:rsidRDefault="00F041BC">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1,006,812,455.73</w:t>
      </w:r>
      <w:r>
        <w:rPr>
          <w:kern w:val="0"/>
          <w:szCs w:val="21"/>
        </w:rPr>
        <w:t>元，属于第二层次的余额为</w:t>
      </w:r>
      <w:r>
        <w:rPr>
          <w:kern w:val="0"/>
          <w:szCs w:val="21"/>
        </w:rPr>
        <w:t>6,532,036.16</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1,375,239,356.33</w:t>
      </w:r>
      <w:r>
        <w:rPr>
          <w:kern w:val="0"/>
          <w:szCs w:val="21"/>
        </w:rPr>
        <w:t>元，第二层次</w:t>
      </w:r>
      <w:r>
        <w:rPr>
          <w:kern w:val="0"/>
          <w:szCs w:val="21"/>
        </w:rPr>
        <w:t>70,723,033.84</w:t>
      </w:r>
      <w:r>
        <w:rPr>
          <w:kern w:val="0"/>
          <w:szCs w:val="21"/>
        </w:rPr>
        <w:t>元，无属于第三层次的余额</w:t>
      </w:r>
      <w:r>
        <w:rPr>
          <w:kern w:val="0"/>
          <w:szCs w:val="21"/>
        </w:rPr>
        <w:t>)</w:t>
      </w:r>
      <w:r>
        <w:rPr>
          <w:kern w:val="0"/>
          <w:szCs w:val="21"/>
        </w:rPr>
        <w:t>。</w:t>
      </w:r>
    </w:p>
    <w:p w:rsidR="00C932E3" w:rsidRDefault="00F041BC">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C932E3" w:rsidRDefault="00F041BC">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无。</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C932E3" w:rsidRDefault="00F041BC">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5487"/>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5488"/>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1,013,344,491.89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91.35</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1,013,344,491.89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91.35</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87,834,115.57</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7.92</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8,119,279.98</w:t>
            </w:r>
          </w:p>
        </w:tc>
        <w:tc>
          <w:tcPr>
            <w:tcW w:w="2052" w:type="dxa"/>
            <w:vAlign w:val="center"/>
          </w:tcPr>
          <w:p w:rsidR="00753756" w:rsidRPr="00224952" w:rsidRDefault="00753756" w:rsidP="006F346C">
            <w:pPr>
              <w:jc w:val="right"/>
              <w:rPr>
                <w:color w:val="000000"/>
                <w:szCs w:val="21"/>
              </w:rPr>
            </w:pPr>
            <w:r w:rsidRPr="00224952">
              <w:rPr>
                <w:color w:val="000000"/>
                <w:szCs w:val="21"/>
              </w:rPr>
              <w:t>0.73</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1,109,297,887.44</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5489"/>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963,267,689.78</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88.42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12,766.32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0.00</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49,873,304.02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4.58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190,731.77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1,013,344,491.89</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93.02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5490"/>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C932E3">
        <w:trPr>
          <w:jc w:val="center"/>
        </w:trPr>
        <w:tc>
          <w:tcPr>
            <w:tcW w:w="817" w:type="dxa"/>
            <w:vAlign w:val="center"/>
          </w:tcPr>
          <w:p w:rsidR="00C932E3" w:rsidRDefault="00F041BC">
            <w:pPr>
              <w:jc w:val="center"/>
            </w:pPr>
            <w:r>
              <w:rPr>
                <w:color w:val="000000"/>
                <w:szCs w:val="21"/>
              </w:rPr>
              <w:t>1</w:t>
            </w:r>
          </w:p>
        </w:tc>
        <w:tc>
          <w:tcPr>
            <w:tcW w:w="1276" w:type="dxa"/>
            <w:vAlign w:val="center"/>
          </w:tcPr>
          <w:p w:rsidR="00C932E3" w:rsidRDefault="00F041BC">
            <w:pPr>
              <w:jc w:val="center"/>
            </w:pPr>
            <w:r>
              <w:rPr>
                <w:color w:val="000000"/>
                <w:szCs w:val="21"/>
              </w:rPr>
              <w:t>000858</w:t>
            </w:r>
          </w:p>
        </w:tc>
        <w:tc>
          <w:tcPr>
            <w:tcW w:w="1701" w:type="dxa"/>
            <w:vAlign w:val="center"/>
          </w:tcPr>
          <w:p w:rsidR="00C932E3" w:rsidRDefault="00F041BC">
            <w:pPr>
              <w:jc w:val="center"/>
            </w:pPr>
            <w:r>
              <w:rPr>
                <w:color w:val="000000"/>
                <w:szCs w:val="21"/>
              </w:rPr>
              <w:t>五粮液</w:t>
            </w:r>
          </w:p>
        </w:tc>
        <w:tc>
          <w:tcPr>
            <w:tcW w:w="1276" w:type="dxa"/>
            <w:vAlign w:val="center"/>
          </w:tcPr>
          <w:p w:rsidR="00C932E3" w:rsidRDefault="00F041BC">
            <w:pPr>
              <w:jc w:val="right"/>
            </w:pPr>
            <w:r>
              <w:rPr>
                <w:color w:val="000000"/>
                <w:szCs w:val="21"/>
              </w:rPr>
              <w:t>653,126</w:t>
            </w:r>
          </w:p>
        </w:tc>
        <w:tc>
          <w:tcPr>
            <w:tcW w:w="2172" w:type="dxa"/>
            <w:vAlign w:val="center"/>
          </w:tcPr>
          <w:p w:rsidR="00C932E3" w:rsidRDefault="00F041BC">
            <w:pPr>
              <w:jc w:val="right"/>
            </w:pPr>
            <w:r>
              <w:rPr>
                <w:color w:val="000000"/>
                <w:szCs w:val="21"/>
              </w:rPr>
              <w:t>111,762,921.12</w:t>
            </w:r>
          </w:p>
        </w:tc>
        <w:tc>
          <w:tcPr>
            <w:tcW w:w="1852" w:type="dxa"/>
            <w:vAlign w:val="center"/>
          </w:tcPr>
          <w:p w:rsidR="00C932E3" w:rsidRDefault="00F041BC">
            <w:pPr>
              <w:jc w:val="right"/>
            </w:pPr>
            <w:r>
              <w:rPr>
                <w:color w:val="000000"/>
                <w:szCs w:val="21"/>
              </w:rPr>
              <w:t>10.26</w:t>
            </w:r>
          </w:p>
        </w:tc>
      </w:tr>
      <w:tr w:rsidR="00C932E3">
        <w:trPr>
          <w:jc w:val="center"/>
        </w:trPr>
        <w:tc>
          <w:tcPr>
            <w:tcW w:w="817" w:type="dxa"/>
            <w:vAlign w:val="center"/>
          </w:tcPr>
          <w:p w:rsidR="00C932E3" w:rsidRDefault="00F041BC">
            <w:pPr>
              <w:jc w:val="center"/>
            </w:pPr>
            <w:r>
              <w:rPr>
                <w:color w:val="000000"/>
                <w:szCs w:val="21"/>
              </w:rPr>
              <w:t>2</w:t>
            </w:r>
          </w:p>
        </w:tc>
        <w:tc>
          <w:tcPr>
            <w:tcW w:w="1276" w:type="dxa"/>
            <w:vAlign w:val="center"/>
          </w:tcPr>
          <w:p w:rsidR="00C932E3" w:rsidRDefault="00F041BC">
            <w:pPr>
              <w:jc w:val="center"/>
            </w:pPr>
            <w:r>
              <w:rPr>
                <w:color w:val="000000"/>
                <w:szCs w:val="21"/>
              </w:rPr>
              <w:t>600519</w:t>
            </w:r>
          </w:p>
        </w:tc>
        <w:tc>
          <w:tcPr>
            <w:tcW w:w="1701" w:type="dxa"/>
            <w:vAlign w:val="center"/>
          </w:tcPr>
          <w:p w:rsidR="00C932E3" w:rsidRDefault="00F041BC">
            <w:pPr>
              <w:jc w:val="center"/>
            </w:pPr>
            <w:r>
              <w:rPr>
                <w:color w:val="000000"/>
                <w:szCs w:val="21"/>
              </w:rPr>
              <w:t>贵州茅台</w:t>
            </w:r>
          </w:p>
        </w:tc>
        <w:tc>
          <w:tcPr>
            <w:tcW w:w="1276" w:type="dxa"/>
            <w:vAlign w:val="center"/>
          </w:tcPr>
          <w:p w:rsidR="00C932E3" w:rsidRDefault="00F041BC">
            <w:pPr>
              <w:jc w:val="right"/>
            </w:pPr>
            <w:r>
              <w:rPr>
                <w:color w:val="000000"/>
                <w:szCs w:val="21"/>
              </w:rPr>
              <w:t>75,932</w:t>
            </w:r>
          </w:p>
        </w:tc>
        <w:tc>
          <w:tcPr>
            <w:tcW w:w="2172" w:type="dxa"/>
            <w:vAlign w:val="center"/>
          </w:tcPr>
          <w:p w:rsidR="00C932E3" w:rsidRDefault="00F041BC">
            <w:pPr>
              <w:jc w:val="right"/>
            </w:pPr>
            <w:r>
              <w:rPr>
                <w:color w:val="000000"/>
                <w:szCs w:val="21"/>
              </w:rPr>
              <w:t>111,079,404.16</w:t>
            </w:r>
          </w:p>
        </w:tc>
        <w:tc>
          <w:tcPr>
            <w:tcW w:w="1852" w:type="dxa"/>
            <w:vAlign w:val="center"/>
          </w:tcPr>
          <w:p w:rsidR="00C932E3" w:rsidRDefault="00F041BC">
            <w:pPr>
              <w:jc w:val="right"/>
            </w:pPr>
            <w:r>
              <w:rPr>
                <w:color w:val="000000"/>
                <w:szCs w:val="21"/>
              </w:rPr>
              <w:t>10.20</w:t>
            </w:r>
          </w:p>
        </w:tc>
      </w:tr>
      <w:tr w:rsidR="00C932E3">
        <w:trPr>
          <w:jc w:val="center"/>
        </w:trPr>
        <w:tc>
          <w:tcPr>
            <w:tcW w:w="817" w:type="dxa"/>
            <w:vAlign w:val="center"/>
          </w:tcPr>
          <w:p w:rsidR="00C932E3" w:rsidRDefault="00F041BC">
            <w:pPr>
              <w:jc w:val="center"/>
            </w:pPr>
            <w:r>
              <w:rPr>
                <w:color w:val="000000"/>
                <w:szCs w:val="21"/>
              </w:rPr>
              <w:t>3</w:t>
            </w:r>
          </w:p>
        </w:tc>
        <w:tc>
          <w:tcPr>
            <w:tcW w:w="1276" w:type="dxa"/>
            <w:vAlign w:val="center"/>
          </w:tcPr>
          <w:p w:rsidR="00C932E3" w:rsidRDefault="00F041BC">
            <w:pPr>
              <w:jc w:val="center"/>
            </w:pPr>
            <w:r>
              <w:rPr>
                <w:color w:val="000000"/>
                <w:szCs w:val="21"/>
              </w:rPr>
              <w:t>000568</w:t>
            </w:r>
          </w:p>
        </w:tc>
        <w:tc>
          <w:tcPr>
            <w:tcW w:w="1701" w:type="dxa"/>
            <w:vAlign w:val="center"/>
          </w:tcPr>
          <w:p w:rsidR="00C932E3" w:rsidRDefault="00F041BC">
            <w:pPr>
              <w:jc w:val="center"/>
            </w:pPr>
            <w:r>
              <w:rPr>
                <w:color w:val="000000"/>
                <w:szCs w:val="21"/>
              </w:rPr>
              <w:t>泸州老窖</w:t>
            </w:r>
          </w:p>
        </w:tc>
        <w:tc>
          <w:tcPr>
            <w:tcW w:w="1276" w:type="dxa"/>
            <w:vAlign w:val="center"/>
          </w:tcPr>
          <w:p w:rsidR="00C932E3" w:rsidRDefault="00F041BC">
            <w:pPr>
              <w:jc w:val="right"/>
            </w:pPr>
            <w:r>
              <w:rPr>
                <w:color w:val="000000"/>
                <w:szCs w:val="21"/>
              </w:rPr>
              <w:t>1,187,434</w:t>
            </w:r>
          </w:p>
        </w:tc>
        <w:tc>
          <w:tcPr>
            <w:tcW w:w="2172" w:type="dxa"/>
            <w:vAlign w:val="center"/>
          </w:tcPr>
          <w:p w:rsidR="00C932E3" w:rsidRDefault="00F041BC">
            <w:pPr>
              <w:jc w:val="right"/>
            </w:pPr>
            <w:r>
              <w:rPr>
                <w:color w:val="000000"/>
                <w:szCs w:val="21"/>
              </w:rPr>
              <w:t>108,198,986.08</w:t>
            </w:r>
          </w:p>
        </w:tc>
        <w:tc>
          <w:tcPr>
            <w:tcW w:w="1852" w:type="dxa"/>
            <w:vAlign w:val="center"/>
          </w:tcPr>
          <w:p w:rsidR="00C932E3" w:rsidRDefault="00F041BC">
            <w:pPr>
              <w:jc w:val="right"/>
            </w:pPr>
            <w:r>
              <w:rPr>
                <w:color w:val="000000"/>
                <w:szCs w:val="21"/>
              </w:rPr>
              <w:t>9.93</w:t>
            </w:r>
          </w:p>
        </w:tc>
      </w:tr>
      <w:tr w:rsidR="00C932E3">
        <w:trPr>
          <w:jc w:val="center"/>
        </w:trPr>
        <w:tc>
          <w:tcPr>
            <w:tcW w:w="817" w:type="dxa"/>
            <w:vAlign w:val="center"/>
          </w:tcPr>
          <w:p w:rsidR="00C932E3" w:rsidRDefault="00F041BC">
            <w:pPr>
              <w:jc w:val="center"/>
            </w:pPr>
            <w:r>
              <w:rPr>
                <w:color w:val="000000"/>
                <w:szCs w:val="21"/>
              </w:rPr>
              <w:t>4</w:t>
            </w:r>
          </w:p>
        </w:tc>
        <w:tc>
          <w:tcPr>
            <w:tcW w:w="1276" w:type="dxa"/>
            <w:vAlign w:val="center"/>
          </w:tcPr>
          <w:p w:rsidR="00C932E3" w:rsidRDefault="00F041BC">
            <w:pPr>
              <w:jc w:val="center"/>
            </w:pPr>
            <w:r>
              <w:rPr>
                <w:color w:val="000000"/>
                <w:szCs w:val="21"/>
              </w:rPr>
              <w:t>000651</w:t>
            </w:r>
          </w:p>
        </w:tc>
        <w:tc>
          <w:tcPr>
            <w:tcW w:w="1701" w:type="dxa"/>
            <w:vAlign w:val="center"/>
          </w:tcPr>
          <w:p w:rsidR="00C932E3" w:rsidRDefault="00F041BC">
            <w:pPr>
              <w:jc w:val="center"/>
            </w:pPr>
            <w:r>
              <w:rPr>
                <w:color w:val="000000"/>
                <w:szCs w:val="21"/>
              </w:rPr>
              <w:t>格力电器</w:t>
            </w:r>
          </w:p>
        </w:tc>
        <w:tc>
          <w:tcPr>
            <w:tcW w:w="1276" w:type="dxa"/>
            <w:vAlign w:val="center"/>
          </w:tcPr>
          <w:p w:rsidR="00C932E3" w:rsidRDefault="00F041BC">
            <w:pPr>
              <w:jc w:val="right"/>
            </w:pPr>
            <w:r>
              <w:rPr>
                <w:color w:val="000000"/>
                <w:szCs w:val="21"/>
              </w:rPr>
              <w:t>1,854,478</w:t>
            </w:r>
          </w:p>
        </w:tc>
        <w:tc>
          <w:tcPr>
            <w:tcW w:w="2172" w:type="dxa"/>
            <w:vAlign w:val="center"/>
          </w:tcPr>
          <w:p w:rsidR="00C932E3" w:rsidRDefault="00F041BC">
            <w:pPr>
              <w:jc w:val="right"/>
            </w:pPr>
            <w:r>
              <w:rPr>
                <w:color w:val="000000"/>
                <w:szCs w:val="21"/>
              </w:rPr>
              <w:t>104,907,820.46</w:t>
            </w:r>
          </w:p>
        </w:tc>
        <w:tc>
          <w:tcPr>
            <w:tcW w:w="1852" w:type="dxa"/>
            <w:vAlign w:val="center"/>
          </w:tcPr>
          <w:p w:rsidR="00C932E3" w:rsidRDefault="00F041BC">
            <w:pPr>
              <w:jc w:val="right"/>
            </w:pPr>
            <w:r>
              <w:rPr>
                <w:color w:val="000000"/>
                <w:szCs w:val="21"/>
              </w:rPr>
              <w:t>9.63</w:t>
            </w:r>
          </w:p>
        </w:tc>
      </w:tr>
      <w:tr w:rsidR="00C932E3">
        <w:trPr>
          <w:jc w:val="center"/>
        </w:trPr>
        <w:tc>
          <w:tcPr>
            <w:tcW w:w="817" w:type="dxa"/>
            <w:vAlign w:val="center"/>
          </w:tcPr>
          <w:p w:rsidR="00C932E3" w:rsidRDefault="00F041BC">
            <w:pPr>
              <w:jc w:val="center"/>
            </w:pPr>
            <w:r>
              <w:rPr>
                <w:color w:val="000000"/>
                <w:szCs w:val="21"/>
              </w:rPr>
              <w:t>5</w:t>
            </w:r>
          </w:p>
        </w:tc>
        <w:tc>
          <w:tcPr>
            <w:tcW w:w="1276" w:type="dxa"/>
            <w:vAlign w:val="center"/>
          </w:tcPr>
          <w:p w:rsidR="00C932E3" w:rsidRDefault="00F041BC">
            <w:pPr>
              <w:jc w:val="center"/>
            </w:pPr>
            <w:r>
              <w:rPr>
                <w:color w:val="000000"/>
                <w:szCs w:val="21"/>
              </w:rPr>
              <w:t>600161</w:t>
            </w:r>
          </w:p>
        </w:tc>
        <w:tc>
          <w:tcPr>
            <w:tcW w:w="1701" w:type="dxa"/>
            <w:vAlign w:val="center"/>
          </w:tcPr>
          <w:p w:rsidR="00C932E3" w:rsidRDefault="00F041BC">
            <w:pPr>
              <w:jc w:val="center"/>
            </w:pPr>
            <w:r>
              <w:rPr>
                <w:color w:val="000000"/>
                <w:szCs w:val="21"/>
              </w:rPr>
              <w:t>天坛生物</w:t>
            </w:r>
          </w:p>
        </w:tc>
        <w:tc>
          <w:tcPr>
            <w:tcW w:w="1276" w:type="dxa"/>
            <w:vAlign w:val="center"/>
          </w:tcPr>
          <w:p w:rsidR="00C932E3" w:rsidRDefault="00F041BC">
            <w:pPr>
              <w:jc w:val="right"/>
            </w:pPr>
            <w:r>
              <w:rPr>
                <w:color w:val="000000"/>
                <w:szCs w:val="21"/>
              </w:rPr>
              <w:t>1,614,135</w:t>
            </w:r>
          </w:p>
        </w:tc>
        <w:tc>
          <w:tcPr>
            <w:tcW w:w="2172" w:type="dxa"/>
            <w:vAlign w:val="center"/>
          </w:tcPr>
          <w:p w:rsidR="00C932E3" w:rsidRDefault="00F041BC">
            <w:pPr>
              <w:jc w:val="right"/>
            </w:pPr>
            <w:r>
              <w:rPr>
                <w:color w:val="000000"/>
                <w:szCs w:val="21"/>
              </w:rPr>
              <w:t>73,168,739.55</w:t>
            </w:r>
          </w:p>
        </w:tc>
        <w:tc>
          <w:tcPr>
            <w:tcW w:w="1852" w:type="dxa"/>
            <w:vAlign w:val="center"/>
          </w:tcPr>
          <w:p w:rsidR="00C932E3" w:rsidRDefault="00F041BC">
            <w:pPr>
              <w:jc w:val="right"/>
            </w:pPr>
            <w:r>
              <w:rPr>
                <w:color w:val="000000"/>
                <w:szCs w:val="21"/>
              </w:rPr>
              <w:t>6.72</w:t>
            </w:r>
          </w:p>
        </w:tc>
      </w:tr>
      <w:tr w:rsidR="00C932E3">
        <w:trPr>
          <w:jc w:val="center"/>
        </w:trPr>
        <w:tc>
          <w:tcPr>
            <w:tcW w:w="817" w:type="dxa"/>
            <w:vAlign w:val="center"/>
          </w:tcPr>
          <w:p w:rsidR="00C932E3" w:rsidRDefault="00F041BC">
            <w:pPr>
              <w:jc w:val="center"/>
            </w:pPr>
            <w:r>
              <w:rPr>
                <w:color w:val="000000"/>
                <w:szCs w:val="21"/>
              </w:rPr>
              <w:t>6</w:t>
            </w:r>
          </w:p>
        </w:tc>
        <w:tc>
          <w:tcPr>
            <w:tcW w:w="1276" w:type="dxa"/>
            <w:vAlign w:val="center"/>
          </w:tcPr>
          <w:p w:rsidR="00C932E3" w:rsidRDefault="00F041BC">
            <w:pPr>
              <w:jc w:val="center"/>
            </w:pPr>
            <w:r>
              <w:rPr>
                <w:color w:val="000000"/>
                <w:szCs w:val="21"/>
              </w:rPr>
              <w:t>002304</w:t>
            </w:r>
          </w:p>
        </w:tc>
        <w:tc>
          <w:tcPr>
            <w:tcW w:w="1701" w:type="dxa"/>
            <w:vAlign w:val="center"/>
          </w:tcPr>
          <w:p w:rsidR="00C932E3" w:rsidRDefault="00F041BC">
            <w:pPr>
              <w:jc w:val="center"/>
            </w:pPr>
            <w:r>
              <w:rPr>
                <w:color w:val="000000"/>
                <w:szCs w:val="21"/>
              </w:rPr>
              <w:t>洋河股份</w:t>
            </w:r>
          </w:p>
        </w:tc>
        <w:tc>
          <w:tcPr>
            <w:tcW w:w="1276" w:type="dxa"/>
            <w:vAlign w:val="center"/>
          </w:tcPr>
          <w:p w:rsidR="00C932E3" w:rsidRDefault="00F041BC">
            <w:pPr>
              <w:jc w:val="right"/>
            </w:pPr>
            <w:r>
              <w:rPr>
                <w:color w:val="000000"/>
                <w:szCs w:val="21"/>
              </w:rPr>
              <w:t>670,845</w:t>
            </w:r>
          </w:p>
        </w:tc>
        <w:tc>
          <w:tcPr>
            <w:tcW w:w="2172" w:type="dxa"/>
            <w:vAlign w:val="center"/>
          </w:tcPr>
          <w:p w:rsidR="00C932E3" w:rsidRDefault="00F041BC">
            <w:pPr>
              <w:jc w:val="right"/>
            </w:pPr>
            <w:r>
              <w:rPr>
                <w:color w:val="000000"/>
                <w:szCs w:val="21"/>
              </w:rPr>
              <w:t>70,532,643.30</w:t>
            </w:r>
          </w:p>
        </w:tc>
        <w:tc>
          <w:tcPr>
            <w:tcW w:w="1852" w:type="dxa"/>
            <w:vAlign w:val="center"/>
          </w:tcPr>
          <w:p w:rsidR="00C932E3" w:rsidRDefault="00F041BC">
            <w:pPr>
              <w:jc w:val="right"/>
            </w:pPr>
            <w:r>
              <w:rPr>
                <w:color w:val="000000"/>
                <w:szCs w:val="21"/>
              </w:rPr>
              <w:t>6.47</w:t>
            </w:r>
          </w:p>
        </w:tc>
      </w:tr>
      <w:tr w:rsidR="00C932E3">
        <w:trPr>
          <w:jc w:val="center"/>
        </w:trPr>
        <w:tc>
          <w:tcPr>
            <w:tcW w:w="817" w:type="dxa"/>
            <w:vAlign w:val="center"/>
          </w:tcPr>
          <w:p w:rsidR="00C932E3" w:rsidRDefault="00F041BC">
            <w:pPr>
              <w:jc w:val="center"/>
            </w:pPr>
            <w:r>
              <w:rPr>
                <w:color w:val="000000"/>
                <w:szCs w:val="21"/>
              </w:rPr>
              <w:t>7</w:t>
            </w:r>
          </w:p>
        </w:tc>
        <w:tc>
          <w:tcPr>
            <w:tcW w:w="1276" w:type="dxa"/>
            <w:vAlign w:val="center"/>
          </w:tcPr>
          <w:p w:rsidR="00C932E3" w:rsidRDefault="00F041BC">
            <w:pPr>
              <w:jc w:val="center"/>
            </w:pPr>
            <w:r>
              <w:rPr>
                <w:color w:val="000000"/>
                <w:szCs w:val="21"/>
              </w:rPr>
              <w:t>000333</w:t>
            </w:r>
          </w:p>
        </w:tc>
        <w:tc>
          <w:tcPr>
            <w:tcW w:w="1701" w:type="dxa"/>
            <w:vAlign w:val="center"/>
          </w:tcPr>
          <w:p w:rsidR="00C932E3" w:rsidRDefault="00F041BC">
            <w:pPr>
              <w:jc w:val="center"/>
            </w:pPr>
            <w:r>
              <w:rPr>
                <w:color w:val="000000"/>
                <w:szCs w:val="21"/>
              </w:rPr>
              <w:t>美的集团</w:t>
            </w:r>
          </w:p>
        </w:tc>
        <w:tc>
          <w:tcPr>
            <w:tcW w:w="1276" w:type="dxa"/>
            <w:vAlign w:val="center"/>
          </w:tcPr>
          <w:p w:rsidR="00C932E3" w:rsidRDefault="00F041BC">
            <w:pPr>
              <w:jc w:val="right"/>
            </w:pPr>
            <w:r>
              <w:rPr>
                <w:color w:val="000000"/>
                <w:szCs w:val="21"/>
              </w:rPr>
              <w:t>1,143,954</w:t>
            </w:r>
          </w:p>
        </w:tc>
        <w:tc>
          <w:tcPr>
            <w:tcW w:w="2172" w:type="dxa"/>
            <w:vAlign w:val="center"/>
          </w:tcPr>
          <w:p w:rsidR="00C932E3" w:rsidRDefault="00F041BC">
            <w:pPr>
              <w:jc w:val="right"/>
            </w:pPr>
            <w:r>
              <w:rPr>
                <w:color w:val="000000"/>
                <w:szCs w:val="21"/>
              </w:rPr>
              <w:t>68,397,009.66</w:t>
            </w:r>
          </w:p>
        </w:tc>
        <w:tc>
          <w:tcPr>
            <w:tcW w:w="1852" w:type="dxa"/>
            <w:vAlign w:val="center"/>
          </w:tcPr>
          <w:p w:rsidR="00C932E3" w:rsidRDefault="00F041BC">
            <w:pPr>
              <w:jc w:val="right"/>
            </w:pPr>
            <w:r>
              <w:rPr>
                <w:color w:val="000000"/>
                <w:szCs w:val="21"/>
              </w:rPr>
              <w:t>6.28</w:t>
            </w:r>
          </w:p>
        </w:tc>
      </w:tr>
      <w:tr w:rsidR="00C932E3">
        <w:trPr>
          <w:jc w:val="center"/>
        </w:trPr>
        <w:tc>
          <w:tcPr>
            <w:tcW w:w="817" w:type="dxa"/>
            <w:vAlign w:val="center"/>
          </w:tcPr>
          <w:p w:rsidR="00C932E3" w:rsidRDefault="00F041BC">
            <w:pPr>
              <w:jc w:val="center"/>
            </w:pPr>
            <w:r>
              <w:rPr>
                <w:color w:val="000000"/>
                <w:szCs w:val="21"/>
              </w:rPr>
              <w:t>8</w:t>
            </w:r>
          </w:p>
        </w:tc>
        <w:tc>
          <w:tcPr>
            <w:tcW w:w="1276" w:type="dxa"/>
            <w:vAlign w:val="center"/>
          </w:tcPr>
          <w:p w:rsidR="00C932E3" w:rsidRDefault="00F041BC">
            <w:pPr>
              <w:jc w:val="center"/>
            </w:pPr>
            <w:r>
              <w:rPr>
                <w:color w:val="000000"/>
                <w:szCs w:val="21"/>
              </w:rPr>
              <w:t>000596</w:t>
            </w:r>
          </w:p>
        </w:tc>
        <w:tc>
          <w:tcPr>
            <w:tcW w:w="1701" w:type="dxa"/>
            <w:vAlign w:val="center"/>
          </w:tcPr>
          <w:p w:rsidR="00C932E3" w:rsidRDefault="00F041BC">
            <w:pPr>
              <w:jc w:val="center"/>
            </w:pPr>
            <w:r>
              <w:rPr>
                <w:color w:val="000000"/>
                <w:szCs w:val="21"/>
              </w:rPr>
              <w:t>古井贡酒</w:t>
            </w:r>
          </w:p>
        </w:tc>
        <w:tc>
          <w:tcPr>
            <w:tcW w:w="1276" w:type="dxa"/>
            <w:vAlign w:val="center"/>
          </w:tcPr>
          <w:p w:rsidR="00C932E3" w:rsidRDefault="00F041BC">
            <w:pPr>
              <w:jc w:val="right"/>
            </w:pPr>
            <w:r>
              <w:rPr>
                <w:color w:val="000000"/>
                <w:szCs w:val="21"/>
              </w:rPr>
              <w:t>443,831</w:t>
            </w:r>
          </w:p>
        </w:tc>
        <w:tc>
          <w:tcPr>
            <w:tcW w:w="2172" w:type="dxa"/>
            <w:vAlign w:val="center"/>
          </w:tcPr>
          <w:p w:rsidR="00C932E3" w:rsidRDefault="00F041BC">
            <w:pPr>
              <w:jc w:val="right"/>
            </w:pPr>
            <w:r>
              <w:rPr>
                <w:color w:val="000000"/>
                <w:szCs w:val="21"/>
              </w:rPr>
              <w:t>66,681,169.44</w:t>
            </w:r>
          </w:p>
        </w:tc>
        <w:tc>
          <w:tcPr>
            <w:tcW w:w="1852" w:type="dxa"/>
            <w:vAlign w:val="center"/>
          </w:tcPr>
          <w:p w:rsidR="00C932E3" w:rsidRDefault="00F041BC">
            <w:pPr>
              <w:jc w:val="right"/>
            </w:pPr>
            <w:r>
              <w:rPr>
                <w:color w:val="000000"/>
                <w:szCs w:val="21"/>
              </w:rPr>
              <w:t>6.12</w:t>
            </w:r>
          </w:p>
        </w:tc>
      </w:tr>
      <w:tr w:rsidR="00C932E3">
        <w:trPr>
          <w:jc w:val="center"/>
        </w:trPr>
        <w:tc>
          <w:tcPr>
            <w:tcW w:w="817" w:type="dxa"/>
            <w:vAlign w:val="center"/>
          </w:tcPr>
          <w:p w:rsidR="00C932E3" w:rsidRDefault="00F041BC">
            <w:pPr>
              <w:jc w:val="center"/>
            </w:pPr>
            <w:r>
              <w:rPr>
                <w:color w:val="000000"/>
                <w:szCs w:val="21"/>
              </w:rPr>
              <w:t>9</w:t>
            </w:r>
          </w:p>
        </w:tc>
        <w:tc>
          <w:tcPr>
            <w:tcW w:w="1276" w:type="dxa"/>
            <w:vAlign w:val="center"/>
          </w:tcPr>
          <w:p w:rsidR="00C932E3" w:rsidRDefault="00F041BC">
            <w:pPr>
              <w:jc w:val="center"/>
            </w:pPr>
            <w:r>
              <w:rPr>
                <w:color w:val="000000"/>
                <w:szCs w:val="21"/>
              </w:rPr>
              <w:t>600276</w:t>
            </w:r>
          </w:p>
        </w:tc>
        <w:tc>
          <w:tcPr>
            <w:tcW w:w="1701" w:type="dxa"/>
            <w:vAlign w:val="center"/>
          </w:tcPr>
          <w:p w:rsidR="00C932E3" w:rsidRDefault="00F041BC">
            <w:pPr>
              <w:jc w:val="center"/>
            </w:pPr>
            <w:r>
              <w:rPr>
                <w:color w:val="000000"/>
                <w:szCs w:val="21"/>
              </w:rPr>
              <w:t>恒瑞医药</w:t>
            </w:r>
          </w:p>
        </w:tc>
        <w:tc>
          <w:tcPr>
            <w:tcW w:w="1276" w:type="dxa"/>
            <w:vAlign w:val="center"/>
          </w:tcPr>
          <w:p w:rsidR="00C932E3" w:rsidRDefault="00F041BC">
            <w:pPr>
              <w:jc w:val="right"/>
            </w:pPr>
            <w:r>
              <w:rPr>
                <w:color w:val="000000"/>
                <w:szCs w:val="21"/>
              </w:rPr>
              <w:t>716,292</w:t>
            </w:r>
          </w:p>
        </w:tc>
        <w:tc>
          <w:tcPr>
            <w:tcW w:w="2172" w:type="dxa"/>
            <w:vAlign w:val="center"/>
          </w:tcPr>
          <w:p w:rsidR="00C932E3" w:rsidRDefault="00F041BC">
            <w:pPr>
              <w:jc w:val="right"/>
            </w:pPr>
            <w:r>
              <w:rPr>
                <w:color w:val="000000"/>
                <w:szCs w:val="21"/>
              </w:rPr>
              <w:t>66,113,751.60</w:t>
            </w:r>
          </w:p>
        </w:tc>
        <w:tc>
          <w:tcPr>
            <w:tcW w:w="1852" w:type="dxa"/>
            <w:vAlign w:val="center"/>
          </w:tcPr>
          <w:p w:rsidR="00C932E3" w:rsidRDefault="00F041BC">
            <w:pPr>
              <w:jc w:val="right"/>
            </w:pPr>
            <w:r>
              <w:rPr>
                <w:color w:val="000000"/>
                <w:szCs w:val="21"/>
              </w:rPr>
              <w:t>6.07</w:t>
            </w:r>
          </w:p>
        </w:tc>
      </w:tr>
      <w:tr w:rsidR="00C932E3">
        <w:trPr>
          <w:jc w:val="center"/>
        </w:trPr>
        <w:tc>
          <w:tcPr>
            <w:tcW w:w="817" w:type="dxa"/>
            <w:vAlign w:val="center"/>
          </w:tcPr>
          <w:p w:rsidR="00C932E3" w:rsidRDefault="00F041BC">
            <w:pPr>
              <w:jc w:val="center"/>
            </w:pPr>
            <w:r>
              <w:rPr>
                <w:color w:val="000000"/>
                <w:szCs w:val="21"/>
              </w:rPr>
              <w:t>10</w:t>
            </w:r>
          </w:p>
        </w:tc>
        <w:tc>
          <w:tcPr>
            <w:tcW w:w="1276" w:type="dxa"/>
            <w:vAlign w:val="center"/>
          </w:tcPr>
          <w:p w:rsidR="00C932E3" w:rsidRDefault="00F041BC">
            <w:pPr>
              <w:jc w:val="center"/>
            </w:pPr>
            <w:r>
              <w:rPr>
                <w:color w:val="000000"/>
                <w:szCs w:val="21"/>
              </w:rPr>
              <w:t>600809</w:t>
            </w:r>
          </w:p>
        </w:tc>
        <w:tc>
          <w:tcPr>
            <w:tcW w:w="1701" w:type="dxa"/>
            <w:vAlign w:val="center"/>
          </w:tcPr>
          <w:p w:rsidR="00C932E3" w:rsidRDefault="00F041BC">
            <w:pPr>
              <w:jc w:val="center"/>
            </w:pPr>
            <w:r>
              <w:rPr>
                <w:color w:val="000000"/>
                <w:szCs w:val="21"/>
              </w:rPr>
              <w:t>山西汾酒</w:t>
            </w:r>
          </w:p>
        </w:tc>
        <w:tc>
          <w:tcPr>
            <w:tcW w:w="1276" w:type="dxa"/>
            <w:vAlign w:val="center"/>
          </w:tcPr>
          <w:p w:rsidR="00C932E3" w:rsidRDefault="00F041BC">
            <w:pPr>
              <w:jc w:val="right"/>
            </w:pPr>
            <w:r>
              <w:rPr>
                <w:color w:val="000000"/>
                <w:szCs w:val="21"/>
              </w:rPr>
              <w:t>402,600</w:t>
            </w:r>
          </w:p>
        </w:tc>
        <w:tc>
          <w:tcPr>
            <w:tcW w:w="2172" w:type="dxa"/>
            <w:vAlign w:val="center"/>
          </w:tcPr>
          <w:p w:rsidR="00C932E3" w:rsidRDefault="00F041BC">
            <w:pPr>
              <w:jc w:val="right"/>
            </w:pPr>
            <w:r>
              <w:rPr>
                <w:color w:val="000000"/>
                <w:szCs w:val="21"/>
              </w:rPr>
              <w:t>58,377,000.00</w:t>
            </w:r>
          </w:p>
        </w:tc>
        <w:tc>
          <w:tcPr>
            <w:tcW w:w="1852" w:type="dxa"/>
            <w:vAlign w:val="center"/>
          </w:tcPr>
          <w:p w:rsidR="00C932E3" w:rsidRDefault="00F041BC">
            <w:pPr>
              <w:jc w:val="right"/>
            </w:pPr>
            <w:r>
              <w:rPr>
                <w:color w:val="000000"/>
                <w:szCs w:val="21"/>
              </w:rPr>
              <w:t>5.36</w:t>
            </w:r>
          </w:p>
        </w:tc>
      </w:tr>
      <w:tr w:rsidR="00C932E3">
        <w:trPr>
          <w:jc w:val="center"/>
        </w:trPr>
        <w:tc>
          <w:tcPr>
            <w:tcW w:w="817" w:type="dxa"/>
            <w:vAlign w:val="center"/>
          </w:tcPr>
          <w:p w:rsidR="00C932E3" w:rsidRDefault="00F041BC">
            <w:pPr>
              <w:jc w:val="center"/>
            </w:pPr>
            <w:r>
              <w:rPr>
                <w:color w:val="000000"/>
                <w:szCs w:val="21"/>
              </w:rPr>
              <w:t>11</w:t>
            </w:r>
          </w:p>
        </w:tc>
        <w:tc>
          <w:tcPr>
            <w:tcW w:w="1276" w:type="dxa"/>
            <w:vAlign w:val="center"/>
          </w:tcPr>
          <w:p w:rsidR="00C932E3" w:rsidRDefault="00F041BC">
            <w:pPr>
              <w:jc w:val="center"/>
            </w:pPr>
            <w:r>
              <w:rPr>
                <w:color w:val="000000"/>
                <w:szCs w:val="21"/>
              </w:rPr>
              <w:t>002120</w:t>
            </w:r>
          </w:p>
        </w:tc>
        <w:tc>
          <w:tcPr>
            <w:tcW w:w="1701" w:type="dxa"/>
            <w:vAlign w:val="center"/>
          </w:tcPr>
          <w:p w:rsidR="00C932E3" w:rsidRDefault="00F041BC">
            <w:pPr>
              <w:jc w:val="center"/>
            </w:pPr>
            <w:r>
              <w:rPr>
                <w:color w:val="000000"/>
                <w:szCs w:val="21"/>
              </w:rPr>
              <w:t>韵达股份</w:t>
            </w:r>
          </w:p>
        </w:tc>
        <w:tc>
          <w:tcPr>
            <w:tcW w:w="1276" w:type="dxa"/>
            <w:vAlign w:val="center"/>
          </w:tcPr>
          <w:p w:rsidR="00C932E3" w:rsidRDefault="00F041BC">
            <w:pPr>
              <w:jc w:val="right"/>
            </w:pPr>
            <w:r>
              <w:rPr>
                <w:color w:val="000000"/>
                <w:szCs w:val="21"/>
              </w:rPr>
              <w:t>1,811,042</w:t>
            </w:r>
          </w:p>
        </w:tc>
        <w:tc>
          <w:tcPr>
            <w:tcW w:w="2172" w:type="dxa"/>
            <w:vAlign w:val="center"/>
          </w:tcPr>
          <w:p w:rsidR="00C932E3" w:rsidRDefault="00F041BC">
            <w:pPr>
              <w:jc w:val="right"/>
            </w:pPr>
            <w:r>
              <w:rPr>
                <w:color w:val="000000"/>
                <w:szCs w:val="21"/>
              </w:rPr>
              <w:t>44,279,976.90</w:t>
            </w:r>
          </w:p>
        </w:tc>
        <w:tc>
          <w:tcPr>
            <w:tcW w:w="1852" w:type="dxa"/>
            <w:vAlign w:val="center"/>
          </w:tcPr>
          <w:p w:rsidR="00C932E3" w:rsidRDefault="00F041BC">
            <w:pPr>
              <w:jc w:val="right"/>
            </w:pPr>
            <w:r>
              <w:rPr>
                <w:color w:val="000000"/>
                <w:szCs w:val="21"/>
              </w:rPr>
              <w:t>4.06</w:t>
            </w:r>
          </w:p>
        </w:tc>
      </w:tr>
      <w:tr w:rsidR="00C932E3">
        <w:trPr>
          <w:jc w:val="center"/>
        </w:trPr>
        <w:tc>
          <w:tcPr>
            <w:tcW w:w="817" w:type="dxa"/>
            <w:vAlign w:val="center"/>
          </w:tcPr>
          <w:p w:rsidR="00C932E3" w:rsidRDefault="00F041BC">
            <w:pPr>
              <w:jc w:val="center"/>
            </w:pPr>
            <w:r>
              <w:rPr>
                <w:color w:val="000000"/>
                <w:szCs w:val="21"/>
              </w:rPr>
              <w:t>12</w:t>
            </w:r>
          </w:p>
        </w:tc>
        <w:tc>
          <w:tcPr>
            <w:tcW w:w="1276" w:type="dxa"/>
            <w:vAlign w:val="center"/>
          </w:tcPr>
          <w:p w:rsidR="00C932E3" w:rsidRDefault="00F041BC">
            <w:pPr>
              <w:jc w:val="center"/>
            </w:pPr>
            <w:r>
              <w:rPr>
                <w:color w:val="000000"/>
                <w:szCs w:val="21"/>
              </w:rPr>
              <w:t>000786</w:t>
            </w:r>
          </w:p>
        </w:tc>
        <w:tc>
          <w:tcPr>
            <w:tcW w:w="1701" w:type="dxa"/>
            <w:vAlign w:val="center"/>
          </w:tcPr>
          <w:p w:rsidR="00C932E3" w:rsidRDefault="00F041BC">
            <w:pPr>
              <w:jc w:val="center"/>
            </w:pPr>
            <w:r>
              <w:rPr>
                <w:color w:val="000000"/>
                <w:szCs w:val="21"/>
              </w:rPr>
              <w:t>北新建材</w:t>
            </w:r>
          </w:p>
        </w:tc>
        <w:tc>
          <w:tcPr>
            <w:tcW w:w="1276" w:type="dxa"/>
            <w:vAlign w:val="center"/>
          </w:tcPr>
          <w:p w:rsidR="00C932E3" w:rsidRDefault="00F041BC">
            <w:pPr>
              <w:jc w:val="right"/>
            </w:pPr>
            <w:r>
              <w:rPr>
                <w:color w:val="000000"/>
                <w:szCs w:val="21"/>
              </w:rPr>
              <w:t>1,643,668</w:t>
            </w:r>
          </w:p>
        </w:tc>
        <w:tc>
          <w:tcPr>
            <w:tcW w:w="2172" w:type="dxa"/>
            <w:vAlign w:val="center"/>
          </w:tcPr>
          <w:p w:rsidR="00C932E3" w:rsidRDefault="00F041BC">
            <w:pPr>
              <w:jc w:val="right"/>
            </w:pPr>
            <w:r>
              <w:rPr>
                <w:color w:val="000000"/>
                <w:szCs w:val="21"/>
              </w:rPr>
              <w:t>35,059,438.44</w:t>
            </w:r>
          </w:p>
        </w:tc>
        <w:tc>
          <w:tcPr>
            <w:tcW w:w="1852" w:type="dxa"/>
            <w:vAlign w:val="center"/>
          </w:tcPr>
          <w:p w:rsidR="00C932E3" w:rsidRDefault="00F041BC">
            <w:pPr>
              <w:jc w:val="right"/>
            </w:pPr>
            <w:r>
              <w:rPr>
                <w:color w:val="000000"/>
                <w:szCs w:val="21"/>
              </w:rPr>
              <w:t>3.22</w:t>
            </w:r>
          </w:p>
        </w:tc>
      </w:tr>
      <w:tr w:rsidR="00C932E3">
        <w:trPr>
          <w:jc w:val="center"/>
        </w:trPr>
        <w:tc>
          <w:tcPr>
            <w:tcW w:w="817" w:type="dxa"/>
            <w:vAlign w:val="center"/>
          </w:tcPr>
          <w:p w:rsidR="00C932E3" w:rsidRDefault="00F041BC">
            <w:pPr>
              <w:jc w:val="center"/>
            </w:pPr>
            <w:r>
              <w:rPr>
                <w:color w:val="000000"/>
                <w:szCs w:val="21"/>
              </w:rPr>
              <w:t>13</w:t>
            </w:r>
          </w:p>
        </w:tc>
        <w:tc>
          <w:tcPr>
            <w:tcW w:w="1276" w:type="dxa"/>
            <w:vAlign w:val="center"/>
          </w:tcPr>
          <w:p w:rsidR="00C932E3" w:rsidRDefault="00F041BC">
            <w:pPr>
              <w:jc w:val="center"/>
            </w:pPr>
            <w:r>
              <w:rPr>
                <w:color w:val="000000"/>
                <w:szCs w:val="21"/>
              </w:rPr>
              <w:t>002415</w:t>
            </w:r>
          </w:p>
        </w:tc>
        <w:tc>
          <w:tcPr>
            <w:tcW w:w="1701" w:type="dxa"/>
            <w:vAlign w:val="center"/>
          </w:tcPr>
          <w:p w:rsidR="00C932E3" w:rsidRDefault="00F041BC">
            <w:pPr>
              <w:jc w:val="center"/>
            </w:pPr>
            <w:r>
              <w:rPr>
                <w:color w:val="000000"/>
                <w:szCs w:val="21"/>
              </w:rPr>
              <w:t>海康威视</w:t>
            </w:r>
          </w:p>
        </w:tc>
        <w:tc>
          <w:tcPr>
            <w:tcW w:w="1276" w:type="dxa"/>
            <w:vAlign w:val="center"/>
          </w:tcPr>
          <w:p w:rsidR="00C932E3" w:rsidRDefault="00F041BC">
            <w:pPr>
              <w:jc w:val="right"/>
            </w:pPr>
            <w:r>
              <w:rPr>
                <w:color w:val="000000"/>
                <w:szCs w:val="21"/>
              </w:rPr>
              <w:t>1,093,132</w:t>
            </w:r>
          </w:p>
        </w:tc>
        <w:tc>
          <w:tcPr>
            <w:tcW w:w="2172" w:type="dxa"/>
            <w:vAlign w:val="center"/>
          </w:tcPr>
          <w:p w:rsidR="00C932E3" w:rsidRDefault="00F041BC">
            <w:pPr>
              <w:jc w:val="right"/>
            </w:pPr>
            <w:r>
              <w:rPr>
                <w:color w:val="000000"/>
                <w:szCs w:val="21"/>
              </w:rPr>
              <w:t>33,176,556.20</w:t>
            </w:r>
          </w:p>
        </w:tc>
        <w:tc>
          <w:tcPr>
            <w:tcW w:w="1852" w:type="dxa"/>
            <w:vAlign w:val="center"/>
          </w:tcPr>
          <w:p w:rsidR="00C932E3" w:rsidRDefault="00F041BC">
            <w:pPr>
              <w:jc w:val="right"/>
            </w:pPr>
            <w:r>
              <w:rPr>
                <w:color w:val="000000"/>
                <w:szCs w:val="21"/>
              </w:rPr>
              <w:t>3.05</w:t>
            </w:r>
          </w:p>
        </w:tc>
      </w:tr>
      <w:tr w:rsidR="00C932E3">
        <w:trPr>
          <w:jc w:val="center"/>
        </w:trPr>
        <w:tc>
          <w:tcPr>
            <w:tcW w:w="817" w:type="dxa"/>
            <w:vAlign w:val="center"/>
          </w:tcPr>
          <w:p w:rsidR="00C932E3" w:rsidRDefault="00F041BC">
            <w:pPr>
              <w:jc w:val="center"/>
            </w:pPr>
            <w:r>
              <w:rPr>
                <w:color w:val="000000"/>
                <w:szCs w:val="21"/>
              </w:rPr>
              <w:t>14</w:t>
            </w:r>
          </w:p>
        </w:tc>
        <w:tc>
          <w:tcPr>
            <w:tcW w:w="1276" w:type="dxa"/>
            <w:vAlign w:val="center"/>
          </w:tcPr>
          <w:p w:rsidR="00C932E3" w:rsidRDefault="00F041BC">
            <w:pPr>
              <w:jc w:val="center"/>
            </w:pPr>
            <w:r>
              <w:rPr>
                <w:color w:val="000000"/>
                <w:szCs w:val="21"/>
              </w:rPr>
              <w:t>600887</w:t>
            </w:r>
          </w:p>
        </w:tc>
        <w:tc>
          <w:tcPr>
            <w:tcW w:w="1701" w:type="dxa"/>
            <w:vAlign w:val="center"/>
          </w:tcPr>
          <w:p w:rsidR="00C932E3" w:rsidRDefault="00F041BC">
            <w:pPr>
              <w:jc w:val="center"/>
            </w:pPr>
            <w:r>
              <w:rPr>
                <w:color w:val="000000"/>
                <w:szCs w:val="21"/>
              </w:rPr>
              <w:t>伊利股份</w:t>
            </w:r>
          </w:p>
        </w:tc>
        <w:tc>
          <w:tcPr>
            <w:tcW w:w="1276" w:type="dxa"/>
            <w:vAlign w:val="center"/>
          </w:tcPr>
          <w:p w:rsidR="00C932E3" w:rsidRDefault="00F041BC">
            <w:pPr>
              <w:jc w:val="right"/>
            </w:pPr>
            <w:r>
              <w:rPr>
                <w:color w:val="000000"/>
                <w:szCs w:val="21"/>
              </w:rPr>
              <w:t>1,054,538</w:t>
            </w:r>
          </w:p>
        </w:tc>
        <w:tc>
          <w:tcPr>
            <w:tcW w:w="2172" w:type="dxa"/>
            <w:vAlign w:val="center"/>
          </w:tcPr>
          <w:p w:rsidR="00C932E3" w:rsidRDefault="00F041BC">
            <w:pPr>
              <w:jc w:val="right"/>
            </w:pPr>
            <w:r>
              <w:rPr>
                <w:color w:val="000000"/>
                <w:szCs w:val="21"/>
              </w:rPr>
              <w:t>32,827,767.94</w:t>
            </w:r>
          </w:p>
        </w:tc>
        <w:tc>
          <w:tcPr>
            <w:tcW w:w="1852" w:type="dxa"/>
            <w:vAlign w:val="center"/>
          </w:tcPr>
          <w:p w:rsidR="00C932E3" w:rsidRDefault="00F041BC">
            <w:pPr>
              <w:jc w:val="right"/>
            </w:pPr>
            <w:r>
              <w:rPr>
                <w:color w:val="000000"/>
                <w:szCs w:val="21"/>
              </w:rPr>
              <w:t>3.01</w:t>
            </w:r>
          </w:p>
        </w:tc>
      </w:tr>
      <w:tr w:rsidR="00C932E3">
        <w:trPr>
          <w:jc w:val="center"/>
        </w:trPr>
        <w:tc>
          <w:tcPr>
            <w:tcW w:w="817" w:type="dxa"/>
            <w:vAlign w:val="center"/>
          </w:tcPr>
          <w:p w:rsidR="00C932E3" w:rsidRDefault="00F041BC">
            <w:pPr>
              <w:jc w:val="center"/>
            </w:pPr>
            <w:r>
              <w:rPr>
                <w:color w:val="000000"/>
                <w:szCs w:val="21"/>
              </w:rPr>
              <w:t>15</w:t>
            </w:r>
          </w:p>
        </w:tc>
        <w:tc>
          <w:tcPr>
            <w:tcW w:w="1276" w:type="dxa"/>
            <w:vAlign w:val="center"/>
          </w:tcPr>
          <w:p w:rsidR="00C932E3" w:rsidRDefault="00F041BC">
            <w:pPr>
              <w:jc w:val="center"/>
            </w:pPr>
            <w:r>
              <w:rPr>
                <w:color w:val="000000"/>
                <w:szCs w:val="21"/>
              </w:rPr>
              <w:t>603369</w:t>
            </w:r>
          </w:p>
        </w:tc>
        <w:tc>
          <w:tcPr>
            <w:tcW w:w="1701" w:type="dxa"/>
            <w:vAlign w:val="center"/>
          </w:tcPr>
          <w:p w:rsidR="00C932E3" w:rsidRDefault="00F041BC">
            <w:pPr>
              <w:jc w:val="center"/>
            </w:pPr>
            <w:r>
              <w:rPr>
                <w:color w:val="000000"/>
                <w:szCs w:val="21"/>
              </w:rPr>
              <w:t>今世缘</w:t>
            </w:r>
          </w:p>
        </w:tc>
        <w:tc>
          <w:tcPr>
            <w:tcW w:w="1276" w:type="dxa"/>
            <w:vAlign w:val="center"/>
          </w:tcPr>
          <w:p w:rsidR="00C932E3" w:rsidRDefault="00F041BC">
            <w:pPr>
              <w:jc w:val="right"/>
            </w:pPr>
            <w:r>
              <w:rPr>
                <w:color w:val="000000"/>
                <w:szCs w:val="21"/>
              </w:rPr>
              <w:t>554,700</w:t>
            </w:r>
          </w:p>
        </w:tc>
        <w:tc>
          <w:tcPr>
            <w:tcW w:w="2172" w:type="dxa"/>
            <w:vAlign w:val="center"/>
          </w:tcPr>
          <w:p w:rsidR="00C932E3" w:rsidRDefault="00F041BC">
            <w:pPr>
              <w:jc w:val="right"/>
            </w:pPr>
            <w:r>
              <w:rPr>
                <w:color w:val="000000"/>
                <w:szCs w:val="21"/>
              </w:rPr>
              <w:t>22,071,513.00</w:t>
            </w:r>
          </w:p>
        </w:tc>
        <w:tc>
          <w:tcPr>
            <w:tcW w:w="1852" w:type="dxa"/>
            <w:vAlign w:val="center"/>
          </w:tcPr>
          <w:p w:rsidR="00C932E3" w:rsidRDefault="00F041BC">
            <w:pPr>
              <w:jc w:val="right"/>
            </w:pPr>
            <w:r>
              <w:rPr>
                <w:color w:val="000000"/>
                <w:szCs w:val="21"/>
              </w:rPr>
              <w:t>2.03</w:t>
            </w:r>
          </w:p>
        </w:tc>
      </w:tr>
      <w:tr w:rsidR="00C932E3">
        <w:trPr>
          <w:jc w:val="center"/>
        </w:trPr>
        <w:tc>
          <w:tcPr>
            <w:tcW w:w="817" w:type="dxa"/>
            <w:vAlign w:val="center"/>
          </w:tcPr>
          <w:p w:rsidR="00C932E3" w:rsidRDefault="00F041BC">
            <w:pPr>
              <w:jc w:val="center"/>
            </w:pPr>
            <w:r>
              <w:rPr>
                <w:color w:val="000000"/>
                <w:szCs w:val="21"/>
              </w:rPr>
              <w:t>16</w:t>
            </w:r>
          </w:p>
        </w:tc>
        <w:tc>
          <w:tcPr>
            <w:tcW w:w="1276" w:type="dxa"/>
            <w:vAlign w:val="center"/>
          </w:tcPr>
          <w:p w:rsidR="00C932E3" w:rsidRDefault="00F041BC">
            <w:pPr>
              <w:jc w:val="center"/>
            </w:pPr>
            <w:r>
              <w:rPr>
                <w:color w:val="000000"/>
                <w:szCs w:val="21"/>
              </w:rPr>
              <w:t>601816</w:t>
            </w:r>
          </w:p>
        </w:tc>
        <w:tc>
          <w:tcPr>
            <w:tcW w:w="1701" w:type="dxa"/>
            <w:vAlign w:val="center"/>
          </w:tcPr>
          <w:p w:rsidR="00C932E3" w:rsidRDefault="00F041BC">
            <w:pPr>
              <w:jc w:val="center"/>
            </w:pPr>
            <w:r>
              <w:rPr>
                <w:color w:val="000000"/>
                <w:szCs w:val="21"/>
              </w:rPr>
              <w:t>京沪高铁</w:t>
            </w:r>
          </w:p>
        </w:tc>
        <w:tc>
          <w:tcPr>
            <w:tcW w:w="1276" w:type="dxa"/>
            <w:vAlign w:val="center"/>
          </w:tcPr>
          <w:p w:rsidR="00C932E3" w:rsidRDefault="00F041BC">
            <w:pPr>
              <w:jc w:val="right"/>
            </w:pPr>
            <w:r>
              <w:rPr>
                <w:color w:val="000000"/>
                <w:szCs w:val="21"/>
              </w:rPr>
              <w:t>906,536</w:t>
            </w:r>
          </w:p>
        </w:tc>
        <w:tc>
          <w:tcPr>
            <w:tcW w:w="2172" w:type="dxa"/>
            <w:vAlign w:val="center"/>
          </w:tcPr>
          <w:p w:rsidR="00C932E3" w:rsidRDefault="00F041BC">
            <w:pPr>
              <w:jc w:val="right"/>
            </w:pPr>
            <w:r>
              <w:rPr>
                <w:color w:val="000000"/>
                <w:szCs w:val="21"/>
              </w:rPr>
              <w:t>5,593,327.12</w:t>
            </w:r>
          </w:p>
        </w:tc>
        <w:tc>
          <w:tcPr>
            <w:tcW w:w="1852" w:type="dxa"/>
            <w:vAlign w:val="center"/>
          </w:tcPr>
          <w:p w:rsidR="00C932E3" w:rsidRDefault="00F041BC">
            <w:pPr>
              <w:jc w:val="right"/>
            </w:pPr>
            <w:r>
              <w:rPr>
                <w:color w:val="000000"/>
                <w:szCs w:val="21"/>
              </w:rPr>
              <w:t>0.51</w:t>
            </w:r>
          </w:p>
        </w:tc>
      </w:tr>
      <w:tr w:rsidR="00C932E3">
        <w:trPr>
          <w:jc w:val="center"/>
        </w:trPr>
        <w:tc>
          <w:tcPr>
            <w:tcW w:w="817" w:type="dxa"/>
            <w:vAlign w:val="center"/>
          </w:tcPr>
          <w:p w:rsidR="00C932E3" w:rsidRDefault="00F041BC">
            <w:pPr>
              <w:jc w:val="center"/>
            </w:pPr>
            <w:r>
              <w:rPr>
                <w:color w:val="000000"/>
                <w:szCs w:val="21"/>
              </w:rPr>
              <w:t>17</w:t>
            </w:r>
          </w:p>
        </w:tc>
        <w:tc>
          <w:tcPr>
            <w:tcW w:w="1276" w:type="dxa"/>
            <w:vAlign w:val="center"/>
          </w:tcPr>
          <w:p w:rsidR="00C932E3" w:rsidRDefault="00F041BC">
            <w:pPr>
              <w:jc w:val="center"/>
            </w:pPr>
            <w:r>
              <w:rPr>
                <w:color w:val="000000"/>
                <w:szCs w:val="21"/>
              </w:rPr>
              <w:t>688100</w:t>
            </w:r>
          </w:p>
        </w:tc>
        <w:tc>
          <w:tcPr>
            <w:tcW w:w="1701" w:type="dxa"/>
            <w:vAlign w:val="center"/>
          </w:tcPr>
          <w:p w:rsidR="00C932E3" w:rsidRDefault="00F041BC">
            <w:pPr>
              <w:jc w:val="center"/>
            </w:pPr>
            <w:r>
              <w:rPr>
                <w:color w:val="000000"/>
                <w:szCs w:val="21"/>
              </w:rPr>
              <w:t>威胜信息</w:t>
            </w:r>
          </w:p>
        </w:tc>
        <w:tc>
          <w:tcPr>
            <w:tcW w:w="1276" w:type="dxa"/>
            <w:vAlign w:val="center"/>
          </w:tcPr>
          <w:p w:rsidR="00C932E3" w:rsidRDefault="00F041BC">
            <w:pPr>
              <w:jc w:val="right"/>
            </w:pPr>
            <w:r>
              <w:rPr>
                <w:color w:val="000000"/>
                <w:szCs w:val="21"/>
              </w:rPr>
              <w:t>11,602</w:t>
            </w:r>
          </w:p>
        </w:tc>
        <w:tc>
          <w:tcPr>
            <w:tcW w:w="2172" w:type="dxa"/>
            <w:vAlign w:val="center"/>
          </w:tcPr>
          <w:p w:rsidR="00C932E3" w:rsidRDefault="00F041BC">
            <w:pPr>
              <w:jc w:val="right"/>
            </w:pPr>
            <w:r>
              <w:rPr>
                <w:color w:val="000000"/>
                <w:szCs w:val="21"/>
              </w:rPr>
              <w:t>300,723.84</w:t>
            </w:r>
          </w:p>
        </w:tc>
        <w:tc>
          <w:tcPr>
            <w:tcW w:w="1852" w:type="dxa"/>
            <w:vAlign w:val="center"/>
          </w:tcPr>
          <w:p w:rsidR="00C932E3" w:rsidRDefault="00F041BC">
            <w:pPr>
              <w:jc w:val="right"/>
            </w:pPr>
            <w:r>
              <w:rPr>
                <w:color w:val="000000"/>
                <w:szCs w:val="21"/>
              </w:rPr>
              <w:t>0.03</w:t>
            </w:r>
          </w:p>
        </w:tc>
      </w:tr>
      <w:tr w:rsidR="00C932E3">
        <w:trPr>
          <w:jc w:val="center"/>
        </w:trPr>
        <w:tc>
          <w:tcPr>
            <w:tcW w:w="817" w:type="dxa"/>
            <w:vAlign w:val="center"/>
          </w:tcPr>
          <w:p w:rsidR="00C932E3" w:rsidRDefault="00F041BC">
            <w:pPr>
              <w:jc w:val="center"/>
            </w:pPr>
            <w:r>
              <w:rPr>
                <w:color w:val="000000"/>
                <w:szCs w:val="21"/>
              </w:rPr>
              <w:t>18</w:t>
            </w:r>
          </w:p>
        </w:tc>
        <w:tc>
          <w:tcPr>
            <w:tcW w:w="1276" w:type="dxa"/>
            <w:vAlign w:val="center"/>
          </w:tcPr>
          <w:p w:rsidR="00C932E3" w:rsidRDefault="00F041BC">
            <w:pPr>
              <w:jc w:val="center"/>
            </w:pPr>
            <w:r>
              <w:rPr>
                <w:color w:val="000000"/>
                <w:szCs w:val="21"/>
              </w:rPr>
              <w:t>688568</w:t>
            </w:r>
          </w:p>
        </w:tc>
        <w:tc>
          <w:tcPr>
            <w:tcW w:w="1701" w:type="dxa"/>
            <w:vAlign w:val="center"/>
          </w:tcPr>
          <w:p w:rsidR="00C932E3" w:rsidRDefault="00F041BC">
            <w:pPr>
              <w:jc w:val="center"/>
            </w:pPr>
            <w:r>
              <w:rPr>
                <w:color w:val="000000"/>
                <w:szCs w:val="21"/>
              </w:rPr>
              <w:t>中科星图</w:t>
            </w:r>
          </w:p>
        </w:tc>
        <w:tc>
          <w:tcPr>
            <w:tcW w:w="1276" w:type="dxa"/>
            <w:vAlign w:val="center"/>
          </w:tcPr>
          <w:p w:rsidR="00C932E3" w:rsidRDefault="00F041BC">
            <w:pPr>
              <w:jc w:val="right"/>
            </w:pPr>
            <w:r>
              <w:rPr>
                <w:color w:val="000000"/>
                <w:szCs w:val="21"/>
              </w:rPr>
              <w:t>11,020</w:t>
            </w:r>
          </w:p>
        </w:tc>
        <w:tc>
          <w:tcPr>
            <w:tcW w:w="2172" w:type="dxa"/>
            <w:vAlign w:val="center"/>
          </w:tcPr>
          <w:p w:rsidR="00C932E3" w:rsidRDefault="00F041BC">
            <w:pPr>
              <w:jc w:val="right"/>
            </w:pPr>
            <w:r>
              <w:rPr>
                <w:color w:val="000000"/>
                <w:szCs w:val="21"/>
              </w:rPr>
              <w:t>178,634.20</w:t>
            </w:r>
          </w:p>
        </w:tc>
        <w:tc>
          <w:tcPr>
            <w:tcW w:w="1852" w:type="dxa"/>
            <w:vAlign w:val="center"/>
          </w:tcPr>
          <w:p w:rsidR="00C932E3" w:rsidRDefault="00F041BC">
            <w:pPr>
              <w:jc w:val="right"/>
            </w:pPr>
            <w:r>
              <w:rPr>
                <w:color w:val="000000"/>
                <w:szCs w:val="21"/>
              </w:rPr>
              <w:t>0.02</w:t>
            </w:r>
          </w:p>
        </w:tc>
      </w:tr>
      <w:tr w:rsidR="00C932E3">
        <w:trPr>
          <w:jc w:val="center"/>
        </w:trPr>
        <w:tc>
          <w:tcPr>
            <w:tcW w:w="817" w:type="dxa"/>
            <w:vAlign w:val="center"/>
          </w:tcPr>
          <w:p w:rsidR="00C932E3" w:rsidRDefault="00F041BC">
            <w:pPr>
              <w:jc w:val="center"/>
            </w:pPr>
            <w:r>
              <w:rPr>
                <w:color w:val="000000"/>
                <w:szCs w:val="21"/>
              </w:rPr>
              <w:t>19</w:t>
            </w:r>
          </w:p>
        </w:tc>
        <w:tc>
          <w:tcPr>
            <w:tcW w:w="1276" w:type="dxa"/>
            <w:vAlign w:val="center"/>
          </w:tcPr>
          <w:p w:rsidR="00C932E3" w:rsidRDefault="00F041BC">
            <w:pPr>
              <w:jc w:val="center"/>
            </w:pPr>
            <w:r>
              <w:rPr>
                <w:color w:val="000000"/>
                <w:szCs w:val="21"/>
              </w:rPr>
              <w:t>688377</w:t>
            </w:r>
          </w:p>
        </w:tc>
        <w:tc>
          <w:tcPr>
            <w:tcW w:w="1701" w:type="dxa"/>
            <w:vAlign w:val="center"/>
          </w:tcPr>
          <w:p w:rsidR="00C932E3" w:rsidRDefault="00F041BC">
            <w:pPr>
              <w:jc w:val="center"/>
            </w:pPr>
            <w:r>
              <w:rPr>
                <w:color w:val="000000"/>
                <w:szCs w:val="21"/>
              </w:rPr>
              <w:t>迪威尔</w:t>
            </w:r>
          </w:p>
        </w:tc>
        <w:tc>
          <w:tcPr>
            <w:tcW w:w="1276" w:type="dxa"/>
            <w:vAlign w:val="center"/>
          </w:tcPr>
          <w:p w:rsidR="00C932E3" w:rsidRDefault="00F041BC">
            <w:pPr>
              <w:jc w:val="right"/>
            </w:pPr>
            <w:r>
              <w:rPr>
                <w:color w:val="000000"/>
                <w:szCs w:val="21"/>
              </w:rPr>
              <w:t>7,894</w:t>
            </w:r>
          </w:p>
        </w:tc>
        <w:tc>
          <w:tcPr>
            <w:tcW w:w="2172" w:type="dxa"/>
            <w:vAlign w:val="center"/>
          </w:tcPr>
          <w:p w:rsidR="00C932E3" w:rsidRDefault="00F041BC">
            <w:pPr>
              <w:jc w:val="right"/>
            </w:pPr>
            <w:r>
              <w:rPr>
                <w:color w:val="000000"/>
                <w:szCs w:val="21"/>
              </w:rPr>
              <w:t>129,619.48</w:t>
            </w:r>
          </w:p>
        </w:tc>
        <w:tc>
          <w:tcPr>
            <w:tcW w:w="1852" w:type="dxa"/>
            <w:vAlign w:val="center"/>
          </w:tcPr>
          <w:p w:rsidR="00C932E3" w:rsidRDefault="00F041BC">
            <w:pPr>
              <w:jc w:val="right"/>
            </w:pPr>
            <w:r>
              <w:rPr>
                <w:color w:val="000000"/>
                <w:szCs w:val="21"/>
              </w:rPr>
              <w:t>0.01</w:t>
            </w:r>
          </w:p>
        </w:tc>
      </w:tr>
      <w:tr w:rsidR="00C932E3">
        <w:trPr>
          <w:jc w:val="center"/>
        </w:trPr>
        <w:tc>
          <w:tcPr>
            <w:tcW w:w="817" w:type="dxa"/>
            <w:vAlign w:val="center"/>
          </w:tcPr>
          <w:p w:rsidR="00C932E3" w:rsidRDefault="00F041BC">
            <w:pPr>
              <w:jc w:val="center"/>
            </w:pPr>
            <w:r>
              <w:rPr>
                <w:color w:val="000000"/>
                <w:szCs w:val="21"/>
              </w:rPr>
              <w:t>20</w:t>
            </w:r>
          </w:p>
        </w:tc>
        <w:tc>
          <w:tcPr>
            <w:tcW w:w="1276" w:type="dxa"/>
            <w:vAlign w:val="center"/>
          </w:tcPr>
          <w:p w:rsidR="00C932E3" w:rsidRDefault="00F041BC">
            <w:pPr>
              <w:jc w:val="center"/>
            </w:pPr>
            <w:r>
              <w:rPr>
                <w:color w:val="000000"/>
                <w:szCs w:val="21"/>
              </w:rPr>
              <w:t>603087</w:t>
            </w:r>
          </w:p>
        </w:tc>
        <w:tc>
          <w:tcPr>
            <w:tcW w:w="1701" w:type="dxa"/>
            <w:vAlign w:val="center"/>
          </w:tcPr>
          <w:p w:rsidR="00C932E3" w:rsidRDefault="00F041BC">
            <w:pPr>
              <w:jc w:val="center"/>
            </w:pPr>
            <w:r>
              <w:rPr>
                <w:color w:val="000000"/>
                <w:szCs w:val="21"/>
              </w:rPr>
              <w:t>甘李药业</w:t>
            </w:r>
          </w:p>
        </w:tc>
        <w:tc>
          <w:tcPr>
            <w:tcW w:w="1276" w:type="dxa"/>
            <w:vAlign w:val="center"/>
          </w:tcPr>
          <w:p w:rsidR="00C932E3" w:rsidRDefault="00F041BC">
            <w:pPr>
              <w:jc w:val="right"/>
            </w:pPr>
            <w:r>
              <w:rPr>
                <w:color w:val="000000"/>
                <w:szCs w:val="21"/>
              </w:rPr>
              <w:t>1,076</w:t>
            </w:r>
          </w:p>
        </w:tc>
        <w:tc>
          <w:tcPr>
            <w:tcW w:w="2172" w:type="dxa"/>
            <w:vAlign w:val="center"/>
          </w:tcPr>
          <w:p w:rsidR="00C932E3" w:rsidRDefault="00F041BC">
            <w:pPr>
              <w:jc w:val="right"/>
            </w:pPr>
            <w:r>
              <w:rPr>
                <w:color w:val="000000"/>
                <w:szCs w:val="21"/>
              </w:rPr>
              <w:t>107,922.80</w:t>
            </w:r>
          </w:p>
        </w:tc>
        <w:tc>
          <w:tcPr>
            <w:tcW w:w="1852" w:type="dxa"/>
            <w:vAlign w:val="center"/>
          </w:tcPr>
          <w:p w:rsidR="00C932E3" w:rsidRDefault="00F041BC">
            <w:pPr>
              <w:jc w:val="right"/>
            </w:pPr>
            <w:r>
              <w:rPr>
                <w:color w:val="000000"/>
                <w:szCs w:val="21"/>
              </w:rPr>
              <w:t>0.01</w:t>
            </w:r>
          </w:p>
        </w:tc>
      </w:tr>
      <w:tr w:rsidR="00C932E3">
        <w:trPr>
          <w:jc w:val="center"/>
        </w:trPr>
        <w:tc>
          <w:tcPr>
            <w:tcW w:w="817" w:type="dxa"/>
            <w:vAlign w:val="center"/>
          </w:tcPr>
          <w:p w:rsidR="00C932E3" w:rsidRDefault="00F041BC">
            <w:pPr>
              <w:jc w:val="center"/>
            </w:pPr>
            <w:r>
              <w:rPr>
                <w:color w:val="000000"/>
                <w:szCs w:val="21"/>
              </w:rPr>
              <w:t>21</w:t>
            </w:r>
          </w:p>
        </w:tc>
        <w:tc>
          <w:tcPr>
            <w:tcW w:w="1276" w:type="dxa"/>
            <w:vAlign w:val="center"/>
          </w:tcPr>
          <w:p w:rsidR="00C932E3" w:rsidRDefault="00F041BC">
            <w:pPr>
              <w:jc w:val="center"/>
            </w:pPr>
            <w:r>
              <w:rPr>
                <w:color w:val="000000"/>
                <w:szCs w:val="21"/>
              </w:rPr>
              <w:t>688277</w:t>
            </w:r>
          </w:p>
        </w:tc>
        <w:tc>
          <w:tcPr>
            <w:tcW w:w="1701" w:type="dxa"/>
            <w:vAlign w:val="center"/>
          </w:tcPr>
          <w:p w:rsidR="00C932E3" w:rsidRDefault="00F041BC">
            <w:pPr>
              <w:jc w:val="center"/>
            </w:pPr>
            <w:r>
              <w:rPr>
                <w:color w:val="000000"/>
                <w:szCs w:val="21"/>
              </w:rPr>
              <w:t>天智航</w:t>
            </w:r>
          </w:p>
        </w:tc>
        <w:tc>
          <w:tcPr>
            <w:tcW w:w="1276" w:type="dxa"/>
            <w:vAlign w:val="center"/>
          </w:tcPr>
          <w:p w:rsidR="00C932E3" w:rsidRDefault="00F041BC">
            <w:pPr>
              <w:jc w:val="right"/>
            </w:pPr>
            <w:r>
              <w:rPr>
                <w:color w:val="000000"/>
                <w:szCs w:val="21"/>
              </w:rPr>
              <w:t>8,810</w:t>
            </w:r>
          </w:p>
        </w:tc>
        <w:tc>
          <w:tcPr>
            <w:tcW w:w="2172" w:type="dxa"/>
            <w:vAlign w:val="center"/>
          </w:tcPr>
          <w:p w:rsidR="00C932E3" w:rsidRDefault="00F041BC">
            <w:pPr>
              <w:jc w:val="right"/>
            </w:pPr>
            <w:r>
              <w:rPr>
                <w:color w:val="000000"/>
                <w:szCs w:val="21"/>
              </w:rPr>
              <w:t>106,072.40</w:t>
            </w:r>
          </w:p>
        </w:tc>
        <w:tc>
          <w:tcPr>
            <w:tcW w:w="1852" w:type="dxa"/>
            <w:vAlign w:val="center"/>
          </w:tcPr>
          <w:p w:rsidR="00C932E3" w:rsidRDefault="00F041BC">
            <w:pPr>
              <w:jc w:val="right"/>
            </w:pPr>
            <w:r>
              <w:rPr>
                <w:color w:val="000000"/>
                <w:szCs w:val="21"/>
              </w:rPr>
              <w:t>0.01</w:t>
            </w:r>
          </w:p>
        </w:tc>
      </w:tr>
      <w:tr w:rsidR="00C932E3">
        <w:trPr>
          <w:jc w:val="center"/>
        </w:trPr>
        <w:tc>
          <w:tcPr>
            <w:tcW w:w="817" w:type="dxa"/>
            <w:vAlign w:val="center"/>
          </w:tcPr>
          <w:p w:rsidR="00C932E3" w:rsidRDefault="00F041BC">
            <w:pPr>
              <w:jc w:val="center"/>
            </w:pPr>
            <w:r>
              <w:rPr>
                <w:color w:val="000000"/>
                <w:szCs w:val="21"/>
              </w:rPr>
              <w:t>22</w:t>
            </w:r>
          </w:p>
        </w:tc>
        <w:tc>
          <w:tcPr>
            <w:tcW w:w="1276" w:type="dxa"/>
            <w:vAlign w:val="center"/>
          </w:tcPr>
          <w:p w:rsidR="00C932E3" w:rsidRDefault="00F041BC">
            <w:pPr>
              <w:jc w:val="center"/>
            </w:pPr>
            <w:r>
              <w:rPr>
                <w:color w:val="000000"/>
                <w:szCs w:val="21"/>
              </w:rPr>
              <w:t>688027</w:t>
            </w:r>
          </w:p>
        </w:tc>
        <w:tc>
          <w:tcPr>
            <w:tcW w:w="1701" w:type="dxa"/>
            <w:vAlign w:val="center"/>
          </w:tcPr>
          <w:p w:rsidR="00C932E3" w:rsidRDefault="00F041BC">
            <w:pPr>
              <w:jc w:val="center"/>
            </w:pPr>
            <w:r>
              <w:rPr>
                <w:color w:val="000000"/>
                <w:szCs w:val="21"/>
              </w:rPr>
              <w:t>国盾量子</w:t>
            </w:r>
          </w:p>
        </w:tc>
        <w:tc>
          <w:tcPr>
            <w:tcW w:w="1276" w:type="dxa"/>
            <w:vAlign w:val="center"/>
          </w:tcPr>
          <w:p w:rsidR="00C932E3" w:rsidRDefault="00F041BC">
            <w:pPr>
              <w:jc w:val="right"/>
            </w:pPr>
            <w:r>
              <w:rPr>
                <w:color w:val="000000"/>
                <w:szCs w:val="21"/>
              </w:rPr>
              <w:t>2,830</w:t>
            </w:r>
          </w:p>
        </w:tc>
        <w:tc>
          <w:tcPr>
            <w:tcW w:w="2172" w:type="dxa"/>
            <w:vAlign w:val="center"/>
          </w:tcPr>
          <w:p w:rsidR="00C932E3" w:rsidRDefault="00F041BC">
            <w:pPr>
              <w:jc w:val="right"/>
            </w:pPr>
            <w:r>
              <w:rPr>
                <w:color w:val="000000"/>
                <w:szCs w:val="21"/>
              </w:rPr>
              <w:t>102,389.40</w:t>
            </w:r>
          </w:p>
        </w:tc>
        <w:tc>
          <w:tcPr>
            <w:tcW w:w="1852" w:type="dxa"/>
            <w:vAlign w:val="center"/>
          </w:tcPr>
          <w:p w:rsidR="00C932E3" w:rsidRDefault="00F041BC">
            <w:pPr>
              <w:jc w:val="right"/>
            </w:pPr>
            <w:r>
              <w:rPr>
                <w:color w:val="000000"/>
                <w:szCs w:val="21"/>
              </w:rPr>
              <w:t>0.01</w:t>
            </w:r>
          </w:p>
        </w:tc>
      </w:tr>
      <w:tr w:rsidR="00C932E3">
        <w:trPr>
          <w:jc w:val="center"/>
        </w:trPr>
        <w:tc>
          <w:tcPr>
            <w:tcW w:w="817" w:type="dxa"/>
            <w:vAlign w:val="center"/>
          </w:tcPr>
          <w:p w:rsidR="00C932E3" w:rsidRDefault="00F041BC">
            <w:pPr>
              <w:jc w:val="center"/>
            </w:pPr>
            <w:r>
              <w:rPr>
                <w:color w:val="000000"/>
                <w:szCs w:val="21"/>
              </w:rPr>
              <w:t>23</w:t>
            </w:r>
          </w:p>
        </w:tc>
        <w:tc>
          <w:tcPr>
            <w:tcW w:w="1276" w:type="dxa"/>
            <w:vAlign w:val="center"/>
          </w:tcPr>
          <w:p w:rsidR="00C932E3" w:rsidRDefault="00F041BC">
            <w:pPr>
              <w:jc w:val="center"/>
            </w:pPr>
            <w:r>
              <w:rPr>
                <w:color w:val="000000"/>
                <w:szCs w:val="21"/>
              </w:rPr>
              <w:t>688600</w:t>
            </w:r>
          </w:p>
        </w:tc>
        <w:tc>
          <w:tcPr>
            <w:tcW w:w="1701" w:type="dxa"/>
            <w:vAlign w:val="center"/>
          </w:tcPr>
          <w:p w:rsidR="00C932E3" w:rsidRDefault="00F041BC">
            <w:pPr>
              <w:jc w:val="center"/>
            </w:pPr>
            <w:r>
              <w:rPr>
                <w:color w:val="000000"/>
                <w:szCs w:val="21"/>
              </w:rPr>
              <w:t>皖仪科技</w:t>
            </w:r>
          </w:p>
        </w:tc>
        <w:tc>
          <w:tcPr>
            <w:tcW w:w="1276" w:type="dxa"/>
            <w:vAlign w:val="center"/>
          </w:tcPr>
          <w:p w:rsidR="00C932E3" w:rsidRDefault="00F041BC">
            <w:pPr>
              <w:jc w:val="right"/>
            </w:pPr>
            <w:r>
              <w:rPr>
                <w:color w:val="000000"/>
                <w:szCs w:val="21"/>
              </w:rPr>
              <w:t>5,468</w:t>
            </w:r>
          </w:p>
        </w:tc>
        <w:tc>
          <w:tcPr>
            <w:tcW w:w="2172" w:type="dxa"/>
            <w:vAlign w:val="center"/>
          </w:tcPr>
          <w:p w:rsidR="00C932E3" w:rsidRDefault="00F041BC">
            <w:pPr>
              <w:jc w:val="right"/>
            </w:pPr>
            <w:r>
              <w:rPr>
                <w:color w:val="000000"/>
                <w:szCs w:val="21"/>
              </w:rPr>
              <w:t>84,754.00</w:t>
            </w:r>
          </w:p>
        </w:tc>
        <w:tc>
          <w:tcPr>
            <w:tcW w:w="1852" w:type="dxa"/>
            <w:vAlign w:val="center"/>
          </w:tcPr>
          <w:p w:rsidR="00C932E3" w:rsidRDefault="00F041BC">
            <w:pPr>
              <w:jc w:val="right"/>
            </w:pPr>
            <w:r>
              <w:rPr>
                <w:color w:val="000000"/>
                <w:szCs w:val="21"/>
              </w:rPr>
              <w:t>0.01</w:t>
            </w:r>
          </w:p>
        </w:tc>
      </w:tr>
      <w:tr w:rsidR="00C932E3">
        <w:trPr>
          <w:jc w:val="center"/>
        </w:trPr>
        <w:tc>
          <w:tcPr>
            <w:tcW w:w="817" w:type="dxa"/>
            <w:vAlign w:val="center"/>
          </w:tcPr>
          <w:p w:rsidR="00C932E3" w:rsidRDefault="00F041BC">
            <w:pPr>
              <w:jc w:val="center"/>
            </w:pPr>
            <w:r>
              <w:rPr>
                <w:color w:val="000000"/>
                <w:szCs w:val="21"/>
              </w:rPr>
              <w:t>24</w:t>
            </w:r>
          </w:p>
        </w:tc>
        <w:tc>
          <w:tcPr>
            <w:tcW w:w="1276" w:type="dxa"/>
            <w:vAlign w:val="center"/>
          </w:tcPr>
          <w:p w:rsidR="00C932E3" w:rsidRDefault="00F041BC">
            <w:pPr>
              <w:jc w:val="center"/>
            </w:pPr>
            <w:r>
              <w:rPr>
                <w:color w:val="000000"/>
                <w:szCs w:val="21"/>
              </w:rPr>
              <w:t>300824</w:t>
            </w:r>
          </w:p>
        </w:tc>
        <w:tc>
          <w:tcPr>
            <w:tcW w:w="1701" w:type="dxa"/>
            <w:vAlign w:val="center"/>
          </w:tcPr>
          <w:p w:rsidR="00C932E3" w:rsidRDefault="00F041BC">
            <w:pPr>
              <w:jc w:val="center"/>
            </w:pPr>
            <w:r>
              <w:rPr>
                <w:color w:val="000000"/>
                <w:szCs w:val="21"/>
              </w:rPr>
              <w:t>北鼎股份</w:t>
            </w:r>
          </w:p>
        </w:tc>
        <w:tc>
          <w:tcPr>
            <w:tcW w:w="1276" w:type="dxa"/>
            <w:vAlign w:val="center"/>
          </w:tcPr>
          <w:p w:rsidR="00C932E3" w:rsidRDefault="00F041BC">
            <w:pPr>
              <w:jc w:val="right"/>
            </w:pPr>
            <w:r>
              <w:rPr>
                <w:color w:val="000000"/>
                <w:szCs w:val="21"/>
              </w:rPr>
              <w:t>1,954</w:t>
            </w:r>
          </w:p>
        </w:tc>
        <w:tc>
          <w:tcPr>
            <w:tcW w:w="2172" w:type="dxa"/>
            <w:vAlign w:val="center"/>
          </w:tcPr>
          <w:p w:rsidR="00C932E3" w:rsidRDefault="00F041BC">
            <w:pPr>
              <w:jc w:val="right"/>
            </w:pPr>
            <w:r>
              <w:rPr>
                <w:color w:val="000000"/>
                <w:szCs w:val="21"/>
              </w:rPr>
              <w:t>26,789.34</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25</w:t>
            </w:r>
          </w:p>
        </w:tc>
        <w:tc>
          <w:tcPr>
            <w:tcW w:w="1276" w:type="dxa"/>
            <w:vAlign w:val="center"/>
          </w:tcPr>
          <w:p w:rsidR="00C932E3" w:rsidRDefault="00F041BC">
            <w:pPr>
              <w:jc w:val="center"/>
            </w:pPr>
            <w:r>
              <w:rPr>
                <w:color w:val="000000"/>
                <w:szCs w:val="21"/>
              </w:rPr>
              <w:t>300842</w:t>
            </w:r>
          </w:p>
        </w:tc>
        <w:tc>
          <w:tcPr>
            <w:tcW w:w="1701" w:type="dxa"/>
            <w:vAlign w:val="center"/>
          </w:tcPr>
          <w:p w:rsidR="00C932E3" w:rsidRDefault="00F041BC">
            <w:pPr>
              <w:jc w:val="center"/>
            </w:pPr>
            <w:r>
              <w:rPr>
                <w:color w:val="000000"/>
                <w:szCs w:val="21"/>
              </w:rPr>
              <w:t>帝科股份</w:t>
            </w:r>
          </w:p>
        </w:tc>
        <w:tc>
          <w:tcPr>
            <w:tcW w:w="1276" w:type="dxa"/>
            <w:vAlign w:val="center"/>
          </w:tcPr>
          <w:p w:rsidR="00C932E3" w:rsidRDefault="00F041BC">
            <w:pPr>
              <w:jc w:val="right"/>
            </w:pPr>
            <w:r>
              <w:rPr>
                <w:color w:val="000000"/>
                <w:szCs w:val="21"/>
              </w:rPr>
              <w:t>455</w:t>
            </w:r>
          </w:p>
        </w:tc>
        <w:tc>
          <w:tcPr>
            <w:tcW w:w="2172" w:type="dxa"/>
            <w:vAlign w:val="center"/>
          </w:tcPr>
          <w:p w:rsidR="00C932E3" w:rsidRDefault="00F041BC">
            <w:pPr>
              <w:jc w:val="right"/>
            </w:pPr>
            <w:r>
              <w:rPr>
                <w:color w:val="000000"/>
                <w:szCs w:val="21"/>
              </w:rPr>
              <w:t>18,527.60</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26</w:t>
            </w:r>
          </w:p>
        </w:tc>
        <w:tc>
          <w:tcPr>
            <w:tcW w:w="1276" w:type="dxa"/>
            <w:vAlign w:val="center"/>
          </w:tcPr>
          <w:p w:rsidR="00C932E3" w:rsidRDefault="00F041BC">
            <w:pPr>
              <w:jc w:val="center"/>
            </w:pPr>
            <w:r>
              <w:rPr>
                <w:color w:val="000000"/>
                <w:szCs w:val="21"/>
              </w:rPr>
              <w:t>600956</w:t>
            </w:r>
          </w:p>
        </w:tc>
        <w:tc>
          <w:tcPr>
            <w:tcW w:w="1701" w:type="dxa"/>
            <w:vAlign w:val="center"/>
          </w:tcPr>
          <w:p w:rsidR="00C932E3" w:rsidRDefault="00F041BC">
            <w:pPr>
              <w:jc w:val="center"/>
            </w:pPr>
            <w:r>
              <w:rPr>
                <w:color w:val="000000"/>
                <w:szCs w:val="21"/>
              </w:rPr>
              <w:t>新天绿能</w:t>
            </w:r>
          </w:p>
        </w:tc>
        <w:tc>
          <w:tcPr>
            <w:tcW w:w="1276" w:type="dxa"/>
            <w:vAlign w:val="center"/>
          </w:tcPr>
          <w:p w:rsidR="00C932E3" w:rsidRDefault="00F041BC">
            <w:pPr>
              <w:jc w:val="right"/>
            </w:pPr>
            <w:r>
              <w:rPr>
                <w:color w:val="000000"/>
                <w:szCs w:val="21"/>
              </w:rPr>
              <w:t>2,533</w:t>
            </w:r>
          </w:p>
        </w:tc>
        <w:tc>
          <w:tcPr>
            <w:tcW w:w="2172" w:type="dxa"/>
            <w:vAlign w:val="center"/>
          </w:tcPr>
          <w:p w:rsidR="00C932E3" w:rsidRDefault="00F041BC">
            <w:pPr>
              <w:jc w:val="right"/>
            </w:pPr>
            <w:r>
              <w:rPr>
                <w:color w:val="000000"/>
                <w:szCs w:val="21"/>
              </w:rPr>
              <w:t>12,766.32</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27</w:t>
            </w:r>
          </w:p>
        </w:tc>
        <w:tc>
          <w:tcPr>
            <w:tcW w:w="1276" w:type="dxa"/>
            <w:vAlign w:val="center"/>
          </w:tcPr>
          <w:p w:rsidR="00C932E3" w:rsidRDefault="00F041BC">
            <w:pPr>
              <w:jc w:val="center"/>
            </w:pPr>
            <w:r>
              <w:rPr>
                <w:color w:val="000000"/>
                <w:szCs w:val="21"/>
              </w:rPr>
              <w:t>300839</w:t>
            </w:r>
          </w:p>
        </w:tc>
        <w:tc>
          <w:tcPr>
            <w:tcW w:w="1701" w:type="dxa"/>
            <w:vAlign w:val="center"/>
          </w:tcPr>
          <w:p w:rsidR="00C932E3" w:rsidRDefault="00F041BC">
            <w:pPr>
              <w:jc w:val="center"/>
            </w:pPr>
            <w:r>
              <w:rPr>
                <w:color w:val="000000"/>
                <w:szCs w:val="21"/>
              </w:rPr>
              <w:t>博汇股份</w:t>
            </w:r>
          </w:p>
        </w:tc>
        <w:tc>
          <w:tcPr>
            <w:tcW w:w="1276" w:type="dxa"/>
            <w:vAlign w:val="center"/>
          </w:tcPr>
          <w:p w:rsidR="00C932E3" w:rsidRDefault="00F041BC">
            <w:pPr>
              <w:jc w:val="right"/>
            </w:pPr>
            <w:r>
              <w:rPr>
                <w:color w:val="000000"/>
                <w:szCs w:val="21"/>
              </w:rPr>
              <w:t>502</w:t>
            </w:r>
          </w:p>
        </w:tc>
        <w:tc>
          <w:tcPr>
            <w:tcW w:w="2172" w:type="dxa"/>
            <w:vAlign w:val="center"/>
          </w:tcPr>
          <w:p w:rsidR="00C932E3" w:rsidRDefault="00F041BC">
            <w:pPr>
              <w:jc w:val="right"/>
            </w:pPr>
            <w:r>
              <w:rPr>
                <w:color w:val="000000"/>
                <w:szCs w:val="21"/>
              </w:rPr>
              <w:t>11,751.82</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28</w:t>
            </w:r>
          </w:p>
        </w:tc>
        <w:tc>
          <w:tcPr>
            <w:tcW w:w="1276" w:type="dxa"/>
            <w:vAlign w:val="center"/>
          </w:tcPr>
          <w:p w:rsidR="00C932E3" w:rsidRDefault="00F041BC">
            <w:pPr>
              <w:jc w:val="center"/>
            </w:pPr>
            <w:r>
              <w:rPr>
                <w:color w:val="000000"/>
                <w:szCs w:val="21"/>
              </w:rPr>
              <w:t>300847</w:t>
            </w:r>
          </w:p>
        </w:tc>
        <w:tc>
          <w:tcPr>
            <w:tcW w:w="1701" w:type="dxa"/>
            <w:vAlign w:val="center"/>
          </w:tcPr>
          <w:p w:rsidR="00C932E3" w:rsidRDefault="00F041BC">
            <w:pPr>
              <w:jc w:val="center"/>
            </w:pPr>
            <w:r>
              <w:rPr>
                <w:color w:val="000000"/>
                <w:szCs w:val="21"/>
              </w:rPr>
              <w:t>中船汉光</w:t>
            </w:r>
          </w:p>
        </w:tc>
        <w:tc>
          <w:tcPr>
            <w:tcW w:w="1276" w:type="dxa"/>
            <w:vAlign w:val="center"/>
          </w:tcPr>
          <w:p w:rsidR="00C932E3" w:rsidRDefault="00F041BC">
            <w:pPr>
              <w:jc w:val="right"/>
            </w:pPr>
            <w:r>
              <w:rPr>
                <w:color w:val="000000"/>
                <w:szCs w:val="21"/>
              </w:rPr>
              <w:t>1,421</w:t>
            </w:r>
          </w:p>
        </w:tc>
        <w:tc>
          <w:tcPr>
            <w:tcW w:w="2172" w:type="dxa"/>
            <w:vAlign w:val="center"/>
          </w:tcPr>
          <w:p w:rsidR="00C932E3" w:rsidRDefault="00F041BC">
            <w:pPr>
              <w:jc w:val="right"/>
            </w:pPr>
            <w:r>
              <w:rPr>
                <w:color w:val="000000"/>
                <w:szCs w:val="21"/>
              </w:rPr>
              <w:t>9,861.74</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29</w:t>
            </w:r>
          </w:p>
        </w:tc>
        <w:tc>
          <w:tcPr>
            <w:tcW w:w="1276" w:type="dxa"/>
            <w:vAlign w:val="center"/>
          </w:tcPr>
          <w:p w:rsidR="00C932E3" w:rsidRDefault="00F041BC">
            <w:pPr>
              <w:jc w:val="center"/>
            </w:pPr>
            <w:r>
              <w:rPr>
                <w:color w:val="000000"/>
                <w:szCs w:val="21"/>
              </w:rPr>
              <w:t>300845</w:t>
            </w:r>
          </w:p>
        </w:tc>
        <w:tc>
          <w:tcPr>
            <w:tcW w:w="1701" w:type="dxa"/>
            <w:vAlign w:val="center"/>
          </w:tcPr>
          <w:p w:rsidR="00C932E3" w:rsidRDefault="00F041BC">
            <w:pPr>
              <w:jc w:val="center"/>
            </w:pPr>
            <w:r>
              <w:rPr>
                <w:color w:val="000000"/>
                <w:szCs w:val="21"/>
              </w:rPr>
              <w:t>捷安高科</w:t>
            </w:r>
          </w:p>
        </w:tc>
        <w:tc>
          <w:tcPr>
            <w:tcW w:w="1276" w:type="dxa"/>
            <w:vAlign w:val="center"/>
          </w:tcPr>
          <w:p w:rsidR="00C932E3" w:rsidRDefault="00F041BC">
            <w:pPr>
              <w:jc w:val="right"/>
            </w:pPr>
            <w:r>
              <w:rPr>
                <w:color w:val="000000"/>
                <w:szCs w:val="21"/>
              </w:rPr>
              <w:t>470</w:t>
            </w:r>
          </w:p>
        </w:tc>
        <w:tc>
          <w:tcPr>
            <w:tcW w:w="2172" w:type="dxa"/>
            <w:vAlign w:val="center"/>
          </w:tcPr>
          <w:p w:rsidR="00C932E3" w:rsidRDefault="00F041BC">
            <w:pPr>
              <w:jc w:val="right"/>
            </w:pPr>
            <w:r>
              <w:rPr>
                <w:color w:val="000000"/>
                <w:szCs w:val="21"/>
              </w:rPr>
              <w:t>8,286.10</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30</w:t>
            </w:r>
          </w:p>
        </w:tc>
        <w:tc>
          <w:tcPr>
            <w:tcW w:w="1276" w:type="dxa"/>
            <w:vAlign w:val="center"/>
          </w:tcPr>
          <w:p w:rsidR="00C932E3" w:rsidRDefault="00F041BC">
            <w:pPr>
              <w:jc w:val="center"/>
            </w:pPr>
            <w:r>
              <w:rPr>
                <w:color w:val="000000"/>
                <w:szCs w:val="21"/>
              </w:rPr>
              <w:t>300843</w:t>
            </w:r>
          </w:p>
        </w:tc>
        <w:tc>
          <w:tcPr>
            <w:tcW w:w="1701" w:type="dxa"/>
            <w:vAlign w:val="center"/>
          </w:tcPr>
          <w:p w:rsidR="00C932E3" w:rsidRDefault="00F041BC">
            <w:pPr>
              <w:jc w:val="center"/>
            </w:pPr>
            <w:r>
              <w:rPr>
                <w:color w:val="000000"/>
                <w:szCs w:val="21"/>
              </w:rPr>
              <w:t>胜蓝股份</w:t>
            </w:r>
          </w:p>
        </w:tc>
        <w:tc>
          <w:tcPr>
            <w:tcW w:w="1276" w:type="dxa"/>
            <w:vAlign w:val="center"/>
          </w:tcPr>
          <w:p w:rsidR="00C932E3" w:rsidRDefault="00F041BC">
            <w:pPr>
              <w:jc w:val="right"/>
            </w:pPr>
            <w:r>
              <w:rPr>
                <w:color w:val="000000"/>
                <w:szCs w:val="21"/>
              </w:rPr>
              <w:t>751</w:t>
            </w:r>
          </w:p>
        </w:tc>
        <w:tc>
          <w:tcPr>
            <w:tcW w:w="2172" w:type="dxa"/>
            <w:vAlign w:val="center"/>
          </w:tcPr>
          <w:p w:rsidR="00C932E3" w:rsidRDefault="00F041BC">
            <w:pPr>
              <w:jc w:val="right"/>
            </w:pPr>
            <w:r>
              <w:rPr>
                <w:color w:val="000000"/>
                <w:szCs w:val="21"/>
              </w:rPr>
              <w:t>7,517.51</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31</w:t>
            </w:r>
          </w:p>
        </w:tc>
        <w:tc>
          <w:tcPr>
            <w:tcW w:w="1276" w:type="dxa"/>
            <w:vAlign w:val="center"/>
          </w:tcPr>
          <w:p w:rsidR="00C932E3" w:rsidRDefault="00F041BC">
            <w:pPr>
              <w:jc w:val="center"/>
            </w:pPr>
            <w:r>
              <w:rPr>
                <w:color w:val="000000"/>
                <w:szCs w:val="21"/>
              </w:rPr>
              <w:t>300840</w:t>
            </w:r>
          </w:p>
        </w:tc>
        <w:tc>
          <w:tcPr>
            <w:tcW w:w="1701" w:type="dxa"/>
            <w:vAlign w:val="center"/>
          </w:tcPr>
          <w:p w:rsidR="00C932E3" w:rsidRDefault="00F041BC">
            <w:pPr>
              <w:jc w:val="center"/>
            </w:pPr>
            <w:r>
              <w:rPr>
                <w:color w:val="000000"/>
                <w:szCs w:val="21"/>
              </w:rPr>
              <w:t>酷特智能</w:t>
            </w:r>
          </w:p>
        </w:tc>
        <w:tc>
          <w:tcPr>
            <w:tcW w:w="1276" w:type="dxa"/>
            <w:vAlign w:val="center"/>
          </w:tcPr>
          <w:p w:rsidR="00C932E3" w:rsidRDefault="00F041BC">
            <w:pPr>
              <w:jc w:val="right"/>
            </w:pPr>
            <w:r>
              <w:rPr>
                <w:color w:val="000000"/>
                <w:szCs w:val="21"/>
              </w:rPr>
              <w:t>1,185</w:t>
            </w:r>
          </w:p>
        </w:tc>
        <w:tc>
          <w:tcPr>
            <w:tcW w:w="2172" w:type="dxa"/>
            <w:vAlign w:val="center"/>
          </w:tcPr>
          <w:p w:rsidR="00C932E3" w:rsidRDefault="00F041BC">
            <w:pPr>
              <w:jc w:val="right"/>
            </w:pPr>
            <w:r>
              <w:rPr>
                <w:color w:val="000000"/>
                <w:szCs w:val="21"/>
              </w:rPr>
              <w:t>7,038.90</w:t>
            </w:r>
          </w:p>
        </w:tc>
        <w:tc>
          <w:tcPr>
            <w:tcW w:w="1852" w:type="dxa"/>
            <w:vAlign w:val="center"/>
          </w:tcPr>
          <w:p w:rsidR="00C932E3" w:rsidRDefault="00F041BC">
            <w:pPr>
              <w:jc w:val="right"/>
            </w:pPr>
            <w:r>
              <w:rPr>
                <w:color w:val="000000"/>
                <w:szCs w:val="21"/>
              </w:rPr>
              <w:t>0.00</w:t>
            </w:r>
          </w:p>
        </w:tc>
      </w:tr>
      <w:tr w:rsidR="00C932E3">
        <w:trPr>
          <w:jc w:val="center"/>
        </w:trPr>
        <w:tc>
          <w:tcPr>
            <w:tcW w:w="817" w:type="dxa"/>
            <w:vAlign w:val="center"/>
          </w:tcPr>
          <w:p w:rsidR="00C932E3" w:rsidRDefault="00F041BC">
            <w:pPr>
              <w:jc w:val="center"/>
            </w:pPr>
            <w:r>
              <w:rPr>
                <w:color w:val="000000"/>
                <w:szCs w:val="21"/>
              </w:rPr>
              <w:t>32</w:t>
            </w:r>
          </w:p>
        </w:tc>
        <w:tc>
          <w:tcPr>
            <w:tcW w:w="1276" w:type="dxa"/>
            <w:vAlign w:val="center"/>
          </w:tcPr>
          <w:p w:rsidR="00C932E3" w:rsidRDefault="00F041BC">
            <w:pPr>
              <w:jc w:val="center"/>
            </w:pPr>
            <w:r>
              <w:rPr>
                <w:color w:val="000000"/>
                <w:szCs w:val="21"/>
              </w:rPr>
              <w:t>300846</w:t>
            </w:r>
          </w:p>
        </w:tc>
        <w:tc>
          <w:tcPr>
            <w:tcW w:w="1701" w:type="dxa"/>
            <w:vAlign w:val="center"/>
          </w:tcPr>
          <w:p w:rsidR="00C932E3" w:rsidRDefault="00F041BC">
            <w:pPr>
              <w:jc w:val="center"/>
            </w:pPr>
            <w:r>
              <w:rPr>
                <w:color w:val="000000"/>
                <w:szCs w:val="21"/>
              </w:rPr>
              <w:t>首都在线</w:t>
            </w:r>
          </w:p>
        </w:tc>
        <w:tc>
          <w:tcPr>
            <w:tcW w:w="1276" w:type="dxa"/>
            <w:vAlign w:val="center"/>
          </w:tcPr>
          <w:p w:rsidR="00C932E3" w:rsidRDefault="00F041BC">
            <w:pPr>
              <w:jc w:val="right"/>
            </w:pPr>
            <w:r>
              <w:rPr>
                <w:color w:val="000000"/>
                <w:szCs w:val="21"/>
              </w:rPr>
              <w:t>1,131</w:t>
            </w:r>
          </w:p>
        </w:tc>
        <w:tc>
          <w:tcPr>
            <w:tcW w:w="2172" w:type="dxa"/>
            <w:vAlign w:val="center"/>
          </w:tcPr>
          <w:p w:rsidR="00C932E3" w:rsidRDefault="00F041BC">
            <w:pPr>
              <w:jc w:val="right"/>
            </w:pPr>
            <w:r>
              <w:rPr>
                <w:color w:val="000000"/>
                <w:szCs w:val="21"/>
              </w:rPr>
              <w:t>3,811.47</w:t>
            </w:r>
          </w:p>
        </w:tc>
        <w:tc>
          <w:tcPr>
            <w:tcW w:w="1852" w:type="dxa"/>
            <w:vAlign w:val="center"/>
          </w:tcPr>
          <w:p w:rsidR="00C932E3" w:rsidRDefault="00F041BC">
            <w:pPr>
              <w:jc w:val="right"/>
            </w:pPr>
            <w:r>
              <w:rPr>
                <w:color w:val="000000"/>
                <w:szCs w:val="21"/>
              </w:rPr>
              <w:t>0.00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注：本报告期末本基金投资五粮液、贵州茅台占基金资产净值比例超过</w:t>
      </w:r>
      <w:r w:rsidRPr="00224952">
        <w:rPr>
          <w:kern w:val="0"/>
          <w:szCs w:val="21"/>
        </w:rPr>
        <w:t>10%,</w:t>
      </w:r>
      <w:r w:rsidRPr="00224952">
        <w:rPr>
          <w:kern w:val="0"/>
          <w:szCs w:val="21"/>
        </w:rPr>
        <w:t>属于被动超标。</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5491"/>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C932E3">
        <w:tc>
          <w:tcPr>
            <w:tcW w:w="870" w:type="dxa"/>
            <w:vAlign w:val="center"/>
          </w:tcPr>
          <w:p w:rsidR="00C932E3" w:rsidRDefault="00F041BC">
            <w:pPr>
              <w:jc w:val="center"/>
            </w:pPr>
            <w:r>
              <w:rPr>
                <w:szCs w:val="21"/>
              </w:rPr>
              <w:t>1</w:t>
            </w:r>
          </w:p>
        </w:tc>
        <w:tc>
          <w:tcPr>
            <w:tcW w:w="1650" w:type="dxa"/>
            <w:vAlign w:val="center"/>
          </w:tcPr>
          <w:p w:rsidR="00C932E3" w:rsidRDefault="00F041BC">
            <w:pPr>
              <w:jc w:val="center"/>
            </w:pPr>
            <w:r>
              <w:rPr>
                <w:szCs w:val="21"/>
              </w:rPr>
              <w:t>000596</w:t>
            </w:r>
          </w:p>
        </w:tc>
        <w:tc>
          <w:tcPr>
            <w:tcW w:w="1980" w:type="dxa"/>
            <w:vAlign w:val="center"/>
          </w:tcPr>
          <w:p w:rsidR="00C932E3" w:rsidRDefault="00F041BC">
            <w:pPr>
              <w:jc w:val="center"/>
            </w:pPr>
            <w:r>
              <w:rPr>
                <w:szCs w:val="21"/>
              </w:rPr>
              <w:t>古井贡酒</w:t>
            </w:r>
          </w:p>
        </w:tc>
        <w:tc>
          <w:tcPr>
            <w:tcW w:w="2880" w:type="dxa"/>
            <w:vAlign w:val="center"/>
          </w:tcPr>
          <w:p w:rsidR="00C932E3" w:rsidRDefault="00F041BC">
            <w:pPr>
              <w:jc w:val="right"/>
            </w:pPr>
            <w:r>
              <w:rPr>
                <w:szCs w:val="21"/>
              </w:rPr>
              <w:t>55,956,346.76</w:t>
            </w:r>
          </w:p>
        </w:tc>
        <w:tc>
          <w:tcPr>
            <w:tcW w:w="1692" w:type="dxa"/>
            <w:vAlign w:val="center"/>
          </w:tcPr>
          <w:p w:rsidR="00C932E3" w:rsidRDefault="00F041BC">
            <w:pPr>
              <w:jc w:val="right"/>
            </w:pPr>
            <w:r>
              <w:rPr>
                <w:szCs w:val="21"/>
              </w:rPr>
              <w:t>3.73</w:t>
            </w:r>
          </w:p>
        </w:tc>
      </w:tr>
      <w:tr w:rsidR="00C932E3">
        <w:tc>
          <w:tcPr>
            <w:tcW w:w="870" w:type="dxa"/>
            <w:vAlign w:val="center"/>
          </w:tcPr>
          <w:p w:rsidR="00C932E3" w:rsidRDefault="00F041BC">
            <w:pPr>
              <w:jc w:val="center"/>
            </w:pPr>
            <w:r>
              <w:rPr>
                <w:szCs w:val="21"/>
              </w:rPr>
              <w:t>2</w:t>
            </w:r>
          </w:p>
        </w:tc>
        <w:tc>
          <w:tcPr>
            <w:tcW w:w="1650" w:type="dxa"/>
            <w:vAlign w:val="center"/>
          </w:tcPr>
          <w:p w:rsidR="00C932E3" w:rsidRDefault="00F041BC">
            <w:pPr>
              <w:jc w:val="center"/>
            </w:pPr>
            <w:r>
              <w:rPr>
                <w:szCs w:val="21"/>
              </w:rPr>
              <w:t>600276</w:t>
            </w:r>
          </w:p>
        </w:tc>
        <w:tc>
          <w:tcPr>
            <w:tcW w:w="1980" w:type="dxa"/>
            <w:vAlign w:val="center"/>
          </w:tcPr>
          <w:p w:rsidR="00C932E3" w:rsidRDefault="00F041BC">
            <w:pPr>
              <w:jc w:val="center"/>
            </w:pPr>
            <w:r>
              <w:rPr>
                <w:szCs w:val="21"/>
              </w:rPr>
              <w:t>恒瑞医药</w:t>
            </w:r>
          </w:p>
        </w:tc>
        <w:tc>
          <w:tcPr>
            <w:tcW w:w="2880" w:type="dxa"/>
            <w:vAlign w:val="center"/>
          </w:tcPr>
          <w:p w:rsidR="00C932E3" w:rsidRDefault="00F041BC">
            <w:pPr>
              <w:jc w:val="right"/>
            </w:pPr>
            <w:r>
              <w:rPr>
                <w:szCs w:val="21"/>
              </w:rPr>
              <w:t>54,102,146.23</w:t>
            </w:r>
          </w:p>
        </w:tc>
        <w:tc>
          <w:tcPr>
            <w:tcW w:w="1692" w:type="dxa"/>
            <w:vAlign w:val="center"/>
          </w:tcPr>
          <w:p w:rsidR="00C932E3" w:rsidRDefault="00F041BC">
            <w:pPr>
              <w:jc w:val="right"/>
            </w:pPr>
            <w:r>
              <w:rPr>
                <w:szCs w:val="21"/>
              </w:rPr>
              <w:t>3.61</w:t>
            </w:r>
          </w:p>
        </w:tc>
      </w:tr>
      <w:tr w:rsidR="00C932E3">
        <w:tc>
          <w:tcPr>
            <w:tcW w:w="870" w:type="dxa"/>
            <w:vAlign w:val="center"/>
          </w:tcPr>
          <w:p w:rsidR="00C932E3" w:rsidRDefault="00F041BC">
            <w:pPr>
              <w:jc w:val="center"/>
            </w:pPr>
            <w:r>
              <w:rPr>
                <w:szCs w:val="21"/>
              </w:rPr>
              <w:t>3</w:t>
            </w:r>
          </w:p>
        </w:tc>
        <w:tc>
          <w:tcPr>
            <w:tcW w:w="1650" w:type="dxa"/>
            <w:vAlign w:val="center"/>
          </w:tcPr>
          <w:p w:rsidR="00C932E3" w:rsidRDefault="00F041BC">
            <w:pPr>
              <w:jc w:val="center"/>
            </w:pPr>
            <w:r>
              <w:rPr>
                <w:szCs w:val="21"/>
              </w:rPr>
              <w:t>002120</w:t>
            </w:r>
          </w:p>
        </w:tc>
        <w:tc>
          <w:tcPr>
            <w:tcW w:w="1980" w:type="dxa"/>
            <w:vAlign w:val="center"/>
          </w:tcPr>
          <w:p w:rsidR="00C932E3" w:rsidRDefault="00F041BC">
            <w:pPr>
              <w:jc w:val="center"/>
            </w:pPr>
            <w:r>
              <w:rPr>
                <w:szCs w:val="21"/>
              </w:rPr>
              <w:t>韵达股份</w:t>
            </w:r>
          </w:p>
        </w:tc>
        <w:tc>
          <w:tcPr>
            <w:tcW w:w="2880" w:type="dxa"/>
            <w:vAlign w:val="center"/>
          </w:tcPr>
          <w:p w:rsidR="00C932E3" w:rsidRDefault="00F041BC">
            <w:pPr>
              <w:jc w:val="right"/>
            </w:pPr>
            <w:r>
              <w:rPr>
                <w:szCs w:val="21"/>
              </w:rPr>
              <w:t>47,011,248.91</w:t>
            </w:r>
          </w:p>
        </w:tc>
        <w:tc>
          <w:tcPr>
            <w:tcW w:w="1692" w:type="dxa"/>
            <w:vAlign w:val="center"/>
          </w:tcPr>
          <w:p w:rsidR="00C932E3" w:rsidRDefault="00F041BC">
            <w:pPr>
              <w:jc w:val="right"/>
            </w:pPr>
            <w:r>
              <w:rPr>
                <w:szCs w:val="21"/>
              </w:rPr>
              <w:t>3.14</w:t>
            </w:r>
          </w:p>
        </w:tc>
      </w:tr>
      <w:tr w:rsidR="00C932E3">
        <w:tc>
          <w:tcPr>
            <w:tcW w:w="870" w:type="dxa"/>
            <w:vAlign w:val="center"/>
          </w:tcPr>
          <w:p w:rsidR="00C932E3" w:rsidRDefault="00F041BC">
            <w:pPr>
              <w:jc w:val="center"/>
            </w:pPr>
            <w:r>
              <w:rPr>
                <w:szCs w:val="21"/>
              </w:rPr>
              <w:t>4</w:t>
            </w:r>
          </w:p>
        </w:tc>
        <w:tc>
          <w:tcPr>
            <w:tcW w:w="1650" w:type="dxa"/>
            <w:vAlign w:val="center"/>
          </w:tcPr>
          <w:p w:rsidR="00C932E3" w:rsidRDefault="00F041BC">
            <w:pPr>
              <w:jc w:val="center"/>
            </w:pPr>
            <w:r>
              <w:rPr>
                <w:szCs w:val="21"/>
              </w:rPr>
              <w:t>603369</w:t>
            </w:r>
          </w:p>
        </w:tc>
        <w:tc>
          <w:tcPr>
            <w:tcW w:w="1980" w:type="dxa"/>
            <w:vAlign w:val="center"/>
          </w:tcPr>
          <w:p w:rsidR="00C932E3" w:rsidRDefault="00F041BC">
            <w:pPr>
              <w:jc w:val="center"/>
            </w:pPr>
            <w:r>
              <w:rPr>
                <w:szCs w:val="21"/>
              </w:rPr>
              <w:t>今世缘</w:t>
            </w:r>
          </w:p>
        </w:tc>
        <w:tc>
          <w:tcPr>
            <w:tcW w:w="2880" w:type="dxa"/>
            <w:vAlign w:val="center"/>
          </w:tcPr>
          <w:p w:rsidR="00C932E3" w:rsidRDefault="00F041BC">
            <w:pPr>
              <w:jc w:val="right"/>
            </w:pPr>
            <w:r>
              <w:rPr>
                <w:szCs w:val="21"/>
              </w:rPr>
              <w:t>21,531,173.88</w:t>
            </w:r>
          </w:p>
        </w:tc>
        <w:tc>
          <w:tcPr>
            <w:tcW w:w="1692" w:type="dxa"/>
            <w:vAlign w:val="center"/>
          </w:tcPr>
          <w:p w:rsidR="00C932E3" w:rsidRDefault="00F041BC">
            <w:pPr>
              <w:jc w:val="right"/>
            </w:pPr>
            <w:r>
              <w:rPr>
                <w:szCs w:val="21"/>
              </w:rPr>
              <w:t>1.44</w:t>
            </w:r>
          </w:p>
        </w:tc>
      </w:tr>
      <w:tr w:rsidR="00C932E3">
        <w:tc>
          <w:tcPr>
            <w:tcW w:w="870" w:type="dxa"/>
            <w:vAlign w:val="center"/>
          </w:tcPr>
          <w:p w:rsidR="00C932E3" w:rsidRDefault="00F041BC">
            <w:pPr>
              <w:jc w:val="center"/>
            </w:pPr>
            <w:r>
              <w:rPr>
                <w:szCs w:val="21"/>
              </w:rPr>
              <w:t>5</w:t>
            </w:r>
          </w:p>
        </w:tc>
        <w:tc>
          <w:tcPr>
            <w:tcW w:w="1650" w:type="dxa"/>
            <w:vAlign w:val="center"/>
          </w:tcPr>
          <w:p w:rsidR="00C932E3" w:rsidRDefault="00F041BC">
            <w:pPr>
              <w:jc w:val="center"/>
            </w:pPr>
            <w:r>
              <w:rPr>
                <w:szCs w:val="21"/>
              </w:rPr>
              <w:t>688029</w:t>
            </w:r>
          </w:p>
        </w:tc>
        <w:tc>
          <w:tcPr>
            <w:tcW w:w="1980" w:type="dxa"/>
            <w:vAlign w:val="center"/>
          </w:tcPr>
          <w:p w:rsidR="00C932E3" w:rsidRDefault="00F041BC">
            <w:pPr>
              <w:jc w:val="center"/>
            </w:pPr>
            <w:r>
              <w:rPr>
                <w:szCs w:val="21"/>
              </w:rPr>
              <w:t>南微医学</w:t>
            </w:r>
          </w:p>
        </w:tc>
        <w:tc>
          <w:tcPr>
            <w:tcW w:w="2880" w:type="dxa"/>
            <w:vAlign w:val="center"/>
          </w:tcPr>
          <w:p w:rsidR="00C932E3" w:rsidRDefault="00F041BC">
            <w:pPr>
              <w:jc w:val="right"/>
            </w:pPr>
            <w:r>
              <w:rPr>
                <w:szCs w:val="21"/>
              </w:rPr>
              <w:t>15,932,203.25</w:t>
            </w:r>
          </w:p>
        </w:tc>
        <w:tc>
          <w:tcPr>
            <w:tcW w:w="1692" w:type="dxa"/>
            <w:vAlign w:val="center"/>
          </w:tcPr>
          <w:p w:rsidR="00C932E3" w:rsidRDefault="00F041BC">
            <w:pPr>
              <w:jc w:val="right"/>
            </w:pPr>
            <w:r>
              <w:rPr>
                <w:szCs w:val="21"/>
              </w:rPr>
              <w:t>1.06</w:t>
            </w:r>
          </w:p>
        </w:tc>
      </w:tr>
      <w:tr w:rsidR="00C932E3">
        <w:tc>
          <w:tcPr>
            <w:tcW w:w="870" w:type="dxa"/>
            <w:vAlign w:val="center"/>
          </w:tcPr>
          <w:p w:rsidR="00C932E3" w:rsidRDefault="00F041BC">
            <w:pPr>
              <w:jc w:val="center"/>
            </w:pPr>
            <w:r>
              <w:rPr>
                <w:szCs w:val="21"/>
              </w:rPr>
              <w:t>6</w:t>
            </w:r>
          </w:p>
        </w:tc>
        <w:tc>
          <w:tcPr>
            <w:tcW w:w="1650" w:type="dxa"/>
            <w:vAlign w:val="center"/>
          </w:tcPr>
          <w:p w:rsidR="00C932E3" w:rsidRDefault="00F041BC">
            <w:pPr>
              <w:jc w:val="center"/>
            </w:pPr>
            <w:r>
              <w:rPr>
                <w:szCs w:val="21"/>
              </w:rPr>
              <w:t>002415</w:t>
            </w:r>
          </w:p>
        </w:tc>
        <w:tc>
          <w:tcPr>
            <w:tcW w:w="1980" w:type="dxa"/>
            <w:vAlign w:val="center"/>
          </w:tcPr>
          <w:p w:rsidR="00C932E3" w:rsidRDefault="00F041BC">
            <w:pPr>
              <w:jc w:val="center"/>
            </w:pPr>
            <w:r>
              <w:rPr>
                <w:szCs w:val="21"/>
              </w:rPr>
              <w:t>海康威视</w:t>
            </w:r>
          </w:p>
        </w:tc>
        <w:tc>
          <w:tcPr>
            <w:tcW w:w="2880" w:type="dxa"/>
            <w:vAlign w:val="center"/>
          </w:tcPr>
          <w:p w:rsidR="00C932E3" w:rsidRDefault="00F041BC">
            <w:pPr>
              <w:jc w:val="right"/>
            </w:pPr>
            <w:r>
              <w:rPr>
                <w:szCs w:val="21"/>
              </w:rPr>
              <w:t>14,951,094.00</w:t>
            </w:r>
          </w:p>
        </w:tc>
        <w:tc>
          <w:tcPr>
            <w:tcW w:w="1692" w:type="dxa"/>
            <w:vAlign w:val="center"/>
          </w:tcPr>
          <w:p w:rsidR="00C932E3" w:rsidRDefault="00F041BC">
            <w:pPr>
              <w:jc w:val="right"/>
            </w:pPr>
            <w:r>
              <w:rPr>
                <w:szCs w:val="21"/>
              </w:rPr>
              <w:t>1.00</w:t>
            </w:r>
          </w:p>
        </w:tc>
      </w:tr>
      <w:tr w:rsidR="00C932E3">
        <w:tc>
          <w:tcPr>
            <w:tcW w:w="870" w:type="dxa"/>
            <w:vAlign w:val="center"/>
          </w:tcPr>
          <w:p w:rsidR="00C932E3" w:rsidRDefault="00F041BC">
            <w:pPr>
              <w:jc w:val="center"/>
            </w:pPr>
            <w:r>
              <w:rPr>
                <w:szCs w:val="21"/>
              </w:rPr>
              <w:t>7</w:t>
            </w:r>
          </w:p>
        </w:tc>
        <w:tc>
          <w:tcPr>
            <w:tcW w:w="1650" w:type="dxa"/>
            <w:vAlign w:val="center"/>
          </w:tcPr>
          <w:p w:rsidR="00C932E3" w:rsidRDefault="00F041BC">
            <w:pPr>
              <w:jc w:val="center"/>
            </w:pPr>
            <w:r>
              <w:rPr>
                <w:szCs w:val="21"/>
              </w:rPr>
              <w:t>600809</w:t>
            </w:r>
          </w:p>
        </w:tc>
        <w:tc>
          <w:tcPr>
            <w:tcW w:w="1980" w:type="dxa"/>
            <w:vAlign w:val="center"/>
          </w:tcPr>
          <w:p w:rsidR="00C932E3" w:rsidRDefault="00F041BC">
            <w:pPr>
              <w:jc w:val="center"/>
            </w:pPr>
            <w:r>
              <w:rPr>
                <w:szCs w:val="21"/>
              </w:rPr>
              <w:t>山西汾酒</w:t>
            </w:r>
          </w:p>
        </w:tc>
        <w:tc>
          <w:tcPr>
            <w:tcW w:w="2880" w:type="dxa"/>
            <w:vAlign w:val="center"/>
          </w:tcPr>
          <w:p w:rsidR="00C932E3" w:rsidRDefault="00F041BC">
            <w:pPr>
              <w:jc w:val="right"/>
            </w:pPr>
            <w:r>
              <w:rPr>
                <w:szCs w:val="21"/>
              </w:rPr>
              <w:t>14,758,813.00</w:t>
            </w:r>
          </w:p>
        </w:tc>
        <w:tc>
          <w:tcPr>
            <w:tcW w:w="1692" w:type="dxa"/>
            <w:vAlign w:val="center"/>
          </w:tcPr>
          <w:p w:rsidR="00C932E3" w:rsidRDefault="00F041BC">
            <w:pPr>
              <w:jc w:val="right"/>
            </w:pPr>
            <w:r>
              <w:rPr>
                <w:szCs w:val="21"/>
              </w:rPr>
              <w:t>0.98</w:t>
            </w:r>
          </w:p>
        </w:tc>
      </w:tr>
      <w:tr w:rsidR="00C932E3">
        <w:tc>
          <w:tcPr>
            <w:tcW w:w="870" w:type="dxa"/>
            <w:vAlign w:val="center"/>
          </w:tcPr>
          <w:p w:rsidR="00C932E3" w:rsidRDefault="00F041BC">
            <w:pPr>
              <w:jc w:val="center"/>
            </w:pPr>
            <w:r>
              <w:rPr>
                <w:szCs w:val="21"/>
              </w:rPr>
              <w:t>8</w:t>
            </w:r>
          </w:p>
        </w:tc>
        <w:tc>
          <w:tcPr>
            <w:tcW w:w="1650" w:type="dxa"/>
            <w:vAlign w:val="center"/>
          </w:tcPr>
          <w:p w:rsidR="00C932E3" w:rsidRDefault="00F041BC">
            <w:pPr>
              <w:jc w:val="center"/>
            </w:pPr>
            <w:r>
              <w:rPr>
                <w:szCs w:val="21"/>
              </w:rPr>
              <w:t>002304</w:t>
            </w:r>
          </w:p>
        </w:tc>
        <w:tc>
          <w:tcPr>
            <w:tcW w:w="1980" w:type="dxa"/>
            <w:vAlign w:val="center"/>
          </w:tcPr>
          <w:p w:rsidR="00C932E3" w:rsidRDefault="00F041BC">
            <w:pPr>
              <w:jc w:val="center"/>
            </w:pPr>
            <w:r>
              <w:rPr>
                <w:szCs w:val="21"/>
              </w:rPr>
              <w:t>洋河股份</w:t>
            </w:r>
          </w:p>
        </w:tc>
        <w:tc>
          <w:tcPr>
            <w:tcW w:w="2880" w:type="dxa"/>
            <w:vAlign w:val="center"/>
          </w:tcPr>
          <w:p w:rsidR="00C932E3" w:rsidRDefault="00F041BC">
            <w:pPr>
              <w:jc w:val="right"/>
            </w:pPr>
            <w:r>
              <w:rPr>
                <w:szCs w:val="21"/>
              </w:rPr>
              <w:t>7,497,408.12</w:t>
            </w:r>
          </w:p>
        </w:tc>
        <w:tc>
          <w:tcPr>
            <w:tcW w:w="1692" w:type="dxa"/>
            <w:vAlign w:val="center"/>
          </w:tcPr>
          <w:p w:rsidR="00C932E3" w:rsidRDefault="00F041BC">
            <w:pPr>
              <w:jc w:val="right"/>
            </w:pPr>
            <w:r>
              <w:rPr>
                <w:szCs w:val="21"/>
              </w:rPr>
              <w:t>0.50</w:t>
            </w:r>
          </w:p>
        </w:tc>
      </w:tr>
      <w:tr w:rsidR="00C932E3">
        <w:tc>
          <w:tcPr>
            <w:tcW w:w="870" w:type="dxa"/>
            <w:vAlign w:val="center"/>
          </w:tcPr>
          <w:p w:rsidR="00C932E3" w:rsidRDefault="00F041BC">
            <w:pPr>
              <w:jc w:val="center"/>
            </w:pPr>
            <w:r>
              <w:rPr>
                <w:szCs w:val="21"/>
              </w:rPr>
              <w:t>9</w:t>
            </w:r>
          </w:p>
        </w:tc>
        <w:tc>
          <w:tcPr>
            <w:tcW w:w="1650" w:type="dxa"/>
            <w:vAlign w:val="center"/>
          </w:tcPr>
          <w:p w:rsidR="00C932E3" w:rsidRDefault="00F041BC">
            <w:pPr>
              <w:jc w:val="center"/>
            </w:pPr>
            <w:r>
              <w:rPr>
                <w:szCs w:val="21"/>
              </w:rPr>
              <w:t>601816</w:t>
            </w:r>
          </w:p>
        </w:tc>
        <w:tc>
          <w:tcPr>
            <w:tcW w:w="1980" w:type="dxa"/>
            <w:vAlign w:val="center"/>
          </w:tcPr>
          <w:p w:rsidR="00C932E3" w:rsidRDefault="00F041BC">
            <w:pPr>
              <w:jc w:val="center"/>
            </w:pPr>
            <w:r>
              <w:rPr>
                <w:szCs w:val="21"/>
              </w:rPr>
              <w:t>京沪高铁</w:t>
            </w:r>
          </w:p>
        </w:tc>
        <w:tc>
          <w:tcPr>
            <w:tcW w:w="2880" w:type="dxa"/>
            <w:vAlign w:val="center"/>
          </w:tcPr>
          <w:p w:rsidR="00C932E3" w:rsidRDefault="00F041BC">
            <w:pPr>
              <w:jc w:val="right"/>
            </w:pPr>
            <w:r>
              <w:rPr>
                <w:szCs w:val="21"/>
              </w:rPr>
              <w:t>6,319,848.88</w:t>
            </w:r>
          </w:p>
        </w:tc>
        <w:tc>
          <w:tcPr>
            <w:tcW w:w="1692" w:type="dxa"/>
            <w:vAlign w:val="center"/>
          </w:tcPr>
          <w:p w:rsidR="00C932E3" w:rsidRDefault="00F041BC">
            <w:pPr>
              <w:jc w:val="right"/>
            </w:pPr>
            <w:r>
              <w:rPr>
                <w:szCs w:val="21"/>
              </w:rPr>
              <w:t>0.42</w:t>
            </w:r>
          </w:p>
        </w:tc>
      </w:tr>
      <w:tr w:rsidR="00C932E3">
        <w:tc>
          <w:tcPr>
            <w:tcW w:w="870" w:type="dxa"/>
            <w:vAlign w:val="center"/>
          </w:tcPr>
          <w:p w:rsidR="00C932E3" w:rsidRDefault="00F041BC">
            <w:pPr>
              <w:jc w:val="center"/>
            </w:pPr>
            <w:r>
              <w:rPr>
                <w:szCs w:val="21"/>
              </w:rPr>
              <w:t>10</w:t>
            </w:r>
          </w:p>
        </w:tc>
        <w:tc>
          <w:tcPr>
            <w:tcW w:w="1650" w:type="dxa"/>
            <w:vAlign w:val="center"/>
          </w:tcPr>
          <w:p w:rsidR="00C932E3" w:rsidRDefault="00F041BC">
            <w:pPr>
              <w:jc w:val="center"/>
            </w:pPr>
            <w:r>
              <w:rPr>
                <w:szCs w:val="21"/>
              </w:rPr>
              <w:t>603187</w:t>
            </w:r>
          </w:p>
        </w:tc>
        <w:tc>
          <w:tcPr>
            <w:tcW w:w="1980" w:type="dxa"/>
            <w:vAlign w:val="center"/>
          </w:tcPr>
          <w:p w:rsidR="00C932E3" w:rsidRDefault="00F041BC">
            <w:pPr>
              <w:jc w:val="center"/>
            </w:pPr>
            <w:r>
              <w:rPr>
                <w:szCs w:val="21"/>
              </w:rPr>
              <w:t>海容冷链</w:t>
            </w:r>
          </w:p>
        </w:tc>
        <w:tc>
          <w:tcPr>
            <w:tcW w:w="2880" w:type="dxa"/>
            <w:vAlign w:val="center"/>
          </w:tcPr>
          <w:p w:rsidR="00C932E3" w:rsidRDefault="00F041BC">
            <w:pPr>
              <w:jc w:val="right"/>
            </w:pPr>
            <w:r>
              <w:rPr>
                <w:szCs w:val="21"/>
              </w:rPr>
              <w:t>5,692,783.16</w:t>
            </w:r>
          </w:p>
        </w:tc>
        <w:tc>
          <w:tcPr>
            <w:tcW w:w="1692" w:type="dxa"/>
            <w:vAlign w:val="center"/>
          </w:tcPr>
          <w:p w:rsidR="00C932E3" w:rsidRDefault="00F041BC">
            <w:pPr>
              <w:jc w:val="right"/>
            </w:pPr>
            <w:r>
              <w:rPr>
                <w:szCs w:val="21"/>
              </w:rPr>
              <w:t>0.38</w:t>
            </w:r>
          </w:p>
        </w:tc>
      </w:tr>
      <w:tr w:rsidR="00C932E3">
        <w:tc>
          <w:tcPr>
            <w:tcW w:w="870" w:type="dxa"/>
            <w:vAlign w:val="center"/>
          </w:tcPr>
          <w:p w:rsidR="00C932E3" w:rsidRDefault="00F041BC">
            <w:pPr>
              <w:jc w:val="center"/>
            </w:pPr>
            <w:r>
              <w:rPr>
                <w:szCs w:val="21"/>
              </w:rPr>
              <w:t>11</w:t>
            </w:r>
          </w:p>
        </w:tc>
        <w:tc>
          <w:tcPr>
            <w:tcW w:w="1650" w:type="dxa"/>
            <w:vAlign w:val="center"/>
          </w:tcPr>
          <w:p w:rsidR="00C932E3" w:rsidRDefault="00F041BC">
            <w:pPr>
              <w:jc w:val="center"/>
            </w:pPr>
            <w:r>
              <w:rPr>
                <w:szCs w:val="21"/>
              </w:rPr>
              <w:t>600004</w:t>
            </w:r>
          </w:p>
        </w:tc>
        <w:tc>
          <w:tcPr>
            <w:tcW w:w="1980" w:type="dxa"/>
            <w:vAlign w:val="center"/>
          </w:tcPr>
          <w:p w:rsidR="00C932E3" w:rsidRDefault="00F041BC">
            <w:pPr>
              <w:jc w:val="center"/>
            </w:pPr>
            <w:r>
              <w:rPr>
                <w:szCs w:val="21"/>
              </w:rPr>
              <w:t>白云机场</w:t>
            </w:r>
          </w:p>
        </w:tc>
        <w:tc>
          <w:tcPr>
            <w:tcW w:w="2880" w:type="dxa"/>
            <w:vAlign w:val="center"/>
          </w:tcPr>
          <w:p w:rsidR="00C932E3" w:rsidRDefault="00F041BC">
            <w:pPr>
              <w:jc w:val="right"/>
            </w:pPr>
            <w:r>
              <w:rPr>
                <w:szCs w:val="21"/>
              </w:rPr>
              <w:t>5,499,205.69</w:t>
            </w:r>
          </w:p>
        </w:tc>
        <w:tc>
          <w:tcPr>
            <w:tcW w:w="1692" w:type="dxa"/>
            <w:vAlign w:val="center"/>
          </w:tcPr>
          <w:p w:rsidR="00C932E3" w:rsidRDefault="00F041BC">
            <w:pPr>
              <w:jc w:val="right"/>
            </w:pPr>
            <w:r>
              <w:rPr>
                <w:szCs w:val="21"/>
              </w:rPr>
              <w:t>0.37</w:t>
            </w:r>
          </w:p>
        </w:tc>
      </w:tr>
      <w:tr w:rsidR="00C932E3">
        <w:tc>
          <w:tcPr>
            <w:tcW w:w="870" w:type="dxa"/>
            <w:vAlign w:val="center"/>
          </w:tcPr>
          <w:p w:rsidR="00C932E3" w:rsidRDefault="00F041BC">
            <w:pPr>
              <w:jc w:val="center"/>
            </w:pPr>
            <w:r>
              <w:rPr>
                <w:szCs w:val="21"/>
              </w:rPr>
              <w:t>12</w:t>
            </w:r>
          </w:p>
        </w:tc>
        <w:tc>
          <w:tcPr>
            <w:tcW w:w="1650" w:type="dxa"/>
            <w:vAlign w:val="center"/>
          </w:tcPr>
          <w:p w:rsidR="00C932E3" w:rsidRDefault="00F041BC">
            <w:pPr>
              <w:jc w:val="center"/>
            </w:pPr>
            <w:r>
              <w:rPr>
                <w:szCs w:val="21"/>
              </w:rPr>
              <w:t>300015</w:t>
            </w:r>
          </w:p>
        </w:tc>
        <w:tc>
          <w:tcPr>
            <w:tcW w:w="1980" w:type="dxa"/>
            <w:vAlign w:val="center"/>
          </w:tcPr>
          <w:p w:rsidR="00C932E3" w:rsidRDefault="00F041BC">
            <w:pPr>
              <w:jc w:val="center"/>
            </w:pPr>
            <w:r>
              <w:rPr>
                <w:szCs w:val="21"/>
              </w:rPr>
              <w:t>爱尔眼科</w:t>
            </w:r>
          </w:p>
        </w:tc>
        <w:tc>
          <w:tcPr>
            <w:tcW w:w="2880" w:type="dxa"/>
            <w:vAlign w:val="center"/>
          </w:tcPr>
          <w:p w:rsidR="00C932E3" w:rsidRDefault="00F041BC">
            <w:pPr>
              <w:jc w:val="right"/>
            </w:pPr>
            <w:r>
              <w:rPr>
                <w:szCs w:val="21"/>
              </w:rPr>
              <w:t>5,321,889.72</w:t>
            </w:r>
          </w:p>
        </w:tc>
        <w:tc>
          <w:tcPr>
            <w:tcW w:w="1692" w:type="dxa"/>
            <w:vAlign w:val="center"/>
          </w:tcPr>
          <w:p w:rsidR="00C932E3" w:rsidRDefault="00F041BC">
            <w:pPr>
              <w:jc w:val="right"/>
            </w:pPr>
            <w:r>
              <w:rPr>
                <w:szCs w:val="21"/>
              </w:rPr>
              <w:t>0.36</w:t>
            </w:r>
          </w:p>
        </w:tc>
      </w:tr>
      <w:tr w:rsidR="00C932E3">
        <w:tc>
          <w:tcPr>
            <w:tcW w:w="870" w:type="dxa"/>
            <w:vAlign w:val="center"/>
          </w:tcPr>
          <w:p w:rsidR="00C932E3" w:rsidRDefault="00F041BC">
            <w:pPr>
              <w:jc w:val="center"/>
            </w:pPr>
            <w:r>
              <w:rPr>
                <w:szCs w:val="21"/>
              </w:rPr>
              <w:t>13</w:t>
            </w:r>
          </w:p>
        </w:tc>
        <w:tc>
          <w:tcPr>
            <w:tcW w:w="1650" w:type="dxa"/>
            <w:vAlign w:val="center"/>
          </w:tcPr>
          <w:p w:rsidR="00C932E3" w:rsidRDefault="00F041BC">
            <w:pPr>
              <w:jc w:val="center"/>
            </w:pPr>
            <w:r>
              <w:rPr>
                <w:szCs w:val="21"/>
              </w:rPr>
              <w:t>000786</w:t>
            </w:r>
          </w:p>
        </w:tc>
        <w:tc>
          <w:tcPr>
            <w:tcW w:w="1980" w:type="dxa"/>
            <w:vAlign w:val="center"/>
          </w:tcPr>
          <w:p w:rsidR="00C932E3" w:rsidRDefault="00F041BC">
            <w:pPr>
              <w:jc w:val="center"/>
            </w:pPr>
            <w:r>
              <w:rPr>
                <w:szCs w:val="21"/>
              </w:rPr>
              <w:t>北新建材</w:t>
            </w:r>
          </w:p>
        </w:tc>
        <w:tc>
          <w:tcPr>
            <w:tcW w:w="2880" w:type="dxa"/>
            <w:vAlign w:val="center"/>
          </w:tcPr>
          <w:p w:rsidR="00C932E3" w:rsidRDefault="00F041BC">
            <w:pPr>
              <w:jc w:val="right"/>
            </w:pPr>
            <w:r>
              <w:rPr>
                <w:szCs w:val="21"/>
              </w:rPr>
              <w:t>4,890,346.95</w:t>
            </w:r>
          </w:p>
        </w:tc>
        <w:tc>
          <w:tcPr>
            <w:tcW w:w="1692" w:type="dxa"/>
            <w:vAlign w:val="center"/>
          </w:tcPr>
          <w:p w:rsidR="00C932E3" w:rsidRDefault="00F041BC">
            <w:pPr>
              <w:jc w:val="right"/>
            </w:pPr>
            <w:r>
              <w:rPr>
                <w:szCs w:val="21"/>
              </w:rPr>
              <w:t>0.33</w:t>
            </w:r>
          </w:p>
        </w:tc>
      </w:tr>
      <w:tr w:rsidR="00C932E3">
        <w:tc>
          <w:tcPr>
            <w:tcW w:w="870" w:type="dxa"/>
            <w:vAlign w:val="center"/>
          </w:tcPr>
          <w:p w:rsidR="00C932E3" w:rsidRDefault="00F041BC">
            <w:pPr>
              <w:jc w:val="center"/>
            </w:pPr>
            <w:r>
              <w:rPr>
                <w:szCs w:val="21"/>
              </w:rPr>
              <w:t>14</w:t>
            </w:r>
          </w:p>
        </w:tc>
        <w:tc>
          <w:tcPr>
            <w:tcW w:w="1650" w:type="dxa"/>
            <w:vAlign w:val="center"/>
          </w:tcPr>
          <w:p w:rsidR="00C932E3" w:rsidRDefault="00F041BC">
            <w:pPr>
              <w:jc w:val="center"/>
            </w:pPr>
            <w:r>
              <w:rPr>
                <w:szCs w:val="21"/>
              </w:rPr>
              <w:t>600009</w:t>
            </w:r>
          </w:p>
        </w:tc>
        <w:tc>
          <w:tcPr>
            <w:tcW w:w="1980" w:type="dxa"/>
            <w:vAlign w:val="center"/>
          </w:tcPr>
          <w:p w:rsidR="00C932E3" w:rsidRDefault="00F041BC">
            <w:pPr>
              <w:jc w:val="center"/>
            </w:pPr>
            <w:r>
              <w:rPr>
                <w:szCs w:val="21"/>
              </w:rPr>
              <w:t>上海机场</w:t>
            </w:r>
          </w:p>
        </w:tc>
        <w:tc>
          <w:tcPr>
            <w:tcW w:w="2880" w:type="dxa"/>
            <w:vAlign w:val="center"/>
          </w:tcPr>
          <w:p w:rsidR="00C932E3" w:rsidRDefault="00F041BC">
            <w:pPr>
              <w:jc w:val="right"/>
            </w:pPr>
            <w:r>
              <w:rPr>
                <w:szCs w:val="21"/>
              </w:rPr>
              <w:t>2,306,792.00</w:t>
            </w:r>
          </w:p>
        </w:tc>
        <w:tc>
          <w:tcPr>
            <w:tcW w:w="1692" w:type="dxa"/>
            <w:vAlign w:val="center"/>
          </w:tcPr>
          <w:p w:rsidR="00C932E3" w:rsidRDefault="00F041BC">
            <w:pPr>
              <w:jc w:val="right"/>
            </w:pPr>
            <w:r>
              <w:rPr>
                <w:szCs w:val="21"/>
              </w:rPr>
              <w:t>0.15</w:t>
            </w:r>
          </w:p>
        </w:tc>
      </w:tr>
      <w:tr w:rsidR="00C932E3">
        <w:tc>
          <w:tcPr>
            <w:tcW w:w="870" w:type="dxa"/>
            <w:vAlign w:val="center"/>
          </w:tcPr>
          <w:p w:rsidR="00C932E3" w:rsidRDefault="00F041BC">
            <w:pPr>
              <w:jc w:val="center"/>
            </w:pPr>
            <w:r>
              <w:rPr>
                <w:szCs w:val="21"/>
              </w:rPr>
              <w:t>15</w:t>
            </w:r>
          </w:p>
        </w:tc>
        <w:tc>
          <w:tcPr>
            <w:tcW w:w="1650" w:type="dxa"/>
            <w:vAlign w:val="center"/>
          </w:tcPr>
          <w:p w:rsidR="00C932E3" w:rsidRDefault="00F041BC">
            <w:pPr>
              <w:jc w:val="center"/>
            </w:pPr>
            <w:r>
              <w:rPr>
                <w:szCs w:val="21"/>
              </w:rPr>
              <w:t>688169</w:t>
            </w:r>
          </w:p>
        </w:tc>
        <w:tc>
          <w:tcPr>
            <w:tcW w:w="1980" w:type="dxa"/>
            <w:vAlign w:val="center"/>
          </w:tcPr>
          <w:p w:rsidR="00C932E3" w:rsidRDefault="00F041BC">
            <w:pPr>
              <w:jc w:val="center"/>
            </w:pPr>
            <w:r>
              <w:rPr>
                <w:szCs w:val="21"/>
              </w:rPr>
              <w:t>石头科技</w:t>
            </w:r>
          </w:p>
        </w:tc>
        <w:tc>
          <w:tcPr>
            <w:tcW w:w="2880" w:type="dxa"/>
            <w:vAlign w:val="center"/>
          </w:tcPr>
          <w:p w:rsidR="00C932E3" w:rsidRDefault="00F041BC">
            <w:pPr>
              <w:jc w:val="right"/>
            </w:pPr>
            <w:r>
              <w:rPr>
                <w:szCs w:val="21"/>
              </w:rPr>
              <w:t>1,459,167.84</w:t>
            </w:r>
          </w:p>
        </w:tc>
        <w:tc>
          <w:tcPr>
            <w:tcW w:w="1692" w:type="dxa"/>
            <w:vAlign w:val="center"/>
          </w:tcPr>
          <w:p w:rsidR="00C932E3" w:rsidRDefault="00F041BC">
            <w:pPr>
              <w:jc w:val="right"/>
            </w:pPr>
            <w:r>
              <w:rPr>
                <w:szCs w:val="21"/>
              </w:rPr>
              <w:t>0.10</w:t>
            </w:r>
          </w:p>
        </w:tc>
      </w:tr>
      <w:tr w:rsidR="00C932E3">
        <w:tc>
          <w:tcPr>
            <w:tcW w:w="870" w:type="dxa"/>
            <w:vAlign w:val="center"/>
          </w:tcPr>
          <w:p w:rsidR="00C932E3" w:rsidRDefault="00F041BC">
            <w:pPr>
              <w:jc w:val="center"/>
            </w:pPr>
            <w:r>
              <w:rPr>
                <w:szCs w:val="21"/>
              </w:rPr>
              <w:t>16</w:t>
            </w:r>
          </w:p>
        </w:tc>
        <w:tc>
          <w:tcPr>
            <w:tcW w:w="1650" w:type="dxa"/>
            <w:vAlign w:val="center"/>
          </w:tcPr>
          <w:p w:rsidR="00C932E3" w:rsidRDefault="00F041BC">
            <w:pPr>
              <w:jc w:val="center"/>
            </w:pPr>
            <w:r>
              <w:rPr>
                <w:szCs w:val="21"/>
              </w:rPr>
              <w:t>688266</w:t>
            </w:r>
          </w:p>
        </w:tc>
        <w:tc>
          <w:tcPr>
            <w:tcW w:w="1980" w:type="dxa"/>
            <w:vAlign w:val="center"/>
          </w:tcPr>
          <w:p w:rsidR="00C932E3" w:rsidRDefault="00F041BC">
            <w:pPr>
              <w:jc w:val="center"/>
            </w:pPr>
            <w:r>
              <w:rPr>
                <w:szCs w:val="21"/>
              </w:rPr>
              <w:t>泽璟制药</w:t>
            </w:r>
          </w:p>
        </w:tc>
        <w:tc>
          <w:tcPr>
            <w:tcW w:w="2880" w:type="dxa"/>
            <w:vAlign w:val="center"/>
          </w:tcPr>
          <w:p w:rsidR="00C932E3" w:rsidRDefault="00F041BC">
            <w:pPr>
              <w:jc w:val="right"/>
            </w:pPr>
            <w:r>
              <w:rPr>
                <w:szCs w:val="21"/>
              </w:rPr>
              <w:t>1,439,762.72</w:t>
            </w:r>
          </w:p>
        </w:tc>
        <w:tc>
          <w:tcPr>
            <w:tcW w:w="1692" w:type="dxa"/>
            <w:vAlign w:val="center"/>
          </w:tcPr>
          <w:p w:rsidR="00C932E3" w:rsidRDefault="00F041BC">
            <w:pPr>
              <w:jc w:val="right"/>
            </w:pPr>
            <w:r>
              <w:rPr>
                <w:szCs w:val="21"/>
              </w:rPr>
              <w:t>0.10</w:t>
            </w:r>
          </w:p>
        </w:tc>
      </w:tr>
      <w:tr w:rsidR="00C932E3">
        <w:tc>
          <w:tcPr>
            <w:tcW w:w="870" w:type="dxa"/>
            <w:vAlign w:val="center"/>
          </w:tcPr>
          <w:p w:rsidR="00C932E3" w:rsidRDefault="00F041BC">
            <w:pPr>
              <w:jc w:val="center"/>
            </w:pPr>
            <w:r>
              <w:rPr>
                <w:szCs w:val="21"/>
              </w:rPr>
              <w:t>17</w:t>
            </w:r>
          </w:p>
        </w:tc>
        <w:tc>
          <w:tcPr>
            <w:tcW w:w="1650" w:type="dxa"/>
            <w:vAlign w:val="center"/>
          </w:tcPr>
          <w:p w:rsidR="00C932E3" w:rsidRDefault="00F041BC">
            <w:pPr>
              <w:jc w:val="center"/>
            </w:pPr>
            <w:r>
              <w:rPr>
                <w:szCs w:val="21"/>
              </w:rPr>
              <w:t>688396</w:t>
            </w:r>
          </w:p>
        </w:tc>
        <w:tc>
          <w:tcPr>
            <w:tcW w:w="1980" w:type="dxa"/>
            <w:vAlign w:val="center"/>
          </w:tcPr>
          <w:p w:rsidR="00C932E3" w:rsidRDefault="00F041BC">
            <w:pPr>
              <w:jc w:val="center"/>
            </w:pPr>
            <w:r>
              <w:rPr>
                <w:szCs w:val="21"/>
              </w:rPr>
              <w:t>华润微</w:t>
            </w:r>
          </w:p>
        </w:tc>
        <w:tc>
          <w:tcPr>
            <w:tcW w:w="2880" w:type="dxa"/>
            <w:vAlign w:val="center"/>
          </w:tcPr>
          <w:p w:rsidR="00C932E3" w:rsidRDefault="00F041BC">
            <w:pPr>
              <w:jc w:val="right"/>
            </w:pPr>
            <w:r>
              <w:rPr>
                <w:szCs w:val="21"/>
              </w:rPr>
              <w:t>1,048,460.80</w:t>
            </w:r>
          </w:p>
        </w:tc>
        <w:tc>
          <w:tcPr>
            <w:tcW w:w="1692" w:type="dxa"/>
            <w:vAlign w:val="center"/>
          </w:tcPr>
          <w:p w:rsidR="00C932E3" w:rsidRDefault="00F041BC">
            <w:pPr>
              <w:jc w:val="right"/>
            </w:pPr>
            <w:r>
              <w:rPr>
                <w:szCs w:val="21"/>
              </w:rPr>
              <w:t>0.07</w:t>
            </w:r>
          </w:p>
        </w:tc>
      </w:tr>
      <w:tr w:rsidR="00C932E3">
        <w:tc>
          <w:tcPr>
            <w:tcW w:w="870" w:type="dxa"/>
            <w:vAlign w:val="center"/>
          </w:tcPr>
          <w:p w:rsidR="00C932E3" w:rsidRDefault="00F041BC">
            <w:pPr>
              <w:jc w:val="center"/>
            </w:pPr>
            <w:r>
              <w:rPr>
                <w:szCs w:val="21"/>
              </w:rPr>
              <w:t>18</w:t>
            </w:r>
          </w:p>
        </w:tc>
        <w:tc>
          <w:tcPr>
            <w:tcW w:w="1650" w:type="dxa"/>
            <w:vAlign w:val="center"/>
          </w:tcPr>
          <w:p w:rsidR="00C932E3" w:rsidRDefault="00F041BC">
            <w:pPr>
              <w:jc w:val="center"/>
            </w:pPr>
            <w:r>
              <w:rPr>
                <w:szCs w:val="21"/>
              </w:rPr>
              <w:t>688126</w:t>
            </w:r>
          </w:p>
        </w:tc>
        <w:tc>
          <w:tcPr>
            <w:tcW w:w="1980" w:type="dxa"/>
            <w:vAlign w:val="center"/>
          </w:tcPr>
          <w:p w:rsidR="00C932E3" w:rsidRDefault="00F041BC">
            <w:pPr>
              <w:jc w:val="center"/>
            </w:pPr>
            <w:r>
              <w:rPr>
                <w:szCs w:val="21"/>
              </w:rPr>
              <w:t>沪硅产业</w:t>
            </w:r>
          </w:p>
        </w:tc>
        <w:tc>
          <w:tcPr>
            <w:tcW w:w="2880" w:type="dxa"/>
            <w:vAlign w:val="center"/>
          </w:tcPr>
          <w:p w:rsidR="00C932E3" w:rsidRDefault="00F041BC">
            <w:pPr>
              <w:jc w:val="right"/>
            </w:pPr>
            <w:r>
              <w:rPr>
                <w:szCs w:val="21"/>
              </w:rPr>
              <w:t>857,853.92</w:t>
            </w:r>
          </w:p>
        </w:tc>
        <w:tc>
          <w:tcPr>
            <w:tcW w:w="1692" w:type="dxa"/>
            <w:vAlign w:val="center"/>
          </w:tcPr>
          <w:p w:rsidR="00C932E3" w:rsidRDefault="00F041BC">
            <w:pPr>
              <w:jc w:val="right"/>
            </w:pPr>
            <w:r>
              <w:rPr>
                <w:szCs w:val="21"/>
              </w:rPr>
              <w:t>0.06</w:t>
            </w:r>
          </w:p>
        </w:tc>
      </w:tr>
      <w:tr w:rsidR="00C932E3">
        <w:tc>
          <w:tcPr>
            <w:tcW w:w="870" w:type="dxa"/>
            <w:vAlign w:val="center"/>
          </w:tcPr>
          <w:p w:rsidR="00C932E3" w:rsidRDefault="00F041BC">
            <w:pPr>
              <w:jc w:val="center"/>
            </w:pPr>
            <w:r>
              <w:rPr>
                <w:szCs w:val="21"/>
              </w:rPr>
              <w:t>19</w:t>
            </w:r>
          </w:p>
        </w:tc>
        <w:tc>
          <w:tcPr>
            <w:tcW w:w="1650" w:type="dxa"/>
            <w:vAlign w:val="center"/>
          </w:tcPr>
          <w:p w:rsidR="00C932E3" w:rsidRDefault="00F041BC">
            <w:pPr>
              <w:jc w:val="center"/>
            </w:pPr>
            <w:r>
              <w:rPr>
                <w:szCs w:val="21"/>
              </w:rPr>
              <w:t>688599</w:t>
            </w:r>
          </w:p>
        </w:tc>
        <w:tc>
          <w:tcPr>
            <w:tcW w:w="1980" w:type="dxa"/>
            <w:vAlign w:val="center"/>
          </w:tcPr>
          <w:p w:rsidR="00C932E3" w:rsidRDefault="00F041BC">
            <w:pPr>
              <w:jc w:val="center"/>
            </w:pPr>
            <w:r>
              <w:rPr>
                <w:szCs w:val="21"/>
              </w:rPr>
              <w:t>天合光能</w:t>
            </w:r>
          </w:p>
        </w:tc>
        <w:tc>
          <w:tcPr>
            <w:tcW w:w="2880" w:type="dxa"/>
            <w:vAlign w:val="center"/>
          </w:tcPr>
          <w:p w:rsidR="00C932E3" w:rsidRDefault="00F041BC">
            <w:pPr>
              <w:jc w:val="right"/>
            </w:pPr>
            <w:r>
              <w:rPr>
                <w:szCs w:val="21"/>
              </w:rPr>
              <w:t>836,065.44</w:t>
            </w:r>
          </w:p>
        </w:tc>
        <w:tc>
          <w:tcPr>
            <w:tcW w:w="1692" w:type="dxa"/>
            <w:vAlign w:val="center"/>
          </w:tcPr>
          <w:p w:rsidR="00C932E3" w:rsidRDefault="00F041BC">
            <w:pPr>
              <w:jc w:val="right"/>
            </w:pPr>
            <w:r>
              <w:rPr>
                <w:szCs w:val="21"/>
              </w:rPr>
              <w:t>0.06</w:t>
            </w:r>
          </w:p>
        </w:tc>
      </w:tr>
      <w:tr w:rsidR="00C932E3">
        <w:tc>
          <w:tcPr>
            <w:tcW w:w="870" w:type="dxa"/>
            <w:vAlign w:val="center"/>
          </w:tcPr>
          <w:p w:rsidR="00C932E3" w:rsidRDefault="00F041BC">
            <w:pPr>
              <w:jc w:val="center"/>
            </w:pPr>
            <w:r>
              <w:rPr>
                <w:szCs w:val="21"/>
              </w:rPr>
              <w:t>20</w:t>
            </w:r>
          </w:p>
        </w:tc>
        <w:tc>
          <w:tcPr>
            <w:tcW w:w="1650" w:type="dxa"/>
            <w:vAlign w:val="center"/>
          </w:tcPr>
          <w:p w:rsidR="00C932E3" w:rsidRDefault="00F041BC">
            <w:pPr>
              <w:jc w:val="center"/>
            </w:pPr>
            <w:r>
              <w:rPr>
                <w:szCs w:val="21"/>
              </w:rPr>
              <w:t>688158</w:t>
            </w:r>
          </w:p>
        </w:tc>
        <w:tc>
          <w:tcPr>
            <w:tcW w:w="1980" w:type="dxa"/>
            <w:vAlign w:val="center"/>
          </w:tcPr>
          <w:p w:rsidR="00C932E3" w:rsidRDefault="00F041BC">
            <w:pPr>
              <w:jc w:val="center"/>
            </w:pPr>
            <w:r>
              <w:rPr>
                <w:szCs w:val="21"/>
              </w:rPr>
              <w:t>优刻得</w:t>
            </w:r>
          </w:p>
        </w:tc>
        <w:tc>
          <w:tcPr>
            <w:tcW w:w="2880" w:type="dxa"/>
            <w:vAlign w:val="center"/>
          </w:tcPr>
          <w:p w:rsidR="00C932E3" w:rsidRDefault="00F041BC">
            <w:pPr>
              <w:jc w:val="right"/>
            </w:pPr>
            <w:r>
              <w:rPr>
                <w:szCs w:val="21"/>
              </w:rPr>
              <w:t>687,861.00</w:t>
            </w:r>
          </w:p>
        </w:tc>
        <w:tc>
          <w:tcPr>
            <w:tcW w:w="1692" w:type="dxa"/>
            <w:vAlign w:val="center"/>
          </w:tcPr>
          <w:p w:rsidR="00C932E3" w:rsidRDefault="00F041BC">
            <w:pPr>
              <w:jc w:val="right"/>
            </w:pPr>
            <w:r>
              <w:rPr>
                <w:szCs w:val="21"/>
              </w:rPr>
              <w:t>0.05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C932E3">
        <w:tc>
          <w:tcPr>
            <w:tcW w:w="870" w:type="dxa"/>
            <w:vAlign w:val="center"/>
          </w:tcPr>
          <w:p w:rsidR="00C932E3" w:rsidRDefault="00F041BC">
            <w:pPr>
              <w:jc w:val="center"/>
            </w:pPr>
            <w:r>
              <w:rPr>
                <w:szCs w:val="21"/>
              </w:rPr>
              <w:t>1</w:t>
            </w:r>
          </w:p>
        </w:tc>
        <w:tc>
          <w:tcPr>
            <w:tcW w:w="1650" w:type="dxa"/>
            <w:vAlign w:val="center"/>
          </w:tcPr>
          <w:p w:rsidR="00C932E3" w:rsidRDefault="00F041BC">
            <w:pPr>
              <w:jc w:val="center"/>
            </w:pPr>
            <w:r>
              <w:rPr>
                <w:szCs w:val="21"/>
              </w:rPr>
              <w:t>600009</w:t>
            </w:r>
          </w:p>
        </w:tc>
        <w:tc>
          <w:tcPr>
            <w:tcW w:w="1980" w:type="dxa"/>
            <w:vAlign w:val="center"/>
          </w:tcPr>
          <w:p w:rsidR="00C932E3" w:rsidRDefault="00F041BC">
            <w:pPr>
              <w:jc w:val="center"/>
            </w:pPr>
            <w:r>
              <w:rPr>
                <w:szCs w:val="21"/>
              </w:rPr>
              <w:t>上海机场</w:t>
            </w:r>
          </w:p>
        </w:tc>
        <w:tc>
          <w:tcPr>
            <w:tcW w:w="2880" w:type="dxa"/>
            <w:vAlign w:val="center"/>
          </w:tcPr>
          <w:p w:rsidR="00C932E3" w:rsidRDefault="00F041BC">
            <w:pPr>
              <w:jc w:val="right"/>
            </w:pPr>
            <w:r>
              <w:rPr>
                <w:szCs w:val="21"/>
              </w:rPr>
              <w:t>125,774,488.77</w:t>
            </w:r>
          </w:p>
        </w:tc>
        <w:tc>
          <w:tcPr>
            <w:tcW w:w="1692" w:type="dxa"/>
            <w:vAlign w:val="center"/>
          </w:tcPr>
          <w:p w:rsidR="00C932E3" w:rsidRDefault="00F041BC">
            <w:pPr>
              <w:jc w:val="right"/>
            </w:pPr>
            <w:r>
              <w:rPr>
                <w:szCs w:val="21"/>
              </w:rPr>
              <w:t>8.39</w:t>
            </w:r>
          </w:p>
        </w:tc>
      </w:tr>
      <w:tr w:rsidR="00C932E3">
        <w:tc>
          <w:tcPr>
            <w:tcW w:w="870" w:type="dxa"/>
            <w:vAlign w:val="center"/>
          </w:tcPr>
          <w:p w:rsidR="00C932E3" w:rsidRDefault="00F041BC">
            <w:pPr>
              <w:jc w:val="center"/>
            </w:pPr>
            <w:r>
              <w:rPr>
                <w:szCs w:val="21"/>
              </w:rPr>
              <w:t>2</w:t>
            </w:r>
          </w:p>
        </w:tc>
        <w:tc>
          <w:tcPr>
            <w:tcW w:w="1650" w:type="dxa"/>
            <w:vAlign w:val="center"/>
          </w:tcPr>
          <w:p w:rsidR="00C932E3" w:rsidRDefault="00F041BC">
            <w:pPr>
              <w:jc w:val="center"/>
            </w:pPr>
            <w:r>
              <w:rPr>
                <w:szCs w:val="21"/>
              </w:rPr>
              <w:t>600004</w:t>
            </w:r>
          </w:p>
        </w:tc>
        <w:tc>
          <w:tcPr>
            <w:tcW w:w="1980" w:type="dxa"/>
            <w:vAlign w:val="center"/>
          </w:tcPr>
          <w:p w:rsidR="00C932E3" w:rsidRDefault="00F041BC">
            <w:pPr>
              <w:jc w:val="center"/>
            </w:pPr>
            <w:r>
              <w:rPr>
                <w:szCs w:val="21"/>
              </w:rPr>
              <w:t>白云机场</w:t>
            </w:r>
          </w:p>
        </w:tc>
        <w:tc>
          <w:tcPr>
            <w:tcW w:w="2880" w:type="dxa"/>
            <w:vAlign w:val="center"/>
          </w:tcPr>
          <w:p w:rsidR="00C932E3" w:rsidRDefault="00F041BC">
            <w:pPr>
              <w:jc w:val="right"/>
            </w:pPr>
            <w:r>
              <w:rPr>
                <w:szCs w:val="21"/>
              </w:rPr>
              <w:t>86,199,685.78</w:t>
            </w:r>
          </w:p>
        </w:tc>
        <w:tc>
          <w:tcPr>
            <w:tcW w:w="1692" w:type="dxa"/>
            <w:vAlign w:val="center"/>
          </w:tcPr>
          <w:p w:rsidR="00C932E3" w:rsidRDefault="00F041BC">
            <w:pPr>
              <w:jc w:val="right"/>
            </w:pPr>
            <w:r>
              <w:rPr>
                <w:szCs w:val="21"/>
              </w:rPr>
              <w:t>5.75</w:t>
            </w:r>
          </w:p>
        </w:tc>
      </w:tr>
      <w:tr w:rsidR="00C932E3">
        <w:tc>
          <w:tcPr>
            <w:tcW w:w="870" w:type="dxa"/>
            <w:vAlign w:val="center"/>
          </w:tcPr>
          <w:p w:rsidR="00C932E3" w:rsidRDefault="00F041BC">
            <w:pPr>
              <w:jc w:val="center"/>
            </w:pPr>
            <w:r>
              <w:rPr>
                <w:szCs w:val="21"/>
              </w:rPr>
              <w:t>3</w:t>
            </w:r>
          </w:p>
        </w:tc>
        <w:tc>
          <w:tcPr>
            <w:tcW w:w="1650" w:type="dxa"/>
            <w:vAlign w:val="center"/>
          </w:tcPr>
          <w:p w:rsidR="00C932E3" w:rsidRDefault="00F041BC">
            <w:pPr>
              <w:jc w:val="center"/>
            </w:pPr>
            <w:r>
              <w:rPr>
                <w:szCs w:val="21"/>
              </w:rPr>
              <w:t>002304</w:t>
            </w:r>
          </w:p>
        </w:tc>
        <w:tc>
          <w:tcPr>
            <w:tcW w:w="1980" w:type="dxa"/>
            <w:vAlign w:val="center"/>
          </w:tcPr>
          <w:p w:rsidR="00C932E3" w:rsidRDefault="00F041BC">
            <w:pPr>
              <w:jc w:val="center"/>
            </w:pPr>
            <w:r>
              <w:rPr>
                <w:szCs w:val="21"/>
              </w:rPr>
              <w:t>洋河股份</w:t>
            </w:r>
          </w:p>
        </w:tc>
        <w:tc>
          <w:tcPr>
            <w:tcW w:w="2880" w:type="dxa"/>
            <w:vAlign w:val="center"/>
          </w:tcPr>
          <w:p w:rsidR="00C932E3" w:rsidRDefault="00F041BC">
            <w:pPr>
              <w:jc w:val="right"/>
            </w:pPr>
            <w:r>
              <w:rPr>
                <w:szCs w:val="21"/>
              </w:rPr>
              <w:t>81,371,749.71</w:t>
            </w:r>
          </w:p>
        </w:tc>
        <w:tc>
          <w:tcPr>
            <w:tcW w:w="1692" w:type="dxa"/>
            <w:vAlign w:val="center"/>
          </w:tcPr>
          <w:p w:rsidR="00C932E3" w:rsidRDefault="00F041BC">
            <w:pPr>
              <w:jc w:val="right"/>
            </w:pPr>
            <w:r>
              <w:rPr>
                <w:szCs w:val="21"/>
              </w:rPr>
              <w:t>5.43</w:t>
            </w:r>
          </w:p>
        </w:tc>
      </w:tr>
      <w:tr w:rsidR="00C932E3">
        <w:tc>
          <w:tcPr>
            <w:tcW w:w="870" w:type="dxa"/>
            <w:vAlign w:val="center"/>
          </w:tcPr>
          <w:p w:rsidR="00C932E3" w:rsidRDefault="00F041BC">
            <w:pPr>
              <w:jc w:val="center"/>
            </w:pPr>
            <w:r>
              <w:rPr>
                <w:szCs w:val="21"/>
              </w:rPr>
              <w:t>4</w:t>
            </w:r>
          </w:p>
        </w:tc>
        <w:tc>
          <w:tcPr>
            <w:tcW w:w="1650" w:type="dxa"/>
            <w:vAlign w:val="center"/>
          </w:tcPr>
          <w:p w:rsidR="00C932E3" w:rsidRDefault="00F041BC">
            <w:pPr>
              <w:jc w:val="center"/>
            </w:pPr>
            <w:r>
              <w:rPr>
                <w:szCs w:val="21"/>
              </w:rPr>
              <w:t>000858</w:t>
            </w:r>
          </w:p>
        </w:tc>
        <w:tc>
          <w:tcPr>
            <w:tcW w:w="1980" w:type="dxa"/>
            <w:vAlign w:val="center"/>
          </w:tcPr>
          <w:p w:rsidR="00C932E3" w:rsidRDefault="00F041BC">
            <w:pPr>
              <w:jc w:val="center"/>
            </w:pPr>
            <w:r>
              <w:rPr>
                <w:szCs w:val="21"/>
              </w:rPr>
              <w:t>五粮液</w:t>
            </w:r>
          </w:p>
        </w:tc>
        <w:tc>
          <w:tcPr>
            <w:tcW w:w="2880" w:type="dxa"/>
            <w:vAlign w:val="center"/>
          </w:tcPr>
          <w:p w:rsidR="00C932E3" w:rsidRDefault="00F041BC">
            <w:pPr>
              <w:jc w:val="right"/>
            </w:pPr>
            <w:r>
              <w:rPr>
                <w:szCs w:val="21"/>
              </w:rPr>
              <w:t>64,981,338.10</w:t>
            </w:r>
          </w:p>
        </w:tc>
        <w:tc>
          <w:tcPr>
            <w:tcW w:w="1692" w:type="dxa"/>
            <w:vAlign w:val="center"/>
          </w:tcPr>
          <w:p w:rsidR="00C932E3" w:rsidRDefault="00F041BC">
            <w:pPr>
              <w:jc w:val="right"/>
            </w:pPr>
            <w:r>
              <w:rPr>
                <w:szCs w:val="21"/>
              </w:rPr>
              <w:t>4.34</w:t>
            </w:r>
          </w:p>
        </w:tc>
      </w:tr>
      <w:tr w:rsidR="00C932E3">
        <w:tc>
          <w:tcPr>
            <w:tcW w:w="870" w:type="dxa"/>
            <w:vAlign w:val="center"/>
          </w:tcPr>
          <w:p w:rsidR="00C932E3" w:rsidRDefault="00F041BC">
            <w:pPr>
              <w:jc w:val="center"/>
            </w:pPr>
            <w:r>
              <w:rPr>
                <w:szCs w:val="21"/>
              </w:rPr>
              <w:t>5</w:t>
            </w:r>
          </w:p>
        </w:tc>
        <w:tc>
          <w:tcPr>
            <w:tcW w:w="1650" w:type="dxa"/>
            <w:vAlign w:val="center"/>
          </w:tcPr>
          <w:p w:rsidR="00C932E3" w:rsidRDefault="00F041BC">
            <w:pPr>
              <w:jc w:val="center"/>
            </w:pPr>
            <w:r>
              <w:rPr>
                <w:szCs w:val="21"/>
              </w:rPr>
              <w:t>600519</w:t>
            </w:r>
          </w:p>
        </w:tc>
        <w:tc>
          <w:tcPr>
            <w:tcW w:w="1980" w:type="dxa"/>
            <w:vAlign w:val="center"/>
          </w:tcPr>
          <w:p w:rsidR="00C932E3" w:rsidRDefault="00F041BC">
            <w:pPr>
              <w:jc w:val="center"/>
            </w:pPr>
            <w:r>
              <w:rPr>
                <w:szCs w:val="21"/>
              </w:rPr>
              <w:t>贵州茅台</w:t>
            </w:r>
          </w:p>
        </w:tc>
        <w:tc>
          <w:tcPr>
            <w:tcW w:w="2880" w:type="dxa"/>
            <w:vAlign w:val="center"/>
          </w:tcPr>
          <w:p w:rsidR="00C932E3" w:rsidRDefault="00F041BC">
            <w:pPr>
              <w:jc w:val="right"/>
            </w:pPr>
            <w:r>
              <w:rPr>
                <w:szCs w:val="21"/>
              </w:rPr>
              <w:t>57,750,820.99</w:t>
            </w:r>
          </w:p>
        </w:tc>
        <w:tc>
          <w:tcPr>
            <w:tcW w:w="1692" w:type="dxa"/>
            <w:vAlign w:val="center"/>
          </w:tcPr>
          <w:p w:rsidR="00C932E3" w:rsidRDefault="00F041BC">
            <w:pPr>
              <w:jc w:val="right"/>
            </w:pPr>
            <w:r>
              <w:rPr>
                <w:szCs w:val="21"/>
              </w:rPr>
              <w:t>3.85</w:t>
            </w:r>
          </w:p>
        </w:tc>
      </w:tr>
      <w:tr w:rsidR="00C932E3">
        <w:tc>
          <w:tcPr>
            <w:tcW w:w="870" w:type="dxa"/>
            <w:vAlign w:val="center"/>
          </w:tcPr>
          <w:p w:rsidR="00C932E3" w:rsidRDefault="00F041BC">
            <w:pPr>
              <w:jc w:val="center"/>
            </w:pPr>
            <w:r>
              <w:rPr>
                <w:szCs w:val="21"/>
              </w:rPr>
              <w:t>6</w:t>
            </w:r>
          </w:p>
        </w:tc>
        <w:tc>
          <w:tcPr>
            <w:tcW w:w="1650" w:type="dxa"/>
            <w:vAlign w:val="center"/>
          </w:tcPr>
          <w:p w:rsidR="00C932E3" w:rsidRDefault="00F041BC">
            <w:pPr>
              <w:jc w:val="center"/>
            </w:pPr>
            <w:r>
              <w:rPr>
                <w:szCs w:val="21"/>
              </w:rPr>
              <w:t>601318</w:t>
            </w:r>
          </w:p>
        </w:tc>
        <w:tc>
          <w:tcPr>
            <w:tcW w:w="1980" w:type="dxa"/>
            <w:vAlign w:val="center"/>
          </w:tcPr>
          <w:p w:rsidR="00C932E3" w:rsidRDefault="00F041BC">
            <w:pPr>
              <w:jc w:val="center"/>
            </w:pPr>
            <w:r>
              <w:rPr>
                <w:szCs w:val="21"/>
              </w:rPr>
              <w:t>中国平安</w:t>
            </w:r>
          </w:p>
        </w:tc>
        <w:tc>
          <w:tcPr>
            <w:tcW w:w="2880" w:type="dxa"/>
            <w:vAlign w:val="center"/>
          </w:tcPr>
          <w:p w:rsidR="00C932E3" w:rsidRDefault="00F041BC">
            <w:pPr>
              <w:jc w:val="right"/>
            </w:pPr>
            <w:r>
              <w:rPr>
                <w:szCs w:val="21"/>
              </w:rPr>
              <w:t>45,126,264.23</w:t>
            </w:r>
          </w:p>
        </w:tc>
        <w:tc>
          <w:tcPr>
            <w:tcW w:w="1692" w:type="dxa"/>
            <w:vAlign w:val="center"/>
          </w:tcPr>
          <w:p w:rsidR="00C932E3" w:rsidRDefault="00F041BC">
            <w:pPr>
              <w:jc w:val="right"/>
            </w:pPr>
            <w:r>
              <w:rPr>
                <w:szCs w:val="21"/>
              </w:rPr>
              <w:t>3.01</w:t>
            </w:r>
          </w:p>
        </w:tc>
      </w:tr>
      <w:tr w:rsidR="00C932E3">
        <w:tc>
          <w:tcPr>
            <w:tcW w:w="870" w:type="dxa"/>
            <w:vAlign w:val="center"/>
          </w:tcPr>
          <w:p w:rsidR="00C932E3" w:rsidRDefault="00F041BC">
            <w:pPr>
              <w:jc w:val="center"/>
            </w:pPr>
            <w:r>
              <w:rPr>
                <w:szCs w:val="21"/>
              </w:rPr>
              <w:t>7</w:t>
            </w:r>
          </w:p>
        </w:tc>
        <w:tc>
          <w:tcPr>
            <w:tcW w:w="1650" w:type="dxa"/>
            <w:vAlign w:val="center"/>
          </w:tcPr>
          <w:p w:rsidR="00C932E3" w:rsidRDefault="00F041BC">
            <w:pPr>
              <w:jc w:val="center"/>
            </w:pPr>
            <w:r>
              <w:rPr>
                <w:szCs w:val="21"/>
              </w:rPr>
              <w:t>601888</w:t>
            </w:r>
          </w:p>
        </w:tc>
        <w:tc>
          <w:tcPr>
            <w:tcW w:w="1980" w:type="dxa"/>
            <w:vAlign w:val="center"/>
          </w:tcPr>
          <w:p w:rsidR="00C932E3" w:rsidRDefault="00F041BC">
            <w:pPr>
              <w:jc w:val="center"/>
            </w:pPr>
            <w:r>
              <w:rPr>
                <w:szCs w:val="21"/>
              </w:rPr>
              <w:t>中国中免</w:t>
            </w:r>
          </w:p>
        </w:tc>
        <w:tc>
          <w:tcPr>
            <w:tcW w:w="2880" w:type="dxa"/>
            <w:vAlign w:val="center"/>
          </w:tcPr>
          <w:p w:rsidR="00C932E3" w:rsidRDefault="00F041BC">
            <w:pPr>
              <w:jc w:val="right"/>
            </w:pPr>
            <w:r>
              <w:rPr>
                <w:szCs w:val="21"/>
              </w:rPr>
              <w:t>43,862,127.82</w:t>
            </w:r>
          </w:p>
        </w:tc>
        <w:tc>
          <w:tcPr>
            <w:tcW w:w="1692" w:type="dxa"/>
            <w:vAlign w:val="center"/>
          </w:tcPr>
          <w:p w:rsidR="00C932E3" w:rsidRDefault="00F041BC">
            <w:pPr>
              <w:jc w:val="right"/>
            </w:pPr>
            <w:r>
              <w:rPr>
                <w:szCs w:val="21"/>
              </w:rPr>
              <w:t>2.93</w:t>
            </w:r>
          </w:p>
        </w:tc>
      </w:tr>
      <w:tr w:rsidR="00C932E3">
        <w:tc>
          <w:tcPr>
            <w:tcW w:w="870" w:type="dxa"/>
            <w:vAlign w:val="center"/>
          </w:tcPr>
          <w:p w:rsidR="00C932E3" w:rsidRDefault="00F041BC">
            <w:pPr>
              <w:jc w:val="center"/>
            </w:pPr>
            <w:r>
              <w:rPr>
                <w:szCs w:val="21"/>
              </w:rPr>
              <w:t>8</w:t>
            </w:r>
          </w:p>
        </w:tc>
        <w:tc>
          <w:tcPr>
            <w:tcW w:w="1650" w:type="dxa"/>
            <w:vAlign w:val="center"/>
          </w:tcPr>
          <w:p w:rsidR="00C932E3" w:rsidRDefault="00F041BC">
            <w:pPr>
              <w:jc w:val="center"/>
            </w:pPr>
            <w:r>
              <w:rPr>
                <w:szCs w:val="21"/>
              </w:rPr>
              <w:t>000568</w:t>
            </w:r>
          </w:p>
        </w:tc>
        <w:tc>
          <w:tcPr>
            <w:tcW w:w="1980" w:type="dxa"/>
            <w:vAlign w:val="center"/>
          </w:tcPr>
          <w:p w:rsidR="00C932E3" w:rsidRDefault="00F041BC">
            <w:pPr>
              <w:jc w:val="center"/>
            </w:pPr>
            <w:r>
              <w:rPr>
                <w:szCs w:val="21"/>
              </w:rPr>
              <w:t>泸州老窖</w:t>
            </w:r>
          </w:p>
        </w:tc>
        <w:tc>
          <w:tcPr>
            <w:tcW w:w="2880" w:type="dxa"/>
            <w:vAlign w:val="center"/>
          </w:tcPr>
          <w:p w:rsidR="00C932E3" w:rsidRDefault="00F041BC">
            <w:pPr>
              <w:jc w:val="right"/>
            </w:pPr>
            <w:r>
              <w:rPr>
                <w:szCs w:val="21"/>
              </w:rPr>
              <w:t>41,454,280.84</w:t>
            </w:r>
          </w:p>
        </w:tc>
        <w:tc>
          <w:tcPr>
            <w:tcW w:w="1692" w:type="dxa"/>
            <w:vAlign w:val="center"/>
          </w:tcPr>
          <w:p w:rsidR="00C932E3" w:rsidRDefault="00F041BC">
            <w:pPr>
              <w:jc w:val="right"/>
            </w:pPr>
            <w:r>
              <w:rPr>
                <w:szCs w:val="21"/>
              </w:rPr>
              <w:t>2.77</w:t>
            </w:r>
          </w:p>
        </w:tc>
      </w:tr>
      <w:tr w:rsidR="00C932E3">
        <w:tc>
          <w:tcPr>
            <w:tcW w:w="870" w:type="dxa"/>
            <w:vAlign w:val="center"/>
          </w:tcPr>
          <w:p w:rsidR="00C932E3" w:rsidRDefault="00F041BC">
            <w:pPr>
              <w:jc w:val="center"/>
            </w:pPr>
            <w:r>
              <w:rPr>
                <w:szCs w:val="21"/>
              </w:rPr>
              <w:t>9</w:t>
            </w:r>
          </w:p>
        </w:tc>
        <w:tc>
          <w:tcPr>
            <w:tcW w:w="1650" w:type="dxa"/>
            <w:vAlign w:val="center"/>
          </w:tcPr>
          <w:p w:rsidR="00C932E3" w:rsidRDefault="00F041BC">
            <w:pPr>
              <w:jc w:val="center"/>
            </w:pPr>
            <w:r>
              <w:rPr>
                <w:szCs w:val="21"/>
              </w:rPr>
              <w:t>600161</w:t>
            </w:r>
          </w:p>
        </w:tc>
        <w:tc>
          <w:tcPr>
            <w:tcW w:w="1980" w:type="dxa"/>
            <w:vAlign w:val="center"/>
          </w:tcPr>
          <w:p w:rsidR="00C932E3" w:rsidRDefault="00F041BC">
            <w:pPr>
              <w:jc w:val="center"/>
            </w:pPr>
            <w:r>
              <w:rPr>
                <w:szCs w:val="21"/>
              </w:rPr>
              <w:t>天坛生物</w:t>
            </w:r>
          </w:p>
        </w:tc>
        <w:tc>
          <w:tcPr>
            <w:tcW w:w="2880" w:type="dxa"/>
            <w:vAlign w:val="center"/>
          </w:tcPr>
          <w:p w:rsidR="00C932E3" w:rsidRDefault="00F041BC">
            <w:pPr>
              <w:jc w:val="right"/>
            </w:pPr>
            <w:r>
              <w:rPr>
                <w:szCs w:val="21"/>
              </w:rPr>
              <w:t>38,148,926.90</w:t>
            </w:r>
          </w:p>
        </w:tc>
        <w:tc>
          <w:tcPr>
            <w:tcW w:w="1692" w:type="dxa"/>
            <w:vAlign w:val="center"/>
          </w:tcPr>
          <w:p w:rsidR="00C932E3" w:rsidRDefault="00F041BC">
            <w:pPr>
              <w:jc w:val="right"/>
            </w:pPr>
            <w:r>
              <w:rPr>
                <w:szCs w:val="21"/>
              </w:rPr>
              <w:t>2.55</w:t>
            </w:r>
          </w:p>
        </w:tc>
      </w:tr>
      <w:tr w:rsidR="00C932E3">
        <w:tc>
          <w:tcPr>
            <w:tcW w:w="870" w:type="dxa"/>
            <w:vAlign w:val="center"/>
          </w:tcPr>
          <w:p w:rsidR="00C932E3" w:rsidRDefault="00F041BC">
            <w:pPr>
              <w:jc w:val="center"/>
            </w:pPr>
            <w:r>
              <w:rPr>
                <w:szCs w:val="21"/>
              </w:rPr>
              <w:t>10</w:t>
            </w:r>
          </w:p>
        </w:tc>
        <w:tc>
          <w:tcPr>
            <w:tcW w:w="1650" w:type="dxa"/>
            <w:vAlign w:val="center"/>
          </w:tcPr>
          <w:p w:rsidR="00C932E3" w:rsidRDefault="00F041BC">
            <w:pPr>
              <w:jc w:val="center"/>
            </w:pPr>
            <w:r>
              <w:rPr>
                <w:szCs w:val="21"/>
              </w:rPr>
              <w:t>000333</w:t>
            </w:r>
          </w:p>
        </w:tc>
        <w:tc>
          <w:tcPr>
            <w:tcW w:w="1980" w:type="dxa"/>
            <w:vAlign w:val="center"/>
          </w:tcPr>
          <w:p w:rsidR="00C932E3" w:rsidRDefault="00F041BC">
            <w:pPr>
              <w:jc w:val="center"/>
            </w:pPr>
            <w:r>
              <w:rPr>
                <w:szCs w:val="21"/>
              </w:rPr>
              <w:t>美的集团</w:t>
            </w:r>
          </w:p>
        </w:tc>
        <w:tc>
          <w:tcPr>
            <w:tcW w:w="2880" w:type="dxa"/>
            <w:vAlign w:val="center"/>
          </w:tcPr>
          <w:p w:rsidR="00C932E3" w:rsidRDefault="00F041BC">
            <w:pPr>
              <w:jc w:val="right"/>
            </w:pPr>
            <w:r>
              <w:rPr>
                <w:szCs w:val="21"/>
              </w:rPr>
              <w:t>31,236,036.35</w:t>
            </w:r>
          </w:p>
        </w:tc>
        <w:tc>
          <w:tcPr>
            <w:tcW w:w="1692" w:type="dxa"/>
            <w:vAlign w:val="center"/>
          </w:tcPr>
          <w:p w:rsidR="00C932E3" w:rsidRDefault="00F041BC">
            <w:pPr>
              <w:jc w:val="right"/>
            </w:pPr>
            <w:r>
              <w:rPr>
                <w:szCs w:val="21"/>
              </w:rPr>
              <w:t>2.08</w:t>
            </w:r>
          </w:p>
        </w:tc>
      </w:tr>
      <w:tr w:rsidR="00C932E3">
        <w:tc>
          <w:tcPr>
            <w:tcW w:w="870" w:type="dxa"/>
            <w:vAlign w:val="center"/>
          </w:tcPr>
          <w:p w:rsidR="00C932E3" w:rsidRDefault="00F041BC">
            <w:pPr>
              <w:jc w:val="center"/>
            </w:pPr>
            <w:r>
              <w:rPr>
                <w:szCs w:val="21"/>
              </w:rPr>
              <w:t>11</w:t>
            </w:r>
          </w:p>
        </w:tc>
        <w:tc>
          <w:tcPr>
            <w:tcW w:w="1650" w:type="dxa"/>
            <w:vAlign w:val="center"/>
          </w:tcPr>
          <w:p w:rsidR="00C932E3" w:rsidRDefault="00F041BC">
            <w:pPr>
              <w:jc w:val="center"/>
            </w:pPr>
            <w:r>
              <w:rPr>
                <w:szCs w:val="21"/>
              </w:rPr>
              <w:t>000651</w:t>
            </w:r>
          </w:p>
        </w:tc>
        <w:tc>
          <w:tcPr>
            <w:tcW w:w="1980" w:type="dxa"/>
            <w:vAlign w:val="center"/>
          </w:tcPr>
          <w:p w:rsidR="00C932E3" w:rsidRDefault="00F041BC">
            <w:pPr>
              <w:jc w:val="center"/>
            </w:pPr>
            <w:r>
              <w:rPr>
                <w:szCs w:val="21"/>
              </w:rPr>
              <w:t>格力电器</w:t>
            </w:r>
          </w:p>
        </w:tc>
        <w:tc>
          <w:tcPr>
            <w:tcW w:w="2880" w:type="dxa"/>
            <w:vAlign w:val="center"/>
          </w:tcPr>
          <w:p w:rsidR="00C932E3" w:rsidRDefault="00F041BC">
            <w:pPr>
              <w:jc w:val="right"/>
            </w:pPr>
            <w:r>
              <w:rPr>
                <w:szCs w:val="21"/>
              </w:rPr>
              <w:t>26,248,412.60</w:t>
            </w:r>
          </w:p>
        </w:tc>
        <w:tc>
          <w:tcPr>
            <w:tcW w:w="1692" w:type="dxa"/>
            <w:vAlign w:val="center"/>
          </w:tcPr>
          <w:p w:rsidR="00C932E3" w:rsidRDefault="00F041BC">
            <w:pPr>
              <w:jc w:val="right"/>
            </w:pPr>
            <w:r>
              <w:rPr>
                <w:szCs w:val="21"/>
              </w:rPr>
              <w:t>1.75</w:t>
            </w:r>
          </w:p>
        </w:tc>
      </w:tr>
      <w:tr w:rsidR="00C932E3">
        <w:tc>
          <w:tcPr>
            <w:tcW w:w="870" w:type="dxa"/>
            <w:vAlign w:val="center"/>
          </w:tcPr>
          <w:p w:rsidR="00C932E3" w:rsidRDefault="00F041BC">
            <w:pPr>
              <w:jc w:val="center"/>
            </w:pPr>
            <w:r>
              <w:rPr>
                <w:szCs w:val="21"/>
              </w:rPr>
              <w:t>12</w:t>
            </w:r>
          </w:p>
        </w:tc>
        <w:tc>
          <w:tcPr>
            <w:tcW w:w="1650" w:type="dxa"/>
            <w:vAlign w:val="center"/>
          </w:tcPr>
          <w:p w:rsidR="00C932E3" w:rsidRDefault="00F041BC">
            <w:pPr>
              <w:jc w:val="center"/>
            </w:pPr>
            <w:r>
              <w:rPr>
                <w:szCs w:val="21"/>
              </w:rPr>
              <w:t>600809</w:t>
            </w:r>
          </w:p>
        </w:tc>
        <w:tc>
          <w:tcPr>
            <w:tcW w:w="1980" w:type="dxa"/>
            <w:vAlign w:val="center"/>
          </w:tcPr>
          <w:p w:rsidR="00C932E3" w:rsidRDefault="00F041BC">
            <w:pPr>
              <w:jc w:val="center"/>
            </w:pPr>
            <w:r>
              <w:rPr>
                <w:szCs w:val="21"/>
              </w:rPr>
              <w:t>山西汾酒</w:t>
            </w:r>
          </w:p>
        </w:tc>
        <w:tc>
          <w:tcPr>
            <w:tcW w:w="2880" w:type="dxa"/>
            <w:vAlign w:val="center"/>
          </w:tcPr>
          <w:p w:rsidR="00C932E3" w:rsidRDefault="00F041BC">
            <w:pPr>
              <w:jc w:val="right"/>
            </w:pPr>
            <w:r>
              <w:rPr>
                <w:szCs w:val="21"/>
              </w:rPr>
              <w:t>17,572,646.00</w:t>
            </w:r>
          </w:p>
        </w:tc>
        <w:tc>
          <w:tcPr>
            <w:tcW w:w="1692" w:type="dxa"/>
            <w:vAlign w:val="center"/>
          </w:tcPr>
          <w:p w:rsidR="00C932E3" w:rsidRDefault="00F041BC">
            <w:pPr>
              <w:jc w:val="right"/>
            </w:pPr>
            <w:r>
              <w:rPr>
                <w:szCs w:val="21"/>
              </w:rPr>
              <w:t>1.17</w:t>
            </w:r>
          </w:p>
        </w:tc>
      </w:tr>
      <w:tr w:rsidR="00C932E3">
        <w:tc>
          <w:tcPr>
            <w:tcW w:w="870" w:type="dxa"/>
            <w:vAlign w:val="center"/>
          </w:tcPr>
          <w:p w:rsidR="00C932E3" w:rsidRDefault="00F041BC">
            <w:pPr>
              <w:jc w:val="center"/>
            </w:pPr>
            <w:r>
              <w:rPr>
                <w:szCs w:val="21"/>
              </w:rPr>
              <w:t>13</w:t>
            </w:r>
          </w:p>
        </w:tc>
        <w:tc>
          <w:tcPr>
            <w:tcW w:w="1650" w:type="dxa"/>
            <w:vAlign w:val="center"/>
          </w:tcPr>
          <w:p w:rsidR="00C932E3" w:rsidRDefault="00F041BC">
            <w:pPr>
              <w:jc w:val="center"/>
            </w:pPr>
            <w:r>
              <w:rPr>
                <w:szCs w:val="21"/>
              </w:rPr>
              <w:t>600887</w:t>
            </w:r>
          </w:p>
        </w:tc>
        <w:tc>
          <w:tcPr>
            <w:tcW w:w="1980" w:type="dxa"/>
            <w:vAlign w:val="center"/>
          </w:tcPr>
          <w:p w:rsidR="00C932E3" w:rsidRDefault="00F041BC">
            <w:pPr>
              <w:jc w:val="center"/>
            </w:pPr>
            <w:r>
              <w:rPr>
                <w:szCs w:val="21"/>
              </w:rPr>
              <w:t>伊利股份</w:t>
            </w:r>
          </w:p>
        </w:tc>
        <w:tc>
          <w:tcPr>
            <w:tcW w:w="2880" w:type="dxa"/>
            <w:vAlign w:val="center"/>
          </w:tcPr>
          <w:p w:rsidR="00C932E3" w:rsidRDefault="00F041BC">
            <w:pPr>
              <w:jc w:val="right"/>
            </w:pPr>
            <w:r>
              <w:rPr>
                <w:szCs w:val="21"/>
              </w:rPr>
              <w:t>16,139,600.40</w:t>
            </w:r>
          </w:p>
        </w:tc>
        <w:tc>
          <w:tcPr>
            <w:tcW w:w="1692" w:type="dxa"/>
            <w:vAlign w:val="center"/>
          </w:tcPr>
          <w:p w:rsidR="00C932E3" w:rsidRDefault="00F041BC">
            <w:pPr>
              <w:jc w:val="right"/>
            </w:pPr>
            <w:r>
              <w:rPr>
                <w:szCs w:val="21"/>
              </w:rPr>
              <w:t>1.08</w:t>
            </w:r>
          </w:p>
        </w:tc>
      </w:tr>
      <w:tr w:rsidR="00C932E3">
        <w:tc>
          <w:tcPr>
            <w:tcW w:w="870" w:type="dxa"/>
            <w:vAlign w:val="center"/>
          </w:tcPr>
          <w:p w:rsidR="00C932E3" w:rsidRDefault="00F041BC">
            <w:pPr>
              <w:jc w:val="center"/>
            </w:pPr>
            <w:r>
              <w:rPr>
                <w:szCs w:val="21"/>
              </w:rPr>
              <w:t>14</w:t>
            </w:r>
          </w:p>
        </w:tc>
        <w:tc>
          <w:tcPr>
            <w:tcW w:w="1650" w:type="dxa"/>
            <w:vAlign w:val="center"/>
          </w:tcPr>
          <w:p w:rsidR="00C932E3" w:rsidRDefault="00F041BC">
            <w:pPr>
              <w:jc w:val="center"/>
            </w:pPr>
            <w:r>
              <w:rPr>
                <w:szCs w:val="21"/>
              </w:rPr>
              <w:t>688029</w:t>
            </w:r>
          </w:p>
        </w:tc>
        <w:tc>
          <w:tcPr>
            <w:tcW w:w="1980" w:type="dxa"/>
            <w:vAlign w:val="center"/>
          </w:tcPr>
          <w:p w:rsidR="00C932E3" w:rsidRDefault="00F041BC">
            <w:pPr>
              <w:jc w:val="center"/>
            </w:pPr>
            <w:r>
              <w:rPr>
                <w:szCs w:val="21"/>
              </w:rPr>
              <w:t>南微医学</w:t>
            </w:r>
          </w:p>
        </w:tc>
        <w:tc>
          <w:tcPr>
            <w:tcW w:w="2880" w:type="dxa"/>
            <w:vAlign w:val="center"/>
          </w:tcPr>
          <w:p w:rsidR="00C932E3" w:rsidRDefault="00F041BC">
            <w:pPr>
              <w:jc w:val="right"/>
            </w:pPr>
            <w:r>
              <w:rPr>
                <w:szCs w:val="21"/>
              </w:rPr>
              <w:t>14,158,230.87</w:t>
            </w:r>
          </w:p>
        </w:tc>
        <w:tc>
          <w:tcPr>
            <w:tcW w:w="1692" w:type="dxa"/>
            <w:vAlign w:val="center"/>
          </w:tcPr>
          <w:p w:rsidR="00C932E3" w:rsidRDefault="00F041BC">
            <w:pPr>
              <w:jc w:val="right"/>
            </w:pPr>
            <w:r>
              <w:rPr>
                <w:szCs w:val="21"/>
              </w:rPr>
              <w:t>0.94</w:t>
            </w:r>
          </w:p>
        </w:tc>
      </w:tr>
      <w:tr w:rsidR="00C932E3">
        <w:tc>
          <w:tcPr>
            <w:tcW w:w="870" w:type="dxa"/>
            <w:vAlign w:val="center"/>
          </w:tcPr>
          <w:p w:rsidR="00C932E3" w:rsidRDefault="00F041BC">
            <w:pPr>
              <w:jc w:val="center"/>
            </w:pPr>
            <w:r>
              <w:rPr>
                <w:szCs w:val="21"/>
              </w:rPr>
              <w:t>15</w:t>
            </w:r>
          </w:p>
        </w:tc>
        <w:tc>
          <w:tcPr>
            <w:tcW w:w="1650" w:type="dxa"/>
            <w:vAlign w:val="center"/>
          </w:tcPr>
          <w:p w:rsidR="00C932E3" w:rsidRDefault="00F041BC">
            <w:pPr>
              <w:jc w:val="center"/>
            </w:pPr>
            <w:r>
              <w:rPr>
                <w:szCs w:val="21"/>
              </w:rPr>
              <w:t>300015</w:t>
            </w:r>
          </w:p>
        </w:tc>
        <w:tc>
          <w:tcPr>
            <w:tcW w:w="1980" w:type="dxa"/>
            <w:vAlign w:val="center"/>
          </w:tcPr>
          <w:p w:rsidR="00C932E3" w:rsidRDefault="00F041BC">
            <w:pPr>
              <w:jc w:val="center"/>
            </w:pPr>
            <w:r>
              <w:rPr>
                <w:szCs w:val="21"/>
              </w:rPr>
              <w:t>爱尔眼科</w:t>
            </w:r>
          </w:p>
        </w:tc>
        <w:tc>
          <w:tcPr>
            <w:tcW w:w="2880" w:type="dxa"/>
            <w:vAlign w:val="center"/>
          </w:tcPr>
          <w:p w:rsidR="00C932E3" w:rsidRDefault="00F041BC">
            <w:pPr>
              <w:jc w:val="right"/>
            </w:pPr>
            <w:r>
              <w:rPr>
                <w:szCs w:val="21"/>
              </w:rPr>
              <w:t>9,126,223.07</w:t>
            </w:r>
          </w:p>
        </w:tc>
        <w:tc>
          <w:tcPr>
            <w:tcW w:w="1692" w:type="dxa"/>
            <w:vAlign w:val="center"/>
          </w:tcPr>
          <w:p w:rsidR="00C932E3" w:rsidRDefault="00F041BC">
            <w:pPr>
              <w:jc w:val="right"/>
            </w:pPr>
            <w:r>
              <w:rPr>
                <w:szCs w:val="21"/>
              </w:rPr>
              <w:t>0.61</w:t>
            </w:r>
          </w:p>
        </w:tc>
      </w:tr>
      <w:tr w:rsidR="00C932E3">
        <w:tc>
          <w:tcPr>
            <w:tcW w:w="870" w:type="dxa"/>
            <w:vAlign w:val="center"/>
          </w:tcPr>
          <w:p w:rsidR="00C932E3" w:rsidRDefault="00F041BC">
            <w:pPr>
              <w:jc w:val="center"/>
            </w:pPr>
            <w:r>
              <w:rPr>
                <w:szCs w:val="21"/>
              </w:rPr>
              <w:t>16</w:t>
            </w:r>
          </w:p>
        </w:tc>
        <w:tc>
          <w:tcPr>
            <w:tcW w:w="1650" w:type="dxa"/>
            <w:vAlign w:val="center"/>
          </w:tcPr>
          <w:p w:rsidR="00C932E3" w:rsidRDefault="00F041BC">
            <w:pPr>
              <w:jc w:val="center"/>
            </w:pPr>
            <w:r>
              <w:rPr>
                <w:szCs w:val="21"/>
              </w:rPr>
              <w:t>002415</w:t>
            </w:r>
          </w:p>
        </w:tc>
        <w:tc>
          <w:tcPr>
            <w:tcW w:w="1980" w:type="dxa"/>
            <w:vAlign w:val="center"/>
          </w:tcPr>
          <w:p w:rsidR="00C932E3" w:rsidRDefault="00F041BC">
            <w:pPr>
              <w:jc w:val="center"/>
            </w:pPr>
            <w:r>
              <w:rPr>
                <w:szCs w:val="21"/>
              </w:rPr>
              <w:t>海康威视</w:t>
            </w:r>
          </w:p>
        </w:tc>
        <w:tc>
          <w:tcPr>
            <w:tcW w:w="2880" w:type="dxa"/>
            <w:vAlign w:val="center"/>
          </w:tcPr>
          <w:p w:rsidR="00C932E3" w:rsidRDefault="00F041BC">
            <w:pPr>
              <w:jc w:val="right"/>
            </w:pPr>
            <w:r>
              <w:rPr>
                <w:szCs w:val="21"/>
              </w:rPr>
              <w:t>8,153,911.00</w:t>
            </w:r>
          </w:p>
        </w:tc>
        <w:tc>
          <w:tcPr>
            <w:tcW w:w="1692" w:type="dxa"/>
            <w:vAlign w:val="center"/>
          </w:tcPr>
          <w:p w:rsidR="00C932E3" w:rsidRDefault="00F041BC">
            <w:pPr>
              <w:jc w:val="right"/>
            </w:pPr>
            <w:r>
              <w:rPr>
                <w:szCs w:val="21"/>
              </w:rPr>
              <w:t>0.54</w:t>
            </w:r>
          </w:p>
        </w:tc>
      </w:tr>
      <w:tr w:rsidR="00C932E3">
        <w:tc>
          <w:tcPr>
            <w:tcW w:w="870" w:type="dxa"/>
            <w:vAlign w:val="center"/>
          </w:tcPr>
          <w:p w:rsidR="00C932E3" w:rsidRDefault="00F041BC">
            <w:pPr>
              <w:jc w:val="center"/>
            </w:pPr>
            <w:r>
              <w:rPr>
                <w:szCs w:val="21"/>
              </w:rPr>
              <w:t>17</w:t>
            </w:r>
          </w:p>
        </w:tc>
        <w:tc>
          <w:tcPr>
            <w:tcW w:w="1650" w:type="dxa"/>
            <w:vAlign w:val="center"/>
          </w:tcPr>
          <w:p w:rsidR="00C932E3" w:rsidRDefault="00F041BC">
            <w:pPr>
              <w:jc w:val="center"/>
            </w:pPr>
            <w:r>
              <w:rPr>
                <w:szCs w:val="21"/>
              </w:rPr>
              <w:t>603187</w:t>
            </w:r>
          </w:p>
        </w:tc>
        <w:tc>
          <w:tcPr>
            <w:tcW w:w="1980" w:type="dxa"/>
            <w:vAlign w:val="center"/>
          </w:tcPr>
          <w:p w:rsidR="00C932E3" w:rsidRDefault="00F041BC">
            <w:pPr>
              <w:jc w:val="center"/>
            </w:pPr>
            <w:r>
              <w:rPr>
                <w:szCs w:val="21"/>
              </w:rPr>
              <w:t>海容冷链</w:t>
            </w:r>
          </w:p>
        </w:tc>
        <w:tc>
          <w:tcPr>
            <w:tcW w:w="2880" w:type="dxa"/>
            <w:vAlign w:val="center"/>
          </w:tcPr>
          <w:p w:rsidR="00C932E3" w:rsidRDefault="00F041BC">
            <w:pPr>
              <w:jc w:val="right"/>
            </w:pPr>
            <w:r>
              <w:rPr>
                <w:szCs w:val="21"/>
              </w:rPr>
              <w:t>5,494,712.36</w:t>
            </w:r>
          </w:p>
        </w:tc>
        <w:tc>
          <w:tcPr>
            <w:tcW w:w="1692" w:type="dxa"/>
            <w:vAlign w:val="center"/>
          </w:tcPr>
          <w:p w:rsidR="00C932E3" w:rsidRDefault="00F041BC">
            <w:pPr>
              <w:jc w:val="right"/>
            </w:pPr>
            <w:r>
              <w:rPr>
                <w:szCs w:val="21"/>
              </w:rPr>
              <w:t>0.37</w:t>
            </w:r>
          </w:p>
        </w:tc>
      </w:tr>
      <w:tr w:rsidR="00C932E3">
        <w:tc>
          <w:tcPr>
            <w:tcW w:w="870" w:type="dxa"/>
            <w:vAlign w:val="center"/>
          </w:tcPr>
          <w:p w:rsidR="00C932E3" w:rsidRDefault="00F041BC">
            <w:pPr>
              <w:jc w:val="center"/>
            </w:pPr>
            <w:r>
              <w:rPr>
                <w:szCs w:val="21"/>
              </w:rPr>
              <w:t>18</w:t>
            </w:r>
          </w:p>
        </w:tc>
        <w:tc>
          <w:tcPr>
            <w:tcW w:w="1650" w:type="dxa"/>
            <w:vAlign w:val="center"/>
          </w:tcPr>
          <w:p w:rsidR="00C932E3" w:rsidRDefault="00F041BC">
            <w:pPr>
              <w:jc w:val="center"/>
            </w:pPr>
            <w:r>
              <w:rPr>
                <w:szCs w:val="21"/>
              </w:rPr>
              <w:t>688396</w:t>
            </w:r>
          </w:p>
        </w:tc>
        <w:tc>
          <w:tcPr>
            <w:tcW w:w="1980" w:type="dxa"/>
            <w:vAlign w:val="center"/>
          </w:tcPr>
          <w:p w:rsidR="00C932E3" w:rsidRDefault="00F041BC">
            <w:pPr>
              <w:jc w:val="center"/>
            </w:pPr>
            <w:r>
              <w:rPr>
                <w:szCs w:val="21"/>
              </w:rPr>
              <w:t>华润微</w:t>
            </w:r>
          </w:p>
        </w:tc>
        <w:tc>
          <w:tcPr>
            <w:tcW w:w="2880" w:type="dxa"/>
            <w:vAlign w:val="center"/>
          </w:tcPr>
          <w:p w:rsidR="00C932E3" w:rsidRDefault="00F041BC">
            <w:pPr>
              <w:jc w:val="right"/>
            </w:pPr>
            <w:r>
              <w:rPr>
                <w:szCs w:val="21"/>
              </w:rPr>
              <w:t>3,299,039.52</w:t>
            </w:r>
          </w:p>
        </w:tc>
        <w:tc>
          <w:tcPr>
            <w:tcW w:w="1692" w:type="dxa"/>
            <w:vAlign w:val="center"/>
          </w:tcPr>
          <w:p w:rsidR="00C932E3" w:rsidRDefault="00F041BC">
            <w:pPr>
              <w:jc w:val="right"/>
            </w:pPr>
            <w:r>
              <w:rPr>
                <w:szCs w:val="21"/>
              </w:rPr>
              <w:t>0.22</w:t>
            </w:r>
          </w:p>
        </w:tc>
      </w:tr>
      <w:tr w:rsidR="00C932E3">
        <w:tc>
          <w:tcPr>
            <w:tcW w:w="870" w:type="dxa"/>
            <w:vAlign w:val="center"/>
          </w:tcPr>
          <w:p w:rsidR="00C932E3" w:rsidRDefault="00F041BC">
            <w:pPr>
              <w:jc w:val="center"/>
            </w:pPr>
            <w:r>
              <w:rPr>
                <w:szCs w:val="21"/>
              </w:rPr>
              <w:t>19</w:t>
            </w:r>
          </w:p>
        </w:tc>
        <w:tc>
          <w:tcPr>
            <w:tcW w:w="1650" w:type="dxa"/>
            <w:vAlign w:val="center"/>
          </w:tcPr>
          <w:p w:rsidR="00C932E3" w:rsidRDefault="00F041BC">
            <w:pPr>
              <w:jc w:val="center"/>
            </w:pPr>
            <w:r>
              <w:rPr>
                <w:szCs w:val="21"/>
              </w:rPr>
              <w:t>688266</w:t>
            </w:r>
          </w:p>
        </w:tc>
        <w:tc>
          <w:tcPr>
            <w:tcW w:w="1980" w:type="dxa"/>
            <w:vAlign w:val="center"/>
          </w:tcPr>
          <w:p w:rsidR="00C932E3" w:rsidRDefault="00F041BC">
            <w:pPr>
              <w:jc w:val="center"/>
            </w:pPr>
            <w:r>
              <w:rPr>
                <w:szCs w:val="21"/>
              </w:rPr>
              <w:t>泽璟制药</w:t>
            </w:r>
          </w:p>
        </w:tc>
        <w:tc>
          <w:tcPr>
            <w:tcW w:w="2880" w:type="dxa"/>
            <w:vAlign w:val="center"/>
          </w:tcPr>
          <w:p w:rsidR="00C932E3" w:rsidRDefault="00F041BC">
            <w:pPr>
              <w:jc w:val="right"/>
            </w:pPr>
            <w:r>
              <w:rPr>
                <w:szCs w:val="21"/>
              </w:rPr>
              <w:t>3,046,235.49</w:t>
            </w:r>
          </w:p>
        </w:tc>
        <w:tc>
          <w:tcPr>
            <w:tcW w:w="1692" w:type="dxa"/>
            <w:vAlign w:val="center"/>
          </w:tcPr>
          <w:p w:rsidR="00C932E3" w:rsidRDefault="00F041BC">
            <w:pPr>
              <w:jc w:val="right"/>
            </w:pPr>
            <w:r>
              <w:rPr>
                <w:szCs w:val="21"/>
              </w:rPr>
              <w:t>0.20</w:t>
            </w:r>
          </w:p>
        </w:tc>
      </w:tr>
      <w:tr w:rsidR="00C932E3">
        <w:tc>
          <w:tcPr>
            <w:tcW w:w="870" w:type="dxa"/>
            <w:vAlign w:val="center"/>
          </w:tcPr>
          <w:p w:rsidR="00C932E3" w:rsidRDefault="00F041BC">
            <w:pPr>
              <w:jc w:val="center"/>
            </w:pPr>
            <w:r>
              <w:rPr>
                <w:szCs w:val="21"/>
              </w:rPr>
              <w:t>20</w:t>
            </w:r>
          </w:p>
        </w:tc>
        <w:tc>
          <w:tcPr>
            <w:tcW w:w="1650" w:type="dxa"/>
            <w:vAlign w:val="center"/>
          </w:tcPr>
          <w:p w:rsidR="00C932E3" w:rsidRDefault="00F041BC">
            <w:pPr>
              <w:jc w:val="center"/>
            </w:pPr>
            <w:r>
              <w:rPr>
                <w:szCs w:val="21"/>
              </w:rPr>
              <w:t>601816</w:t>
            </w:r>
          </w:p>
        </w:tc>
        <w:tc>
          <w:tcPr>
            <w:tcW w:w="1980" w:type="dxa"/>
            <w:vAlign w:val="center"/>
          </w:tcPr>
          <w:p w:rsidR="00C932E3" w:rsidRDefault="00F041BC">
            <w:pPr>
              <w:jc w:val="center"/>
            </w:pPr>
            <w:r>
              <w:rPr>
                <w:szCs w:val="21"/>
              </w:rPr>
              <w:t>京沪高铁</w:t>
            </w:r>
          </w:p>
        </w:tc>
        <w:tc>
          <w:tcPr>
            <w:tcW w:w="2880" w:type="dxa"/>
            <w:vAlign w:val="center"/>
          </w:tcPr>
          <w:p w:rsidR="00C932E3" w:rsidRDefault="00F041BC">
            <w:pPr>
              <w:jc w:val="right"/>
            </w:pPr>
            <w:r>
              <w:rPr>
                <w:szCs w:val="21"/>
              </w:rPr>
              <w:t>2,467,070.25</w:t>
            </w:r>
          </w:p>
        </w:tc>
        <w:tc>
          <w:tcPr>
            <w:tcW w:w="1692" w:type="dxa"/>
            <w:vAlign w:val="center"/>
          </w:tcPr>
          <w:p w:rsidR="00C932E3" w:rsidRDefault="00F041BC">
            <w:pPr>
              <w:jc w:val="right"/>
            </w:pPr>
            <w:r>
              <w:rPr>
                <w:szCs w:val="21"/>
              </w:rPr>
              <w:t>0.16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275,231,182.97</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748,116,447.60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5492"/>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753756" w:rsidRPr="00224952" w:rsidRDefault="00B07A5D" w:rsidP="00E56272">
      <w:pPr>
        <w:tabs>
          <w:tab w:val="left" w:pos="426"/>
        </w:tabs>
        <w:spacing w:line="360" w:lineRule="auto"/>
        <w:ind w:firstLineChars="200" w:firstLine="420"/>
        <w:rPr>
          <w:kern w:val="0"/>
          <w:szCs w:val="21"/>
        </w:rPr>
      </w:pPr>
      <w:r w:rsidRPr="00E56272">
        <w:rPr>
          <w:kern w:val="0"/>
          <w:szCs w:val="21"/>
        </w:rPr>
        <w:t>本基金本报告期末未持有债券。</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5493"/>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本基金本报告期末未持有债券。</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5494"/>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本基金本报告期末未持有资产支持证券。</w:t>
      </w:r>
    </w:p>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5495"/>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5496"/>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5497"/>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5498"/>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5499"/>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2019</w:t>
      </w:r>
      <w:r w:rsidRPr="00224952">
        <w:rPr>
          <w:color w:val="000000"/>
          <w:szCs w:val="21"/>
        </w:rPr>
        <w:t>年</w:t>
      </w:r>
      <w:r w:rsidRPr="00224952">
        <w:rPr>
          <w:color w:val="000000"/>
          <w:szCs w:val="21"/>
        </w:rPr>
        <w:t>11</w:t>
      </w:r>
      <w:r w:rsidRPr="00224952">
        <w:rPr>
          <w:color w:val="000000"/>
          <w:szCs w:val="21"/>
        </w:rPr>
        <w:t>月</w:t>
      </w:r>
      <w:r w:rsidRPr="00224952">
        <w:rPr>
          <w:color w:val="000000"/>
          <w:szCs w:val="21"/>
        </w:rPr>
        <w:t>18</w:t>
      </w:r>
      <w:r w:rsidRPr="00224952">
        <w:rPr>
          <w:color w:val="000000"/>
          <w:szCs w:val="21"/>
        </w:rPr>
        <w:t>日，珠海市交通运输局对珠海格力电器股份有限公司违反《超限运输车辆行驶公路管理规定》第四十三条的行为作出</w:t>
      </w:r>
      <w:r w:rsidRPr="00224952">
        <w:rPr>
          <w:color w:val="000000"/>
          <w:szCs w:val="21"/>
        </w:rPr>
        <w:t>“</w:t>
      </w:r>
      <w:r w:rsidRPr="00224952">
        <w:rPr>
          <w:color w:val="000000"/>
          <w:szCs w:val="21"/>
        </w:rPr>
        <w:t>罚款</w:t>
      </w:r>
      <w:r w:rsidRPr="00224952">
        <w:rPr>
          <w:color w:val="000000"/>
          <w:szCs w:val="21"/>
        </w:rPr>
        <w:t>4000</w:t>
      </w:r>
      <w:r w:rsidRPr="00224952">
        <w:rPr>
          <w:color w:val="000000"/>
          <w:szCs w:val="21"/>
        </w:rPr>
        <w:t>元</w:t>
      </w:r>
      <w:r w:rsidRPr="00224952">
        <w:rPr>
          <w:color w:val="000000"/>
          <w:szCs w:val="21"/>
        </w:rPr>
        <w:t>”</w:t>
      </w:r>
      <w:r w:rsidRPr="00224952">
        <w:rPr>
          <w:color w:val="000000"/>
          <w:szCs w:val="21"/>
        </w:rPr>
        <w:t>的行政处罚决定。</w:t>
      </w: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4</w:t>
      </w:r>
      <w:r w:rsidRPr="00224952">
        <w:rPr>
          <w:color w:val="000000"/>
          <w:szCs w:val="21"/>
        </w:rPr>
        <w:t>日，珠海市交通运输局对珠海格力电器股份有限公司违反《超限运输车辆行驶公路管理规定》第四十三条的行为作出</w:t>
      </w:r>
      <w:r w:rsidRPr="00224952">
        <w:rPr>
          <w:color w:val="000000"/>
          <w:szCs w:val="21"/>
        </w:rPr>
        <w:t>“</w:t>
      </w:r>
      <w:r w:rsidRPr="00224952">
        <w:rPr>
          <w:color w:val="000000"/>
          <w:szCs w:val="21"/>
        </w:rPr>
        <w:t>罚款</w:t>
      </w:r>
      <w:r w:rsidRPr="00224952">
        <w:rPr>
          <w:color w:val="000000"/>
          <w:szCs w:val="21"/>
        </w:rPr>
        <w:t>4000</w:t>
      </w:r>
      <w:r w:rsidRPr="00224952">
        <w:rPr>
          <w:color w:val="000000"/>
          <w:szCs w:val="21"/>
        </w:rPr>
        <w:t>元</w:t>
      </w:r>
      <w:r w:rsidRPr="00224952">
        <w:rPr>
          <w:color w:val="000000"/>
          <w:szCs w:val="21"/>
        </w:rPr>
        <w:t>”</w:t>
      </w:r>
      <w:r w:rsidRPr="00224952">
        <w:rPr>
          <w:color w:val="000000"/>
          <w:szCs w:val="21"/>
        </w:rPr>
        <w:t>的行政处罚决定。</w:t>
      </w:r>
    </w:p>
    <w:p w:rsidR="00C932E3" w:rsidRDefault="00F041BC">
      <w:pPr>
        <w:spacing w:line="360" w:lineRule="auto"/>
        <w:ind w:firstLineChars="200" w:firstLine="420"/>
        <w:rPr>
          <w:color w:val="000000"/>
          <w:szCs w:val="21"/>
        </w:rPr>
      </w:pPr>
      <w:r>
        <w:rPr>
          <w:color w:val="000000"/>
          <w:szCs w:val="21"/>
        </w:rPr>
        <w:t>本基金投资格力电器的投资决策程序符合公司投资制度的规定。</w:t>
      </w:r>
    </w:p>
    <w:p w:rsidR="00C932E3" w:rsidRDefault="00F041BC">
      <w:pPr>
        <w:spacing w:line="360" w:lineRule="auto"/>
        <w:ind w:firstLineChars="200" w:firstLine="420"/>
        <w:rPr>
          <w:color w:val="000000"/>
          <w:szCs w:val="21"/>
        </w:rPr>
      </w:pPr>
      <w:r>
        <w:rPr>
          <w:color w:val="000000"/>
          <w:szCs w:val="21"/>
        </w:rPr>
        <w:t>除格力电器外，本基金投资的前十名证券的发行主体本期没有出现被监管部门立案调查，或在报告编制日前一年内受到公开谴责、处罚的情形。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369,613.35</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6,190,497.78</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15,794.03</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1,543,374.82</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8,119,279.98</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本基金本报告期末未持有处于转股期的可转换债券。</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本基金本报告期末前十名股票中不存在流通受限情况。</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5500"/>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5501"/>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C932E3" w:rsidRDefault="00F041BC">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C932E3" w:rsidRDefault="00C932E3">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C932E3" w:rsidRDefault="00C932E3">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C932E3" w:rsidRDefault="00F041BC">
            <w:pPr>
              <w:jc w:val="center"/>
            </w:pPr>
            <w:r>
              <w:rPr>
                <w:bCs/>
                <w:color w:val="000000"/>
                <w:szCs w:val="21"/>
              </w:rPr>
              <w:t>51,935</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51,935</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16,045.91</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29,647.60</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0.00%</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833,314,655.98</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100.00%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5502"/>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2,008,679.41</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0.2410%</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5503"/>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&gt;100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7" w:name="_Toc225500053"/>
      <w:bookmarkStart w:id="118" w:name="_Toc48655504"/>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7"/>
      <w:bookmarkEnd w:id="118"/>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4</w:t>
            </w:r>
            <w:r w:rsidRPr="00224952">
              <w:rPr>
                <w:szCs w:val="21"/>
              </w:rPr>
              <w:t>月</w:t>
            </w:r>
            <w:r w:rsidRPr="00224952">
              <w:rPr>
                <w:szCs w:val="21"/>
              </w:rPr>
              <w:t>23</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2,199,272,144.27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1,274,171,146.93</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117,788,646.43</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558,615,489.78</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833,344,303.58</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4"/>
      <w:bookmarkStart w:id="120" w:name="_Toc48655505"/>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19"/>
      <w:bookmarkEnd w:id="12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1" w:name="_Toc390421276"/>
      <w:bookmarkStart w:id="122" w:name="_Toc48655506"/>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1"/>
      <w:bookmarkEnd w:id="122"/>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7"/>
      <w:bookmarkStart w:id="124" w:name="_Toc4865550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3"/>
      <w:bookmarkEnd w:id="124"/>
    </w:p>
    <w:p w:rsidR="00C932E3" w:rsidRDefault="00F041BC">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w:t>
      </w:r>
      <w:r>
        <w:rPr>
          <w:color w:val="000000"/>
          <w:szCs w:val="21"/>
        </w:rPr>
        <w:t>,</w:t>
      </w:r>
      <w:r>
        <w:rPr>
          <w:color w:val="000000"/>
          <w:szCs w:val="21"/>
        </w:rPr>
        <w:t>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8"/>
      <w:bookmarkStart w:id="126" w:name="_Toc48655508"/>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9"/>
      <w:bookmarkStart w:id="128" w:name="_Toc4865550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7"/>
      <w:bookmarkEnd w:id="128"/>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4865551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29"/>
    </w:p>
    <w:p w:rsidR="00753756" w:rsidRPr="00224952" w:rsidRDefault="00753756" w:rsidP="006E1449">
      <w:pPr>
        <w:spacing w:line="360" w:lineRule="auto"/>
        <w:ind w:firstLineChars="200" w:firstLine="420"/>
        <w:rPr>
          <w:color w:val="000000"/>
          <w:szCs w:val="21"/>
        </w:rPr>
      </w:pPr>
      <w:bookmarkStart w:id="130"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390421281"/>
      <w:bookmarkStart w:id="132" w:name="_Toc48655511"/>
      <w:bookmarkEnd w:id="1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1"/>
      <w:bookmarkEnd w:id="132"/>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2"/>
      <w:bookmarkStart w:id="134" w:name="_Toc48655512"/>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3"/>
      <w:bookmarkEnd w:id="134"/>
    </w:p>
    <w:p w:rsidR="00753756" w:rsidRPr="00E76B2D" w:rsidRDefault="00965E9C" w:rsidP="006E1449">
      <w:pPr>
        <w:spacing w:line="360" w:lineRule="auto"/>
        <w:ind w:firstLineChars="196" w:firstLine="413"/>
        <w:rPr>
          <w:rFonts w:ascii="宋体"/>
          <w:b/>
          <w:bCs/>
          <w:color w:val="000000"/>
          <w:szCs w:val="21"/>
        </w:rPr>
      </w:pPr>
      <w:bookmarkStart w:id="135"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5"/>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6"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C932E3">
        <w:tc>
          <w:tcPr>
            <w:tcW w:w="1560" w:type="dxa"/>
            <w:vAlign w:val="center"/>
          </w:tcPr>
          <w:p w:rsidR="00C932E3" w:rsidRDefault="00F041BC">
            <w:pPr>
              <w:jc w:val="left"/>
            </w:pPr>
            <w:r>
              <w:rPr>
                <w:color w:val="000000"/>
                <w:szCs w:val="21"/>
              </w:rPr>
              <w:t>招商证券</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108,860,832.19</w:t>
            </w:r>
          </w:p>
        </w:tc>
        <w:tc>
          <w:tcPr>
            <w:tcW w:w="1080" w:type="dxa"/>
            <w:vAlign w:val="center"/>
          </w:tcPr>
          <w:p w:rsidR="00C932E3" w:rsidRDefault="00F041BC">
            <w:pPr>
              <w:jc w:val="right"/>
            </w:pPr>
            <w:r>
              <w:rPr>
                <w:color w:val="000000"/>
                <w:szCs w:val="21"/>
              </w:rPr>
              <w:t>10.85%</w:t>
            </w:r>
          </w:p>
        </w:tc>
        <w:tc>
          <w:tcPr>
            <w:tcW w:w="1620" w:type="dxa"/>
            <w:vAlign w:val="center"/>
          </w:tcPr>
          <w:p w:rsidR="00C932E3" w:rsidRDefault="00F041BC">
            <w:pPr>
              <w:jc w:val="right"/>
            </w:pPr>
            <w:r>
              <w:rPr>
                <w:color w:val="000000"/>
                <w:szCs w:val="21"/>
              </w:rPr>
              <w:t>87,088.59</w:t>
            </w:r>
          </w:p>
        </w:tc>
        <w:tc>
          <w:tcPr>
            <w:tcW w:w="1080" w:type="dxa"/>
            <w:vAlign w:val="center"/>
          </w:tcPr>
          <w:p w:rsidR="00C932E3" w:rsidRDefault="00F041BC">
            <w:pPr>
              <w:jc w:val="right"/>
            </w:pPr>
            <w:r>
              <w:rPr>
                <w:color w:val="000000"/>
                <w:szCs w:val="21"/>
              </w:rPr>
              <w:t>10.85%</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国泰君安</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19,212,278.62</w:t>
            </w:r>
          </w:p>
        </w:tc>
        <w:tc>
          <w:tcPr>
            <w:tcW w:w="1080" w:type="dxa"/>
            <w:vAlign w:val="center"/>
          </w:tcPr>
          <w:p w:rsidR="00C932E3" w:rsidRDefault="00F041BC">
            <w:pPr>
              <w:jc w:val="right"/>
            </w:pPr>
            <w:r>
              <w:rPr>
                <w:color w:val="000000"/>
                <w:szCs w:val="21"/>
              </w:rPr>
              <w:t>1.91%</w:t>
            </w:r>
          </w:p>
        </w:tc>
        <w:tc>
          <w:tcPr>
            <w:tcW w:w="1620" w:type="dxa"/>
            <w:vAlign w:val="center"/>
          </w:tcPr>
          <w:p w:rsidR="00C932E3" w:rsidRDefault="00F041BC">
            <w:pPr>
              <w:jc w:val="right"/>
            </w:pPr>
            <w:r>
              <w:rPr>
                <w:color w:val="000000"/>
                <w:szCs w:val="21"/>
              </w:rPr>
              <w:t>15,369.81</w:t>
            </w:r>
          </w:p>
        </w:tc>
        <w:tc>
          <w:tcPr>
            <w:tcW w:w="1080" w:type="dxa"/>
            <w:vAlign w:val="center"/>
          </w:tcPr>
          <w:p w:rsidR="00C932E3" w:rsidRDefault="00F041BC">
            <w:pPr>
              <w:jc w:val="right"/>
            </w:pPr>
            <w:r>
              <w:rPr>
                <w:color w:val="000000"/>
                <w:szCs w:val="21"/>
              </w:rPr>
              <w:t>1.91%</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中信证券</w:t>
            </w:r>
          </w:p>
        </w:tc>
        <w:tc>
          <w:tcPr>
            <w:tcW w:w="780" w:type="dxa"/>
            <w:vAlign w:val="center"/>
          </w:tcPr>
          <w:p w:rsidR="00C932E3" w:rsidRDefault="00F041BC">
            <w:pPr>
              <w:jc w:val="center"/>
            </w:pPr>
            <w:r>
              <w:rPr>
                <w:color w:val="000000"/>
                <w:szCs w:val="21"/>
              </w:rPr>
              <w:t>2</w:t>
            </w:r>
          </w:p>
        </w:tc>
        <w:tc>
          <w:tcPr>
            <w:tcW w:w="1800" w:type="dxa"/>
            <w:vAlign w:val="center"/>
          </w:tcPr>
          <w:p w:rsidR="00C932E3" w:rsidRDefault="00F041BC">
            <w:pPr>
              <w:jc w:val="right"/>
            </w:pPr>
            <w:r>
              <w:rPr>
                <w:color w:val="000000"/>
                <w:szCs w:val="21"/>
              </w:rPr>
              <w:t>647,919,186.26</w:t>
            </w:r>
          </w:p>
        </w:tc>
        <w:tc>
          <w:tcPr>
            <w:tcW w:w="1080" w:type="dxa"/>
            <w:vAlign w:val="center"/>
          </w:tcPr>
          <w:p w:rsidR="00C932E3" w:rsidRDefault="00F041BC">
            <w:pPr>
              <w:jc w:val="right"/>
            </w:pPr>
            <w:r>
              <w:rPr>
                <w:color w:val="000000"/>
                <w:szCs w:val="21"/>
              </w:rPr>
              <w:t>64.56%</w:t>
            </w:r>
          </w:p>
        </w:tc>
        <w:tc>
          <w:tcPr>
            <w:tcW w:w="1620" w:type="dxa"/>
            <w:vAlign w:val="center"/>
          </w:tcPr>
          <w:p w:rsidR="00C932E3" w:rsidRDefault="00F041BC">
            <w:pPr>
              <w:jc w:val="right"/>
            </w:pPr>
            <w:r>
              <w:rPr>
                <w:color w:val="000000"/>
                <w:szCs w:val="21"/>
              </w:rPr>
              <w:t>518,335.05</w:t>
            </w:r>
          </w:p>
        </w:tc>
        <w:tc>
          <w:tcPr>
            <w:tcW w:w="1080" w:type="dxa"/>
            <w:vAlign w:val="center"/>
          </w:tcPr>
          <w:p w:rsidR="00C932E3" w:rsidRDefault="00F041BC">
            <w:pPr>
              <w:jc w:val="right"/>
            </w:pPr>
            <w:r>
              <w:rPr>
                <w:color w:val="000000"/>
                <w:szCs w:val="21"/>
              </w:rPr>
              <w:t>64.56%</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国信证券</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6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中信建投</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6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东方证券</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6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申万宏源</w:t>
            </w:r>
          </w:p>
        </w:tc>
        <w:tc>
          <w:tcPr>
            <w:tcW w:w="780" w:type="dxa"/>
            <w:vAlign w:val="center"/>
          </w:tcPr>
          <w:p w:rsidR="00C932E3" w:rsidRDefault="00F041BC">
            <w:pPr>
              <w:jc w:val="center"/>
            </w:pPr>
            <w:r>
              <w:rPr>
                <w:color w:val="000000"/>
                <w:szCs w:val="21"/>
              </w:rPr>
              <w:t>2</w:t>
            </w:r>
          </w:p>
        </w:tc>
        <w:tc>
          <w:tcPr>
            <w:tcW w:w="180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6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银河证券</w:t>
            </w:r>
          </w:p>
        </w:tc>
        <w:tc>
          <w:tcPr>
            <w:tcW w:w="780" w:type="dxa"/>
            <w:vAlign w:val="center"/>
          </w:tcPr>
          <w:p w:rsidR="00C932E3" w:rsidRDefault="00F041BC">
            <w:pPr>
              <w:jc w:val="center"/>
            </w:pPr>
            <w:r>
              <w:rPr>
                <w:color w:val="000000"/>
                <w:szCs w:val="21"/>
              </w:rPr>
              <w:t>2</w:t>
            </w:r>
          </w:p>
        </w:tc>
        <w:tc>
          <w:tcPr>
            <w:tcW w:w="1800" w:type="dxa"/>
            <w:vAlign w:val="center"/>
          </w:tcPr>
          <w:p w:rsidR="00C932E3" w:rsidRDefault="00F041BC">
            <w:pPr>
              <w:jc w:val="right"/>
            </w:pPr>
            <w:r>
              <w:rPr>
                <w:color w:val="000000"/>
                <w:szCs w:val="21"/>
              </w:rPr>
              <w:t>227,575,602.20</w:t>
            </w:r>
          </w:p>
        </w:tc>
        <w:tc>
          <w:tcPr>
            <w:tcW w:w="1080" w:type="dxa"/>
            <w:vAlign w:val="center"/>
          </w:tcPr>
          <w:p w:rsidR="00C932E3" w:rsidRDefault="00F041BC">
            <w:pPr>
              <w:jc w:val="right"/>
            </w:pPr>
            <w:r>
              <w:rPr>
                <w:color w:val="000000"/>
                <w:szCs w:val="21"/>
              </w:rPr>
              <w:t>22.68%</w:t>
            </w:r>
          </w:p>
        </w:tc>
        <w:tc>
          <w:tcPr>
            <w:tcW w:w="1620" w:type="dxa"/>
            <w:vAlign w:val="center"/>
          </w:tcPr>
          <w:p w:rsidR="00C932E3" w:rsidRDefault="00F041BC">
            <w:pPr>
              <w:jc w:val="right"/>
            </w:pPr>
            <w:r>
              <w:rPr>
                <w:color w:val="000000"/>
                <w:szCs w:val="21"/>
              </w:rPr>
              <w:t>182,060.48</w:t>
            </w:r>
          </w:p>
        </w:tc>
        <w:tc>
          <w:tcPr>
            <w:tcW w:w="1080" w:type="dxa"/>
            <w:vAlign w:val="center"/>
          </w:tcPr>
          <w:p w:rsidR="00C932E3" w:rsidRDefault="00F041BC">
            <w:pPr>
              <w:jc w:val="right"/>
            </w:pPr>
            <w:r>
              <w:rPr>
                <w:color w:val="000000"/>
                <w:szCs w:val="21"/>
              </w:rPr>
              <w:t>22.68%</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大同证券</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6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080" w:type="dxa"/>
            <w:vAlign w:val="center"/>
          </w:tcPr>
          <w:p w:rsidR="00C932E3" w:rsidRDefault="00F041BC">
            <w:pPr>
              <w:jc w:val="left"/>
            </w:pPr>
            <w:r>
              <w:rPr>
                <w:color w:val="000000"/>
                <w:szCs w:val="21"/>
              </w:rPr>
              <w:t>-</w:t>
            </w:r>
          </w:p>
        </w:tc>
      </w:tr>
      <w:tr w:rsidR="00C932E3">
        <w:tc>
          <w:tcPr>
            <w:tcW w:w="1560" w:type="dxa"/>
            <w:vAlign w:val="center"/>
          </w:tcPr>
          <w:p w:rsidR="00C932E3" w:rsidRDefault="00F041BC">
            <w:pPr>
              <w:jc w:val="left"/>
            </w:pPr>
            <w:r>
              <w:rPr>
                <w:color w:val="000000"/>
                <w:szCs w:val="21"/>
              </w:rPr>
              <w:t>海通证券</w:t>
            </w:r>
          </w:p>
        </w:tc>
        <w:tc>
          <w:tcPr>
            <w:tcW w:w="780" w:type="dxa"/>
            <w:vAlign w:val="center"/>
          </w:tcPr>
          <w:p w:rsidR="00C932E3" w:rsidRDefault="00F041BC">
            <w:pPr>
              <w:jc w:val="center"/>
            </w:pPr>
            <w:r>
              <w:rPr>
                <w:color w:val="000000"/>
                <w:szCs w:val="21"/>
              </w:rPr>
              <w:t>1</w:t>
            </w:r>
          </w:p>
        </w:tc>
        <w:tc>
          <w:tcPr>
            <w:tcW w:w="180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6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080" w:type="dxa"/>
            <w:vAlign w:val="center"/>
          </w:tcPr>
          <w:p w:rsidR="00C932E3" w:rsidRDefault="00F041BC">
            <w:pPr>
              <w:jc w:val="left"/>
            </w:pPr>
            <w:r>
              <w:rPr>
                <w:color w:val="000000"/>
                <w:szCs w:val="21"/>
              </w:rPr>
              <w:t>-</w:t>
            </w:r>
          </w:p>
        </w:tc>
      </w:tr>
    </w:tbl>
    <w:p w:rsidR="00C932E3" w:rsidRDefault="00F041BC">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C932E3" w:rsidRDefault="00F041BC">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C932E3" w:rsidRDefault="00F041BC">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C932E3" w:rsidRDefault="00F041BC">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C932E3" w:rsidRDefault="00F041BC">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C932E3" w:rsidRDefault="00F041BC">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C932E3" w:rsidRDefault="00F041BC">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6"/>
    </w:p>
    <w:p w:rsidR="00753756" w:rsidRPr="00224952" w:rsidRDefault="00753756" w:rsidP="008971E9">
      <w:pPr>
        <w:wordWrap w:val="0"/>
        <w:ind w:firstLine="420"/>
        <w:jc w:val="right"/>
        <w:rPr>
          <w:color w:val="000000"/>
          <w:szCs w:val="21"/>
        </w:rPr>
      </w:pPr>
      <w:bookmarkStart w:id="137"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C932E3">
        <w:tc>
          <w:tcPr>
            <w:tcW w:w="1560" w:type="dxa"/>
            <w:vAlign w:val="center"/>
          </w:tcPr>
          <w:p w:rsidR="00C932E3" w:rsidRDefault="00F041BC">
            <w:pPr>
              <w:jc w:val="left"/>
            </w:pPr>
            <w:r>
              <w:rPr>
                <w:color w:val="000000"/>
                <w:szCs w:val="21"/>
              </w:rPr>
              <w:t>招商证券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国泰君安</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中信证券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国信证券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中信建投</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东方证券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申万宏源</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银河证券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大同证券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r w:rsidR="00C932E3">
        <w:tc>
          <w:tcPr>
            <w:tcW w:w="1560" w:type="dxa"/>
            <w:vAlign w:val="center"/>
          </w:tcPr>
          <w:p w:rsidR="00C932E3" w:rsidRDefault="00F041BC">
            <w:pPr>
              <w:jc w:val="left"/>
            </w:pPr>
            <w:r>
              <w:rPr>
                <w:color w:val="000000"/>
                <w:szCs w:val="21"/>
              </w:rPr>
              <w:t>海通证券</w:t>
            </w:r>
          </w:p>
        </w:tc>
        <w:tc>
          <w:tcPr>
            <w:tcW w:w="1320" w:type="dxa"/>
            <w:vAlign w:val="center"/>
          </w:tcPr>
          <w:p w:rsidR="00C932E3" w:rsidRDefault="00F041BC">
            <w:pPr>
              <w:jc w:val="right"/>
            </w:pPr>
            <w:r>
              <w:rPr>
                <w:color w:val="000000"/>
                <w:szCs w:val="21"/>
              </w:rPr>
              <w:t>-</w:t>
            </w:r>
          </w:p>
        </w:tc>
        <w:tc>
          <w:tcPr>
            <w:tcW w:w="1080" w:type="dxa"/>
            <w:vAlign w:val="center"/>
          </w:tcPr>
          <w:p w:rsidR="00C932E3" w:rsidRDefault="00F041BC">
            <w:pPr>
              <w:jc w:val="right"/>
            </w:pPr>
            <w:r>
              <w:rPr>
                <w:color w:val="000000"/>
                <w:szCs w:val="21"/>
              </w:rPr>
              <w:t>-</w:t>
            </w:r>
          </w:p>
        </w:tc>
        <w:tc>
          <w:tcPr>
            <w:tcW w:w="1143" w:type="dxa"/>
            <w:vAlign w:val="center"/>
          </w:tcPr>
          <w:p w:rsidR="00C932E3" w:rsidRDefault="00F041BC">
            <w:pPr>
              <w:jc w:val="right"/>
            </w:pPr>
            <w:r>
              <w:rPr>
                <w:color w:val="000000"/>
                <w:szCs w:val="21"/>
              </w:rPr>
              <w:t>-</w:t>
            </w:r>
          </w:p>
        </w:tc>
        <w:tc>
          <w:tcPr>
            <w:tcW w:w="1197" w:type="dxa"/>
            <w:vAlign w:val="center"/>
          </w:tcPr>
          <w:p w:rsidR="00C932E3" w:rsidRDefault="00F041BC">
            <w:pPr>
              <w:jc w:val="right"/>
            </w:pPr>
            <w:r>
              <w:rPr>
                <w:color w:val="000000"/>
                <w:szCs w:val="21"/>
              </w:rPr>
              <w:t>-</w:t>
            </w:r>
          </w:p>
        </w:tc>
        <w:tc>
          <w:tcPr>
            <w:tcW w:w="1497" w:type="dxa"/>
            <w:vAlign w:val="center"/>
          </w:tcPr>
          <w:p w:rsidR="00C932E3" w:rsidRDefault="00F041BC">
            <w:pPr>
              <w:jc w:val="right"/>
            </w:pPr>
            <w:r>
              <w:rPr>
                <w:color w:val="000000"/>
                <w:szCs w:val="21"/>
              </w:rPr>
              <w:t>-</w:t>
            </w:r>
          </w:p>
        </w:tc>
        <w:tc>
          <w:tcPr>
            <w:tcW w:w="1203" w:type="dxa"/>
            <w:vAlign w:val="center"/>
          </w:tcPr>
          <w:p w:rsidR="00C932E3" w:rsidRDefault="00F041BC">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8" w:name="_Toc390421283"/>
      <w:bookmarkStart w:id="139" w:name="_Toc48655513"/>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8"/>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C932E3">
        <w:tc>
          <w:tcPr>
            <w:tcW w:w="720" w:type="dxa"/>
            <w:vAlign w:val="center"/>
          </w:tcPr>
          <w:p w:rsidR="00C932E3" w:rsidRDefault="00F041BC">
            <w:pPr>
              <w:jc w:val="center"/>
            </w:pPr>
            <w:r>
              <w:rPr>
                <w:color w:val="000000"/>
                <w:szCs w:val="21"/>
              </w:rPr>
              <w:t>1</w:t>
            </w:r>
          </w:p>
        </w:tc>
        <w:tc>
          <w:tcPr>
            <w:tcW w:w="4320" w:type="dxa"/>
            <w:vAlign w:val="center"/>
          </w:tcPr>
          <w:p w:rsidR="00C932E3" w:rsidRDefault="00F041BC">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C932E3" w:rsidRDefault="00F041BC">
            <w:r>
              <w:rPr>
                <w:color w:val="000000"/>
                <w:szCs w:val="21"/>
              </w:rPr>
              <w:t>证券时报</w:t>
            </w:r>
          </w:p>
        </w:tc>
        <w:tc>
          <w:tcPr>
            <w:tcW w:w="1440" w:type="dxa"/>
            <w:vAlign w:val="center"/>
          </w:tcPr>
          <w:p w:rsidR="00C932E3" w:rsidRDefault="00F041BC">
            <w:pPr>
              <w:jc w:val="center"/>
            </w:pPr>
            <w:r>
              <w:rPr>
                <w:color w:val="000000"/>
                <w:szCs w:val="21"/>
              </w:rPr>
              <w:t>2020-01-18</w:t>
            </w:r>
          </w:p>
        </w:tc>
      </w:tr>
      <w:tr w:rsidR="00C932E3">
        <w:tc>
          <w:tcPr>
            <w:tcW w:w="720" w:type="dxa"/>
            <w:vAlign w:val="center"/>
          </w:tcPr>
          <w:p w:rsidR="00C932E3" w:rsidRDefault="00F041BC">
            <w:pPr>
              <w:jc w:val="center"/>
            </w:pPr>
            <w:r>
              <w:rPr>
                <w:color w:val="000000"/>
                <w:szCs w:val="21"/>
              </w:rPr>
              <w:t>2</w:t>
            </w:r>
          </w:p>
        </w:tc>
        <w:tc>
          <w:tcPr>
            <w:tcW w:w="4320" w:type="dxa"/>
            <w:vAlign w:val="center"/>
          </w:tcPr>
          <w:p w:rsidR="00C932E3" w:rsidRDefault="00F041BC">
            <w:r>
              <w:rPr>
                <w:color w:val="000000"/>
                <w:szCs w:val="21"/>
              </w:rPr>
              <w:t>易方达基金管理有限公司旗下部分开放式基金参加泉州银行费率优惠活动的公告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2020-01-23</w:t>
            </w:r>
          </w:p>
        </w:tc>
      </w:tr>
      <w:tr w:rsidR="00C932E3">
        <w:tc>
          <w:tcPr>
            <w:tcW w:w="720" w:type="dxa"/>
            <w:vAlign w:val="center"/>
          </w:tcPr>
          <w:p w:rsidR="00C932E3" w:rsidRDefault="00F041BC">
            <w:pPr>
              <w:jc w:val="center"/>
            </w:pPr>
            <w:r>
              <w:rPr>
                <w:color w:val="000000"/>
                <w:szCs w:val="21"/>
              </w:rPr>
              <w:t>3</w:t>
            </w:r>
          </w:p>
        </w:tc>
        <w:tc>
          <w:tcPr>
            <w:tcW w:w="4320" w:type="dxa"/>
            <w:vAlign w:val="center"/>
          </w:tcPr>
          <w:p w:rsidR="00C932E3" w:rsidRDefault="00F041BC">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2020-01-30</w:t>
            </w:r>
          </w:p>
        </w:tc>
      </w:tr>
      <w:tr w:rsidR="00C932E3">
        <w:tc>
          <w:tcPr>
            <w:tcW w:w="720" w:type="dxa"/>
            <w:vAlign w:val="center"/>
          </w:tcPr>
          <w:p w:rsidR="00C932E3" w:rsidRDefault="00F041BC">
            <w:pPr>
              <w:jc w:val="center"/>
            </w:pPr>
            <w:r>
              <w:rPr>
                <w:color w:val="000000"/>
                <w:szCs w:val="21"/>
              </w:rPr>
              <w:t>4</w:t>
            </w:r>
          </w:p>
        </w:tc>
        <w:tc>
          <w:tcPr>
            <w:tcW w:w="4320" w:type="dxa"/>
            <w:vAlign w:val="center"/>
          </w:tcPr>
          <w:p w:rsidR="00C932E3" w:rsidRDefault="00F041BC">
            <w:r>
              <w:rPr>
                <w:color w:val="000000"/>
                <w:szCs w:val="21"/>
              </w:rPr>
              <w:t>易方达基金管理有限公司及全资子公司投资旗下基金相关事宜的公告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2020-02-04</w:t>
            </w:r>
          </w:p>
        </w:tc>
      </w:tr>
      <w:tr w:rsidR="00C932E3">
        <w:tc>
          <w:tcPr>
            <w:tcW w:w="720" w:type="dxa"/>
            <w:vAlign w:val="center"/>
          </w:tcPr>
          <w:p w:rsidR="00C932E3" w:rsidRDefault="00F041BC">
            <w:pPr>
              <w:jc w:val="center"/>
            </w:pPr>
            <w:r>
              <w:rPr>
                <w:color w:val="000000"/>
                <w:szCs w:val="21"/>
              </w:rPr>
              <w:t>5</w:t>
            </w:r>
          </w:p>
        </w:tc>
        <w:tc>
          <w:tcPr>
            <w:tcW w:w="4320" w:type="dxa"/>
            <w:vAlign w:val="center"/>
          </w:tcPr>
          <w:p w:rsidR="00C932E3" w:rsidRDefault="00F041BC">
            <w:r>
              <w:rPr>
                <w:color w:val="000000"/>
                <w:szCs w:val="21"/>
              </w:rPr>
              <w:t>易方达基金管理有限公司旗下部分开放式基金参加中金公司费率优惠活动的公告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2020-03-05</w:t>
            </w:r>
          </w:p>
        </w:tc>
      </w:tr>
      <w:tr w:rsidR="00C932E3">
        <w:tc>
          <w:tcPr>
            <w:tcW w:w="720" w:type="dxa"/>
            <w:vAlign w:val="center"/>
          </w:tcPr>
          <w:p w:rsidR="00C932E3" w:rsidRDefault="00F041BC">
            <w:pPr>
              <w:jc w:val="center"/>
            </w:pPr>
            <w:r>
              <w:rPr>
                <w:color w:val="000000"/>
                <w:szCs w:val="21"/>
              </w:rPr>
              <w:t>6</w:t>
            </w:r>
          </w:p>
        </w:tc>
        <w:tc>
          <w:tcPr>
            <w:tcW w:w="4320" w:type="dxa"/>
            <w:vAlign w:val="center"/>
          </w:tcPr>
          <w:p w:rsidR="00C932E3" w:rsidRDefault="00F041BC">
            <w:r>
              <w:rPr>
                <w:color w:val="000000"/>
                <w:szCs w:val="21"/>
              </w:rPr>
              <w:t>易方达基金管理有限公司旗下部分开放式基金参加百度百盈费率优惠活动的公告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2020-03-10</w:t>
            </w:r>
          </w:p>
        </w:tc>
      </w:tr>
      <w:tr w:rsidR="00C932E3">
        <w:tc>
          <w:tcPr>
            <w:tcW w:w="720" w:type="dxa"/>
            <w:vAlign w:val="center"/>
          </w:tcPr>
          <w:p w:rsidR="00C932E3" w:rsidRDefault="00F041BC">
            <w:pPr>
              <w:jc w:val="center"/>
            </w:pPr>
            <w:r>
              <w:rPr>
                <w:color w:val="000000"/>
                <w:szCs w:val="21"/>
              </w:rPr>
              <w:t>7</w:t>
            </w:r>
          </w:p>
        </w:tc>
        <w:tc>
          <w:tcPr>
            <w:tcW w:w="4320" w:type="dxa"/>
            <w:vAlign w:val="center"/>
          </w:tcPr>
          <w:p w:rsidR="00C932E3" w:rsidRDefault="00F041BC">
            <w:r>
              <w:rPr>
                <w:color w:val="000000"/>
                <w:szCs w:val="21"/>
              </w:rPr>
              <w:t>易方达基金管理有限公司旗下部分开放式基金增加华瑞保险销售为销售机构、参加华瑞保险销售费率优惠活动的公告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2020-03-23</w:t>
            </w:r>
          </w:p>
        </w:tc>
      </w:tr>
      <w:tr w:rsidR="00C932E3">
        <w:tc>
          <w:tcPr>
            <w:tcW w:w="720" w:type="dxa"/>
            <w:vAlign w:val="center"/>
          </w:tcPr>
          <w:p w:rsidR="00C932E3" w:rsidRDefault="00F041BC">
            <w:pPr>
              <w:jc w:val="center"/>
            </w:pPr>
            <w:r>
              <w:rPr>
                <w:color w:val="000000"/>
                <w:szCs w:val="21"/>
              </w:rPr>
              <w:t>8</w:t>
            </w:r>
          </w:p>
        </w:tc>
        <w:tc>
          <w:tcPr>
            <w:tcW w:w="4320" w:type="dxa"/>
            <w:vAlign w:val="center"/>
          </w:tcPr>
          <w:p w:rsidR="00C932E3" w:rsidRDefault="00F041BC">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C932E3" w:rsidRDefault="00F041BC">
            <w:r>
              <w:rPr>
                <w:color w:val="000000"/>
                <w:szCs w:val="21"/>
              </w:rPr>
              <w:t>证券时报</w:t>
            </w:r>
          </w:p>
        </w:tc>
        <w:tc>
          <w:tcPr>
            <w:tcW w:w="1440" w:type="dxa"/>
            <w:vAlign w:val="center"/>
          </w:tcPr>
          <w:p w:rsidR="00C932E3" w:rsidRDefault="00F041BC">
            <w:pPr>
              <w:jc w:val="center"/>
            </w:pPr>
            <w:r>
              <w:rPr>
                <w:color w:val="000000"/>
                <w:szCs w:val="21"/>
              </w:rPr>
              <w:t>2020-03-31</w:t>
            </w:r>
          </w:p>
        </w:tc>
      </w:tr>
      <w:tr w:rsidR="00C932E3">
        <w:tc>
          <w:tcPr>
            <w:tcW w:w="720" w:type="dxa"/>
            <w:vAlign w:val="center"/>
          </w:tcPr>
          <w:p w:rsidR="00C932E3" w:rsidRDefault="00F041BC">
            <w:pPr>
              <w:jc w:val="center"/>
            </w:pPr>
            <w:r>
              <w:rPr>
                <w:color w:val="000000"/>
                <w:szCs w:val="21"/>
              </w:rPr>
              <w:t>9</w:t>
            </w:r>
          </w:p>
        </w:tc>
        <w:tc>
          <w:tcPr>
            <w:tcW w:w="4320" w:type="dxa"/>
            <w:vAlign w:val="center"/>
          </w:tcPr>
          <w:p w:rsidR="00C932E3" w:rsidRDefault="00F041BC">
            <w:r>
              <w:rPr>
                <w:color w:val="000000"/>
                <w:szCs w:val="21"/>
              </w:rPr>
              <w:t>易方达基金管理有限公司关于提醒投资者及时提供或更新身份信息资料的公告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2020-04-10</w:t>
            </w:r>
          </w:p>
        </w:tc>
      </w:tr>
      <w:tr w:rsidR="00C932E3">
        <w:tc>
          <w:tcPr>
            <w:tcW w:w="720" w:type="dxa"/>
            <w:vAlign w:val="center"/>
          </w:tcPr>
          <w:p w:rsidR="00C932E3" w:rsidRDefault="00F041BC">
            <w:pPr>
              <w:jc w:val="center"/>
            </w:pPr>
            <w:r>
              <w:rPr>
                <w:color w:val="000000"/>
                <w:szCs w:val="21"/>
              </w:rPr>
              <w:t>10</w:t>
            </w:r>
          </w:p>
        </w:tc>
        <w:tc>
          <w:tcPr>
            <w:tcW w:w="4320" w:type="dxa"/>
            <w:vAlign w:val="center"/>
          </w:tcPr>
          <w:p w:rsidR="00C932E3" w:rsidRDefault="00F041BC">
            <w:r>
              <w:rPr>
                <w:color w:val="000000"/>
                <w:szCs w:val="21"/>
              </w:rPr>
              <w:t>易方达基金管理有限公司旗下部分开放式基金参加诺亚正行费率优惠活动的公告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2020-04-17</w:t>
            </w:r>
          </w:p>
        </w:tc>
      </w:tr>
      <w:tr w:rsidR="00C932E3">
        <w:tc>
          <w:tcPr>
            <w:tcW w:w="720" w:type="dxa"/>
            <w:vAlign w:val="center"/>
          </w:tcPr>
          <w:p w:rsidR="00C932E3" w:rsidRDefault="00F041BC">
            <w:pPr>
              <w:jc w:val="center"/>
            </w:pPr>
            <w:r>
              <w:rPr>
                <w:color w:val="000000"/>
                <w:szCs w:val="21"/>
              </w:rPr>
              <w:t>11</w:t>
            </w:r>
          </w:p>
        </w:tc>
        <w:tc>
          <w:tcPr>
            <w:tcW w:w="4320" w:type="dxa"/>
            <w:vAlign w:val="center"/>
          </w:tcPr>
          <w:p w:rsidR="00C932E3" w:rsidRDefault="00F041BC">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C932E3" w:rsidRDefault="00F041BC">
            <w:r>
              <w:rPr>
                <w:color w:val="000000"/>
                <w:szCs w:val="21"/>
              </w:rPr>
              <w:t>证券时报</w:t>
            </w:r>
          </w:p>
        </w:tc>
        <w:tc>
          <w:tcPr>
            <w:tcW w:w="1440" w:type="dxa"/>
            <w:vAlign w:val="center"/>
          </w:tcPr>
          <w:p w:rsidR="00C932E3" w:rsidRDefault="00F041BC">
            <w:pPr>
              <w:jc w:val="center"/>
            </w:pPr>
            <w:r>
              <w:rPr>
                <w:color w:val="000000"/>
                <w:szCs w:val="21"/>
              </w:rPr>
              <w:t>2020-04-21</w:t>
            </w:r>
          </w:p>
        </w:tc>
      </w:tr>
      <w:tr w:rsidR="00C932E3">
        <w:tc>
          <w:tcPr>
            <w:tcW w:w="720" w:type="dxa"/>
            <w:vAlign w:val="center"/>
          </w:tcPr>
          <w:p w:rsidR="00C932E3" w:rsidRDefault="00F041BC">
            <w:pPr>
              <w:jc w:val="center"/>
            </w:pPr>
            <w:r>
              <w:rPr>
                <w:color w:val="000000"/>
                <w:szCs w:val="21"/>
              </w:rPr>
              <w:t>12</w:t>
            </w:r>
          </w:p>
        </w:tc>
        <w:tc>
          <w:tcPr>
            <w:tcW w:w="4320" w:type="dxa"/>
            <w:vAlign w:val="center"/>
          </w:tcPr>
          <w:p w:rsidR="00C932E3" w:rsidRDefault="00F041BC">
            <w:r>
              <w:rPr>
                <w:color w:val="000000"/>
                <w:szCs w:val="21"/>
              </w:rPr>
              <w:t>易方达基金管理有限公司旗下部分开放式基金参加国联证券费率优惠活动的公告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2020-04-22</w:t>
            </w:r>
          </w:p>
        </w:tc>
      </w:tr>
      <w:tr w:rsidR="00C932E3">
        <w:tc>
          <w:tcPr>
            <w:tcW w:w="720" w:type="dxa"/>
            <w:vAlign w:val="center"/>
          </w:tcPr>
          <w:p w:rsidR="00C932E3" w:rsidRDefault="00F041BC">
            <w:pPr>
              <w:jc w:val="center"/>
            </w:pPr>
            <w:r>
              <w:rPr>
                <w:color w:val="000000"/>
                <w:szCs w:val="21"/>
              </w:rPr>
              <w:t>13</w:t>
            </w:r>
          </w:p>
        </w:tc>
        <w:tc>
          <w:tcPr>
            <w:tcW w:w="4320" w:type="dxa"/>
            <w:vAlign w:val="center"/>
          </w:tcPr>
          <w:p w:rsidR="00C932E3" w:rsidRDefault="00F041BC">
            <w:r>
              <w:rPr>
                <w:color w:val="000000"/>
                <w:szCs w:val="21"/>
              </w:rPr>
              <w:t>易方达基金管理有限公司旗下部分开放式基金增加九州证券为销售机构、参加九州证券费率优惠活动的公告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2020-04-23</w:t>
            </w:r>
          </w:p>
        </w:tc>
      </w:tr>
      <w:tr w:rsidR="00C932E3">
        <w:tc>
          <w:tcPr>
            <w:tcW w:w="720" w:type="dxa"/>
            <w:vAlign w:val="center"/>
          </w:tcPr>
          <w:p w:rsidR="00C932E3" w:rsidRDefault="00F041BC">
            <w:pPr>
              <w:jc w:val="center"/>
            </w:pPr>
            <w:r>
              <w:rPr>
                <w:color w:val="000000"/>
                <w:szCs w:val="21"/>
              </w:rPr>
              <w:t>14</w:t>
            </w:r>
          </w:p>
        </w:tc>
        <w:tc>
          <w:tcPr>
            <w:tcW w:w="4320" w:type="dxa"/>
            <w:vAlign w:val="center"/>
          </w:tcPr>
          <w:p w:rsidR="00C932E3" w:rsidRDefault="00F041BC">
            <w:r>
              <w:rPr>
                <w:color w:val="000000"/>
                <w:szCs w:val="21"/>
              </w:rPr>
              <w:t>易方达基金管理有限公司旗下部分开放式基金参加中金公司申购费率优惠活动的公告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2020-05-14</w:t>
            </w:r>
          </w:p>
        </w:tc>
      </w:tr>
      <w:tr w:rsidR="00C932E3">
        <w:tc>
          <w:tcPr>
            <w:tcW w:w="720" w:type="dxa"/>
            <w:vAlign w:val="center"/>
          </w:tcPr>
          <w:p w:rsidR="00C932E3" w:rsidRDefault="00F041BC">
            <w:pPr>
              <w:jc w:val="center"/>
            </w:pPr>
            <w:r>
              <w:rPr>
                <w:color w:val="000000"/>
                <w:szCs w:val="21"/>
              </w:rPr>
              <w:t>15</w:t>
            </w:r>
          </w:p>
        </w:tc>
        <w:tc>
          <w:tcPr>
            <w:tcW w:w="4320" w:type="dxa"/>
            <w:vAlign w:val="center"/>
          </w:tcPr>
          <w:p w:rsidR="00C932E3" w:rsidRDefault="00F041BC">
            <w:r>
              <w:rPr>
                <w:color w:val="000000"/>
                <w:szCs w:val="21"/>
              </w:rPr>
              <w:t>易方达基金管理有限公司旗下部分开放式基金参加万联证券费率优惠活动的公告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2020-05-18</w:t>
            </w:r>
          </w:p>
        </w:tc>
      </w:tr>
      <w:tr w:rsidR="00C932E3">
        <w:tc>
          <w:tcPr>
            <w:tcW w:w="720" w:type="dxa"/>
            <w:vAlign w:val="center"/>
          </w:tcPr>
          <w:p w:rsidR="00C932E3" w:rsidRDefault="00F041BC">
            <w:pPr>
              <w:jc w:val="center"/>
            </w:pPr>
            <w:r>
              <w:rPr>
                <w:color w:val="000000"/>
                <w:szCs w:val="21"/>
              </w:rPr>
              <w:t>16</w:t>
            </w:r>
          </w:p>
        </w:tc>
        <w:tc>
          <w:tcPr>
            <w:tcW w:w="4320" w:type="dxa"/>
            <w:vAlign w:val="center"/>
          </w:tcPr>
          <w:p w:rsidR="00C932E3" w:rsidRDefault="00F041BC">
            <w:r>
              <w:rPr>
                <w:color w:val="000000"/>
                <w:szCs w:val="21"/>
              </w:rPr>
              <w:t>易方达基金管理有限公司旗下部分开放式基金参加华夏财富费率优惠活动的公告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2020-05-23</w:t>
            </w:r>
          </w:p>
        </w:tc>
      </w:tr>
      <w:tr w:rsidR="00C932E3">
        <w:tc>
          <w:tcPr>
            <w:tcW w:w="720" w:type="dxa"/>
            <w:vAlign w:val="center"/>
          </w:tcPr>
          <w:p w:rsidR="00C932E3" w:rsidRDefault="00F041BC">
            <w:pPr>
              <w:jc w:val="center"/>
            </w:pPr>
            <w:r>
              <w:rPr>
                <w:color w:val="000000"/>
                <w:szCs w:val="21"/>
              </w:rPr>
              <w:t>17</w:t>
            </w:r>
          </w:p>
        </w:tc>
        <w:tc>
          <w:tcPr>
            <w:tcW w:w="4320" w:type="dxa"/>
            <w:vAlign w:val="center"/>
          </w:tcPr>
          <w:p w:rsidR="00C932E3" w:rsidRDefault="00F041BC">
            <w:r>
              <w:rPr>
                <w:color w:val="000000"/>
                <w:szCs w:val="21"/>
              </w:rPr>
              <w:t>易方达基金管理有限公司关于暂停上海朝阳永续基金销售有限公司办理旗下基金相关销售业务的公告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2020-06-03</w:t>
            </w:r>
          </w:p>
        </w:tc>
      </w:tr>
      <w:tr w:rsidR="00C932E3">
        <w:tc>
          <w:tcPr>
            <w:tcW w:w="720" w:type="dxa"/>
            <w:vAlign w:val="center"/>
          </w:tcPr>
          <w:p w:rsidR="00C932E3" w:rsidRDefault="00F041BC">
            <w:pPr>
              <w:jc w:val="center"/>
            </w:pPr>
            <w:r>
              <w:rPr>
                <w:color w:val="000000"/>
                <w:szCs w:val="21"/>
              </w:rPr>
              <w:t>18</w:t>
            </w:r>
          </w:p>
        </w:tc>
        <w:tc>
          <w:tcPr>
            <w:tcW w:w="4320" w:type="dxa"/>
            <w:vAlign w:val="center"/>
          </w:tcPr>
          <w:p w:rsidR="00C932E3" w:rsidRDefault="00F041BC">
            <w:r>
              <w:rPr>
                <w:color w:val="000000"/>
                <w:szCs w:val="21"/>
              </w:rPr>
              <w:t>易方达基金管理有限公司关于调整旗下部分开放式基金在招商银行最低定期定额投资金额限制的公告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2020-06-04</w:t>
            </w:r>
          </w:p>
        </w:tc>
      </w:tr>
      <w:tr w:rsidR="00C932E3">
        <w:tc>
          <w:tcPr>
            <w:tcW w:w="720" w:type="dxa"/>
            <w:vAlign w:val="center"/>
          </w:tcPr>
          <w:p w:rsidR="00C932E3" w:rsidRDefault="00F041BC">
            <w:pPr>
              <w:jc w:val="center"/>
            </w:pPr>
            <w:r>
              <w:rPr>
                <w:color w:val="000000"/>
                <w:szCs w:val="21"/>
              </w:rPr>
              <w:t>19</w:t>
            </w:r>
          </w:p>
        </w:tc>
        <w:tc>
          <w:tcPr>
            <w:tcW w:w="4320" w:type="dxa"/>
            <w:vAlign w:val="center"/>
          </w:tcPr>
          <w:p w:rsidR="00C932E3" w:rsidRDefault="00F041BC">
            <w:r>
              <w:rPr>
                <w:color w:val="000000"/>
                <w:szCs w:val="21"/>
              </w:rPr>
              <w:t>易方达基金管理有限公司高级管理人员变更公告</w:t>
            </w:r>
          </w:p>
        </w:tc>
        <w:tc>
          <w:tcPr>
            <w:tcW w:w="2520" w:type="dxa"/>
            <w:vAlign w:val="center"/>
          </w:tcPr>
          <w:p w:rsidR="00C932E3" w:rsidRDefault="00F041BC">
            <w:r>
              <w:rPr>
                <w:color w:val="000000"/>
                <w:szCs w:val="21"/>
              </w:rPr>
              <w:t>证券时报、基金管理人网站及中国证监会基金电子披露网站</w:t>
            </w:r>
          </w:p>
        </w:tc>
        <w:tc>
          <w:tcPr>
            <w:tcW w:w="1440" w:type="dxa"/>
            <w:vAlign w:val="center"/>
          </w:tcPr>
          <w:p w:rsidR="00C932E3" w:rsidRDefault="00F041BC">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0" w:name="_Toc225500055"/>
      <w:bookmarkStart w:id="141" w:name="_Toc48655514"/>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0"/>
      <w:bookmarkEnd w:id="14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2" w:name="_Toc390421286"/>
      <w:bookmarkStart w:id="143" w:name="_Toc48655515"/>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2"/>
      <w:bookmarkEnd w:id="143"/>
    </w:p>
    <w:p w:rsidR="00C932E3" w:rsidRDefault="00F041BC">
      <w:pPr>
        <w:ind w:firstLineChars="200" w:firstLine="420"/>
        <w:rPr>
          <w:color w:val="000000"/>
          <w:szCs w:val="21"/>
        </w:rPr>
      </w:pPr>
      <w:r>
        <w:rPr>
          <w:color w:val="000000"/>
          <w:szCs w:val="21"/>
        </w:rPr>
        <w:t>1.</w:t>
      </w:r>
      <w:r>
        <w:rPr>
          <w:color w:val="000000"/>
          <w:szCs w:val="21"/>
        </w:rPr>
        <w:t>中国证监会准予易方达改革红利混合型证券投资基金注册的文件；</w:t>
      </w:r>
    </w:p>
    <w:p w:rsidR="00C932E3" w:rsidRDefault="00F041BC">
      <w:pPr>
        <w:ind w:firstLineChars="200" w:firstLine="420"/>
        <w:rPr>
          <w:color w:val="000000"/>
          <w:szCs w:val="21"/>
        </w:rPr>
      </w:pPr>
      <w:r>
        <w:rPr>
          <w:color w:val="000000"/>
          <w:szCs w:val="21"/>
        </w:rPr>
        <w:t>2.</w:t>
      </w:r>
      <w:r>
        <w:rPr>
          <w:color w:val="000000"/>
          <w:szCs w:val="21"/>
        </w:rPr>
        <w:t>《易方达改革红利混合型证券投资基金基金合同》；</w:t>
      </w:r>
    </w:p>
    <w:p w:rsidR="00C932E3" w:rsidRDefault="00F041BC">
      <w:pPr>
        <w:ind w:firstLineChars="200" w:firstLine="420"/>
        <w:rPr>
          <w:color w:val="000000"/>
          <w:szCs w:val="21"/>
        </w:rPr>
      </w:pPr>
      <w:r>
        <w:rPr>
          <w:color w:val="000000"/>
          <w:szCs w:val="21"/>
        </w:rPr>
        <w:t>3.</w:t>
      </w:r>
      <w:r>
        <w:rPr>
          <w:color w:val="000000"/>
          <w:szCs w:val="21"/>
        </w:rPr>
        <w:t>《易方达改革红利混合型证券投资基金托管协议》；</w:t>
      </w:r>
    </w:p>
    <w:p w:rsidR="00C932E3" w:rsidRDefault="00F041BC">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4" w:name="_Toc390421287"/>
      <w:bookmarkStart w:id="145" w:name="_Toc48655516"/>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4"/>
      <w:bookmarkEnd w:id="145"/>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8"/>
      <w:bookmarkStart w:id="147" w:name="_Toc48655517"/>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6"/>
      <w:bookmarkEnd w:id="147"/>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D72956">
      <w:rPr>
        <w:noProof/>
        <w:kern w:val="0"/>
        <w:szCs w:val="21"/>
      </w:rPr>
      <w:t>43</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D72956">
      <w:rPr>
        <w:noProof/>
        <w:kern w:val="0"/>
        <w:szCs w:val="21"/>
      </w:rPr>
      <w:t>43</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易方达改革红利混合型证券投资基金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2E3"/>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2956"/>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1BC"/>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1EDFCD6-802A-441C-879B-81EFA6C82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A47B6-654A-44CF-9000-4C415A81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5622</Words>
  <Characters>32049</Characters>
  <Application>Microsoft Office Word</Application>
  <DocSecurity>0</DocSecurity>
  <Lines>267</Lines>
  <Paragraphs>75</Paragraphs>
  <ScaleCrop>false</ScaleCrop>
  <Company/>
  <LinksUpToDate>false</LinksUpToDate>
  <CharactersWithSpaces>37596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2020-08-17T12:17:00Z</dcterms:created>
  <dcterms:modified xsi:type="dcterms:W3CDTF">2020-08-18T06:43:00Z</dcterms:modified>
</cp:coreProperties>
</file>