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1B5B45" w:rsidRDefault="008F2942" w:rsidP="00CC1421">
      <w:pPr>
        <w:adjustRightInd w:val="0"/>
        <w:snapToGrid w:val="0"/>
        <w:spacing w:line="360" w:lineRule="auto"/>
        <w:jc w:val="left"/>
        <w:rPr>
          <w:rFonts w:asciiTheme="minorEastAsia" w:eastAsiaTheme="minorEastAsia" w:hAnsiTheme="minorEastAsia" w:cs="Arial"/>
          <w:szCs w:val="21"/>
        </w:rPr>
      </w:pPr>
    </w:p>
    <w:p w:rsidR="00BA4B87" w:rsidRPr="001B5B45" w:rsidRDefault="00BA4B87" w:rsidP="00CC1421">
      <w:pPr>
        <w:tabs>
          <w:tab w:val="left" w:pos="1890"/>
        </w:tabs>
        <w:snapToGrid w:val="0"/>
        <w:spacing w:line="360" w:lineRule="auto"/>
        <w:rPr>
          <w:rFonts w:asciiTheme="minorEastAsia" w:eastAsiaTheme="minorEastAsia" w:hAnsiTheme="minorEastAsia"/>
          <w:i/>
          <w:iCs/>
          <w:sz w:val="28"/>
          <w:szCs w:val="28"/>
        </w:rPr>
      </w:pPr>
    </w:p>
    <w:p w:rsidR="00BA4B87" w:rsidRPr="001B5B45" w:rsidRDefault="00BA4B87" w:rsidP="00CC1421">
      <w:pPr>
        <w:snapToGrid w:val="0"/>
        <w:spacing w:line="360" w:lineRule="auto"/>
        <w:ind w:firstLine="881"/>
        <w:jc w:val="center"/>
        <w:rPr>
          <w:rFonts w:asciiTheme="minorEastAsia" w:eastAsiaTheme="minorEastAsia" w:hAnsiTheme="minorEastAsia"/>
          <w:b/>
          <w:sz w:val="44"/>
        </w:rPr>
      </w:pPr>
    </w:p>
    <w:p w:rsidR="00BA4B87" w:rsidRPr="001B5B45" w:rsidRDefault="00BA4B87" w:rsidP="00CC1421">
      <w:pPr>
        <w:snapToGrid w:val="0"/>
        <w:spacing w:line="360" w:lineRule="auto"/>
        <w:ind w:firstLine="881"/>
        <w:jc w:val="center"/>
        <w:rPr>
          <w:rFonts w:asciiTheme="minorEastAsia" w:eastAsiaTheme="minorEastAsia" w:hAnsiTheme="minorEastAsia"/>
          <w:b/>
          <w:sz w:val="44"/>
        </w:rPr>
      </w:pPr>
    </w:p>
    <w:p w:rsidR="00BA4B87" w:rsidRPr="001B5B45" w:rsidRDefault="00BA4B87" w:rsidP="00CC1421">
      <w:pPr>
        <w:snapToGrid w:val="0"/>
        <w:spacing w:line="360" w:lineRule="auto"/>
        <w:ind w:firstLine="881"/>
        <w:jc w:val="center"/>
        <w:rPr>
          <w:rFonts w:asciiTheme="minorEastAsia" w:eastAsiaTheme="minorEastAsia" w:hAnsiTheme="minorEastAsia"/>
          <w:b/>
          <w:sz w:val="44"/>
        </w:rPr>
      </w:pPr>
    </w:p>
    <w:p w:rsidR="00BA4B87" w:rsidRPr="001B5B45" w:rsidRDefault="00DC7AB5" w:rsidP="00E9191D">
      <w:pPr>
        <w:snapToGrid w:val="0"/>
        <w:spacing w:line="360" w:lineRule="auto"/>
        <w:jc w:val="center"/>
        <w:rPr>
          <w:rFonts w:asciiTheme="minorEastAsia" w:eastAsiaTheme="minorEastAsia" w:hAnsiTheme="minorEastAsia"/>
          <w:sz w:val="30"/>
          <w:szCs w:val="30"/>
        </w:rPr>
      </w:pPr>
      <w:r w:rsidRPr="001B5B45">
        <w:rPr>
          <w:rFonts w:asciiTheme="minorEastAsia" w:eastAsiaTheme="minorEastAsia" w:hAnsiTheme="minorEastAsia" w:hint="eastAsia"/>
          <w:b/>
          <w:sz w:val="44"/>
          <w:szCs w:val="44"/>
        </w:rPr>
        <w:t>易方达供给改革灵活配置混合型证券投资基金更新的招募说明书</w:t>
      </w:r>
    </w:p>
    <w:p w:rsidR="00992FE4" w:rsidRPr="001B5B45" w:rsidRDefault="00992FE4" w:rsidP="00CC1421">
      <w:pPr>
        <w:snapToGrid w:val="0"/>
        <w:spacing w:line="360" w:lineRule="auto"/>
        <w:ind w:leftChars="800" w:left="1680" w:firstLine="181"/>
        <w:rPr>
          <w:rFonts w:asciiTheme="minorEastAsia" w:eastAsiaTheme="minorEastAsia" w:hAnsiTheme="minorEastAsia"/>
          <w:sz w:val="30"/>
          <w:szCs w:val="30"/>
        </w:rPr>
      </w:pPr>
    </w:p>
    <w:p w:rsidR="00BA4B87" w:rsidRPr="001B5B45" w:rsidRDefault="00BA4B87" w:rsidP="00CC1421">
      <w:pPr>
        <w:snapToGrid w:val="0"/>
        <w:spacing w:line="360" w:lineRule="auto"/>
        <w:ind w:leftChars="800" w:left="1680"/>
        <w:rPr>
          <w:rFonts w:asciiTheme="minorEastAsia" w:eastAsiaTheme="minorEastAsia" w:hAnsiTheme="minorEastAsia"/>
          <w:sz w:val="30"/>
          <w:szCs w:val="30"/>
        </w:rPr>
      </w:pPr>
    </w:p>
    <w:p w:rsidR="00BA4B87" w:rsidRPr="001B5B45" w:rsidRDefault="00BA4B87" w:rsidP="00CC1421">
      <w:pPr>
        <w:snapToGrid w:val="0"/>
        <w:spacing w:line="360" w:lineRule="auto"/>
        <w:ind w:leftChars="800" w:left="1680"/>
        <w:rPr>
          <w:rFonts w:asciiTheme="minorEastAsia" w:eastAsiaTheme="minorEastAsia" w:hAnsiTheme="minorEastAsia"/>
          <w:sz w:val="30"/>
          <w:szCs w:val="30"/>
        </w:rPr>
      </w:pPr>
    </w:p>
    <w:p w:rsidR="00BA4B87" w:rsidRPr="001B5B45" w:rsidRDefault="00BA4B87" w:rsidP="00CC1421">
      <w:pPr>
        <w:snapToGrid w:val="0"/>
        <w:spacing w:line="360" w:lineRule="auto"/>
        <w:ind w:leftChars="800" w:left="1680"/>
        <w:rPr>
          <w:rFonts w:asciiTheme="minorEastAsia" w:eastAsiaTheme="minorEastAsia" w:hAnsiTheme="minorEastAsia"/>
          <w:sz w:val="30"/>
          <w:szCs w:val="30"/>
        </w:rPr>
      </w:pPr>
    </w:p>
    <w:p w:rsidR="00BA4B87" w:rsidRPr="001B5B45" w:rsidRDefault="00BA4B87" w:rsidP="00CC1421">
      <w:pPr>
        <w:snapToGrid w:val="0"/>
        <w:spacing w:line="360" w:lineRule="auto"/>
        <w:ind w:leftChars="800" w:left="1680"/>
        <w:rPr>
          <w:rFonts w:asciiTheme="minorEastAsia" w:eastAsiaTheme="minorEastAsia" w:hAnsiTheme="minorEastAsia"/>
          <w:sz w:val="30"/>
          <w:szCs w:val="30"/>
        </w:rPr>
      </w:pPr>
    </w:p>
    <w:p w:rsidR="00CC1421" w:rsidRPr="001B5B45" w:rsidRDefault="00CC1421" w:rsidP="00CC1421">
      <w:pPr>
        <w:snapToGrid w:val="0"/>
        <w:spacing w:line="360" w:lineRule="auto"/>
        <w:ind w:leftChars="800" w:left="1680"/>
        <w:rPr>
          <w:rFonts w:asciiTheme="minorEastAsia" w:eastAsiaTheme="minorEastAsia" w:hAnsiTheme="minorEastAsia"/>
          <w:sz w:val="30"/>
          <w:szCs w:val="30"/>
        </w:rPr>
      </w:pPr>
    </w:p>
    <w:p w:rsidR="00CC1421" w:rsidRPr="001B5B45" w:rsidRDefault="00CC1421" w:rsidP="00CC1421">
      <w:pPr>
        <w:snapToGrid w:val="0"/>
        <w:spacing w:line="360" w:lineRule="auto"/>
        <w:ind w:leftChars="800" w:left="1680"/>
        <w:rPr>
          <w:rFonts w:asciiTheme="minorEastAsia" w:eastAsiaTheme="minorEastAsia" w:hAnsiTheme="minorEastAsia"/>
          <w:sz w:val="30"/>
          <w:szCs w:val="30"/>
        </w:rPr>
      </w:pPr>
    </w:p>
    <w:p w:rsidR="00E33B92" w:rsidRPr="001B5B45" w:rsidRDefault="00E33B92" w:rsidP="00CC1421">
      <w:pPr>
        <w:snapToGrid w:val="0"/>
        <w:spacing w:line="360" w:lineRule="auto"/>
        <w:ind w:leftChars="800" w:left="1680"/>
        <w:rPr>
          <w:rFonts w:asciiTheme="minorEastAsia" w:eastAsiaTheme="minorEastAsia" w:hAnsiTheme="minorEastAsia"/>
          <w:sz w:val="30"/>
          <w:szCs w:val="30"/>
        </w:rPr>
      </w:pPr>
    </w:p>
    <w:p w:rsidR="00BA4B87" w:rsidRPr="001B5B45" w:rsidRDefault="00BA4B87" w:rsidP="00CC1421">
      <w:pPr>
        <w:snapToGrid w:val="0"/>
        <w:spacing w:line="360" w:lineRule="auto"/>
        <w:ind w:leftChars="686" w:left="1679" w:hangingChars="74" w:hanging="238"/>
        <w:rPr>
          <w:rFonts w:asciiTheme="minorEastAsia" w:eastAsiaTheme="minorEastAsia" w:hAnsiTheme="minorEastAsia"/>
          <w:b/>
          <w:sz w:val="32"/>
          <w:szCs w:val="32"/>
        </w:rPr>
      </w:pPr>
      <w:r w:rsidRPr="001B5B45">
        <w:rPr>
          <w:rFonts w:asciiTheme="minorEastAsia" w:eastAsiaTheme="minorEastAsia" w:hAnsiTheme="minorEastAsia" w:hint="eastAsia"/>
          <w:b/>
          <w:sz w:val="32"/>
          <w:szCs w:val="32"/>
        </w:rPr>
        <w:t>基金管理人：</w:t>
      </w:r>
      <w:r w:rsidR="00E9191D" w:rsidRPr="001B5B45">
        <w:rPr>
          <w:rFonts w:asciiTheme="minorEastAsia" w:eastAsiaTheme="minorEastAsia" w:hAnsiTheme="minorEastAsia" w:hint="eastAsia"/>
          <w:b/>
          <w:bCs/>
          <w:sz w:val="28"/>
        </w:rPr>
        <w:t>易方达基金管理有限公司</w:t>
      </w:r>
    </w:p>
    <w:p w:rsidR="00BA4B87" w:rsidRPr="001B5B45" w:rsidRDefault="00BA4B87" w:rsidP="00CC1421">
      <w:pPr>
        <w:snapToGrid w:val="0"/>
        <w:spacing w:line="360" w:lineRule="auto"/>
        <w:ind w:leftChars="685" w:left="1438"/>
        <w:rPr>
          <w:rFonts w:asciiTheme="minorEastAsia" w:eastAsiaTheme="minorEastAsia" w:hAnsiTheme="minorEastAsia"/>
          <w:b/>
          <w:sz w:val="32"/>
          <w:szCs w:val="32"/>
        </w:rPr>
      </w:pPr>
      <w:r w:rsidRPr="001B5B45">
        <w:rPr>
          <w:rFonts w:asciiTheme="minorEastAsia" w:eastAsiaTheme="minorEastAsia" w:hAnsiTheme="minorEastAsia" w:hint="eastAsia"/>
          <w:b/>
          <w:sz w:val="32"/>
          <w:szCs w:val="32"/>
        </w:rPr>
        <w:t>基金托管人：</w:t>
      </w:r>
      <w:r w:rsidR="00E9191D" w:rsidRPr="001B5B45">
        <w:rPr>
          <w:rFonts w:asciiTheme="minorEastAsia" w:eastAsiaTheme="minorEastAsia" w:hAnsiTheme="minorEastAsia" w:hint="eastAsia"/>
          <w:b/>
          <w:bCs/>
          <w:sz w:val="28"/>
        </w:rPr>
        <w:t>中国银行股份有限公司</w:t>
      </w:r>
    </w:p>
    <w:p w:rsidR="00BA4B87" w:rsidRPr="001B5B45" w:rsidRDefault="00BA4B87" w:rsidP="00CC1421">
      <w:pPr>
        <w:snapToGrid w:val="0"/>
        <w:spacing w:line="360" w:lineRule="auto"/>
        <w:ind w:firstLine="561"/>
        <w:rPr>
          <w:rFonts w:asciiTheme="minorEastAsia" w:eastAsiaTheme="minorEastAsia" w:hAnsiTheme="minorEastAsia"/>
          <w:b/>
          <w:sz w:val="24"/>
        </w:rPr>
      </w:pPr>
    </w:p>
    <w:p w:rsidR="00213CB9" w:rsidRPr="001B5B45" w:rsidRDefault="00213CB9" w:rsidP="00CC1421">
      <w:pPr>
        <w:snapToGrid w:val="0"/>
        <w:spacing w:line="360" w:lineRule="auto"/>
        <w:jc w:val="center"/>
        <w:rPr>
          <w:rFonts w:asciiTheme="minorEastAsia" w:eastAsiaTheme="minorEastAsia" w:hAnsiTheme="minorEastAsia"/>
          <w:b/>
          <w:bCs/>
          <w:sz w:val="28"/>
        </w:rPr>
      </w:pPr>
      <w:r w:rsidRPr="001B5B45">
        <w:rPr>
          <w:rFonts w:asciiTheme="minorEastAsia" w:eastAsiaTheme="minorEastAsia" w:hAnsiTheme="minorEastAsia" w:hint="eastAsia"/>
          <w:b/>
          <w:bCs/>
          <w:sz w:val="28"/>
        </w:rPr>
        <w:t>二○二○年</w:t>
      </w:r>
      <w:r w:rsidR="0055151A" w:rsidRPr="001B5B45">
        <w:rPr>
          <w:rFonts w:asciiTheme="minorEastAsia" w:eastAsiaTheme="minorEastAsia" w:hAnsiTheme="minorEastAsia" w:hint="eastAsia"/>
          <w:b/>
          <w:bCs/>
          <w:sz w:val="28"/>
        </w:rPr>
        <w:t>八</w:t>
      </w:r>
      <w:r w:rsidRPr="001B5B45">
        <w:rPr>
          <w:rFonts w:asciiTheme="minorEastAsia" w:eastAsiaTheme="minorEastAsia" w:hAnsiTheme="minorEastAsia" w:hint="eastAsia"/>
          <w:b/>
          <w:bCs/>
          <w:sz w:val="28"/>
        </w:rPr>
        <w:t>月</w:t>
      </w:r>
    </w:p>
    <w:p w:rsidR="008551C2" w:rsidRPr="001B5B45" w:rsidRDefault="008551C2" w:rsidP="00CC1421">
      <w:pPr>
        <w:snapToGrid w:val="0"/>
        <w:spacing w:line="360" w:lineRule="auto"/>
        <w:jc w:val="center"/>
        <w:rPr>
          <w:rFonts w:asciiTheme="minorEastAsia" w:eastAsiaTheme="minorEastAsia" w:hAnsiTheme="minorEastAsia"/>
          <w:b/>
          <w:bCs/>
          <w:sz w:val="28"/>
        </w:rPr>
      </w:pPr>
    </w:p>
    <w:p w:rsidR="008551C2" w:rsidRPr="001B5B45" w:rsidRDefault="008551C2" w:rsidP="00CC1421">
      <w:pPr>
        <w:snapToGrid w:val="0"/>
        <w:spacing w:line="360" w:lineRule="auto"/>
        <w:jc w:val="center"/>
        <w:rPr>
          <w:rFonts w:asciiTheme="minorEastAsia" w:eastAsiaTheme="minorEastAsia" w:hAnsiTheme="minorEastAsia"/>
          <w:b/>
          <w:bCs/>
          <w:sz w:val="28"/>
        </w:rPr>
      </w:pPr>
    </w:p>
    <w:p w:rsidR="008551C2" w:rsidRPr="001B5B45" w:rsidRDefault="008551C2" w:rsidP="00CC1421">
      <w:pPr>
        <w:snapToGrid w:val="0"/>
        <w:spacing w:line="360" w:lineRule="auto"/>
        <w:jc w:val="center"/>
        <w:rPr>
          <w:rFonts w:asciiTheme="minorEastAsia" w:eastAsiaTheme="minorEastAsia" w:hAnsiTheme="minorEastAsia"/>
          <w:b/>
          <w:bCs/>
          <w:sz w:val="28"/>
        </w:rPr>
      </w:pPr>
    </w:p>
    <w:p w:rsidR="00BA4B87" w:rsidRPr="001B5B45" w:rsidRDefault="00BA4B87" w:rsidP="00CC1421">
      <w:pPr>
        <w:snapToGrid w:val="0"/>
        <w:spacing w:line="360" w:lineRule="auto"/>
        <w:jc w:val="center"/>
        <w:rPr>
          <w:rFonts w:asciiTheme="minorEastAsia" w:eastAsiaTheme="minorEastAsia" w:hAnsiTheme="minorEastAsia"/>
          <w:b/>
          <w:sz w:val="28"/>
          <w:szCs w:val="28"/>
        </w:rPr>
      </w:pPr>
      <w:r w:rsidRPr="001B5B45">
        <w:rPr>
          <w:rFonts w:asciiTheme="minorEastAsia" w:eastAsiaTheme="minorEastAsia" w:hAnsiTheme="minorEastAsia"/>
          <w:b/>
          <w:sz w:val="28"/>
          <w:szCs w:val="28"/>
        </w:rPr>
        <w:lastRenderedPageBreak/>
        <w:t>重要提示</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1、本基金根据2016年6月6日中国证券监督管理委员会《关于准予易方达供给改革灵活配置混合型证券投资基金注册的批复》（证监许可[2016]1217号）进行募集。本基金基金合同于2017年1月25日正式生效。</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2、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基金管理人依照恪尽职守、诚实信用、谨慎勤勉的原则管理和运用基金财产，但不保证基金一定盈利，也不保证最低收益。</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3、本基金投资于证券市场，基金净值会因为证券市场波动等因素产生波动。投资有风险，投资者在投资本基金前，请认真阅读本基金的招募说明书</w:t>
      </w:r>
      <w:r w:rsidR="00760187" w:rsidRPr="001B5B45">
        <w:rPr>
          <w:rFonts w:asciiTheme="minorEastAsia" w:eastAsiaTheme="minorEastAsia" w:hAnsiTheme="minorEastAsia" w:hint="eastAsia"/>
        </w:rPr>
        <w:t>、</w:t>
      </w:r>
      <w:r w:rsidRPr="001B5B45">
        <w:rPr>
          <w:rFonts w:asciiTheme="minorEastAsia" w:eastAsiaTheme="minorEastAsia" w:hAnsiTheme="minorEastAsia"/>
        </w:rPr>
        <w:t>基金合同</w:t>
      </w:r>
      <w:r w:rsidR="00760187" w:rsidRPr="001B5B45">
        <w:rPr>
          <w:rFonts w:asciiTheme="minorEastAsia" w:eastAsiaTheme="minorEastAsia" w:hAnsiTheme="minorEastAsia" w:hint="eastAsia"/>
        </w:rPr>
        <w:t>和基金产品资料概要</w:t>
      </w:r>
      <w:r w:rsidRPr="001B5B45">
        <w:rPr>
          <w:rFonts w:asciiTheme="minorEastAsia" w:eastAsiaTheme="minorEastAsia" w:hAnsiTheme="minorEastAsia"/>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投资本基金可能遇到的风险包括：证券市场整体环境引发的系统性风险；个别证券特有的非系统性风险；流动性风险；</w:t>
      </w:r>
      <w:r w:rsidR="000026E0" w:rsidRPr="001B5B45">
        <w:rPr>
          <w:rFonts w:asciiTheme="minorEastAsia" w:eastAsiaTheme="minorEastAsia" w:hAnsiTheme="minorEastAsia" w:hint="eastAsia"/>
        </w:rPr>
        <w:t>本基金法律文件中涉及基金风险特征的表述与销售机构对基金的风险评级可能不一致的风险</w:t>
      </w:r>
      <w:r w:rsidR="000026E0" w:rsidRPr="001B5B45">
        <w:rPr>
          <w:rFonts w:asciiTheme="minorEastAsia" w:eastAsiaTheme="minorEastAsia" w:hAnsiTheme="minorEastAsia"/>
        </w:rPr>
        <w:t>；</w:t>
      </w:r>
      <w:r w:rsidRPr="001B5B45">
        <w:rPr>
          <w:rFonts w:asciiTheme="minorEastAsia" w:eastAsiaTheme="minorEastAsia" w:hAnsiTheme="minorEastAsia"/>
        </w:rPr>
        <w:t>基金投资过程中产生的操作风险；因交收违约和投资债券引发的信用风险；投资于供给改革相关资产带来的特有风险；基金投资回报可能低于业绩比较基准的风险；本基金的投资范围包括国债期货、股指期货、股票期权等金融衍生品、证券公司短期公司债券、中小企业私募债</w:t>
      </w:r>
      <w:r w:rsidR="00020503" w:rsidRPr="001B5B45">
        <w:rPr>
          <w:rFonts w:asciiTheme="minorEastAsia" w:eastAsiaTheme="minorEastAsia" w:hAnsiTheme="minorEastAsia" w:hint="eastAsia"/>
        </w:rPr>
        <w:t>、科创板股票</w:t>
      </w:r>
      <w:r w:rsidRPr="001B5B45">
        <w:rPr>
          <w:rFonts w:asciiTheme="minorEastAsia" w:eastAsiaTheme="minorEastAsia" w:hAnsiTheme="minorEastAsia"/>
        </w:rPr>
        <w:t>等品种，本基金可参与融资业务，可能给本基金带来额外风险等。本基金的具体运作特点详见基金合同和招募说明书的约定。本基金的一般风险及特有风险详见本招募说明书的“风险揭示”部分。</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4、本基金为混合型基金，理论上其预期风险收益水平低于股票型基金，高于债券型基金和货币市场基金。</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5、基金管理人提醒投资者基金投资的“买者自负”原则，在投资者作出投资决策后，基金运营状况与基金净值变化引致的投资风险，由投资者自行负责。此外，本基金以1元初始面值进行募集，在市场波动等因素的影响下，存在单位份额净值跌破1元初始面值的风险。</w:t>
      </w:r>
    </w:p>
    <w:p w:rsidR="00E37233" w:rsidRPr="001B5B45" w:rsidRDefault="00D86678">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6、基金不同于银行储蓄，基金投资人有可能获得较高的收益，也有可能损失本金。投资有风险，投资人在进行投资决策前，请仔细阅读本基金的《招募说明书》及《基金合同》。</w:t>
      </w:r>
    </w:p>
    <w:p w:rsidR="008860D6" w:rsidRPr="001B5B45" w:rsidRDefault="00B94B06" w:rsidP="00AC4485">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7、基金的过往业绩并不预示其未来表现，基金管理人管理的其他基金的业绩并不构成对本基金表现的保证。</w:t>
      </w:r>
    </w:p>
    <w:p w:rsidR="00760187" w:rsidRPr="001B5B45" w:rsidRDefault="00760187" w:rsidP="002A7B3A">
      <w:pPr>
        <w:adjustRightInd w:val="0"/>
        <w:snapToGrid w:val="0"/>
        <w:spacing w:line="360" w:lineRule="auto"/>
        <w:ind w:firstLine="420"/>
        <w:rPr>
          <w:rFonts w:asciiTheme="minorEastAsia" w:eastAsiaTheme="minorEastAsia" w:hAnsiTheme="minorEastAsia"/>
        </w:rPr>
      </w:pPr>
      <w:r w:rsidRPr="001B5B45">
        <w:rPr>
          <w:rFonts w:asciiTheme="minorEastAsia" w:eastAsiaTheme="minorEastAsia" w:hAnsiTheme="minorEastAsia"/>
        </w:rPr>
        <w:t>8、</w:t>
      </w:r>
      <w:r w:rsidRPr="001B5B45">
        <w:rPr>
          <w:rFonts w:asciiTheme="minorEastAsia" w:eastAsiaTheme="minorEastAsia" w:hAnsiTheme="minorEastAsia" w:hint="eastAsia"/>
        </w:rPr>
        <w:t>基金合同约定的基金产品资料概要编制、披露与更新要求，自《信息披露办法》实施之日起一年后开始执行。</w:t>
      </w:r>
    </w:p>
    <w:p w:rsidR="00E33B92" w:rsidRPr="001B5B45" w:rsidRDefault="00243308" w:rsidP="00B17F70">
      <w:pPr>
        <w:snapToGrid w:val="0"/>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本基金本次更新招募说明书对基金</w:t>
      </w:r>
      <w:r w:rsidR="00516572" w:rsidRPr="001B5B45">
        <w:rPr>
          <w:rFonts w:asciiTheme="minorEastAsia" w:eastAsiaTheme="minorEastAsia" w:hAnsiTheme="minorEastAsia" w:hint="eastAsia"/>
          <w:szCs w:val="21"/>
        </w:rPr>
        <w:t>经理变更</w:t>
      </w:r>
      <w:r w:rsidRPr="001B5B45">
        <w:rPr>
          <w:rFonts w:asciiTheme="minorEastAsia" w:eastAsiaTheme="minorEastAsia" w:hAnsiTheme="minorEastAsia" w:hint="eastAsia"/>
          <w:szCs w:val="21"/>
        </w:rPr>
        <w:t>相关信息进行更新，相关信息更新截止日为</w:t>
      </w:r>
      <w:r w:rsidRPr="001B5B45">
        <w:rPr>
          <w:rFonts w:asciiTheme="minorEastAsia" w:eastAsiaTheme="minorEastAsia" w:hAnsiTheme="minorEastAsia"/>
          <w:szCs w:val="21"/>
        </w:rPr>
        <w:lastRenderedPageBreak/>
        <w:t>2020年8月22日。</w:t>
      </w:r>
      <w:r w:rsidR="00FF5C63" w:rsidRPr="001B5B45">
        <w:rPr>
          <w:rFonts w:asciiTheme="minorEastAsia" w:eastAsiaTheme="minorEastAsia" w:hAnsiTheme="minorEastAsia"/>
          <w:szCs w:val="21"/>
        </w:rPr>
        <w:t>除非另有说明，</w:t>
      </w:r>
      <w:r w:rsidR="00213CB9" w:rsidRPr="001B5B45">
        <w:rPr>
          <w:rFonts w:asciiTheme="minorEastAsia" w:eastAsiaTheme="minorEastAsia" w:hAnsiTheme="minorEastAsia"/>
          <w:szCs w:val="21"/>
        </w:rPr>
        <w:t>本招募说明书</w:t>
      </w:r>
      <w:r w:rsidR="006A2089" w:rsidRPr="001B5B45">
        <w:rPr>
          <w:rFonts w:asciiTheme="minorEastAsia" w:eastAsiaTheme="minorEastAsia" w:hAnsiTheme="minorEastAsia"/>
          <w:szCs w:val="21"/>
        </w:rPr>
        <w:t>其他</w:t>
      </w:r>
      <w:r w:rsidR="00213CB9" w:rsidRPr="001B5B45">
        <w:rPr>
          <w:rFonts w:asciiTheme="minorEastAsia" w:eastAsiaTheme="minorEastAsia" w:hAnsiTheme="minorEastAsia"/>
          <w:szCs w:val="21"/>
        </w:rPr>
        <w:t>所载内容截止日为2020年6月16日</w:t>
      </w:r>
      <w:r w:rsidR="00BB06EC" w:rsidRPr="001B5B45">
        <w:rPr>
          <w:rFonts w:asciiTheme="minorEastAsia" w:eastAsiaTheme="minorEastAsia" w:hAnsiTheme="minorEastAsia"/>
          <w:szCs w:val="21"/>
        </w:rPr>
        <w:t>，</w:t>
      </w:r>
      <w:r w:rsidR="00213CB9" w:rsidRPr="001B5B45">
        <w:rPr>
          <w:rFonts w:asciiTheme="minorEastAsia" w:eastAsiaTheme="minorEastAsia" w:hAnsiTheme="minorEastAsia"/>
          <w:szCs w:val="21"/>
        </w:rPr>
        <w:t>有关财务数据截止日为2020年3月31日</w:t>
      </w:r>
      <w:r w:rsidR="00BB06EC" w:rsidRPr="001B5B45">
        <w:rPr>
          <w:rFonts w:asciiTheme="minorEastAsia" w:eastAsiaTheme="minorEastAsia" w:hAnsiTheme="minorEastAsia"/>
          <w:szCs w:val="21"/>
        </w:rPr>
        <w:t>，</w:t>
      </w:r>
      <w:r w:rsidR="00213CB9" w:rsidRPr="001B5B45">
        <w:rPr>
          <w:rFonts w:asciiTheme="minorEastAsia" w:eastAsiaTheme="minorEastAsia" w:hAnsiTheme="minorEastAsia"/>
          <w:szCs w:val="21"/>
        </w:rPr>
        <w:t>净值表现截止日为</w:t>
      </w:r>
      <w:r w:rsidR="00E967AA" w:rsidRPr="001B5B45">
        <w:rPr>
          <w:rFonts w:asciiTheme="minorEastAsia" w:eastAsiaTheme="minorEastAsia" w:hAnsiTheme="minorEastAsia" w:hint="eastAsia"/>
          <w:szCs w:val="21"/>
        </w:rPr>
        <w:t>2020年6月30日</w:t>
      </w:r>
      <w:r w:rsidR="00BB06EC" w:rsidRPr="001B5B45">
        <w:rPr>
          <w:rFonts w:asciiTheme="minorEastAsia" w:eastAsiaTheme="minorEastAsia" w:hAnsiTheme="minorEastAsia"/>
          <w:szCs w:val="21"/>
        </w:rPr>
        <w:t>。</w:t>
      </w:r>
      <w:r w:rsidR="00FF5C63" w:rsidRPr="001B5B45">
        <w:rPr>
          <w:rFonts w:asciiTheme="minorEastAsia" w:eastAsiaTheme="minorEastAsia" w:hAnsiTheme="minorEastAsia"/>
          <w:szCs w:val="21"/>
        </w:rPr>
        <w:t>（本报告中财务数据未经审计）</w:t>
      </w:r>
    </w:p>
    <w:p w:rsidR="00B17F70" w:rsidRPr="001B5B45" w:rsidRDefault="00B17F70" w:rsidP="00CC1421">
      <w:pPr>
        <w:adjustRightInd w:val="0"/>
        <w:snapToGrid w:val="0"/>
        <w:spacing w:line="360" w:lineRule="auto"/>
        <w:jc w:val="center"/>
        <w:rPr>
          <w:rFonts w:asciiTheme="minorEastAsia" w:eastAsiaTheme="minorEastAsia" w:hAnsiTheme="minorEastAsia"/>
          <w:sz w:val="30"/>
        </w:rPr>
        <w:sectPr w:rsidR="00B17F70" w:rsidRPr="001B5B45" w:rsidSect="00AE70B8">
          <w:headerReference w:type="even" r:id="rId9"/>
          <w:headerReference w:type="default" r:id="rId10"/>
          <w:footerReference w:type="even" r:id="rId11"/>
          <w:footerReference w:type="default" r:id="rId12"/>
          <w:headerReference w:type="first" r:id="rId13"/>
          <w:footerReference w:type="first" r:id="rId14"/>
          <w:pgSz w:w="11906" w:h="16838" w:code="9"/>
          <w:pgMar w:top="1440" w:right="1803" w:bottom="1440" w:left="1803" w:header="851" w:footer="992" w:gutter="0"/>
          <w:pgNumType w:fmt="upperRoman" w:start="1"/>
          <w:cols w:space="720"/>
          <w:docGrid w:type="lines" w:linePitch="317"/>
        </w:sectPr>
      </w:pPr>
    </w:p>
    <w:p w:rsidR="00BA4B87" w:rsidRPr="001B5B45" w:rsidRDefault="00BA4B87" w:rsidP="00CC1421">
      <w:pPr>
        <w:adjustRightInd w:val="0"/>
        <w:snapToGrid w:val="0"/>
        <w:spacing w:line="360" w:lineRule="auto"/>
        <w:jc w:val="center"/>
        <w:rPr>
          <w:rFonts w:asciiTheme="minorEastAsia" w:eastAsiaTheme="minorEastAsia" w:hAnsiTheme="minorEastAsia"/>
          <w:sz w:val="30"/>
        </w:rPr>
      </w:pPr>
      <w:r w:rsidRPr="001B5B45">
        <w:rPr>
          <w:rFonts w:asciiTheme="minorEastAsia" w:eastAsiaTheme="minorEastAsia" w:hAnsiTheme="minorEastAsia" w:hint="eastAsia"/>
          <w:sz w:val="30"/>
        </w:rPr>
        <w:lastRenderedPageBreak/>
        <w:t>目录</w:t>
      </w:r>
    </w:p>
    <w:p w:rsidR="00BA4B87" w:rsidRPr="001B5B45" w:rsidRDefault="00BA4B87" w:rsidP="00CC1421">
      <w:pPr>
        <w:adjustRightInd w:val="0"/>
        <w:snapToGrid w:val="0"/>
        <w:spacing w:line="360" w:lineRule="auto"/>
        <w:ind w:firstLine="480"/>
        <w:jc w:val="center"/>
        <w:rPr>
          <w:rFonts w:asciiTheme="minorEastAsia" w:eastAsiaTheme="minorEastAsia" w:hAnsiTheme="minorEastAsia"/>
          <w:b/>
        </w:rPr>
      </w:pPr>
    </w:p>
    <w:p w:rsidR="0006546A" w:rsidRPr="001B5B45" w:rsidRDefault="00753F8C">
      <w:pPr>
        <w:pStyle w:val="10"/>
        <w:rPr>
          <w:rFonts w:asciiTheme="minorEastAsia" w:eastAsiaTheme="minorEastAsia" w:hAnsiTheme="minorEastAsia" w:cstheme="minorBidi"/>
          <w:caps w:val="0"/>
          <w:color w:val="auto"/>
          <w:sz w:val="21"/>
          <w:szCs w:val="22"/>
        </w:rPr>
      </w:pPr>
      <w:r w:rsidRPr="001B5B45">
        <w:rPr>
          <w:rFonts w:asciiTheme="minorEastAsia" w:eastAsiaTheme="minorEastAsia" w:hAnsiTheme="minorEastAsia"/>
          <w:b/>
          <w:color w:val="auto"/>
        </w:rPr>
        <w:fldChar w:fldCharType="begin"/>
      </w:r>
      <w:r w:rsidR="00BA1E8F" w:rsidRPr="001B5B45">
        <w:rPr>
          <w:rFonts w:asciiTheme="minorEastAsia" w:eastAsiaTheme="minorEastAsia" w:hAnsiTheme="minorEastAsia"/>
          <w:b/>
          <w:color w:val="auto"/>
        </w:rPr>
        <w:instrText xml:space="preserve"> TOC \o "1-1" \h \z \u </w:instrText>
      </w:r>
      <w:r w:rsidRPr="001B5B45">
        <w:rPr>
          <w:rFonts w:asciiTheme="minorEastAsia" w:eastAsiaTheme="minorEastAsia" w:hAnsiTheme="minorEastAsia"/>
          <w:b/>
          <w:color w:val="auto"/>
        </w:rPr>
        <w:fldChar w:fldCharType="separate"/>
      </w:r>
      <w:hyperlink w:anchor="_Toc46927556" w:history="1">
        <w:r w:rsidR="0006546A" w:rsidRPr="001B5B45">
          <w:rPr>
            <w:rStyle w:val="a5"/>
            <w:rFonts w:asciiTheme="minorEastAsia" w:eastAsiaTheme="minorEastAsia" w:hAnsiTheme="minorEastAsia" w:hint="eastAsia"/>
            <w:color w:val="auto"/>
            <w:u w:val="none"/>
          </w:rPr>
          <w:t>一、绪言</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_Toc46927556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57" w:history="1">
        <w:r w:rsidR="0006546A" w:rsidRPr="001B5B45">
          <w:rPr>
            <w:rStyle w:val="a5"/>
            <w:rFonts w:asciiTheme="minorEastAsia" w:eastAsiaTheme="minorEastAsia" w:hAnsiTheme="minorEastAsia" w:hint="eastAsia"/>
            <w:color w:val="auto"/>
            <w:u w:val="none"/>
          </w:rPr>
          <w:t>二、释义</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_Toc46927557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2</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58" w:history="1">
        <w:r w:rsidR="0006546A" w:rsidRPr="001B5B45">
          <w:rPr>
            <w:rStyle w:val="a5"/>
            <w:rFonts w:asciiTheme="minorEastAsia" w:eastAsiaTheme="minorEastAsia" w:hAnsiTheme="minorEastAsia" w:hint="eastAsia"/>
            <w:color w:val="auto"/>
            <w:u w:val="none"/>
          </w:rPr>
          <w:t>三、基金管理人</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_Toc46927558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6</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59" w:history="1">
        <w:r w:rsidR="0006546A" w:rsidRPr="001B5B45">
          <w:rPr>
            <w:rStyle w:val="a5"/>
            <w:rFonts w:asciiTheme="minorEastAsia" w:eastAsiaTheme="minorEastAsia" w:hAnsiTheme="minorEastAsia" w:hint="eastAsia"/>
            <w:color w:val="auto"/>
            <w:u w:val="none"/>
          </w:rPr>
          <w:t>四、基金托管人</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_Toc46927559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17</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0" w:history="1">
        <w:r w:rsidR="0006546A" w:rsidRPr="001B5B45">
          <w:rPr>
            <w:rStyle w:val="a5"/>
            <w:rFonts w:asciiTheme="minorEastAsia" w:eastAsiaTheme="minorEastAsia" w:hAnsiTheme="minorEastAsia" w:hint="eastAsia"/>
            <w:color w:val="auto"/>
            <w:u w:val="none"/>
          </w:rPr>
          <w:t>五、相关服务机构</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_Toc46927560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19</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1" w:history="1">
        <w:r w:rsidR="0006546A" w:rsidRPr="001B5B45">
          <w:rPr>
            <w:rStyle w:val="a5"/>
            <w:rFonts w:asciiTheme="minorEastAsia" w:eastAsiaTheme="minorEastAsia" w:hAnsiTheme="minorEastAsia" w:hint="eastAsia"/>
            <w:bCs/>
            <w:color w:val="auto"/>
            <w:u w:val="none"/>
          </w:rPr>
          <w:t>六、基金的募集</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_Toc46927561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69</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2" w:history="1">
        <w:r w:rsidR="0006546A" w:rsidRPr="001B5B45">
          <w:rPr>
            <w:rStyle w:val="a5"/>
            <w:rFonts w:asciiTheme="minorEastAsia" w:eastAsiaTheme="minorEastAsia" w:hAnsiTheme="minorEastAsia" w:hint="eastAsia"/>
            <w:bCs/>
            <w:color w:val="auto"/>
            <w:u w:val="none"/>
          </w:rPr>
          <w:t>七、基金合同的生效</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_Toc46927562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70</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3" w:history="1">
        <w:r w:rsidR="0006546A" w:rsidRPr="001B5B45">
          <w:rPr>
            <w:rStyle w:val="a5"/>
            <w:rFonts w:asciiTheme="minorEastAsia" w:eastAsiaTheme="minorEastAsia" w:hAnsiTheme="minorEastAsia" w:hint="eastAsia"/>
            <w:color w:val="auto"/>
            <w:u w:val="none"/>
          </w:rPr>
          <w:t>八、基金份额的申购、赎回</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_Toc46927563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71</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4" w:history="1">
        <w:r w:rsidR="0006546A" w:rsidRPr="001B5B45">
          <w:rPr>
            <w:rStyle w:val="a5"/>
            <w:rFonts w:asciiTheme="minorEastAsia" w:eastAsiaTheme="minorEastAsia" w:hAnsiTheme="minorEastAsia" w:hint="eastAsia"/>
            <w:color w:val="auto"/>
            <w:u w:val="none"/>
          </w:rPr>
          <w:t>九、基金转换和定期定额投资计划</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_Toc46927564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80</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5" w:history="1">
        <w:r w:rsidR="0006546A" w:rsidRPr="001B5B45">
          <w:rPr>
            <w:rStyle w:val="a5"/>
            <w:rFonts w:asciiTheme="minorEastAsia" w:eastAsiaTheme="minorEastAsia" w:hAnsiTheme="minorEastAsia" w:hint="eastAsia"/>
            <w:color w:val="auto"/>
            <w:u w:val="none"/>
          </w:rPr>
          <w:t>十、基金的转托管、非交易过户、冻结与解冻</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_Toc46927565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86</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6" w:history="1">
        <w:r w:rsidR="0006546A" w:rsidRPr="001B5B45">
          <w:rPr>
            <w:rStyle w:val="a5"/>
            <w:rFonts w:asciiTheme="minorEastAsia" w:eastAsiaTheme="minorEastAsia" w:hAnsiTheme="minorEastAsia" w:hint="eastAsia"/>
            <w:color w:val="auto"/>
            <w:u w:val="none"/>
          </w:rPr>
          <w:t>十一、基金的投资</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_Toc46927566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87</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7" w:history="1">
        <w:r w:rsidR="0006546A" w:rsidRPr="001B5B45">
          <w:rPr>
            <w:rStyle w:val="a5"/>
            <w:rFonts w:asciiTheme="minorEastAsia" w:eastAsiaTheme="minorEastAsia" w:hAnsiTheme="minorEastAsia" w:hint="eastAsia"/>
            <w:color w:val="auto"/>
            <w:u w:val="none"/>
          </w:rPr>
          <w:t>十二、基金的业绩</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_Toc46927567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98</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8" w:history="1">
        <w:r w:rsidR="0006546A" w:rsidRPr="001B5B45">
          <w:rPr>
            <w:rStyle w:val="a5"/>
            <w:rFonts w:asciiTheme="minorEastAsia" w:eastAsiaTheme="minorEastAsia" w:hAnsiTheme="minorEastAsia" w:hint="eastAsia"/>
            <w:color w:val="auto"/>
            <w:u w:val="none"/>
          </w:rPr>
          <w:t>十三、基金的财产</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_Toc46927568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99</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69" w:history="1">
        <w:r w:rsidR="0006546A" w:rsidRPr="001B5B45">
          <w:rPr>
            <w:rStyle w:val="a5"/>
            <w:rFonts w:asciiTheme="minorEastAsia" w:eastAsiaTheme="minorEastAsia" w:hAnsiTheme="minorEastAsia" w:hint="eastAsia"/>
            <w:color w:val="auto"/>
            <w:u w:val="none"/>
          </w:rPr>
          <w:t>十四、基金资产的估值</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_Toc46927569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100</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0" w:history="1">
        <w:r w:rsidR="0006546A" w:rsidRPr="001B5B45">
          <w:rPr>
            <w:rStyle w:val="a5"/>
            <w:rFonts w:asciiTheme="minorEastAsia" w:eastAsiaTheme="minorEastAsia" w:hAnsiTheme="minorEastAsia" w:hint="eastAsia"/>
            <w:color w:val="auto"/>
            <w:u w:val="none"/>
          </w:rPr>
          <w:t>十五、基金的收益分配</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_Toc46927570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104</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1" w:history="1">
        <w:r w:rsidR="0006546A" w:rsidRPr="001B5B45">
          <w:rPr>
            <w:rStyle w:val="a5"/>
            <w:rFonts w:asciiTheme="minorEastAsia" w:eastAsiaTheme="minorEastAsia" w:hAnsiTheme="minorEastAsia" w:hint="eastAsia"/>
            <w:color w:val="auto"/>
            <w:u w:val="none"/>
          </w:rPr>
          <w:t>十六、基金的费用与税收</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_Toc46927571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106</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2" w:history="1">
        <w:r w:rsidR="0006546A" w:rsidRPr="001B5B45">
          <w:rPr>
            <w:rStyle w:val="a5"/>
            <w:rFonts w:asciiTheme="minorEastAsia" w:eastAsiaTheme="minorEastAsia" w:hAnsiTheme="minorEastAsia" w:hint="eastAsia"/>
            <w:color w:val="auto"/>
            <w:u w:val="none"/>
          </w:rPr>
          <w:t>十七、基金的会计与审计</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_Toc46927572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108</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3" w:history="1">
        <w:r w:rsidR="0006546A" w:rsidRPr="001B5B45">
          <w:rPr>
            <w:rStyle w:val="a5"/>
            <w:rFonts w:asciiTheme="minorEastAsia" w:eastAsiaTheme="minorEastAsia" w:hAnsiTheme="minorEastAsia" w:hint="eastAsia"/>
            <w:color w:val="auto"/>
            <w:u w:val="none"/>
          </w:rPr>
          <w:t>十八、基金的信息披露</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_Toc46927573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109</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4" w:history="1">
        <w:r w:rsidR="0006546A" w:rsidRPr="001B5B45">
          <w:rPr>
            <w:rStyle w:val="a5"/>
            <w:rFonts w:asciiTheme="minorEastAsia" w:eastAsiaTheme="minorEastAsia" w:hAnsiTheme="minorEastAsia" w:hint="eastAsia"/>
            <w:color w:val="auto"/>
            <w:u w:val="none"/>
          </w:rPr>
          <w:t>十九、风险揭示</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_Toc46927574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115</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5" w:history="1">
        <w:r w:rsidR="0006546A" w:rsidRPr="001B5B45">
          <w:rPr>
            <w:rStyle w:val="a5"/>
            <w:rFonts w:asciiTheme="minorEastAsia" w:eastAsiaTheme="minorEastAsia" w:hAnsiTheme="minorEastAsia" w:hint="eastAsia"/>
            <w:color w:val="auto"/>
            <w:u w:val="none"/>
          </w:rPr>
          <w:t>二十、基金合同的变更、终止与基金财产的清算</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_Toc46927575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121</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6" w:history="1">
        <w:r w:rsidR="0006546A" w:rsidRPr="001B5B45">
          <w:rPr>
            <w:rStyle w:val="a5"/>
            <w:rFonts w:asciiTheme="minorEastAsia" w:eastAsiaTheme="minorEastAsia" w:hAnsiTheme="minorEastAsia" w:hint="eastAsia"/>
            <w:color w:val="auto"/>
            <w:u w:val="none"/>
          </w:rPr>
          <w:t>二十一、基金合同的内容摘要</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_Toc46927576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123</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7" w:history="1">
        <w:r w:rsidR="0006546A" w:rsidRPr="001B5B45">
          <w:rPr>
            <w:rStyle w:val="a5"/>
            <w:rFonts w:asciiTheme="minorEastAsia" w:eastAsiaTheme="minorEastAsia" w:hAnsiTheme="minorEastAsia" w:hint="eastAsia"/>
            <w:color w:val="auto"/>
            <w:u w:val="none"/>
          </w:rPr>
          <w:t>二十二、基金托管协议的内容摘要</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_Toc46927577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138</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8" w:history="1">
        <w:r w:rsidR="0006546A" w:rsidRPr="001B5B45">
          <w:rPr>
            <w:rStyle w:val="a5"/>
            <w:rFonts w:asciiTheme="minorEastAsia" w:eastAsiaTheme="minorEastAsia" w:hAnsiTheme="minorEastAsia" w:hint="eastAsia"/>
            <w:color w:val="auto"/>
            <w:u w:val="none"/>
          </w:rPr>
          <w:t>二十三、对基金份额持有人的服务</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_Toc46927578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149</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79" w:history="1">
        <w:r w:rsidR="0006546A" w:rsidRPr="001B5B45">
          <w:rPr>
            <w:rStyle w:val="a5"/>
            <w:rFonts w:asciiTheme="minorEastAsia" w:eastAsiaTheme="minorEastAsia" w:hAnsiTheme="minorEastAsia" w:hint="eastAsia"/>
            <w:color w:val="auto"/>
            <w:u w:val="none"/>
          </w:rPr>
          <w:t>二十四、其他应披露事项</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_Toc46927579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150</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80" w:history="1">
        <w:r w:rsidR="0006546A" w:rsidRPr="001B5B45">
          <w:rPr>
            <w:rStyle w:val="a5"/>
            <w:rFonts w:asciiTheme="minorEastAsia" w:eastAsiaTheme="minorEastAsia" w:hAnsiTheme="minorEastAsia" w:hint="eastAsia"/>
            <w:color w:val="auto"/>
            <w:u w:val="none"/>
          </w:rPr>
          <w:t>二十五、招募说明书的存放及查阅方式</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_Toc46927580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152</w:t>
        </w:r>
        <w:r w:rsidR="0006546A" w:rsidRPr="001B5B45">
          <w:rPr>
            <w:rFonts w:asciiTheme="minorEastAsia" w:eastAsiaTheme="minorEastAsia" w:hAnsiTheme="minorEastAsia"/>
            <w:webHidden/>
            <w:color w:val="auto"/>
          </w:rPr>
          <w:fldChar w:fldCharType="end"/>
        </w:r>
      </w:hyperlink>
    </w:p>
    <w:p w:rsidR="0006546A" w:rsidRPr="001B5B45" w:rsidRDefault="0070277F">
      <w:pPr>
        <w:pStyle w:val="10"/>
        <w:ind w:firstLine="480"/>
        <w:rPr>
          <w:rFonts w:asciiTheme="minorEastAsia" w:eastAsiaTheme="minorEastAsia" w:hAnsiTheme="minorEastAsia" w:cstheme="minorBidi"/>
          <w:caps w:val="0"/>
          <w:color w:val="auto"/>
          <w:sz w:val="21"/>
          <w:szCs w:val="22"/>
        </w:rPr>
      </w:pPr>
      <w:hyperlink w:anchor="_Toc46927581" w:history="1">
        <w:r w:rsidR="0006546A" w:rsidRPr="001B5B45">
          <w:rPr>
            <w:rStyle w:val="a5"/>
            <w:rFonts w:asciiTheme="minorEastAsia" w:eastAsiaTheme="minorEastAsia" w:hAnsiTheme="minorEastAsia" w:hint="eastAsia"/>
            <w:color w:val="auto"/>
            <w:u w:val="none"/>
          </w:rPr>
          <w:t>二十六、备查文件</w:t>
        </w:r>
        <w:r w:rsidR="0006546A" w:rsidRPr="001B5B45">
          <w:rPr>
            <w:rFonts w:asciiTheme="minorEastAsia" w:eastAsiaTheme="minorEastAsia" w:hAnsiTheme="minorEastAsia"/>
            <w:webHidden/>
            <w:color w:val="auto"/>
          </w:rPr>
          <w:tab/>
        </w:r>
        <w:r w:rsidR="0006546A" w:rsidRPr="001B5B45">
          <w:rPr>
            <w:rFonts w:asciiTheme="minorEastAsia" w:eastAsiaTheme="minorEastAsia" w:hAnsiTheme="minorEastAsia"/>
            <w:webHidden/>
            <w:color w:val="auto"/>
          </w:rPr>
          <w:fldChar w:fldCharType="begin"/>
        </w:r>
        <w:r w:rsidR="0006546A" w:rsidRPr="001B5B45">
          <w:rPr>
            <w:rFonts w:asciiTheme="minorEastAsia" w:eastAsiaTheme="minorEastAsia" w:hAnsiTheme="minorEastAsia"/>
            <w:webHidden/>
            <w:color w:val="auto"/>
          </w:rPr>
          <w:instrText xml:space="preserve"> PAGEREF _Toc46927581 \h </w:instrText>
        </w:r>
        <w:r w:rsidR="0006546A" w:rsidRPr="001B5B45">
          <w:rPr>
            <w:rFonts w:asciiTheme="minorEastAsia" w:eastAsiaTheme="minorEastAsia" w:hAnsiTheme="minorEastAsia"/>
            <w:webHidden/>
            <w:color w:val="auto"/>
          </w:rPr>
        </w:r>
        <w:r w:rsidR="0006546A" w:rsidRPr="001B5B45">
          <w:rPr>
            <w:rFonts w:asciiTheme="minorEastAsia" w:eastAsiaTheme="minorEastAsia" w:hAnsiTheme="minorEastAsia"/>
            <w:webHidden/>
            <w:color w:val="auto"/>
          </w:rPr>
          <w:fldChar w:fldCharType="separate"/>
        </w:r>
        <w:r w:rsidR="001B5B45">
          <w:rPr>
            <w:rFonts w:asciiTheme="minorEastAsia" w:eastAsiaTheme="minorEastAsia" w:hAnsiTheme="minorEastAsia"/>
            <w:webHidden/>
            <w:color w:val="auto"/>
          </w:rPr>
          <w:t>153</w:t>
        </w:r>
        <w:r w:rsidR="0006546A" w:rsidRPr="001B5B45">
          <w:rPr>
            <w:rFonts w:asciiTheme="minorEastAsia" w:eastAsiaTheme="minorEastAsia" w:hAnsiTheme="minorEastAsia"/>
            <w:webHidden/>
            <w:color w:val="auto"/>
          </w:rPr>
          <w:fldChar w:fldCharType="end"/>
        </w:r>
      </w:hyperlink>
    </w:p>
    <w:p w:rsidR="00AE70B8" w:rsidRPr="001B5B45" w:rsidRDefault="00753F8C" w:rsidP="00CC1421">
      <w:pPr>
        <w:snapToGrid w:val="0"/>
        <w:spacing w:line="360" w:lineRule="auto"/>
        <w:ind w:firstLine="560"/>
        <w:jc w:val="center"/>
        <w:rPr>
          <w:rFonts w:asciiTheme="minorEastAsia" w:eastAsiaTheme="minorEastAsia" w:hAnsiTheme="minorEastAsia"/>
          <w:b/>
          <w:caps/>
          <w:noProof/>
          <w:sz w:val="24"/>
          <w:szCs w:val="28"/>
        </w:rPr>
      </w:pPr>
      <w:r w:rsidRPr="001B5B45">
        <w:rPr>
          <w:rFonts w:asciiTheme="minorEastAsia" w:eastAsiaTheme="minorEastAsia" w:hAnsiTheme="minorEastAsia"/>
          <w:b/>
          <w:caps/>
          <w:noProof/>
          <w:sz w:val="24"/>
          <w:szCs w:val="28"/>
        </w:rPr>
        <w:fldChar w:fldCharType="end"/>
      </w:r>
      <w:bookmarkStart w:id="0" w:name="_GoBack"/>
      <w:bookmarkEnd w:id="0"/>
    </w:p>
    <w:p w:rsidR="00723D30" w:rsidRPr="001B5B45" w:rsidRDefault="00723D30" w:rsidP="00723D30">
      <w:pPr>
        <w:snapToGrid w:val="0"/>
        <w:spacing w:line="360" w:lineRule="auto"/>
        <w:ind w:firstLine="560"/>
        <w:rPr>
          <w:rFonts w:asciiTheme="minorEastAsia" w:eastAsiaTheme="minorEastAsia" w:hAnsiTheme="minorEastAsia"/>
          <w:b/>
          <w:caps/>
          <w:noProof/>
          <w:sz w:val="24"/>
          <w:szCs w:val="28"/>
        </w:rPr>
        <w:sectPr w:rsidR="00723D30" w:rsidRPr="001B5B45" w:rsidSect="00612DDF">
          <w:footerReference w:type="default" r:id="rId15"/>
          <w:pgSz w:w="11906" w:h="16838" w:code="9"/>
          <w:pgMar w:top="1440" w:right="1803" w:bottom="1440" w:left="1803" w:header="851" w:footer="992" w:gutter="0"/>
          <w:pgNumType w:fmt="upperRoman" w:start="1"/>
          <w:cols w:space="720"/>
          <w:docGrid w:type="lines" w:linePitch="317"/>
        </w:sectPr>
      </w:pPr>
    </w:p>
    <w:p w:rsidR="00BA4B87" w:rsidRPr="001B5B45" w:rsidRDefault="00BA4B87" w:rsidP="00CC1421">
      <w:pPr>
        <w:pStyle w:val="11"/>
        <w:snapToGrid w:val="0"/>
        <w:spacing w:beforeLines="0" w:afterLines="0" w:line="360" w:lineRule="auto"/>
        <w:ind w:firstLine="600"/>
        <w:rPr>
          <w:rFonts w:asciiTheme="minorEastAsia" w:eastAsiaTheme="minorEastAsia" w:hAnsiTheme="minorEastAsia"/>
          <w:b w:val="0"/>
          <w:sz w:val="30"/>
        </w:rPr>
      </w:pPr>
      <w:bookmarkStart w:id="1" w:name="_Toc332373444"/>
      <w:bookmarkStart w:id="2" w:name="_Toc46927556"/>
      <w:r w:rsidRPr="001B5B45">
        <w:rPr>
          <w:rFonts w:asciiTheme="minorEastAsia" w:eastAsiaTheme="minorEastAsia" w:hAnsiTheme="minorEastAsia"/>
          <w:b w:val="0"/>
          <w:sz w:val="30"/>
        </w:rPr>
        <w:lastRenderedPageBreak/>
        <w:t>一、</w:t>
      </w:r>
      <w:r w:rsidRPr="001B5B45">
        <w:rPr>
          <w:rFonts w:asciiTheme="minorEastAsia" w:eastAsiaTheme="minorEastAsia" w:hAnsiTheme="minorEastAsia"/>
          <w:b w:val="0"/>
        </w:rPr>
        <w:t>绪言</w:t>
      </w:r>
      <w:bookmarkEnd w:id="1"/>
      <w:bookmarkEnd w:id="2"/>
    </w:p>
    <w:p w:rsidR="00E37233" w:rsidRPr="001B5B45" w:rsidRDefault="00D86678">
      <w:pPr>
        <w:spacing w:line="360" w:lineRule="auto"/>
        <w:ind w:firstLineChars="200" w:firstLine="420"/>
        <w:rPr>
          <w:rFonts w:asciiTheme="minorEastAsia" w:eastAsiaTheme="minorEastAsia" w:hAnsiTheme="minorEastAsia"/>
        </w:rPr>
      </w:pPr>
      <w:r w:rsidRPr="001B5B45">
        <w:rPr>
          <w:rStyle w:val="da"/>
          <w:rFonts w:asciiTheme="minorEastAsia" w:eastAsiaTheme="minorEastAsia" w:hAnsiTheme="minorEastAsia"/>
        </w:rPr>
        <w:t>本招募说明书依据《中华人民共和国证券投资基金法》（以下简称《基金法》）、《公开募集证券投资基金运作管理办法》（以下简称《运作办法》）、《证券投资基金销售管理办法》（以下简称《销售办法》）、《</w:t>
      </w:r>
      <w:r w:rsidR="00A5037A" w:rsidRPr="001B5B45">
        <w:rPr>
          <w:rStyle w:val="da"/>
          <w:rFonts w:asciiTheme="minorEastAsia" w:eastAsiaTheme="minorEastAsia" w:hAnsiTheme="minorEastAsia" w:hint="eastAsia"/>
        </w:rPr>
        <w:t>公开募集</w:t>
      </w:r>
      <w:r w:rsidRPr="001B5B45">
        <w:rPr>
          <w:rStyle w:val="da"/>
          <w:rFonts w:asciiTheme="minorEastAsia" w:eastAsiaTheme="minorEastAsia" w:hAnsiTheme="minorEastAsia"/>
        </w:rPr>
        <w:t>证券投资基金信息披露管理办法》（以下简称《信息披露办法》）</w:t>
      </w:r>
      <w:r w:rsidR="0085537C" w:rsidRPr="001B5B45">
        <w:rPr>
          <w:rStyle w:val="da"/>
          <w:rFonts w:asciiTheme="minorEastAsia" w:eastAsiaTheme="minorEastAsia" w:hAnsiTheme="minorEastAsia" w:hint="eastAsia"/>
        </w:rPr>
        <w:t>、《公开募集开放式证券投资基金流动</w:t>
      </w:r>
      <w:r w:rsidR="0085537C" w:rsidRPr="001B5B45">
        <w:rPr>
          <w:rFonts w:asciiTheme="minorEastAsia" w:eastAsiaTheme="minorEastAsia" w:hAnsiTheme="minorEastAsia" w:hint="eastAsia"/>
        </w:rPr>
        <w:t>性风险管理规定》（以下简称《管理规定》）</w:t>
      </w:r>
      <w:r w:rsidRPr="001B5B45">
        <w:rPr>
          <w:rStyle w:val="da"/>
          <w:rFonts w:asciiTheme="minorEastAsia" w:eastAsiaTheme="minorEastAsia" w:hAnsiTheme="minorEastAsia"/>
        </w:rPr>
        <w:t>、《证券投资基金信息披露内容与格式准则第5号&lt;招募说明书的内容与格式&gt;》、《易方达供给改革灵活配置混合型证券投资基金基金合同》（以下简称基金合同）及其它有关规定等编写。</w:t>
      </w:r>
    </w:p>
    <w:p w:rsidR="00E37233" w:rsidRPr="001B5B45" w:rsidRDefault="00D86678">
      <w:pPr>
        <w:spacing w:line="360" w:lineRule="auto"/>
        <w:ind w:firstLineChars="200" w:firstLine="420"/>
        <w:rPr>
          <w:rFonts w:asciiTheme="minorEastAsia" w:eastAsiaTheme="minorEastAsia" w:hAnsiTheme="minorEastAsia"/>
        </w:rPr>
      </w:pPr>
      <w:r w:rsidRPr="001B5B45">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860D6" w:rsidRPr="001B5B45" w:rsidRDefault="00B94B06" w:rsidP="009918CF">
      <w:pPr>
        <w:spacing w:line="360" w:lineRule="auto"/>
        <w:ind w:firstLineChars="200" w:firstLine="420"/>
        <w:rPr>
          <w:rFonts w:asciiTheme="minorEastAsia" w:eastAsiaTheme="minorEastAsia" w:hAnsiTheme="minorEastAsia"/>
        </w:rPr>
      </w:pPr>
      <w:r w:rsidRPr="001B5B45">
        <w:rPr>
          <w:rStyle w:val="da"/>
          <w:rFonts w:asciiTheme="minorEastAsia" w:eastAsiaTheme="minorEastAsia" w:hAnsiTheme="minor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008860D6" w:rsidRPr="001B5B45">
        <w:rPr>
          <w:rFonts w:asciiTheme="minorEastAsia" w:eastAsiaTheme="minorEastAsia" w:hAnsiTheme="minorEastAsia"/>
        </w:rPr>
        <w:br w:type="page"/>
      </w:r>
    </w:p>
    <w:p w:rsidR="00BA4B87" w:rsidRPr="001B5B45" w:rsidRDefault="00BA4B87" w:rsidP="00CC1421">
      <w:pPr>
        <w:pStyle w:val="111"/>
        <w:pageBreakBefore w:val="0"/>
        <w:snapToGrid w:val="0"/>
        <w:spacing w:beforeLines="0" w:afterLines="0" w:line="360" w:lineRule="auto"/>
        <w:ind w:firstLine="600"/>
        <w:rPr>
          <w:rFonts w:asciiTheme="minorEastAsia" w:eastAsiaTheme="minorEastAsia" w:hAnsiTheme="minorEastAsia"/>
          <w:sz w:val="30"/>
        </w:rPr>
      </w:pPr>
      <w:bookmarkStart w:id="3" w:name="_Toc332373445"/>
      <w:bookmarkStart w:id="4" w:name="_Toc46927557"/>
      <w:r w:rsidRPr="001B5B45">
        <w:rPr>
          <w:rFonts w:asciiTheme="minorEastAsia" w:eastAsiaTheme="minorEastAsia" w:hAnsiTheme="minorEastAsia"/>
          <w:sz w:val="30"/>
        </w:rPr>
        <w:lastRenderedPageBreak/>
        <w:t>二、释义</w:t>
      </w:r>
      <w:bookmarkEnd w:id="3"/>
      <w:bookmarkEnd w:id="4"/>
    </w:p>
    <w:p w:rsidR="003174D4" w:rsidRPr="001B5B45" w:rsidRDefault="003174D4"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本招募说明书中除非文意另有所指，下列词语有如下含义：</w:t>
      </w:r>
    </w:p>
    <w:p w:rsidR="003174D4" w:rsidRPr="001B5B45" w:rsidRDefault="003174D4"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1、基金或本基金：指易方达供给改革灵活配置混合型证券投资基金</w:t>
      </w:r>
    </w:p>
    <w:p w:rsidR="003174D4" w:rsidRPr="001B5B45" w:rsidRDefault="003174D4"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2、基金管理人：指易方达基金管理有限公司</w:t>
      </w:r>
    </w:p>
    <w:p w:rsidR="003174D4" w:rsidRPr="001B5B45" w:rsidRDefault="003174D4"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3、基金托管人：指中国银行股份有限公司</w:t>
      </w:r>
    </w:p>
    <w:p w:rsidR="003174D4" w:rsidRPr="001B5B45" w:rsidRDefault="003174D4"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4、基金合同：指《易方达供给改革灵活配置混合型证券投资基金基金合同》及对基金合同的任何有效修订和补充</w:t>
      </w:r>
    </w:p>
    <w:p w:rsidR="003174D4" w:rsidRPr="001B5B45" w:rsidRDefault="003174D4"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5、托管协议：指基金管理人与基金托管人就本基金签订之《易方达供给改革灵活配置混合型证券投资基金托管协议》及对该托管协议的任何有效修订和补充</w:t>
      </w:r>
    </w:p>
    <w:p w:rsidR="00A5037A" w:rsidRPr="001B5B45" w:rsidRDefault="00A5037A"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w:t>
      </w:r>
      <w:r w:rsidRPr="001B5B45">
        <w:rPr>
          <w:rStyle w:val="da"/>
          <w:rFonts w:asciiTheme="minorEastAsia" w:eastAsiaTheme="minorEastAsia" w:hAnsiTheme="minorEastAsia" w:hint="eastAsia"/>
        </w:rPr>
        <w:t>、招募说明书</w:t>
      </w:r>
      <w:r w:rsidR="00406156" w:rsidRPr="001B5B45">
        <w:rPr>
          <w:rStyle w:val="da"/>
          <w:rFonts w:asciiTheme="minorEastAsia" w:eastAsiaTheme="minorEastAsia" w:hAnsiTheme="minorEastAsia" w:hint="eastAsia"/>
        </w:rPr>
        <w:t>、本招募说明书</w:t>
      </w:r>
      <w:r w:rsidRPr="001B5B45">
        <w:rPr>
          <w:rStyle w:val="da"/>
          <w:rFonts w:asciiTheme="minorEastAsia" w:eastAsiaTheme="minorEastAsia" w:hAnsiTheme="minorEastAsia" w:hint="eastAsia"/>
        </w:rPr>
        <w:t>：指《易方达供给改革灵活配置混合型证券投资基金招募说明书》及其更新</w:t>
      </w:r>
    </w:p>
    <w:p w:rsidR="00A5037A" w:rsidRPr="001B5B45" w:rsidRDefault="00A5037A"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w:t>
      </w:r>
      <w:r w:rsidRPr="001B5B45">
        <w:rPr>
          <w:rStyle w:val="da"/>
          <w:rFonts w:asciiTheme="minorEastAsia" w:eastAsiaTheme="minorEastAsia" w:hAnsiTheme="minorEastAsia" w:hint="eastAsia"/>
        </w:rPr>
        <w:t>、基金产品资料概要：指《易方达供给改革灵活配置混合型证券投资基金基金产品资料概要》及其更新</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w:t>
      </w:r>
      <w:r w:rsidR="003174D4" w:rsidRPr="001B5B45">
        <w:rPr>
          <w:rStyle w:val="da"/>
          <w:rFonts w:asciiTheme="minorEastAsia" w:eastAsiaTheme="minorEastAsia" w:hAnsiTheme="minorEastAsia" w:hint="eastAsia"/>
        </w:rPr>
        <w:t>、基金份额发售公告：指《易方达供给改革灵活配置混合型证券投资基金基金份额发售公告》</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w:t>
      </w:r>
      <w:r w:rsidR="003174D4" w:rsidRPr="001B5B45">
        <w:rPr>
          <w:rStyle w:val="da"/>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10</w:t>
      </w:r>
      <w:r w:rsidR="003174D4" w:rsidRPr="001B5B45">
        <w:rPr>
          <w:rStyle w:val="da"/>
          <w:rFonts w:asciiTheme="minorEastAsia" w:eastAsiaTheme="minorEastAsia" w:hAnsiTheme="minorEastAsia" w:hint="eastAsia"/>
        </w:rPr>
        <w:t>、《基金法》：指2012年12月28日经第十一届全国人民代表大会常务委员会第三十次会议通过，自2013年6月1日起实施的《中华人民共和国证券投资基金法》及颁布机关对其不时做出的修订</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1</w:t>
      </w:r>
      <w:r w:rsidR="003174D4" w:rsidRPr="001B5B45">
        <w:rPr>
          <w:rStyle w:val="da"/>
          <w:rFonts w:asciiTheme="minorEastAsia" w:eastAsiaTheme="minorEastAsia" w:hAnsiTheme="minorEastAsia" w:hint="eastAsia"/>
        </w:rPr>
        <w:t>、《销售办法》：指中国证监会2013年3月15日颁布、同年6月1日实施的《证券投资基金销售管理办法》及颁布机关对其不时做出的修订</w:t>
      </w:r>
    </w:p>
    <w:p w:rsidR="00A5037A" w:rsidRPr="001B5B45" w:rsidRDefault="00A5037A" w:rsidP="00A5037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2</w:t>
      </w:r>
      <w:r w:rsidR="003174D4" w:rsidRPr="001B5B45">
        <w:rPr>
          <w:rStyle w:val="da"/>
          <w:rFonts w:asciiTheme="minorEastAsia" w:eastAsiaTheme="minorEastAsia" w:hAnsiTheme="minorEastAsia" w:hint="eastAsia"/>
        </w:rPr>
        <w:t>、《信息披露办法》：</w:t>
      </w:r>
      <w:r w:rsidRPr="001B5B45">
        <w:rPr>
          <w:rStyle w:val="da"/>
          <w:rFonts w:asciiTheme="minorEastAsia" w:eastAsiaTheme="minorEastAsia" w:hAnsiTheme="minorEastAsia" w:hint="eastAsia"/>
        </w:rPr>
        <w:t>指中国证监会</w:t>
      </w:r>
      <w:r w:rsidRPr="001B5B45">
        <w:rPr>
          <w:rStyle w:val="da"/>
          <w:rFonts w:asciiTheme="minorEastAsia" w:eastAsiaTheme="minorEastAsia" w:hAnsiTheme="minorEastAsia"/>
        </w:rPr>
        <w:t>2019</w:t>
      </w:r>
      <w:r w:rsidRPr="001B5B45">
        <w:rPr>
          <w:rStyle w:val="da"/>
          <w:rFonts w:asciiTheme="minorEastAsia" w:eastAsiaTheme="minorEastAsia" w:hAnsiTheme="minorEastAsia" w:hint="eastAsia"/>
        </w:rPr>
        <w:t>年</w:t>
      </w:r>
      <w:r w:rsidRPr="001B5B45">
        <w:rPr>
          <w:rStyle w:val="da"/>
          <w:rFonts w:asciiTheme="minorEastAsia" w:eastAsiaTheme="minorEastAsia" w:hAnsiTheme="minorEastAsia"/>
        </w:rPr>
        <w:t>7</w:t>
      </w:r>
      <w:r w:rsidRPr="001B5B45">
        <w:rPr>
          <w:rStyle w:val="da"/>
          <w:rFonts w:asciiTheme="minorEastAsia" w:eastAsiaTheme="minorEastAsia" w:hAnsiTheme="minorEastAsia" w:hint="eastAsia"/>
        </w:rPr>
        <w:t>月</w:t>
      </w:r>
      <w:r w:rsidRPr="001B5B45">
        <w:rPr>
          <w:rStyle w:val="da"/>
          <w:rFonts w:asciiTheme="minorEastAsia" w:eastAsiaTheme="minorEastAsia" w:hAnsiTheme="minorEastAsia"/>
        </w:rPr>
        <w:t>26</w:t>
      </w:r>
      <w:r w:rsidRPr="001B5B45">
        <w:rPr>
          <w:rStyle w:val="da"/>
          <w:rFonts w:asciiTheme="minorEastAsia" w:eastAsiaTheme="minorEastAsia" w:hAnsiTheme="minorEastAsia" w:hint="eastAsia"/>
        </w:rPr>
        <w:t>日颁布、同年</w:t>
      </w:r>
      <w:r w:rsidRPr="001B5B45">
        <w:rPr>
          <w:rStyle w:val="da"/>
          <w:rFonts w:asciiTheme="minorEastAsia" w:eastAsiaTheme="minorEastAsia" w:hAnsiTheme="minorEastAsia"/>
        </w:rPr>
        <w:t>9</w:t>
      </w:r>
      <w:r w:rsidRPr="001B5B45">
        <w:rPr>
          <w:rStyle w:val="da"/>
          <w:rFonts w:asciiTheme="minorEastAsia" w:eastAsiaTheme="minorEastAsia" w:hAnsiTheme="minorEastAsia" w:hint="eastAsia"/>
        </w:rPr>
        <w:t>月</w:t>
      </w:r>
      <w:r w:rsidRPr="001B5B45">
        <w:rPr>
          <w:rStyle w:val="da"/>
          <w:rFonts w:asciiTheme="minorEastAsia" w:eastAsiaTheme="minorEastAsia" w:hAnsiTheme="minorEastAsia"/>
        </w:rPr>
        <w:t>1</w:t>
      </w:r>
      <w:r w:rsidRPr="001B5B45">
        <w:rPr>
          <w:rStyle w:val="da"/>
          <w:rFonts w:asciiTheme="minorEastAsia" w:eastAsiaTheme="minorEastAsia" w:hAnsiTheme="minorEastAsia" w:hint="eastAsia"/>
        </w:rPr>
        <w:t>日实施的《公开募集证券投资基金信息披露管理办法》及颁布机关对其不时做出的修订</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3</w:t>
      </w:r>
      <w:r w:rsidR="003174D4" w:rsidRPr="001B5B45">
        <w:rPr>
          <w:rStyle w:val="da"/>
          <w:rFonts w:asciiTheme="minorEastAsia" w:eastAsiaTheme="minorEastAsia" w:hAnsiTheme="minorEastAsia" w:hint="eastAsia"/>
        </w:rPr>
        <w:t>、《运作办法》：指中国证监会2014年7月7日颁布、同年8月8日实施的《公开募集证券投资基金运作管理办法》及颁布机关对其不时做出的修订</w:t>
      </w:r>
    </w:p>
    <w:p w:rsidR="003A7D4D" w:rsidRPr="001B5B45" w:rsidRDefault="00A5037A"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14</w:t>
      </w:r>
      <w:r w:rsidR="00753F8C" w:rsidRPr="001B5B45">
        <w:rPr>
          <w:rStyle w:val="da"/>
          <w:rFonts w:asciiTheme="minorEastAsia" w:eastAsiaTheme="minorEastAsia" w:hAnsiTheme="minorEastAsia" w:hint="eastAsia"/>
        </w:rPr>
        <w:t>、《管理规定》：指中国证监会</w:t>
      </w:r>
      <w:r w:rsidR="00753F8C" w:rsidRPr="001B5B45">
        <w:rPr>
          <w:rStyle w:val="da"/>
          <w:rFonts w:asciiTheme="minorEastAsia" w:eastAsiaTheme="minorEastAsia" w:hAnsiTheme="minorEastAsia"/>
        </w:rPr>
        <w:t>2017</w:t>
      </w:r>
      <w:r w:rsidR="00753F8C" w:rsidRPr="001B5B45">
        <w:rPr>
          <w:rStyle w:val="da"/>
          <w:rFonts w:asciiTheme="minorEastAsia" w:eastAsiaTheme="minorEastAsia" w:hAnsiTheme="minorEastAsia" w:hint="eastAsia"/>
        </w:rPr>
        <w:t>年</w:t>
      </w:r>
      <w:r w:rsidR="00753F8C" w:rsidRPr="001B5B45">
        <w:rPr>
          <w:rStyle w:val="da"/>
          <w:rFonts w:asciiTheme="minorEastAsia" w:eastAsiaTheme="minorEastAsia" w:hAnsiTheme="minorEastAsia"/>
        </w:rPr>
        <w:t>8</w:t>
      </w:r>
      <w:r w:rsidR="00753F8C" w:rsidRPr="001B5B45">
        <w:rPr>
          <w:rStyle w:val="da"/>
          <w:rFonts w:asciiTheme="minorEastAsia" w:eastAsiaTheme="minorEastAsia" w:hAnsiTheme="minorEastAsia" w:hint="eastAsia"/>
        </w:rPr>
        <w:t>月</w:t>
      </w:r>
      <w:r w:rsidR="00753F8C" w:rsidRPr="001B5B45">
        <w:rPr>
          <w:rStyle w:val="da"/>
          <w:rFonts w:asciiTheme="minorEastAsia" w:eastAsiaTheme="minorEastAsia" w:hAnsiTheme="minorEastAsia"/>
        </w:rPr>
        <w:t>31</w:t>
      </w:r>
      <w:r w:rsidR="00753F8C" w:rsidRPr="001B5B45">
        <w:rPr>
          <w:rStyle w:val="da"/>
          <w:rFonts w:asciiTheme="minorEastAsia" w:eastAsiaTheme="minorEastAsia" w:hAnsiTheme="minorEastAsia" w:hint="eastAsia"/>
        </w:rPr>
        <w:t>日颁布、同年</w:t>
      </w:r>
      <w:r w:rsidR="00753F8C" w:rsidRPr="001B5B45">
        <w:rPr>
          <w:rStyle w:val="da"/>
          <w:rFonts w:asciiTheme="minorEastAsia" w:eastAsiaTheme="minorEastAsia" w:hAnsiTheme="minorEastAsia"/>
        </w:rPr>
        <w:t>10</w:t>
      </w:r>
      <w:r w:rsidR="00753F8C" w:rsidRPr="001B5B45">
        <w:rPr>
          <w:rStyle w:val="da"/>
          <w:rFonts w:asciiTheme="minorEastAsia" w:eastAsiaTheme="minorEastAsia" w:hAnsiTheme="minorEastAsia" w:hint="eastAsia"/>
        </w:rPr>
        <w:t>月</w:t>
      </w:r>
      <w:r w:rsidR="00753F8C" w:rsidRPr="001B5B45">
        <w:rPr>
          <w:rStyle w:val="da"/>
          <w:rFonts w:asciiTheme="minorEastAsia" w:eastAsiaTheme="minorEastAsia" w:hAnsiTheme="minorEastAsia"/>
        </w:rPr>
        <w:t>1</w:t>
      </w:r>
      <w:r w:rsidR="00753F8C" w:rsidRPr="001B5B45">
        <w:rPr>
          <w:rStyle w:val="da"/>
          <w:rFonts w:asciiTheme="minorEastAsia" w:eastAsiaTheme="minorEastAsia" w:hAnsiTheme="minorEastAsia" w:hint="eastAsia"/>
        </w:rPr>
        <w:t>日实施的《公开募集开放式证券投资基金流动性风险管理规定》及颁布机关对其不时做出的修订</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5</w:t>
      </w:r>
      <w:r w:rsidR="003174D4" w:rsidRPr="001B5B45">
        <w:rPr>
          <w:rStyle w:val="da"/>
          <w:rFonts w:asciiTheme="minorEastAsia" w:eastAsiaTheme="minorEastAsia" w:hAnsiTheme="minorEastAsia" w:hint="eastAsia"/>
        </w:rPr>
        <w:t>、中国证监会：指中国证券监督管理委员会</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w:t>
      </w:r>
      <w:r w:rsidRPr="001B5B45">
        <w:rPr>
          <w:rStyle w:val="da"/>
          <w:rFonts w:asciiTheme="minorEastAsia" w:eastAsiaTheme="minorEastAsia" w:hAnsiTheme="minorEastAsia"/>
        </w:rPr>
        <w:t>6</w:t>
      </w:r>
      <w:r w:rsidR="003174D4" w:rsidRPr="001B5B45">
        <w:rPr>
          <w:rStyle w:val="da"/>
          <w:rFonts w:asciiTheme="minorEastAsia" w:eastAsiaTheme="minorEastAsia" w:hAnsiTheme="minorEastAsia" w:hint="eastAsia"/>
        </w:rPr>
        <w:t>、银行业监督管理机构：指中国人民银行和/或</w:t>
      </w:r>
      <w:r w:rsidR="008242D7" w:rsidRPr="001B5B45">
        <w:rPr>
          <w:rStyle w:val="da"/>
          <w:rFonts w:asciiTheme="minorEastAsia" w:eastAsiaTheme="minorEastAsia" w:hAnsiTheme="minorEastAsia" w:hint="eastAsia"/>
        </w:rPr>
        <w:t>中国银行保险监督管理委员会</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7</w:t>
      </w:r>
      <w:r w:rsidR="003174D4" w:rsidRPr="001B5B45">
        <w:rPr>
          <w:rStyle w:val="da"/>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8</w:t>
      </w:r>
      <w:r w:rsidR="003174D4" w:rsidRPr="001B5B45">
        <w:rPr>
          <w:rStyle w:val="da"/>
          <w:rFonts w:asciiTheme="minorEastAsia" w:eastAsiaTheme="minorEastAsia" w:hAnsiTheme="minorEastAsia" w:hint="eastAsia"/>
        </w:rPr>
        <w:t>、个人投资者：指依据有关法律法规规定可投资于证券投资基金的自然人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19</w:t>
      </w:r>
      <w:r w:rsidR="003174D4" w:rsidRPr="001B5B45">
        <w:rPr>
          <w:rStyle w:val="da"/>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20</w:t>
      </w:r>
      <w:r w:rsidR="003174D4" w:rsidRPr="001B5B45">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21</w:t>
      </w:r>
      <w:r w:rsidR="003174D4" w:rsidRPr="001B5B45">
        <w:rPr>
          <w:rStyle w:val="da"/>
          <w:rFonts w:asciiTheme="minorEastAsia" w:eastAsiaTheme="minorEastAsia" w:hAnsiTheme="minorEastAsia" w:hint="eastAsia"/>
        </w:rPr>
        <w:t>、投资人：指个人投资者、机构投资者和合格境外机构投资者以及法律法规或中国证监会允许购买证券投资基金的其他投资人的合称</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2</w:t>
      </w:r>
      <w:r w:rsidR="003174D4" w:rsidRPr="001B5B45">
        <w:rPr>
          <w:rStyle w:val="da"/>
          <w:rFonts w:asciiTheme="minorEastAsia" w:eastAsiaTheme="minorEastAsia" w:hAnsiTheme="minorEastAsia" w:hint="eastAsia"/>
        </w:rPr>
        <w:t>、基金份额持有人：指依基金合同和招募说明书合法取得基金份额的投资人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3</w:t>
      </w:r>
      <w:r w:rsidR="003174D4" w:rsidRPr="001B5B45">
        <w:rPr>
          <w:rStyle w:val="da"/>
          <w:rFonts w:asciiTheme="minorEastAsia" w:eastAsiaTheme="minorEastAsia" w:hAnsiTheme="minorEastAsia" w:hint="eastAsia"/>
        </w:rPr>
        <w:t>、基金销售业务：</w:t>
      </w:r>
      <w:r w:rsidR="003174D4" w:rsidRPr="001B5B45">
        <w:rPr>
          <w:rFonts w:asciiTheme="minorEastAsia" w:eastAsiaTheme="minorEastAsia" w:hAnsiTheme="minorEastAsia"/>
          <w:bCs/>
        </w:rPr>
        <w:t>指基金管理人或销售机构宣传推介基金，发售基金份额，办理基金份额的申购、赎回、转换、转托管及定期定额投资等业务</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4</w:t>
      </w:r>
      <w:r w:rsidR="003174D4" w:rsidRPr="001B5B45">
        <w:rPr>
          <w:rStyle w:val="da"/>
          <w:rFonts w:asciiTheme="minorEastAsia" w:eastAsiaTheme="minorEastAsia" w:hAnsiTheme="minorEastAsia" w:hint="eastAsia"/>
        </w:rPr>
        <w:t>、销售机构：指易方达基金管理有限公司以及符合《销售办法》和中国证监会规定的其他条件，取得基金销售业务资格并与基金管理人签订了基金销售服务协议，办理基金销售业务的机构</w:t>
      </w:r>
    </w:p>
    <w:p w:rsidR="003174D4" w:rsidRPr="001B5B45" w:rsidRDefault="00A5037A" w:rsidP="003174D4">
      <w:pPr>
        <w:spacing w:line="360" w:lineRule="auto"/>
        <w:ind w:firstLineChars="200" w:firstLine="420"/>
        <w:rPr>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5</w:t>
      </w:r>
      <w:r w:rsidR="003174D4" w:rsidRPr="001B5B45">
        <w:rPr>
          <w:rStyle w:val="da"/>
          <w:rFonts w:asciiTheme="minorEastAsia" w:eastAsiaTheme="minorEastAsia" w:hAnsiTheme="minorEastAsia" w:hint="eastAsia"/>
        </w:rPr>
        <w:t>、</w:t>
      </w:r>
      <w:r w:rsidR="003174D4" w:rsidRPr="001B5B45">
        <w:rPr>
          <w:rFonts w:asciiTheme="minorEastAsia" w:eastAsiaTheme="minorEastAsia" w:hAnsiTheme="minorEastAsia" w:hint="eastAsia"/>
        </w:rPr>
        <w:t>直销机构：指易方达基金管理有限公司</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6</w:t>
      </w:r>
      <w:r w:rsidR="003174D4" w:rsidRPr="001B5B45">
        <w:rPr>
          <w:rStyle w:val="da"/>
          <w:rFonts w:asciiTheme="minorEastAsia" w:eastAsiaTheme="minorEastAsia" w:hAnsiTheme="minorEastAsia" w:hint="eastAsia"/>
        </w:rPr>
        <w:t>、非</w:t>
      </w:r>
      <w:r w:rsidR="003174D4" w:rsidRPr="001B5B45">
        <w:rPr>
          <w:rFonts w:asciiTheme="minorEastAsia" w:eastAsiaTheme="minorEastAsia" w:hAnsiTheme="minorEastAsia" w:hint="eastAsia"/>
        </w:rPr>
        <w:t>直销销售机构：指</w:t>
      </w:r>
      <w:r w:rsidR="003174D4" w:rsidRPr="001B5B45">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7</w:t>
      </w:r>
      <w:r w:rsidR="003174D4" w:rsidRPr="001B5B45">
        <w:rPr>
          <w:rStyle w:val="da"/>
          <w:rFonts w:asciiTheme="minorEastAsia" w:eastAsiaTheme="minorEastAsia" w:hAnsiTheme="minorEastAsia"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8</w:t>
      </w:r>
      <w:r w:rsidR="003174D4" w:rsidRPr="001B5B45">
        <w:rPr>
          <w:rStyle w:val="da"/>
          <w:rFonts w:asciiTheme="minorEastAsia" w:eastAsiaTheme="minorEastAsia" w:hAnsiTheme="minorEastAsia" w:hint="eastAsia"/>
        </w:rPr>
        <w:t>、登记机构：指办理登记业务的机构。基金的登记机构为易方达基金管理有限公司或接受易方达基金管理有限公司委托代为办理登记业务的机构</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w:t>
      </w:r>
      <w:r w:rsidRPr="001B5B45">
        <w:rPr>
          <w:rStyle w:val="da"/>
          <w:rFonts w:asciiTheme="minorEastAsia" w:eastAsiaTheme="minorEastAsia" w:hAnsiTheme="minorEastAsia"/>
        </w:rPr>
        <w:t>9</w:t>
      </w:r>
      <w:r w:rsidR="003174D4" w:rsidRPr="001B5B45">
        <w:rPr>
          <w:rStyle w:val="da"/>
          <w:rFonts w:asciiTheme="minorEastAsia" w:eastAsiaTheme="minorEastAsia" w:hAnsiTheme="minorEastAsia" w:hint="eastAsia"/>
        </w:rPr>
        <w:t>、基金账户：指登记机构为投资人开立的、记录其持有的、基金管理人所管理的基金份额余额及其变动情况的账户</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30</w:t>
      </w:r>
      <w:r w:rsidR="003174D4" w:rsidRPr="001B5B45">
        <w:rPr>
          <w:rStyle w:val="da"/>
          <w:rFonts w:asciiTheme="minorEastAsia" w:eastAsiaTheme="minorEastAsia" w:hAnsiTheme="minorEastAsia" w:hint="eastAsia"/>
        </w:rPr>
        <w:t>、基金交易账户：指销售机构为投资人开立的、记录投资人通过该销售机构买卖基金的基金份额变动及结余情况的账户</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31</w:t>
      </w:r>
      <w:r w:rsidR="003174D4" w:rsidRPr="001B5B45">
        <w:rPr>
          <w:rStyle w:val="da"/>
          <w:rFonts w:asciiTheme="minorEastAsia" w:eastAsiaTheme="minorEastAsia" w:hAnsiTheme="minorEastAsia" w:hint="eastAsia"/>
        </w:rPr>
        <w:t>、基金合同生效日：指基金募集达到法律法规规定及基金合同规定的条件，基金管理</w:t>
      </w:r>
      <w:r w:rsidR="003174D4" w:rsidRPr="001B5B45">
        <w:rPr>
          <w:rStyle w:val="da"/>
          <w:rFonts w:asciiTheme="minorEastAsia" w:eastAsiaTheme="minorEastAsia" w:hAnsiTheme="minorEastAsia" w:hint="eastAsia"/>
        </w:rPr>
        <w:lastRenderedPageBreak/>
        <w:t>人向中国证监会办理基金备案手续完毕，并获得中国证监会书面确认的日期</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2</w:t>
      </w:r>
      <w:r w:rsidR="003174D4" w:rsidRPr="001B5B45">
        <w:rPr>
          <w:rStyle w:val="da"/>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3</w:t>
      </w:r>
      <w:r w:rsidR="003174D4" w:rsidRPr="001B5B45">
        <w:rPr>
          <w:rStyle w:val="da"/>
          <w:rFonts w:asciiTheme="minorEastAsia" w:eastAsiaTheme="minorEastAsia" w:hAnsiTheme="minorEastAsia" w:hint="eastAsia"/>
        </w:rPr>
        <w:t>、基金募集期：指自基金份额发售之日起至发售结束之日止的期间，最长不得超过3个月</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4</w:t>
      </w:r>
      <w:r w:rsidR="003174D4" w:rsidRPr="001B5B45">
        <w:rPr>
          <w:rStyle w:val="da"/>
          <w:rFonts w:asciiTheme="minorEastAsia" w:eastAsiaTheme="minorEastAsia" w:hAnsiTheme="minorEastAsia" w:hint="eastAsia"/>
        </w:rPr>
        <w:t>、存续期：指基金合同生效日至终止日之间的不定期期限</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5</w:t>
      </w:r>
      <w:r w:rsidR="003174D4" w:rsidRPr="001B5B45">
        <w:rPr>
          <w:rStyle w:val="da"/>
          <w:rFonts w:asciiTheme="minorEastAsia" w:eastAsiaTheme="minorEastAsia" w:hAnsiTheme="minorEastAsia" w:hint="eastAsia"/>
        </w:rPr>
        <w:t>、工作日：指上海证券交易所、深圳证券交易所的交易日</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6</w:t>
      </w:r>
      <w:r w:rsidR="003174D4" w:rsidRPr="001B5B45">
        <w:rPr>
          <w:rStyle w:val="da"/>
          <w:rFonts w:asciiTheme="minorEastAsia" w:eastAsiaTheme="minorEastAsia" w:hAnsiTheme="minorEastAsia" w:hint="eastAsia"/>
        </w:rPr>
        <w:t>、T日：指销售机构在规定时间受理投资人申购、赎回或其他业务申请的开放日</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7</w:t>
      </w:r>
      <w:r w:rsidR="003174D4" w:rsidRPr="001B5B45">
        <w:rPr>
          <w:rStyle w:val="da"/>
          <w:rFonts w:asciiTheme="minorEastAsia" w:eastAsiaTheme="minorEastAsia" w:hAnsiTheme="minorEastAsia" w:hint="eastAsia"/>
        </w:rPr>
        <w:t>、T+n日：指自T日起第n个工作日(不包含T日)，n为自然数</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8</w:t>
      </w:r>
      <w:r w:rsidR="003174D4" w:rsidRPr="001B5B45">
        <w:rPr>
          <w:rStyle w:val="da"/>
          <w:rFonts w:asciiTheme="minorEastAsia" w:eastAsiaTheme="minorEastAsia" w:hAnsiTheme="minorEastAsia" w:hint="eastAsia"/>
        </w:rPr>
        <w:t>、开放日：指为投资人办理基金份额申购、赎回或其他业务的工作日</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39</w:t>
      </w:r>
      <w:r w:rsidR="003174D4" w:rsidRPr="001B5B45">
        <w:rPr>
          <w:rStyle w:val="da"/>
          <w:rFonts w:asciiTheme="minorEastAsia" w:eastAsiaTheme="minorEastAsia" w:hAnsiTheme="minorEastAsia" w:hint="eastAsia"/>
        </w:rPr>
        <w:t>、开放时间：指开放日基金接受申购、赎回或其他交易的时间段</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40</w:t>
      </w:r>
      <w:r w:rsidR="003174D4" w:rsidRPr="001B5B45">
        <w:rPr>
          <w:rStyle w:val="da"/>
          <w:rFonts w:asciiTheme="minorEastAsia" w:eastAsiaTheme="minorEastAsia" w:hAnsiTheme="minorEastAsia" w:hint="eastAsia"/>
        </w:rPr>
        <w:t>、《业务规则》：指《易方达基金管理有限公司开放式基金业务规则》，是规范基金管理人所管理的开放式证券投资基金登记方面的业务规则，由基金管理人和投资人共同遵守</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41</w:t>
      </w:r>
      <w:r w:rsidR="003174D4" w:rsidRPr="001B5B45">
        <w:rPr>
          <w:rStyle w:val="da"/>
          <w:rFonts w:asciiTheme="minorEastAsia" w:eastAsiaTheme="minorEastAsia" w:hAnsiTheme="minorEastAsia" w:hint="eastAsia"/>
        </w:rPr>
        <w:t>、认购：指在基金募集期内，投资人申请购买基金份额的行为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2</w:t>
      </w:r>
      <w:r w:rsidR="003174D4" w:rsidRPr="001B5B45">
        <w:rPr>
          <w:rStyle w:val="da"/>
          <w:rFonts w:asciiTheme="minorEastAsia" w:eastAsiaTheme="minorEastAsia" w:hAnsiTheme="minorEastAsia" w:hint="eastAsia"/>
        </w:rPr>
        <w:t>、申购：指基金合同生效后，投资人根据基金合同和招募说明书的规定申请购买基金份额的行为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3</w:t>
      </w:r>
      <w:r w:rsidR="003174D4" w:rsidRPr="001B5B45">
        <w:rPr>
          <w:rStyle w:val="da"/>
          <w:rFonts w:asciiTheme="minorEastAsia" w:eastAsiaTheme="minorEastAsia" w:hAnsiTheme="minorEastAsia" w:hint="eastAsia"/>
        </w:rPr>
        <w:t>、赎回：指基金合同生效后，基金份额持有人按基金合同规定的条件要求将基金份额兑换为现金的行为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4</w:t>
      </w:r>
      <w:r w:rsidR="003174D4" w:rsidRPr="001B5B45">
        <w:rPr>
          <w:rStyle w:val="da"/>
          <w:rFonts w:asciiTheme="minorEastAsia" w:eastAsiaTheme="minorEastAsia" w:hAnsiTheme="minorEastAsia"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5</w:t>
      </w:r>
      <w:r w:rsidR="003174D4" w:rsidRPr="001B5B45">
        <w:rPr>
          <w:rStyle w:val="da"/>
          <w:rFonts w:asciiTheme="minorEastAsia" w:eastAsiaTheme="minorEastAsia" w:hAnsiTheme="minorEastAsia" w:hint="eastAsia"/>
        </w:rPr>
        <w:t>、转托管：指基金份额持有人在本基金的不同销售机构之间实施的变更所持基金份额销售机构的操作</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6</w:t>
      </w:r>
      <w:r w:rsidR="003174D4" w:rsidRPr="001B5B45">
        <w:rPr>
          <w:rStyle w:val="da"/>
          <w:rFonts w:asciiTheme="minorEastAsia" w:eastAsiaTheme="minorEastAsia" w:hAnsiTheme="minorEastAsia" w:hint="eastAsia"/>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7</w:t>
      </w:r>
      <w:r w:rsidR="003174D4" w:rsidRPr="001B5B45">
        <w:rPr>
          <w:rStyle w:val="da"/>
          <w:rFonts w:asciiTheme="minorEastAsia" w:eastAsiaTheme="minorEastAsia" w:hAnsiTheme="minorEastAsia"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4</w:t>
      </w:r>
      <w:r w:rsidRPr="001B5B45">
        <w:rPr>
          <w:rStyle w:val="da"/>
          <w:rFonts w:asciiTheme="minorEastAsia" w:eastAsiaTheme="minorEastAsia" w:hAnsiTheme="minorEastAsia"/>
        </w:rPr>
        <w:t>8</w:t>
      </w:r>
      <w:r w:rsidR="003174D4" w:rsidRPr="001B5B45">
        <w:rPr>
          <w:rStyle w:val="da"/>
          <w:rFonts w:asciiTheme="minorEastAsia" w:eastAsiaTheme="minorEastAsia" w:hAnsiTheme="minorEastAsia" w:hint="eastAsia"/>
        </w:rPr>
        <w:t>、元：指人民币元</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w:t>
      </w:r>
      <w:r w:rsidRPr="001B5B45">
        <w:rPr>
          <w:rStyle w:val="da"/>
          <w:rFonts w:asciiTheme="minorEastAsia" w:eastAsiaTheme="minorEastAsia" w:hAnsiTheme="minorEastAsia"/>
        </w:rPr>
        <w:t>9</w:t>
      </w:r>
      <w:r w:rsidR="003174D4" w:rsidRPr="001B5B45">
        <w:rPr>
          <w:rStyle w:val="da"/>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50</w:t>
      </w:r>
      <w:r w:rsidR="003174D4" w:rsidRPr="001B5B45">
        <w:rPr>
          <w:rStyle w:val="da"/>
          <w:rFonts w:asciiTheme="minorEastAsia" w:eastAsiaTheme="minorEastAsia" w:hAnsiTheme="minorEastAsia" w:hint="eastAsia"/>
        </w:rPr>
        <w:t>、基金资产总值：指基金拥有的各类有价证券、银行存款本息、基金应收申购款及其他资产的价值总和</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51</w:t>
      </w:r>
      <w:r w:rsidR="003174D4" w:rsidRPr="001B5B45">
        <w:rPr>
          <w:rStyle w:val="da"/>
          <w:rFonts w:asciiTheme="minorEastAsia" w:eastAsiaTheme="minorEastAsia" w:hAnsiTheme="minorEastAsia" w:hint="eastAsia"/>
        </w:rPr>
        <w:t>、基金资产净值：指基金资产总值减去基金负债后的价值</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w:t>
      </w:r>
      <w:r w:rsidRPr="001B5B45">
        <w:rPr>
          <w:rStyle w:val="da"/>
          <w:rFonts w:asciiTheme="minorEastAsia" w:eastAsiaTheme="minorEastAsia" w:hAnsiTheme="minorEastAsia"/>
        </w:rPr>
        <w:t>2</w:t>
      </w:r>
      <w:r w:rsidR="003174D4" w:rsidRPr="001B5B45">
        <w:rPr>
          <w:rStyle w:val="da"/>
          <w:rFonts w:asciiTheme="minorEastAsia" w:eastAsiaTheme="minorEastAsia" w:hAnsiTheme="minorEastAsia" w:hint="eastAsia"/>
        </w:rPr>
        <w:t>、基金份额净值：指计算日基金资产净值除以计算日基金份额总数</w:t>
      </w:r>
    </w:p>
    <w:p w:rsidR="003174D4" w:rsidRPr="001B5B45" w:rsidRDefault="00A5037A"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w:t>
      </w:r>
      <w:r w:rsidRPr="001B5B45">
        <w:rPr>
          <w:rStyle w:val="da"/>
          <w:rFonts w:asciiTheme="minorEastAsia" w:eastAsiaTheme="minorEastAsia" w:hAnsiTheme="minorEastAsia"/>
        </w:rPr>
        <w:t>3</w:t>
      </w:r>
      <w:r w:rsidR="003174D4" w:rsidRPr="001B5B45">
        <w:rPr>
          <w:rStyle w:val="da"/>
          <w:rFonts w:asciiTheme="minorEastAsia" w:eastAsiaTheme="minorEastAsia" w:hAnsiTheme="minorEastAsia" w:hint="eastAsia"/>
        </w:rPr>
        <w:t>、基金资产估值：指计算评估基金资产和负债的价值，以确定基金资产净值和基金份额净值的过程</w:t>
      </w:r>
    </w:p>
    <w:p w:rsidR="00A5037A" w:rsidRPr="001B5B45" w:rsidRDefault="00A5037A" w:rsidP="00A5037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w:t>
      </w:r>
      <w:r w:rsidRPr="001B5B45">
        <w:rPr>
          <w:rStyle w:val="da"/>
          <w:rFonts w:asciiTheme="minorEastAsia" w:eastAsiaTheme="minorEastAsia" w:hAnsiTheme="minorEastAsia"/>
        </w:rPr>
        <w:t>4</w:t>
      </w:r>
      <w:r w:rsidR="003174D4" w:rsidRPr="001B5B45">
        <w:rPr>
          <w:rStyle w:val="da"/>
          <w:rFonts w:asciiTheme="minorEastAsia" w:eastAsiaTheme="minorEastAsia" w:hAnsiTheme="minorEastAsia" w:hint="eastAsia"/>
        </w:rPr>
        <w:t>、指定媒介：</w:t>
      </w:r>
      <w:r w:rsidRPr="001B5B45">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3174D4" w:rsidRPr="001B5B45" w:rsidRDefault="00BF1CA6" w:rsidP="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w:t>
      </w:r>
      <w:r w:rsidR="00A5037A" w:rsidRPr="001B5B45">
        <w:rPr>
          <w:rStyle w:val="da"/>
          <w:rFonts w:asciiTheme="minorEastAsia" w:eastAsiaTheme="minorEastAsia" w:hAnsiTheme="minorEastAsia"/>
        </w:rPr>
        <w:t>5</w:t>
      </w:r>
      <w:r w:rsidR="003174D4" w:rsidRPr="001B5B45">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BF1CA6" w:rsidRPr="001B5B45" w:rsidRDefault="00A5037A" w:rsidP="00BF1CA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w:t>
      </w:r>
      <w:r w:rsidRPr="001B5B45">
        <w:rPr>
          <w:rStyle w:val="da"/>
          <w:rFonts w:asciiTheme="minorEastAsia" w:eastAsiaTheme="minorEastAsia" w:hAnsiTheme="minorEastAsia"/>
        </w:rPr>
        <w:t>6</w:t>
      </w:r>
      <w:r w:rsidR="003174D4" w:rsidRPr="001B5B45">
        <w:rPr>
          <w:rStyle w:val="da"/>
          <w:rFonts w:asciiTheme="minorEastAsia" w:eastAsiaTheme="minorEastAsia" w:hAnsiTheme="minorEastAsia" w:hint="eastAsia"/>
        </w:rPr>
        <w:t>、不可抗力：指基金合同当事人不能预见、不能避免且不能克服的客观事件</w:t>
      </w:r>
    </w:p>
    <w:p w:rsidR="003A7D4D" w:rsidRPr="001B5B45" w:rsidRDefault="00A5037A"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57</w:t>
      </w:r>
      <w:r w:rsidR="00753F8C" w:rsidRPr="001B5B45">
        <w:rPr>
          <w:rStyle w:val="da"/>
          <w:rFonts w:asciiTheme="minorEastAsia" w:eastAsiaTheme="minorEastAsia" w:hAnsiTheme="minorEastAsia" w:hint="eastAsia"/>
        </w:rPr>
        <w:t>、流动性受限资产：指由于法律法规、监管、合同或操作障碍等原因无法以合理价格予以变现的资产，包括但不限于到期日在</w:t>
      </w:r>
      <w:r w:rsidR="00753F8C" w:rsidRPr="001B5B45">
        <w:rPr>
          <w:rStyle w:val="da"/>
          <w:rFonts w:asciiTheme="minorEastAsia" w:eastAsiaTheme="minorEastAsia" w:hAnsiTheme="minorEastAsia"/>
        </w:rPr>
        <w:t>10</w:t>
      </w:r>
      <w:r w:rsidR="00753F8C" w:rsidRPr="001B5B45">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3174D4" w:rsidRPr="001B5B45" w:rsidRDefault="003174D4" w:rsidP="003174D4">
      <w:pPr>
        <w:spacing w:line="360" w:lineRule="auto"/>
        <w:ind w:firstLineChars="200" w:firstLine="420"/>
        <w:rPr>
          <w:rStyle w:val="da"/>
          <w:rFonts w:asciiTheme="minorEastAsia" w:eastAsiaTheme="minorEastAsia" w:hAnsiTheme="minorEastAsia"/>
        </w:rPr>
      </w:pPr>
    </w:p>
    <w:p w:rsidR="009918CF" w:rsidRPr="001B5B45" w:rsidRDefault="009918CF">
      <w:pPr>
        <w:widowControl/>
        <w:jc w:val="left"/>
        <w:rPr>
          <w:rStyle w:val="da"/>
          <w:rFonts w:asciiTheme="minorEastAsia" w:eastAsiaTheme="minorEastAsia" w:hAnsiTheme="minorEastAsia"/>
        </w:rPr>
      </w:pPr>
      <w:r w:rsidRPr="001B5B45">
        <w:rPr>
          <w:rStyle w:val="da"/>
          <w:rFonts w:asciiTheme="minorEastAsia" w:eastAsiaTheme="minorEastAsia" w:hAnsiTheme="minorEastAsia"/>
        </w:rPr>
        <w:br w:type="page"/>
      </w:r>
    </w:p>
    <w:p w:rsidR="00BA4B87" w:rsidRPr="001B5B45" w:rsidRDefault="00BA4B87" w:rsidP="009918CF">
      <w:pPr>
        <w:pStyle w:val="111"/>
        <w:pageBreakBefore w:val="0"/>
        <w:snapToGrid w:val="0"/>
        <w:spacing w:beforeLines="0" w:afterLines="0" w:line="360" w:lineRule="auto"/>
        <w:ind w:firstLine="600"/>
        <w:rPr>
          <w:rFonts w:asciiTheme="minorEastAsia" w:eastAsiaTheme="minorEastAsia" w:hAnsiTheme="minorEastAsia"/>
          <w:sz w:val="30"/>
        </w:rPr>
      </w:pPr>
      <w:bookmarkStart w:id="5" w:name="_Toc332373446"/>
      <w:bookmarkStart w:id="6" w:name="_Toc46927558"/>
      <w:r w:rsidRPr="001B5B45">
        <w:rPr>
          <w:rFonts w:asciiTheme="minorEastAsia" w:eastAsiaTheme="minorEastAsia" w:hAnsiTheme="minorEastAsia"/>
          <w:sz w:val="30"/>
        </w:rPr>
        <w:lastRenderedPageBreak/>
        <w:t>三、基金管理人</w:t>
      </w:r>
      <w:bookmarkEnd w:id="5"/>
      <w:bookmarkEnd w:id="6"/>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7" w:name="_Toc332373447"/>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基金管理人基本情况</w:t>
      </w:r>
      <w:bookmarkEnd w:id="7"/>
    </w:p>
    <w:p w:rsidR="00DC4340" w:rsidRPr="001B5B45" w:rsidRDefault="00DC4340" w:rsidP="006C3CF2">
      <w:pPr>
        <w:spacing w:line="360" w:lineRule="auto"/>
        <w:ind w:firstLineChars="200" w:firstLine="420"/>
        <w:rPr>
          <w:rStyle w:val="da"/>
          <w:rFonts w:asciiTheme="minorEastAsia" w:eastAsiaTheme="minorEastAsia" w:hAnsiTheme="minorEastAsia"/>
        </w:rPr>
      </w:pPr>
      <w:bookmarkStart w:id="8" w:name="_Toc332373448"/>
      <w:r w:rsidRPr="001B5B45">
        <w:rPr>
          <w:rStyle w:val="da"/>
          <w:rFonts w:asciiTheme="minorEastAsia" w:eastAsiaTheme="minorEastAsia" w:hAnsiTheme="minorEastAsia"/>
        </w:rPr>
        <w:t>1、基金管理人：</w:t>
      </w:r>
      <w:r w:rsidR="00B94B06" w:rsidRPr="001B5B45">
        <w:rPr>
          <w:rStyle w:val="da"/>
          <w:rFonts w:asciiTheme="minorEastAsia" w:eastAsiaTheme="minorEastAsia" w:hAnsiTheme="minorEastAsia"/>
        </w:rPr>
        <w:t>易方达基金管理有限公司</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注册地址：</w:t>
      </w:r>
      <w:r w:rsidR="006912FF" w:rsidRPr="001B5B45">
        <w:rPr>
          <w:rFonts w:asciiTheme="minorEastAsia" w:eastAsiaTheme="minorEastAsia" w:hAnsiTheme="minorEastAsia"/>
        </w:rPr>
        <w:t>广东省珠海市横琴新区宝华路6号105室－42891（集中办公区）</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办公地址：</w:t>
      </w:r>
      <w:r w:rsidR="00B94B06" w:rsidRPr="001B5B45">
        <w:rPr>
          <w:rStyle w:val="da"/>
          <w:rFonts w:asciiTheme="minorEastAsia" w:eastAsiaTheme="minorEastAsia" w:hAnsiTheme="minorEastAsia"/>
        </w:rPr>
        <w:t>广州市天河区珠江新城珠江东路30号广州银行大厦40-43楼</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设立日期：</w:t>
      </w:r>
      <w:r w:rsidR="00B94B06" w:rsidRPr="001B5B45">
        <w:rPr>
          <w:rStyle w:val="da"/>
          <w:rFonts w:asciiTheme="minorEastAsia" w:eastAsiaTheme="minorEastAsia" w:hAnsiTheme="minorEastAsia"/>
        </w:rPr>
        <w:t>2001年4月17日</w:t>
      </w:r>
    </w:p>
    <w:p w:rsidR="00B95FC7"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法定代表人：</w:t>
      </w:r>
      <w:r w:rsidR="00B94B06" w:rsidRPr="001B5B45">
        <w:rPr>
          <w:rStyle w:val="da"/>
          <w:rFonts w:asciiTheme="minorEastAsia" w:eastAsiaTheme="minorEastAsia" w:hAnsiTheme="minorEastAsia"/>
        </w:rPr>
        <w:t>刘晓艳</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联系电话：</w:t>
      </w:r>
      <w:r w:rsidR="00B94B06" w:rsidRPr="001B5B45">
        <w:rPr>
          <w:rStyle w:val="da"/>
          <w:rFonts w:asciiTheme="minorEastAsia" w:eastAsiaTheme="minorEastAsia" w:hAnsiTheme="minorEastAsia"/>
        </w:rPr>
        <w:t>4008818088</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联系人：</w:t>
      </w:r>
      <w:r w:rsidR="00796575" w:rsidRPr="001B5B45">
        <w:rPr>
          <w:rStyle w:val="da"/>
          <w:rFonts w:asciiTheme="minorEastAsia" w:eastAsiaTheme="minorEastAsia" w:hAnsiTheme="minorEastAsia"/>
        </w:rPr>
        <w:t>李红枫</w:t>
      </w:r>
    </w:p>
    <w:p w:rsidR="00E1511F" w:rsidRPr="001B5B45" w:rsidRDefault="00C80A1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注册资本：13,244.2万元人民币</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批准设立机关及文号：</w:t>
      </w:r>
      <w:r w:rsidR="00B94B06" w:rsidRPr="001B5B45">
        <w:rPr>
          <w:rStyle w:val="da"/>
          <w:rFonts w:asciiTheme="minorEastAsia" w:eastAsiaTheme="minorEastAsia" w:hAnsiTheme="minorEastAsia"/>
        </w:rPr>
        <w:t>中国证券监督管理委员会</w:t>
      </w:r>
      <w:r w:rsidRPr="001B5B45">
        <w:rPr>
          <w:rStyle w:val="da"/>
          <w:rFonts w:asciiTheme="minorEastAsia" w:eastAsiaTheme="minorEastAsia" w:hAnsiTheme="minorEastAsia"/>
        </w:rPr>
        <w:t>，</w:t>
      </w:r>
      <w:r w:rsidR="00B94B06" w:rsidRPr="001B5B45">
        <w:rPr>
          <w:rStyle w:val="da"/>
          <w:rFonts w:asciiTheme="minorEastAsia" w:eastAsiaTheme="minorEastAsia" w:hAnsiTheme="minorEastAsia"/>
        </w:rPr>
        <w:t>证监基金字[2001]4号</w:t>
      </w:r>
    </w:p>
    <w:p w:rsidR="00E1511F" w:rsidRPr="001B5B45" w:rsidRDefault="00E1511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经营范围：</w:t>
      </w:r>
      <w:r w:rsidR="006912FF" w:rsidRPr="001B5B45">
        <w:rPr>
          <w:rFonts w:asciiTheme="minorEastAsia" w:eastAsiaTheme="minorEastAsia" w:hAnsiTheme="minorEastAsia"/>
        </w:rPr>
        <w:t>公开募集证券投资基金管理、基金销售、特定客户资产管理</w:t>
      </w:r>
    </w:p>
    <w:p w:rsidR="00DC4340" w:rsidRPr="001B5B45" w:rsidRDefault="00DC434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052"/>
      </w:tblGrid>
      <w:tr w:rsidR="00BE3DDF" w:rsidRPr="001B5B45" w:rsidTr="00197EF8">
        <w:trPr>
          <w:jc w:val="center"/>
        </w:trPr>
        <w:tc>
          <w:tcPr>
            <w:tcW w:w="2621" w:type="pct"/>
            <w:vAlign w:val="center"/>
          </w:tcPr>
          <w:p w:rsidR="00DC4340" w:rsidRPr="001B5B45" w:rsidRDefault="00DC4340" w:rsidP="00CC1421">
            <w:pPr>
              <w:snapToGrid w:val="0"/>
              <w:spacing w:line="360" w:lineRule="auto"/>
              <w:ind w:firstLine="420"/>
              <w:jc w:val="center"/>
              <w:rPr>
                <w:rFonts w:asciiTheme="minorEastAsia" w:eastAsiaTheme="minorEastAsia" w:hAnsiTheme="minorEastAsia"/>
                <w:szCs w:val="21"/>
              </w:rPr>
            </w:pPr>
            <w:r w:rsidRPr="001B5B45">
              <w:rPr>
                <w:rFonts w:asciiTheme="minorEastAsia" w:eastAsiaTheme="minorEastAsia" w:hAnsiTheme="minorEastAsia"/>
                <w:szCs w:val="21"/>
              </w:rPr>
              <w:t>股东名称</w:t>
            </w:r>
          </w:p>
        </w:tc>
        <w:tc>
          <w:tcPr>
            <w:tcW w:w="2379" w:type="pct"/>
            <w:vAlign w:val="center"/>
          </w:tcPr>
          <w:p w:rsidR="00DC4340" w:rsidRPr="001B5B45" w:rsidRDefault="00DC4340" w:rsidP="00CC1421">
            <w:pPr>
              <w:snapToGrid w:val="0"/>
              <w:spacing w:line="360" w:lineRule="auto"/>
              <w:ind w:firstLine="420"/>
              <w:jc w:val="center"/>
              <w:rPr>
                <w:rFonts w:asciiTheme="minorEastAsia" w:eastAsiaTheme="minorEastAsia" w:hAnsiTheme="minorEastAsia"/>
                <w:szCs w:val="21"/>
              </w:rPr>
            </w:pPr>
            <w:r w:rsidRPr="001B5B45">
              <w:rPr>
                <w:rFonts w:asciiTheme="minorEastAsia" w:eastAsiaTheme="minorEastAsia" w:hAnsiTheme="minorEastAsia"/>
                <w:szCs w:val="21"/>
              </w:rPr>
              <w:t>出资比例</w:t>
            </w:r>
          </w:p>
        </w:tc>
      </w:tr>
      <w:tr w:rsidR="00BE3DDF" w:rsidRPr="001B5B45">
        <w:trPr>
          <w:jc w:val="center"/>
        </w:trPr>
        <w:tc>
          <w:tcPr>
            <w:tcW w:w="0" w:type="auto"/>
            <w:vAlign w:val="center"/>
          </w:tcPr>
          <w:p w:rsidR="00E37233"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广东粤财信托有限公司</w:t>
            </w:r>
          </w:p>
        </w:tc>
        <w:tc>
          <w:tcPr>
            <w:tcW w:w="0" w:type="auto"/>
            <w:vAlign w:val="center"/>
          </w:tcPr>
          <w:p w:rsidR="00E37233" w:rsidRPr="001B5B45" w:rsidRDefault="00C80A18">
            <w:pPr>
              <w:jc w:val="center"/>
              <w:rPr>
                <w:rFonts w:asciiTheme="minorEastAsia" w:eastAsiaTheme="minorEastAsia" w:hAnsiTheme="minorEastAsia"/>
              </w:rPr>
            </w:pPr>
            <w:r w:rsidRPr="001B5B45">
              <w:rPr>
                <w:rFonts w:asciiTheme="minorEastAsia" w:eastAsiaTheme="minorEastAsia" w:hAnsiTheme="minorEastAsia"/>
              </w:rPr>
              <w:t>22.6514％</w:t>
            </w:r>
          </w:p>
        </w:tc>
      </w:tr>
      <w:tr w:rsidR="00BE3DDF" w:rsidRPr="001B5B45">
        <w:trPr>
          <w:jc w:val="center"/>
        </w:trPr>
        <w:tc>
          <w:tcPr>
            <w:tcW w:w="0" w:type="auto"/>
            <w:vAlign w:val="center"/>
          </w:tcPr>
          <w:p w:rsidR="00E37233"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广发证券股份有限公司</w:t>
            </w:r>
          </w:p>
        </w:tc>
        <w:tc>
          <w:tcPr>
            <w:tcW w:w="0" w:type="auto"/>
            <w:vAlign w:val="center"/>
          </w:tcPr>
          <w:p w:rsidR="00E37233" w:rsidRPr="001B5B45" w:rsidRDefault="00C80A18">
            <w:pPr>
              <w:jc w:val="center"/>
              <w:rPr>
                <w:rFonts w:asciiTheme="minorEastAsia" w:eastAsiaTheme="minorEastAsia" w:hAnsiTheme="minorEastAsia"/>
              </w:rPr>
            </w:pPr>
            <w:r w:rsidRPr="001B5B45">
              <w:rPr>
                <w:rFonts w:asciiTheme="minorEastAsia" w:eastAsiaTheme="minorEastAsia" w:hAnsiTheme="minorEastAsia"/>
              </w:rPr>
              <w:t>22.6514％</w:t>
            </w:r>
          </w:p>
        </w:tc>
      </w:tr>
      <w:tr w:rsidR="00BE3DDF" w:rsidRPr="001B5B45">
        <w:trPr>
          <w:jc w:val="center"/>
        </w:trPr>
        <w:tc>
          <w:tcPr>
            <w:tcW w:w="0" w:type="auto"/>
            <w:vAlign w:val="center"/>
          </w:tcPr>
          <w:p w:rsidR="00E37233"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盈峰控股集团有限公司</w:t>
            </w:r>
          </w:p>
        </w:tc>
        <w:tc>
          <w:tcPr>
            <w:tcW w:w="0" w:type="auto"/>
            <w:vAlign w:val="center"/>
          </w:tcPr>
          <w:p w:rsidR="00E37233" w:rsidRPr="001B5B45" w:rsidRDefault="00C80A18">
            <w:pPr>
              <w:jc w:val="center"/>
              <w:rPr>
                <w:rFonts w:asciiTheme="minorEastAsia" w:eastAsiaTheme="minorEastAsia" w:hAnsiTheme="minorEastAsia"/>
              </w:rPr>
            </w:pPr>
            <w:r w:rsidRPr="001B5B45">
              <w:rPr>
                <w:rFonts w:asciiTheme="minorEastAsia" w:eastAsiaTheme="minorEastAsia" w:hAnsiTheme="minorEastAsia"/>
              </w:rPr>
              <w:t>22.6514％</w:t>
            </w:r>
          </w:p>
        </w:tc>
      </w:tr>
      <w:tr w:rsidR="00BE3DDF" w:rsidRPr="001B5B45">
        <w:trPr>
          <w:jc w:val="center"/>
        </w:trPr>
        <w:tc>
          <w:tcPr>
            <w:tcW w:w="0" w:type="auto"/>
            <w:vAlign w:val="center"/>
          </w:tcPr>
          <w:p w:rsidR="00E37233"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广东省广晟资产经营有限公司</w:t>
            </w:r>
          </w:p>
        </w:tc>
        <w:tc>
          <w:tcPr>
            <w:tcW w:w="0" w:type="auto"/>
            <w:vAlign w:val="center"/>
          </w:tcPr>
          <w:p w:rsidR="00E37233"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15.1010％</w:t>
            </w:r>
          </w:p>
        </w:tc>
      </w:tr>
      <w:tr w:rsidR="00BE3DDF" w:rsidRPr="001B5B45">
        <w:trPr>
          <w:jc w:val="center"/>
        </w:trPr>
        <w:tc>
          <w:tcPr>
            <w:tcW w:w="0" w:type="auto"/>
            <w:vAlign w:val="center"/>
          </w:tcPr>
          <w:p w:rsidR="00E37233"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广州市广永国有资产经营有限公司</w:t>
            </w:r>
          </w:p>
        </w:tc>
        <w:tc>
          <w:tcPr>
            <w:tcW w:w="0" w:type="auto"/>
            <w:vAlign w:val="center"/>
          </w:tcPr>
          <w:p w:rsidR="00E37233" w:rsidRPr="001B5B45" w:rsidRDefault="00C80A18">
            <w:pPr>
              <w:jc w:val="center"/>
              <w:rPr>
                <w:rFonts w:asciiTheme="minorEastAsia" w:eastAsiaTheme="minorEastAsia" w:hAnsiTheme="minorEastAsia"/>
              </w:rPr>
            </w:pPr>
            <w:r w:rsidRPr="001B5B45">
              <w:rPr>
                <w:rFonts w:asciiTheme="minorEastAsia" w:eastAsiaTheme="minorEastAsia" w:hAnsiTheme="minorEastAsia"/>
              </w:rPr>
              <w:t>7.5505％</w:t>
            </w:r>
          </w:p>
        </w:tc>
      </w:tr>
      <w:tr w:rsidR="00BE3DDF" w:rsidRPr="001B5B45">
        <w:trPr>
          <w:jc w:val="center"/>
        </w:trPr>
        <w:tc>
          <w:tcPr>
            <w:tcW w:w="0" w:type="auto"/>
            <w:vAlign w:val="center"/>
          </w:tcPr>
          <w:p w:rsidR="00E37233"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珠海祺荣宝股权投资合伙企业（有限合伙）</w:t>
            </w:r>
          </w:p>
        </w:tc>
        <w:tc>
          <w:tcPr>
            <w:tcW w:w="0" w:type="auto"/>
            <w:vAlign w:val="center"/>
          </w:tcPr>
          <w:p w:rsidR="00E37233"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1.5087％</w:t>
            </w:r>
          </w:p>
        </w:tc>
      </w:tr>
      <w:tr w:rsidR="00C80A18" w:rsidRPr="001B5B45">
        <w:trPr>
          <w:jc w:val="center"/>
        </w:trPr>
        <w:tc>
          <w:tcPr>
            <w:tcW w:w="0" w:type="auto"/>
            <w:vAlign w:val="center"/>
          </w:tcPr>
          <w:p w:rsidR="00C80A18"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珠海祺泰宝股权投资合伙企业（有限合伙）</w:t>
            </w:r>
          </w:p>
        </w:tc>
        <w:tc>
          <w:tcPr>
            <w:tcW w:w="0" w:type="auto"/>
            <w:vAlign w:val="center"/>
          </w:tcPr>
          <w:p w:rsidR="00C80A18"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1.6205％</w:t>
            </w:r>
          </w:p>
        </w:tc>
      </w:tr>
      <w:tr w:rsidR="00C80A18" w:rsidRPr="001B5B45">
        <w:trPr>
          <w:jc w:val="center"/>
        </w:trPr>
        <w:tc>
          <w:tcPr>
            <w:tcW w:w="0" w:type="auto"/>
            <w:vAlign w:val="center"/>
          </w:tcPr>
          <w:p w:rsidR="00C80A18"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珠海祺丰宝股权投资合伙企业（有限合伙）</w:t>
            </w:r>
          </w:p>
        </w:tc>
        <w:tc>
          <w:tcPr>
            <w:tcW w:w="0" w:type="auto"/>
            <w:vAlign w:val="center"/>
          </w:tcPr>
          <w:p w:rsidR="00C80A18"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1.5309％</w:t>
            </w:r>
          </w:p>
        </w:tc>
      </w:tr>
      <w:tr w:rsidR="00C80A18" w:rsidRPr="001B5B45">
        <w:trPr>
          <w:jc w:val="center"/>
        </w:trPr>
        <w:tc>
          <w:tcPr>
            <w:tcW w:w="0" w:type="auto"/>
            <w:vAlign w:val="center"/>
          </w:tcPr>
          <w:p w:rsidR="00C80A18"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珠海聚莱康股权投资合伙企业（有限合伙）</w:t>
            </w:r>
          </w:p>
        </w:tc>
        <w:tc>
          <w:tcPr>
            <w:tcW w:w="0" w:type="auto"/>
            <w:vAlign w:val="center"/>
          </w:tcPr>
          <w:p w:rsidR="00C80A18"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1.7558％</w:t>
            </w:r>
          </w:p>
        </w:tc>
      </w:tr>
      <w:tr w:rsidR="00C80A18" w:rsidRPr="001B5B45">
        <w:trPr>
          <w:jc w:val="center"/>
        </w:trPr>
        <w:tc>
          <w:tcPr>
            <w:tcW w:w="0" w:type="auto"/>
            <w:vAlign w:val="center"/>
          </w:tcPr>
          <w:p w:rsidR="00C80A18"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珠海聚宁康股权投资合伙企业（有限合伙）</w:t>
            </w:r>
          </w:p>
        </w:tc>
        <w:tc>
          <w:tcPr>
            <w:tcW w:w="0" w:type="auto"/>
            <w:vAlign w:val="center"/>
          </w:tcPr>
          <w:p w:rsidR="00C80A18"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1.4396％</w:t>
            </w:r>
          </w:p>
        </w:tc>
      </w:tr>
      <w:tr w:rsidR="00C80A18" w:rsidRPr="001B5B45">
        <w:trPr>
          <w:jc w:val="center"/>
        </w:trPr>
        <w:tc>
          <w:tcPr>
            <w:tcW w:w="0" w:type="auto"/>
            <w:vAlign w:val="center"/>
          </w:tcPr>
          <w:p w:rsidR="00C80A18"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珠海聚弘康股权投资合伙企业（有限合伙）</w:t>
            </w:r>
          </w:p>
        </w:tc>
        <w:tc>
          <w:tcPr>
            <w:tcW w:w="0" w:type="auto"/>
            <w:vAlign w:val="center"/>
          </w:tcPr>
          <w:p w:rsidR="00C80A18"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1.5388％</w:t>
            </w:r>
          </w:p>
        </w:tc>
      </w:tr>
      <w:tr w:rsidR="00C80A18" w:rsidRPr="001B5B45">
        <w:trPr>
          <w:jc w:val="center"/>
        </w:trPr>
        <w:tc>
          <w:tcPr>
            <w:tcW w:w="0" w:type="auto"/>
            <w:vAlign w:val="center"/>
          </w:tcPr>
          <w:p w:rsidR="00C80A18" w:rsidRPr="001B5B45" w:rsidRDefault="00C80A18">
            <w:pPr>
              <w:jc w:val="left"/>
              <w:rPr>
                <w:rFonts w:asciiTheme="minorEastAsia" w:eastAsiaTheme="minorEastAsia" w:hAnsiTheme="minorEastAsia"/>
              </w:rPr>
            </w:pPr>
            <w:r w:rsidRPr="001B5B45">
              <w:rPr>
                <w:rFonts w:asciiTheme="minorEastAsia" w:eastAsiaTheme="minorEastAsia" w:hAnsiTheme="minorEastAsia" w:hint="eastAsia"/>
              </w:rPr>
              <w:t>总</w:t>
            </w:r>
            <w:r w:rsidRPr="001B5B45">
              <w:rPr>
                <w:rFonts w:asciiTheme="minorEastAsia" w:eastAsiaTheme="minorEastAsia" w:hAnsiTheme="minorEastAsia"/>
              </w:rPr>
              <w:t>计</w:t>
            </w:r>
          </w:p>
        </w:tc>
        <w:tc>
          <w:tcPr>
            <w:tcW w:w="0" w:type="auto"/>
            <w:vAlign w:val="center"/>
          </w:tcPr>
          <w:p w:rsidR="00C80A18" w:rsidRPr="001B5B45" w:rsidRDefault="00C80A18">
            <w:pPr>
              <w:jc w:val="center"/>
              <w:rPr>
                <w:rFonts w:asciiTheme="minorEastAsia" w:eastAsiaTheme="minorEastAsia" w:hAnsiTheme="minorEastAsia"/>
              </w:rPr>
            </w:pPr>
            <w:r w:rsidRPr="001B5B45">
              <w:rPr>
                <w:rFonts w:asciiTheme="minorEastAsia" w:eastAsiaTheme="minorEastAsia" w:hAnsiTheme="minorEastAsia"/>
              </w:rPr>
              <w:t>100％</w:t>
            </w:r>
          </w:p>
        </w:tc>
      </w:tr>
    </w:tbl>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8D4032"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主要人员情况</w:t>
      </w:r>
      <w:bookmarkEnd w:id="8"/>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1、董事、监事及高级管理人员</w:t>
      </w:r>
    </w:p>
    <w:p w:rsidR="00E967AA" w:rsidRPr="001B5B45" w:rsidRDefault="00E967AA" w:rsidP="00E967AA">
      <w:pPr>
        <w:spacing w:line="360" w:lineRule="auto"/>
        <w:ind w:firstLineChars="200" w:firstLine="420"/>
        <w:rPr>
          <w:rFonts w:asciiTheme="minorEastAsia" w:eastAsiaTheme="minorEastAsia" w:hAnsiTheme="minorEastAsia"/>
        </w:rPr>
      </w:pPr>
      <w:bookmarkStart w:id="9" w:name="_Toc332373449"/>
      <w:r w:rsidRPr="001B5B45">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w:t>
      </w:r>
      <w:r w:rsidRPr="001B5B45">
        <w:rPr>
          <w:rFonts w:asciiTheme="minorEastAsia" w:eastAsiaTheme="minorEastAsia" w:hAnsiTheme="minorEastAsia" w:hint="eastAsia"/>
        </w:rPr>
        <w:lastRenderedPageBreak/>
        <w:t>达国际控股有限公司董事长。</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w:t>
      </w:r>
      <w:r w:rsidRPr="001B5B45">
        <w:rPr>
          <w:rFonts w:asciiTheme="minorEastAsia" w:eastAsiaTheme="minorEastAsia" w:hAnsiTheme="minorEastAsia" w:hint="eastAsia"/>
        </w:rPr>
        <w:lastRenderedPageBreak/>
        <w:t>中欧国际工商学院教授，瑞士洛桑管理学院教授。现任易方达基金管理有限公司独立董事，中欧国际工商学院教授，复星旅游文化集团（开曼）有限公司独立董事，上海汇招信息技术有限公司董事。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w:t>
      </w:r>
      <w:r w:rsidRPr="001B5B45">
        <w:rPr>
          <w:rFonts w:asciiTheme="minorEastAsia" w:eastAsiaTheme="minorEastAsia" w:hAnsiTheme="minorEastAsia" w:hint="eastAsia"/>
        </w:rPr>
        <w:lastRenderedPageBreak/>
        <w:t>总裁助理、市场总监。现任易方达基金管理有限公司监事、党群工作部联席总经理。</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w:t>
      </w:r>
      <w:r w:rsidRPr="001B5B45">
        <w:rPr>
          <w:rFonts w:asciiTheme="minorEastAsia" w:eastAsiaTheme="minorEastAsia" w:hAnsiTheme="minorEastAsia" w:hint="eastAsia"/>
        </w:rPr>
        <w:lastRenderedPageBreak/>
        <w:t>方达国际控股有限公司董事。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副总经理级高级管理人员。</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张坤先生，理学硕士，副总经理级高级管理人员。曾任易方达基金管理有限公司行业研</w:t>
      </w:r>
      <w:r w:rsidRPr="001B5B45">
        <w:rPr>
          <w:rFonts w:asciiTheme="minorEastAsia" w:eastAsiaTheme="minorEastAsia" w:hAnsiTheme="minorEastAsia" w:hint="eastAsia"/>
        </w:rPr>
        <w:lastRenderedPageBreak/>
        <w:t>究员、基金经理助理、研究部总经理助理。现任易方达基金管理有限公司副总经理级高级管理人员、权益投资决策委员会委员、基金经理。</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E967AA" w:rsidRPr="001B5B45" w:rsidRDefault="00E967AA" w:rsidP="00E967A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4F7BAB" w:rsidRPr="001B5B45" w:rsidRDefault="00E967AA" w:rsidP="0006546A">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bookmarkEnd w:id="9"/>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2、基金经理</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杨宗昌先生，化学博士。现任易方达基金管理有限公司易方达供给改革灵活配置混合型证券投资基金基金经理（自2019年4月23日起任职）、易方达新丝路灵活配置混合型证券投资基金基金经理助理、行业研究员。</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本基金历任基金经理情况：常远，管理时间为2017年1月25日至2018年12月24日；陈皓，管理时间为2017年1月25日至2018年12月24日</w:t>
      </w:r>
      <w:r w:rsidR="006473D0" w:rsidRPr="001B5B45">
        <w:rPr>
          <w:rStyle w:val="da"/>
          <w:rFonts w:asciiTheme="minorEastAsia" w:eastAsiaTheme="minorEastAsia" w:hAnsiTheme="minorEastAsia" w:hint="eastAsia"/>
        </w:rPr>
        <w:t>；兰传杰，管理时间为2018年12月25日至2020年8月21日</w:t>
      </w:r>
      <w:r w:rsidRPr="001B5B45">
        <w:rPr>
          <w:rStyle w:val="da"/>
          <w:rFonts w:asciiTheme="minorEastAsia" w:eastAsiaTheme="minorEastAsia" w:hAnsiTheme="minorEastAsia" w:hint="eastAsia"/>
        </w:rPr>
        <w:t>。</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3、权益投资决策委员会成员</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本公司权益投资决策委员会成员包括：吴欣荣先生、冯波先生、陈皓先生、张坤先生、孙松先生、付浩先生。</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吴欣荣先生，同上。</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冯波先生，易方达基金管理有限公司研究部总经理、基金经理。</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陈皓先生，易方达基金管理有限公司投资一部总经理、基金经理。</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张坤先生，同上。</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孙松先生，易方达基金管理有限公司投资二部总经理、基金经理。</w:t>
      </w:r>
    </w:p>
    <w:p w:rsidR="003650BE" w:rsidRPr="001B5B45" w:rsidRDefault="003650BE" w:rsidP="003650B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付浩先生，易方达基金管理有限公司权益投资管理部总经理、基金经理。</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4、上述人员之间均不存在近亲属关系。</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10" w:name="_Toc332373451"/>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基金管理人的职责</w:t>
      </w:r>
      <w:bookmarkEnd w:id="10"/>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1、依法募集资金，办理基金份额的发售和登记事宜；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2、办理基金备案手续；</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3、对所管理的不同基金财产分别管理、分别记账，进行证券投资；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4、按照基金合同的约定及时向基金份额持有人分配收益；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5、进行基金会计核算并编制基金财务会计报告；</w:t>
      </w:r>
    </w:p>
    <w:p w:rsidR="00125258" w:rsidRPr="001B5B45" w:rsidRDefault="00125258" w:rsidP="0012525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6、编制季度报告、中期报告和年度报告；</w:t>
      </w:r>
    </w:p>
    <w:p w:rsidR="00125258" w:rsidRPr="001B5B45" w:rsidRDefault="00125258" w:rsidP="0012525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7、计算并公告基金净值信息，确定基金份额申购、赎回价格；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8、办理与基金财产管理业务活动有关的信息披露事项；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9、按照规定召集基金份额持有人大会；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10、保存基金财产管理业务活动的记录、账册、报表和其他相关资料；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11、以基金管理人名义，代表基金份额持有人利益行使诉讼权利或者实施其他法律行为；</w:t>
      </w:r>
    </w:p>
    <w:p w:rsidR="003059D7" w:rsidRPr="001B5B45" w:rsidRDefault="00AA6F13" w:rsidP="006C3CF2">
      <w:pPr>
        <w:spacing w:line="360" w:lineRule="auto"/>
        <w:ind w:firstLineChars="200" w:firstLine="420"/>
        <w:rPr>
          <w:rStyle w:val="da"/>
          <w:rFonts w:asciiTheme="minorEastAsia" w:eastAsiaTheme="minorEastAsia" w:hAnsiTheme="minorEastAsia"/>
        </w:rPr>
      </w:pPr>
      <w:bookmarkStart w:id="11" w:name="_Toc332373455"/>
      <w:r w:rsidRPr="001B5B45">
        <w:rPr>
          <w:rStyle w:val="da"/>
          <w:rFonts w:asciiTheme="minorEastAsia" w:eastAsiaTheme="minorEastAsia" w:hAnsiTheme="minorEastAsia"/>
        </w:rPr>
        <w:t>12、中国证监会规定的其他职责。</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四</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基金管理人的承诺</w:t>
      </w:r>
      <w:bookmarkEnd w:id="11"/>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2、本基金管理人承诺严格遵守《证券法》、《基金法》及有关法律法规，建立健全内部控制制度，采取有效措施，防止下列行为发生：</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（1）将其固有财产或者他人财产混同于基金财产从事证券投资；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（2）不公平地对待其管理的不同基金财产；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（3）利用基金财产为基金份额持有人以外的第三人谋取利益；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（4）向基金份额持有人违规承诺收益或者承担损失；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（5）侵占、挪用基金财产；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（6）泄漏因职务便利获取的未公开信息、利用该信息从事或者明示、暗示他人从事相关的交易活动；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（7）玩忽职守，不按照规定履行职责；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（8）法律、行政法规和中国证监会禁止的其他行为。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3、本基金管理人承诺加强人员管理，强化职业操守，督促和约束员工遵守国家有关法律、法规及行业规范，诚实信用、勤勉尽责，不从事以下活动：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（1）越权或违规经营；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（2）违反基金合同或托管协议；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（3）故意损害基金份额持有人或其他基金相关机构的合法利益；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（4）在向中国证监会报送的资料中弄虚作假；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（5）拒绝、干扰、阻挠或严重影响中国证监会依法监管；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（6）玩忽职守、滥用职权；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（7）违反现行有效的有关法律、法规、规章、基金合同和中国证监会的有关规定，泄漏在任职期间知悉的有关证券、基金的商业秘密，尚未依法公开的基金投资内容、基金投资计划等信息；</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（8）违反证券交易场所业务规则，利用对敲、倒仓等手段操纵市场价格，扰乱市场秩序；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（9）贬损同行，以抬高自己；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（10）以不正当手段谋求业务发展；</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（11）有悖社会公德，损害证券投资基金人员形象；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（12）在公开信息披露和广告中故意含有虚假、误导、欺诈成分；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（13）其他法律、行政法规以及中国证监会禁止的行为。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4、基金经理承诺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（1）依照有关法律、法规和基金合同的规定，本着谨慎的原则为基金份额持有人谋取最大利益；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（2）不利用职务之便为自己及其代理人、受雇人或任何第三人谋取利益；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（3）不违反现行有效的有关法律、法规、规章、基金合同和中国证监会的有关规定，泄漏在任职期间知悉的有关证券、基金的商业秘密、尚未依法公开的基金投资内容、基金投资计划等信息；</w:t>
      </w:r>
    </w:p>
    <w:p w:rsidR="00BA4B87" w:rsidRPr="001B5B45" w:rsidRDefault="00AA6F1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（4）不从事损害基金财产和基金份额持有人利益的证券交易及其他活动。</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12" w:name="_Toc332373462"/>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五</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基金管理人的内部控制制度</w:t>
      </w:r>
      <w:bookmarkEnd w:id="12"/>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为保证公司规范化运作，有效地防范和化解经营风险，促进公司诚信、合法、有效经营，</w:t>
      </w:r>
      <w:r w:rsidRPr="001B5B45">
        <w:rPr>
          <w:rStyle w:val="da"/>
          <w:rFonts w:asciiTheme="minorEastAsia" w:eastAsiaTheme="minorEastAsia" w:hAnsiTheme="minorEastAsia"/>
        </w:rPr>
        <w:lastRenderedPageBreak/>
        <w:t>保障基金份额持有人利益，维护公司及公司股东的合法权益，本基金管理人建立了科学、严密、高效的内部控制体系。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1、公司内部控制的总体目标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（1）保证公司经营管理活动的合法合规性；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（2）保证基金份额持有人的合法权益不受侵犯；</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（3）实现公司稳健、持续发展，维护股东权益；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（4）促进公司全体员工恪守职业操守，正直诚信，廉洁自律，勤勉尽责；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（5）保护公司最重要的资本：公司声誉。</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2、公司内部控制遵循的原则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（1）全面性原则：内部控制必须覆盖公司的所有部门和岗位，渗透各项业务过程和业务环节，并普遍适用于公司每一位职员；</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（2）审慎性原则：内部控制的核心是有效防范各种风险，公司组织体系的构成、内部管理制度的建立都要以防范风险、审慎经营为出发点；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（3）相互制约原则：公司设置的各部门、各岗位权责分明、相互制衡；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（4）独立性原则：公司根据业务的需要设立相对独立的机构、部门和岗位；公司内部部门和岗位的设置必须权责分明；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（5）有效性原则：各种内部管理制度具有高度的权威性，应是所有员工严格遵守的行动指南；执行内部管理制度不能有任何例外，任何人不得拥有超越制度或违反规章的权力；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（6）适时性原则：内部控制应具有前瞻性，并且必须随着公司经营战略、经营方针、经营理念等内部环境的变化和国家法律、法规、政策制度等外部环境的改变及时进行相应的修改和完善；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（7）成本效益原则：公司运用科学化的经营管理方法降低运作成本，提高经济效益，力争以合理的控制成本达到最佳的内部控制效果。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3、内部控制的制度体系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w:t>
      </w:r>
      <w:r w:rsidRPr="001B5B45">
        <w:rPr>
          <w:rStyle w:val="da"/>
          <w:rFonts w:asciiTheme="minorEastAsia" w:eastAsiaTheme="minorEastAsia" w:hAnsiTheme="minorEastAsia"/>
        </w:rPr>
        <w:lastRenderedPageBreak/>
        <w:t>视对制度的持续检验，结合业务的发展、法规及监管环境的变化以及公司风险控制的要求，不断检讨和增强公司制度的完备性、有效性。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4、关于授权、研究、投资、交易等方面的控制点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（1）授权制度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（2）公司研究业务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（3）基金投资业务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（4）交易业务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（5）基金会计核算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公司根据法律法规及业务的要求建立会计制度，并根据风险控制点建立严密的会计系统，对于不同基金、不同客户独立建账，独立核算；公司通过复核制度、凭证制度、合理的估值</w:t>
      </w:r>
      <w:r w:rsidRPr="001B5B45">
        <w:rPr>
          <w:rStyle w:val="da"/>
          <w:rFonts w:asciiTheme="minorEastAsia" w:eastAsiaTheme="minorEastAsia" w:hAnsiTheme="minorEastAsia"/>
        </w:rPr>
        <w:lastRenderedPageBreak/>
        <w:t>方法和估值程序等会计措施真实、完整、及时地记载每一笔业务并正确进行会计核算和业务核算。同时还建立会计档案保管制度，确保档案真实完整。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（6）信息披露</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7D698E" w:rsidRPr="001B5B45" w:rsidRDefault="007D698E" w:rsidP="007D698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（7）监察与合规管理</w:t>
      </w:r>
    </w:p>
    <w:p w:rsidR="007D698E" w:rsidRPr="001B5B45" w:rsidRDefault="007D698E" w:rsidP="007D698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7D698E" w:rsidRPr="001B5B45" w:rsidRDefault="00213CB9" w:rsidP="007D698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7D698E" w:rsidRPr="001B5B45" w:rsidRDefault="00213CB9" w:rsidP="007D698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7D698E" w:rsidRPr="001B5B45" w:rsidRDefault="007D698E" w:rsidP="007D698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5、基金管理人关于内部控制制度声明书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（1）本公司承诺以上关于内部控制制度的披露真实、准确；</w:t>
      </w:r>
    </w:p>
    <w:p w:rsidR="009918CF" w:rsidRPr="001B5B45" w:rsidRDefault="00AA6F1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（2）本公司承诺根据市场变化和公司业务发展不断完善内部控制制度。</w:t>
      </w:r>
    </w:p>
    <w:p w:rsidR="009918CF" w:rsidRPr="001B5B45" w:rsidRDefault="009918CF">
      <w:pPr>
        <w:widowControl/>
        <w:jc w:val="left"/>
        <w:rPr>
          <w:rStyle w:val="da"/>
          <w:rFonts w:asciiTheme="minorEastAsia" w:eastAsiaTheme="minorEastAsia" w:hAnsiTheme="minorEastAsia"/>
        </w:rPr>
      </w:pPr>
      <w:r w:rsidRPr="001B5B45">
        <w:rPr>
          <w:rStyle w:val="da"/>
          <w:rFonts w:asciiTheme="minorEastAsia" w:eastAsiaTheme="minorEastAsia" w:hAnsiTheme="minorEastAsia"/>
        </w:rPr>
        <w:br w:type="page"/>
      </w:r>
    </w:p>
    <w:p w:rsidR="00BA4B87" w:rsidRPr="001B5B45" w:rsidRDefault="00BA4B87" w:rsidP="00CC1421">
      <w:pPr>
        <w:pStyle w:val="1"/>
        <w:snapToGrid w:val="0"/>
        <w:spacing w:beforeLines="0" w:afterLines="0" w:line="360" w:lineRule="auto"/>
        <w:ind w:firstLine="640"/>
        <w:rPr>
          <w:rFonts w:asciiTheme="minorEastAsia" w:eastAsiaTheme="minorEastAsia" w:hAnsiTheme="minorEastAsia"/>
        </w:rPr>
      </w:pPr>
      <w:bookmarkStart w:id="13" w:name="_Toc332373471"/>
      <w:bookmarkStart w:id="14" w:name="_Toc46927559"/>
      <w:r w:rsidRPr="001B5B45">
        <w:rPr>
          <w:rFonts w:asciiTheme="minorEastAsia" w:eastAsiaTheme="minorEastAsia" w:hAnsiTheme="minorEastAsia"/>
        </w:rPr>
        <w:lastRenderedPageBreak/>
        <w:t>四、基金托管人</w:t>
      </w:r>
      <w:bookmarkEnd w:id="13"/>
      <w:bookmarkEnd w:id="14"/>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（一）基本情况</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名称：中国银行股份有限公司（简称</w:t>
      </w:r>
      <w:r w:rsidRPr="001B5B45">
        <w:rPr>
          <w:rStyle w:val="da"/>
          <w:rFonts w:asciiTheme="minorEastAsia" w:eastAsiaTheme="minorEastAsia" w:hAnsiTheme="minorEastAsia"/>
        </w:rPr>
        <w:t>“</w:t>
      </w:r>
      <w:r w:rsidRPr="001B5B45">
        <w:rPr>
          <w:rStyle w:val="da"/>
          <w:rFonts w:asciiTheme="minorEastAsia" w:eastAsiaTheme="minorEastAsia" w:hAnsiTheme="minorEastAsia" w:hint="eastAsia"/>
        </w:rPr>
        <w:t>中国银行</w:t>
      </w:r>
      <w:r w:rsidRPr="001B5B45">
        <w:rPr>
          <w:rStyle w:val="da"/>
          <w:rFonts w:asciiTheme="minorEastAsia" w:eastAsiaTheme="minorEastAsia" w:hAnsiTheme="minorEastAsia"/>
        </w:rPr>
        <w:t>”</w:t>
      </w:r>
      <w:r w:rsidRPr="001B5B45">
        <w:rPr>
          <w:rStyle w:val="da"/>
          <w:rFonts w:asciiTheme="minorEastAsia" w:eastAsiaTheme="minorEastAsia" w:hAnsiTheme="minorEastAsia" w:hint="eastAsia"/>
        </w:rPr>
        <w:t>）</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住所及办公地址：北京市西城区复兴门内大街</w:t>
      </w:r>
      <w:r w:rsidRPr="001B5B45">
        <w:rPr>
          <w:rStyle w:val="da"/>
          <w:rFonts w:asciiTheme="minorEastAsia" w:eastAsiaTheme="minorEastAsia" w:hAnsiTheme="minorEastAsia"/>
        </w:rPr>
        <w:t>1</w:t>
      </w:r>
      <w:r w:rsidRPr="001B5B45">
        <w:rPr>
          <w:rStyle w:val="da"/>
          <w:rFonts w:asciiTheme="minorEastAsia" w:eastAsiaTheme="minorEastAsia" w:hAnsiTheme="minorEastAsia" w:hint="eastAsia"/>
        </w:rPr>
        <w:t>号</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首次注册登记日期：</w:t>
      </w:r>
      <w:smartTag w:uri="urn:schemas-microsoft-com:office:smarttags" w:element="chsdate">
        <w:smartTagPr>
          <w:attr w:name="Year" w:val="1983"/>
          <w:attr w:name="Month" w:val="10"/>
          <w:attr w:name="Day" w:val="31"/>
          <w:attr w:name="IsLunarDate" w:val="False"/>
          <w:attr w:name="IsROCDate" w:val="False"/>
        </w:smartTagPr>
        <w:r w:rsidRPr="001B5B45">
          <w:rPr>
            <w:rStyle w:val="da"/>
            <w:rFonts w:asciiTheme="minorEastAsia" w:eastAsiaTheme="minorEastAsia" w:hAnsiTheme="minorEastAsia"/>
          </w:rPr>
          <w:t>1983</w:t>
        </w:r>
        <w:r w:rsidRPr="001B5B45">
          <w:rPr>
            <w:rStyle w:val="da"/>
            <w:rFonts w:asciiTheme="minorEastAsia" w:eastAsiaTheme="minorEastAsia" w:hAnsiTheme="minorEastAsia" w:hint="eastAsia"/>
          </w:rPr>
          <w:t>年</w:t>
        </w:r>
        <w:r w:rsidRPr="001B5B45">
          <w:rPr>
            <w:rStyle w:val="da"/>
            <w:rFonts w:asciiTheme="minorEastAsia" w:eastAsiaTheme="minorEastAsia" w:hAnsiTheme="minorEastAsia"/>
          </w:rPr>
          <w:t>10</w:t>
        </w:r>
        <w:r w:rsidRPr="001B5B45">
          <w:rPr>
            <w:rStyle w:val="da"/>
            <w:rFonts w:asciiTheme="minorEastAsia" w:eastAsiaTheme="minorEastAsia" w:hAnsiTheme="minorEastAsia" w:hint="eastAsia"/>
          </w:rPr>
          <w:t>月</w:t>
        </w:r>
        <w:r w:rsidRPr="001B5B45">
          <w:rPr>
            <w:rStyle w:val="da"/>
            <w:rFonts w:asciiTheme="minorEastAsia" w:eastAsiaTheme="minorEastAsia" w:hAnsiTheme="minorEastAsia"/>
          </w:rPr>
          <w:t>31</w:t>
        </w:r>
        <w:r w:rsidRPr="001B5B45">
          <w:rPr>
            <w:rStyle w:val="da"/>
            <w:rFonts w:asciiTheme="minorEastAsia" w:eastAsiaTheme="minorEastAsia" w:hAnsiTheme="minorEastAsia" w:hint="eastAsia"/>
          </w:rPr>
          <w:t>日</w:t>
        </w:r>
      </w:smartTag>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注册资本：人民币贰仟玖佰肆拾叁亿捌仟柒佰柒拾玖万壹仟贰佰肆拾壹元整</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法定代表人：刘连舸</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基金托管业务批准文号：中国证监会证监基字【</w:t>
      </w:r>
      <w:r w:rsidRPr="001B5B45">
        <w:rPr>
          <w:rStyle w:val="da"/>
          <w:rFonts w:asciiTheme="minorEastAsia" w:eastAsiaTheme="minorEastAsia" w:hAnsiTheme="minorEastAsia"/>
        </w:rPr>
        <w:t>1998</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 xml:space="preserve">24 </w:t>
      </w:r>
      <w:r w:rsidRPr="001B5B45">
        <w:rPr>
          <w:rStyle w:val="da"/>
          <w:rFonts w:asciiTheme="minorEastAsia" w:eastAsiaTheme="minorEastAsia" w:hAnsiTheme="minorEastAsia" w:hint="eastAsia"/>
        </w:rPr>
        <w:t>号</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托管部门信息披露联系人：</w:t>
      </w:r>
      <w:r w:rsidRPr="001B5B45">
        <w:rPr>
          <w:rFonts w:asciiTheme="minorEastAsia" w:eastAsiaTheme="minorEastAsia" w:hAnsiTheme="minorEastAsia" w:hint="eastAsia"/>
          <w:szCs w:val="21"/>
        </w:rPr>
        <w:t>许俊</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w:t>
      </w:r>
      <w:r w:rsidRPr="001B5B45">
        <w:rPr>
          <w:rStyle w:val="da"/>
          <w:rFonts w:asciiTheme="minorEastAsia" w:eastAsiaTheme="minorEastAsia" w:hAnsiTheme="minorEastAsia"/>
        </w:rPr>
        <w:t>010</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66594942</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中国银行客服电话：</w:t>
      </w:r>
      <w:r w:rsidRPr="001B5B45">
        <w:rPr>
          <w:rStyle w:val="da"/>
          <w:rFonts w:asciiTheme="minorEastAsia" w:eastAsiaTheme="minorEastAsia" w:hAnsiTheme="minorEastAsia"/>
        </w:rPr>
        <w:t>95566</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（二）基金托管部门及主要人员情况</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中国银行托管业务部设立于</w:t>
      </w:r>
      <w:r w:rsidRPr="001B5B45">
        <w:rPr>
          <w:rStyle w:val="da"/>
          <w:rFonts w:asciiTheme="minorEastAsia" w:eastAsiaTheme="minorEastAsia" w:hAnsiTheme="minorEastAsia"/>
        </w:rPr>
        <w:t>1998</w:t>
      </w:r>
      <w:r w:rsidRPr="001B5B45">
        <w:rPr>
          <w:rStyle w:val="da"/>
          <w:rFonts w:asciiTheme="minorEastAsia" w:eastAsiaTheme="minorEastAsia" w:hAnsiTheme="minorEastAsia" w:hint="eastAsia"/>
        </w:rPr>
        <w:t>年，现有员工</w:t>
      </w:r>
      <w:r w:rsidRPr="001B5B45">
        <w:rPr>
          <w:rStyle w:val="da"/>
          <w:rFonts w:asciiTheme="minorEastAsia" w:eastAsiaTheme="minorEastAsia" w:hAnsiTheme="minorEastAsia"/>
        </w:rPr>
        <w:t>110</w:t>
      </w:r>
      <w:r w:rsidRPr="001B5B45">
        <w:rPr>
          <w:rStyle w:val="da"/>
          <w:rFonts w:asciiTheme="minorEastAsia" w:eastAsiaTheme="minorEastAsia" w:hAnsiTheme="minorEastAsia" w:hint="eastAsia"/>
        </w:rPr>
        <w:t>余人，大部分员工具有丰富的银行、证券、基金、信托从业经验，且具有海外工作、学习或培训经历，</w:t>
      </w:r>
      <w:bookmarkStart w:id="15" w:name="OLE_LINK1"/>
      <w:r w:rsidRPr="001B5B45">
        <w:rPr>
          <w:rStyle w:val="da"/>
          <w:rFonts w:asciiTheme="minorEastAsia" w:eastAsiaTheme="minorEastAsia" w:hAnsiTheme="minorEastAsia"/>
        </w:rPr>
        <w:t>60</w:t>
      </w:r>
      <w:r w:rsidRPr="001B5B45">
        <w:rPr>
          <w:rStyle w:val="da"/>
          <w:rFonts w:asciiTheme="minorEastAsia" w:eastAsiaTheme="minorEastAsia" w:hAnsiTheme="minorEastAsia" w:hint="eastAsia"/>
        </w:rPr>
        <w:t>％以上的员工具有硕士以上学位或高级职称</w:t>
      </w:r>
      <w:bookmarkEnd w:id="15"/>
      <w:r w:rsidRPr="001B5B45">
        <w:rPr>
          <w:rStyle w:val="da"/>
          <w:rFonts w:asciiTheme="minorEastAsia" w:eastAsiaTheme="minorEastAsia" w:hAnsiTheme="minorEastAsia" w:hint="eastAsia"/>
        </w:rPr>
        <w:t>。为给客户提供专业化的托管服务，中国银行已在境内、外分行开展托管业务。</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作为国内首批开展证券投资基金托管业务的商业银行，中国银行拥有证券投资基金、基金（一对多、一对一）、社保基金、保险资金、</w:t>
      </w:r>
      <w:r w:rsidRPr="001B5B45">
        <w:rPr>
          <w:rStyle w:val="da"/>
          <w:rFonts w:asciiTheme="minorEastAsia" w:eastAsiaTheme="minorEastAsia" w:hAnsiTheme="minorEastAsia"/>
        </w:rPr>
        <w:t>QFII</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RQFII</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QDII</w:t>
      </w:r>
      <w:r w:rsidRPr="001B5B45">
        <w:rPr>
          <w:rStyle w:val="da"/>
          <w:rFonts w:asciiTheme="minorEastAsia" w:eastAsiaTheme="minorEastAsia" w:hAnsiTheme="minorEastAsia" w:hint="eastAsia"/>
        </w:rPr>
        <w:t>、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（三）证券投资基金托管情况</w:t>
      </w:r>
    </w:p>
    <w:p w:rsidR="00213CB9" w:rsidRPr="001B5B45" w:rsidRDefault="00213CB9" w:rsidP="00213CB9">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（四）托管业务的内部控制制度</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w:t>
      </w:r>
      <w:r w:rsidRPr="001B5B45">
        <w:rPr>
          <w:rStyle w:val="da"/>
          <w:rFonts w:asciiTheme="minorEastAsia" w:eastAsiaTheme="minorEastAsia" w:hAnsiTheme="minorEastAsia" w:hint="eastAsia"/>
        </w:rPr>
        <w:lastRenderedPageBreak/>
        <w:t>查及审计等措施强化托管业务全员、全面、全程的风险管控。</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2007</w:t>
      </w:r>
      <w:r w:rsidRPr="001B5B45">
        <w:rPr>
          <w:rStyle w:val="da"/>
          <w:rFonts w:asciiTheme="minorEastAsia" w:eastAsiaTheme="minorEastAsia" w:hAnsiTheme="minorEastAsia" w:hint="eastAsia"/>
        </w:rPr>
        <w:t>年起，中国银行连续聘请外部会计会计师事务所开展托管业务内部控制审阅工作。先后获得基于</w:t>
      </w:r>
      <w:r w:rsidRPr="001B5B45">
        <w:rPr>
          <w:rStyle w:val="da"/>
          <w:rFonts w:asciiTheme="minorEastAsia" w:eastAsiaTheme="minorEastAsia" w:hAnsiTheme="minorEastAsia"/>
        </w:rPr>
        <w:t xml:space="preserve"> </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SAS70</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AAF01/06</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 xml:space="preserve"> </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ISAE3402</w:t>
      </w:r>
      <w:r w:rsidRPr="001B5B45">
        <w:rPr>
          <w:rStyle w:val="da"/>
          <w:rFonts w:asciiTheme="minorEastAsia" w:eastAsiaTheme="minorEastAsia" w:hAnsiTheme="minorEastAsia" w:hint="eastAsia"/>
        </w:rPr>
        <w:t>”和“</w:t>
      </w:r>
      <w:r w:rsidRPr="001B5B45">
        <w:rPr>
          <w:rStyle w:val="da"/>
          <w:rFonts w:asciiTheme="minorEastAsia" w:eastAsiaTheme="minorEastAsia" w:hAnsiTheme="minorEastAsia"/>
        </w:rPr>
        <w:t>SSAE16</w:t>
      </w:r>
      <w:r w:rsidRPr="001B5B45">
        <w:rPr>
          <w:rStyle w:val="da"/>
          <w:rFonts w:asciiTheme="minorEastAsia" w:eastAsiaTheme="minorEastAsia" w:hAnsiTheme="minorEastAsia" w:hint="eastAsia"/>
        </w:rPr>
        <w:t>”等国际主流内控审阅准则的无保留意见的审阅报告。</w:t>
      </w:r>
      <w:r w:rsidRPr="001B5B45">
        <w:rPr>
          <w:rStyle w:val="da"/>
          <w:rFonts w:asciiTheme="minorEastAsia" w:eastAsiaTheme="minorEastAsia" w:hAnsiTheme="minorEastAsia"/>
        </w:rPr>
        <w:t>2017</w:t>
      </w:r>
      <w:r w:rsidRPr="001B5B45">
        <w:rPr>
          <w:rStyle w:val="da"/>
          <w:rFonts w:asciiTheme="minorEastAsia" w:eastAsiaTheme="minorEastAsia" w:hAnsiTheme="minorEastAsia" w:hint="eastAsia"/>
        </w:rPr>
        <w:t>年，中国银行继续获得了基于“</w:t>
      </w:r>
      <w:r w:rsidRPr="001B5B45">
        <w:rPr>
          <w:rStyle w:val="da"/>
          <w:rFonts w:asciiTheme="minorEastAsia" w:eastAsiaTheme="minorEastAsia" w:hAnsiTheme="minorEastAsia"/>
        </w:rPr>
        <w:t>ISAE3402</w:t>
      </w:r>
      <w:r w:rsidRPr="001B5B45">
        <w:rPr>
          <w:rStyle w:val="da"/>
          <w:rFonts w:asciiTheme="minorEastAsia" w:eastAsiaTheme="minorEastAsia" w:hAnsiTheme="minorEastAsia" w:hint="eastAsia"/>
        </w:rPr>
        <w:t>”和“</w:t>
      </w:r>
      <w:r w:rsidRPr="001B5B45">
        <w:rPr>
          <w:rStyle w:val="da"/>
          <w:rFonts w:asciiTheme="minorEastAsia" w:eastAsiaTheme="minorEastAsia" w:hAnsiTheme="minorEastAsia"/>
        </w:rPr>
        <w:t>SSAE16</w:t>
      </w:r>
      <w:r w:rsidRPr="001B5B45">
        <w:rPr>
          <w:rStyle w:val="da"/>
          <w:rFonts w:asciiTheme="minorEastAsia" w:eastAsiaTheme="minorEastAsia" w:hAnsiTheme="minorEastAsia" w:hint="eastAsia"/>
        </w:rPr>
        <w:t>”双准则的内部控制审计报告。中国银行托管业务内控制度完善，内控措施严密，能够有效保证托管资产的安全。</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（五）托管人对管理人运作基金进行监督的方法和程序</w:t>
      </w:r>
    </w:p>
    <w:p w:rsidR="00213CB9" w:rsidRPr="001B5B45" w:rsidRDefault="00213CB9" w:rsidP="00213C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1B5B45">
        <w:rPr>
          <w:rStyle w:val="da"/>
          <w:rFonts w:asciiTheme="minorEastAsia" w:eastAsiaTheme="minorEastAsia" w:hAnsiTheme="minorEastAsia"/>
        </w:rPr>
        <w:t>,</w:t>
      </w:r>
      <w:r w:rsidRPr="001B5B45">
        <w:rPr>
          <w:rStyle w:val="da"/>
          <w:rFonts w:asciiTheme="minorEastAsia" w:eastAsiaTheme="minorEastAsia" w:hAnsiTheme="minorEastAsia" w:hint="eastAsia"/>
        </w:rPr>
        <w:t>应当及时通知基金管理人，并及时向国务院证券监督管理机构报告。</w:t>
      </w:r>
    </w:p>
    <w:p w:rsidR="00BA4B87" w:rsidRPr="001B5B45" w:rsidRDefault="00BA4B87" w:rsidP="00CC1421">
      <w:pPr>
        <w:pStyle w:val="111"/>
        <w:snapToGrid w:val="0"/>
        <w:spacing w:beforeLines="0" w:afterLines="0" w:line="360" w:lineRule="auto"/>
        <w:ind w:firstLine="640"/>
        <w:rPr>
          <w:rFonts w:asciiTheme="minorEastAsia" w:eastAsiaTheme="minorEastAsia" w:hAnsiTheme="minorEastAsia"/>
          <w:szCs w:val="32"/>
        </w:rPr>
      </w:pPr>
      <w:bookmarkStart w:id="16" w:name="_Toc332373481"/>
      <w:bookmarkStart w:id="17" w:name="_Toc46927560"/>
      <w:r w:rsidRPr="001B5B45">
        <w:rPr>
          <w:rFonts w:asciiTheme="minorEastAsia" w:eastAsiaTheme="minorEastAsia" w:hAnsiTheme="minorEastAsia"/>
          <w:szCs w:val="21"/>
        </w:rPr>
        <w:lastRenderedPageBreak/>
        <w:t>五、相关服务机构</w:t>
      </w:r>
      <w:bookmarkEnd w:id="16"/>
      <w:bookmarkEnd w:id="17"/>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18" w:name="_Toc332373482"/>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基金份额</w:t>
      </w:r>
      <w:r w:rsidR="00D95F5B" w:rsidRPr="001B5B45">
        <w:rPr>
          <w:rStyle w:val="da"/>
          <w:rFonts w:asciiTheme="minorEastAsia" w:eastAsiaTheme="minorEastAsia" w:hAnsiTheme="minorEastAsia"/>
        </w:rPr>
        <w:t>销售</w:t>
      </w:r>
      <w:r w:rsidR="00BA4B87" w:rsidRPr="001B5B45">
        <w:rPr>
          <w:rStyle w:val="da"/>
          <w:rFonts w:asciiTheme="minorEastAsia" w:eastAsiaTheme="minorEastAsia" w:hAnsiTheme="minorEastAsia"/>
        </w:rPr>
        <w:t>机构</w:t>
      </w:r>
      <w:bookmarkEnd w:id="18"/>
    </w:p>
    <w:p w:rsidR="00590AD2" w:rsidRPr="001B5B45" w:rsidRDefault="00BA4B87" w:rsidP="00590AD2">
      <w:pPr>
        <w:spacing w:line="360" w:lineRule="auto"/>
        <w:ind w:firstLineChars="200" w:firstLine="420"/>
        <w:rPr>
          <w:rFonts w:asciiTheme="minorEastAsia" w:eastAsiaTheme="minorEastAsia" w:hAnsiTheme="minorEastAsia"/>
        </w:rPr>
      </w:pPr>
      <w:r w:rsidRPr="001B5B45">
        <w:rPr>
          <w:rStyle w:val="da"/>
          <w:rFonts w:asciiTheme="minorEastAsia" w:eastAsiaTheme="minorEastAsia" w:hAnsiTheme="minorEastAsia"/>
        </w:rPr>
        <w:t>1、</w:t>
      </w:r>
      <w:r w:rsidR="00590AD2" w:rsidRPr="001B5B45">
        <w:rPr>
          <w:rFonts w:asciiTheme="minorEastAsia" w:eastAsiaTheme="minorEastAsia" w:hAnsiTheme="minorEastAsia" w:hint="eastAsia"/>
        </w:rPr>
        <w:t>直销机构：</w:t>
      </w:r>
      <w:r w:rsidR="00590AD2" w:rsidRPr="001B5B45">
        <w:rPr>
          <w:rFonts w:asciiTheme="minorEastAsia" w:eastAsiaTheme="minorEastAsia" w:hAnsiTheme="minorEastAsia"/>
        </w:rPr>
        <w:t>易方达基金管理有限公司</w:t>
      </w:r>
    </w:p>
    <w:p w:rsidR="00590AD2" w:rsidRPr="001B5B45" w:rsidRDefault="00590AD2" w:rsidP="00590AD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注册地址：</w:t>
      </w:r>
      <w:r w:rsidR="006912FF" w:rsidRPr="001B5B45">
        <w:rPr>
          <w:rFonts w:asciiTheme="minorEastAsia" w:eastAsiaTheme="minorEastAsia" w:hAnsiTheme="minorEastAsia"/>
        </w:rPr>
        <w:t>广东省珠海市横琴新区宝华路6号105室－42891（集中办公区）</w:t>
      </w:r>
    </w:p>
    <w:p w:rsidR="00590AD2" w:rsidRPr="001B5B45" w:rsidRDefault="00590AD2" w:rsidP="00590AD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办公地址：</w:t>
      </w:r>
      <w:r w:rsidRPr="001B5B45">
        <w:rPr>
          <w:rFonts w:asciiTheme="minorEastAsia" w:eastAsiaTheme="minorEastAsia" w:hAnsiTheme="minorEastAsia"/>
        </w:rPr>
        <w:t>广州市天河区珠江新城珠江东路30号广州银行大厦40-43楼</w:t>
      </w:r>
    </w:p>
    <w:p w:rsidR="00590AD2" w:rsidRPr="001B5B45" w:rsidRDefault="00590AD2" w:rsidP="00590AD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法定代表人：</w:t>
      </w:r>
      <w:r w:rsidRPr="001B5B45">
        <w:rPr>
          <w:rFonts w:asciiTheme="minorEastAsia" w:eastAsiaTheme="minorEastAsia" w:hAnsiTheme="minorEastAsia"/>
        </w:rPr>
        <w:t>刘晓艳</w:t>
      </w:r>
    </w:p>
    <w:p w:rsidR="00590AD2" w:rsidRPr="001B5B45" w:rsidRDefault="00590AD2" w:rsidP="00590AD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电话：</w:t>
      </w:r>
      <w:r w:rsidRPr="001B5B45">
        <w:rPr>
          <w:rFonts w:asciiTheme="minorEastAsia" w:eastAsiaTheme="minorEastAsia" w:hAnsiTheme="minorEastAsia"/>
        </w:rPr>
        <w:t>020-85102506</w:t>
      </w:r>
    </w:p>
    <w:p w:rsidR="00590AD2" w:rsidRPr="001B5B45" w:rsidRDefault="00590AD2" w:rsidP="00590AD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传真：</w:t>
      </w:r>
      <w:r w:rsidRPr="001B5B45">
        <w:rPr>
          <w:rFonts w:asciiTheme="minorEastAsia" w:eastAsiaTheme="minorEastAsia" w:hAnsiTheme="minorEastAsia"/>
        </w:rPr>
        <w:t>4008818099</w:t>
      </w:r>
    </w:p>
    <w:p w:rsidR="00590AD2" w:rsidRPr="001B5B45" w:rsidRDefault="00590AD2" w:rsidP="00590AD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联系人：</w:t>
      </w:r>
      <w:r w:rsidR="00B75C48" w:rsidRPr="001B5B45">
        <w:rPr>
          <w:rFonts w:asciiTheme="minorEastAsia" w:eastAsiaTheme="minorEastAsia" w:hAnsiTheme="minorEastAsia"/>
        </w:rPr>
        <w:t>王峰</w:t>
      </w:r>
    </w:p>
    <w:p w:rsidR="00BA4B87" w:rsidRPr="001B5B45" w:rsidRDefault="00590AD2" w:rsidP="00590AD2">
      <w:pPr>
        <w:spacing w:line="360" w:lineRule="auto"/>
        <w:ind w:firstLineChars="200" w:firstLine="420"/>
        <w:rPr>
          <w:rStyle w:val="da"/>
          <w:rFonts w:asciiTheme="minorEastAsia" w:eastAsiaTheme="minorEastAsia" w:hAnsiTheme="minorEastAsia"/>
        </w:rPr>
      </w:pPr>
      <w:r w:rsidRPr="001B5B45">
        <w:rPr>
          <w:rFonts w:asciiTheme="minorEastAsia" w:eastAsiaTheme="minorEastAsia" w:hAnsiTheme="minorEastAsia" w:hint="eastAsia"/>
        </w:rPr>
        <w:t>网址：</w:t>
      </w:r>
      <w:r w:rsidRPr="001B5B45">
        <w:rPr>
          <w:rFonts w:asciiTheme="minorEastAsia" w:eastAsiaTheme="minorEastAsia" w:hAnsiTheme="minorEastAsia"/>
        </w:rPr>
        <w:t>www.efunds.com.cn</w:t>
      </w:r>
    </w:p>
    <w:p w:rsidR="00E47D74" w:rsidRPr="001B5B45" w:rsidRDefault="00E47D7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直销机构网点信息：</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（1）易方达基金管理有限公司广州直销中心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办公地址：广州市天河区珠江新城珠江东路30号广州银行大厦40楼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电话：020-85102506</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传真：4008818099</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联系人：</w:t>
      </w:r>
      <w:r w:rsidR="00B75C48" w:rsidRPr="001B5B45">
        <w:rPr>
          <w:rFonts w:asciiTheme="minorEastAsia" w:eastAsiaTheme="minorEastAsia" w:hAnsiTheme="minorEastAsia"/>
        </w:rPr>
        <w:t>王峰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（2）易方达基金管理有限公司北京直销中心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办公地址：</w:t>
      </w:r>
      <w:r w:rsidR="00BE05C5" w:rsidRPr="001B5B45">
        <w:rPr>
          <w:rStyle w:val="da"/>
          <w:rFonts w:asciiTheme="minorEastAsia" w:eastAsiaTheme="minorEastAsia" w:hAnsiTheme="minorEastAsia"/>
        </w:rPr>
        <w:t>北京市西城区武定侯街2号泰康国际大厦18层</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电话：010-63213377</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传真：4008818099</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联系人：刘蕾</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（3）易方达基金管理有限公司上海直销中心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办公地址：上海市浦东新区世纪大道88号金茂大厦46楼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电话：021-50476668</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传真：4008818099</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联系人：</w:t>
      </w:r>
      <w:r w:rsidR="001C1BB8" w:rsidRPr="001B5B45">
        <w:rPr>
          <w:rStyle w:val="da"/>
          <w:rFonts w:asciiTheme="minorEastAsia" w:eastAsiaTheme="minorEastAsia" w:hAnsiTheme="minorEastAsia" w:hint="eastAsia"/>
        </w:rPr>
        <w:t>王程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（4）易方达基金管理有限公司网上交易系统</w:t>
      </w:r>
    </w:p>
    <w:p w:rsidR="00E47D74" w:rsidRPr="001B5B45" w:rsidRDefault="00E47D7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网址：www.efunds.com.cn</w:t>
      </w:r>
    </w:p>
    <w:p w:rsidR="009E0E15" w:rsidRPr="001B5B45" w:rsidRDefault="00E47D74" w:rsidP="009E0E15">
      <w:pPr>
        <w:spacing w:line="360" w:lineRule="auto"/>
        <w:ind w:firstLineChars="200" w:firstLine="420"/>
        <w:rPr>
          <w:rFonts w:asciiTheme="minorEastAsia" w:eastAsiaTheme="minorEastAsia" w:hAnsiTheme="minorEastAsia"/>
        </w:rPr>
      </w:pPr>
      <w:r w:rsidRPr="001B5B45">
        <w:rPr>
          <w:rStyle w:val="da"/>
          <w:rFonts w:asciiTheme="minorEastAsia" w:eastAsiaTheme="minorEastAsia" w:hAnsiTheme="minorEastAsia"/>
        </w:rPr>
        <w:t>2、非直销销售机构</w:t>
      </w:r>
      <w:bookmarkStart w:id="19" w:name="_Toc332373483"/>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 中国银行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注册地址：北京市西城区复兴门内大街1号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办公地址：北京市西城区复兴门内大街1号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法定代表人：刘连舸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网址：www.boc.cn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 渤海银行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注册地址：天津市河东区海河东路218号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办公地址：天津市河东区海河东路218号渤海银行大厦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法定代表人：李伏安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联系人：王宏</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联系电话：022-58316666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客户服务电话：95541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传真：022-58316569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网址：www.cbhb.com.cn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 广发银行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注册地址：广东省广州市越秀区东风东路713号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办公地址：广东省广州市越秀区东风东路713号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法定代表人：尹兆君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客户服务电话：400-830-8003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网址：www.cgbchina.com.cn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 恒丰银行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注册地址：济南市历下区泺源大街8号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办公地址：山东省烟台市莱山区港城东大街289号南山世纪大厦A座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法定代表人：陈颖</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联系人：李胜贤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电话：021-63890179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传真：021-63890196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网址：www.hfbank.com.cn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 交通银行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注册地址：中国（上海）自由贸易试验区银城中路188号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办公地址：中国（上海）自由贸易试验区银城中路188号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法定代表人：任德奇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联系人：王菁</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联系电话：021-58781234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客户服务电话：95559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网址：www.bankcomm.com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 平安银行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注册地址：广东省深圳市罗湖区深南东路5047号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办公地址：广东省深圳市罗湖区深南东路5047号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法定代表人：谢永林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联系人：赵杨</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联系电话：0755-22166574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客户服务电话：95511-3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传真：021-50979507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网址：bank.pingan.com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 浦发银行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注册地址：上海市中山东一路12号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办公地址：上海市中山东一路12号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法定代表人：郑杨</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联系人：赵守良</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联系电话：021-61618888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客户服务电话：95528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传真：021-63604196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网址：www.spdb.com.cn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 招商银行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注册地址：深圳市福田区深南大道7088号招商银行大厦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办公地址：深圳市福田区深南大道7088号招商银行大厦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法定代表人：李建红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联系人：季平伟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网址：www.cmbchina.com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 中国工商银行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注册地址：北京西城区复兴门内大街55号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办公地址：北京西城区复兴门内大街55号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法定代表人：陈四清</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联系人：杨菲</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网址：www.icbc.com.cn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 中国民生银行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注册地址：北京市西城区复兴门内大街2号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办公地址：北京市西城区复兴门内大街2号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法定代表人：洪崎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联系人：徐野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客户服务电话：95568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网址：www.cmbc.com.cn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 中信银行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注册地址：北京市东城区朝阳门北大街9号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办公地址：北京市东城区朝阳门北大街9号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法定代表人：李庆萍</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联系人：王晓琳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客户服务电话：95558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传真：010-85230049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网址：bank.ecitic.com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 长城华西银行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注册地址：德阳市旌阳区蒙山街14号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办公地址：四川省德阳市旌阳区蒙山街14号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法定代表人：谭运财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联系人：王丽鹃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电话：028-61963271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客户服务电话：028-96836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传真：0838-2371812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网址：www.gwbank.com.cn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 东莞农村商业银行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注册地址：广东省东莞市东城区鸿福东路2号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办公地址：广东省东莞市东城区鸿福东路2号东莞农商银行大厦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法定代表人：王耀球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联系人：钟燕珊</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客户服务电话：0769-961122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网址：www.drcbank.com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 东莞银行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注册地址：东莞市莞城区体育路21号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办公地址：东莞市莞城区体育路21号东莞银行大厦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法定代表人：卢国锋</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联系人：朱杰霞</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联系电话：0769-22865177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客户服务电话：956033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网址：www.dongguanbank.cn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 佛山农商银行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注册地址：佛山市禅城区华远东路5号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办公地址：佛山市禅城区华远东路5号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法定代表人：李川</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联系人：陈棠熙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客户服务电话：96138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网址：www.foshanbank.cn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(16) 福建海峡银行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注册地址：福建省福州市台江区江滨中大道358号海峡银行大厦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办公地址：福建省福州市台江区江滨中大道358号福建海峡银行8楼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法定代表人：俞敏</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联系人：黄钰雯</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联系电话：0591-87332762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客户服务电话：400-893-9999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传真：0591-87330926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网址：www.fjhxbank.com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(17) 富滇银行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注册地址：云南省昆明市拓东路41号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办公地址：云南省昆明市拓东路41号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法定代表人：洪维智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联系人：杨翊琳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电话：0871-63140324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客户服务电话：400-88-96533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传真：0871-63194471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网址：http://www.fudian-bank.com/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(18) 富阳农商银行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注册地址：杭州市富阳区鹿山街道依江路501号第1幢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办公地址：杭州市富阳区鹿山街道依江路501号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法定代表人：丁松茂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联系人：陈硕</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联系电话：0571-63280253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客户服务电话：96596、4008896596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网址：www.fyrcbk.com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(19) 广东华兴银行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注册地址：广东省汕头市龙湖区黄山路28号四层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办公地址：广州市天河区天河路533号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法定代表人：周泽荣</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联系人：许悦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联系电话：020-38173552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客户服务电话：400-830-8001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传真：020-38173857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网址：www.ghbank.com.cn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(20) 广东南粤银行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注册地址：广东省湛江市经济技术开发区乐山大道60号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办公地址：广东省湛江市经济技术开发区乐山大道60号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法定代表人：蒋丹</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联系电话：020-28308757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客户服务电话：4000-961818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网址：www.gdnybank.com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(21) 广州农商银行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注册地址：广州市黄埔区映日路9号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办公地址：广州市天河区珠江新城华夏路1号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法定代表人：王继康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联系电话：020-22389067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客户服务电话：95313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传真：020-22389031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网址：www.grcbank.com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(22) 杭州银行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注册地址：浙江省杭州市下城区庆春路46号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办公地址：杭州市下城区庆春路46号杭州银行大厦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法定代表人：陈震山</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联系人：蒋梦君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联系电话：0571-85120718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客户服务电话：95398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传真：0571-85106576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网址：www.hzbank.com.cn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(23) 河北银行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注册地址：石家庄市平安北大街28号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办公地址：石家庄市平安北大街28号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法定代表人：乔志强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联系电话：0311-88627587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客户服务电话：400-612-9999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传真：0311-67806407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网址：www.hebbank.com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(24) 华融湘江银行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注册地址：长沙市天心区芙蓉南路一段828号杰座大厦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办公地址：湖南省长沙市湘府东路二段208号万境财智中心南栋</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法定代表人：黄卫忠</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联系人：闾娇蓉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联系电话：0731-89828182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客户服务电话：0731-96599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传真：0731-89828806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网址：www.hrxjbank.com.cn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(25) 吉林银行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注册地址：吉林省长春市经济技术开发区东南湖大路1817号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办公地址：吉林省长春市经济技术开发区东南湖大路1817号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法定代表人：陈宇龙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联系人：孟明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联系电话：0431-84992680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客户服务电话：400-88-96666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传真：0431-84992649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网址：www.jlbank.com.cn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(26) 嘉兴银行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注册地址：浙江省嘉兴市昌盛南路1001号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办公地址：浙江省嘉兴市昌盛南路1001号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法定代表人：夏林生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联系人：余舟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联系电话：0573-82080201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客户服务电话：0573-96528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网址：http://www.bojx.com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(27) 江南农村商业银行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注册地址：常州市和平中路413号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办公地址：常州市和平中路413号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法定代表人：陆向阳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电话：0519-80585939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客户服务电话：0519-96005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传真：0519-89995170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网址：http://www.jnbank.com.cn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(28) 江苏银行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注册地址：南京市中华路26号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办公地址：南京市中华路26号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法定代表人：夏平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联系人：展海军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联系电话：025-58587039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客户服务电话：95319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传真：025-58587820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网址：www.jsbchina.cn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(29) 江西银行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注册地址：江西省南昌市红谷滩新区金融大街699号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办公地址：江西省南昌市红谷滩新区金融大街699号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法定代表人：陈晓明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联系人：陈云波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联系电话：0791-86796029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客户服务电话：956055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传真：0791-86790795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网址：www.jx-bank.com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(30) 锦州银行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注册地址：辽宁省锦州市科技路68号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办公地址：辽宁省锦州市科技路68号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法定代表人：魏学坤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联系人：庞璐璐</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客户服务电话：400-66-96178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网址：www.jinzhoubank.com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(31) 九台农商银行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注册地址：吉林省长春市九台区新华大街504号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办公地址：吉林省长春市高新开发区蔚山路2559号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法定代表人：高兵</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联系人：曲凌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客户服务电话：0431-96888-0-2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网址：http://www.jtnsh.com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(32) 龙江银行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注册地址：黑龙江省哈尔滨市道里区友谊路436号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办公地址：黑龙江省哈尔滨市道里区友谊路436号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法定代表人：张建辉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联系人：闫勇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联系电话：0451-85706107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客户服务电话：400-645-8888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传真：0451-85706036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网址：http://www.lj-bank.com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(33) 鹿城农商银行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注册地址：浙江省温州市鹿城区会展路1500号富银大厦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办公地址：温州市车站大道547号信合大厦A幢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法定代表人：陈宏强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联系人：董雷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联系电话：0577-88077675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客户服务电话：96526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网址：http://www.lcrcbank.com/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(34) 宁波银行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注册地址：浙江省宁波市鄞州区宁东路345号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办公地址：浙江省宁波市鄞州区宁东路345号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法定代表人：陆华裕</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联系人：夏禾</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客户服务电话：95574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网址：www.nbcb.com.cn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(35) 青岛银行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注册地址：山东省青岛市崂山区秦岭路6号3号楼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办公地址：山东省青岛市崂山区秦岭路6号3号楼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法定代表人：郭少泉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联系人：陈界交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联系电话：0532-68629956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客户服务电话：96588（青岛）400-66-96588（全国）</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网址：http://www.qdccb.com/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(36) 泉州银行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注册地址：泉州市丰泽区云鹿路3号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办公地址：泉州市丰泽区云鹿路3号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法定代表人：傅子能</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联系人：董培姗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联系电话：0595-22551071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客户服务电话：400-88-96312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传真：0595-22578871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网址：http://www.qzccbank.com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(37) 日照银行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注册地址：山东省日照市烟台路197号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办公地址：山东省日照市烟台路197号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法定代表人：王森</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联系人：孔颖</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联系电话：0633-8081590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客户服务电话：400-68-96588（全国）、0633-96588（日照）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传真：0633-8081276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网址：http://www.bankofrizhao.com.cn/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(38) 瑞安农商银行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注册地址：瑞安市安阳街道万松东路148号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办公地址：瑞安市安阳街道万松东路148号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法定代表人：王光领</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联系人：吴小娜</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联系电话：0577-66681245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客户服务电话：4008057702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(39) 上海农村商业银行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注册地址：上海市黄浦区中山东二路70号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办公地址：上海市黄浦区中山东二路70号上海农商银行大厦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法定代表人：徐力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联系人：施传荣</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联系电话：021-61899999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客户服务电话：021-962999、4006962999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开放式基金业务传真：021-50105124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网址：www.srcb.com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(40) 上海银行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注册地址：中国（上海）自由贸易试验区银城中路168号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办公地址：上海市浦东新区银城中路168号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法定代表人：金煜</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联系电话：021-68475732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客户服务电话：95594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网址：http://www.bosc.cn/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(41) 顺德农村商业银行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注册地址：广东佛山市顺德区大良德和居委会拥翠路2号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办公地址：广东佛山市顺德区大良德和居委会拥翠路2号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法定代表人：姚真勇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联系人：杨素苗、区敏欣</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联系电话：0757-22382524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客户服务电话：0757-22223388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传真：0757-22388235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网址：www.sdebank.com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(42) 苏州银行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注册地址：江苏省苏州市工业园区钟园路728号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办公地址：江苏省苏州市工业园区钟园路728号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法定代表人：王兰凤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联系人：吴骏</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联系电话：0512-69868373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客户服务电话：96067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传真：0512-69868373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网址：www.suzhoubank.com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(43) 威海市商业银行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注册地址：威海市宝泉路9号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办公地址：威海市宝泉路9号财政大厦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法定代表人：谭先国</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联系人：冯十卉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联系电话：0531-68978175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客户服务电话：山东省内96636、中国境内40000-96636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传真：0531-68978176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网址：www.whccb.com，www.whccb.com.cn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(44) 武汉农村商业银行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注册地址：湖北省武汉市江岸区建设大道618号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办公地址：湖北省武汉市江岸区建设大道618号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法定代表人：徐小建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联系人：邹君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电话：027-85497270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客户服务电话：95367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传真：027-85497270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网址：http://www.whrcbank.com/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(45) 烟台银行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注册地址：山东省烟台市芝罘区海港路25号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办公地址：山东省烟台市芝罘区海港路25号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法定代表人：吴明理</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联系人：张卓智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联系电话：0535-6699671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客户服务电话：4008-311-777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传真：0535-6699884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网址：www.yantaibank.net</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(46) 余杭农村商业银行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注册地址：杭州市余杭区南苑街道南大街72号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办公地址：杭州市余杭区南苑街道南大街72号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法定代表人：来煜标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联系人：蔡亮</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联系电话：0571-86209980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客户服务电话：96596，4008896596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网址：www.yhrcb.com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(47) 云南红塔银行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注册地址：云南省玉溪市东风南路2号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办公地址：云南省昆明市盘龙区世博路低碳中心A座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法定代表人：李光林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联系人：马杰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联系电话：0871-65236624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客户服务电话：0877-96522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网址：www.ynhtbank.com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(48) 中原银行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注册地址：河南省郑州市郑东新区CBD商务外环路23号中科金座大厦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办公地址：河南省郑州市郑东新区CBD商务外环路23号中科金座大厦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法定代表人：窦荣兴</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联系电话：0371-61910217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客户服务电话：95186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网址：www.zybank.com.cn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(49) 珠海华润银行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注册地址：广东省珠海市吉大九洲大道东1346号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办公地址：广东省珠海市吉大九洲大道东1346号珠海华润银行大厦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法定代表人：刘晓勇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联系电话：4008800338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客户服务电话：96588（广东省外请加拨0756），400-8800-338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网址：www.crbank.com.cn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(50) 安信证券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注册地址：深圳市福田区金田路4018号安联大厦35层、28层A02单元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办公地址：深圳市福田区金田路4018号安联大厦35层、28层A02单元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          深圳市福田区深南大道2008号中国凤凰大厦1栋9层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法定代表人：黄炎勋</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联系人：陈剑虹</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联系电话：0755-82825551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客户服务电话：95517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传真：0755-82558355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网址：www.essence.com.cn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(51) 渤海证券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注册地址：天津市经济技术开发区第二大街42号写字楼101室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办公地址：天津市南开区宾水西道8号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法定代表人：安志勇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联系电话：022-28451922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客户服务电话：400-651-5988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传真：022-28451892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网址：www.ewww.com.cn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(52) 财信证券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注册地址：长沙市芙蓉中路二段80号顺天国际财富中心26层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办公地址：长沙市芙蓉中路二段80号顺天国际财富中心26-28层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法定代表人：刘宛晨</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联系人：郭静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联系电话：0731-84403347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客户服务电话：95317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传真：0731-84403439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网址：www.cfzq.com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(53) 长城国瑞证券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注册地址：厦门市思明区莲前西路2号莲富大厦17楼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办公地址：厦门市思明区深田路46号深田国际大厦20楼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法定代表人：王勇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联系人：邱震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联系电话：0592-2079259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客户服务电话：400-0099-886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传真：0592-2079602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网址：www.gwgsc.com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(54) 长江证券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注册地址：湖北省武汉市新华路特8号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办公地址：湖北省武汉市新华路特8号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法定代表人：李新华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联系人：奚博宇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联系电话：027-65799999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客户服务电话：95579或4008-888-999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传真：027-85481900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网址：www.95579.com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(55) 川财证券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注册地址：中国（四川）自由贸易试验区成都高新区交子大道177号中海国际中心B座17楼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办公地址：四川省成都高新区交子大道177号中海国际中心B座17楼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法定代表人：孟建军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联系人：匡婷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联系电话：028-86583053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客户服务电话：028-962708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网址：www.cczq.com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(56) 大通证券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注册地址：辽宁省大连市沙河口区会展路129号大连国际金融中心A座-大连期货大厦38、39层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办公地址：辽宁省大连市沙河口区会展路129号大连国际金融中心A座-大连期货大厦38、39层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法定代表人：赵玺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联系人：谢立军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联系电话：0411-39991807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客户服务电话：4008-169-169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传真：0411-39673214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网址：www.daton.com.cn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(57) 大同证券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注册地址：山西省大同市城区迎宾街15号桐城中央21层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办公地址：山西省太原市小店区长治路111号山西世贸中心A座F12、F13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法定代表人：董祥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联系人：薛津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联系电话：0351-4130322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客户服务电话：4007121212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传真：0351-7219891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网址：www.dtsbc.com.cn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(58) 德邦证券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注册地址：上海市普陀区曹杨路510号南半幢9楼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办公地址：上海市福山路500号城建国际中心29楼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法定代表人：武晓春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联系人：刘熠</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联系电话：021-68761616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客户服务电话：400-8888-128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传真：021-68767880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网址：http://www.tebon.com.cn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(59) 第一创业证券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注册地址：深圳市福田区福华一路115号投行大厦20楼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办公地址：深圳市福田区福华一路115号投行大厦20楼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法定代表人：刘学民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联系人：单晶</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联系电话：0755-23838750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客户服务电话：95358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网址：www.firstcapital.com.cn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(60) 东北证券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注册地址：长春市生态大街6666号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办公地址：长春市生态大街6666号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法定代表人：李福春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联系人：安岩岩</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联系电话：0431-85096517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客户服务电话：95360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传真：0431-85096795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网址：www.nesc.cn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(61) 东海证券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注册地址：江苏省常州市延陵西路23号投资广场18层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办公地址：上海市浦东新区东方路1928号东海证券大厦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法定代表人：钱俊文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联系人：王一彦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联系电话：021-20333333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客户服务电话：95531、400-8888-588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传真：021-50498825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网址：www.longone.com.cn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(62) 东吴证券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注册地址：苏州工业园区星阳街5号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办公地址：苏州工业园区星阳街5号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法定代表人：范力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联系人：陆晓</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联系电话：0512-62938521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客户服务电话：95330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传真：0512-65588021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网址：www.dwzq.com.cn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(63) 东兴证券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注册地址：北京市西城区金融大街5号（新盛大厦）12、15层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办公地址：北京市西城区金融大街5号新盛大厦B座10层、12层、15层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法定代表人：魏庆华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联系人：夏锐</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联系电话：010-66559079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客户服务电话：95309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传真：010-66555133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网址：www.dxzq.net</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(64) 光大证券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注册地址：上海市静安区新闸路1508号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办公地址：上海市静安区新闸路1508号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法定代表人：刘秋明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联系人：郁疆</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联系电话：021-22169999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客户服务电话：95525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网址：www.ebscn.com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(65) 广发证券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注册地址：广东省广州市黄埔区中新广州知识城腾飞一街2号618室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办公地址：广州市天河区马场路26号广发证券大厦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法定代表人：孙树明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联系人：黄岚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客户服务电话：95575或02095575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网址：www.gf.com.cn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(66) 国都证券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注册地址：北京市东城区东直门南大街3号国华投资大厦9层10层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办公地址：北京市东城区东直门南大街3号国华投资大厦9层10层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法定代表人：翁振杰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联系人：黄静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联系电话：010-84183333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客户服务电话：400-818-8118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传真：010-84183311-3122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网址：www.guodu.com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(67) 国金证券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注册地址：成都市青羊区东城根上街95号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办公地址：成都市青羊区东城根上街95号成证大厦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法定代表人：冉云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联系人：杜晶、黎建平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联系电话：028-86690057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客户服务电话：95310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传真：028-86690126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网址：www.gjzq.com.cn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(68) 国联证券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注册地址：江苏省无锡市太湖新城金融一街8号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办公地址：江苏省无锡市太湖新城金融一街8号国联金融大厦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法定代表人：姚志勇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联系人：祁昊</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联系电话：0510-82831662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客户服务电话：95570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传真：0510-82830162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网址：www.glsc.com.cn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(69) 国盛证券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注册地址：江西省南昌市新建区子实路1589号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办公地址：江西省南昌市红谷滩新区凤凰中大道1115号北京银行大厦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法定代表人：徐丽峰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联系人：占文驰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联系电话：0791-88250812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客户服务电话：956080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传真：0791-86281305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网址：www.gszq.com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(70) 国泰君安证券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注册地址：中国（上海）自由贸易试验区商城路618号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办公地址：上海市静安区南京西路768号国泰君安大厦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法定代表人：贺青</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联系人：芮敏祺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传真：021-38670666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网址：www.gtja.com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(71) 国信证券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注册地址：深圳市罗湖区红岭中路1012号国信证券大厦十六层至二十六层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办公地址：深圳市罗湖区红岭中路1012号国信证券大厦十六层至二十六层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法定代表人：何如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联系人：李颖</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联系电话：0755-82130833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客户服务电话：95536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传真：0755-82133952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网址：www.guosen.com.cn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(72) 海通证券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注册地址：上海市广东路689号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办公地址：上海市广东路689号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法定代表人：周杰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联系人：金芸、李笑鸣</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联系电话：021-23219000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客户服务电话：95553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传真：021-23219100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网址：www.htsec.com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(73) 华安证券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注册地址：安徽省合肥市政务文化新区天鹅湖路198号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办公地址：安徽省合肥市政务文化新区天鹅湖路198号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法定代表人：章宏韬</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联系人：范超</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联系电话：0551-65161821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传真：0551-65161825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网址：www.hazq.com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(74) 华宝证券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注册地址：中国（上海）自由贸易试验区世纪大道100号57层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办公地址：中国（上海）自由贸易试验区世纪大道100号57层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法定代表人：刘加海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联系人：刘闻川</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联系电话：021-20657517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客户服务电话：400-820-9898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传真：021-20515593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网址：www.cnhbstock.com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(75) 华龙证券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注册地址：兰州市城关区东岗西路638号兰州财富中心21楼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办公地址：兰州市城关区东岗西路638号兰州财富中心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法定代表人：陈牧原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联系人：范坤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联系电话：0931-4890208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客户服务电话：95368、400-689-8888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传真：0931-4890628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网址：www.hlzq.com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(76) 华泰证券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注册地址：南京市江东中路228号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办公地址：南京市建邺区江东中路228号华泰证券广场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法定代表人：张伟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联系人：庞晓芸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联系电话：0755-82492193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客户服务电话：95597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传真：025-83387523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网址：www.htsc.com.cn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(77) 华西证券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注册地址：四川省成都市高新区天府二街198号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办公地址：四川省成都市高新区天府二街198号华西证券大厦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法定代表人：杨炯洋</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联系人：张彬</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联系电话：010-58124967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客户服务电话：95584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传真：028-86150040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网址：www.hx168.com.cn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(78) 江海证券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注册地址：黑龙江省哈尔滨市香坊区赣水路56号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办公地址：黑龙江省哈尔滨市松北区创新三路833号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法定代表人：赵洪波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联系人：姜志伟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联系电话：0451-87765732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客户服务电话：956007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传真：0451-82337279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网址：www.jhzq.com.cn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(79) 金元证券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注册地址：海口市南宝路36号证券大厦4楼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办公地址：深圳市深南大道4001号时代金融中心大厦17楼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法定代表人：王作义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联系人：刘萍</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联系电话：0755-83025693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客户服务电话：95372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传真：0755-83025625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网址：www.jyzq.cn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(80) 开源证券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注册地址：陕西省西安市高新区锦业路1号都市之门B座5层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办公地址：陕西省西安市高新区锦业路1号都市之门B座5层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联系人：张蕊</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联系电话：029-88365809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客户服务电话：95325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网址：www.kysec.cn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(81) 联储证券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注册地址：广东省深圳市福田区福田街道岗厦社区深南大道南侧金地中心大厦9楼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办公地址：上海市浦东新区陆家嘴环路333号金砖大厦8楼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法定代表人：吕春卫</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联系人：张婉婷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联系电话：010-86499765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客户服务电话：400-620-6868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网址：www.lczq.com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(82) 南京证券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注册地址：南京市江东中路389号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办公地址：南京市江东中路389号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法定代表人：李剑锋</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联系人：王万君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联系电话：025-58519523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客户服务电话：95386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传真：025-83369725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网址：www.njzq.com.cn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(83) 平安证券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注册地址：深圳市福田区福田街道益田路5023号平安金融中心B座第22-25层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办公地址：深圳市福田区金田路4036号荣超大厦16-20层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法定代表人：何之江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联系人：周驰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联系电话：021-38643230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客户服务电话：95511-8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传真：021-58991896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网址：stock.pingan.com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(84) 山西证券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注册地址：太原市府西街69号山西国际贸易中心东塔楼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办公地址：太原市府西街69号山西国际贸易中心东塔楼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法定代表人：侯巍</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联系人：谢武兵</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联系电话：0351-8686721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客户服务电话：95573或400-666-1618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传真：0351-8686619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网址：www.i618.com.cn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(85) 上海证券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注册地址：上海市黄浦区四川中路213号7楼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办公地址：上海市四川中路213号久事商务大厦7楼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法定代表人：李俊杰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联系人：邵珍珍</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联系电话：021-53686888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客户服务电话：4008-918-918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传真：021-53686100、021-53686200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网址：https://www.shzq.com/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(86) 申万宏源西部证券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注册地址：新疆乌鲁木齐市高新区（新市区）北京南路358号大成国际大厦20楼2005室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办公地址：新疆乌鲁木齐市高新区（新市区）北京南路358号大成国际大厦20楼2005室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联系人：王怀春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联系电话：0991-2307105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客户服务电话：4008-000-562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传真：010-88085195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网址：www.hysec.com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(87) 申万宏源证券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注册地址：上海市徐汇区长乐路989号45层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办公地址：上海市徐汇区长乐路989号世纪商贸广场45层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法定代表人：杨玉成</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联系人：胡馨文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联系电话：021-33388252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客户服务电话：95523、4008895523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传真：021-33388224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网址：www.swhysc.com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(88) 世纪证券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注册地址：深圳市前海深港合作区南山街道桂湾五路128号前海深港基金小镇对冲基金中心406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办公地址：深圳市福田区深南大道招商银行大厦40-42层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联系人：徐玲娟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联系电话：0755-83199553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客户服务电话：4008323000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网址：www.csco.com.cn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(89) 首创证券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注册地址：北京市西城区德胜门外大街115号德胜尚城E座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办公地址：北京市西城区德胜门外大街115号德胜尚城E座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法定代表人：毕劲松</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联系电话：010-59366070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客户服务电话：400-620-0620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传真：010-59366055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网址：http://www.sczq.com.cn/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(90) 万联证券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注册地址：广州市天河区珠江东路11号18、19楼全层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办公地址：广州市天河区珠江东路13号高德置地广场E栋12层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法定代表人：罗钦城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联系人：甘蕾</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联系电话：020-38286026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客户服务电话：95322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传真：020-38286588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网址：www.wlzq.cn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(91) 西部证券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注册地址：陕西省西安市新城区东新街319号8幢10000室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办公地址：陕西省西安市新城区东新街319号8幢10000室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法定代表人：徐朝晖</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联系人：梁承华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联系电话：029-87211526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客户服务电话：95582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传真：029-87211478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网址：www.westsecu.com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(92) 西南证券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注册地址：重庆市江北区桥北苑8号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办公地址：重庆市江北区桥北苑8号西南证券大厦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法定代表人：廖庆轩</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联系人：周青</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联系电话：023-63786633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客户服务电话：4008096096或95355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传真：023-63786212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网址：www.swsc.com.cn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(93) 新时代证券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注册地址：北京市海淀区北三环西路99号院1号楼15层1501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办公地址：北京市海淀区北三环西路99号院1号楼15层1501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法定代表人：叶顺德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联系人：马文玺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联系电话：010-83561072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网址：www.xsdzq.cn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(94) 信达证券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注册地址：北京市西城区闹市口大街9号院1号楼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办公地址：北京市西城区闹市口大街9号院1号楼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法定代表人：肖林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联系人：尹旭航</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联系电话：010-63081000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传真：010-63080978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网址：www.cindasc.com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(95) 兴业证券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注册地址：福州市湖东路268号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办公地址：上海浦东新区长柳路36号兴业证券大厦20楼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法定代表人：杨华辉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联系人：乔琳雪</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联系电话：021-38565547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客户服务电话：95562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网址：www.xyzq.com.cn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(96) 银河证券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注册地址：北京市西城区金融大街35号2-6层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办公地址：北京市西城区金融大街35号国际企业大厦C座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法定代表人：陈共炎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联系人：辛国政</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联系电话：010-83574507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客户服务电话：4008-888-888或95551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网址：www.chinastock.com.cn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(97) 中金财富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注册地址：深圳市福田区益田路与福中路交界处荣超商务中心A栋第18-21层及第04层01.02.03.05.11.12.13.15.16.18.19.20.21.22.23单元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办公地址：深圳福田区益田路6003号荣超商务中心A座4层、18-21层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法定代表人：高涛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联系人：万玉琳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联系电话：0755-82026907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客户服务电话：95532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网址：https://www.ciccwm.com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(98) 中金公司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注册地址：北京市朝阳区建国门外大街1号国贸大厦2座27层及28层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办公地址：北京市朝阳区建国门外大街甲6号SK大厦38层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法定代表人：沈如军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联系人：杨涵宇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联系电话：010-65051166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客户服务电话：4009101166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网址：www.cicc.com.cn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(99) 中山证券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注册地址：深圳市南山区粤海街道蔚蓝海岸社区创业路1777号海信南方大厦21、22</w:t>
      </w:r>
      <w:r w:rsidRPr="001B5B45">
        <w:rPr>
          <w:rStyle w:val="da"/>
          <w:rFonts w:asciiTheme="minorEastAsia" w:eastAsiaTheme="minorEastAsia" w:hAnsiTheme="minorEastAsia" w:hint="eastAsia"/>
        </w:rPr>
        <w:lastRenderedPageBreak/>
        <w:t>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办公地址：深圳市南山区创业路1777号海信南方大厦21、22层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法定代表人：林炳城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联系人：罗艺琳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电话：0755-82943755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传真：0755-82960582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客户服务电话：95329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网址：www.zszq.com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(100) 中泰证券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注册地址：济南市市中区经七路86号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办公地址：山东省济南市经七路86号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法定代表人：李玮</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联系人：许曼华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联系电话：021-20315290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客户服务电话：95538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传真：0531-68889095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网址：www.zts.com.cn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(101) 中信建投证券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注册地址：北京市朝阳区安立路66号4号楼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办公地址：北京市朝阳门内大街188号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法定代表人：王常青</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联系电话：010－85130554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客户服务电话：95587或4008-888-108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网址：http://www.csc108.com/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(102) 中信证券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注册地址：广东省深圳市福田区中心三路8号卓越时代广场（二期）北座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办公地址：北京市朝阳区亮马桥路48号中信证券大厦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法定代表人：张佑君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 xml:space="preserve">联系人：王一通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联系电话：010-60838888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客户服务电话：95548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传真：010-60836029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网址：www.cs.ecitic.com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(103) 中信证券华南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注册地址：广州市天河区珠江西路5号广州国际金融中心主塔19层、20层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办公地址：广州市天河区珠江西路5号广州国际金融中心主塔19层、20层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法定代表人：胡伏云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联系人：陈靖</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联系电话：020-88836999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客户服务电话：95548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传真：020-88836984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网址：www.gzs.com.cn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(104) 中信证券（山东）</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注册地址：青岛市崂山区深圳路222号1号楼2001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办公地址：青岛市市南区东海西路28号龙翔广场东座5层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法定代表人：姜晓林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联系人：焦刚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联系电话：0531-89606166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客户服务电话：95548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传真：0532-85022605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网址：http://sd.citics.com/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(105) 中邮证券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注册地址：陕西省西安市唐延路5号（陕西邮政信息大厦9-11层）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办公地址：北京市东城区珠市口东大街17号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法定代表人：丁奇文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联系人：岳帅</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 010-67017788-6068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客户服务电话：4008-888-005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传真：010-67017788-9696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网址：www.cnpsec.com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(106) 中原证券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注册地址：郑州市郑东新区商务外环路10号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办公地址：河南省郑州市郑东新区商务外环路10号中原广发金融大厦19楼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法定代表人：菅明军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联系人：程月艳  李盼盼 党静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联系电话：0371-69099882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客户服务电话：95377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传真：0371-65585899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网址：www.ccnew.com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(107) </w:t>
      </w:r>
      <w:r w:rsidR="00DF17CF" w:rsidRPr="001B5B45">
        <w:rPr>
          <w:rStyle w:val="da"/>
          <w:rFonts w:asciiTheme="minorEastAsia" w:eastAsiaTheme="minorEastAsia" w:hAnsiTheme="minorEastAsia" w:hint="eastAsia"/>
        </w:rPr>
        <w:t>度小满基金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注册地址：北京市海淀区西北旺东路10号院西区4号楼1层103室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办公地址：北京市海淀区西北旺东路10号院西区4号楼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法定代表人：葛新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联系人：孙博超</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联系电话：010-59403028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客户服务电话：95055-4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网址：www.baiyingfund.com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(108) 长量基金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注册地址：上海市浦东新区高翔路526号2幢220室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办公地址：上海市浦东新区东方路1267号陆家嘴金融服务广场二期11层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法定代表人：张跃伟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联系人：党敏</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联系电话：021-20691935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客户服务电话：400-820-2899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传真：021-20691861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网址：www.erichfund.com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(109) 朝阳永续</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注册地址：浦东新区上丰路977号1幢B座812室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办公地址：上海市浦东新区碧波路690号4幢201-2A室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法定代表人：孙晓慧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联系人：陆纪青</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联系电话：021-80234888-6813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客户服务电话：400-699-1888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网址：www.998fund.com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(110) 创金启富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注册地址：北京市西城区白纸坊东街2号院6号楼712室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办公地址：北京市西城区白纸坊东街2号院6号楼712室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法定代表人：梁蓉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联系人：杨凤椅</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联系电话：010-66154828-8047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客户服务电话：400-6262-818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传真：010-63583991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网址：www.5irich.com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(111) 大智慧基金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注册地址：中国（上海）自由贸易试验区杨高南路428号1号楼1102单元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办公地址：中国（上海）自由贸易试验区杨高南路428号1号楼1102单元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法定代表人：申健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联系人：张蜓</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联系电话：021-20219988-35374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客户服务电话：021-20292031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传真：021-20219923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网址：https://www.wg.com.cn/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(112) 蛋卷基金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注册地址：北京市朝阳区创远路34号院6号楼15层1501室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办公地址：北京市朝阳区创远路 34 号院融新科技中心 C 座 17 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法定代表人：钟斐斐</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联系人：侯芳芳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联系电话：010-61840688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客户服务电话：400-159-9288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网址：https://danjuanapp.com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(113) 鼎信汇金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注册地址：北京市海淀区太月园3号楼5层521室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办公地址：北京市海淀区太月园3号楼5层521室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法定代表人：齐凌峰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联系人：阮志凌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联系电话：010-82050520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客户服务电话：400-158-5050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传真：010-82086110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网址：www.9ifund.com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(114) 东证期货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注册地址：中国（上海）自由贸易试验区浦电路500号上海期货大厦14层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办公地址：上海市黄浦区中山南路318号2号楼22楼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法定代表人：卢大印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联系人：张敏圆</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联系电话：021-63325888-4259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客户服务电话：4008859999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传真：021-63326752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网址：www.dzqh.com.cn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(115) 富济基金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注册地址：深圳市福田区福田街道岗厦社区金田路3088号中洲大厦3203A单元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办公地址：深圳市福田区福田街道岗厦社区金田路3088号中洲大厦3203A单元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法定代表人：祝中村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联系人：曾瑶敏</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联系电话：0755-83999907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客户服务电话：0755-83999907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传真：0755-83999926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网址：www.fujifund.cn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(116) 海银基金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注册地址：中国（上海）自由贸易试验区银城中路8号402室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办公地址：上海市浦东新区银城中路8号海银金融中心4楼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法定代表人：巩巧丽</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联系人：毛林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联系电话：021-80133597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客户服务电话：400-808-1016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传真：021-80133413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网址：www.fundhaiyin.com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(117) 好买基金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注册地址：上海市虹口区欧阳路196号26号楼2楼41号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办公地址：上海市浦东南路1118号鄂尔多斯国际大厦903～906室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法定代表人：杨文斌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联系人：高源</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联系电话：021-36696312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客户服务电话：400-700-9665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传真：021-68596919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网址：www.ehowbuy.com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(118) 恒天明泽</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注册地址：北京市经济技术开发区宏达北路10号五层5122室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办公地址：北京市朝阳区东三环北路甲19号SOHO嘉盛中心30层3001室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法定代表人：周斌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联系人：陈霞</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联系电话：010-59313555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客户服务电话：400-8980-618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传真：010-59313586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网址：www.chtwm.com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(119) 虹点基金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注册地址：北京市朝阳区东三环北路17号10层1015室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办公地址：北京市朝阳区东三环北路17号10层1015室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法定代表人：何静</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联系人：王重阳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联系电话：010-65951887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客户服务电话：400-618-0707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网址：www.hongdianfund.com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(120) 华瑞保险销售</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注册地址：上海市嘉定区南翔镇众仁路399号运通星财富广场1号楼B座13、14层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办公地址：上海市浦东新区向城路288号国华人寿金融大厦8层806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法定代表人：路昊</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联系人：茆勇强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联系电话：021-68595698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客户服务电话：952303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传真：021-68595766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网址：www.huaruisales.com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(121) 华夏财富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注册地址：上海市虹口区东大名路687号1幢2楼268室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办公地址：北京市西城区金融大街33号通泰大厦B座8层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法定代表人：毛淮平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联系人：张静怡</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联系电话：010-88066326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客户服务电话：400-817-5666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传真：010-63136184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网址：www.amcfortune.com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(122) 汇成基金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注册地址：北京市海淀区中关村大街11号11层1108号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办公地址：北京市西城区西直门外大街1号院2号楼 19层 19C13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法定代表人：王伟刚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联系人：王骁骁</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联系电话：010-56251471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客户服务电话：400-619-9059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网址：www.hcfunds.com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(123) 汇付基金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注册地址：上海市黄浦区黄河路333号201室A区056单元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办公地址：上海市徐汇区宜山路700号普天信息产业园2期C5栋 汇付天下总部大楼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法定代表人：金佶</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联系人：甄宝林</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联系电话：021-34013996-3011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客户服务电话：021-34013999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传真：021-33323837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网址：www.hotjijin.com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(124) 济安财富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注册地址：北京市朝阳区太阳宫中路16号院1号楼3层307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办公地址：北京市朝阳区太阳宫中路16号院1号楼冠捷大厦3层307单元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法定代表人：杨健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联系人：李海燕</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联系电话：010-65309516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客户服务电话：400-673-7010（济安财富官网）  400-071-6766（腾讯财经）</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传真：010-65330699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网址：www.jianfortune.com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(125) 加和基金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注册地址：北京市西城区德胜门外大街13号院1号楼5层505室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办公地址：北京市西城区德胜门外大街13号院1号楼5层505室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法定代表人：曲阳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联系人：王梓骄</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联系电话：010-80456756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客户服务电话：400-803-1188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传真：010-80456278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网址：www.bzfunds.com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(126) 嘉实财富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注册地址：中国（上海）自由贸易试验区世纪大道8号上海国金中心办公楼二期53层5312-15单元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办公地址：北京市朝阳区建国路91号金地中心A座6层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法定代表人：赵学军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联系人：李雯</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联系电话：010-60842306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客户服务电话：400-021-8850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传真：010-85712195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网址：www.harvestwm.cn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(127) 金观诚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注册地址：杭州拱墅区登云路45号金诚集团（锦昌大厦）1幢10楼1001室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办公地址：杭州拱墅区登云路55号金诚集团（锦昌大厦）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法定代表人：蒋雪琦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联系人：来舒岚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联系电话：0571-88337888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客户服务电话：4000680058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传真：0571-88337666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网址：http://www.jincheng-fund.com/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(128) 凯石财富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注册地址：上海市黄浦区西藏南路765号602-115室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办公地址：上海市黄浦区延安东路1号凯石大厦4楼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法定代表人：陈继武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联系人：冯强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联系电话：021-63333389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客户服务电话：4006-433-389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传真：021-63333390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网址：www.vstonewealth.com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(129) 肯特瑞基金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注册地址：北京市海淀区西三旗建材城中路12号17号平房157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办公地址：北京市大兴区亦庄经济开发区科创十一街十八号院京东集团总部A座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法定代表人：王苏宁</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联系人：娄云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联系电话：010-89189291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客户服务电话：95118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网址：http://fund.jd.com/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(130) 利得基金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注册地址：上海市宝山区蕴川路5475号1033室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办公地址：上海市虹口区东大名路1098号浦江国际金融广场53层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法定代表人：李兴春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联系人：陈孜明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联系电话：86-021-50583533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客户服务电话：95733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传真：86-21-61101630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网址：www.leadfund.com.cn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(131) 联泰基金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注册地址：中国（上海）自由贸易试验区富特北路277号3层310室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办公地址：上海市长宁区福泉北路518号8座3楼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法定代表人：尹彬彬</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联系人：陈东</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联系电话：021-52822063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客户服务电话：400-118-1188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传真：021-52975270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网址：www.66zichan.com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(132) 陆基金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注册地址：中国（上海）自由贸易试验区陆家嘴环路1333号14楼09单元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办公地址：中国（上海）自由贸易试验区陆家嘴环路1333号14楼09单元</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法定代表人：王之光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联系人：宁博宇</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联系电话：021-20665952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客户服务电话：4008219031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传真：021-22066653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网址：www.lufunds.com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(133) 蚂蚁基金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注册地址：浙江省杭州市余杭区五常街道文一西路969号3幢5层599室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办公地址：浙江省杭州市西湖区万塘路18号黄龙时代广场B座6F</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法定代表人：祖国明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联系人：韩爱彬</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联系电话：0571-26888888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客户服务电话：4000-766-123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网址：http://www.fund123.cn/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(134) 民商基金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注册地址：上海市黄浦区北京东路666号H区（东座）6楼A31室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办公地址：上海市浦东新区张杨路707号生命人寿大厦32楼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法定代表人：贲惠琴</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联系人：林志枫</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联系电话：021-50206003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客户服务电话：021-50206003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传真：021-50206001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网址：http://www.msftec.com/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(135) 诺亚正行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注册地址：上海市虹口区飞虹路360弄9号3724室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办公地址：上海市杨浦区长阳路1687号长阳谷2号楼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法定代表人：汪静波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联系电话：021-80358523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客户服务电话：400-821-5399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传真：021-38509777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网址：www.noah-fund.com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(136) 浦领基金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注册地址：北京市朝阳区望京东园四区13号楼A座9层908室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办公地址：北京市朝阳区望京浦项中心A座9层04-08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法定代表人：聂婉君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联系人：李艳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联系电话：010-59497361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客户服务电话：400-012-5899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传真：010-64788016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网址：www.zscffund.com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(137) 钱景基金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注册地址：北京市海淀区中关村东路18号1号楼11层B-1108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办公地址：北京市海淀区中关村东路18号财智国际大厦B-1108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法定代表人：王利刚</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联系人：白皓</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联系电话：010-59422766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客户服务电话：400-893-6885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传真：010-62565181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网址：www.qianjing.com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(138) 深圳新兰德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注册地址：深圳市福田区福田街道民田路178号华融大厦27层2704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办公地址：北京市西城区宣武门外大街28号富卓大厦A座7层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法定代表人：洪弘</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联系人：张燕</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联系电话：010-83363099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客户服务电话：400-166-1188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传真：010-83363010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网址：http://8.jrj.com.cn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(139) 天天基金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注册地址：上海市徐汇区龙田路190号2号楼2层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办公地址：上海市徐汇区宛平南路88号东方财富大厦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法定代表人：其实</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联系人：屠彦洋</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联系电话：021-54509977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客户服务电话：95021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传真：021-64385308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网址：www.1234567.com.cn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(140) 通华财富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注册地址：上海市虹口区同丰路667弄107号201室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办公地址：上海市浦东新区金沪路55号通华科技大厦2楼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法定代表人：沈丹义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联系人：杨涛、庄洁茹</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联系电话：021-60810586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客户服务电话：400-101-9301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传真：021-60810695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网址：www.tonghuafund.com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(141) 同花顺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注册地址：浙江省杭州市文二西路1号903室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办公地址：杭州市余杭区五常街道同顺街18号同花顺大楼4层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法定代表人：吴强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联系人：吴强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联系电话：0571-88911818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客户服务电话：952555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传真：0571-86800423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网址：www.5ifund.com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(142) 挖财基金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注册地址：中国（上海）自由贸易试验区杨高南路799号5楼04室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办公地址：上海市浦东新区杨高南路799号陆家嘴世纪金融广场3号楼5层04室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法定代表人：吕柳霞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联系人：曾芸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联系电话：021-50810687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客户服务电话：021-50810673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网址：www.wacaijijin.com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(143) 万得基金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注册地址：中国（上海）自由贸易试验区福山路33号11楼B座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办公地址：上海市浦东新区浦明路1500号万得大厦11楼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法定代表人：黄祎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联系人：徐亚丹</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联系电话：021-50712782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客户服务电话：400-799-1888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网址：www.520fund.com.cn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(144) 万家财富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注册地址：天津自贸区（中心商务区）迎宾大道1988号滨海浙商大厦公寓2-2413室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办公地址：北京市西城区丰盛胡同28号太平洋保险大厦A座5层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法定代表人：张军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联系人：王芳芳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联系电话：010-59013828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客户服务电话：010-59013895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网址：http://www.wanjiawealth.com/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(145) 新浪仓石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注册地址：北京市海淀区东北旺西路中关村软件园二期（西扩）N-1、N-2地块新浪总部科研楼5层518室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办公地址：北京市海淀区西北旺东路10号院东区3号楼为明大厦C座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法定代表人：赵芯蕊</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联系人：赵芯蕊</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联系电话：010-62625768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客户服务电话：010-62675369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传真：010-62676582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网址：www.xincai.com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(146) 鑫鼎盛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注册地址：厦门市思明区鹭江道2号厦门第一广场西座1501-1502室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办公地址：厦门市思明区鹭江道2号厦门第一广场西座1501-1502室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 xml:space="preserve">法定代表人：陈洪生 </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联系人：梁云波</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联系电话：0592-3122757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客户服务电话：400-6533-789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网址：www.xds.com.cn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(147) 阳光人寿保险</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注册地址：海南省三亚市迎宾路360-1号三亚阳光金融广场16层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办公地址：北京市朝阳区朝阳门外大街乙12号院1号昆泰国际大厦12层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法定代表人：李科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联系人：王超</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联系电话：010-85632771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客户服务电话：95510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传真：010-85632773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网址：http://fund.sinosig.com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(148) 一路财富</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注册地址：北京市海淀区宝盛南路1号院20号楼9层101-14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办公地址：北京市海淀区宝盛南路奥北科技园20号楼国泰大厦9层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法定代表人：吴雪秀</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联系人：董宣</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联系电话：010-88312877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客户服务电话：400-001-1566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传真：010-88312099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网址：www.yilucaifu.com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(149) 宜信普泽</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注册地址：北京市朝阳区西大望路1号9层公寓1008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办公地址：北京市朝阳区西大望路1号9层公寓1008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法定代表人：戎兵</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联系人：魏晨</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联系电话：010-52413385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客户服务电话：400-6099-200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传真：010-85800047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网址：www.yixinfund.com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(150) 奕丰金融</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注册地址：深圳市前海深港合作区前湾一路1号A栋201室（入驻深圳市前海商务秘书有限公司）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办公地址：深圳市南山区海德三道航天科技广场A座17楼1704室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法定代表人：TEO WEE HOWE</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联系人：叶健</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联系电话：0755-89460507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客户服务电话：400-684-0500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传真：0755-21674453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网址：www.ifastps.com.cn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(151) 盈米基金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注册地址：珠海市横琴新区宝华路6号105室-3491（集中办公区）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办公地址：广州市海珠区琶洲大道东路1号保利国际广场南塔1201-1203室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法定代表人：肖雯</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联系人：邱湘湘</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联系电话：020-89629099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客户服务电话：020-89629066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传真：020-89629011</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网址：www.yingmi.cn</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(152) 云湾基金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注册地址：中国（上海）自由贸易试验区新金桥路27号、明月路1257号1幢1层103-1、103-2办公区</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办公地址：上海市浦东新区新金桥路27号1号楼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法定代表人：冯轶明</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联系人：范泽杰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联系电话：021-20530186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客户服务电话：400-820-1515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传真：021-20539999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网址：http://www.zhengtongfunds.com/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(153) 展恒基金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注册地址：北京市朝阳区安苑路11号西楼6层604、607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办公地址：北京市朝阳区北四环中路27号盘古大观3205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法定代表人：闫振杰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联系人：武文佳</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联系电话：010-59601399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客户服务电话：400-818-8000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传真：0351-4110714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网址：www.myfund.com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(154) 中期时代基金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注册地址：北京市朝阳区建国门外光华路14号1幢11层1103号</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办公地址：北京市朝阳区建国门外光华路14号1幢4层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法定代表人：田宏莉</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联系人：尹庆</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联系电话：010-65807865</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客户服务电话：95162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传真：010-65807864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网址：www.jrtoo.com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(155) 中信建投期货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注册地址：重庆市渝中区中山三路107号上站大楼平街11-B，名义层11-A，8-B4，9-B、C</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办公地址：重庆市渝中区中山三路107号皇冠大厦11楼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法定代表人：王广学</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联系人：刘芸</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联系电话：023-86769637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客户服务电话：400-8877-780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传真：023-86769629</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网址：www.cfc108.com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(156) 中信期货</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注册地址：广东省深圳市福田区中心三路8号卓越时代广场（二期）北座13层1301-1305室、14层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办公地址：深圳市福田区中心三路8号卓越时代广场（二期）北座13层1301-1305室、14层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法定代表人：张皓</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联系人：刘宏莹</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联系电话：010-6083 3754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客户服务电话：400-990-8826</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传真：021-60819988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网址：www.citicsf.com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(157) 中正达广</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注册地址：上海市徐汇区龙腾大道2815号302室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办公地址：上海市徐汇区龙腾大道2815号302室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法定代表人：黄欣</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联系人：戴珉微</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联系电话：021-33768132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客户服务电话：400-6767-523</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传真：021-33768132-802</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网址：www.zhongzhengfund.com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(158) 中证金牛</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注册地址：北京市丰台区东管头1号2号楼2-45室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办公地址：北京市西城区宣武门外大街甲1号环球财讯中心A座5层</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法定代表人：钱昊旻</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联系人：沈晨</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联系电话：010-59336544</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客户服务电话：4008-909-998</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网址：www.jnlc.com</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(159) 众禄基金</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注册地址：深圳市罗湖区笋岗街道笋西社区梨园路8号HALO广场一期四层12-13室</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办公地址：深圳市罗湖区梨园路HALO广场4楼</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法定代表人：薛峰</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联系人：龚江江</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联系电话：0755-33227950</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客户服务电话：4006-788-887</w:t>
      </w:r>
    </w:p>
    <w:p w:rsidR="00FC279D" w:rsidRPr="001B5B45" w:rsidRDefault="00FC279D" w:rsidP="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传真：0755-33227951</w:t>
      </w:r>
    </w:p>
    <w:p w:rsidR="00213CB9" w:rsidRPr="001B5B45" w:rsidRDefault="00FC279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网址：www.zlfund.cn    www.jjmmw.com</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w:t>
      </w:r>
      <w:bookmarkEnd w:id="19"/>
      <w:r w:rsidR="006F2DCE" w:rsidRPr="001B5B45">
        <w:rPr>
          <w:rStyle w:val="da"/>
          <w:rFonts w:asciiTheme="minorEastAsia" w:eastAsiaTheme="minorEastAsia" w:hAnsiTheme="minorEastAsia"/>
        </w:rPr>
        <w:t>登记机构</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名称：</w:t>
      </w:r>
      <w:r w:rsidR="00D86EFA" w:rsidRPr="001B5B45">
        <w:rPr>
          <w:rStyle w:val="da"/>
          <w:rFonts w:asciiTheme="minorEastAsia" w:eastAsiaTheme="minorEastAsia" w:hAnsiTheme="minorEastAsia"/>
        </w:rPr>
        <w:t>易方达基金管理有限公司</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注册地址：</w:t>
      </w:r>
      <w:r w:rsidR="006912FF" w:rsidRPr="001B5B45">
        <w:rPr>
          <w:rFonts w:asciiTheme="minorEastAsia" w:eastAsiaTheme="minorEastAsia" w:hAnsiTheme="minorEastAsia"/>
        </w:rPr>
        <w:t>广东省珠海市横琴新区宝华路6号105室-42891（集中办公区）</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办公地址：</w:t>
      </w:r>
      <w:r w:rsidR="00D86EFA" w:rsidRPr="001B5B45">
        <w:rPr>
          <w:rStyle w:val="da"/>
          <w:rFonts w:asciiTheme="minorEastAsia" w:eastAsiaTheme="minorEastAsia" w:hAnsiTheme="minorEastAsia"/>
        </w:rPr>
        <w:t>广州市天河区珠江新城珠江东路30号广州银行大厦40-43楼</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法定代表人：</w:t>
      </w:r>
      <w:r w:rsidR="00D86EFA" w:rsidRPr="001B5B45">
        <w:rPr>
          <w:rStyle w:val="da"/>
          <w:rFonts w:asciiTheme="minorEastAsia" w:eastAsiaTheme="minorEastAsia" w:hAnsiTheme="minorEastAsia"/>
        </w:rPr>
        <w:t>刘晓艳</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电话：</w:t>
      </w:r>
      <w:r w:rsidR="00D86EFA" w:rsidRPr="001B5B45">
        <w:rPr>
          <w:rStyle w:val="da"/>
          <w:rFonts w:asciiTheme="minorEastAsia" w:eastAsiaTheme="minorEastAsia" w:hAnsiTheme="minorEastAsia"/>
        </w:rPr>
        <w:t>4008818088</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传真：</w:t>
      </w:r>
      <w:r w:rsidR="00D86EFA" w:rsidRPr="001B5B45">
        <w:rPr>
          <w:rStyle w:val="da"/>
          <w:rFonts w:asciiTheme="minorEastAsia" w:eastAsiaTheme="minorEastAsia" w:hAnsiTheme="minorEastAsia"/>
        </w:rPr>
        <w:t>020-38799249</w:t>
      </w:r>
    </w:p>
    <w:p w:rsidR="00D9063B" w:rsidRPr="001B5B45" w:rsidRDefault="00BA4B87"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联系人：</w:t>
      </w:r>
      <w:r w:rsidR="00D86EFA" w:rsidRPr="001B5B45">
        <w:rPr>
          <w:rStyle w:val="da"/>
          <w:rFonts w:asciiTheme="minorEastAsia" w:eastAsiaTheme="minorEastAsia" w:hAnsiTheme="minorEastAsia"/>
        </w:rPr>
        <w:t>余贤高</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20" w:name="_Toc332373484"/>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律师事务所和经办律师</w:t>
      </w:r>
      <w:bookmarkEnd w:id="20"/>
    </w:p>
    <w:p w:rsidR="00450463"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律师事务所：</w:t>
      </w:r>
      <w:r w:rsidR="00C95FFE" w:rsidRPr="001B5B45">
        <w:rPr>
          <w:rStyle w:val="da"/>
          <w:rFonts w:asciiTheme="minorEastAsia" w:eastAsiaTheme="minorEastAsia" w:hAnsiTheme="minorEastAsia"/>
        </w:rPr>
        <w:t>国浩律师(广州)事务所</w:t>
      </w:r>
    </w:p>
    <w:p w:rsidR="008B64F3"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地址：</w:t>
      </w:r>
      <w:r w:rsidR="00A87335" w:rsidRPr="001B5B45">
        <w:rPr>
          <w:rFonts w:asciiTheme="minorEastAsia" w:eastAsiaTheme="minorEastAsia" w:hAnsiTheme="minorEastAsia"/>
        </w:rPr>
        <w:t>广州市天河区珠江东路28号越秀金融大厦38层</w:t>
      </w:r>
    </w:p>
    <w:p w:rsidR="00450463"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负责人：</w:t>
      </w:r>
      <w:r w:rsidR="00C95FFE" w:rsidRPr="001B5B45">
        <w:rPr>
          <w:rStyle w:val="da"/>
          <w:rFonts w:asciiTheme="minorEastAsia" w:eastAsiaTheme="minorEastAsia" w:hAnsiTheme="minorEastAsia"/>
        </w:rPr>
        <w:t>程秉</w:t>
      </w:r>
    </w:p>
    <w:p w:rsidR="00450463"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电话：</w:t>
      </w:r>
      <w:r w:rsidR="00C95FFE" w:rsidRPr="001B5B45">
        <w:rPr>
          <w:rStyle w:val="da"/>
          <w:rFonts w:asciiTheme="minorEastAsia" w:eastAsiaTheme="minorEastAsia" w:hAnsiTheme="minorEastAsia"/>
        </w:rPr>
        <w:t>020-38799345</w:t>
      </w:r>
    </w:p>
    <w:p w:rsidR="00450463"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传真：</w:t>
      </w:r>
      <w:r w:rsidR="00C95FFE" w:rsidRPr="001B5B45">
        <w:rPr>
          <w:rStyle w:val="da"/>
          <w:rFonts w:asciiTheme="minorEastAsia" w:eastAsiaTheme="minorEastAsia" w:hAnsiTheme="minorEastAsia"/>
        </w:rPr>
        <w:t>020-38799345-200</w:t>
      </w:r>
    </w:p>
    <w:p w:rsidR="00A12B7E"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经办律师：</w:t>
      </w:r>
      <w:r w:rsidR="00C95FFE" w:rsidRPr="001B5B45">
        <w:rPr>
          <w:rStyle w:val="da"/>
          <w:rFonts w:asciiTheme="minorEastAsia" w:eastAsiaTheme="minorEastAsia" w:hAnsiTheme="minorEastAsia"/>
        </w:rPr>
        <w:t>黄贞、陈桂华</w:t>
      </w:r>
    </w:p>
    <w:p w:rsidR="00450463" w:rsidRPr="001B5B45" w:rsidRDefault="004504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联系人：</w:t>
      </w:r>
      <w:r w:rsidR="0058761D" w:rsidRPr="001B5B45">
        <w:rPr>
          <w:rStyle w:val="da"/>
          <w:rFonts w:asciiTheme="minorEastAsia" w:eastAsiaTheme="minorEastAsia" w:hAnsiTheme="minorEastAsia"/>
        </w:rPr>
        <w:t>黄贞</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21" w:name="_Toc332373485"/>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四</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会计师事务所和经办注册会计师</w:t>
      </w:r>
      <w:bookmarkEnd w:id="21"/>
    </w:p>
    <w:p w:rsidR="003174D4" w:rsidRPr="001B5B45" w:rsidRDefault="003174D4" w:rsidP="003174D4">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会计师事务所：安永华明会计师事务所（特殊普通合伙）</w:t>
      </w:r>
    </w:p>
    <w:p w:rsidR="003174D4" w:rsidRPr="001B5B45" w:rsidRDefault="003174D4" w:rsidP="003174D4">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主要经营场所：北京市东城区东长安街</w:t>
      </w:r>
      <w:r w:rsidRPr="001B5B45">
        <w:rPr>
          <w:rFonts w:asciiTheme="minorEastAsia" w:eastAsiaTheme="minorEastAsia" w:hAnsiTheme="minorEastAsia"/>
        </w:rPr>
        <w:t>1</w:t>
      </w:r>
      <w:r w:rsidRPr="001B5B45">
        <w:rPr>
          <w:rFonts w:asciiTheme="minorEastAsia" w:eastAsiaTheme="minorEastAsia" w:hAnsiTheme="minorEastAsia" w:hint="eastAsia"/>
        </w:rPr>
        <w:t>号东方广场安永大楼</w:t>
      </w:r>
      <w:r w:rsidRPr="001B5B45">
        <w:rPr>
          <w:rFonts w:asciiTheme="minorEastAsia" w:eastAsiaTheme="minorEastAsia" w:hAnsiTheme="minorEastAsia"/>
        </w:rPr>
        <w:t>17</w:t>
      </w:r>
      <w:r w:rsidRPr="001B5B45">
        <w:rPr>
          <w:rFonts w:asciiTheme="minorEastAsia" w:eastAsiaTheme="minorEastAsia" w:hAnsiTheme="minorEastAsia" w:hint="eastAsia"/>
        </w:rPr>
        <w:t>层</w:t>
      </w:r>
      <w:r w:rsidRPr="001B5B45">
        <w:rPr>
          <w:rFonts w:asciiTheme="minorEastAsia" w:eastAsiaTheme="minorEastAsia" w:hAnsiTheme="minorEastAsia"/>
        </w:rPr>
        <w:t>01-12</w:t>
      </w:r>
      <w:r w:rsidRPr="001B5B45">
        <w:rPr>
          <w:rFonts w:asciiTheme="minorEastAsia" w:eastAsiaTheme="minorEastAsia" w:hAnsiTheme="minorEastAsia" w:hint="eastAsia"/>
        </w:rPr>
        <w:t>室</w:t>
      </w:r>
    </w:p>
    <w:p w:rsidR="003174D4" w:rsidRPr="001B5B45" w:rsidRDefault="003174D4" w:rsidP="003174D4">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执行事务合伙人：</w:t>
      </w:r>
      <w:r w:rsidRPr="001B5B45">
        <w:rPr>
          <w:rFonts w:asciiTheme="minorEastAsia" w:eastAsiaTheme="minorEastAsia" w:hAnsiTheme="minorEastAsia"/>
          <w:szCs w:val="21"/>
        </w:rPr>
        <w:t>TonyMao毛鞍宁</w:t>
      </w:r>
    </w:p>
    <w:p w:rsidR="003174D4" w:rsidRPr="001B5B45" w:rsidRDefault="003174D4" w:rsidP="003174D4">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电话：（</w:t>
      </w:r>
      <w:r w:rsidRPr="001B5B45">
        <w:rPr>
          <w:rFonts w:asciiTheme="minorEastAsia" w:eastAsiaTheme="minorEastAsia" w:hAnsiTheme="minorEastAsia"/>
        </w:rPr>
        <w:t>010</w:t>
      </w:r>
      <w:r w:rsidRPr="001B5B45">
        <w:rPr>
          <w:rFonts w:asciiTheme="minorEastAsia" w:eastAsiaTheme="minorEastAsia" w:hAnsiTheme="minorEastAsia" w:hint="eastAsia"/>
        </w:rPr>
        <w:t>）</w:t>
      </w:r>
      <w:r w:rsidRPr="001B5B45">
        <w:rPr>
          <w:rFonts w:asciiTheme="minorEastAsia" w:eastAsiaTheme="minorEastAsia" w:hAnsiTheme="minorEastAsia"/>
        </w:rPr>
        <w:t>58153000</w:t>
      </w:r>
    </w:p>
    <w:p w:rsidR="003174D4" w:rsidRPr="001B5B45" w:rsidRDefault="003174D4" w:rsidP="003174D4">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传真：（</w:t>
      </w:r>
      <w:r w:rsidRPr="001B5B45">
        <w:rPr>
          <w:rFonts w:asciiTheme="minorEastAsia" w:eastAsiaTheme="minorEastAsia" w:hAnsiTheme="minorEastAsia"/>
        </w:rPr>
        <w:t>010</w:t>
      </w:r>
      <w:r w:rsidRPr="001B5B45">
        <w:rPr>
          <w:rFonts w:asciiTheme="minorEastAsia" w:eastAsiaTheme="minorEastAsia" w:hAnsiTheme="minorEastAsia" w:hint="eastAsia"/>
        </w:rPr>
        <w:t>）</w:t>
      </w:r>
      <w:r w:rsidRPr="001B5B45">
        <w:rPr>
          <w:rFonts w:asciiTheme="minorEastAsia" w:eastAsiaTheme="minorEastAsia" w:hAnsiTheme="minorEastAsia"/>
        </w:rPr>
        <w:t>85188298</w:t>
      </w:r>
    </w:p>
    <w:p w:rsidR="00613677" w:rsidRPr="001B5B45" w:rsidRDefault="00613677" w:rsidP="00613677">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经办注册会计师：昌华、马婧</w:t>
      </w:r>
    </w:p>
    <w:p w:rsidR="003174D4" w:rsidRPr="001B5B45" w:rsidRDefault="00613677" w:rsidP="00613677">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联系人：昌华</w:t>
      </w:r>
    </w:p>
    <w:p w:rsidR="00BA4B87" w:rsidRPr="001B5B45" w:rsidRDefault="00BA4B87" w:rsidP="00CC1421">
      <w:pPr>
        <w:pStyle w:val="1"/>
        <w:pageBreakBefore/>
        <w:snapToGrid w:val="0"/>
        <w:spacing w:beforeLines="0" w:afterLines="0" w:line="360" w:lineRule="auto"/>
        <w:ind w:firstLine="640"/>
        <w:rPr>
          <w:rFonts w:asciiTheme="minorEastAsia" w:eastAsiaTheme="minorEastAsia" w:hAnsiTheme="minorEastAsia"/>
          <w:bCs/>
        </w:rPr>
      </w:pPr>
      <w:bookmarkStart w:id="22" w:name="_Toc332373486"/>
      <w:bookmarkStart w:id="23" w:name="_Toc46927561"/>
      <w:r w:rsidRPr="001B5B45">
        <w:rPr>
          <w:rFonts w:asciiTheme="minorEastAsia" w:eastAsiaTheme="minorEastAsia" w:hAnsiTheme="minorEastAsia"/>
          <w:bCs/>
        </w:rPr>
        <w:lastRenderedPageBreak/>
        <w:t>六、基金的募集</w:t>
      </w:r>
      <w:bookmarkEnd w:id="22"/>
      <w:bookmarkEnd w:id="23"/>
    </w:p>
    <w:p w:rsidR="005D66CE" w:rsidRPr="001B5B45" w:rsidRDefault="00685D2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本基金由基金管理人依照《基金法》、《运作办法》、《销售办法》、基金合同的相关规定</w:t>
      </w:r>
      <w:r w:rsidR="00936DBC" w:rsidRPr="001B5B45">
        <w:rPr>
          <w:rStyle w:val="da"/>
          <w:rFonts w:asciiTheme="minorEastAsia" w:eastAsiaTheme="minorEastAsia" w:hAnsiTheme="minorEastAsia"/>
        </w:rPr>
        <w:t>募集，本基金已</w:t>
      </w:r>
      <w:r w:rsidRPr="001B5B45">
        <w:rPr>
          <w:rStyle w:val="da"/>
          <w:rFonts w:asciiTheme="minorEastAsia" w:eastAsiaTheme="minorEastAsia" w:hAnsiTheme="minorEastAsia"/>
        </w:rPr>
        <w:t>经中国证券监督管理委员会</w:t>
      </w:r>
      <w:r w:rsidR="00936DBC" w:rsidRPr="001B5B45">
        <w:rPr>
          <w:rStyle w:val="da"/>
          <w:rFonts w:asciiTheme="minorEastAsia" w:eastAsiaTheme="minorEastAsia" w:hAnsiTheme="minorEastAsia" w:hint="eastAsia"/>
        </w:rPr>
        <w:t>2016年6月6日</w:t>
      </w:r>
      <w:r w:rsidRPr="001B5B45">
        <w:rPr>
          <w:rStyle w:val="da"/>
          <w:rFonts w:asciiTheme="minorEastAsia" w:eastAsiaTheme="minorEastAsia" w:hAnsiTheme="minorEastAsia"/>
        </w:rPr>
        <w:t>《关于准予易方达供给改革灵活配置混合型证券投资基金注册的批复》（证监许可[2016]1217号）注册。</w:t>
      </w:r>
    </w:p>
    <w:p w:rsidR="003D128C" w:rsidRPr="001B5B45" w:rsidRDefault="003D128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本基金为</w:t>
      </w:r>
      <w:r w:rsidRPr="001B5B45">
        <w:rPr>
          <w:rStyle w:val="da"/>
          <w:rFonts w:asciiTheme="minorEastAsia" w:eastAsiaTheme="minorEastAsia" w:hAnsiTheme="minorEastAsia"/>
        </w:rPr>
        <w:t>契约型开放式混合型证券投资基金</w:t>
      </w:r>
      <w:r w:rsidR="003174D4" w:rsidRPr="001B5B45">
        <w:rPr>
          <w:rStyle w:val="da"/>
          <w:rFonts w:asciiTheme="minorEastAsia" w:eastAsiaTheme="minorEastAsia" w:hAnsiTheme="minorEastAsia" w:hint="eastAsia"/>
        </w:rPr>
        <w:t>，</w:t>
      </w:r>
      <w:r w:rsidRPr="001B5B45">
        <w:rPr>
          <w:rStyle w:val="da"/>
          <w:rFonts w:asciiTheme="minorEastAsia" w:eastAsiaTheme="minorEastAsia" w:hAnsiTheme="minorEastAsia" w:hint="eastAsia"/>
        </w:rPr>
        <w:t>基金存续期为不定期。</w:t>
      </w:r>
    </w:p>
    <w:p w:rsidR="003D128C" w:rsidRPr="001B5B45" w:rsidRDefault="003D128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本基金募集期间每份基金份额初始面值为1.00元人民币。</w:t>
      </w:r>
    </w:p>
    <w:p w:rsidR="003174D4" w:rsidRPr="001B5B45" w:rsidRDefault="003D128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本基金募集期自2016年12月2日至2017年1月20日。</w:t>
      </w:r>
    </w:p>
    <w:p w:rsidR="003D128C" w:rsidRPr="001B5B45" w:rsidRDefault="003D128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募集对象为符合法律法规规定的可投资于证券投资基金的个人投资者、机构投资者和合格境外机构投资者以及法律法规或中国证监会允许购买证券投资基金的其他投资人。</w:t>
      </w:r>
    </w:p>
    <w:p w:rsidR="00BA4B87" w:rsidRPr="001B5B45" w:rsidRDefault="00BA4B87" w:rsidP="00CC1421">
      <w:pPr>
        <w:pStyle w:val="1"/>
        <w:pageBreakBefore/>
        <w:snapToGrid w:val="0"/>
        <w:spacing w:beforeLines="0" w:afterLines="0" w:line="360" w:lineRule="auto"/>
        <w:ind w:firstLine="640"/>
        <w:rPr>
          <w:rFonts w:asciiTheme="minorEastAsia" w:eastAsiaTheme="minorEastAsia" w:hAnsiTheme="minorEastAsia"/>
        </w:rPr>
      </w:pPr>
      <w:bookmarkStart w:id="24" w:name="_Toc332373495"/>
      <w:bookmarkStart w:id="25" w:name="_Toc46927562"/>
      <w:r w:rsidRPr="001B5B45">
        <w:rPr>
          <w:rFonts w:asciiTheme="minorEastAsia" w:eastAsiaTheme="minorEastAsia" w:hAnsiTheme="minorEastAsia"/>
          <w:bCs/>
        </w:rPr>
        <w:lastRenderedPageBreak/>
        <w:t>七、基金合同的生效</w:t>
      </w:r>
      <w:bookmarkEnd w:id="24"/>
      <w:bookmarkEnd w:id="25"/>
    </w:p>
    <w:p w:rsidR="00E77641" w:rsidRPr="001B5B45" w:rsidRDefault="00E77641" w:rsidP="006C3CF2">
      <w:pPr>
        <w:spacing w:line="360" w:lineRule="auto"/>
        <w:ind w:firstLineChars="200" w:firstLine="420"/>
        <w:rPr>
          <w:rStyle w:val="da"/>
          <w:rFonts w:asciiTheme="minorEastAsia" w:eastAsiaTheme="minorEastAsia" w:hAnsiTheme="minorEastAsia"/>
        </w:rPr>
      </w:pPr>
      <w:bookmarkStart w:id="26" w:name="_Toc332373496"/>
      <w:r w:rsidRPr="001B5B45">
        <w:rPr>
          <w:rStyle w:val="da"/>
          <w:rFonts w:asciiTheme="minorEastAsia" w:eastAsiaTheme="minorEastAsia" w:hAnsiTheme="minorEastAsia"/>
        </w:rPr>
        <w:t>（一）基金合同的生效</w:t>
      </w:r>
    </w:p>
    <w:p w:rsidR="00EC39D4" w:rsidRPr="001B5B45" w:rsidRDefault="00EC39D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本基金基金合同于2017年1月25日正式生效。自基金合同生效日起，本基金管理人正式开始管理本基金。</w:t>
      </w:r>
    </w:p>
    <w:p w:rsidR="00220FA0" w:rsidRPr="001B5B45" w:rsidRDefault="00DB6D3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w:t>
      </w:r>
      <w:r w:rsidR="00326CD2" w:rsidRPr="001B5B45">
        <w:rPr>
          <w:rStyle w:val="da"/>
          <w:rFonts w:asciiTheme="minorEastAsia" w:eastAsiaTheme="minorEastAsia" w:hAnsiTheme="minorEastAsia"/>
        </w:rPr>
        <w:t>基金存续期内的基金份额持有人数量和资产规模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9918CF" w:rsidRPr="001B5B45" w:rsidRDefault="000C5135" w:rsidP="009918C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法律法规或《基金合同》另有规定时，从其规定。</w:t>
      </w:r>
      <w:r w:rsidR="009918CF" w:rsidRPr="001B5B45">
        <w:rPr>
          <w:rStyle w:val="da"/>
          <w:rFonts w:asciiTheme="minorEastAsia" w:eastAsiaTheme="minorEastAsia" w:hAnsiTheme="minorEastAsia"/>
        </w:rPr>
        <w:br w:type="page"/>
      </w:r>
    </w:p>
    <w:p w:rsidR="00BA4B87" w:rsidRPr="001B5B45" w:rsidRDefault="00BA4B87" w:rsidP="009918CF">
      <w:pPr>
        <w:pStyle w:val="1"/>
        <w:snapToGrid w:val="0"/>
        <w:spacing w:beforeLines="0" w:afterLines="0" w:line="360" w:lineRule="auto"/>
        <w:ind w:firstLine="640"/>
        <w:rPr>
          <w:rFonts w:asciiTheme="minorEastAsia" w:eastAsiaTheme="minorEastAsia" w:hAnsiTheme="minorEastAsia"/>
        </w:rPr>
      </w:pPr>
      <w:bookmarkStart w:id="27" w:name="_Toc332373499"/>
      <w:bookmarkStart w:id="28" w:name="_Toc46927563"/>
      <w:bookmarkEnd w:id="26"/>
      <w:r w:rsidRPr="001B5B45">
        <w:rPr>
          <w:rFonts w:asciiTheme="minorEastAsia" w:eastAsiaTheme="minorEastAsia" w:hAnsiTheme="minorEastAsia"/>
        </w:rPr>
        <w:lastRenderedPageBreak/>
        <w:t>八、基金份额的申购、赎回</w:t>
      </w:r>
      <w:bookmarkEnd w:id="27"/>
      <w:bookmarkEnd w:id="28"/>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29" w:name="_Toc332373500"/>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w:t>
      </w:r>
      <w:r w:rsidR="008D4032" w:rsidRPr="001B5B45">
        <w:rPr>
          <w:rStyle w:val="da"/>
          <w:rFonts w:asciiTheme="minorEastAsia" w:eastAsiaTheme="minorEastAsia" w:hAnsiTheme="minorEastAsia"/>
        </w:rPr>
        <w:t>投资人</w:t>
      </w:r>
      <w:r w:rsidR="00BA4B87" w:rsidRPr="001B5B45">
        <w:rPr>
          <w:rStyle w:val="da"/>
          <w:rFonts w:asciiTheme="minorEastAsia" w:eastAsiaTheme="minorEastAsia" w:hAnsiTheme="minorEastAsia"/>
        </w:rPr>
        <w:t>范围</w:t>
      </w:r>
      <w:bookmarkEnd w:id="29"/>
    </w:p>
    <w:p w:rsidR="00BA4B87" w:rsidRPr="001B5B45" w:rsidRDefault="00031E7D" w:rsidP="00254B5E">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符合法律法规规定的可投资于证券投资基金的个人投资者、机构投资者和合格境外机构投资者以及法律法规或中国证监会允许购买证券投资基金的其他投资人。</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30" w:name="_Toc332373501"/>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申购与赎回的场所</w:t>
      </w:r>
      <w:bookmarkEnd w:id="30"/>
    </w:p>
    <w:p w:rsidR="001E6708" w:rsidRPr="001B5B45" w:rsidRDefault="001E6708" w:rsidP="00974B01">
      <w:pPr>
        <w:spacing w:line="360" w:lineRule="auto"/>
        <w:ind w:firstLineChars="200" w:firstLine="420"/>
        <w:rPr>
          <w:rStyle w:val="da"/>
          <w:rFonts w:asciiTheme="minorEastAsia" w:eastAsiaTheme="minorEastAsia" w:hAnsiTheme="minorEastAsia"/>
        </w:rPr>
      </w:pPr>
      <w:bookmarkStart w:id="31" w:name="_Toc332373502"/>
      <w:r w:rsidRPr="001B5B45">
        <w:rPr>
          <w:rStyle w:val="da"/>
          <w:rFonts w:asciiTheme="minorEastAsia" w:eastAsiaTheme="minorEastAsia" w:hAnsiTheme="minorEastAsia"/>
        </w:rPr>
        <w:t>本基金的申购与赎回将通过销售机构进行。具体的销售机构将由基金管理人在招募说明书或其他相关公告中列明。基金管理人可根据情况变更或增减销售机构，</w:t>
      </w:r>
      <w:r w:rsidR="00B15D95" w:rsidRPr="001B5B45">
        <w:rPr>
          <w:rStyle w:val="da"/>
          <w:rFonts w:asciiTheme="minorEastAsia" w:eastAsiaTheme="minorEastAsia" w:hAnsiTheme="minorEastAsia" w:hint="eastAsia"/>
        </w:rPr>
        <w:t>并在基金管理人网站公示</w:t>
      </w:r>
      <w:r w:rsidRPr="001B5B45">
        <w:rPr>
          <w:rStyle w:val="da"/>
          <w:rFonts w:asciiTheme="minorEastAsia" w:eastAsiaTheme="minorEastAsia" w:hAnsiTheme="minorEastAsia"/>
        </w:rPr>
        <w:t>。基金投资者应当在销售机构办理基金销售业务的营业场所或按销售机构提供的其他方式办理基金份额的申购与赎回。</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申购与赎回办理的开放日及时间</w:t>
      </w:r>
      <w:bookmarkEnd w:id="31"/>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1、开放日及开放时间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2、申购、赎回开始日及业务办理时间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本基金已于2017年3月6日开放办理申购、赎回业务。</w:t>
      </w:r>
    </w:p>
    <w:p w:rsidR="00F474C7" w:rsidRPr="001B5B45" w:rsidRDefault="00F474C7" w:rsidP="00974B01">
      <w:pPr>
        <w:spacing w:line="360" w:lineRule="auto"/>
        <w:ind w:firstLineChars="200" w:firstLine="420"/>
        <w:rPr>
          <w:rStyle w:val="da"/>
          <w:rFonts w:asciiTheme="minorEastAsia" w:eastAsiaTheme="minorEastAsia" w:hAnsiTheme="minorEastAsia"/>
        </w:rPr>
      </w:pPr>
      <w:bookmarkStart w:id="32" w:name="_Toc332373503"/>
      <w:r w:rsidRPr="001B5B45">
        <w:rPr>
          <w:rStyle w:val="da"/>
          <w:rFonts w:asciiTheme="minorEastAsia" w:eastAsiaTheme="minorEastAsia" w:hAnsiTheme="minor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8D4032" w:rsidRPr="001B5B45">
        <w:rPr>
          <w:rStyle w:val="da"/>
          <w:rFonts w:asciiTheme="minorEastAsia" w:eastAsiaTheme="minorEastAsia" w:hAnsiTheme="minorEastAsia"/>
        </w:rPr>
        <w:t>四</w:t>
      </w:r>
      <w:r w:rsidRPr="001B5B45">
        <w:rPr>
          <w:rStyle w:val="da"/>
          <w:rFonts w:asciiTheme="minorEastAsia" w:eastAsiaTheme="minorEastAsia" w:hAnsiTheme="minorEastAsia"/>
        </w:rPr>
        <w:t>）</w:t>
      </w:r>
      <w:r w:rsidR="004E0625" w:rsidRPr="001B5B45">
        <w:rPr>
          <w:rStyle w:val="da"/>
          <w:rFonts w:asciiTheme="minorEastAsia" w:eastAsiaTheme="minorEastAsia" w:hAnsiTheme="minorEastAsia"/>
        </w:rPr>
        <w:t>申购与赎回的原则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1、“未知价”原则，即申购、赎回价格以申请当日收市后计算的基金份额净值为基准进行计算；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2、“金额申购、份额赎回”原则，即申购以金额申请，赎回以份额申请；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3、当日的申购与赎回申请可以在基金管理人规定的时间以内撤销；</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4、基金份额持有人赎回时，除指定赎回外，基金管理人按先进先出的原则，对该持有人账户在该销售机构托管的基金份额进行处理，即先确认的份额先赎回，后确认的份额后赎</w:t>
      </w:r>
      <w:r w:rsidRPr="001B5B45">
        <w:rPr>
          <w:rStyle w:val="da"/>
          <w:rFonts w:asciiTheme="minorEastAsia" w:eastAsiaTheme="minorEastAsia" w:hAnsiTheme="minorEastAsia"/>
        </w:rPr>
        <w:lastRenderedPageBreak/>
        <w:t>回，以确定所适用的赎回费率。</w:t>
      </w:r>
    </w:p>
    <w:p w:rsidR="00AD22C1" w:rsidRPr="001B5B45" w:rsidRDefault="00AD22C1" w:rsidP="00974B01">
      <w:pPr>
        <w:spacing w:line="360" w:lineRule="auto"/>
        <w:ind w:firstLineChars="200" w:firstLine="420"/>
        <w:rPr>
          <w:rStyle w:val="da"/>
          <w:rFonts w:asciiTheme="minorEastAsia" w:eastAsiaTheme="minorEastAsia" w:hAnsiTheme="minorEastAsia"/>
        </w:rPr>
      </w:pPr>
      <w:bookmarkStart w:id="33" w:name="_Toc332373504"/>
      <w:bookmarkEnd w:id="32"/>
      <w:r w:rsidRPr="001B5B45">
        <w:rPr>
          <w:rStyle w:val="da"/>
          <w:rFonts w:asciiTheme="minorEastAsia" w:eastAsiaTheme="minorEastAsia" w:hAnsiTheme="minorEastAsia"/>
        </w:rPr>
        <w:t>基金管理人可在不违反法律法规的情况下，对上述原则进行调整。基金管理人必须在新规则开始实施前依照《信息披露办法》的有关规定在指定媒介上公告。</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8D4032" w:rsidRPr="001B5B45">
        <w:rPr>
          <w:rStyle w:val="da"/>
          <w:rFonts w:asciiTheme="minorEastAsia" w:eastAsiaTheme="minorEastAsia" w:hAnsiTheme="minorEastAsia"/>
        </w:rPr>
        <w:t>五</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申购与赎回的程序</w:t>
      </w:r>
      <w:bookmarkEnd w:id="33"/>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1、申购和赎回的申请方式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投资人必须根据销售机构规定的程序，在开放日的具体业务办理时间内提出申购或赎回的申请。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投资人在提交申购申请时须按销售机构规定的方式备足申购资金，投资人在提交赎回申请时须持有足够的基金份额余额，否则所提交的申购、赎回申请不成立。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投资人办理申购、赎回等业务时应提交的文件和办理手续、办理时间、处理规则等在遵守基金合同和本招募说明书规定的前提下，以各销售机构的具体规定为准。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2、申购和赎回申请的确认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基金管理人在不违反法律法规的前提下，可对上述程序规则进行调整。基金管理人应在新规则开始实施前依照《信息披露办法》的有关规定在指定媒介上公告。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3、申购和赎回的款项支付</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申购采用全额缴款方式，若申购资金在规定时间内未全额到账则申购不成功。若申购不成功或无效，基金管理人或基金管理人指定的销售机构将投资人已缴付的申购款项本金退还给投资人。</w:t>
      </w:r>
    </w:p>
    <w:p w:rsidR="0050604C" w:rsidRPr="001B5B45" w:rsidRDefault="0050604C" w:rsidP="0050604C">
      <w:pPr>
        <w:spacing w:line="360" w:lineRule="auto"/>
        <w:ind w:firstLineChars="200" w:firstLine="420"/>
        <w:rPr>
          <w:rStyle w:val="da"/>
          <w:rFonts w:asciiTheme="minorEastAsia" w:eastAsiaTheme="minorEastAsia" w:hAnsiTheme="minorEastAsia"/>
        </w:rPr>
      </w:pPr>
      <w:bookmarkStart w:id="34" w:name="_Toc332373505"/>
      <w:r w:rsidRPr="001B5B45">
        <w:rPr>
          <w:rStyle w:val="da"/>
          <w:rFonts w:asciiTheme="minorEastAsia" w:eastAsiaTheme="minorEastAsia" w:hAnsiTheme="minorEastAsia"/>
        </w:rPr>
        <w:t>基金份额持有人递交赎回申请，赎回成立，赎回是否生效以登记机构确认为准。基金份额持有人赎回申请成功后，基金管理人将在T＋7日（包括该日）内支付赎回款项。如遇交易所或交易市场数据传输延迟、通讯系统故障、银行数据交换系统故障或其它非基金管理人及基金托管人所能控制的因素影响业务处理流程，则赎回款项的支付时间可相应顺延。在发</w:t>
      </w:r>
      <w:r w:rsidRPr="001B5B45">
        <w:rPr>
          <w:rStyle w:val="da"/>
          <w:rFonts w:asciiTheme="minorEastAsia" w:eastAsiaTheme="minorEastAsia" w:hAnsiTheme="minorEastAsia"/>
        </w:rPr>
        <w:lastRenderedPageBreak/>
        <w:t>生巨额赎回或基金合同载明的其他暂停赎回或延缓支付赎回款项的情形时，款项的支付办法参照基金合同有关条款处理。</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214A68" w:rsidRPr="001B5B45">
        <w:rPr>
          <w:rStyle w:val="da"/>
          <w:rFonts w:asciiTheme="minorEastAsia" w:eastAsiaTheme="minorEastAsia" w:hAnsiTheme="minorEastAsia"/>
        </w:rPr>
        <w:t>六</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申购与赎回的数额限制</w:t>
      </w:r>
      <w:bookmarkEnd w:id="34"/>
    </w:p>
    <w:p w:rsidR="006B49CD" w:rsidRPr="001B5B45" w:rsidRDefault="006B49C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1、申购金额的限制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通过非直销销售机构或本公司网上交易系统首次申购的单笔最低限额为人民币1元，追加申购单笔最低限额为人民币1元；投资人通过本公司直销中心首次申购的单笔最低限额为人民币50,000元，追加申购单笔最低限额是人民币1,000元。在符合法律法规规定的前提下，各销售机构对申购限额及交易级差有其他规定的，需同时遵循该销售机构的相关规定。（以上金额均含申购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投资人将当期分配的基金收益转购基金份额或采用定期定额投资计划时，不受最低申购金额的限制。</w:t>
      </w:r>
    </w:p>
    <w:p w:rsidR="006B49CD" w:rsidRPr="001B5B45" w:rsidRDefault="006B49C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投资人可多次申购，对单个投资人累计持有份额不设上限限制。</w:t>
      </w:r>
      <w:r w:rsidR="002B72FC" w:rsidRPr="001B5B45">
        <w:rPr>
          <w:rFonts w:asciiTheme="minorEastAsia" w:eastAsiaTheme="minorEastAsia" w:hAnsiTheme="minorEastAsia" w:hint="eastAsia"/>
          <w:szCs w:val="21"/>
        </w:rPr>
        <w:t>但对于可能导致单一投资者持有基金份额的比例达到或者超过</w:t>
      </w:r>
      <w:r w:rsidR="002B72FC" w:rsidRPr="001B5B45">
        <w:rPr>
          <w:rFonts w:asciiTheme="minorEastAsia" w:eastAsiaTheme="minorEastAsia" w:hAnsiTheme="minorEastAsia"/>
          <w:szCs w:val="21"/>
        </w:rPr>
        <w:t>50%，或者变相规避50%集中度的情形，基金管理人有权采取控制措施。</w:t>
      </w:r>
      <w:r w:rsidR="002B72FC" w:rsidRPr="001B5B45">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1B5B45">
        <w:rPr>
          <w:rStyle w:val="da"/>
          <w:rFonts w:asciiTheme="minorEastAsia" w:eastAsiaTheme="minorEastAsia" w:hAnsiTheme="minorEastAsia"/>
        </w:rPr>
        <w:t>法律法规、中国证监会另有规定的除外。</w:t>
      </w:r>
    </w:p>
    <w:p w:rsidR="006B49CD" w:rsidRPr="001B5B45" w:rsidRDefault="006B49C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2、赎回份额的限制</w:t>
      </w:r>
    </w:p>
    <w:p w:rsidR="006B49CD" w:rsidRPr="001B5B45" w:rsidRDefault="006B49C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人可将其全部或部分基金份额赎回。基金份额单笔赎回或转换不得少于1份（如该账户在该销售机构托管的该基金余额不足1份，则必须一次性赎回或转出该基金全部份额）；若某笔赎回将导致投资人在该销售机构托管的该基金余额不足1份时，基金管理人有权将投资人在该销售机构托管的该基金剩余份额一次性全部赎回。在符合法律法规规定的前提下，各销售机构对赎回份额限制有其他规定的，需同时遵循该销售机构的相关规定。</w:t>
      </w:r>
    </w:p>
    <w:p w:rsidR="00BA4B87" w:rsidRPr="001B5B45" w:rsidRDefault="006B49C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r w:rsidRPr="001B5B45">
        <w:rPr>
          <w:rStyle w:val="da"/>
          <w:rFonts w:asciiTheme="minorEastAsia" w:eastAsiaTheme="minorEastAsia" w:hAnsiTheme="minorEastAsia"/>
        </w:rPr>
        <w:t>基金管理人可以根据市场情况，在不违反法律法规的情况下，调整上述规定申购金额和赎回份额的数量限制</w:t>
      </w:r>
      <w:r w:rsidR="00E369E9" w:rsidRPr="001B5B45">
        <w:rPr>
          <w:rFonts w:asciiTheme="minorEastAsia" w:eastAsiaTheme="minorEastAsia" w:hAnsiTheme="minorEastAsia" w:hint="eastAsia"/>
          <w:szCs w:val="21"/>
        </w:rPr>
        <w:t>，或者新增基金规模控制措施</w:t>
      </w:r>
      <w:r w:rsidRPr="001B5B45">
        <w:rPr>
          <w:rStyle w:val="da"/>
          <w:rFonts w:asciiTheme="minorEastAsia" w:eastAsiaTheme="minorEastAsia" w:hAnsiTheme="minorEastAsia"/>
        </w:rPr>
        <w:t>。基金管理人必须在调整前依照《信息披露办法》的有关规定在指定媒介上公告。</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35" w:name="_Toc332373506"/>
      <w:r w:rsidRPr="001B5B45">
        <w:rPr>
          <w:rStyle w:val="da"/>
          <w:rFonts w:asciiTheme="minorEastAsia" w:eastAsiaTheme="minorEastAsia" w:hAnsiTheme="minorEastAsia"/>
        </w:rPr>
        <w:t>（</w:t>
      </w:r>
      <w:r w:rsidR="00214A68" w:rsidRPr="001B5B45">
        <w:rPr>
          <w:rStyle w:val="da"/>
          <w:rFonts w:asciiTheme="minorEastAsia" w:eastAsiaTheme="minorEastAsia" w:hAnsiTheme="minorEastAsia"/>
        </w:rPr>
        <w:t>七</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基金的申购费和赎回费</w:t>
      </w:r>
      <w:bookmarkEnd w:id="35"/>
    </w:p>
    <w:p w:rsidR="00294E59" w:rsidRPr="001B5B45" w:rsidRDefault="00294E59" w:rsidP="00974B0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w:t>
      </w:r>
      <w:r w:rsidRPr="001B5B45">
        <w:rPr>
          <w:rStyle w:val="da"/>
          <w:rFonts w:asciiTheme="minorEastAsia" w:eastAsiaTheme="minorEastAsia" w:hAnsiTheme="minorEastAsia"/>
        </w:rPr>
        <w:t>本基金的申购费用由申购基金份额的投资人承担，不列入基金财产，主要用于本基金的市场推广、销售、注册登记等各项费用。赎回费用由基金赎回人承担。</w:t>
      </w:r>
    </w:p>
    <w:p w:rsidR="00294E59" w:rsidRPr="001B5B45" w:rsidRDefault="00294E5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2、</w:t>
      </w:r>
      <w:r w:rsidRPr="001B5B45">
        <w:rPr>
          <w:rStyle w:val="da"/>
          <w:rFonts w:asciiTheme="minorEastAsia" w:eastAsiaTheme="minorEastAsia" w:hAnsiTheme="minorEastAsia" w:hint="eastAsia"/>
        </w:rPr>
        <w:t>申购费率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本基金对通过直销中心申购的特定投资群体与除此之外的其他投资者实施差别的申购费率。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D21F14" w:rsidRPr="001B5B45" w:rsidRDefault="00C17CD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特定投资群体可通过本公司直销中心申购本基金。基金管理人可根据情况变更或增减特定投资群体申购本基金的销售机构，并在基金管理人网站公示</w:t>
      </w:r>
      <w:r w:rsidR="00496532" w:rsidRPr="001B5B45">
        <w:rPr>
          <w:rStyle w:val="da"/>
          <w:rFonts w:asciiTheme="minorEastAsia" w:eastAsiaTheme="minorEastAsia" w:hAnsiTheme="minorEastAsia" w:hint="eastAsia"/>
        </w:rPr>
        <w:t>。</w:t>
      </w:r>
    </w:p>
    <w:p w:rsidR="00034445" w:rsidRPr="001B5B45" w:rsidRDefault="003E1B6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E3DDF" w:rsidRPr="001B5B45" w:rsidTr="001D76FC">
        <w:trPr>
          <w:trHeight w:val="462"/>
          <w:jc w:val="center"/>
        </w:trPr>
        <w:tc>
          <w:tcPr>
            <w:tcW w:w="3806" w:type="dxa"/>
          </w:tcPr>
          <w:p w:rsidR="00034445" w:rsidRPr="001B5B45" w:rsidRDefault="00034445" w:rsidP="001D76FC">
            <w:pPr>
              <w:widowControl/>
              <w:snapToGrid w:val="0"/>
              <w:spacing w:line="360" w:lineRule="auto"/>
              <w:jc w:val="center"/>
              <w:rPr>
                <w:rFonts w:asciiTheme="minorEastAsia" w:eastAsiaTheme="minorEastAsia" w:hAnsiTheme="minorEastAsia"/>
                <w:kern w:val="0"/>
                <w:szCs w:val="21"/>
              </w:rPr>
            </w:pPr>
            <w:r w:rsidRPr="001B5B45">
              <w:rPr>
                <w:rFonts w:asciiTheme="minorEastAsia" w:eastAsiaTheme="minorEastAsia" w:hAnsiTheme="minorEastAsia"/>
                <w:bCs/>
                <w:kern w:val="0"/>
                <w:szCs w:val="21"/>
              </w:rPr>
              <w:t>申购金额M（元）（含申购费）</w:t>
            </w:r>
          </w:p>
        </w:tc>
        <w:tc>
          <w:tcPr>
            <w:tcW w:w="3735" w:type="dxa"/>
          </w:tcPr>
          <w:p w:rsidR="00034445" w:rsidRPr="001B5B45" w:rsidRDefault="00034445" w:rsidP="001D76FC">
            <w:pPr>
              <w:widowControl/>
              <w:snapToGrid w:val="0"/>
              <w:spacing w:line="360" w:lineRule="auto"/>
              <w:jc w:val="center"/>
              <w:rPr>
                <w:rFonts w:asciiTheme="minorEastAsia" w:eastAsiaTheme="minorEastAsia" w:hAnsiTheme="minorEastAsia"/>
                <w:kern w:val="0"/>
                <w:szCs w:val="21"/>
              </w:rPr>
            </w:pPr>
            <w:r w:rsidRPr="001B5B45">
              <w:rPr>
                <w:rFonts w:asciiTheme="minorEastAsia" w:eastAsiaTheme="minorEastAsia" w:hAnsiTheme="minorEastAsia"/>
                <w:bCs/>
                <w:kern w:val="0"/>
                <w:szCs w:val="21"/>
              </w:rPr>
              <w:t>申购费率</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M＜100万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0.15%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100万≤M＜200万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0.12%</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200万≤M＜500万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0.03%</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M≥500万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1,000元/笔</w:t>
            </w:r>
          </w:p>
        </w:tc>
      </w:tr>
    </w:tbl>
    <w:p w:rsidR="00034445" w:rsidRPr="001B5B45" w:rsidRDefault="00E21DB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E3DDF" w:rsidRPr="001B5B45" w:rsidTr="001D76FC">
        <w:trPr>
          <w:trHeight w:val="462"/>
          <w:jc w:val="center"/>
        </w:trPr>
        <w:tc>
          <w:tcPr>
            <w:tcW w:w="3806" w:type="dxa"/>
          </w:tcPr>
          <w:p w:rsidR="00034445" w:rsidRPr="001B5B45" w:rsidRDefault="00034445" w:rsidP="001D76FC">
            <w:pPr>
              <w:widowControl/>
              <w:snapToGrid w:val="0"/>
              <w:spacing w:line="360" w:lineRule="auto"/>
              <w:jc w:val="center"/>
              <w:rPr>
                <w:rFonts w:asciiTheme="minorEastAsia" w:eastAsiaTheme="minorEastAsia" w:hAnsiTheme="minorEastAsia"/>
                <w:kern w:val="0"/>
                <w:szCs w:val="21"/>
              </w:rPr>
            </w:pPr>
            <w:r w:rsidRPr="001B5B45">
              <w:rPr>
                <w:rFonts w:asciiTheme="minorEastAsia" w:eastAsiaTheme="minorEastAsia" w:hAnsiTheme="minorEastAsia"/>
                <w:bCs/>
                <w:kern w:val="0"/>
                <w:szCs w:val="21"/>
              </w:rPr>
              <w:t>申购金额M（元）（含申购费）</w:t>
            </w:r>
          </w:p>
        </w:tc>
        <w:tc>
          <w:tcPr>
            <w:tcW w:w="3735" w:type="dxa"/>
          </w:tcPr>
          <w:p w:rsidR="00034445" w:rsidRPr="001B5B45" w:rsidRDefault="00034445" w:rsidP="001D76FC">
            <w:pPr>
              <w:widowControl/>
              <w:snapToGrid w:val="0"/>
              <w:spacing w:line="360" w:lineRule="auto"/>
              <w:jc w:val="center"/>
              <w:rPr>
                <w:rFonts w:asciiTheme="minorEastAsia" w:eastAsiaTheme="minorEastAsia" w:hAnsiTheme="minorEastAsia"/>
                <w:kern w:val="0"/>
                <w:szCs w:val="21"/>
              </w:rPr>
            </w:pPr>
            <w:r w:rsidRPr="001B5B45">
              <w:rPr>
                <w:rFonts w:asciiTheme="minorEastAsia" w:eastAsiaTheme="minorEastAsia" w:hAnsiTheme="minorEastAsia"/>
                <w:bCs/>
                <w:kern w:val="0"/>
                <w:szCs w:val="21"/>
              </w:rPr>
              <w:t>申购费率</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M＜100万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100万≤M＜200万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1.2%</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200万≤M＜500万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0.3%</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M≥500万</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1,000元/笔</w:t>
            </w:r>
          </w:p>
        </w:tc>
      </w:tr>
    </w:tbl>
    <w:p w:rsidR="00BA4B87" w:rsidRPr="001B5B45" w:rsidRDefault="00E21DBD"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在申购费按金额分档的情况下，如果投资者多次申购，申购费适用单笔申购金额所对应的费率。</w:t>
      </w:r>
    </w:p>
    <w:p w:rsidR="00BA4B87" w:rsidRPr="001B5B45" w:rsidRDefault="00A832B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w:t>
      </w:r>
      <w:r w:rsidR="00BA4B87" w:rsidRPr="001B5B45">
        <w:rPr>
          <w:rStyle w:val="da"/>
          <w:rFonts w:asciiTheme="minorEastAsia" w:eastAsiaTheme="minorEastAsia" w:hAnsiTheme="minorEastAsia"/>
        </w:rPr>
        <w:t>、赎回费率</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BE3DDF" w:rsidRPr="001B5B45" w:rsidTr="00A832B1">
        <w:trPr>
          <w:trHeight w:val="462"/>
          <w:jc w:val="center"/>
        </w:trPr>
        <w:tc>
          <w:tcPr>
            <w:tcW w:w="3806" w:type="dxa"/>
          </w:tcPr>
          <w:p w:rsidR="00BA4B87" w:rsidRPr="001B5B45" w:rsidRDefault="00BA4B87" w:rsidP="00CC1421">
            <w:pPr>
              <w:widowControl/>
              <w:snapToGrid w:val="0"/>
              <w:spacing w:line="360" w:lineRule="auto"/>
              <w:jc w:val="center"/>
              <w:rPr>
                <w:rFonts w:asciiTheme="minorEastAsia" w:eastAsiaTheme="minorEastAsia" w:hAnsiTheme="minorEastAsia"/>
                <w:kern w:val="0"/>
                <w:szCs w:val="21"/>
              </w:rPr>
            </w:pPr>
            <w:r w:rsidRPr="001B5B45">
              <w:rPr>
                <w:rFonts w:asciiTheme="minorEastAsia" w:eastAsiaTheme="minorEastAsia" w:hAnsiTheme="minorEastAsia"/>
                <w:kern w:val="0"/>
                <w:szCs w:val="21"/>
              </w:rPr>
              <w:t>持有时间</w:t>
            </w:r>
            <w:r w:rsidR="002E1C38" w:rsidRPr="001B5B45">
              <w:rPr>
                <w:rFonts w:asciiTheme="minorEastAsia" w:eastAsiaTheme="minorEastAsia" w:hAnsiTheme="minorEastAsia"/>
                <w:kern w:val="0"/>
                <w:szCs w:val="21"/>
              </w:rPr>
              <w:t>（</w:t>
            </w:r>
            <w:r w:rsidRPr="001B5B45">
              <w:rPr>
                <w:rFonts w:asciiTheme="minorEastAsia" w:eastAsiaTheme="minorEastAsia" w:hAnsiTheme="minorEastAsia"/>
                <w:kern w:val="0"/>
                <w:szCs w:val="21"/>
              </w:rPr>
              <w:t>天</w:t>
            </w:r>
            <w:r w:rsidR="002E1C38" w:rsidRPr="001B5B45">
              <w:rPr>
                <w:rFonts w:asciiTheme="minorEastAsia" w:eastAsiaTheme="minorEastAsia" w:hAnsiTheme="minorEastAsia"/>
                <w:kern w:val="0"/>
                <w:szCs w:val="21"/>
              </w:rPr>
              <w:t>）</w:t>
            </w:r>
          </w:p>
        </w:tc>
        <w:tc>
          <w:tcPr>
            <w:tcW w:w="3735" w:type="dxa"/>
          </w:tcPr>
          <w:p w:rsidR="00BA4B87" w:rsidRPr="001B5B45" w:rsidRDefault="00BA4B87" w:rsidP="00CC1421">
            <w:pPr>
              <w:widowControl/>
              <w:snapToGrid w:val="0"/>
              <w:spacing w:line="360" w:lineRule="auto"/>
              <w:jc w:val="center"/>
              <w:rPr>
                <w:rFonts w:asciiTheme="minorEastAsia" w:eastAsiaTheme="minorEastAsia" w:hAnsiTheme="minorEastAsia"/>
                <w:kern w:val="0"/>
                <w:szCs w:val="21"/>
              </w:rPr>
            </w:pPr>
            <w:r w:rsidRPr="001B5B45">
              <w:rPr>
                <w:rFonts w:asciiTheme="minorEastAsia" w:eastAsiaTheme="minorEastAsia" w:hAnsiTheme="minorEastAsia"/>
                <w:kern w:val="0"/>
                <w:szCs w:val="21"/>
              </w:rPr>
              <w:t>赎回费率</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0-6</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7-29</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0.75%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30-89</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90-179</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180-364</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365-729</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0.25%</w:t>
            </w:r>
          </w:p>
        </w:tc>
      </w:tr>
      <w:tr w:rsidR="00BE3DDF" w:rsidRPr="001B5B45">
        <w:trPr>
          <w:jc w:val="center"/>
        </w:trPr>
        <w:tc>
          <w:tcPr>
            <w:tcW w:w="3806"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lastRenderedPageBreak/>
              <w:t>730及以上</w:t>
            </w:r>
          </w:p>
        </w:tc>
        <w:tc>
          <w:tcPr>
            <w:tcW w:w="3735" w:type="dxa"/>
            <w:vAlign w:val="center"/>
          </w:tcPr>
          <w:p w:rsidR="00E37233" w:rsidRPr="001B5B45" w:rsidRDefault="00D86678">
            <w:pPr>
              <w:jc w:val="center"/>
              <w:rPr>
                <w:rFonts w:asciiTheme="minorEastAsia" w:eastAsiaTheme="minorEastAsia" w:hAnsiTheme="minorEastAsia"/>
              </w:rPr>
            </w:pPr>
            <w:r w:rsidRPr="001B5B45">
              <w:rPr>
                <w:rFonts w:asciiTheme="minorEastAsia" w:eastAsiaTheme="minorEastAsia" w:hAnsiTheme="minorEastAsia"/>
              </w:rPr>
              <w:t>0%</w:t>
            </w:r>
          </w:p>
        </w:tc>
      </w:tr>
    </w:tbl>
    <w:p w:rsidR="00A832B1" w:rsidRPr="001B5B45" w:rsidRDefault="002350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投资者可将其持有的全部或部分基金份额赎回。赎回费用由赎回基金份额的基金份额持有人承担，在基金份额持有人赎回基金份额时收取。对持有期少于30天（不含）的基金份额持有人所收取赎回费用全额计入基金财产；对持有期在30天以上（含）且少于90天（不含）的基金份额持有人所收取赎回费用总额的75%计入基金财产；对持有期在90天以上（含）且少于180天（不含）的基金份额持有人所收取赎回费用总额的50%计入基金财产；对持续持有期180天以上（含）的基金份额持有人所收取赎回费用总额的25%计入基金财产；其余用于支付市场推广、注册登记费和其他手续费。</w:t>
      </w:r>
    </w:p>
    <w:p w:rsidR="008B64F3" w:rsidRPr="001B5B45" w:rsidRDefault="00A832B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w:t>
      </w:r>
      <w:r w:rsidR="00BA4B87" w:rsidRPr="001B5B45">
        <w:rPr>
          <w:rStyle w:val="da"/>
          <w:rFonts w:asciiTheme="minorEastAsia" w:eastAsiaTheme="minorEastAsia" w:hAnsiTheme="minorEastAsia"/>
        </w:rPr>
        <w:t>、</w:t>
      </w:r>
      <w:r w:rsidR="00406BA8" w:rsidRPr="001B5B45">
        <w:rPr>
          <w:rStyle w:val="da"/>
          <w:rFonts w:asciiTheme="minorEastAsia" w:eastAsiaTheme="minorEastAsia" w:hAnsiTheme="minorEastAsia" w:hint="eastAsia"/>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36" w:name="_Toc332373507"/>
      <w:r w:rsidRPr="001B5B45">
        <w:rPr>
          <w:rStyle w:val="da"/>
          <w:rFonts w:asciiTheme="minorEastAsia" w:eastAsiaTheme="minorEastAsia" w:hAnsiTheme="minorEastAsia"/>
        </w:rPr>
        <w:t>（</w:t>
      </w:r>
      <w:r w:rsidR="00214A68" w:rsidRPr="001B5B45">
        <w:rPr>
          <w:rStyle w:val="da"/>
          <w:rFonts w:asciiTheme="minorEastAsia" w:eastAsiaTheme="minorEastAsia" w:hAnsiTheme="minorEastAsia"/>
        </w:rPr>
        <w:t>八</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申购和赎回的数额和价格</w:t>
      </w:r>
      <w:bookmarkEnd w:id="36"/>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1、申购和赎回数额、余额的处理方式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1B5B45" w:rsidRDefault="006C21F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1B5B45" w:rsidRDefault="00BA4B87" w:rsidP="006C3CF2">
      <w:pPr>
        <w:spacing w:line="360" w:lineRule="auto"/>
        <w:ind w:firstLineChars="200" w:firstLine="420"/>
        <w:rPr>
          <w:rStyle w:val="da"/>
          <w:rFonts w:asciiTheme="minorEastAsia" w:eastAsiaTheme="minorEastAsia" w:hAnsiTheme="minorEastAsia"/>
        </w:rPr>
      </w:pPr>
      <w:bookmarkStart w:id="37" w:name="_Toc332373508"/>
      <w:r w:rsidRPr="001B5B45">
        <w:rPr>
          <w:rStyle w:val="da"/>
          <w:rFonts w:asciiTheme="minorEastAsia" w:eastAsiaTheme="minorEastAsia" w:hAnsiTheme="minorEastAsia"/>
        </w:rPr>
        <w:t>2、申购份额的计算</w:t>
      </w:r>
      <w:bookmarkEnd w:id="37"/>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净申购金额=申购金额/（1+申购费率）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（注：对于500万（含）以上适用固定金额申购费的申购，净申购金额＝申购金额－固定申购费金额）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申购费用=申购金额-净申购金额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申购份额=净申购金额/T日基金份额净值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例：某投资人（非特定投资群体）投资100,000元申购本基金，申购费率为1.5%，假设申购当日基金份额净值为1.0400元，则其可得到的申购份额为：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净申购金额=100,000/（1+1.5%）=98,522.17元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申购费用=100,000-98,522.17=1,477.83元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申购份额=98,522.17/1.0400=94,732.86份</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例：某投资人（特定投资群体）通过本管理人的直销中心投资100,000元申购本基金，申购费率为0.15%，假设申购当日基金份额净值为1.0400元，则其可得到的申购份额为：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净申购金额=100,000/（1+0.15%）=99,850.22元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申购费用=100,000-99,850.22=149.78元</w:t>
      </w:r>
    </w:p>
    <w:p w:rsidR="00EB2CB5" w:rsidRPr="001B5B45" w:rsidRDefault="006C21F4" w:rsidP="00314F7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申购份额=99,850.22/1.0400=96,009.83份</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3、赎回金额的计算</w:t>
      </w:r>
    </w:p>
    <w:p w:rsidR="00BA4B87" w:rsidRPr="001B5B45" w:rsidRDefault="00BA4B8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赎回金额的计算方法如下：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赎回费用=赎回份额×T日基金份额净值×赎回费率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赎回金额=赎回份额×T日基金份额净值-赎回费用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例：某投资人赎回10,000份基金份额，假设该笔份额持有期限为100天，则对应的赎回费率为0.5%，假设赎回当日基金份额净值是1.0160元，则其可得到的赎回金额为：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赎回费用=10,000×1.0160×0.5%＝50.80元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赎回金额=10,000×1.0160-50.80＝10,109.20元</w:t>
      </w:r>
    </w:p>
    <w:p w:rsidR="00D108B5" w:rsidRPr="001B5B45" w:rsidRDefault="00CD6F3C" w:rsidP="00314F7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即：投资人赎回本基金10,000份基金份额，假设赎回当日基金份额净值是1.0160元，则其可得到的赎回金额为10,109.20元。</w:t>
      </w:r>
    </w:p>
    <w:p w:rsidR="00BA4B87" w:rsidRPr="001B5B45" w:rsidRDefault="00BA4B87" w:rsidP="006C3CF2">
      <w:pPr>
        <w:spacing w:line="360" w:lineRule="auto"/>
        <w:ind w:firstLineChars="200" w:firstLine="420"/>
        <w:rPr>
          <w:rStyle w:val="da"/>
          <w:rFonts w:asciiTheme="minorEastAsia" w:eastAsiaTheme="minorEastAsia" w:hAnsiTheme="minorEastAsia"/>
        </w:rPr>
      </w:pPr>
      <w:bookmarkStart w:id="38" w:name="_Toc332373509"/>
      <w:r w:rsidRPr="001B5B45">
        <w:rPr>
          <w:rStyle w:val="da"/>
          <w:rFonts w:asciiTheme="minorEastAsia" w:eastAsiaTheme="minorEastAsia" w:hAnsiTheme="minorEastAsia"/>
        </w:rPr>
        <w:t>4、基金份额净值的计算公式</w:t>
      </w:r>
      <w:bookmarkEnd w:id="38"/>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计算日基金份额净值=计算日基金资产净值/计算日基金总份额。</w:t>
      </w:r>
    </w:p>
    <w:p w:rsidR="001F3F96" w:rsidRPr="001B5B45" w:rsidRDefault="00E048F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份额净值的计算，保留到小数点后四位，小数点后第五位四舍五入，由此产生的收益或损失由基金财产承担。T日的基金份额净值在当天收市后计算，并在T+1日内公告。遇特殊情况，基金份额净值可以适当延迟计算并公告。</w:t>
      </w:r>
    </w:p>
    <w:p w:rsidR="00D136C3" w:rsidRPr="001B5B45" w:rsidRDefault="002E1C38" w:rsidP="006C3CF2">
      <w:pPr>
        <w:spacing w:line="360" w:lineRule="auto"/>
        <w:ind w:firstLineChars="200" w:firstLine="420"/>
        <w:rPr>
          <w:rStyle w:val="da"/>
          <w:rFonts w:asciiTheme="minorEastAsia" w:eastAsiaTheme="minorEastAsia" w:hAnsiTheme="minorEastAsia"/>
        </w:rPr>
      </w:pPr>
      <w:bookmarkStart w:id="39" w:name="_Toc332373510"/>
      <w:r w:rsidRPr="001B5B45">
        <w:rPr>
          <w:rStyle w:val="da"/>
          <w:rFonts w:asciiTheme="minorEastAsia" w:eastAsiaTheme="minorEastAsia" w:hAnsiTheme="minorEastAsia"/>
        </w:rPr>
        <w:t>（</w:t>
      </w:r>
      <w:r w:rsidR="00214A68" w:rsidRPr="001B5B45">
        <w:rPr>
          <w:rStyle w:val="da"/>
          <w:rFonts w:asciiTheme="minorEastAsia" w:eastAsiaTheme="minorEastAsia" w:hAnsiTheme="minorEastAsia"/>
        </w:rPr>
        <w:t>九</w:t>
      </w:r>
      <w:r w:rsidRPr="001B5B45">
        <w:rPr>
          <w:rStyle w:val="da"/>
          <w:rFonts w:asciiTheme="minorEastAsia" w:eastAsiaTheme="minorEastAsia" w:hAnsiTheme="minorEastAsia"/>
        </w:rPr>
        <w:t>）</w:t>
      </w:r>
      <w:r w:rsidR="00D136C3" w:rsidRPr="001B5B45">
        <w:rPr>
          <w:rStyle w:val="da"/>
          <w:rFonts w:asciiTheme="minorEastAsia" w:eastAsiaTheme="minorEastAsia" w:hAnsiTheme="minorEastAsia"/>
        </w:rPr>
        <w:t>申购和赎回的登记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正常情况下，投资者T日申购基金成功后，登记机构在T+1日为投资者增加权益并办理</w:t>
      </w:r>
      <w:r w:rsidRPr="001B5B45">
        <w:rPr>
          <w:rStyle w:val="da"/>
          <w:rFonts w:asciiTheme="minorEastAsia" w:eastAsiaTheme="minorEastAsia" w:hAnsiTheme="minorEastAsia"/>
        </w:rPr>
        <w:lastRenderedPageBreak/>
        <w:t>登记手续，投资人自T+2日起（含该日）有权赎回该部分基金份额。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基金份额持有人T日赎回基金成功后，正常情况下，登记机构在T+1日为其办理扣除权益的登记手续。</w:t>
      </w:r>
    </w:p>
    <w:bookmarkEnd w:id="39"/>
    <w:p w:rsidR="00BA4B87" w:rsidRPr="001B5B45" w:rsidRDefault="00E048F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在不违反法律法规的前提下，登记机构可以对上述登记办理时间进行调整，基金管理人应于开始实施前依照《信息披露办法》的有关规定在指定媒介上公告。</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40" w:name="_Toc332373511"/>
      <w:r w:rsidRPr="001B5B45">
        <w:rPr>
          <w:rStyle w:val="da"/>
          <w:rFonts w:asciiTheme="minorEastAsia" w:eastAsiaTheme="minorEastAsia" w:hAnsiTheme="minorEastAsia"/>
        </w:rPr>
        <w:t>（</w:t>
      </w:r>
      <w:r w:rsidR="00214A68" w:rsidRPr="001B5B45">
        <w:rPr>
          <w:rStyle w:val="da"/>
          <w:rFonts w:asciiTheme="minorEastAsia" w:eastAsiaTheme="minorEastAsia" w:hAnsiTheme="minorEastAsia"/>
        </w:rPr>
        <w:t>十</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巨额赎回的认定及处理方式</w:t>
      </w:r>
      <w:bookmarkEnd w:id="40"/>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1、巨额赎回的认定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2、巨额赎回的处理方式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当基金出现巨额赎回时，基金管理人可以根据基金当时的资产组合状况决定全额赎回或部分延期赎回。</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（1）全额赎回：当基金管理人认为有能力支付投资人的全部赎回申请时，按正常赎回程序执行。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若本基金发生巨额赎回且单个基金份额持有人的赎回申请超过上一开放日基金总份额</w:t>
      </w:r>
      <w:r w:rsidRPr="001B5B45">
        <w:rPr>
          <w:rStyle w:val="da"/>
          <w:rFonts w:asciiTheme="minorEastAsia" w:eastAsiaTheme="minorEastAsia" w:hAnsiTheme="minorEastAsia"/>
        </w:rPr>
        <w:t>10%</w:t>
      </w:r>
      <w:r w:rsidRPr="001B5B45">
        <w:rPr>
          <w:rStyle w:val="da"/>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（3）暂停赎回：连续2日以上(含本数)发生巨额赎回，如基金管理人认为有必要，可暂停接受基金的赎回申请；已经接受的赎回申请可以延缓支付赎回款项，但不得超过20个</w:t>
      </w:r>
      <w:r w:rsidRPr="001B5B45">
        <w:rPr>
          <w:rStyle w:val="da"/>
          <w:rFonts w:asciiTheme="minorEastAsia" w:eastAsiaTheme="minorEastAsia" w:hAnsiTheme="minorEastAsia"/>
        </w:rPr>
        <w:lastRenderedPageBreak/>
        <w:t>工作日，并应当在指定媒介上进行公告。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3、巨额赎回的公告</w:t>
      </w:r>
    </w:p>
    <w:p w:rsidR="00294DE8" w:rsidRPr="001B5B45" w:rsidRDefault="00AB1388" w:rsidP="006C3CF2">
      <w:pPr>
        <w:spacing w:line="360" w:lineRule="auto"/>
        <w:ind w:firstLineChars="200" w:firstLine="420"/>
        <w:rPr>
          <w:rStyle w:val="da"/>
          <w:rFonts w:asciiTheme="minorEastAsia" w:eastAsiaTheme="minorEastAsia" w:hAnsiTheme="minorEastAsia"/>
        </w:rPr>
      </w:pPr>
      <w:bookmarkStart w:id="41" w:name="_Toc332373514"/>
      <w:r w:rsidRPr="001B5B45">
        <w:rPr>
          <w:rStyle w:val="da"/>
          <w:rFonts w:asciiTheme="minorEastAsia" w:eastAsiaTheme="minorEastAsia" w:hAnsiTheme="minorEastAsia"/>
        </w:rPr>
        <w:t>当发生上述延期赎回并延期办理时，基金管理人应当通过邮寄、传真或者招募说明书规定的其他方式在3个交易日内通知基金份额持有人，说明有关处理方法，</w:t>
      </w:r>
      <w:r w:rsidR="0043444D" w:rsidRPr="001B5B45">
        <w:rPr>
          <w:rStyle w:val="da"/>
          <w:rFonts w:asciiTheme="minorEastAsia" w:eastAsiaTheme="minorEastAsia" w:hAnsiTheme="minorEastAsia" w:hint="eastAsia"/>
        </w:rPr>
        <w:t>并在</w:t>
      </w:r>
      <w:r w:rsidR="0043444D" w:rsidRPr="001B5B45">
        <w:rPr>
          <w:rStyle w:val="da"/>
          <w:rFonts w:asciiTheme="minorEastAsia" w:eastAsiaTheme="minorEastAsia" w:hAnsiTheme="minorEastAsia"/>
        </w:rPr>
        <w:t>2</w:t>
      </w:r>
      <w:r w:rsidR="0043444D" w:rsidRPr="001B5B45">
        <w:rPr>
          <w:rStyle w:val="da"/>
          <w:rFonts w:asciiTheme="minorEastAsia" w:eastAsiaTheme="minorEastAsia" w:hAnsiTheme="minorEastAsia" w:hint="eastAsia"/>
        </w:rPr>
        <w:t>日内</w:t>
      </w:r>
      <w:r w:rsidRPr="001B5B45">
        <w:rPr>
          <w:rStyle w:val="da"/>
          <w:rFonts w:asciiTheme="minorEastAsia" w:eastAsiaTheme="minorEastAsia" w:hAnsiTheme="minorEastAsia"/>
        </w:rPr>
        <w:t>在指定媒介上刊登公告。</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十</w:t>
      </w:r>
      <w:r w:rsidR="00090469"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拒绝或暂停申购、暂停赎回</w:t>
      </w:r>
      <w:r w:rsidR="000D3DAB" w:rsidRPr="001B5B45">
        <w:rPr>
          <w:rStyle w:val="da"/>
          <w:rFonts w:asciiTheme="minorEastAsia" w:eastAsiaTheme="minorEastAsia" w:hAnsiTheme="minorEastAsia"/>
        </w:rPr>
        <w:t>或延缓支付赎回款项</w:t>
      </w:r>
      <w:r w:rsidR="00BA4B87" w:rsidRPr="001B5B45">
        <w:rPr>
          <w:rStyle w:val="da"/>
          <w:rFonts w:asciiTheme="minorEastAsia" w:eastAsiaTheme="minorEastAsia" w:hAnsiTheme="minorEastAsia"/>
        </w:rPr>
        <w:t>的情形及处理</w:t>
      </w:r>
      <w:bookmarkEnd w:id="41"/>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1、发生下列情况时，基金管理人可拒绝或暂停接受投资人的申购申请：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（1）因不可抗力导致基金无法正常运作。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（2）发生基金合同规定的暂停基金资产估值情况时。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（3）本基金投资的证券交易场所停止交易。</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（4）基金管理人接受某笔或某些申购申请可能会影响或损害现有基金份额持有人利益时。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（5）基金资产规模过大，使基金管理人无法找到合适的投资品种，或其他可能对基金业绩产生负面影响，损害现有基金份额持有人利益的情形。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（6）基金管理人、基金托管人、登记机构、销售机构、支付结算机构等因异常情况导致基金销售系统、基金销售支付结算系统、基金登记系统、基金会计系统等无法正常运行。</w:t>
      </w:r>
    </w:p>
    <w:p w:rsidR="00802336" w:rsidRPr="001B5B45" w:rsidRDefault="00802336" w:rsidP="0080233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w:t>
      </w:r>
      <w:r w:rsidR="00753F8C" w:rsidRPr="001B5B45">
        <w:rPr>
          <w:rStyle w:val="da"/>
          <w:rFonts w:asciiTheme="minorEastAsia" w:eastAsiaTheme="minorEastAsia" w:hAnsiTheme="minorEastAsia" w:hint="eastAsia"/>
        </w:rPr>
        <w:t>基金管理人接受某笔或者某些申购申请有可能导致单一投资者持有基金份额的比例达到或者超过</w:t>
      </w:r>
      <w:r w:rsidR="00753F8C" w:rsidRPr="001B5B45">
        <w:rPr>
          <w:rStyle w:val="da"/>
          <w:rFonts w:asciiTheme="minorEastAsia" w:eastAsiaTheme="minorEastAsia" w:hAnsiTheme="minorEastAsia"/>
        </w:rPr>
        <w:t>50%</w:t>
      </w:r>
      <w:r w:rsidR="00753F8C" w:rsidRPr="001B5B45">
        <w:rPr>
          <w:rStyle w:val="da"/>
          <w:rFonts w:asciiTheme="minorEastAsia" w:eastAsiaTheme="minorEastAsia" w:hAnsiTheme="minorEastAsia" w:hint="eastAsia"/>
        </w:rPr>
        <w:t>，或者变相规避</w:t>
      </w:r>
      <w:r w:rsidR="00753F8C" w:rsidRPr="001B5B45">
        <w:rPr>
          <w:rStyle w:val="da"/>
          <w:rFonts w:asciiTheme="minorEastAsia" w:eastAsiaTheme="minorEastAsia" w:hAnsiTheme="minorEastAsia"/>
        </w:rPr>
        <w:t>50%</w:t>
      </w:r>
      <w:r w:rsidR="00753F8C" w:rsidRPr="001B5B45">
        <w:rPr>
          <w:rStyle w:val="da"/>
          <w:rFonts w:asciiTheme="minorEastAsia" w:eastAsiaTheme="minorEastAsia" w:hAnsiTheme="minorEastAsia" w:hint="eastAsia"/>
        </w:rPr>
        <w:t>集中度的情形时。</w:t>
      </w:r>
    </w:p>
    <w:p w:rsidR="00802336" w:rsidRPr="001B5B45" w:rsidRDefault="00802336" w:rsidP="0080233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w:t>
      </w:r>
      <w:r w:rsidR="00753F8C" w:rsidRPr="001B5B45">
        <w:rPr>
          <w:rStyle w:val="da"/>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802336" w:rsidRPr="001B5B45" w:rsidRDefault="00802336" w:rsidP="0080233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w:t>
      </w:r>
      <w:r w:rsidR="00753F8C" w:rsidRPr="001B5B45">
        <w:rPr>
          <w:rStyle w:val="da"/>
          <w:rFonts w:asciiTheme="minorEastAsia" w:eastAsiaTheme="minorEastAsia" w:hAnsiTheme="minorEastAsia" w:hint="eastAsia"/>
        </w:rPr>
        <w:t>当前一估值日基金资产净值</w:t>
      </w:r>
      <w:r w:rsidR="00753F8C" w:rsidRPr="001B5B45">
        <w:rPr>
          <w:rStyle w:val="da"/>
          <w:rFonts w:asciiTheme="minorEastAsia" w:eastAsiaTheme="minorEastAsia" w:hAnsiTheme="minorEastAsia"/>
        </w:rPr>
        <w:t>50%</w:t>
      </w:r>
      <w:r w:rsidR="00753F8C" w:rsidRPr="001B5B45">
        <w:rPr>
          <w:rStyle w:val="da"/>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p>
    <w:p w:rsidR="00E37233" w:rsidRPr="001B5B45" w:rsidRDefault="00802336" w:rsidP="0080233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（10）</w:t>
      </w:r>
      <w:r w:rsidR="00D86678" w:rsidRPr="001B5B45">
        <w:rPr>
          <w:rStyle w:val="da"/>
          <w:rFonts w:asciiTheme="minorEastAsia" w:eastAsiaTheme="minorEastAsia" w:hAnsiTheme="minorEastAsia"/>
        </w:rPr>
        <w:t>法律法规规定或中国证监会认定的其他情形。</w:t>
      </w:r>
    </w:p>
    <w:p w:rsidR="00A22008" w:rsidRPr="001B5B45" w:rsidRDefault="00A2200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发生上述第（1）、（2）、（3）、（5）、（6）、（</w:t>
      </w:r>
      <w:r w:rsidR="00802336" w:rsidRPr="001B5B45">
        <w:rPr>
          <w:rStyle w:val="da"/>
          <w:rFonts w:asciiTheme="minorEastAsia" w:eastAsiaTheme="minorEastAsia" w:hAnsiTheme="minorEastAsia"/>
        </w:rPr>
        <w:t>8</w:t>
      </w:r>
      <w:r w:rsidRPr="001B5B45">
        <w:rPr>
          <w:rStyle w:val="da"/>
          <w:rFonts w:asciiTheme="minorEastAsia" w:eastAsiaTheme="minorEastAsia" w:hAnsiTheme="minorEastAsia"/>
        </w:rPr>
        <w:t>）</w:t>
      </w:r>
      <w:r w:rsidR="00802336" w:rsidRPr="001B5B45">
        <w:rPr>
          <w:rStyle w:val="da"/>
          <w:rFonts w:asciiTheme="minorEastAsia" w:eastAsiaTheme="minorEastAsia" w:hAnsiTheme="minorEastAsia" w:hint="eastAsia"/>
        </w:rPr>
        <w:t>、</w:t>
      </w:r>
      <w:r w:rsidR="00802336" w:rsidRPr="001B5B45">
        <w:rPr>
          <w:rStyle w:val="da"/>
          <w:rFonts w:asciiTheme="minorEastAsia" w:eastAsiaTheme="minorEastAsia" w:hAnsiTheme="minorEastAsia"/>
        </w:rPr>
        <w:t>（</w:t>
      </w:r>
      <w:r w:rsidR="00753F8C" w:rsidRPr="001B5B45">
        <w:rPr>
          <w:rStyle w:val="da"/>
          <w:rFonts w:asciiTheme="minorEastAsia" w:eastAsiaTheme="minorEastAsia" w:hAnsiTheme="minorEastAsia"/>
        </w:rPr>
        <w:t>9</w:t>
      </w:r>
      <w:r w:rsidR="00753F8C" w:rsidRPr="001B5B45">
        <w:rPr>
          <w:rStyle w:val="da"/>
          <w:rFonts w:asciiTheme="minorEastAsia" w:eastAsiaTheme="minorEastAsia" w:hAnsiTheme="minorEastAsia" w:hint="eastAsia"/>
        </w:rPr>
        <w:t>）、（</w:t>
      </w:r>
      <w:r w:rsidR="00753F8C" w:rsidRPr="001B5B45">
        <w:rPr>
          <w:rStyle w:val="da"/>
          <w:rFonts w:asciiTheme="minorEastAsia" w:eastAsiaTheme="minorEastAsia" w:hAnsiTheme="minorEastAsia"/>
        </w:rPr>
        <w:t>10</w:t>
      </w:r>
      <w:r w:rsidR="00753F8C"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项情形且基金管理人决定暂停申购时，基金管理人应当根据有关规定在指定媒介上刊登暂停申购公告。如果投资人的申购申请被拒绝，被拒绝的申购款项本金将退还给投资人。在暂停申购的情况消除时，基金管</w:t>
      </w:r>
      <w:r w:rsidRPr="001B5B45">
        <w:rPr>
          <w:rStyle w:val="da"/>
          <w:rFonts w:asciiTheme="minorEastAsia" w:eastAsiaTheme="minorEastAsia" w:hAnsiTheme="minorEastAsia"/>
        </w:rPr>
        <w:lastRenderedPageBreak/>
        <w:t>理人应及时恢复申购业务的办理。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 xml:space="preserve">　2、发生下列情形时，基金管理人可暂停接受投资人的赎回申请或延缓支付赎回款项：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（1）因不可抗力导致基金管理人不能支付赎回款项。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（2）发生基金合同规定的暂停基金资产估值情况时。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（3）本基金投资的证券交易场所停止交易。</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（4）连续两个或两个以上开放日发生巨额赎回。</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（5）继续接受赎回申请将损害现有基金份额持有人利益的情形时，可暂停接受投资人的赎回申请。</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6</w:t>
      </w:r>
      <w:r w:rsidRPr="001B5B45">
        <w:rPr>
          <w:rStyle w:val="da"/>
          <w:rFonts w:asciiTheme="minorEastAsia" w:eastAsiaTheme="minorEastAsia" w:hAnsiTheme="minorEastAsia" w:hint="eastAsia"/>
        </w:rPr>
        <w:t>）当前一估值日基金资产净值</w:t>
      </w:r>
      <w:r w:rsidRPr="001B5B45">
        <w:rPr>
          <w:rStyle w:val="da"/>
          <w:rFonts w:asciiTheme="minorEastAsia" w:eastAsiaTheme="minorEastAsia" w:hAnsiTheme="minorEastAsia"/>
        </w:rPr>
        <w:t>50%</w:t>
      </w:r>
      <w:r w:rsidRPr="001B5B45">
        <w:rPr>
          <w:rStyle w:val="da"/>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4C373B" w:rsidRPr="001B5B45">
        <w:rPr>
          <w:rStyle w:val="da"/>
          <w:rFonts w:asciiTheme="minorEastAsia" w:eastAsiaTheme="minorEastAsia" w:hAnsiTheme="minorEastAsia"/>
        </w:rPr>
        <w:t>7</w:t>
      </w:r>
      <w:r w:rsidRPr="001B5B45">
        <w:rPr>
          <w:rStyle w:val="da"/>
          <w:rFonts w:asciiTheme="minorEastAsia" w:eastAsiaTheme="minorEastAsia" w:hAnsiTheme="minorEastAsia"/>
        </w:rPr>
        <w:t>）法律法规规定或中国证监会认定的其他情形。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发生上述情形且基金管理人决定暂停接受基金份额持有人赎回申请或延缓支付赎回款项时，基金管理人应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3、暂停申购或赎回的公告和重新开放申购或赎回的公告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（1）发生上述暂停申购或赎回情况的，基金管理人应在规定期限内在指定媒介上刊登暂停公告。</w:t>
      </w:r>
    </w:p>
    <w:p w:rsidR="00DC4447" w:rsidRPr="001B5B45" w:rsidRDefault="00A2200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C4447" w:rsidRPr="001B5B45" w:rsidRDefault="00DC4447">
      <w:pPr>
        <w:widowControl/>
        <w:jc w:val="left"/>
        <w:rPr>
          <w:rStyle w:val="da"/>
          <w:rFonts w:asciiTheme="minorEastAsia" w:eastAsiaTheme="minorEastAsia" w:hAnsiTheme="minorEastAsia"/>
        </w:rPr>
      </w:pPr>
      <w:r w:rsidRPr="001B5B45">
        <w:rPr>
          <w:rStyle w:val="da"/>
          <w:rFonts w:asciiTheme="minorEastAsia" w:eastAsiaTheme="minorEastAsia" w:hAnsiTheme="minorEastAsia"/>
        </w:rPr>
        <w:br w:type="page"/>
      </w:r>
    </w:p>
    <w:p w:rsidR="00BA4B87" w:rsidRPr="001B5B45" w:rsidRDefault="00BA4B87" w:rsidP="00CC1421">
      <w:pPr>
        <w:pStyle w:val="1"/>
        <w:snapToGrid w:val="0"/>
        <w:spacing w:beforeLines="0" w:afterLines="0" w:line="360" w:lineRule="auto"/>
        <w:ind w:firstLine="600"/>
        <w:rPr>
          <w:rFonts w:asciiTheme="minorEastAsia" w:eastAsiaTheme="minorEastAsia" w:hAnsiTheme="minorEastAsia"/>
          <w:sz w:val="30"/>
        </w:rPr>
      </w:pPr>
      <w:bookmarkStart w:id="42" w:name="_Toc332373516"/>
      <w:bookmarkStart w:id="43" w:name="_Toc46927564"/>
      <w:r w:rsidRPr="001B5B45">
        <w:rPr>
          <w:rFonts w:asciiTheme="minorEastAsia" w:eastAsiaTheme="minorEastAsia" w:hAnsiTheme="minorEastAsia"/>
          <w:sz w:val="30"/>
        </w:rPr>
        <w:lastRenderedPageBreak/>
        <w:t>九、</w:t>
      </w:r>
      <w:bookmarkEnd w:id="42"/>
      <w:r w:rsidR="006B5663" w:rsidRPr="001B5B45">
        <w:rPr>
          <w:rFonts w:asciiTheme="minorEastAsia" w:eastAsiaTheme="minorEastAsia" w:hAnsiTheme="minorEastAsia"/>
          <w:sz w:val="30"/>
        </w:rPr>
        <w:t>基金转换</w:t>
      </w:r>
      <w:r w:rsidR="00A64477" w:rsidRPr="001B5B45">
        <w:rPr>
          <w:rFonts w:asciiTheme="minorEastAsia" w:eastAsiaTheme="minorEastAsia" w:hAnsiTheme="minorEastAsia"/>
          <w:sz w:val="30"/>
        </w:rPr>
        <w:t>和</w:t>
      </w:r>
      <w:r w:rsidR="006B5663" w:rsidRPr="001B5B45">
        <w:rPr>
          <w:rFonts w:asciiTheme="minorEastAsia" w:eastAsiaTheme="minorEastAsia" w:hAnsiTheme="minorEastAsia"/>
          <w:sz w:val="30"/>
        </w:rPr>
        <w:t>定期定额投资计划</w:t>
      </w:r>
      <w:bookmarkEnd w:id="43"/>
    </w:p>
    <w:p w:rsidR="003875A4" w:rsidRPr="001B5B45" w:rsidRDefault="003875A4" w:rsidP="006C3CF2">
      <w:pPr>
        <w:spacing w:line="360" w:lineRule="auto"/>
        <w:ind w:firstLineChars="200" w:firstLine="420"/>
        <w:rPr>
          <w:rStyle w:val="da"/>
          <w:rFonts w:asciiTheme="minorEastAsia" w:eastAsiaTheme="minorEastAsia" w:hAnsiTheme="minorEastAsia"/>
        </w:rPr>
      </w:pPr>
      <w:bookmarkStart w:id="44" w:name="_Toc332373517"/>
      <w:r w:rsidRPr="001B5B45">
        <w:rPr>
          <w:rStyle w:val="da"/>
          <w:rFonts w:asciiTheme="minorEastAsia" w:eastAsiaTheme="minorEastAsia" w:hAnsiTheme="minorEastAsia"/>
        </w:rPr>
        <w:t>（一）基金转换</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1、基金转换开始日及时间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本基金已于2017年3月6日开始办理基金转换业务，具体实施办法参见相关公告。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577F81" w:rsidRPr="001B5B45" w:rsidRDefault="00577F8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投资者需在转出基金和转入基金均有交易的当日，方可办理基金转换业务。</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2、基金转换的原则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（1）基金转换只能在同一销售机构进行。转换的两只基金必须都是该销售机构销售的同一基金管理人管理的、在同一注册登记机构注册登记的基金。</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（2）基金转换以份额为单位进行申请。投资者可以发起多次基金转换业务，基金转换费用按每笔申请单独计算。转换费用以人民币元为单位，计算结果按照四舍五入方法，保留小数点后两位。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（3）基金转换采取未知价法，即基金的转换价格以转换申请受理当日各转出、转入基金的份额净值为基准进行计算。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（4）基金转换后，转入的基金份额的持有期将自转入的基金份额被确认之日起重新开始计算。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（5）投资者办理基金转换业务时，转出方的基金必须处于可赎回状态，转入方的基金必须处于可申购状态。</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（6）转换业务遵循“先进先出”的业务规则，即份额注册日期在前的先转换出，份额注册日期在后的后转换出，如果转换申请当日，同时有赎回申请的情况下，则遵循先赎回后转换的处理原则。</w:t>
      </w:r>
    </w:p>
    <w:p w:rsidR="00577F81" w:rsidRPr="001B5B45" w:rsidRDefault="00577F8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（7）转入本基金的份额计算结果保留到小数点后两位，小数点后两位以后的部分四舍五入，由此误差产生的损失由基金财产承担，产生的收益归基金财产所有。</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3、基金转换的程序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（1）基金转换的申请方式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基金投资者必须根据基金管理人和基金销售机构规定的手续，在开放日的业务办理时间提出转换的申请。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提交基金转换申请时，账户中必须有足够可用的转出基金份额余额。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（2）基金转换申请的确认</w:t>
      </w:r>
    </w:p>
    <w:p w:rsidR="00732661" w:rsidRPr="001B5B45" w:rsidRDefault="00577F8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应以交易时间结束前受理有效基金转换申请的当天作为基金转换的申请日(T日)，在正常情况下，本基金注册登记机构在T+1日前(含T+1日)对该交易的有效性进行确认。T日提交的有效申请，投资人应在T+2日后(包括该日)到销售网点柜台或以销售机构规定的其他方式查询申请的确认情况。</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4、基金转换的数额限制</w:t>
      </w:r>
    </w:p>
    <w:p w:rsidR="00732661" w:rsidRPr="001B5B45" w:rsidRDefault="00577F8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该销售机构托管的该基金余额不足1份时，基金管理人有权将投资者在该销售机构托管的该基金剩余份额一次性全部赎回。</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5、基金转换费率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577F81" w:rsidRPr="001B5B45" w:rsidRDefault="00577F8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6、基金转换份额的计算方式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计算公式：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A＝［B×C×(1-D)/（1+G）+F］/E</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H＝B×C×D</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J＝[B×C×(1-D)/(1+G)]×G</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其中，A为转入的基金份额；B为转出的基金份额；C为转换申请当日转出基金的基金份额净值；D为转出基金的对应赎回费率；E为转换申请当日转入基金的基金份额净值；</w:t>
      </w:r>
      <w:r w:rsidR="00212610" w:rsidRPr="001B5B45">
        <w:rPr>
          <w:rStyle w:val="da"/>
          <w:rFonts w:asciiTheme="minorEastAsia" w:eastAsiaTheme="minorEastAsia" w:hAnsiTheme="minorEastAsia" w:hint="eastAsia"/>
        </w:rPr>
        <w:t>F</w:t>
      </w:r>
      <w:r w:rsidR="00212610" w:rsidRPr="001B5B45">
        <w:rPr>
          <w:rStyle w:val="da"/>
          <w:rFonts w:asciiTheme="minorEastAsia" w:eastAsiaTheme="minorEastAsia" w:hAnsiTheme="minorEastAsia" w:hint="eastAsia"/>
        </w:rPr>
        <w:lastRenderedPageBreak/>
        <w:t>为货币市场基金全部转出时注册登记机构已支付的未付收益</w:t>
      </w:r>
      <w:r w:rsidRPr="001B5B45">
        <w:rPr>
          <w:rStyle w:val="da"/>
          <w:rFonts w:asciiTheme="minorEastAsia" w:eastAsiaTheme="minorEastAsia" w:hAnsiTheme="minorEastAsia"/>
        </w:rPr>
        <w:t>（仅限转出基金为易方达货币市场基金、易方达天天理财货币市场基金、易方达财富快线货币市场基金、易方达天天增利货币市场基金、易方达龙宝货币市场基金、易方达增金宝货币市场基金、易方达现金增利货币市场基金</w:t>
      </w:r>
      <w:r w:rsidR="009F0B4C" w:rsidRPr="001B5B45">
        <w:rPr>
          <w:rStyle w:val="da"/>
          <w:rFonts w:asciiTheme="minorEastAsia" w:eastAsiaTheme="minorEastAsia" w:hAnsiTheme="minorEastAsia"/>
        </w:rPr>
        <w:t>、</w:t>
      </w:r>
      <w:r w:rsidRPr="001B5B45">
        <w:rPr>
          <w:rStyle w:val="da"/>
          <w:rFonts w:asciiTheme="minorEastAsia" w:eastAsiaTheme="minorEastAsia" w:hAnsiTheme="minorEastAsia"/>
        </w:rPr>
        <w:t>易方达天天发货币市场基金</w:t>
      </w:r>
      <w:r w:rsidR="009F0B4C" w:rsidRPr="001B5B45">
        <w:rPr>
          <w:rStyle w:val="da"/>
          <w:rFonts w:asciiTheme="minorEastAsia" w:eastAsiaTheme="minorEastAsia" w:hAnsiTheme="minorEastAsia" w:hint="eastAsia"/>
        </w:rPr>
        <w:t>和易方达易理财货币市场基金</w:t>
      </w:r>
      <w:r w:rsidRPr="001B5B45">
        <w:rPr>
          <w:rStyle w:val="da"/>
          <w:rFonts w:asciiTheme="minorEastAsia" w:eastAsiaTheme="minorEastAsia" w:hAnsiTheme="minorEastAsia"/>
        </w:rPr>
        <w:t>）或者短期理财基金转出时对应的累计未付收益（转出基金为易方达月月利理财债券型基金和易方达掌柜季季盈理财债券型基金）；G为对应的申购补差费率；H为转出基金赎回费；J为申购补差费。</w:t>
      </w:r>
    </w:p>
    <w:p w:rsidR="00212610" w:rsidRPr="001B5B45" w:rsidRDefault="00212610">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说明：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（1）基金转换费用由转出基金赎回费用及基金申购补差费用两部分构成。</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并见相关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（4）投资者可以发起多次基金转换业务，基金转换费用按每笔申请单独计算。转换费用以人民币元为单位，计算结果按照四舍五入方法，保留小数点后两位。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例：假设某持有人（非特定投资群体）持有本基金10,000份，持有100天，现欲转换为易方达策略成长二号混合型证券投资基金；假设转出基金T日的基金份额净值为1.1000元，转入基金易方达策略成长二号混合型证券投资基金T日的基金份额净值为1.020元，则转出基金的赎回费率为0.5%，申购补差费率为0.5%。转换份额计算如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转换金额=转出基金申请份额×转出基金份额净值=10,000×1.1000=11,000.00元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转出基金赎回费=转换金额×转出基金赎回费率=11,000.00×0.5%=55.00元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申购补差费=（转换金额-转出基金赎回费）×申购补差费率÷（1＋申购补差费率）=（11,000.00-55.00)×0.5%÷(1+0.5%)=54.45元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转换费=转出基金赎回费+申购补差费=55.00+54.45=109.45元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转入金额=转换金额-转换费=11,000.00-109.45=10,890.55元</w:t>
      </w:r>
    </w:p>
    <w:p w:rsidR="00732661" w:rsidRPr="001B5B45" w:rsidRDefault="00577F8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转入份额=转入金额÷转入基金份额净值=10,890.55÷1.020=10,677.01份</w:t>
      </w:r>
    </w:p>
    <w:p w:rsidR="00213CB9" w:rsidRPr="001B5B45" w:rsidRDefault="00213CB9" w:rsidP="00213CB9">
      <w:pPr>
        <w:adjustRightInd w:val="0"/>
        <w:snapToGrid w:val="0"/>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注：本基金转出至易方达平稳增长混合、易方达策略成长混合、易方达上证</w:t>
      </w:r>
      <w:r w:rsidRPr="001B5B45">
        <w:rPr>
          <w:rFonts w:asciiTheme="minorEastAsia" w:eastAsiaTheme="minorEastAsia" w:hAnsiTheme="minorEastAsia"/>
        </w:rPr>
        <w:t>50</w:t>
      </w:r>
      <w:r w:rsidRPr="001B5B45">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1B5B45">
        <w:rPr>
          <w:rFonts w:asciiTheme="minorEastAsia" w:eastAsiaTheme="minorEastAsia" w:hAnsiTheme="minorEastAsia"/>
        </w:rPr>
        <w:t>1</w:t>
      </w:r>
      <w:r w:rsidRPr="001B5B45">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1B5B45">
        <w:rPr>
          <w:rFonts w:asciiTheme="minorEastAsia" w:eastAsiaTheme="minorEastAsia" w:hAnsiTheme="minorEastAsia"/>
        </w:rPr>
        <w:t>1</w:t>
      </w:r>
      <w:r w:rsidRPr="001B5B45">
        <w:rPr>
          <w:rFonts w:asciiTheme="minorEastAsia" w:eastAsiaTheme="minorEastAsia" w:hAnsiTheme="minorEastAsia" w:hint="eastAsia"/>
        </w:rPr>
        <w:t>年定期债券、易方达黄金</w:t>
      </w:r>
      <w:r w:rsidRPr="001B5B45">
        <w:rPr>
          <w:rFonts w:asciiTheme="minorEastAsia" w:eastAsiaTheme="minorEastAsia" w:hAnsiTheme="minorEastAsia"/>
        </w:rPr>
        <w:t>ETF</w:t>
      </w:r>
      <w:r w:rsidRPr="001B5B45">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1B5B45">
        <w:rPr>
          <w:rFonts w:asciiTheme="minorEastAsia" w:eastAsiaTheme="minorEastAsia" w:hAnsiTheme="minorEastAsia"/>
        </w:rPr>
        <w:t>300</w:t>
      </w:r>
      <w:r w:rsidRPr="001B5B45">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1B5B45">
        <w:rPr>
          <w:rFonts w:asciiTheme="minorEastAsia" w:eastAsiaTheme="minorEastAsia" w:hAnsiTheme="minorEastAsia"/>
        </w:rPr>
        <w:t>300</w:t>
      </w:r>
      <w:r w:rsidRPr="001B5B45">
        <w:rPr>
          <w:rFonts w:asciiTheme="minorEastAsia" w:eastAsiaTheme="minorEastAsia" w:hAnsiTheme="minorEastAsia" w:hint="eastAsia"/>
        </w:rPr>
        <w:t>医药</w:t>
      </w:r>
      <w:r w:rsidRPr="001B5B45">
        <w:rPr>
          <w:rFonts w:asciiTheme="minorEastAsia" w:eastAsiaTheme="minorEastAsia" w:hAnsiTheme="minorEastAsia"/>
        </w:rPr>
        <w:t>ETF</w:t>
      </w:r>
      <w:r w:rsidRPr="001B5B45">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1B5B45">
        <w:rPr>
          <w:rFonts w:asciiTheme="minorEastAsia" w:eastAsiaTheme="minorEastAsia" w:hAnsiTheme="minorEastAsia"/>
        </w:rPr>
        <w:t>3-5</w:t>
      </w:r>
      <w:r w:rsidRPr="001B5B45">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1B5B45">
        <w:rPr>
          <w:rFonts w:asciiTheme="minorEastAsia" w:eastAsiaTheme="minorEastAsia" w:hAnsiTheme="minorEastAsia"/>
        </w:rPr>
        <w:t>6</w:t>
      </w:r>
      <w:r w:rsidRPr="001B5B45">
        <w:rPr>
          <w:rFonts w:asciiTheme="minorEastAsia" w:eastAsiaTheme="minorEastAsia" w:hAnsiTheme="minorEastAsia" w:hint="eastAsia"/>
        </w:rPr>
        <w:t>个月定期开放债券、易方达丰惠混合、易方达丰和债券、易方达裕鑫债券、易方达富惠纯债债券、易方达科瑞混合、易方达中债</w:t>
      </w:r>
      <w:r w:rsidRPr="001B5B45">
        <w:rPr>
          <w:rFonts w:asciiTheme="minorEastAsia" w:eastAsiaTheme="minorEastAsia" w:hAnsiTheme="minorEastAsia"/>
        </w:rPr>
        <w:t>7-10</w:t>
      </w:r>
      <w:r w:rsidRPr="001B5B45">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1B5B45">
        <w:rPr>
          <w:rFonts w:asciiTheme="minorEastAsia" w:eastAsiaTheme="minorEastAsia" w:hAnsiTheme="minorEastAsia"/>
        </w:rPr>
        <w:t>MSCI</w:t>
      </w:r>
      <w:r w:rsidRPr="001B5B45">
        <w:rPr>
          <w:rFonts w:asciiTheme="minorEastAsia" w:eastAsiaTheme="minorEastAsia" w:hAnsiTheme="minorEastAsia" w:hint="eastAsia"/>
        </w:rPr>
        <w:t>中国</w:t>
      </w:r>
      <w:r w:rsidRPr="001B5B45">
        <w:rPr>
          <w:rFonts w:asciiTheme="minorEastAsia" w:eastAsiaTheme="minorEastAsia" w:hAnsiTheme="minorEastAsia"/>
        </w:rPr>
        <w:t>A</w:t>
      </w:r>
      <w:r w:rsidRPr="001B5B45">
        <w:rPr>
          <w:rFonts w:asciiTheme="minorEastAsia" w:eastAsiaTheme="minorEastAsia" w:hAnsiTheme="minorEastAsia" w:hint="eastAsia"/>
        </w:rPr>
        <w:t>股国际通</w:t>
      </w:r>
      <w:r w:rsidRPr="001B5B45">
        <w:rPr>
          <w:rFonts w:asciiTheme="minorEastAsia" w:eastAsiaTheme="minorEastAsia" w:hAnsiTheme="minorEastAsia"/>
        </w:rPr>
        <w:t>ETF</w:t>
      </w:r>
      <w:r w:rsidRPr="001B5B45">
        <w:rPr>
          <w:rFonts w:asciiTheme="minorEastAsia" w:eastAsiaTheme="minorEastAsia" w:hAnsiTheme="minorEastAsia" w:hint="eastAsia"/>
        </w:rPr>
        <w:t>联接发起式、易方达中证</w:t>
      </w:r>
      <w:r w:rsidRPr="001B5B45">
        <w:rPr>
          <w:rFonts w:asciiTheme="minorEastAsia" w:eastAsiaTheme="minorEastAsia" w:hAnsiTheme="minorEastAsia"/>
        </w:rPr>
        <w:t>500ETF</w:t>
      </w:r>
      <w:r w:rsidRPr="001B5B45">
        <w:rPr>
          <w:rFonts w:asciiTheme="minorEastAsia" w:eastAsiaTheme="minorEastAsia" w:hAnsiTheme="minorEastAsia" w:hint="eastAsia"/>
        </w:rPr>
        <w:t>联接发起式、易方达恒利</w:t>
      </w:r>
      <w:r w:rsidRPr="001B5B45">
        <w:rPr>
          <w:rFonts w:asciiTheme="minorEastAsia" w:eastAsiaTheme="minorEastAsia" w:hAnsiTheme="minorEastAsia"/>
        </w:rPr>
        <w:t>3</w:t>
      </w:r>
      <w:r w:rsidRPr="001B5B45">
        <w:rPr>
          <w:rFonts w:asciiTheme="minorEastAsia" w:eastAsiaTheme="minorEastAsia" w:hAnsiTheme="minorEastAsia" w:hint="eastAsia"/>
        </w:rPr>
        <w:t>个月定开债券发起式、易方达中债</w:t>
      </w:r>
      <w:r w:rsidRPr="001B5B45">
        <w:rPr>
          <w:rFonts w:asciiTheme="minorEastAsia" w:eastAsiaTheme="minorEastAsia" w:hAnsiTheme="minorEastAsia"/>
        </w:rPr>
        <w:t>1-3</w:t>
      </w:r>
      <w:r w:rsidRPr="001B5B45">
        <w:rPr>
          <w:rFonts w:asciiTheme="minorEastAsia" w:eastAsiaTheme="minorEastAsia" w:hAnsiTheme="minorEastAsia" w:hint="eastAsia"/>
        </w:rPr>
        <w:t>年国开行债券指数、易方达中债</w:t>
      </w:r>
      <w:r w:rsidRPr="001B5B45">
        <w:rPr>
          <w:rFonts w:asciiTheme="minorEastAsia" w:eastAsiaTheme="minorEastAsia" w:hAnsiTheme="minorEastAsia"/>
        </w:rPr>
        <w:t>3-5</w:t>
      </w:r>
      <w:r w:rsidRPr="001B5B45">
        <w:rPr>
          <w:rFonts w:asciiTheme="minorEastAsia" w:eastAsiaTheme="minorEastAsia" w:hAnsiTheme="minorEastAsia" w:hint="eastAsia"/>
        </w:rPr>
        <w:t>年国开行债券指数、易方达中债</w:t>
      </w:r>
      <w:r w:rsidRPr="001B5B45">
        <w:rPr>
          <w:rFonts w:asciiTheme="minorEastAsia" w:eastAsiaTheme="minorEastAsia" w:hAnsiTheme="minorEastAsia"/>
        </w:rPr>
        <w:t>1-3</w:t>
      </w:r>
      <w:r w:rsidRPr="001B5B45">
        <w:rPr>
          <w:rFonts w:asciiTheme="minorEastAsia" w:eastAsiaTheme="minorEastAsia" w:hAnsiTheme="minorEastAsia" w:hint="eastAsia"/>
        </w:rPr>
        <w:t>年政金债指数、易方达中债</w:t>
      </w:r>
      <w:r w:rsidRPr="001B5B45">
        <w:rPr>
          <w:rFonts w:asciiTheme="minorEastAsia" w:eastAsiaTheme="minorEastAsia" w:hAnsiTheme="minorEastAsia"/>
        </w:rPr>
        <w:t>3-5</w:t>
      </w:r>
      <w:r w:rsidRPr="001B5B45">
        <w:rPr>
          <w:rFonts w:asciiTheme="minorEastAsia" w:eastAsiaTheme="minorEastAsia" w:hAnsiTheme="minorEastAsia" w:hint="eastAsia"/>
        </w:rPr>
        <w:t>年政金债指数、易方达上证</w:t>
      </w:r>
      <w:r w:rsidRPr="001B5B45">
        <w:rPr>
          <w:rFonts w:asciiTheme="minorEastAsia" w:eastAsiaTheme="minorEastAsia" w:hAnsiTheme="minorEastAsia"/>
        </w:rPr>
        <w:t>50ETF</w:t>
      </w:r>
      <w:r w:rsidRPr="001B5B45">
        <w:rPr>
          <w:rFonts w:asciiTheme="minorEastAsia" w:eastAsiaTheme="minorEastAsia" w:hAnsiTheme="minorEastAsia" w:hint="eastAsia"/>
        </w:rPr>
        <w:t>联接发起式、易方达恒兴</w:t>
      </w:r>
      <w:r w:rsidRPr="001B5B45">
        <w:rPr>
          <w:rFonts w:asciiTheme="minorEastAsia" w:eastAsiaTheme="minorEastAsia" w:hAnsiTheme="minorEastAsia"/>
        </w:rPr>
        <w:t>3</w:t>
      </w:r>
      <w:r w:rsidRPr="001B5B45">
        <w:rPr>
          <w:rFonts w:asciiTheme="minorEastAsia" w:eastAsiaTheme="minorEastAsia" w:hAnsiTheme="minorEastAsia" w:hint="eastAsia"/>
        </w:rPr>
        <w:t>个月定开债券发起式、易方达</w:t>
      </w:r>
      <w:r w:rsidRPr="001B5B45">
        <w:rPr>
          <w:rFonts w:asciiTheme="minorEastAsia" w:eastAsiaTheme="minorEastAsia" w:hAnsiTheme="minorEastAsia"/>
        </w:rPr>
        <w:t>ESG</w:t>
      </w:r>
      <w:r w:rsidRPr="001B5B45">
        <w:rPr>
          <w:rFonts w:asciiTheme="minorEastAsia" w:eastAsiaTheme="minorEastAsia" w:hAnsiTheme="minorEastAsia" w:hint="eastAsia"/>
        </w:rPr>
        <w:t>责任投资股票发起式、易方达中证国企一带一路</w:t>
      </w:r>
      <w:r w:rsidRPr="001B5B45">
        <w:rPr>
          <w:rFonts w:asciiTheme="minorEastAsia" w:eastAsiaTheme="minorEastAsia" w:hAnsiTheme="minorEastAsia"/>
        </w:rPr>
        <w:t>ETF</w:t>
      </w:r>
      <w:r w:rsidRPr="001B5B45">
        <w:rPr>
          <w:rFonts w:asciiTheme="minorEastAsia" w:eastAsiaTheme="minorEastAsia" w:hAnsiTheme="minorEastAsia" w:hint="eastAsia"/>
        </w:rPr>
        <w:t>联接、易方达</w:t>
      </w:r>
      <w:r w:rsidRPr="001B5B45">
        <w:rPr>
          <w:rFonts w:asciiTheme="minorEastAsia" w:eastAsiaTheme="minorEastAsia" w:hAnsiTheme="minorEastAsia" w:hint="eastAsia"/>
        </w:rPr>
        <w:lastRenderedPageBreak/>
        <w:t>中证</w:t>
      </w:r>
      <w:r w:rsidRPr="001B5B45">
        <w:rPr>
          <w:rFonts w:asciiTheme="minorEastAsia" w:eastAsiaTheme="minorEastAsia" w:hAnsiTheme="minorEastAsia"/>
        </w:rPr>
        <w:t>800ETF</w:t>
      </w:r>
      <w:r w:rsidRPr="001B5B45">
        <w:rPr>
          <w:rFonts w:asciiTheme="minorEastAsia" w:eastAsiaTheme="minorEastAsia" w:hAnsiTheme="minorEastAsia" w:hint="eastAsia"/>
        </w:rPr>
        <w:t>联接发起式、易方达恒盛</w:t>
      </w:r>
      <w:r w:rsidRPr="001B5B45">
        <w:rPr>
          <w:rFonts w:asciiTheme="minorEastAsia" w:eastAsiaTheme="minorEastAsia" w:hAnsiTheme="minorEastAsia"/>
        </w:rPr>
        <w:t>3</w:t>
      </w:r>
      <w:r w:rsidRPr="001B5B45">
        <w:rPr>
          <w:rFonts w:asciiTheme="minorEastAsia" w:eastAsiaTheme="minorEastAsia" w:hAnsiTheme="minorEastAsia" w:hint="eastAsia"/>
        </w:rPr>
        <w:t>个月定开混合发起式、易方达研究精选股票、易方达裕富债券、易方达高端制造混合发起式、易方达消费精选股票、</w:t>
      </w:r>
      <w:r w:rsidR="009F0B4C" w:rsidRPr="001B5B45">
        <w:rPr>
          <w:rFonts w:asciiTheme="minorEastAsia" w:eastAsiaTheme="minorEastAsia" w:hAnsiTheme="minorEastAsia" w:hint="eastAsia"/>
        </w:rPr>
        <w:t>易方达金融行业股票发起式、易方达年年恒夏纯债一年定开债券发起式、</w:t>
      </w:r>
      <w:r w:rsidRPr="001B5B45">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1B5B45">
        <w:rPr>
          <w:rFonts w:asciiTheme="minorEastAsia" w:eastAsiaTheme="minorEastAsia" w:hAnsiTheme="minorEastAsia"/>
        </w:rPr>
        <w:t>100ETF</w:t>
      </w:r>
      <w:r w:rsidRPr="001B5B45">
        <w:rPr>
          <w:rFonts w:asciiTheme="minorEastAsia" w:eastAsiaTheme="minorEastAsia" w:hAnsiTheme="minorEastAsia" w:hint="eastAsia"/>
        </w:rPr>
        <w:t>联接、易方达沪深</w:t>
      </w:r>
      <w:r w:rsidRPr="001B5B45">
        <w:rPr>
          <w:rFonts w:asciiTheme="minorEastAsia" w:eastAsiaTheme="minorEastAsia" w:hAnsiTheme="minorEastAsia"/>
        </w:rPr>
        <w:t>300ETF</w:t>
      </w:r>
      <w:r w:rsidRPr="001B5B45">
        <w:rPr>
          <w:rFonts w:asciiTheme="minorEastAsia" w:eastAsiaTheme="minorEastAsia" w:hAnsiTheme="minorEastAsia" w:hint="eastAsia"/>
        </w:rPr>
        <w:t>发起式联接、易方达上证中盘</w:t>
      </w:r>
      <w:r w:rsidRPr="001B5B45">
        <w:rPr>
          <w:rFonts w:asciiTheme="minorEastAsia" w:eastAsiaTheme="minorEastAsia" w:hAnsiTheme="minorEastAsia"/>
        </w:rPr>
        <w:t>ETF</w:t>
      </w:r>
      <w:r w:rsidRPr="001B5B45">
        <w:rPr>
          <w:rFonts w:asciiTheme="minorEastAsia" w:eastAsiaTheme="minorEastAsia" w:hAnsiTheme="minorEastAsia" w:hint="eastAsia"/>
        </w:rPr>
        <w:t>联接、易方达消费行业股票、易方达医疗保健行业混合、易方达资源行业混合、易方达创业板</w:t>
      </w:r>
      <w:r w:rsidRPr="001B5B45">
        <w:rPr>
          <w:rFonts w:asciiTheme="minorEastAsia" w:eastAsiaTheme="minorEastAsia" w:hAnsiTheme="minorEastAsia"/>
        </w:rPr>
        <w:t>ETF</w:t>
      </w:r>
      <w:r w:rsidRPr="001B5B45">
        <w:rPr>
          <w:rFonts w:asciiTheme="minorEastAsia" w:eastAsiaTheme="minorEastAsia" w:hAnsiTheme="minorEastAsia" w:hint="eastAsia"/>
        </w:rPr>
        <w:t>联接、易方达安心回报债券、易方达科讯混合、易方达沪深</w:t>
      </w:r>
      <w:r w:rsidRPr="001B5B45">
        <w:rPr>
          <w:rFonts w:asciiTheme="minorEastAsia" w:eastAsiaTheme="minorEastAsia" w:hAnsiTheme="minorEastAsia"/>
        </w:rPr>
        <w:t>300</w:t>
      </w:r>
      <w:r w:rsidRPr="001B5B45">
        <w:rPr>
          <w:rFonts w:asciiTheme="minorEastAsia" w:eastAsiaTheme="minorEastAsia" w:hAnsi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7、基金转换的注册登记</w:t>
      </w:r>
    </w:p>
    <w:p w:rsidR="00E64DDC" w:rsidRPr="001B5B45" w:rsidRDefault="00E64DD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投资者T日申请基金转换成功后，注册登记机构将在T＋1工作日为投资者办理减少转出基金份额、增加转入基金份额的权益登记手续，一般情况下，投资者自T＋2工作日起有权赎回转入部分的基金份额。</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8、基金转换与巨额赎回</w:t>
      </w:r>
    </w:p>
    <w:p w:rsidR="00F72C46" w:rsidRPr="001B5B45" w:rsidRDefault="00F72C46"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单个开放日中，本基金的基金份额净赎回申请（赎回申请总份额扣除申购总份额后的余额）与净转出申请（转出申请总份额扣除转入申请总份额后的余额）之和超过上一日基金总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732661" w:rsidRPr="001B5B45" w:rsidRDefault="0073266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9、拒绝或暂停基金转换的情形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发生下列情况时，基金管理人可拒绝或暂停接受基金投资者的转换申请：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（1）因不可抗力导致基金无法正常运作或因不可抗力导致基金管理人不能支付转换转出款项。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（2）发生《基金合同》规定的暂停基金资产估值情况时。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（3）本基金投资的证券交易场所停止交易。</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（4）基金管理人认为接受某笔或某些转换转入申请可能会影响或损害现有基金份额持有人利益时。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（5）基金资产规模过大，使基金管理人无法找到合适的投资品种，或其他可能对基金</w:t>
      </w:r>
      <w:r w:rsidRPr="001B5B45">
        <w:rPr>
          <w:rStyle w:val="da"/>
          <w:rFonts w:asciiTheme="minorEastAsia" w:eastAsiaTheme="minorEastAsia" w:hAnsiTheme="minorEastAsia"/>
        </w:rPr>
        <w:lastRenderedPageBreak/>
        <w:t>业绩产生负面影响，损害现有基金份额持有人利益的情形。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（6）基金管理人、基金托管人、登记机构、销售机构、支付结算机构等因异常情况导致基金销售系统、基金销售支付结算系统、基金登记系统、基金会计系统等无法正常运行。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（7）连续两个或两个以上开放日发生巨额赎回。</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（8）继续接受转换转出申请将损害现有基金份额持有人利益的情形时，可暂停接受投资者的转换转出申请。</w:t>
      </w:r>
    </w:p>
    <w:p w:rsidR="003546C2" w:rsidRPr="001B5B45" w:rsidRDefault="003546C2" w:rsidP="003546C2">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rPr>
        <w:t>（9）基金管理人接受某笔或者某些转换转入申请有可能导致单一投资者持有基金份额的比例达到或者超过50%，或者变相规避50%集中度的情形时。</w:t>
      </w:r>
    </w:p>
    <w:p w:rsidR="003546C2" w:rsidRPr="001B5B45" w:rsidRDefault="003546C2" w:rsidP="003546C2">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w:t>
      </w:r>
      <w:r w:rsidRPr="001B5B45">
        <w:rPr>
          <w:rFonts w:asciiTheme="minorEastAsia" w:eastAsiaTheme="minorEastAsia" w:hAnsiTheme="minorEastAsia"/>
          <w:szCs w:val="21"/>
        </w:rPr>
        <w:t>10</w:t>
      </w:r>
      <w:r w:rsidRPr="001B5B45">
        <w:rPr>
          <w:rFonts w:asciiTheme="minorEastAsia" w:eastAsiaTheme="minorEastAsia" w:hAnsiTheme="minorEastAsia" w:hint="eastAsia"/>
          <w:szCs w:val="21"/>
        </w:rPr>
        <w:t>）当一笔新的转换</w:t>
      </w:r>
      <w:r w:rsidRPr="001B5B45">
        <w:rPr>
          <w:rFonts w:asciiTheme="minorEastAsia" w:eastAsiaTheme="minorEastAsia" w:hAnsiTheme="minorEastAsia"/>
          <w:szCs w:val="21"/>
        </w:rPr>
        <w:t>转入</w:t>
      </w:r>
      <w:r w:rsidRPr="001B5B45">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546C2" w:rsidRPr="001B5B45" w:rsidRDefault="003546C2" w:rsidP="003546C2">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w:t>
      </w:r>
      <w:r w:rsidRPr="001B5B45">
        <w:rPr>
          <w:rFonts w:asciiTheme="minorEastAsia" w:eastAsiaTheme="minorEastAsia" w:hAnsiTheme="minorEastAsia"/>
          <w:szCs w:val="21"/>
        </w:rPr>
        <w:t>11）</w:t>
      </w:r>
      <w:r w:rsidRPr="001B5B45">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E37233" w:rsidRPr="001B5B45" w:rsidRDefault="003546C2">
      <w:pPr>
        <w:spacing w:line="360" w:lineRule="auto"/>
        <w:ind w:firstLineChars="200" w:firstLine="420"/>
        <w:rPr>
          <w:rStyle w:val="da"/>
          <w:rFonts w:asciiTheme="minorEastAsia" w:eastAsiaTheme="minorEastAsia" w:hAnsiTheme="minorEastAsia"/>
        </w:rPr>
      </w:pPr>
      <w:r w:rsidRPr="001B5B45">
        <w:rPr>
          <w:rFonts w:asciiTheme="minorEastAsia" w:eastAsiaTheme="minorEastAsia" w:hAnsiTheme="minorEastAsia" w:hint="eastAsia"/>
          <w:szCs w:val="21"/>
        </w:rPr>
        <w:t>（</w:t>
      </w:r>
      <w:r w:rsidRPr="001B5B45">
        <w:rPr>
          <w:rFonts w:asciiTheme="minorEastAsia" w:eastAsiaTheme="minorEastAsia" w:hAnsiTheme="minorEastAsia"/>
          <w:szCs w:val="21"/>
        </w:rPr>
        <w:t>12）</w:t>
      </w:r>
      <w:r w:rsidR="00D86678" w:rsidRPr="001B5B45">
        <w:rPr>
          <w:rStyle w:val="da"/>
          <w:rFonts w:asciiTheme="minorEastAsia" w:eastAsiaTheme="minorEastAsia" w:hAnsiTheme="minorEastAsia"/>
        </w:rPr>
        <w:t>法律法规规定或中国证监会认定的其他情形。</w:t>
      </w:r>
    </w:p>
    <w:p w:rsidR="00D3755C" w:rsidRPr="001B5B45" w:rsidRDefault="007D6D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D3755C" w:rsidRPr="001B5B45" w:rsidRDefault="00D3755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10869" w:rsidRPr="001B5B45">
        <w:rPr>
          <w:rStyle w:val="da"/>
          <w:rFonts w:asciiTheme="minorEastAsia" w:eastAsiaTheme="minorEastAsia" w:hAnsiTheme="minorEastAsia" w:hint="eastAsia"/>
        </w:rPr>
        <w:t>二</w:t>
      </w:r>
      <w:r w:rsidRPr="001B5B45">
        <w:rPr>
          <w:rStyle w:val="da"/>
          <w:rFonts w:asciiTheme="minorEastAsia" w:eastAsiaTheme="minorEastAsia" w:hAnsiTheme="minorEastAsia"/>
        </w:rPr>
        <w:t>）定期定额投资计划</w:t>
      </w:r>
    </w:p>
    <w:p w:rsidR="00DC4447" w:rsidRPr="001B5B45" w:rsidRDefault="00D3755C" w:rsidP="00EA72E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本基金已于2017年3月6日开始办理定期定额投资业务，具体实施办法参见相关公告。</w:t>
      </w:r>
      <w:r w:rsidR="00DC4447" w:rsidRPr="001B5B45">
        <w:rPr>
          <w:rStyle w:val="da"/>
          <w:rFonts w:asciiTheme="minorEastAsia" w:eastAsiaTheme="minorEastAsia" w:hAnsiTheme="minorEastAsia"/>
        </w:rPr>
        <w:br w:type="page"/>
      </w:r>
    </w:p>
    <w:p w:rsidR="00BA4B87" w:rsidRPr="001B5B45" w:rsidRDefault="00BA4B87" w:rsidP="008502BE">
      <w:pPr>
        <w:pStyle w:val="1"/>
        <w:snapToGrid w:val="0"/>
        <w:spacing w:beforeLines="0" w:afterLines="0" w:line="360" w:lineRule="auto"/>
        <w:ind w:firstLine="600"/>
        <w:rPr>
          <w:rFonts w:asciiTheme="minorEastAsia" w:eastAsiaTheme="minorEastAsia" w:hAnsiTheme="minorEastAsia"/>
          <w:bCs/>
          <w:kern w:val="44"/>
          <w:sz w:val="28"/>
          <w:szCs w:val="44"/>
        </w:rPr>
      </w:pPr>
      <w:bookmarkStart w:id="45" w:name="_Toc332373519"/>
      <w:bookmarkStart w:id="46" w:name="_Toc46927565"/>
      <w:bookmarkEnd w:id="44"/>
      <w:r w:rsidRPr="001B5B45">
        <w:rPr>
          <w:rFonts w:asciiTheme="minorEastAsia" w:eastAsiaTheme="minorEastAsia" w:hAnsiTheme="minorEastAsia"/>
          <w:sz w:val="30"/>
        </w:rPr>
        <w:lastRenderedPageBreak/>
        <w:t>十、</w:t>
      </w:r>
      <w:bookmarkEnd w:id="45"/>
      <w:r w:rsidR="0075581A" w:rsidRPr="001B5B45">
        <w:rPr>
          <w:rFonts w:asciiTheme="minorEastAsia" w:eastAsiaTheme="minorEastAsia" w:hAnsiTheme="minorEastAsia" w:hint="eastAsia"/>
          <w:sz w:val="30"/>
        </w:rPr>
        <w:t>基金的转托管、非交易过户、冻结与解冻</w:t>
      </w:r>
      <w:bookmarkEnd w:id="46"/>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47" w:name="_Toc332373520"/>
      <w:bookmarkStart w:id="48" w:name="_Toc79392621"/>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401F67" w:rsidRPr="001B5B45">
        <w:rPr>
          <w:rStyle w:val="da"/>
          <w:rFonts w:asciiTheme="minorEastAsia" w:eastAsiaTheme="minorEastAsia" w:hAnsiTheme="minorEastAsia"/>
        </w:rPr>
        <w:t>基金的</w:t>
      </w:r>
      <w:r w:rsidR="00BA4B87" w:rsidRPr="001B5B45">
        <w:rPr>
          <w:rStyle w:val="da"/>
          <w:rFonts w:asciiTheme="minorEastAsia" w:eastAsiaTheme="minorEastAsia" w:hAnsiTheme="minorEastAsia"/>
        </w:rPr>
        <w:t>转托管</w:t>
      </w:r>
      <w:bookmarkEnd w:id="47"/>
    </w:p>
    <w:p w:rsidR="0048242D" w:rsidRPr="001B5B45" w:rsidRDefault="00527DC7"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基金份额持有人可办理已持有基金份额在不同销售机构之间的转托管，基金销售机构可以按照规定的标准收取转托管费。具体办理方法参照《业务规则》的有关规定以及各销售机构的业务规则。</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49" w:name="_Toc332373521"/>
      <w:r w:rsidRPr="001B5B45">
        <w:rPr>
          <w:rStyle w:val="da"/>
          <w:rFonts w:asciiTheme="minorEastAsia" w:eastAsiaTheme="minorEastAsia" w:hAnsiTheme="minorEastAsia"/>
        </w:rPr>
        <w:t>（</w:t>
      </w:r>
      <w:r w:rsidR="00710911" w:rsidRPr="001B5B45">
        <w:rPr>
          <w:rStyle w:val="da"/>
          <w:rFonts w:asciiTheme="minorEastAsia" w:eastAsiaTheme="minorEastAsia" w:hAnsiTheme="minorEastAsia" w:hint="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基金的非交易过户</w:t>
      </w:r>
      <w:bookmarkEnd w:id="49"/>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1B5B45" w:rsidRDefault="0083702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50" w:name="_Toc332373522"/>
      <w:r w:rsidRPr="001B5B45">
        <w:rPr>
          <w:rStyle w:val="da"/>
          <w:rFonts w:asciiTheme="minorEastAsia" w:eastAsiaTheme="minorEastAsia" w:hAnsiTheme="minorEastAsia"/>
        </w:rPr>
        <w:t>（</w:t>
      </w:r>
      <w:r w:rsidR="00710911" w:rsidRPr="001B5B45">
        <w:rPr>
          <w:rStyle w:val="da"/>
          <w:rFonts w:asciiTheme="minorEastAsia" w:eastAsiaTheme="minorEastAsia" w:hAnsiTheme="minorEastAsia" w:hint="eastAsia"/>
        </w:rPr>
        <w:t>三</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基金的冻结与解冻</w:t>
      </w:r>
      <w:bookmarkEnd w:id="50"/>
    </w:p>
    <w:p w:rsidR="00DC4447" w:rsidRPr="001B5B45" w:rsidRDefault="007413B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基金登记机构只受理国家有权机关依法要求的基金份额的冻结与解冻，以及登记机构认可、符合法律法规的其他情况下的冻结与解冻。</w:t>
      </w:r>
    </w:p>
    <w:p w:rsidR="00DC4447" w:rsidRPr="001B5B45" w:rsidRDefault="00DC4447">
      <w:pPr>
        <w:widowControl/>
        <w:jc w:val="left"/>
        <w:rPr>
          <w:rStyle w:val="da"/>
          <w:rFonts w:asciiTheme="minorEastAsia" w:eastAsiaTheme="minorEastAsia" w:hAnsiTheme="minorEastAsia"/>
        </w:rPr>
      </w:pPr>
      <w:r w:rsidRPr="001B5B45">
        <w:rPr>
          <w:rStyle w:val="da"/>
          <w:rFonts w:asciiTheme="minorEastAsia" w:eastAsiaTheme="minorEastAsia" w:hAnsiTheme="minorEastAsia"/>
        </w:rPr>
        <w:br w:type="page"/>
      </w:r>
    </w:p>
    <w:p w:rsidR="00BA4B87" w:rsidRPr="001B5B45" w:rsidRDefault="00BA4B87" w:rsidP="00DC4447">
      <w:pPr>
        <w:pStyle w:val="1"/>
        <w:snapToGrid w:val="0"/>
        <w:spacing w:beforeLines="0" w:afterLines="0" w:line="360" w:lineRule="auto"/>
        <w:ind w:firstLine="600"/>
        <w:rPr>
          <w:rFonts w:asciiTheme="minorEastAsia" w:eastAsiaTheme="minorEastAsia" w:hAnsiTheme="minorEastAsia"/>
          <w:szCs w:val="21"/>
        </w:rPr>
      </w:pPr>
      <w:bookmarkStart w:id="51" w:name="_Toc332373523"/>
      <w:bookmarkStart w:id="52" w:name="_Toc46927566"/>
      <w:bookmarkEnd w:id="48"/>
      <w:r w:rsidRPr="001B5B45">
        <w:rPr>
          <w:rFonts w:asciiTheme="minorEastAsia" w:eastAsiaTheme="minorEastAsia" w:hAnsiTheme="minorEastAsia"/>
          <w:sz w:val="30"/>
        </w:rPr>
        <w:lastRenderedPageBreak/>
        <w:t>十一、基金的投资</w:t>
      </w:r>
      <w:bookmarkEnd w:id="51"/>
      <w:bookmarkEnd w:id="52"/>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53" w:name="_Toc332373524"/>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投资目标</w:t>
      </w:r>
      <w:bookmarkEnd w:id="53"/>
    </w:p>
    <w:p w:rsidR="00A76643" w:rsidRPr="001B5B45" w:rsidRDefault="00A76643" w:rsidP="006C3CF2">
      <w:pPr>
        <w:spacing w:line="360" w:lineRule="auto"/>
        <w:ind w:firstLineChars="200" w:firstLine="420"/>
        <w:rPr>
          <w:rStyle w:val="da"/>
          <w:rFonts w:asciiTheme="minorEastAsia" w:eastAsiaTheme="minorEastAsia" w:hAnsiTheme="minorEastAsia"/>
        </w:rPr>
      </w:pPr>
      <w:bookmarkStart w:id="54" w:name="_Toc332373525"/>
      <w:r w:rsidRPr="001B5B45">
        <w:rPr>
          <w:rStyle w:val="da"/>
          <w:rFonts w:asciiTheme="minorEastAsia" w:eastAsiaTheme="minorEastAsia" w:hAnsiTheme="minorEastAsia"/>
        </w:rPr>
        <w:t>本基金在控制风险的前提下，追求超越业绩比较基准的投资回报。</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9648D4"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投资范围</w:t>
      </w:r>
      <w:bookmarkEnd w:id="54"/>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的投资范围包括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银行存款、同业存单、权证、股指期货、国债期货、股票期权及法律法规或中国证监会允许基金投资的其他金融工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如法律法规或监管机构以后允许基金投资其他品种，管理人在履行适当程序后，本基金可将其纳入投资范围。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基金的投资组合比例为：</w:t>
      </w:r>
    </w:p>
    <w:p w:rsidR="00A74943" w:rsidRPr="001B5B45" w:rsidRDefault="00A76643" w:rsidP="006C3CF2">
      <w:pPr>
        <w:spacing w:line="360" w:lineRule="auto"/>
        <w:ind w:firstLineChars="200" w:firstLine="420"/>
        <w:rPr>
          <w:rStyle w:val="da"/>
          <w:rFonts w:asciiTheme="minorEastAsia" w:eastAsiaTheme="minorEastAsia" w:hAnsiTheme="minorEastAsia"/>
        </w:rPr>
      </w:pPr>
      <w:bookmarkStart w:id="55" w:name="_Toc332373526"/>
      <w:r w:rsidRPr="001B5B45">
        <w:rPr>
          <w:rStyle w:val="da"/>
          <w:rFonts w:asciiTheme="minorEastAsia" w:eastAsiaTheme="minorEastAsia" w:hAnsiTheme="minorEastAsia"/>
        </w:rPr>
        <w:t>本基金股票资产占基金资产的比例为0%—95%，扣除股指期货、国债期货合约需缴纳的交易保证金后，保持不低于基金资产净值5％的现金或者到期日在一年以内的政府债券</w:t>
      </w:r>
      <w:r w:rsidR="00753F8C" w:rsidRPr="001B5B45">
        <w:rPr>
          <w:rStyle w:val="da"/>
          <w:rFonts w:asciiTheme="minorEastAsia" w:eastAsiaTheme="minorEastAsia" w:hAnsiTheme="minorEastAsia" w:hint="eastAsia"/>
        </w:rPr>
        <w:t>，现金不包括结算备付金、存出保证金、应收申购款等</w:t>
      </w:r>
      <w:r w:rsidRPr="001B5B45">
        <w:rPr>
          <w:rStyle w:val="da"/>
          <w:rFonts w:asciiTheme="minorEastAsia" w:eastAsiaTheme="minorEastAsia" w:hAnsiTheme="minorEastAsia"/>
        </w:rPr>
        <w:t>，权证、股指期货、国债期货、股票期权及其他金融工具的投资比例依照法律法规或监管机构的规定执行。本基金投资于供给改革主题相关资产的比例不低于非现金资产的80%。</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90469"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投资策略</w:t>
      </w:r>
      <w:bookmarkEnd w:id="55"/>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1、资产配置策略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本基金基于定量与定性相结合的宏观及市场分析，确定组合中股票、债券等资产类别的配置比例。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在资产配置中，本基金主要考虑：（1）国内外宏观经济走势，主要通过对GDP增速、工业增加值、物价水平、市场利率水平等宏观经济指标的分析，判断实体经济在经济周期中所处的阶段；（2）市场估值与流动性，紧密跟踪国内外市场整体估值变化，货币供应量增速变化及其对市场整体资金供求的可能影响；（3）政策因素，密切关注宏观经济与产业经济层面相关政策的政策导向及其变化对市场和相关产业的影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2、供给改革主题的界定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本基金界定的供给改革主题指“供给侧改革”，即从供给端、生产端出发，进行的经济结构调整，旨在扩大有效供给，提高供给结构适应性和灵活性，提高全要素生产率，使供给</w:t>
      </w:r>
      <w:r w:rsidRPr="001B5B45">
        <w:rPr>
          <w:rStyle w:val="da"/>
          <w:rFonts w:asciiTheme="minorEastAsia" w:eastAsiaTheme="minorEastAsia" w:hAnsiTheme="minorEastAsia"/>
        </w:rPr>
        <w:lastRenderedPageBreak/>
        <w:t>体系更好适应需求结构变化，提升经济增长的质量和效率。供给改革所涉及的改革范围广泛，包括财税金融改革、土地改革、国企改革、提高创新能力等一系列改革举措。从投资角度而言，供给改革倡导的新技术、新模式、新业态、新制度变革释放的创新红利和制度红利将带来一系列投资机会，同时，行业整合、淘汰落后产能、财税金融改革等改革举措的施行也将带来相关产业的投资机会。具体而言，本基金界定的与供给改革主题相关的产业和公司包括：</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（1）受益于创新红利和制度红利的相关产业和公司。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从产品和服务供给的角度，供给改革包含了对于应对社会出现的新需求所不断提升的相应的产品与服务的供给。从中国的生产力水平和经济结构与不断增长的社会需求之间的矛盾入手，供给改革提倡释放制度红利和创新红利，增加新的供给以解决上述矛盾，从而实现经济结构的升级转型。本基金将重点关注受益于创新红利和制度红利释放的相关产业和公司，一方面，本基金将以技术创新、产品创新、商业模式创新等为驱动的新兴产业以及利用新技术、新业态、新模式实现改造的产业和公司纳入供给改革主题相关的投资范畴；另一方面，本基金将受益于国企改革、土地改革、公用事业价格市场化改革、户籍制度改革、财税和金融改革等一系列经济、社会、政治改革举措的产业和公司纳入投资范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（2）受益于落后产能淘汰、产能优化重组的产业和公司。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从产能优化的角度，本基金将通过对各行业供给周期的研究，关注产能优化的过程和方式，跟踪行业的盈利变化，寻找其中蕴藏的投资机会。在产能优化的过程中，可能将涉及到产业整合、供给格局的变化、不良资产的处置以及相应的创新性金融安排、商品库存和交易方式的变化、企业效率的提升、政府财税等政策的变化等方面，本基金将重点关注与之相关并受益的产业和公司的投资机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此外，识别与供给改革主题相关的产业和公司的投资机会是个动态的过程，未来随着经济、技术的发展、政策变化以及产业结构的升级变迁，本基金将动态调整供给改革主题相关投资机会的范畴。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3、股票投资策略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（1）行业配置策略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与供给改革主题相关或受益的行业包括的内涵丰富，本基金将自上而下地综合考虑经济周期、产业发展规律、产业政策等因素，进行股票资产在各行业间的配置。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1）行业周期和发展前景</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本基金将密切关注国家相关产业政策、规划动态、行业的技术发展、创新程度，并结合</w:t>
      </w:r>
      <w:r w:rsidRPr="001B5B45">
        <w:rPr>
          <w:rStyle w:val="da"/>
          <w:rFonts w:asciiTheme="minorEastAsia" w:eastAsiaTheme="minorEastAsia" w:hAnsiTheme="minorEastAsia"/>
        </w:rPr>
        <w:lastRenderedPageBreak/>
        <w:t>行业数据持续跟踪、上下游产业链深入进行研究等方法，根据相关行业盈利水平的横向与纵向比较，适时对各行业景气度周期与行业未来盈利趋势进行研判。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2）行业竞争格局</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分析行业的技术壁垒和进入壁垒、行业内企业的财务状况以及盈利模式等因素，判断行业的竞争环境。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3）政策变化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本基金将动态跟踪国家财政与税收政策、产业政策、贸易政策、区域政策等政策的变化，分析国家政策对各相关行业的影响，配置受益于国家政策变化、盈利预期良好的行业。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（2）公司基本面分析</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在供给改革主题相关产业和公司识别的基础上，本基金将重点关注以下因素，对公司基本面进行分析，包括但不限于公司经营情况、盈利能力、财务状况、公司治理结构、管理团队情况、企业文化、信息披露情况等。</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（3）估值水平分析</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现模型（FCFF，FCFE）或股利贴现模型（DDM）等。</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（4）股票组合的构建与调整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在产业识别、基本面评价、估值水平分析等基础上进行股票组合的构建。当行业或公司不再符合本基金定义的条件，或行业、公司的基本面、股票的估值水平出现较大变化时，本基金将对股票组合适时进行调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4、债券投资策略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在券种选择上，本基金以长期利率趋势分析为基础，结合经济变化趋势、货币政策及不同债券品种的收益率水平、流动性和信用风险等因素，实施积极主动的债券投资管理。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随着国内债券市场的深入发展和结构性变迁，更多债券新品种和交易形式将增加债券投</w:t>
      </w:r>
      <w:r w:rsidRPr="001B5B45">
        <w:rPr>
          <w:rStyle w:val="da"/>
          <w:rFonts w:asciiTheme="minorEastAsia" w:eastAsiaTheme="minorEastAsia" w:hAnsiTheme="minorEastAsia"/>
        </w:rPr>
        <w:lastRenderedPageBreak/>
        <w:t>资盈利模式，本基金将密切跟踪市场动态变化，选择合适的介入机会，谋求高于市场平均水平的投资回报。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（2）证券公司短期公司债券投资策略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持本基金的流动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（3）中小企业私募债投资策略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本基金在控制信用风险的基础上，对中小企业私募债进行投资，主要采取分散化投资策略，控制个债持有比例。同时，紧密跟踪研究发债企业的基本面情况变化，并据此调整投资组合，控制投资风险。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（4）资产支持证券投资策略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5、衍生产品投资策略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（1）股指期货、国债期货投资策略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本基金将根据风险管理的原则，主要选择流动性好、交易活跃的股指期货、国债期货合约进行交易,以对冲投资组合的系统性风险、有效管理现金流量或降低建仓或调仓过程中的冲击成本等。</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（2）股票期权、权证投资策略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股票期权、权证为本基金辅助性投资工具。股票期权、权证的投资原则为有利于基金资产增值、控制下跌风险、实现保值和锁定收益。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6、为了更好地实现投资目标，在综合考虑预期风险、收益、流动性等因素的基础上，</w:t>
      </w:r>
      <w:r w:rsidRPr="001B5B45">
        <w:rPr>
          <w:rStyle w:val="da"/>
          <w:rFonts w:asciiTheme="minorEastAsia" w:eastAsiaTheme="minorEastAsia" w:hAnsiTheme="minorEastAsia"/>
        </w:rPr>
        <w:lastRenderedPageBreak/>
        <w:t>本基金可根据资产配置及流动性管理等需要参与融资业务。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在条件许可的情况下，基金管理人可根据相关法律法规，参与融券业务和转融通证券出借业务。</w:t>
      </w:r>
    </w:p>
    <w:p w:rsidR="003416A9" w:rsidRPr="001B5B45" w:rsidRDefault="005D57DD" w:rsidP="006C3CF2">
      <w:pPr>
        <w:spacing w:line="360" w:lineRule="auto"/>
        <w:ind w:firstLineChars="200" w:firstLine="420"/>
        <w:rPr>
          <w:rStyle w:val="da"/>
          <w:rFonts w:asciiTheme="minorEastAsia" w:eastAsiaTheme="minorEastAsia" w:hAnsiTheme="minorEastAsia"/>
        </w:rPr>
      </w:pPr>
      <w:bookmarkStart w:id="56" w:name="_Toc332373530"/>
      <w:bookmarkStart w:id="57" w:name="question3"/>
      <w:r w:rsidRPr="001B5B45">
        <w:rPr>
          <w:rStyle w:val="da"/>
          <w:rFonts w:asciiTheme="minorEastAsia" w:eastAsiaTheme="minorEastAsia" w:hAnsiTheme="minorEastAsia"/>
        </w:rPr>
        <w:t>7、未来，随着市场的发展和基金管理运作的需要，基金管理人可以在不改变投资目标的前提下，遵循法律法规的规定，相应调整或更新投资策略，并在招募说明书更新中公告。</w:t>
      </w:r>
    </w:p>
    <w:p w:rsidR="005044D0"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90469" w:rsidRPr="001B5B45">
        <w:rPr>
          <w:rStyle w:val="da"/>
          <w:rFonts w:asciiTheme="minorEastAsia" w:eastAsiaTheme="minorEastAsia" w:hAnsiTheme="minorEastAsia"/>
        </w:rPr>
        <w:t>四</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业绩比较基准</w:t>
      </w:r>
      <w:bookmarkEnd w:id="56"/>
    </w:p>
    <w:p w:rsidR="00A76643" w:rsidRPr="001B5B45" w:rsidRDefault="00A76643" w:rsidP="006C3CF2">
      <w:pPr>
        <w:spacing w:line="360" w:lineRule="auto"/>
        <w:ind w:firstLineChars="200" w:firstLine="420"/>
        <w:rPr>
          <w:rStyle w:val="da"/>
          <w:rFonts w:asciiTheme="minorEastAsia" w:eastAsiaTheme="minorEastAsia" w:hAnsiTheme="minorEastAsia"/>
        </w:rPr>
      </w:pPr>
      <w:bookmarkStart w:id="58" w:name="_Toc332373531"/>
      <w:bookmarkEnd w:id="57"/>
      <w:r w:rsidRPr="001B5B45">
        <w:rPr>
          <w:rStyle w:val="da"/>
          <w:rFonts w:asciiTheme="minorEastAsia" w:eastAsiaTheme="minorEastAsia" w:hAnsiTheme="minorEastAsia"/>
        </w:rPr>
        <w:t>沪深300指数收益率×65%+中债新综合财富指数收益率×35%</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本基金参考预期的大类资产配置和比例设定了本基金的业绩比较基准，本基金选定被市场广泛认同的沪深300指数作为股票部分的业绩比较基准，选择中债新综合财富指数作为固定收益类资产的业绩比较基准。</w:t>
      </w:r>
    </w:p>
    <w:p w:rsidR="00EF450A" w:rsidRPr="001B5B45" w:rsidRDefault="00EF450A"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本基金的业绩比较基准仅作为衡量本基金业绩的参照，不决定也不必然反映本基金的投资策略。</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90469" w:rsidRPr="001B5B45">
        <w:rPr>
          <w:rStyle w:val="da"/>
          <w:rFonts w:asciiTheme="minorEastAsia" w:eastAsiaTheme="minorEastAsia" w:hAnsiTheme="minorEastAsia"/>
        </w:rPr>
        <w:t>五</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风险收益特征</w:t>
      </w:r>
      <w:bookmarkEnd w:id="58"/>
    </w:p>
    <w:p w:rsidR="00A76643" w:rsidRPr="001B5B45" w:rsidRDefault="00A76643" w:rsidP="006C3CF2">
      <w:pPr>
        <w:spacing w:line="360" w:lineRule="auto"/>
        <w:ind w:firstLineChars="200" w:firstLine="420"/>
        <w:rPr>
          <w:rStyle w:val="da"/>
          <w:rFonts w:asciiTheme="minorEastAsia" w:eastAsiaTheme="minorEastAsia" w:hAnsiTheme="minorEastAsia"/>
        </w:rPr>
      </w:pPr>
      <w:bookmarkStart w:id="59" w:name="_Toc332373533"/>
      <w:r w:rsidRPr="001B5B45">
        <w:rPr>
          <w:rStyle w:val="da"/>
          <w:rFonts w:asciiTheme="minorEastAsia" w:eastAsiaTheme="minorEastAsia" w:hAnsiTheme="minorEastAsia"/>
        </w:rPr>
        <w:t>本基金为混合型基金，理论上其预期风险与预期收益水平低于股票型基金，高于债券型基金和货币市场基金。</w:t>
      </w:r>
    </w:p>
    <w:p w:rsidR="00BA4B87" w:rsidRPr="001B5B45" w:rsidRDefault="00802FD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008BD" w:rsidRPr="001B5B45">
        <w:rPr>
          <w:rStyle w:val="da"/>
          <w:rFonts w:asciiTheme="minorEastAsia" w:eastAsiaTheme="minorEastAsia" w:hAnsiTheme="minorEastAsia"/>
        </w:rPr>
        <w:t>六</w:t>
      </w:r>
      <w:r w:rsidR="002E1C38"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投资禁止行为与限制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1、禁止行为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为维护基金份额持有人的合法权益，基金财产不得用于下列投资或者活动：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（1）承销证券；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（2）违反规定向他人贷款或者提供担保；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（3）从事承担无限责任的投资；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（4）向其基金管理人、基金托管人出资；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（5）从事内幕交易、操纵证券交易价格及其他不正当的证券交易活动；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（6）法律、行政法规和中国证监会规定禁止的其他活动。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2、投资组合限制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基金的投资组合应遵循以下限制：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（1）本基金股票资产占基金资产的比例为0%-95%；非现金资产中不低于80%的资产将投资于供给改革主题相关的资产；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（2）扣除股指期货、国债期货合约需缴纳的交易保证金后，保持不低于基金资产净值5％的现金或者到期日在一年以内的政府债券</w:t>
      </w:r>
      <w:r w:rsidR="00753F8C" w:rsidRPr="001B5B45">
        <w:rPr>
          <w:rStyle w:val="da"/>
          <w:rFonts w:asciiTheme="minorEastAsia" w:eastAsiaTheme="minorEastAsia" w:hAnsiTheme="minorEastAsia" w:hint="eastAsia"/>
        </w:rPr>
        <w:t>，现金不包括结算备付金、存出保证金、应收申购款等</w:t>
      </w:r>
      <w:r w:rsidRPr="001B5B45">
        <w:rPr>
          <w:rStyle w:val="da"/>
          <w:rFonts w:asciiTheme="minorEastAsia" w:eastAsiaTheme="minorEastAsia" w:hAnsiTheme="minorEastAsia"/>
        </w:rPr>
        <w:t>；</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（3）本基金持有一家公司发行的证券，其市值不超过基金资产净值的10％；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（4）本基金管理人管理的全部基金持有一家公司发行的证券，不超过该证券的10％；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（5）本基金持有的全部权证，其市值不得超过基金资产净值的3％；</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（6）本基金管理人管理的全部基金持有的同一权证，不得超过该权证的10％；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（7）本基金在任何交易日买入权证的总金额，不得超过上一交易日基金资产净值的0.5％；</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（8）本基金投资于同一原始权益人的各类资产支持证券的比例，不得超过基金资产净值的10％；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（9）本基金持有的全部资产支持证券，其市值不得超过基金资产净值的20％；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（10）本基金持有的同一（指同一信用级别）资产支持证券的比例，不得超过该资产支持证券规模的10％；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（11）本基金管理人管理的全部基金投资于同一原始权益人的各类资产支持证券，不得超过其各类资产支持证券合计规模的10％；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（12）本基金应投资于信用级别评级为BBB以上（含BBB）的资产支持证券。基金持有资产支持证券期间，如果其信用等级下降、不再符合投资标准，应在评级报告发布之日起3个月内予以全部卖出；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（13）基金财产参与股票发行申购，本基金所申报的金额不超过本基金的总资产，本基金所申报的股票数量不超过拟发行股票公司本次发行股票的总量；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（14）本基金进入全国银行间同业市场进行债券回购的资金余额不得超过基金资产净值的40%；在全国银行间同业市场的债券回购最长期限为1年，债券回购到期后不得展期；</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（15）本基金总资产不得超过基金净资产的140%；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（16）本基金在任何交易日日终，持有的买入股指期货合约价值不得超过基金资产净值的10%；在任何交易日日终，持有的买入国债期货和股指期货合约价值与有价证券市值之和，</w:t>
      </w:r>
      <w:r w:rsidRPr="001B5B45">
        <w:rPr>
          <w:rStyle w:val="da"/>
          <w:rFonts w:asciiTheme="minorEastAsia" w:eastAsiaTheme="minorEastAsia" w:hAnsiTheme="minorEastAsia"/>
        </w:rPr>
        <w:lastRenderedPageBreak/>
        <w:t>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17）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（19）基金参与融资业务后，在任何交易日日终，持有的融资买入股票与其他有价证券市值之和，不得超过基金资产净值的95%；</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20</w:t>
      </w:r>
      <w:r w:rsidRPr="001B5B45">
        <w:rPr>
          <w:rStyle w:val="da"/>
          <w:rFonts w:asciiTheme="minorEastAsia" w:eastAsiaTheme="minorEastAsia" w:hAnsiTheme="minorEastAsia" w:hint="eastAsia"/>
        </w:rPr>
        <w:t>）本基金管理人管理的全部开放式基金持有一家上市公司发行的可流通股票，不得超过该上市公司可流通股票的</w:t>
      </w:r>
      <w:r w:rsidRPr="001B5B45">
        <w:rPr>
          <w:rStyle w:val="da"/>
          <w:rFonts w:asciiTheme="minorEastAsia" w:eastAsiaTheme="minorEastAsia" w:hAnsiTheme="minorEastAsia"/>
        </w:rPr>
        <w:t>15%</w:t>
      </w:r>
      <w:r w:rsidRPr="001B5B45">
        <w:rPr>
          <w:rStyle w:val="da"/>
          <w:rFonts w:asciiTheme="minorEastAsia" w:eastAsiaTheme="minorEastAsia" w:hAnsiTheme="minorEastAsia" w:hint="eastAsia"/>
        </w:rPr>
        <w:t>；本基金管理人管理的全部投资组合持有一家上市公司发行的可流通股票，不得超过该上市公司可流通股票的</w:t>
      </w:r>
      <w:r w:rsidRPr="001B5B45">
        <w:rPr>
          <w:rStyle w:val="da"/>
          <w:rFonts w:asciiTheme="minorEastAsia" w:eastAsiaTheme="minorEastAsia" w:hAnsiTheme="minorEastAsia"/>
        </w:rPr>
        <w:t>30%</w:t>
      </w:r>
      <w:r w:rsidRPr="001B5B45">
        <w:rPr>
          <w:rStyle w:val="da"/>
          <w:rFonts w:asciiTheme="minorEastAsia" w:eastAsiaTheme="minorEastAsia" w:hAnsiTheme="minorEastAsia" w:hint="eastAsia"/>
        </w:rPr>
        <w:t>。</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21</w:t>
      </w:r>
      <w:r w:rsidRPr="001B5B45">
        <w:rPr>
          <w:rStyle w:val="da"/>
          <w:rFonts w:asciiTheme="minorEastAsia" w:eastAsiaTheme="minorEastAsia" w:hAnsiTheme="minorEastAsia" w:hint="eastAsia"/>
        </w:rPr>
        <w:t>）本基金主动投资于流动性受限资产的市值合计不得超过该基金资产净值的</w:t>
      </w:r>
      <w:r w:rsidRPr="001B5B45">
        <w:rPr>
          <w:rStyle w:val="da"/>
          <w:rFonts w:asciiTheme="minorEastAsia" w:eastAsiaTheme="minorEastAsia" w:hAnsiTheme="minorEastAsia"/>
        </w:rPr>
        <w:t>15%</w:t>
      </w:r>
      <w:r w:rsidRPr="001B5B45">
        <w:rPr>
          <w:rStyle w:val="da"/>
          <w:rFonts w:asciiTheme="minorEastAsia" w:eastAsiaTheme="minorEastAsia" w:hAnsiTheme="minorEastAsia" w:hint="eastAsia"/>
        </w:rPr>
        <w:t>。</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22</w:t>
      </w:r>
      <w:r w:rsidRPr="001B5B45">
        <w:rPr>
          <w:rStyle w:val="da"/>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23</w:t>
      </w:r>
      <w:r w:rsidRPr="001B5B45">
        <w:rPr>
          <w:rStyle w:val="da"/>
          <w:rFonts w:asciiTheme="minorEastAsia" w:eastAsiaTheme="minorEastAsia" w:hAnsiTheme="minorEastAsia" w:hint="eastAsia"/>
        </w:rPr>
        <w:t>）</w:t>
      </w:r>
      <w:r w:rsidR="00D86678" w:rsidRPr="001B5B45">
        <w:rPr>
          <w:rStyle w:val="da"/>
          <w:rFonts w:asciiTheme="minorEastAsia" w:eastAsiaTheme="minorEastAsia" w:hAnsiTheme="minorEastAsia"/>
        </w:rPr>
        <w:t>法律法规及中国证监会规定的其他投资比例限制。</w:t>
      </w:r>
    </w:p>
    <w:p w:rsidR="00E37233"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除上述（</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12</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13</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21</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22</w:t>
      </w:r>
      <w:r w:rsidRPr="001B5B45">
        <w:rPr>
          <w:rStyle w:val="da"/>
          <w:rFonts w:asciiTheme="minorEastAsia" w:eastAsiaTheme="minorEastAsia" w:hAnsiTheme="minorEastAsia" w:hint="eastAsia"/>
        </w:rPr>
        <w:t>）以外，</w:t>
      </w:r>
      <w:r w:rsidR="00D86678" w:rsidRPr="001B5B45">
        <w:rPr>
          <w:rStyle w:val="da"/>
          <w:rFonts w:asciiTheme="minorEastAsia" w:eastAsiaTheme="minorEastAsia" w:hAnsiTheme="minorEastAsia"/>
        </w:rPr>
        <w:t>因证券市场波动、证券发行人合并、基</w:t>
      </w:r>
      <w:r w:rsidR="00D86678" w:rsidRPr="001B5B45">
        <w:rPr>
          <w:rStyle w:val="da"/>
          <w:rFonts w:asciiTheme="minorEastAsia" w:eastAsiaTheme="minorEastAsia" w:hAnsiTheme="minorEastAsia"/>
        </w:rPr>
        <w:lastRenderedPageBreak/>
        <w:t>金规模变动等基金管理人之外的因素致使基金投资比例不符合上述规定投资比例的，基金管理人应当在10个交易日内进行调整，但中国证监会规定的特殊情形除外。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应当自基金合同生效之日起6个月内使基金的投资组合比例符合基金合同的有关约定。上述期间，基金的投资范围、投资策略应当符合基金合同的约定。基金托管人对基金的投资的监督与检查自基金合同生效之日起开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1B71AC" w:rsidRPr="001B5B45" w:rsidRDefault="00A76643" w:rsidP="006C3CF2">
      <w:pPr>
        <w:spacing w:line="360" w:lineRule="auto"/>
        <w:ind w:firstLineChars="200" w:firstLine="420"/>
        <w:rPr>
          <w:rStyle w:val="da"/>
          <w:rFonts w:asciiTheme="minorEastAsia" w:eastAsiaTheme="minorEastAsia" w:hAnsiTheme="minorEastAsia"/>
        </w:rPr>
      </w:pPr>
      <w:bookmarkStart w:id="60" w:name="_Toc332373535"/>
      <w:bookmarkEnd w:id="59"/>
      <w:r w:rsidRPr="001B5B45">
        <w:rPr>
          <w:rStyle w:val="da"/>
          <w:rFonts w:asciiTheme="minorEastAsia" w:eastAsiaTheme="minorEastAsia" w:hAnsiTheme="minorEastAsia"/>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bookmarkStart w:id="61" w:name="_Toc332373536"/>
      <w:bookmarkEnd w:id="60"/>
    </w:p>
    <w:p w:rsidR="00AB5B95"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bookmarkStart w:id="62" w:name="_Toc332373537"/>
      <w:bookmarkEnd w:id="61"/>
      <w:r w:rsidR="00AB5B95" w:rsidRPr="001B5B45">
        <w:rPr>
          <w:rStyle w:val="da"/>
          <w:rFonts w:asciiTheme="minorEastAsia" w:eastAsiaTheme="minorEastAsia" w:hAnsiTheme="minorEastAsia" w:hint="eastAsia"/>
        </w:rPr>
        <w:t>七</w:t>
      </w:r>
      <w:r w:rsidR="00AB5B95" w:rsidRPr="001B5B45">
        <w:rPr>
          <w:rStyle w:val="da"/>
          <w:rFonts w:asciiTheme="minorEastAsia" w:eastAsiaTheme="minorEastAsia" w:hAnsiTheme="minorEastAsia"/>
        </w:rPr>
        <w:t>）基金管理人代表基金行使所投资证券产生权利的处理原则及方法</w:t>
      </w:r>
    </w:p>
    <w:bookmarkEnd w:id="62"/>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1、有利于基金资产的安全与增值。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2、基金管理人按照国家有关规定代表基金独立行使债权人或股东权利，保护基金份额持有人的利益。</w:t>
      </w:r>
    </w:p>
    <w:p w:rsidR="003F1E3F" w:rsidRPr="001B5B45" w:rsidRDefault="00A7664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3、不通过关联交易为自身、雇员、授权代理人或任何存在利害关系的第三人牟取任何不当利益。</w:t>
      </w:r>
    </w:p>
    <w:p w:rsidR="007A6AF4" w:rsidRPr="001B5B45" w:rsidRDefault="00AB5B95" w:rsidP="006C3CF2">
      <w:pPr>
        <w:spacing w:line="360" w:lineRule="auto"/>
        <w:ind w:firstLineChars="200" w:firstLine="420"/>
        <w:rPr>
          <w:rStyle w:val="da"/>
          <w:rFonts w:asciiTheme="minorEastAsia" w:eastAsiaTheme="minorEastAsia" w:hAnsiTheme="minorEastAsia"/>
        </w:rPr>
      </w:pPr>
      <w:bookmarkStart w:id="63" w:name="_Toc390433598"/>
      <w:r w:rsidRPr="001B5B45">
        <w:rPr>
          <w:rStyle w:val="da"/>
          <w:rFonts w:asciiTheme="minorEastAsia" w:eastAsiaTheme="minorEastAsia" w:hAnsiTheme="minorEastAsia"/>
        </w:rPr>
        <w:t>（</w:t>
      </w:r>
      <w:r w:rsidRPr="001B5B45">
        <w:rPr>
          <w:rStyle w:val="da"/>
          <w:rFonts w:asciiTheme="minorEastAsia" w:eastAsiaTheme="minorEastAsia" w:hAnsiTheme="minorEastAsia" w:hint="eastAsia"/>
        </w:rPr>
        <w:t>八</w:t>
      </w:r>
      <w:r w:rsidR="007A6AF4" w:rsidRPr="001B5B45">
        <w:rPr>
          <w:rStyle w:val="da"/>
          <w:rFonts w:asciiTheme="minorEastAsia" w:eastAsiaTheme="minorEastAsia" w:hAnsiTheme="minorEastAsia"/>
        </w:rPr>
        <w:t>）基金投资组合报告（未经审计）</w:t>
      </w:r>
      <w:bookmarkEnd w:id="63"/>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本基金管理人的董事会及董事保证本报告所载资料不存在虚假记载、误导性陈述或重大遗漏，并对其内容的真实性、准确性和完整性承担个别及连带责任。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本基金的托管人中国银行股份有限公司根据本基金合同的规定，复核了本报告的内容，保证复核内容不存在虚假记载、误导性陈述或者重大遗漏。</w:t>
      </w:r>
    </w:p>
    <w:p w:rsidR="00F35680" w:rsidRPr="001B5B45" w:rsidRDefault="00213CB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本投资组合报告有关数据的期间为2020年1月1日至2020年3月31日</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1、报告期末基金资产组合情况</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3"/>
        <w:gridCol w:w="2666"/>
        <w:gridCol w:w="1661"/>
      </w:tblGrid>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lastRenderedPageBreak/>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占基金总资产的比例（%）</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50,298,683.97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72.39</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50,298,683.97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72.39</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3</w:t>
            </w:r>
          </w:p>
        </w:tc>
        <w:tc>
          <w:tcPr>
            <w:tcW w:w="3357" w:type="dxa"/>
            <w:tcBorders>
              <w:top w:val="single" w:sz="4" w:space="0" w:color="auto"/>
              <w:left w:val="single" w:sz="4" w:space="0" w:color="auto"/>
              <w:bottom w:val="single" w:sz="4" w:space="0" w:color="auto"/>
              <w:right w:val="single" w:sz="4" w:space="0" w:color="auto"/>
            </w:tcBorders>
            <w:hideMark/>
          </w:tcPr>
          <w:p w:rsidR="00213CB9" w:rsidRPr="001B5B45" w:rsidRDefault="00213CB9">
            <w:pPr>
              <w:spacing w:before="29" w:line="300" w:lineRule="auto"/>
              <w:ind w:leftChars="50" w:left="105"/>
              <w:rPr>
                <w:rFonts w:asciiTheme="minorEastAsia" w:eastAsiaTheme="minorEastAsia" w:hAnsiTheme="minorEastAsia"/>
                <w:kern w:val="0"/>
              </w:rPr>
            </w:pPr>
            <w:r w:rsidRPr="001B5B45">
              <w:rPr>
                <w:rFonts w:asciiTheme="minorEastAsia" w:eastAsiaTheme="minorEastAsia" w:hAnsiTheme="minorEastAsia" w:hint="eastAsia"/>
                <w:kern w:val="0"/>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pPr>
              <w:spacing w:before="29" w:line="300" w:lineRule="auto"/>
              <w:ind w:left="17"/>
              <w:jc w:val="center"/>
              <w:rPr>
                <w:rFonts w:asciiTheme="minorEastAsia" w:eastAsiaTheme="minorEastAsia" w:hAnsiTheme="minorEastAsia"/>
                <w:kern w:val="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left"/>
              <w:rPr>
                <w:rFonts w:asciiTheme="minorEastAsia" w:eastAsiaTheme="minorEastAsia" w:hAnsiTheme="minorEastAsia"/>
                <w:kern w:val="0"/>
              </w:rPr>
            </w:pPr>
            <w:r w:rsidRPr="001B5B45">
              <w:rPr>
                <w:rFonts w:asciiTheme="minorEastAsia" w:eastAsiaTheme="minorEastAsia" w:hAnsiTheme="minorEastAsia" w:hint="eastAsia"/>
                <w:kern w:val="0"/>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18,595,701.31</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right"/>
              <w:rPr>
                <w:rFonts w:asciiTheme="minorEastAsia" w:eastAsiaTheme="minorEastAsia" w:hAnsiTheme="minorEastAsia"/>
                <w:kern w:val="0"/>
              </w:rPr>
            </w:pPr>
            <w:r w:rsidRPr="001B5B45">
              <w:rPr>
                <w:rFonts w:asciiTheme="minorEastAsia" w:eastAsiaTheme="minorEastAsia" w:hAnsiTheme="minorEastAsia" w:hint="eastAsia"/>
                <w:kern w:val="0"/>
              </w:rPr>
              <w:t>26.76</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left"/>
              <w:rPr>
                <w:rFonts w:asciiTheme="minorEastAsia" w:eastAsiaTheme="minorEastAsia" w:hAnsiTheme="minorEastAsia"/>
                <w:kern w:val="0"/>
              </w:rPr>
            </w:pPr>
            <w:r w:rsidRPr="001B5B45">
              <w:rPr>
                <w:rFonts w:asciiTheme="minorEastAsia" w:eastAsiaTheme="minorEastAsia" w:hAnsiTheme="minorEastAsia" w:hint="eastAsia"/>
                <w:kern w:val="0"/>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585,900.92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0.84</w:t>
            </w:r>
          </w:p>
        </w:tc>
      </w:tr>
      <w:tr w:rsidR="00213CB9" w:rsidRPr="001B5B45" w:rsidTr="00213CB9">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left"/>
              <w:rPr>
                <w:rFonts w:asciiTheme="minorEastAsia" w:eastAsiaTheme="minorEastAsia" w:hAnsiTheme="minorEastAsia"/>
                <w:kern w:val="0"/>
              </w:rPr>
            </w:pPr>
            <w:r w:rsidRPr="001B5B45">
              <w:rPr>
                <w:rFonts w:asciiTheme="minorEastAsia" w:eastAsiaTheme="minorEastAsia" w:hAnsiTheme="minorEastAsia" w:hint="eastAsia"/>
                <w:kern w:val="0"/>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69,480,286.20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100.00</w:t>
            </w:r>
          </w:p>
        </w:tc>
      </w:tr>
    </w:tbl>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2、报告期末按行业分类的股票投资组合</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（1）报告期末按行业分类的境内股票投资组合</w:t>
      </w:r>
    </w:p>
    <w:tbl>
      <w:tblPr>
        <w:tblW w:w="79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8"/>
        <w:gridCol w:w="3222"/>
        <w:gridCol w:w="2705"/>
        <w:gridCol w:w="1420"/>
      </w:tblGrid>
      <w:tr w:rsidR="00213CB9" w:rsidRPr="001B5B45" w:rsidTr="00213CB9">
        <w:trPr>
          <w:trHeight w:val="39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占基金资产净值比例（％）</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p w:rsidR="00213CB9" w:rsidRPr="001B5B45" w:rsidRDefault="00213CB9">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p w:rsidR="00213CB9" w:rsidRPr="001B5B45" w:rsidRDefault="00213CB9">
            <w:pPr>
              <w:spacing w:line="300" w:lineRule="auto"/>
              <w:jc w:val="right"/>
              <w:rPr>
                <w:rFonts w:asciiTheme="minorEastAsia" w:eastAsiaTheme="minorEastAsia" w:hAnsiTheme="minorEastAsia"/>
                <w:kern w:val="0"/>
              </w:rPr>
            </w:pP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50,261,983.68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73.37</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0.03</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0.03</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adjustRightInd w:val="0"/>
              <w:snapToGrid w:val="0"/>
              <w:spacing w:line="300" w:lineRule="auto"/>
              <w:jc w:val="center"/>
              <w:rPr>
                <w:rFonts w:asciiTheme="minorEastAsia" w:eastAsiaTheme="minorEastAsia" w:hAnsiTheme="minorEastAsia"/>
                <w:kern w:val="0"/>
              </w:rPr>
            </w:pPr>
            <w:r w:rsidRPr="001B5B45">
              <w:rPr>
                <w:rFonts w:asciiTheme="minorEastAsia" w:eastAsiaTheme="minorEastAsia" w:hAnsiTheme="minorEastAsia" w:hint="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213CB9" w:rsidRPr="001B5B45" w:rsidTr="00213CB9">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13CB9" w:rsidRPr="001B5B45" w:rsidRDefault="00213CB9">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213CB9" w:rsidRPr="001B5B45" w:rsidRDefault="00213CB9">
            <w:pPr>
              <w:adjustRightInd w:val="0"/>
              <w:snapToGrid w:val="0"/>
              <w:spacing w:line="300" w:lineRule="auto"/>
              <w:rPr>
                <w:rFonts w:asciiTheme="minorEastAsia" w:eastAsiaTheme="minorEastAsia" w:hAnsiTheme="minorEastAsia"/>
                <w:kern w:val="0"/>
              </w:rPr>
            </w:pPr>
            <w:r w:rsidRPr="001B5B45">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50,298,683.97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13CB9" w:rsidRPr="001B5B45" w:rsidRDefault="00213CB9">
            <w:pPr>
              <w:spacing w:line="300" w:lineRule="auto"/>
              <w:jc w:val="right"/>
              <w:rPr>
                <w:rFonts w:asciiTheme="minorEastAsia" w:eastAsiaTheme="minorEastAsia" w:hAnsiTheme="minorEastAsia"/>
                <w:kern w:val="0"/>
              </w:rPr>
            </w:pPr>
            <w:r w:rsidRPr="001B5B45">
              <w:rPr>
                <w:rFonts w:asciiTheme="minorEastAsia" w:eastAsiaTheme="minorEastAsia" w:hAnsiTheme="minorEastAsia" w:hint="eastAsia"/>
                <w:kern w:val="0"/>
              </w:rPr>
              <w:t>73.43</w:t>
            </w:r>
          </w:p>
        </w:tc>
      </w:tr>
    </w:tbl>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3、报告期末按公允价值占基金资产净值比例大小排序的前十名股票投资明细</w:t>
      </w:r>
    </w:p>
    <w:tbl>
      <w:tblPr>
        <w:tblW w:w="7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1164"/>
        <w:gridCol w:w="1291"/>
        <w:gridCol w:w="1543"/>
        <w:gridCol w:w="1796"/>
        <w:gridCol w:w="1417"/>
      </w:tblGrid>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股票代码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股票名称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数量（股）</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占基金资产净值比例（％）</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szCs w:val="22"/>
              </w:rPr>
            </w:pPr>
            <w:r w:rsidRPr="001B5B45">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600486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扬农化工</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76,975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5,188,884.75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7.57</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002734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利民股份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239,600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3,922,252.00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5.73</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603378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亚士创能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137,000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3,794,900.00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5.54</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002597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金禾实业</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172,500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3,491,400.00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5.10</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002258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利尔化学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214,600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3,158,912.00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4.61</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000902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新洋丰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371,300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3,011,243.00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4.40</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603033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三维股份</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62,800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1,604,540.00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2.34</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603916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苏博特</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72,400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1,432,072.00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2.09</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600873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梅花生物</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315,600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1,391,796.00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2.03</w:t>
            </w:r>
          </w:p>
        </w:tc>
      </w:tr>
      <w:tr w:rsidR="00213CB9" w:rsidRPr="001B5B45" w:rsidTr="00213CB9">
        <w:tc>
          <w:tcPr>
            <w:tcW w:w="85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600309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center"/>
              <w:rPr>
                <w:rFonts w:asciiTheme="minorEastAsia" w:eastAsiaTheme="minorEastAsia" w:hAnsiTheme="minorEastAsia"/>
              </w:rPr>
            </w:pPr>
            <w:r w:rsidRPr="001B5B45">
              <w:rPr>
                <w:rFonts w:asciiTheme="minorEastAsia" w:eastAsiaTheme="minorEastAsia" w:hAnsiTheme="minorEastAsia" w:hint="eastAsia"/>
                <w:kern w:val="0"/>
              </w:rPr>
              <w:t>万华化学</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33,100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1,365,375.00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spacing w:line="300" w:lineRule="auto"/>
              <w:jc w:val="right"/>
              <w:rPr>
                <w:rFonts w:asciiTheme="minorEastAsia" w:eastAsiaTheme="minorEastAsia" w:hAnsiTheme="minorEastAsia"/>
              </w:rPr>
            </w:pPr>
            <w:r w:rsidRPr="001B5B45">
              <w:rPr>
                <w:rFonts w:asciiTheme="minorEastAsia" w:eastAsiaTheme="minorEastAsia" w:hAnsiTheme="minorEastAsia" w:hint="eastAsia"/>
                <w:kern w:val="0"/>
              </w:rPr>
              <w:t>1.99</w:t>
            </w:r>
          </w:p>
        </w:tc>
      </w:tr>
    </w:tbl>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4、报告期末按债券品种分类的债券投资组合</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本基金本报告期末未持有债券。</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5、报告期末按公允价值占基金资产净值比例大小排序的前五名债券投资明细</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本基金本报告期末未持有债券。</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6、报告期末按公允价值占基金资产净值比例大小排序的前十名资产支持证券投资明细</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本基金本报告期末未持有资产支持证券。</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7、报告期末按公允价值占基金资产净值比例大小排序的前五名贵金属投资明细</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本基金本报告期末未持有贵金属。</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8、报告期末按公允价值占基金资产净值比例大小排序的前五名权证投资明细</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本基金本报告期末未持有权证。</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9、报告期末本基金投资的股指期货交易情况说明</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本基金本报告期末未投资股指期货。</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10、报告期末本基金投资的国债期货交易情况说明</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本基金本报告期末未投资国债期货。</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11、投资组合报告附注</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（1）本基金投资的前十名证券的发行主体本期没有出现被监管部门立案调查，或在报告编制日前一年内受到公开谴责、处罚的情形。</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（2）本基金投资的前十名股票没有超出基金合同规定的备选股票库。</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（3）其他</w:t>
      </w:r>
      <w:r w:rsidR="00F90D96" w:rsidRPr="001B5B45">
        <w:rPr>
          <w:rFonts w:asciiTheme="minorEastAsia" w:eastAsiaTheme="minorEastAsia" w:hAnsiTheme="minorEastAsia" w:hint="eastAsia"/>
          <w:szCs w:val="21"/>
        </w:rPr>
        <w:t>各项</w:t>
      </w:r>
      <w:r w:rsidRPr="001B5B45">
        <w:rPr>
          <w:rStyle w:val="da"/>
          <w:rFonts w:asciiTheme="minorEastAsia" w:eastAsiaTheme="minorEastAsia" w:hAnsiTheme="minorEastAsia" w:hint="eastAsia"/>
        </w:rPr>
        <w:t>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2306"/>
        <w:gridCol w:w="4523"/>
      </w:tblGrid>
      <w:tr w:rsidR="00213CB9"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序号</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7"/>
              <w:jc w:val="center"/>
              <w:rPr>
                <w:rFonts w:asciiTheme="minorEastAsia" w:eastAsiaTheme="minorEastAsia" w:hAnsiTheme="minorEastAsia"/>
                <w:kern w:val="0"/>
              </w:rPr>
            </w:pPr>
            <w:r w:rsidRPr="001B5B45">
              <w:rPr>
                <w:rFonts w:asciiTheme="minorEastAsia" w:eastAsiaTheme="minorEastAsia" w:hAnsiTheme="minorEastAsia" w:hint="eastAsia"/>
                <w:kern w:val="0"/>
              </w:rPr>
              <w:t>金额（元）</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1</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14,762.16</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2</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3</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4</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3,685.42</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5</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567,453.34</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6</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7</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1B5B45"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8</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w:t>
            </w:r>
          </w:p>
        </w:tc>
      </w:tr>
      <w:tr w:rsidR="0006546A" w:rsidRPr="001B5B45" w:rsidTr="00213CB9">
        <w:tc>
          <w:tcPr>
            <w:tcW w:w="1235"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center"/>
              <w:rPr>
                <w:rFonts w:asciiTheme="minorEastAsia" w:eastAsiaTheme="minorEastAsia" w:hAnsiTheme="minorEastAsia"/>
                <w:kern w:val="0"/>
              </w:rPr>
            </w:pPr>
            <w:r w:rsidRPr="001B5B45">
              <w:rPr>
                <w:rFonts w:asciiTheme="minorEastAsia" w:eastAsiaTheme="minorEastAsia" w:hAnsiTheme="minorEastAsia" w:hint="eastAsia"/>
                <w:kern w:val="0"/>
              </w:rPr>
              <w:t>9</w:t>
            </w:r>
          </w:p>
        </w:tc>
        <w:tc>
          <w:tcPr>
            <w:tcW w:w="2470"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left"/>
              <w:rPr>
                <w:rFonts w:asciiTheme="minorEastAsia" w:eastAsiaTheme="minorEastAsia" w:hAnsiTheme="minorEastAsia"/>
                <w:kern w:val="0"/>
              </w:rPr>
            </w:pPr>
            <w:r w:rsidRPr="001B5B45">
              <w:rPr>
                <w:rFonts w:asciiTheme="minorEastAsia" w:eastAsiaTheme="minorEastAsia" w:hAnsiTheme="minorEastAsia" w:hint="eastAsia"/>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213CB9" w:rsidRPr="001B5B45" w:rsidRDefault="00213CB9">
            <w:pPr>
              <w:autoSpaceDE w:val="0"/>
              <w:autoSpaceDN w:val="0"/>
              <w:adjustRightInd w:val="0"/>
              <w:spacing w:before="29" w:line="300" w:lineRule="auto"/>
              <w:ind w:left="15"/>
              <w:jc w:val="right"/>
              <w:rPr>
                <w:rFonts w:asciiTheme="minorEastAsia" w:eastAsiaTheme="minorEastAsia" w:hAnsiTheme="minorEastAsia"/>
                <w:kern w:val="0"/>
              </w:rPr>
            </w:pPr>
            <w:r w:rsidRPr="001B5B45">
              <w:rPr>
                <w:rFonts w:asciiTheme="minorEastAsia" w:eastAsiaTheme="minorEastAsia" w:hAnsiTheme="minorEastAsia" w:hint="eastAsia"/>
                <w:kern w:val="0"/>
              </w:rPr>
              <w:t>585,900.92</w:t>
            </w:r>
          </w:p>
        </w:tc>
      </w:tr>
    </w:tbl>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（4）报告期末持有的处于转股期的可转换债券明细</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本基金本报告期末未持有处于转股期的可转换债券。</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（5）报告期末前十名股票中存在流通受限情况的说明</w:t>
      </w:r>
    </w:p>
    <w:p w:rsidR="00213CB9" w:rsidRPr="001B5B45" w:rsidRDefault="00213CB9"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本基金本报告期末前十名股票中不存在流通受限情况。</w:t>
      </w:r>
    </w:p>
    <w:p w:rsidR="009F5318" w:rsidRPr="001B5B45" w:rsidRDefault="009F5318" w:rsidP="0006546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br w:type="page"/>
      </w:r>
    </w:p>
    <w:p w:rsidR="00213CB9" w:rsidRPr="001B5B45" w:rsidRDefault="00213CB9" w:rsidP="00213CB9">
      <w:pPr>
        <w:spacing w:line="300" w:lineRule="auto"/>
        <w:rPr>
          <w:rFonts w:asciiTheme="minorEastAsia" w:eastAsiaTheme="minorEastAsia" w:hAnsiTheme="minorEastAsia"/>
          <w:szCs w:val="22"/>
        </w:rPr>
      </w:pPr>
    </w:p>
    <w:p w:rsidR="001C5C6E" w:rsidRPr="001B5B45" w:rsidRDefault="001C5C6E" w:rsidP="00CC1421">
      <w:pPr>
        <w:pStyle w:val="1"/>
        <w:snapToGrid w:val="0"/>
        <w:spacing w:beforeLines="0" w:afterLines="0" w:line="360" w:lineRule="auto"/>
        <w:ind w:firstLine="640"/>
        <w:rPr>
          <w:rFonts w:asciiTheme="minorEastAsia" w:eastAsiaTheme="minorEastAsia" w:hAnsiTheme="minorEastAsia"/>
        </w:rPr>
      </w:pPr>
      <w:bookmarkStart w:id="64" w:name="_Toc46927567"/>
      <w:r w:rsidRPr="001B5B45">
        <w:rPr>
          <w:rFonts w:asciiTheme="minorEastAsia" w:eastAsiaTheme="minorEastAsia" w:hAnsiTheme="minorEastAsia"/>
        </w:rPr>
        <w:t>十二、基金的业绩</w:t>
      </w:r>
      <w:bookmarkEnd w:id="64"/>
    </w:p>
    <w:p w:rsidR="001C5C6E" w:rsidRPr="001B5B45" w:rsidRDefault="00E471BA"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1C5C6E" w:rsidRPr="001B5B45" w:rsidRDefault="001C5C6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本基金合同生效日为</w:t>
      </w:r>
      <w:r w:rsidR="0044589F" w:rsidRPr="001B5B45">
        <w:rPr>
          <w:rStyle w:val="da"/>
          <w:rFonts w:asciiTheme="minorEastAsia" w:eastAsiaTheme="minorEastAsia" w:hAnsiTheme="minorEastAsia"/>
        </w:rPr>
        <w:t>2017年1月25日</w:t>
      </w:r>
      <w:r w:rsidRPr="001B5B45">
        <w:rPr>
          <w:rStyle w:val="da"/>
          <w:rFonts w:asciiTheme="minorEastAsia" w:eastAsiaTheme="minorEastAsia" w:hAnsiTheme="minorEastAsia"/>
        </w:rPr>
        <w:t>，</w:t>
      </w:r>
      <w:r w:rsidR="00213CB9" w:rsidRPr="001B5B45">
        <w:rPr>
          <w:rStyle w:val="da"/>
          <w:rFonts w:asciiTheme="minorEastAsia" w:eastAsiaTheme="minorEastAsia" w:hAnsiTheme="minorEastAsia"/>
        </w:rPr>
        <w:t>基金合同生效以来（截至</w:t>
      </w:r>
      <w:r w:rsidR="002F3648" w:rsidRPr="001B5B45">
        <w:rPr>
          <w:rStyle w:val="da"/>
          <w:rFonts w:asciiTheme="minorEastAsia" w:eastAsiaTheme="minorEastAsia" w:hAnsiTheme="minorEastAsia" w:hint="eastAsia"/>
        </w:rPr>
        <w:t>2020年6月30日</w:t>
      </w:r>
      <w:r w:rsidR="00213CB9" w:rsidRPr="001B5B45">
        <w:rPr>
          <w:rStyle w:val="da"/>
          <w:rFonts w:asciiTheme="minorEastAsia" w:eastAsiaTheme="minorEastAsia" w:hAnsiTheme="minorEastAsia"/>
        </w:rPr>
        <w:t>）的投资业绩及与同期基准的比较如下表所示</w:t>
      </w:r>
      <w:r w:rsidRPr="001B5B45">
        <w:rPr>
          <w:rStyle w:val="da"/>
          <w:rFonts w:asciiTheme="minorEastAsia" w:eastAsiaTheme="minorEastAsia" w:hAnsiTheme="minorEastAsia"/>
        </w:rPr>
        <w:t>：</w:t>
      </w:r>
    </w:p>
    <w:tbl>
      <w:tblPr>
        <w:tblStyle w:val="210"/>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332"/>
        <w:gridCol w:w="1440"/>
        <w:gridCol w:w="1260"/>
        <w:gridCol w:w="1260"/>
        <w:gridCol w:w="1260"/>
        <w:gridCol w:w="1080"/>
      </w:tblGrid>
      <w:tr w:rsidR="0006546A" w:rsidRPr="001B5B45" w:rsidTr="00BE3DDF">
        <w:trPr>
          <w:cnfStyle w:val="000000100000" w:firstRow="0" w:lastRow="0" w:firstColumn="0" w:lastColumn="0" w:oddVBand="0" w:evenVBand="0" w:oddHBand="1" w:evenHBand="0" w:firstRowFirstColumn="0" w:firstRowLastColumn="0" w:lastRowFirstColumn="0" w:lastRowLastColumn="0"/>
          <w:trHeight w:val="1128"/>
          <w:jc w:val="center"/>
        </w:trPr>
        <w:tc>
          <w:tcPr>
            <w:cnfStyle w:val="000010000000" w:firstRow="0" w:lastRow="0" w:firstColumn="0" w:lastColumn="0" w:oddVBand="1" w:evenVBand="0" w:oddHBand="0" w:evenHBand="0" w:firstRowFirstColumn="0" w:firstRowLastColumn="0" w:lastRowFirstColumn="0" w:lastRowLastColumn="0"/>
            <w:tcW w:w="2053" w:type="dxa"/>
          </w:tcPr>
          <w:p w:rsidR="00C3497E" w:rsidRPr="001B5B45" w:rsidRDefault="00C3497E" w:rsidP="0054490D">
            <w:pPr>
              <w:ind w:firstLineChars="100" w:firstLine="210"/>
              <w:jc w:val="center"/>
              <w:rPr>
                <w:rFonts w:asciiTheme="minorEastAsia" w:eastAsiaTheme="minorEastAsia" w:hAnsiTheme="minorEastAsia"/>
                <w:szCs w:val="21"/>
              </w:rPr>
            </w:pPr>
          </w:p>
          <w:p w:rsidR="00C3497E" w:rsidRPr="001B5B45" w:rsidRDefault="00C3497E" w:rsidP="0054490D">
            <w:pPr>
              <w:ind w:firstLineChars="300" w:firstLine="630"/>
              <w:rPr>
                <w:rFonts w:asciiTheme="minorEastAsia" w:eastAsiaTheme="minorEastAsia" w:hAnsiTheme="minorEastAsia"/>
                <w:szCs w:val="21"/>
              </w:rPr>
            </w:pPr>
            <w:r w:rsidRPr="001B5B45">
              <w:rPr>
                <w:rFonts w:asciiTheme="minorEastAsia" w:eastAsiaTheme="minorEastAsia" w:hAnsiTheme="minorEastAsia"/>
                <w:szCs w:val="21"/>
              </w:rPr>
              <w:t>阶段</w:t>
            </w:r>
          </w:p>
          <w:p w:rsidR="00C3497E" w:rsidRPr="001B5B45" w:rsidRDefault="00C3497E" w:rsidP="00997221">
            <w:pPr>
              <w:rPr>
                <w:rFonts w:asciiTheme="minorEastAsia" w:eastAsiaTheme="minorEastAsia" w:hAnsiTheme="minorEastAsia"/>
                <w:szCs w:val="21"/>
              </w:rPr>
            </w:pPr>
          </w:p>
        </w:tc>
        <w:tc>
          <w:tcPr>
            <w:cnfStyle w:val="000001000000" w:firstRow="0" w:lastRow="0" w:firstColumn="0" w:lastColumn="0" w:oddVBand="0" w:evenVBand="1" w:oddHBand="0" w:evenHBand="0" w:firstRowFirstColumn="0" w:firstRowLastColumn="0" w:lastRowFirstColumn="0" w:lastRowLastColumn="0"/>
            <w:tcW w:w="1332" w:type="dxa"/>
          </w:tcPr>
          <w:p w:rsidR="00C3497E" w:rsidRPr="001B5B45" w:rsidRDefault="00C3497E" w:rsidP="00997221">
            <w:pPr>
              <w:rPr>
                <w:rFonts w:asciiTheme="minorEastAsia" w:eastAsiaTheme="minorEastAsia" w:hAnsiTheme="minorEastAsia"/>
                <w:szCs w:val="21"/>
              </w:rPr>
            </w:pPr>
            <w:r w:rsidRPr="001B5B45">
              <w:rPr>
                <w:rFonts w:asciiTheme="minorEastAsia" w:eastAsiaTheme="minorEastAsia" w:hAnsiTheme="minorEastAsia"/>
                <w:szCs w:val="21"/>
              </w:rPr>
              <w:t>净值增长率(1)</w:t>
            </w:r>
          </w:p>
        </w:tc>
        <w:tc>
          <w:tcPr>
            <w:cnfStyle w:val="000010000000" w:firstRow="0" w:lastRow="0" w:firstColumn="0" w:lastColumn="0" w:oddVBand="1" w:evenVBand="0" w:oddHBand="0" w:evenHBand="0" w:firstRowFirstColumn="0" w:firstRowLastColumn="0" w:lastRowFirstColumn="0" w:lastRowLastColumn="0"/>
            <w:tcW w:w="1440" w:type="dxa"/>
          </w:tcPr>
          <w:p w:rsidR="00C3497E" w:rsidRPr="001B5B45" w:rsidRDefault="00C3497E" w:rsidP="00997221">
            <w:pPr>
              <w:rPr>
                <w:rFonts w:asciiTheme="minorEastAsia" w:eastAsiaTheme="minorEastAsia" w:hAnsiTheme="minorEastAsia"/>
                <w:szCs w:val="21"/>
              </w:rPr>
            </w:pPr>
            <w:r w:rsidRPr="001B5B45">
              <w:rPr>
                <w:rFonts w:asciiTheme="minorEastAsia" w:eastAsiaTheme="minorEastAsia" w:hAnsiTheme="minorEastAsia"/>
                <w:szCs w:val="21"/>
              </w:rPr>
              <w:t>净值增长率标准差(2)</w:t>
            </w:r>
          </w:p>
        </w:tc>
        <w:tc>
          <w:tcPr>
            <w:cnfStyle w:val="000001000000" w:firstRow="0" w:lastRow="0" w:firstColumn="0" w:lastColumn="0" w:oddVBand="0" w:evenVBand="1" w:oddHBand="0" w:evenHBand="0" w:firstRowFirstColumn="0" w:firstRowLastColumn="0" w:lastRowFirstColumn="0" w:lastRowLastColumn="0"/>
            <w:tcW w:w="1260" w:type="dxa"/>
          </w:tcPr>
          <w:p w:rsidR="00C3497E" w:rsidRPr="001B5B45" w:rsidRDefault="00C3497E" w:rsidP="00997221">
            <w:pPr>
              <w:rPr>
                <w:rFonts w:asciiTheme="minorEastAsia" w:eastAsiaTheme="minorEastAsia" w:hAnsiTheme="minorEastAsia"/>
                <w:szCs w:val="21"/>
              </w:rPr>
            </w:pPr>
            <w:r w:rsidRPr="001B5B45">
              <w:rPr>
                <w:rFonts w:asciiTheme="minorEastAsia" w:eastAsiaTheme="minorEastAsia" w:hAnsiTheme="minorEastAsia"/>
                <w:szCs w:val="21"/>
              </w:rPr>
              <w:t>业绩比较基准收益率(3)</w:t>
            </w:r>
          </w:p>
        </w:tc>
        <w:tc>
          <w:tcPr>
            <w:cnfStyle w:val="000010000000" w:firstRow="0" w:lastRow="0" w:firstColumn="0" w:lastColumn="0" w:oddVBand="1" w:evenVBand="0" w:oddHBand="0" w:evenHBand="0" w:firstRowFirstColumn="0" w:firstRowLastColumn="0" w:lastRowFirstColumn="0" w:lastRowLastColumn="0"/>
            <w:tcW w:w="1260" w:type="dxa"/>
          </w:tcPr>
          <w:p w:rsidR="00C3497E" w:rsidRPr="001B5B45" w:rsidRDefault="00C3497E" w:rsidP="00997221">
            <w:pPr>
              <w:rPr>
                <w:rFonts w:asciiTheme="minorEastAsia" w:eastAsiaTheme="minorEastAsia" w:hAnsiTheme="minorEastAsia"/>
                <w:szCs w:val="21"/>
              </w:rPr>
            </w:pPr>
            <w:r w:rsidRPr="001B5B45">
              <w:rPr>
                <w:rFonts w:asciiTheme="minorEastAsia" w:eastAsiaTheme="minorEastAsia" w:hAnsiTheme="minorEastAsia"/>
                <w:szCs w:val="21"/>
              </w:rPr>
              <w:t>业绩比较基准收益率标准差(4)</w:t>
            </w:r>
          </w:p>
        </w:tc>
        <w:tc>
          <w:tcPr>
            <w:cnfStyle w:val="000001000000" w:firstRow="0" w:lastRow="0" w:firstColumn="0" w:lastColumn="0" w:oddVBand="0" w:evenVBand="1" w:oddHBand="0" w:evenHBand="0" w:firstRowFirstColumn="0" w:firstRowLastColumn="0" w:lastRowFirstColumn="0" w:lastRowLastColumn="0"/>
            <w:tcW w:w="1260" w:type="dxa"/>
          </w:tcPr>
          <w:p w:rsidR="00C3497E" w:rsidRPr="001B5B45" w:rsidRDefault="00C3497E" w:rsidP="0054490D">
            <w:pPr>
              <w:ind w:firstLineChars="100" w:firstLine="210"/>
              <w:jc w:val="center"/>
              <w:rPr>
                <w:rFonts w:asciiTheme="minorEastAsia" w:eastAsiaTheme="minorEastAsia" w:hAnsiTheme="minorEastAsia"/>
                <w:szCs w:val="21"/>
              </w:rPr>
            </w:pPr>
          </w:p>
          <w:p w:rsidR="00C3497E" w:rsidRPr="001B5B45" w:rsidRDefault="00C3497E" w:rsidP="0054490D">
            <w:pPr>
              <w:ind w:firstLineChars="100" w:firstLine="210"/>
              <w:jc w:val="center"/>
              <w:rPr>
                <w:rFonts w:asciiTheme="minorEastAsia" w:eastAsiaTheme="minorEastAsia" w:hAnsiTheme="minorEastAsia"/>
                <w:szCs w:val="21"/>
              </w:rPr>
            </w:pPr>
            <w:r w:rsidRPr="001B5B45">
              <w:rPr>
                <w:rFonts w:asciiTheme="minorEastAsia" w:eastAsiaTheme="minorEastAsia" w:hAnsiTheme="minorEastAsia"/>
                <w:szCs w:val="21"/>
              </w:rPr>
              <w:t>(1)-(3)</w:t>
            </w:r>
          </w:p>
        </w:tc>
        <w:tc>
          <w:tcPr>
            <w:cnfStyle w:val="000010000000" w:firstRow="0" w:lastRow="0" w:firstColumn="0" w:lastColumn="0" w:oddVBand="1" w:evenVBand="0" w:oddHBand="0" w:evenHBand="0" w:firstRowFirstColumn="0" w:firstRowLastColumn="0" w:lastRowFirstColumn="0" w:lastRowLastColumn="0"/>
            <w:tcW w:w="1080" w:type="dxa"/>
          </w:tcPr>
          <w:p w:rsidR="00C3497E" w:rsidRPr="001B5B45" w:rsidRDefault="00C3497E" w:rsidP="0054490D">
            <w:pPr>
              <w:ind w:firstLineChars="100" w:firstLine="210"/>
              <w:jc w:val="center"/>
              <w:rPr>
                <w:rFonts w:asciiTheme="minorEastAsia" w:eastAsiaTheme="minorEastAsia" w:hAnsiTheme="minorEastAsia"/>
                <w:szCs w:val="21"/>
              </w:rPr>
            </w:pPr>
          </w:p>
          <w:p w:rsidR="00C3497E" w:rsidRPr="001B5B45" w:rsidRDefault="00C3497E" w:rsidP="0054490D">
            <w:pPr>
              <w:ind w:firstLineChars="100" w:firstLine="210"/>
              <w:jc w:val="center"/>
              <w:rPr>
                <w:rFonts w:asciiTheme="minorEastAsia" w:eastAsiaTheme="minorEastAsia" w:hAnsiTheme="minorEastAsia"/>
                <w:szCs w:val="21"/>
              </w:rPr>
            </w:pPr>
            <w:r w:rsidRPr="001B5B45">
              <w:rPr>
                <w:rFonts w:asciiTheme="minorEastAsia" w:eastAsiaTheme="minorEastAsia" w:hAnsiTheme="minorEastAsia"/>
                <w:szCs w:val="21"/>
              </w:rPr>
              <w:t>(2)-(4)</w:t>
            </w:r>
          </w:p>
        </w:tc>
      </w:tr>
      <w:tr w:rsidR="0006546A" w:rsidRPr="001B5B45" w:rsidTr="00BE3DDF">
        <w:trPr>
          <w:jc w:val="center"/>
        </w:trPr>
        <w:tc>
          <w:tcPr>
            <w:cnfStyle w:val="000010000000" w:firstRow="0" w:lastRow="0" w:firstColumn="0" w:lastColumn="0" w:oddVBand="1" w:evenVBand="0" w:oddHBand="0" w:evenHBand="0" w:firstRowFirstColumn="0" w:firstRowLastColumn="0" w:lastRowFirstColumn="0" w:lastRowLastColumn="0"/>
            <w:tcW w:w="2053" w:type="dxa"/>
          </w:tcPr>
          <w:p w:rsidR="00C11F79" w:rsidRPr="001B5B45" w:rsidRDefault="00C11F79" w:rsidP="00C11F79">
            <w:pPr>
              <w:jc w:val="left"/>
              <w:rPr>
                <w:rFonts w:asciiTheme="minorEastAsia" w:eastAsiaTheme="minorEastAsia" w:hAnsiTheme="minorEastAsia"/>
              </w:rPr>
            </w:pPr>
            <w:r w:rsidRPr="001B5B45">
              <w:rPr>
                <w:rFonts w:asciiTheme="minorEastAsia" w:eastAsiaTheme="minorEastAsia" w:hAnsiTheme="minorEastAsia" w:hint="eastAsia"/>
                <w:szCs w:val="18"/>
              </w:rPr>
              <w:t>自基金合同生效日至</w:t>
            </w:r>
            <w:r w:rsidR="00EA72EF" w:rsidRPr="001B5B45">
              <w:rPr>
                <w:rFonts w:asciiTheme="minorEastAsia" w:eastAsiaTheme="minorEastAsia" w:hAnsiTheme="minorEastAsia" w:hint="eastAsia"/>
                <w:szCs w:val="18"/>
              </w:rPr>
              <w:t>2017年12月31日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C11F79" w:rsidRPr="001B5B45" w:rsidRDefault="00C11F79" w:rsidP="00C11F79">
            <w:pPr>
              <w:jc w:val="right"/>
              <w:rPr>
                <w:rFonts w:asciiTheme="minorEastAsia" w:eastAsiaTheme="minorEastAsia" w:hAnsiTheme="minorEastAsia"/>
                <w:szCs w:val="21"/>
              </w:rPr>
            </w:pPr>
            <w:r w:rsidRPr="001B5B45">
              <w:rPr>
                <w:rFonts w:asciiTheme="minorEastAsia" w:eastAsiaTheme="minorEastAsia" w:hAnsiTheme="minorEastAsia"/>
                <w:szCs w:val="21"/>
              </w:rPr>
              <w:t>4.94%</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C11F79" w:rsidRPr="001B5B45" w:rsidRDefault="00C11F79" w:rsidP="00C11F79">
            <w:pPr>
              <w:jc w:val="right"/>
              <w:rPr>
                <w:rFonts w:asciiTheme="minorEastAsia" w:eastAsiaTheme="minorEastAsia" w:hAnsiTheme="minorEastAsia"/>
                <w:szCs w:val="21"/>
              </w:rPr>
            </w:pPr>
            <w:r w:rsidRPr="001B5B45">
              <w:rPr>
                <w:rFonts w:asciiTheme="minorEastAsia" w:eastAsiaTheme="minorEastAsia" w:hAnsiTheme="minorEastAsia"/>
                <w:szCs w:val="21"/>
              </w:rPr>
              <w:t>1.24%</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C11F79" w:rsidRPr="001B5B45" w:rsidRDefault="00C11F79" w:rsidP="00C11F79">
            <w:pPr>
              <w:jc w:val="right"/>
              <w:rPr>
                <w:rFonts w:asciiTheme="minorEastAsia" w:eastAsiaTheme="minorEastAsia" w:hAnsiTheme="minorEastAsia"/>
                <w:szCs w:val="21"/>
              </w:rPr>
            </w:pPr>
            <w:r w:rsidRPr="001B5B45">
              <w:rPr>
                <w:rFonts w:asciiTheme="minorEastAsia" w:eastAsiaTheme="minorEastAsia" w:hAnsiTheme="minorEastAsia"/>
                <w:szCs w:val="21"/>
              </w:rPr>
              <w:t>13.02%</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C11F79" w:rsidRPr="001B5B45" w:rsidRDefault="00C11F79" w:rsidP="00C11F79">
            <w:pPr>
              <w:jc w:val="right"/>
              <w:rPr>
                <w:rFonts w:asciiTheme="minorEastAsia" w:eastAsiaTheme="minorEastAsia" w:hAnsiTheme="minorEastAsia"/>
                <w:szCs w:val="21"/>
              </w:rPr>
            </w:pPr>
            <w:r w:rsidRPr="001B5B45">
              <w:rPr>
                <w:rFonts w:asciiTheme="minorEastAsia" w:eastAsiaTheme="minorEastAsia" w:hAnsiTheme="minorEastAsia"/>
                <w:szCs w:val="21"/>
              </w:rPr>
              <w:t>0.42%</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C11F79" w:rsidRPr="001B5B45" w:rsidRDefault="00C11F79" w:rsidP="00C11F79">
            <w:pPr>
              <w:jc w:val="right"/>
              <w:rPr>
                <w:rFonts w:asciiTheme="minorEastAsia" w:eastAsiaTheme="minorEastAsia" w:hAnsiTheme="minorEastAsia"/>
                <w:szCs w:val="21"/>
              </w:rPr>
            </w:pPr>
            <w:r w:rsidRPr="001B5B45">
              <w:rPr>
                <w:rFonts w:asciiTheme="minorEastAsia" w:eastAsiaTheme="minorEastAsia" w:hAnsiTheme="minorEastAsia"/>
                <w:szCs w:val="21"/>
              </w:rPr>
              <w:t>-8.08%</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C11F79" w:rsidRPr="001B5B45" w:rsidRDefault="00C11F79" w:rsidP="00C11F79">
            <w:pPr>
              <w:jc w:val="right"/>
              <w:rPr>
                <w:rFonts w:asciiTheme="minorEastAsia" w:eastAsiaTheme="minorEastAsia" w:hAnsiTheme="minorEastAsia"/>
                <w:szCs w:val="21"/>
              </w:rPr>
            </w:pPr>
            <w:r w:rsidRPr="001B5B45">
              <w:rPr>
                <w:rFonts w:asciiTheme="minorEastAsia" w:eastAsiaTheme="minorEastAsia" w:hAnsiTheme="minorEastAsia"/>
                <w:szCs w:val="21"/>
              </w:rPr>
              <w:t>0.82%</w:t>
            </w:r>
          </w:p>
        </w:tc>
      </w:tr>
      <w:tr w:rsidR="0006546A" w:rsidRPr="001B5B45" w:rsidTr="00BE3DD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53" w:type="dxa"/>
          </w:tcPr>
          <w:p w:rsidR="002D1535" w:rsidRPr="001B5B45" w:rsidRDefault="002D1535" w:rsidP="002D1535">
            <w:pPr>
              <w:jc w:val="left"/>
              <w:rPr>
                <w:rFonts w:asciiTheme="minorEastAsia" w:eastAsiaTheme="minorEastAsia" w:hAnsiTheme="minorEastAsia"/>
                <w:szCs w:val="18"/>
              </w:rPr>
            </w:pPr>
            <w:r w:rsidRPr="001B5B45">
              <w:rPr>
                <w:rFonts w:asciiTheme="minorEastAsia" w:eastAsiaTheme="minorEastAsia" w:hAnsiTheme="minorEastAsia" w:hint="eastAsia"/>
                <w:szCs w:val="18"/>
              </w:rPr>
              <w:t>2</w:t>
            </w:r>
            <w:r w:rsidRPr="001B5B45">
              <w:rPr>
                <w:rFonts w:asciiTheme="minorEastAsia" w:eastAsiaTheme="minorEastAsia" w:hAnsiTheme="minorEastAsia"/>
                <w:szCs w:val="18"/>
              </w:rPr>
              <w:t>018年1月1日至2018年12月31日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2D1535" w:rsidRPr="001B5B45" w:rsidRDefault="002D1535" w:rsidP="002D1535">
            <w:pPr>
              <w:jc w:val="right"/>
              <w:rPr>
                <w:rFonts w:asciiTheme="minorEastAsia" w:eastAsiaTheme="minorEastAsia" w:hAnsiTheme="minorEastAsia"/>
                <w:szCs w:val="21"/>
              </w:rPr>
            </w:pPr>
            <w:r w:rsidRPr="001B5B45">
              <w:rPr>
                <w:rFonts w:asciiTheme="minorEastAsia" w:eastAsiaTheme="minorEastAsia" w:hAnsiTheme="minorEastAsia"/>
                <w:szCs w:val="21"/>
              </w:rPr>
              <w:t>-24.98%</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D1535" w:rsidRPr="001B5B45" w:rsidRDefault="002D1535" w:rsidP="002D1535">
            <w:pPr>
              <w:jc w:val="right"/>
              <w:rPr>
                <w:rFonts w:asciiTheme="minorEastAsia" w:eastAsiaTheme="minorEastAsia" w:hAnsiTheme="minorEastAsia"/>
                <w:szCs w:val="21"/>
              </w:rPr>
            </w:pPr>
            <w:r w:rsidRPr="001B5B45">
              <w:rPr>
                <w:rFonts w:asciiTheme="minorEastAsia" w:eastAsiaTheme="minorEastAsia" w:hAnsiTheme="minorEastAsia"/>
                <w:szCs w:val="21"/>
              </w:rPr>
              <w:t>1.57%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D1535" w:rsidRPr="001B5B45" w:rsidRDefault="002D1535" w:rsidP="002D1535">
            <w:pPr>
              <w:jc w:val="right"/>
              <w:rPr>
                <w:rFonts w:asciiTheme="minorEastAsia" w:eastAsiaTheme="minorEastAsia" w:hAnsiTheme="minorEastAsia"/>
                <w:szCs w:val="21"/>
              </w:rPr>
            </w:pPr>
            <w:r w:rsidRPr="001B5B45">
              <w:rPr>
                <w:rFonts w:asciiTheme="minorEastAsia" w:eastAsiaTheme="minorEastAsia" w:hAnsiTheme="minorEastAsia"/>
                <w:szCs w:val="21"/>
              </w:rPr>
              <w:t>-13.58%</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2D1535" w:rsidRPr="001B5B45" w:rsidRDefault="002D1535" w:rsidP="002D1535">
            <w:pPr>
              <w:jc w:val="right"/>
              <w:rPr>
                <w:rFonts w:asciiTheme="minorEastAsia" w:eastAsiaTheme="minorEastAsia" w:hAnsiTheme="minorEastAsia"/>
                <w:szCs w:val="21"/>
              </w:rPr>
            </w:pPr>
            <w:r w:rsidRPr="001B5B45">
              <w:rPr>
                <w:rFonts w:asciiTheme="minorEastAsia" w:eastAsiaTheme="minorEastAsia" w:hAnsiTheme="minorEastAsia"/>
                <w:szCs w:val="21"/>
              </w:rPr>
              <w:t>0.87%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D1535" w:rsidRPr="001B5B45" w:rsidRDefault="002D1535" w:rsidP="002D1535">
            <w:pPr>
              <w:jc w:val="right"/>
              <w:rPr>
                <w:rFonts w:asciiTheme="minorEastAsia" w:eastAsiaTheme="minorEastAsia" w:hAnsiTheme="minorEastAsia"/>
                <w:szCs w:val="21"/>
              </w:rPr>
            </w:pPr>
            <w:r w:rsidRPr="001B5B45">
              <w:rPr>
                <w:rFonts w:asciiTheme="minorEastAsia" w:eastAsiaTheme="minorEastAsia" w:hAnsiTheme="minorEastAsia"/>
                <w:szCs w:val="21"/>
              </w:rPr>
              <w:t>-11.40%</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2D1535" w:rsidRPr="001B5B45" w:rsidRDefault="002D1535" w:rsidP="002D1535">
            <w:pPr>
              <w:jc w:val="right"/>
              <w:rPr>
                <w:rFonts w:asciiTheme="minorEastAsia" w:eastAsiaTheme="minorEastAsia" w:hAnsiTheme="minorEastAsia"/>
                <w:szCs w:val="21"/>
              </w:rPr>
            </w:pPr>
            <w:r w:rsidRPr="001B5B45">
              <w:rPr>
                <w:rFonts w:asciiTheme="minorEastAsia" w:eastAsiaTheme="minorEastAsia" w:hAnsiTheme="minorEastAsia"/>
                <w:szCs w:val="21"/>
              </w:rPr>
              <w:t>0.70%</w:t>
            </w:r>
          </w:p>
        </w:tc>
      </w:tr>
      <w:tr w:rsidR="0006546A" w:rsidRPr="001B5B45" w:rsidTr="00BE3DDF">
        <w:trPr>
          <w:jc w:val="center"/>
        </w:trPr>
        <w:tc>
          <w:tcPr>
            <w:cnfStyle w:val="000010000000" w:firstRow="0" w:lastRow="0" w:firstColumn="0" w:lastColumn="0" w:oddVBand="1" w:evenVBand="0" w:oddHBand="0" w:evenHBand="0" w:firstRowFirstColumn="0" w:firstRowLastColumn="0" w:lastRowFirstColumn="0" w:lastRowLastColumn="0"/>
            <w:tcW w:w="2053" w:type="dxa"/>
          </w:tcPr>
          <w:p w:rsidR="0042031E" w:rsidRPr="001B5B45" w:rsidRDefault="00213CB9" w:rsidP="0042031E">
            <w:pPr>
              <w:jc w:val="left"/>
              <w:rPr>
                <w:rFonts w:asciiTheme="minorEastAsia" w:eastAsiaTheme="minorEastAsia" w:hAnsiTheme="minorEastAsia"/>
                <w:szCs w:val="18"/>
              </w:rPr>
            </w:pPr>
            <w:r w:rsidRPr="001B5B45">
              <w:rPr>
                <w:rFonts w:asciiTheme="minorEastAsia" w:eastAsiaTheme="minorEastAsia" w:hAnsiTheme="minorEastAsia"/>
                <w:szCs w:val="18"/>
              </w:rPr>
              <w:t>2019年1月1日至2019年12月31日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42031E" w:rsidRPr="001B5B45" w:rsidRDefault="00213CB9" w:rsidP="00213CB9">
            <w:pPr>
              <w:jc w:val="right"/>
              <w:rPr>
                <w:rFonts w:asciiTheme="minorEastAsia" w:eastAsiaTheme="minorEastAsia" w:hAnsiTheme="minorEastAsia"/>
                <w:szCs w:val="21"/>
              </w:rPr>
            </w:pPr>
            <w:r w:rsidRPr="001B5B45">
              <w:rPr>
                <w:rFonts w:asciiTheme="minorEastAsia" w:eastAsiaTheme="minorEastAsia" w:hAnsiTheme="minorEastAsia"/>
                <w:szCs w:val="21"/>
              </w:rPr>
              <w:t>22.32%</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42031E" w:rsidRPr="001B5B45" w:rsidRDefault="00213CB9" w:rsidP="00213CB9">
            <w:pPr>
              <w:jc w:val="right"/>
              <w:rPr>
                <w:rFonts w:asciiTheme="minorEastAsia" w:eastAsiaTheme="minorEastAsia" w:hAnsiTheme="minorEastAsia"/>
                <w:szCs w:val="21"/>
              </w:rPr>
            </w:pPr>
            <w:r w:rsidRPr="001B5B45">
              <w:rPr>
                <w:rFonts w:asciiTheme="minorEastAsia" w:eastAsiaTheme="minorEastAsia" w:hAnsiTheme="minorEastAsia"/>
                <w:szCs w:val="21"/>
              </w:rPr>
              <w:t>1.21%</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42031E" w:rsidRPr="001B5B45" w:rsidRDefault="00213CB9">
            <w:pPr>
              <w:jc w:val="right"/>
              <w:rPr>
                <w:rFonts w:asciiTheme="minorEastAsia" w:eastAsiaTheme="minorEastAsia" w:hAnsiTheme="minorEastAsia"/>
                <w:szCs w:val="21"/>
              </w:rPr>
            </w:pPr>
            <w:r w:rsidRPr="001B5B45">
              <w:rPr>
                <w:rFonts w:asciiTheme="minorEastAsia" w:eastAsiaTheme="minorEastAsia" w:hAnsiTheme="minorEastAsia"/>
                <w:szCs w:val="21"/>
              </w:rPr>
              <w:t>25.05%</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42031E" w:rsidRPr="001B5B45" w:rsidRDefault="00213CB9">
            <w:pPr>
              <w:jc w:val="right"/>
              <w:rPr>
                <w:rFonts w:asciiTheme="minorEastAsia" w:eastAsiaTheme="minorEastAsia" w:hAnsiTheme="minorEastAsia"/>
                <w:szCs w:val="21"/>
              </w:rPr>
            </w:pPr>
            <w:r w:rsidRPr="001B5B45">
              <w:rPr>
                <w:rFonts w:asciiTheme="minorEastAsia" w:eastAsiaTheme="minorEastAsia" w:hAnsiTheme="minorEastAsia"/>
                <w:szCs w:val="21"/>
              </w:rPr>
              <w:t>0.80%</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42031E" w:rsidRPr="001B5B45" w:rsidRDefault="00213CB9">
            <w:pPr>
              <w:jc w:val="right"/>
              <w:rPr>
                <w:rFonts w:asciiTheme="minorEastAsia" w:eastAsiaTheme="minorEastAsia" w:hAnsiTheme="minorEastAsia"/>
                <w:szCs w:val="21"/>
              </w:rPr>
            </w:pPr>
            <w:r w:rsidRPr="001B5B45">
              <w:rPr>
                <w:rFonts w:asciiTheme="minorEastAsia" w:eastAsiaTheme="minorEastAsia" w:hAnsiTheme="minorEastAsia"/>
                <w:szCs w:val="21"/>
              </w:rPr>
              <w:t>-2.73%</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42031E" w:rsidRPr="001B5B45" w:rsidRDefault="00213CB9">
            <w:pPr>
              <w:jc w:val="right"/>
              <w:rPr>
                <w:rFonts w:asciiTheme="minorEastAsia" w:eastAsiaTheme="minorEastAsia" w:hAnsiTheme="minorEastAsia"/>
                <w:szCs w:val="21"/>
              </w:rPr>
            </w:pPr>
            <w:r w:rsidRPr="001B5B45">
              <w:rPr>
                <w:rFonts w:asciiTheme="minorEastAsia" w:eastAsiaTheme="minorEastAsia" w:hAnsiTheme="minorEastAsia"/>
                <w:szCs w:val="21"/>
              </w:rPr>
              <w:t>0.41%</w:t>
            </w:r>
          </w:p>
        </w:tc>
      </w:tr>
      <w:tr w:rsidR="0006546A" w:rsidRPr="001B5B45" w:rsidTr="0006546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053" w:type="dxa"/>
          </w:tcPr>
          <w:p w:rsidR="002F3648" w:rsidRPr="001B5B45" w:rsidRDefault="002F3648" w:rsidP="002F3648">
            <w:pPr>
              <w:jc w:val="left"/>
              <w:rPr>
                <w:rFonts w:asciiTheme="minorEastAsia" w:eastAsiaTheme="minorEastAsia" w:hAnsiTheme="minorEastAsia"/>
                <w:szCs w:val="18"/>
              </w:rPr>
            </w:pPr>
            <w:r w:rsidRPr="001B5B45">
              <w:rPr>
                <w:rFonts w:asciiTheme="minorEastAsia" w:eastAsiaTheme="minorEastAsia" w:hAnsiTheme="minorEastAsia" w:hint="eastAsia"/>
                <w:szCs w:val="21"/>
              </w:rPr>
              <w:t>2020年1月1日至2020年6月30日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2F3648" w:rsidRPr="001B5B45" w:rsidRDefault="002F3648" w:rsidP="002F3648">
            <w:pPr>
              <w:jc w:val="right"/>
              <w:rPr>
                <w:rFonts w:asciiTheme="minorEastAsia" w:eastAsiaTheme="minorEastAsia" w:hAnsiTheme="minorEastAsia"/>
                <w:szCs w:val="21"/>
              </w:rPr>
            </w:pPr>
            <w:r w:rsidRPr="001B5B45">
              <w:rPr>
                <w:rFonts w:asciiTheme="minorEastAsia" w:eastAsiaTheme="minorEastAsia" w:hAnsiTheme="minorEastAsia"/>
              </w:rPr>
              <w:t>30.50%</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1.60%</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1.89%</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0.97%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28.61%</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0.63%</w:t>
            </w:r>
          </w:p>
        </w:tc>
      </w:tr>
      <w:tr w:rsidR="0006546A" w:rsidRPr="001B5B45" w:rsidTr="0006546A">
        <w:trPr>
          <w:jc w:val="center"/>
        </w:trPr>
        <w:tc>
          <w:tcPr>
            <w:cnfStyle w:val="000010000000" w:firstRow="0" w:lastRow="0" w:firstColumn="0" w:lastColumn="0" w:oddVBand="1" w:evenVBand="0" w:oddHBand="0" w:evenHBand="0" w:firstRowFirstColumn="0" w:firstRowLastColumn="0" w:lastRowFirstColumn="0" w:lastRowLastColumn="0"/>
            <w:tcW w:w="2053" w:type="dxa"/>
          </w:tcPr>
          <w:p w:rsidR="002F3648" w:rsidRPr="001B5B45" w:rsidRDefault="002F3648" w:rsidP="002F3648">
            <w:pPr>
              <w:jc w:val="left"/>
              <w:rPr>
                <w:rFonts w:asciiTheme="minorEastAsia" w:eastAsiaTheme="minorEastAsia" w:hAnsiTheme="minorEastAsia"/>
                <w:szCs w:val="18"/>
              </w:rPr>
            </w:pPr>
            <w:r w:rsidRPr="001B5B45">
              <w:rPr>
                <w:rFonts w:asciiTheme="minorEastAsia" w:eastAsiaTheme="minorEastAsia" w:hAnsiTheme="minorEastAsia" w:hint="eastAsia"/>
                <w:szCs w:val="18"/>
              </w:rPr>
              <w:t>自基金合同生效日至2020年6月30日</w:t>
            </w:r>
          </w:p>
        </w:tc>
        <w:tc>
          <w:tcPr>
            <w:cnfStyle w:val="000001000000" w:firstRow="0" w:lastRow="0" w:firstColumn="0" w:lastColumn="0" w:oddVBand="0" w:evenVBand="1" w:oddHBand="0" w:evenHBand="0" w:firstRowFirstColumn="0" w:firstRowLastColumn="0" w:lastRowFirstColumn="0" w:lastRowLastColumn="0"/>
            <w:tcW w:w="1332" w:type="dxa"/>
            <w:vAlign w:val="center"/>
          </w:tcPr>
          <w:p w:rsidR="002F3648" w:rsidRPr="001B5B45" w:rsidRDefault="002F3648" w:rsidP="002F3648">
            <w:pPr>
              <w:jc w:val="right"/>
              <w:rPr>
                <w:rFonts w:asciiTheme="minorEastAsia" w:eastAsiaTheme="minorEastAsia" w:hAnsiTheme="minorEastAsia"/>
                <w:szCs w:val="21"/>
              </w:rPr>
            </w:pPr>
            <w:r w:rsidRPr="001B5B45">
              <w:rPr>
                <w:rFonts w:asciiTheme="minorEastAsia" w:eastAsiaTheme="minorEastAsia" w:hAnsiTheme="minorEastAsia"/>
              </w:rPr>
              <w:t>25.67%</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2F3648" w:rsidRPr="001B5B45" w:rsidRDefault="002F3648" w:rsidP="002F3648">
            <w:pPr>
              <w:jc w:val="right"/>
              <w:rPr>
                <w:rFonts w:asciiTheme="minorEastAsia" w:eastAsiaTheme="minorEastAsia" w:hAnsiTheme="minorEastAsia"/>
                <w:szCs w:val="21"/>
              </w:rPr>
            </w:pPr>
            <w:r w:rsidRPr="001B5B45">
              <w:rPr>
                <w:rFonts w:asciiTheme="minorEastAsia" w:eastAsiaTheme="minorEastAsia" w:hAnsiTheme="minorEastAsia"/>
              </w:rPr>
              <w:t>1.39%</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21.15%</w:t>
            </w:r>
          </w:p>
        </w:tc>
        <w:tc>
          <w:tcPr>
            <w:cnfStyle w:val="000010000000" w:firstRow="0" w:lastRow="0" w:firstColumn="0" w:lastColumn="0" w:oddVBand="1" w:evenVBand="0" w:oddHBand="0" w:evenHBand="0" w:firstRowFirstColumn="0" w:firstRowLastColumn="0" w:lastRowFirstColumn="0" w:lastRowLastColumn="0"/>
            <w:tcW w:w="126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0.77%</w:t>
            </w:r>
          </w:p>
        </w:tc>
        <w:tc>
          <w:tcPr>
            <w:cnfStyle w:val="000001000000" w:firstRow="0" w:lastRow="0" w:firstColumn="0" w:lastColumn="0" w:oddVBand="0" w:evenVBand="1" w:oddHBand="0" w:evenHBand="0" w:firstRowFirstColumn="0" w:firstRowLastColumn="0" w:lastRowFirstColumn="0" w:lastRowLastColumn="0"/>
            <w:tcW w:w="126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4.52%</w:t>
            </w:r>
          </w:p>
        </w:tc>
        <w:tc>
          <w:tcPr>
            <w:cnfStyle w:val="000010000000" w:firstRow="0" w:lastRow="0" w:firstColumn="0" w:lastColumn="0" w:oddVBand="1" w:evenVBand="0" w:oddHBand="0" w:evenHBand="0" w:firstRowFirstColumn="0" w:firstRowLastColumn="0" w:lastRowFirstColumn="0" w:lastRowLastColumn="0"/>
            <w:tcW w:w="1080" w:type="dxa"/>
            <w:vAlign w:val="center"/>
          </w:tcPr>
          <w:p w:rsidR="002F3648" w:rsidRPr="001B5B45" w:rsidRDefault="002F3648" w:rsidP="0006546A">
            <w:pPr>
              <w:jc w:val="right"/>
              <w:rPr>
                <w:rFonts w:asciiTheme="minorEastAsia" w:eastAsiaTheme="minorEastAsia" w:hAnsiTheme="minorEastAsia"/>
                <w:szCs w:val="21"/>
              </w:rPr>
            </w:pPr>
            <w:r w:rsidRPr="001B5B45">
              <w:rPr>
                <w:rFonts w:asciiTheme="minorEastAsia" w:eastAsiaTheme="minorEastAsia" w:hAnsiTheme="minorEastAsia"/>
              </w:rPr>
              <w:t>0.62%</w:t>
            </w:r>
          </w:p>
        </w:tc>
      </w:tr>
    </w:tbl>
    <w:p w:rsidR="00DC4447" w:rsidRPr="001B5B45" w:rsidRDefault="00DC4447">
      <w:pPr>
        <w:widowControl/>
        <w:jc w:val="left"/>
        <w:rPr>
          <w:rFonts w:asciiTheme="minorEastAsia" w:eastAsiaTheme="minorEastAsia" w:hAnsiTheme="minorEastAsia"/>
          <w:szCs w:val="21"/>
        </w:rPr>
      </w:pPr>
      <w:r w:rsidRPr="001B5B45">
        <w:rPr>
          <w:rFonts w:asciiTheme="minorEastAsia" w:eastAsiaTheme="minorEastAsia" w:hAnsiTheme="minorEastAsia"/>
          <w:szCs w:val="21"/>
        </w:rPr>
        <w:br w:type="page"/>
      </w:r>
    </w:p>
    <w:p w:rsidR="00BA4B87" w:rsidRPr="001B5B45" w:rsidRDefault="001C5C6E" w:rsidP="00DC4447">
      <w:pPr>
        <w:pStyle w:val="1"/>
        <w:snapToGrid w:val="0"/>
        <w:spacing w:beforeLines="0" w:afterLines="0" w:line="360" w:lineRule="auto"/>
        <w:ind w:firstLine="600"/>
        <w:rPr>
          <w:rFonts w:asciiTheme="minorEastAsia" w:eastAsiaTheme="minorEastAsia" w:hAnsiTheme="minorEastAsia"/>
          <w:szCs w:val="21"/>
        </w:rPr>
      </w:pPr>
      <w:bookmarkStart w:id="65" w:name="_Toc46927568"/>
      <w:bookmarkStart w:id="66" w:name="_Toc332373538"/>
      <w:r w:rsidRPr="001B5B45">
        <w:rPr>
          <w:rFonts w:asciiTheme="minorEastAsia" w:eastAsiaTheme="minorEastAsia" w:hAnsiTheme="minorEastAsia"/>
          <w:sz w:val="30"/>
        </w:rPr>
        <w:lastRenderedPageBreak/>
        <w:t>十三</w:t>
      </w:r>
      <w:r w:rsidR="00BA4B87" w:rsidRPr="001B5B45">
        <w:rPr>
          <w:rFonts w:asciiTheme="minorEastAsia" w:eastAsiaTheme="minorEastAsia" w:hAnsiTheme="minorEastAsia"/>
          <w:sz w:val="30"/>
        </w:rPr>
        <w:t>、基金的财产</w:t>
      </w:r>
      <w:bookmarkEnd w:id="65"/>
    </w:p>
    <w:bookmarkEnd w:id="66"/>
    <w:p w:rsidR="00335663" w:rsidRPr="001B5B45" w:rsidRDefault="003356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（一）基金资产总值</w:t>
      </w:r>
    </w:p>
    <w:p w:rsidR="00C3497E"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基金资产总值是指购买的各类证券及票据价值、银行存款本息和基金应收的申购基金款以及其他投资所形成的价值总和。</w:t>
      </w:r>
    </w:p>
    <w:p w:rsidR="00335663" w:rsidRPr="001B5B45" w:rsidRDefault="003356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（二）基金资产净值</w:t>
      </w:r>
    </w:p>
    <w:p w:rsidR="00C3497E"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基金资产净值是指基金资产总值减去基金负债后的价值。</w:t>
      </w:r>
    </w:p>
    <w:p w:rsidR="00335663" w:rsidRPr="001B5B45" w:rsidRDefault="003356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（三）基金财产的账户</w:t>
      </w:r>
    </w:p>
    <w:p w:rsidR="00C3497E"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35663" w:rsidRPr="001B5B45" w:rsidRDefault="0033566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（四）基金财产的保管和处分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C4447" w:rsidRPr="001B5B45" w:rsidRDefault="00C3497E"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C4447" w:rsidRPr="001B5B45">
        <w:rPr>
          <w:rStyle w:val="da"/>
          <w:rFonts w:asciiTheme="minorEastAsia" w:eastAsiaTheme="minorEastAsia" w:hAnsiTheme="minorEastAsia"/>
        </w:rPr>
        <w:br w:type="page"/>
      </w:r>
    </w:p>
    <w:p w:rsidR="00BA4B87" w:rsidRPr="001B5B45" w:rsidRDefault="001C5C6E" w:rsidP="00C3497E">
      <w:pPr>
        <w:pStyle w:val="1"/>
        <w:snapToGrid w:val="0"/>
        <w:spacing w:beforeLines="0" w:afterLines="0" w:line="360" w:lineRule="auto"/>
        <w:ind w:firstLine="600"/>
        <w:rPr>
          <w:rFonts w:asciiTheme="minorEastAsia" w:eastAsiaTheme="minorEastAsia" w:hAnsiTheme="minorEastAsia"/>
          <w:bCs/>
        </w:rPr>
      </w:pPr>
      <w:bookmarkStart w:id="67" w:name="_Toc46927569"/>
      <w:bookmarkStart w:id="68" w:name="_Toc332373543"/>
      <w:r w:rsidRPr="001B5B45">
        <w:rPr>
          <w:rFonts w:asciiTheme="minorEastAsia" w:eastAsiaTheme="minorEastAsia" w:hAnsiTheme="minorEastAsia"/>
          <w:sz w:val="30"/>
        </w:rPr>
        <w:lastRenderedPageBreak/>
        <w:t>十四</w:t>
      </w:r>
      <w:r w:rsidR="00BA4B87" w:rsidRPr="001B5B45">
        <w:rPr>
          <w:rFonts w:asciiTheme="minorEastAsia" w:eastAsiaTheme="minorEastAsia" w:hAnsiTheme="minorEastAsia"/>
          <w:sz w:val="30"/>
        </w:rPr>
        <w:t>、基金资产的估值</w:t>
      </w:r>
      <w:bookmarkEnd w:id="67"/>
    </w:p>
    <w:bookmarkEnd w:id="68"/>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估值日</w:t>
      </w:r>
    </w:p>
    <w:p w:rsidR="006872D3"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本基金的估值日为本基金相关的证券交易场所的交易日以及国家法律法规规定需要对外披露基金净值的非交易日。</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估值对象</w:t>
      </w:r>
    </w:p>
    <w:p w:rsidR="00C3497E"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基金所拥有的股票、债券、衍生工具和银行存款本息、应收款项、其它投资等资产及负债。</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估值方法</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1、证券交易所上市的有价证券的估值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（2）交易所上市交易或挂牌转让的不含权和含权固定收益品种，选取第三方估值机构提供的相应品种当日的估值净价；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（3）交易所上市交易的可转换债券，选取每日收盘价作为估值全价；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（4）交易所市场挂牌转让的资产支持证券和私募债券，采用估值技术确定公允价值，在估值技术难以可靠计量公允价值的情况下，按成本估值。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2、处于未上市期间的有价证券应区分如下情况处理：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（1）送股、转增股、配股和公开增发的新股，按估值日在证券交易所挂牌的同一股票的估值方法估值；该日无交易的，以最近一日的市价（收盘价）估值；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（2）首次公开发行未上市的股票、债券和权证，采用估值技术确定公允价值，在估值技术难以可靠计量公允价值的情况下，按成本估值。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（3）首次公开发行有明确锁定期的股票，同一股票在交易所上市后，按交易所上市的同一股票的估值方法估值；非公开发行有明确锁定期的股票，按监管机构或行业协会有关规定确定公允价值。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3、全国银行间债券市场交易的固定收益品种，采用估值技术确定公允价值。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4、同一债券同时在两个或两个以上市场交易的，按债券所处的市场分别估值。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5、期货合约以估值当日结算价进行估值，估值当日无结算价的，且最近交易日后经济环境未发生重大变化的，采用最近交易日结算价估值。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6、如有充分理由表明按上述方法进行估值不能客观反映其公允价值的，基金管理人可根据具体情况与基金托管人商定后，按最能反映公允价值的价格估值。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7、相关法律法规以及监管部门有强制规定的，从其规定。如有新增事项，按国家最新规定估值。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如基金管理人或基金托管人发现基金估值违反基金合同订明的估值方法、程序及相关法律法规的规定或者未能充分维护基金份额持有人利益时，应立即通知对方，共同查明原因，双方协商解决。</w:t>
      </w:r>
    </w:p>
    <w:p w:rsidR="00C3497E"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四</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估值程序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1、基金份额净值是按照每个工作日闭市后，基金资产净值除以当日基金份额的余额数量计算，精确到0.0001元，小数点后第5位四舍五入。国家另有规定的，从其规定。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每个工作日计算基金资产净值及基金份额净值，并按规定公告。</w:t>
      </w:r>
    </w:p>
    <w:p w:rsidR="006872D3"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五</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估值错误的处理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基金管理人和基金托管人将采取必要、适当、合理的措施确保基金资产估值的准确性、及时性。当基金份额净值小数点后4位以内(含第4位)发生差错时，视为估值错误。</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各当事人应按照以下约定处理：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1、估值错误类型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上述估值错误的主要类型包括但不限于：资料申报差错、数据传输差错、数据计算差错、系统故障差错、下达指令差错等。</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2、估值错误处理原则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（2）估值错误的责任方对有关当事人的直接损失负责，不对间接损失负责，并且仅对估值错误的有关直接当事人负责，不对第三方负责。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（4）估值错误调整采用尽量恢复至假设未发生估值错误的正确情形的方式。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3、估值错误处理程序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估值错误被发现后，有关的当事人应当及时进行处理，处理的程序如下：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（1）查明估值错误发生的原因，列明所有的当事人，并根据估值错误发生的原因确定估值错误的责任方；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（2）根据估值错误处理原则或当事人协商的方法对因估值错误造成的损失进行评估；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（3）根据估值错误处理原则或当事人协商的方法由估值错误的责任方进行更正和赔偿损失；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（4）根据估值错误处理的方法，需要修改基金登记机构交易数据的，由基金登记机构进行更正，并就估值错误的更正向有关当事人进行确认。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4、基金份额净值估值错误处理的方法如下：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（1）基金份额净值计算出现错误时，基金管理人应当立即予以纠正，通报基金托管人，</w:t>
      </w:r>
      <w:r w:rsidRPr="001B5B45">
        <w:rPr>
          <w:rStyle w:val="da"/>
          <w:rFonts w:asciiTheme="minorEastAsia" w:eastAsiaTheme="minorEastAsia" w:hAnsiTheme="minorEastAsia"/>
        </w:rPr>
        <w:lastRenderedPageBreak/>
        <w:t>并采取合理的措施防止损失进一步扩大。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（2）错误偏差达到基金份额净值的0.25%时，基金管理人应当通报基金托管人；错误偏差达到基金份额净值的0.5%时，基金管理人应当公告，并报中国证监会备案。</w:t>
      </w:r>
    </w:p>
    <w:p w:rsidR="00E615AB"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（3）前述内容如法律法规或监管机关另有规定的，从其规定处理。</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六</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暂停估值的情形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1、基金投资所涉及的证券交易市场遇法定节假日或因其他原因暂停营业时；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2、因不可抗力致使基金管理人、基金托管人无法准确评估基金资产价值时；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3、占基金相当比例的投资品种的估值出现重大转变，而基金管理人为保障投资人的利益，决定延迟估值时；</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w:t>
      </w:r>
      <w:r w:rsidRPr="001B5B45">
        <w:rPr>
          <w:rStyle w:val="da"/>
          <w:rFonts w:asciiTheme="minorEastAsia" w:eastAsiaTheme="minorEastAsia" w:hAnsiTheme="minorEastAsia" w:hint="eastAsia"/>
        </w:rPr>
        <w:t>、当前一估值日基金资产净值</w:t>
      </w:r>
      <w:r w:rsidRPr="001B5B45">
        <w:rPr>
          <w:rStyle w:val="da"/>
          <w:rFonts w:asciiTheme="minorEastAsia" w:eastAsiaTheme="minorEastAsia" w:hAnsiTheme="minorEastAsia"/>
        </w:rPr>
        <w:t>50%</w:t>
      </w:r>
      <w:r w:rsidRPr="001B5B45">
        <w:rPr>
          <w:rStyle w:val="da"/>
          <w:rFonts w:asciiTheme="minorEastAsia" w:eastAsiaTheme="minorEastAsia" w:hAnsiTheme="minorEastAsia" w:hint="eastAsia"/>
        </w:rPr>
        <w:t>以上的资产出现无可参考的活跃市场价格且采用估值技术仍导致公允价值存在重大不确定性时，经与基金托管人协商一致的；</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w:t>
      </w:r>
      <w:r w:rsidR="00C3497E" w:rsidRPr="001B5B45">
        <w:rPr>
          <w:rStyle w:val="da"/>
          <w:rFonts w:asciiTheme="minorEastAsia" w:eastAsiaTheme="minorEastAsia" w:hAnsiTheme="minorEastAsia"/>
        </w:rPr>
        <w:t>、中国证监会和基金合同认定的其它情形。</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七</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基金净值的确认</w:t>
      </w:r>
    </w:p>
    <w:p w:rsidR="006872D3" w:rsidRPr="001B5B45" w:rsidRDefault="00C3497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1B5B45" w:rsidRDefault="005627CF"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八</w:t>
      </w:r>
      <w:r w:rsidRPr="001B5B45">
        <w:rPr>
          <w:rStyle w:val="da"/>
          <w:rFonts w:asciiTheme="minorEastAsia" w:eastAsiaTheme="minorEastAsia" w:hAnsiTheme="minorEastAsia"/>
        </w:rPr>
        <w:t>）</w:t>
      </w:r>
      <w:r w:rsidR="006872D3" w:rsidRPr="001B5B45">
        <w:rPr>
          <w:rStyle w:val="da"/>
          <w:rFonts w:asciiTheme="minorEastAsia" w:eastAsiaTheme="minorEastAsia" w:hAnsiTheme="minorEastAsia"/>
        </w:rPr>
        <w:t>特殊情况的处理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1、基金管理人或基金托管人按估值方法的第6项进行估值时，所造成的误差不作为基金资产估值错误处理。</w:t>
      </w:r>
    </w:p>
    <w:p w:rsidR="00DC4447" w:rsidRPr="001B5B45" w:rsidRDefault="00C3497E"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sidR="00DC4447" w:rsidRPr="001B5B45">
        <w:rPr>
          <w:rStyle w:val="da"/>
          <w:rFonts w:asciiTheme="minorEastAsia" w:eastAsiaTheme="minorEastAsia" w:hAnsiTheme="minorEastAsia"/>
        </w:rPr>
        <w:br w:type="page"/>
      </w:r>
    </w:p>
    <w:p w:rsidR="00BA4B87" w:rsidRPr="001B5B45" w:rsidRDefault="001C5C6E" w:rsidP="00CC1421">
      <w:pPr>
        <w:pStyle w:val="1"/>
        <w:snapToGrid w:val="0"/>
        <w:spacing w:beforeLines="0" w:afterLines="0" w:line="360" w:lineRule="auto"/>
        <w:ind w:firstLine="600"/>
        <w:rPr>
          <w:rFonts w:asciiTheme="minorEastAsia" w:eastAsiaTheme="minorEastAsia" w:hAnsiTheme="minorEastAsia"/>
          <w:bCs/>
        </w:rPr>
      </w:pPr>
      <w:bookmarkStart w:id="69" w:name="_Toc46927570"/>
      <w:bookmarkStart w:id="70" w:name="_Toc332373553"/>
      <w:r w:rsidRPr="001B5B45">
        <w:rPr>
          <w:rFonts w:asciiTheme="minorEastAsia" w:eastAsiaTheme="minorEastAsia" w:hAnsiTheme="minorEastAsia"/>
          <w:sz w:val="30"/>
        </w:rPr>
        <w:lastRenderedPageBreak/>
        <w:t>十五</w:t>
      </w:r>
      <w:r w:rsidR="00BA4B87" w:rsidRPr="001B5B45">
        <w:rPr>
          <w:rFonts w:asciiTheme="minorEastAsia" w:eastAsiaTheme="minorEastAsia" w:hAnsiTheme="minorEastAsia"/>
          <w:sz w:val="30"/>
        </w:rPr>
        <w:t>、基金的收益分配</w:t>
      </w:r>
      <w:bookmarkEnd w:id="69"/>
    </w:p>
    <w:bookmarkEnd w:id="70"/>
    <w:p w:rsidR="005627CF" w:rsidRPr="001B5B45" w:rsidRDefault="006E0F3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基金利润的构成</w:t>
      </w:r>
    </w:p>
    <w:p w:rsidR="00002E36" w:rsidRPr="001B5B45" w:rsidRDefault="00002E36"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基金利润指基金利息收入、投资收益、公允价值变动收益和其他收入扣除相关费用后的余额，基金已实现收益指基金利润减去公允价值变动收益后的余额。</w:t>
      </w:r>
    </w:p>
    <w:p w:rsidR="005627CF" w:rsidRPr="001B5B45" w:rsidRDefault="006E0F3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基金可供分配利润</w:t>
      </w:r>
    </w:p>
    <w:p w:rsidR="00002E36" w:rsidRPr="001B5B45" w:rsidRDefault="00002E36"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基金可供分配利润指截至收益分配基准日基金未分配利润与未分配利润中已实现收益的孰低数。</w:t>
      </w:r>
    </w:p>
    <w:p w:rsidR="005627CF" w:rsidRPr="001B5B45" w:rsidRDefault="006E0F3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基金收益分配原则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1、若《基金合同》生效不满3个月可不进行收益分配；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2、本基金收益分配方式分两种：现金分红与红利再投资，投资者可选择现金红利或将现金红利自动转为基金份额进行再投资；若投资者不选择，本基金默认的收益分配方式是现金分红；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3、基金收益分配后基金份额净值不能低于面值；即基金收益分配基准日的基金份额净值减去每单位基金份额收益分配金额后不能低于面值；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4、同一类别的每一基金份额享有同等分配权；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5、在对基金份额持有人利益无实质不利影响的前提下，基金管理人可调整基金收益的分配原则和支付方式，不需召开基金份额持有人大会审议；</w:t>
      </w:r>
    </w:p>
    <w:p w:rsidR="00002E36" w:rsidRPr="001B5B45" w:rsidRDefault="00002E36"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6、法律法规或监管机关另有规定的，从其规定。</w:t>
      </w:r>
    </w:p>
    <w:p w:rsidR="005627CF" w:rsidRPr="001B5B45" w:rsidRDefault="006E0F3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四</w:t>
      </w: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收益分配方案</w:t>
      </w:r>
    </w:p>
    <w:p w:rsidR="00002E36" w:rsidRPr="001B5B45" w:rsidRDefault="00002E36"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基金收益分配方案中应载明截止收益分配基准日的可供分配利润、基金收益分配对象、分配时间、分配数额及比例、分配方式等内容。</w:t>
      </w:r>
    </w:p>
    <w:p w:rsidR="005627CF" w:rsidRPr="001B5B45" w:rsidRDefault="006E0F3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五</w:t>
      </w: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收益分配方案的确定、公告与实施</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本基金收益分配方案由基金管理人拟定，并由基金托管人复核，在</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日内在指定媒介公告。</w:t>
      </w:r>
    </w:p>
    <w:p w:rsidR="005627CF" w:rsidRPr="001B5B45" w:rsidRDefault="00002E36"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基金红利发放日距离收益分配基准日（即可供分配利润计算截止日）的时间不得超过15个工作日。</w:t>
      </w:r>
    </w:p>
    <w:p w:rsidR="005627CF" w:rsidRPr="001B5B45" w:rsidRDefault="006E0F3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六</w:t>
      </w:r>
      <w:r w:rsidRPr="001B5B45">
        <w:rPr>
          <w:rStyle w:val="da"/>
          <w:rFonts w:asciiTheme="minorEastAsia" w:eastAsiaTheme="minorEastAsia" w:hAnsiTheme="minorEastAsia"/>
        </w:rPr>
        <w:t>）</w:t>
      </w:r>
      <w:r w:rsidR="005627CF" w:rsidRPr="001B5B45">
        <w:rPr>
          <w:rStyle w:val="da"/>
          <w:rFonts w:asciiTheme="minorEastAsia" w:eastAsiaTheme="minorEastAsia" w:hAnsiTheme="minorEastAsia"/>
        </w:rPr>
        <w:t>基金收益分配中发生的费用</w:t>
      </w:r>
    </w:p>
    <w:p w:rsidR="00DC4447" w:rsidRPr="001B5B45" w:rsidRDefault="004D0A82" w:rsidP="00323A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基金收益分配时所发生的银行转账或其他手续费用由投资者自行承担。当投资者的现金红利小于一定金额，不足于支付银行转账或其他手续费用时，基金登记机构可将基金份额持</w:t>
      </w:r>
      <w:r w:rsidRPr="001B5B45">
        <w:rPr>
          <w:rStyle w:val="da"/>
          <w:rFonts w:asciiTheme="minorEastAsia" w:eastAsiaTheme="minorEastAsia" w:hAnsiTheme="minorEastAsia"/>
        </w:rPr>
        <w:lastRenderedPageBreak/>
        <w:t>有人的现金红利自动转为基金份额。红利再投资的计算方法，依照《业务规则》执行。</w:t>
      </w:r>
      <w:r w:rsidR="00DC4447" w:rsidRPr="001B5B45">
        <w:rPr>
          <w:rStyle w:val="da"/>
          <w:rFonts w:asciiTheme="minorEastAsia" w:eastAsiaTheme="minorEastAsia" w:hAnsiTheme="minorEastAsia"/>
        </w:rPr>
        <w:br w:type="page"/>
      </w:r>
    </w:p>
    <w:p w:rsidR="00BA4B87" w:rsidRPr="001B5B45" w:rsidRDefault="001C5C6E" w:rsidP="00DC4447">
      <w:pPr>
        <w:pStyle w:val="1"/>
        <w:snapToGrid w:val="0"/>
        <w:spacing w:beforeLines="0" w:afterLines="0" w:line="360" w:lineRule="auto"/>
        <w:ind w:firstLine="600"/>
        <w:rPr>
          <w:rFonts w:asciiTheme="minorEastAsia" w:eastAsiaTheme="minorEastAsia" w:hAnsiTheme="minorEastAsia"/>
          <w:bCs/>
        </w:rPr>
      </w:pPr>
      <w:bookmarkStart w:id="71" w:name="_Toc46927571"/>
      <w:bookmarkStart w:id="72" w:name="_Toc332373560"/>
      <w:r w:rsidRPr="001B5B45">
        <w:rPr>
          <w:rFonts w:asciiTheme="minorEastAsia" w:eastAsiaTheme="minorEastAsia" w:hAnsiTheme="minorEastAsia"/>
          <w:sz w:val="30"/>
        </w:rPr>
        <w:lastRenderedPageBreak/>
        <w:t>十六</w:t>
      </w:r>
      <w:r w:rsidR="00BA4B87" w:rsidRPr="001B5B45">
        <w:rPr>
          <w:rFonts w:asciiTheme="minorEastAsia" w:eastAsiaTheme="minorEastAsia" w:hAnsiTheme="minorEastAsia"/>
          <w:sz w:val="30"/>
        </w:rPr>
        <w:t>、基金的费用与税收</w:t>
      </w:r>
      <w:bookmarkEnd w:id="71"/>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73" w:name="_Toc332373561"/>
      <w:bookmarkEnd w:id="72"/>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一</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基金费用的种类</w:t>
      </w:r>
    </w:p>
    <w:bookmarkEnd w:id="73"/>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1、基金管理人的管理费；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2、基金托管人的托管费；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3、《基金合同》生效后与基金相关的信息披露费用；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4、《基金合同》生效后与基金相关的会计师费、律师费、诉讼费和仲裁费；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5、基金份额持有人大会费用；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6、基金的证券交易费用；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7、基金的银行汇划费用；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8、证券账户开户费用、账户维护费用；</w:t>
      </w:r>
    </w:p>
    <w:p w:rsidR="00E438A9" w:rsidRPr="001B5B45" w:rsidRDefault="004D0A8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9、按照国家有关规定和《基金合同》约定，可以在基金财产中列支的其他费用。</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74" w:name="_Toc332373562"/>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基金费用计提方法、计提标准和支付方式</w:t>
      </w:r>
    </w:p>
    <w:bookmarkEnd w:id="74"/>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1、基金管理人的管理费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本基金的管理费按前一日基金资产净值的1.50%年费率计提。管理费的计算方法如下：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H＝E×1.50%÷当年天数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H为每日应计提的基金管理费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E为前一日的基金资产净值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基金管理费每日计提，逐日累计至每个月月末，按月支付。经基金管理人与基金托管人核对一致后，由基金托管人于次月首日起2-5个工作日内从基金财产中一次性支付给基金管理人。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2、基金托管人的托管费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本基金的托管费按前一日基金资产净值的0.25%的年费率计提。托管费的计算方法如下：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H＝E×0.25%÷当年天数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H为每日应计提的基金托管费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E为前一日的基金资产净值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基金托管费每日计提，逐日累计至每个月月末，按月支付。经基金管理人与基金托管人核对一致后，由基金托管人于次月首日起2-5个工作日内从基金财产中一次性支付给基金托管人。</w:t>
      </w:r>
    </w:p>
    <w:p w:rsidR="00E438A9" w:rsidRPr="001B5B45" w:rsidRDefault="004D0A8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上述“一、基金费用的种类中第3－9项费用”，根据有关法规及相应协议规定，按费</w:t>
      </w:r>
      <w:r w:rsidRPr="001B5B45">
        <w:rPr>
          <w:rStyle w:val="da"/>
          <w:rFonts w:asciiTheme="minorEastAsia" w:eastAsiaTheme="minorEastAsia" w:hAnsiTheme="minorEastAsia"/>
        </w:rPr>
        <w:lastRenderedPageBreak/>
        <w:t>用实际支出金额列入当期费用，由基金托管人从基金财产中支付。</w:t>
      </w:r>
    </w:p>
    <w:p w:rsidR="00BA4B87" w:rsidRPr="001B5B45" w:rsidRDefault="002E1C38" w:rsidP="006C3CF2">
      <w:pPr>
        <w:spacing w:line="360" w:lineRule="auto"/>
        <w:ind w:firstLineChars="200" w:firstLine="420"/>
        <w:rPr>
          <w:rStyle w:val="da"/>
          <w:rFonts w:asciiTheme="minorEastAsia" w:eastAsiaTheme="minorEastAsia" w:hAnsiTheme="minorEastAsia"/>
        </w:rPr>
      </w:pPr>
      <w:bookmarkStart w:id="75" w:name="_Toc332373563"/>
      <w:r w:rsidRPr="001B5B45">
        <w:rPr>
          <w:rStyle w:val="da"/>
          <w:rFonts w:asciiTheme="minorEastAsia" w:eastAsiaTheme="minorEastAsia" w:hAnsiTheme="minorEastAsia"/>
        </w:rPr>
        <w:t>（</w:t>
      </w:r>
      <w:r w:rsidR="00090469"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不列入基金费用的项目</w:t>
      </w:r>
    </w:p>
    <w:bookmarkEnd w:id="75"/>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下列费用不列入基金费用：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1、基金管理人和基金托管人因未履行或未完全履行义务导致的费用支出或基金财产的损失；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2、基金管理人和基金托管人处理与基金运作无关的事项发生的费用；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3、《基金合同》生效前的相关费用；</w:t>
      </w:r>
    </w:p>
    <w:p w:rsidR="00E438A9" w:rsidRPr="001B5B45" w:rsidRDefault="004D0A8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4、其他根据相关法律法规及中国证监会的有关规定不得列入基金费用的项目。</w:t>
      </w:r>
    </w:p>
    <w:p w:rsidR="00762961" w:rsidRPr="001B5B45" w:rsidRDefault="002E1C38" w:rsidP="006C3CF2">
      <w:pPr>
        <w:spacing w:line="360" w:lineRule="auto"/>
        <w:ind w:firstLineChars="200" w:firstLine="420"/>
        <w:rPr>
          <w:rStyle w:val="da"/>
          <w:rFonts w:asciiTheme="minorEastAsia" w:eastAsiaTheme="minorEastAsia" w:hAnsiTheme="minorEastAsia"/>
        </w:rPr>
      </w:pPr>
      <w:bookmarkStart w:id="76" w:name="_Toc332373564"/>
      <w:r w:rsidRPr="001B5B45">
        <w:rPr>
          <w:rStyle w:val="da"/>
          <w:rFonts w:asciiTheme="minorEastAsia" w:eastAsiaTheme="minorEastAsia" w:hAnsiTheme="minorEastAsia"/>
        </w:rPr>
        <w:t>（</w:t>
      </w:r>
      <w:r w:rsidR="00710911" w:rsidRPr="001B5B45">
        <w:rPr>
          <w:rStyle w:val="da"/>
          <w:rFonts w:asciiTheme="minorEastAsia" w:eastAsiaTheme="minorEastAsia" w:hAnsiTheme="minorEastAsia" w:hint="eastAsia"/>
        </w:rPr>
        <w:t>四</w:t>
      </w:r>
      <w:r w:rsidRPr="001B5B45">
        <w:rPr>
          <w:rStyle w:val="da"/>
          <w:rFonts w:asciiTheme="minorEastAsia" w:eastAsiaTheme="minorEastAsia" w:hAnsiTheme="minorEastAsia"/>
        </w:rPr>
        <w:t>）</w:t>
      </w:r>
      <w:r w:rsidR="00762961" w:rsidRPr="001B5B45">
        <w:rPr>
          <w:rStyle w:val="da"/>
          <w:rFonts w:asciiTheme="minorEastAsia" w:eastAsiaTheme="minorEastAsia" w:hAnsiTheme="minorEastAsia"/>
        </w:rPr>
        <w:t>与基金销售有关的费用</w:t>
      </w:r>
    </w:p>
    <w:p w:rsidR="009D110E" w:rsidRPr="001B5B45" w:rsidRDefault="009D110E" w:rsidP="006C3CF2">
      <w:pPr>
        <w:spacing w:line="360" w:lineRule="auto"/>
        <w:ind w:firstLineChars="200" w:firstLine="420"/>
        <w:rPr>
          <w:rStyle w:val="da"/>
          <w:rFonts w:asciiTheme="minorEastAsia" w:eastAsiaTheme="minorEastAsia" w:hAnsiTheme="minorEastAsia"/>
        </w:rPr>
      </w:pPr>
      <w:bookmarkStart w:id="77" w:name="_Toc332373565"/>
      <w:bookmarkEnd w:id="76"/>
      <w:r w:rsidRPr="001B5B45">
        <w:rPr>
          <w:rStyle w:val="da"/>
          <w:rFonts w:asciiTheme="minorEastAsia" w:eastAsiaTheme="minorEastAsia" w:hAnsiTheme="minorEastAsia" w:hint="eastAsia"/>
        </w:rPr>
        <w:t>1、本基金申购费、赎回费的费率水平、计算公式、收取方式和使用方式请详见本招募说明书“八、基金份额的申购、赎回”中的“（七）基金的申购费和赎回费”与“（八）申购和赎回的数额和价格”中的相关规定。</w:t>
      </w:r>
    </w:p>
    <w:p w:rsidR="009D110E" w:rsidRPr="001B5B45" w:rsidRDefault="009D11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2、基金转换费用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9D110E" w:rsidRPr="001B5B45" w:rsidRDefault="009D11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3、投资者通过本公司网上交易系统（www.efunds.com.cn）进行申购、赎回和转换的交易费率，请具体参照我公司网站上的相关说明。</w:t>
      </w:r>
    </w:p>
    <w:p w:rsidR="009D110E" w:rsidRPr="001B5B45" w:rsidRDefault="009D11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优惠活动。</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710911" w:rsidRPr="001B5B45">
        <w:rPr>
          <w:rStyle w:val="da"/>
          <w:rFonts w:asciiTheme="minorEastAsia" w:eastAsiaTheme="minorEastAsia" w:hAnsiTheme="minorEastAsia" w:hint="eastAsia"/>
        </w:rPr>
        <w:t>五</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税收</w:t>
      </w:r>
    </w:p>
    <w:bookmarkEnd w:id="77"/>
    <w:p w:rsidR="00DC4447" w:rsidRPr="001B5B45" w:rsidRDefault="00CE39B0"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本基金运作过程中涉及的各纳税主体，其纳税义务按国家税收法律、法规执行。</w:t>
      </w:r>
      <w:r w:rsidR="00DC4447" w:rsidRPr="001B5B45">
        <w:rPr>
          <w:rStyle w:val="da"/>
          <w:rFonts w:asciiTheme="minorEastAsia" w:eastAsiaTheme="minorEastAsia" w:hAnsiTheme="minorEastAsia"/>
        </w:rPr>
        <w:br w:type="page"/>
      </w:r>
    </w:p>
    <w:p w:rsidR="00BA4B87" w:rsidRPr="001B5B45" w:rsidRDefault="001C5C6E" w:rsidP="00DC4447">
      <w:pPr>
        <w:pStyle w:val="1"/>
        <w:snapToGrid w:val="0"/>
        <w:spacing w:beforeLines="0" w:afterLines="0" w:line="360" w:lineRule="auto"/>
        <w:ind w:firstLine="600"/>
        <w:rPr>
          <w:rFonts w:asciiTheme="minorEastAsia" w:eastAsiaTheme="minorEastAsia" w:hAnsiTheme="minorEastAsia"/>
          <w:bCs/>
        </w:rPr>
      </w:pPr>
      <w:bookmarkStart w:id="78" w:name="_Toc46927572"/>
      <w:bookmarkStart w:id="79" w:name="_Toc332373566"/>
      <w:r w:rsidRPr="001B5B45">
        <w:rPr>
          <w:rFonts w:asciiTheme="minorEastAsia" w:eastAsiaTheme="minorEastAsia" w:hAnsiTheme="minorEastAsia"/>
          <w:sz w:val="30"/>
        </w:rPr>
        <w:lastRenderedPageBreak/>
        <w:t>十七</w:t>
      </w:r>
      <w:r w:rsidR="00BA4B87" w:rsidRPr="001B5B45">
        <w:rPr>
          <w:rFonts w:asciiTheme="minorEastAsia" w:eastAsiaTheme="minorEastAsia" w:hAnsiTheme="minorEastAsia"/>
          <w:sz w:val="30"/>
        </w:rPr>
        <w:t>、基金的会计与审计</w:t>
      </w:r>
      <w:bookmarkEnd w:id="78"/>
    </w:p>
    <w:bookmarkEnd w:id="79"/>
    <w:p w:rsidR="000E6D1C" w:rsidRPr="001B5B45" w:rsidRDefault="000E6D1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（一）基金会计政策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1、基金管理人为本基金的基金会计责任方；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2、基金的会计年度为公历年度的1月1日至12月31日；基金首次募集的会计年度按如下原则：如果《基金合同》生效少于2个月，可以并入下一个会计年度；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3、基金核算以人民币为记账本位币，以人民币元为记账单位；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4、会计制度执行国家有关会计制度；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5、本基金独立建账、独立核算；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6、基金管理人及基金托管人各自保留完整的会计账目、凭证并进行日常的会计核算，按照有关规定编制基金会计报表；</w:t>
      </w:r>
    </w:p>
    <w:p w:rsidR="000E6D1C" w:rsidRPr="001B5B45" w:rsidRDefault="0099722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7、基金托管人每月与基金管理人就基金的会计核算、报表编制等进行核对确认。</w:t>
      </w:r>
    </w:p>
    <w:p w:rsidR="000E6D1C" w:rsidRPr="001B5B45" w:rsidRDefault="000E6D1C"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（二）基金的年度审计</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w:t>
      </w:r>
      <w:r w:rsidRPr="001B5B45">
        <w:rPr>
          <w:rStyle w:val="da"/>
          <w:rFonts w:asciiTheme="minorEastAsia" w:eastAsiaTheme="minorEastAsia" w:hAnsiTheme="minorEastAsia" w:hint="eastAsia"/>
        </w:rPr>
        <w:t>、基金管理人聘请与基金管理人、基金托管人相互独立的具有证券、期货相关业务资格的会计师事务所及其注册会计师对本基金的年度财务报表进行审计。</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、会计师事务所更换经办注册会计师，应事先征得基金管理人同意。</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w:t>
      </w:r>
      <w:bookmarkStart w:id="80" w:name="_Hlt4221115"/>
      <w:bookmarkEnd w:id="80"/>
      <w:r w:rsidRPr="001B5B45">
        <w:rPr>
          <w:rStyle w:val="da"/>
          <w:rFonts w:asciiTheme="minorEastAsia" w:eastAsiaTheme="minorEastAsia" w:hAnsiTheme="minorEastAsia" w:hint="eastAsia"/>
        </w:rPr>
        <w:t>基金管理人认为有充足理由更换会计师事务所，须通报基金托管人。更换会计师事务所需在</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日内在指定媒介公告。</w:t>
      </w:r>
    </w:p>
    <w:p w:rsidR="00DC4447" w:rsidRPr="001B5B45" w:rsidRDefault="00DC4447"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br w:type="page"/>
      </w:r>
    </w:p>
    <w:p w:rsidR="00BA4B87" w:rsidRPr="001B5B45" w:rsidRDefault="001C5C6E" w:rsidP="00CC1421">
      <w:pPr>
        <w:pStyle w:val="1"/>
        <w:snapToGrid w:val="0"/>
        <w:spacing w:beforeLines="0" w:afterLines="0" w:line="360" w:lineRule="auto"/>
        <w:ind w:firstLine="600"/>
        <w:rPr>
          <w:rFonts w:asciiTheme="minorEastAsia" w:eastAsiaTheme="minorEastAsia" w:hAnsiTheme="minorEastAsia"/>
        </w:rPr>
      </w:pPr>
      <w:bookmarkStart w:id="81" w:name="_Toc46927573"/>
      <w:bookmarkStart w:id="82" w:name="_Toc332373569"/>
      <w:r w:rsidRPr="001B5B45">
        <w:rPr>
          <w:rFonts w:asciiTheme="minorEastAsia" w:eastAsiaTheme="minorEastAsia" w:hAnsiTheme="minorEastAsia"/>
          <w:sz w:val="30"/>
        </w:rPr>
        <w:lastRenderedPageBreak/>
        <w:t>十八</w:t>
      </w:r>
      <w:r w:rsidR="00BA4B87" w:rsidRPr="001B5B45">
        <w:rPr>
          <w:rFonts w:asciiTheme="minorEastAsia" w:eastAsiaTheme="minorEastAsia" w:hAnsiTheme="minorEastAsia"/>
          <w:sz w:val="30"/>
        </w:rPr>
        <w:t>、基金的信息披露</w:t>
      </w:r>
      <w:bookmarkEnd w:id="81"/>
    </w:p>
    <w:bookmarkEnd w:id="82"/>
    <w:p w:rsidR="00B95706" w:rsidRPr="001B5B45" w:rsidRDefault="0090355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（一）</w:t>
      </w:r>
      <w:r w:rsidR="00CA3BE4" w:rsidRPr="001B5B45">
        <w:rPr>
          <w:rStyle w:val="da"/>
          <w:rFonts w:asciiTheme="minorEastAsia" w:eastAsiaTheme="minorEastAsia" w:hAnsiTheme="minorEastAsia"/>
        </w:rPr>
        <w:t>本基金的信息披露应符合《基金法》、《运作办法》、《信息披露办法》、《基金合同》及其他有关规定。相关法律法规关于信息披露的披露方式、登载媒介、报备方式等规定发生变化时，本基金从其最新规定。</w:t>
      </w:r>
    </w:p>
    <w:p w:rsidR="00B95706" w:rsidRPr="001B5B45" w:rsidRDefault="0090355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w:t>
      </w:r>
      <w:r w:rsidR="00B95706" w:rsidRPr="001B5B45">
        <w:rPr>
          <w:rStyle w:val="da"/>
          <w:rFonts w:asciiTheme="minorEastAsia" w:eastAsiaTheme="minorEastAsia" w:hAnsiTheme="minorEastAsia"/>
        </w:rPr>
        <w:t>信息披露义务人</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997221" w:rsidRPr="001B5B45" w:rsidRDefault="0099722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1B5B45" w:rsidRDefault="0090355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（三）</w:t>
      </w:r>
      <w:r w:rsidR="00B95706" w:rsidRPr="001B5B45">
        <w:rPr>
          <w:rStyle w:val="da"/>
          <w:rFonts w:asciiTheme="minorEastAsia" w:eastAsiaTheme="minorEastAsia" w:hAnsiTheme="minorEastAsia"/>
        </w:rPr>
        <w:t>本基金信息披露义务人承诺公开披露的基金信息，不得有下列行为：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1、虚假记载、误导性陈述或者重大遗漏；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2、对证券投资业绩进行预测；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3、违规承诺收益或者承担损失；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4、诋毁其他基金管理人、基金托管人或者基金销售机构；</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w:t>
      </w:r>
      <w:r w:rsidRPr="001B5B45">
        <w:rPr>
          <w:rStyle w:val="da"/>
          <w:rFonts w:asciiTheme="minorEastAsia" w:eastAsiaTheme="minorEastAsia" w:hAnsiTheme="minorEastAsia" w:hint="eastAsia"/>
        </w:rPr>
        <w:t>、登载任何自然人、法人和非法人组织的祝贺性、恭维性或推荐性的文字；</w:t>
      </w:r>
    </w:p>
    <w:p w:rsidR="00B85167" w:rsidRPr="001B5B45" w:rsidRDefault="0099722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6、中国证监会禁止的其他行为。</w:t>
      </w:r>
    </w:p>
    <w:p w:rsidR="00E37233" w:rsidRPr="001B5B45" w:rsidRDefault="003174D4">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Pr="001B5B45">
        <w:rPr>
          <w:rStyle w:val="da"/>
          <w:rFonts w:asciiTheme="minorEastAsia" w:eastAsiaTheme="minorEastAsia" w:hAnsiTheme="minorEastAsia" w:hint="eastAsia"/>
        </w:rPr>
        <w:t>四</w:t>
      </w:r>
      <w:r w:rsidRPr="001B5B45">
        <w:rPr>
          <w:rStyle w:val="da"/>
          <w:rFonts w:asciiTheme="minorEastAsia" w:eastAsiaTheme="minorEastAsia" w:hAnsiTheme="minorEastAsia"/>
        </w:rPr>
        <w:t>）</w:t>
      </w:r>
      <w:r w:rsidR="00D86678" w:rsidRPr="001B5B45">
        <w:rPr>
          <w:rStyle w:val="da"/>
          <w:rFonts w:asciiTheme="minorEastAsia" w:eastAsiaTheme="minorEastAsia" w:hAnsiTheme="minorEastAsia"/>
        </w:rPr>
        <w:t>本基金公开披露的信息应采用中文文本。如同时采用外文文本的，</w:t>
      </w:r>
      <w:r w:rsidR="00B05B7B" w:rsidRPr="001B5B45">
        <w:rPr>
          <w:rStyle w:val="da"/>
          <w:rFonts w:asciiTheme="minorEastAsia" w:eastAsiaTheme="minorEastAsia" w:hAnsiTheme="minorEastAsia" w:hint="eastAsia"/>
        </w:rPr>
        <w:t>基金信息披露义务人应保证不同文本的内容一致。不同文本之间发生歧义的</w:t>
      </w:r>
      <w:r w:rsidR="00D86678" w:rsidRPr="001B5B45">
        <w:rPr>
          <w:rStyle w:val="da"/>
          <w:rFonts w:asciiTheme="minorEastAsia" w:eastAsiaTheme="minorEastAsia" w:hAnsiTheme="minorEastAsia"/>
        </w:rPr>
        <w:t>，以中文文本为准。</w:t>
      </w:r>
    </w:p>
    <w:p w:rsidR="00C01642" w:rsidRPr="001B5B45" w:rsidRDefault="0099722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本基金公开披露的信息采用阿拉伯数字；除特别说明外，货币单位为人民币元。</w:t>
      </w:r>
    </w:p>
    <w:p w:rsidR="00B95706" w:rsidRPr="001B5B45" w:rsidRDefault="0090355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（五）</w:t>
      </w:r>
      <w:r w:rsidR="00B95706" w:rsidRPr="001B5B45">
        <w:rPr>
          <w:rStyle w:val="da"/>
          <w:rFonts w:asciiTheme="minorEastAsia" w:eastAsiaTheme="minorEastAsia" w:hAnsiTheme="minorEastAsia"/>
        </w:rPr>
        <w:t>公开披露的基金信息</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公开披露的基金信息包括：</w:t>
      </w:r>
    </w:p>
    <w:p w:rsidR="00B05B7B"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1、基金招募说明书、《基金合同》、基金托管协议</w:t>
      </w:r>
      <w:r w:rsidR="00B05B7B" w:rsidRPr="001B5B45">
        <w:rPr>
          <w:rStyle w:val="da"/>
          <w:rFonts w:asciiTheme="minorEastAsia" w:eastAsiaTheme="minorEastAsia" w:hAnsiTheme="minorEastAsia" w:hint="eastAsia"/>
        </w:rPr>
        <w:t>、基金产品资料概要</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（1）《基金合同》是界定《基金合同》当事人的各项权利、义务关系，明确基金份额持有人大会召开的规则及具体程序，说明基金产品的特性等涉及基金投资者重大利益的事项的法律文件。</w:t>
      </w:r>
    </w:p>
    <w:p w:rsidR="00B05B7B"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（2）基金招募说明书应当最大限度地披露影响基金投资者决策的全部事项，说明基金认购、申购和赎回安排、基金投资、基金产品特性、风险揭示、信息披露及基金份额持有人服务等内容。</w:t>
      </w:r>
      <w:r w:rsidR="00B05B7B" w:rsidRPr="001B5B45">
        <w:rPr>
          <w:rStyle w:val="da"/>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（3）基金托管协议是界定基金托管人和基金管理人在基金财产保管及基金运作监督等活动中的权利、义务关系的法律文件。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4</w:t>
      </w:r>
      <w:r w:rsidRPr="001B5B45">
        <w:rPr>
          <w:rStyle w:val="da"/>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2、基金份额发售公告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基金管理人应当就基金份额发售的具体事宜编制基金份额发售公告，并在披露招募说明书的当日登载于指定媒介上。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3、《基金合同》生效公告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基金管理人应当在收到中国证监会确认文件的次日在指定媒介上登载《基金合同》生效公告。</w:t>
      </w:r>
    </w:p>
    <w:p w:rsidR="00B05B7B"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w:t>
      </w:r>
      <w:r w:rsidR="00B05B7B" w:rsidRPr="001B5B45">
        <w:rPr>
          <w:rStyle w:val="da"/>
          <w:rFonts w:asciiTheme="minorEastAsia" w:eastAsiaTheme="minorEastAsia" w:hAnsiTheme="minorEastAsia" w:hint="eastAsia"/>
        </w:rPr>
        <w:t>基金净值信息</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基金管理人应当在不晚于半年度和年度最后一日的次日，在指定网站披露半年度和年度</w:t>
      </w:r>
      <w:r w:rsidRPr="001B5B45">
        <w:rPr>
          <w:rStyle w:val="da"/>
          <w:rFonts w:asciiTheme="minorEastAsia" w:eastAsiaTheme="minorEastAsia" w:hAnsiTheme="minorEastAsia" w:hint="eastAsia"/>
        </w:rPr>
        <w:lastRenderedPageBreak/>
        <w:t>最后一日的基金份额净值和基金份额累计净值。</w:t>
      </w:r>
    </w:p>
    <w:p w:rsidR="00E37233"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5、基金份额申购、赎回价格</w:t>
      </w:r>
    </w:p>
    <w:p w:rsidR="00B05B7B"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基金管理人应当在《基金合同》、招募说明书等信息披露文件上载明基金份额申购、赎回价格的计算方式及有关申购、赎回费率，</w:t>
      </w:r>
      <w:r w:rsidR="00B05B7B" w:rsidRPr="001B5B45">
        <w:rPr>
          <w:rStyle w:val="da"/>
          <w:rFonts w:asciiTheme="minorEastAsia" w:eastAsiaTheme="minorEastAsia" w:hAnsiTheme="minorEastAsia" w:hint="eastAsia"/>
        </w:rPr>
        <w:t>并保证投资者能够在基金销售机构网站或营业网点查阅或者复制前述信息资料。</w:t>
      </w:r>
    </w:p>
    <w:p w:rsidR="00B05B7B"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w:t>
      </w:r>
      <w:r w:rsidR="00B05B7B" w:rsidRPr="001B5B45">
        <w:rPr>
          <w:rStyle w:val="da"/>
          <w:rFonts w:asciiTheme="minorEastAsia" w:eastAsiaTheme="minorEastAsia" w:hAnsiTheme="minorEastAsia" w:hint="eastAsia"/>
        </w:rPr>
        <w:t>基金定期报告，包括基金年度报告、基金中期报告和基金季度报告</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基金管理人应当在季度结束之日起</w:t>
      </w:r>
      <w:r w:rsidRPr="001B5B45">
        <w:rPr>
          <w:rStyle w:val="da"/>
          <w:rFonts w:asciiTheme="minorEastAsia" w:eastAsiaTheme="minorEastAsia" w:hAnsiTheme="minorEastAsia"/>
        </w:rPr>
        <w:t>15</w:t>
      </w:r>
      <w:r w:rsidRPr="001B5B45">
        <w:rPr>
          <w:rStyle w:val="da"/>
          <w:rFonts w:asciiTheme="minorEastAsia" w:eastAsiaTheme="minorEastAsia" w:hAnsiTheme="minorEastAsia" w:hint="eastAsia"/>
        </w:rPr>
        <w:t>个工作日内，编制完成基金季度报告，将季度报告登载在指定网站上，并将季度报告提示性公告登载在指定报刊上。</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《基金合同》生效不足</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个月的，基金管理人可以不编制当期季度报告、中期报告或者年度报告。</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报告期内出现单一投资者持有基金份额比例达到或超过</w:t>
      </w:r>
      <w:r w:rsidRPr="001B5B45">
        <w:rPr>
          <w:rStyle w:val="da"/>
          <w:rFonts w:asciiTheme="minorEastAsia" w:eastAsiaTheme="minorEastAsia" w:hAnsiTheme="minorEastAsia"/>
        </w:rPr>
        <w:t>20%</w:t>
      </w:r>
      <w:r w:rsidRPr="001B5B45">
        <w:rPr>
          <w:rStyle w:val="da"/>
          <w:rFonts w:asciiTheme="minorEastAsia" w:eastAsiaTheme="minorEastAsia" w:hAnsiTheme="minorEastAsia" w:hint="eastAsia"/>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B05B7B" w:rsidRPr="001B5B45" w:rsidRDefault="00B05B7B"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基金持续运作过程中，基金管理人应当在基金年度报告和中期报告中披露基金组合资产情况及其流动性风险分析等。</w:t>
      </w:r>
    </w:p>
    <w:p w:rsidR="00E37233" w:rsidRPr="001B5B45" w:rsidRDefault="00D86678" w:rsidP="00B05B7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7、临时报告</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本基金发生重大事件，有关信息披露义务人应当在</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日内编制临时报告书，并登载在指定报刊和指定网站上。</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前款所称重大事件，是指可能对基金份额持有人权益或者基金份额的价格产生重大影响的下列事件：</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w:t>
      </w:r>
      <w:r w:rsidRPr="001B5B45">
        <w:rPr>
          <w:rStyle w:val="da"/>
          <w:rFonts w:asciiTheme="minorEastAsia" w:eastAsiaTheme="minorEastAsia" w:hAnsiTheme="minorEastAsia" w:hint="eastAsia"/>
        </w:rPr>
        <w:t>）基金份额持有人大会的召开及决定的事项；</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）基金合同终止、基金清算；</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3</w:t>
      </w:r>
      <w:r w:rsidRPr="001B5B45">
        <w:rPr>
          <w:rStyle w:val="da"/>
          <w:rFonts w:asciiTheme="minorEastAsia" w:eastAsiaTheme="minorEastAsia" w:hAnsiTheme="minorEastAsia" w:hint="eastAsia"/>
        </w:rPr>
        <w:t>）、转换基金运作方式、基金合并；</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4</w:t>
      </w:r>
      <w:r w:rsidRPr="001B5B45">
        <w:rPr>
          <w:rStyle w:val="da"/>
          <w:rFonts w:asciiTheme="minorEastAsia" w:eastAsiaTheme="minorEastAsia" w:hAnsiTheme="minorEastAsia" w:hint="eastAsia"/>
        </w:rPr>
        <w:t>）更换基金管理人、基金托管人、基金份额登记机构，基金改聘会计师事务所；</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w:t>
      </w:r>
      <w:r w:rsidRPr="001B5B45">
        <w:rPr>
          <w:rStyle w:val="da"/>
          <w:rFonts w:asciiTheme="minorEastAsia" w:eastAsiaTheme="minorEastAsia" w:hAnsiTheme="minorEastAsia"/>
        </w:rPr>
        <w:t>5</w:t>
      </w:r>
      <w:r w:rsidRPr="001B5B45">
        <w:rPr>
          <w:rStyle w:val="da"/>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6</w:t>
      </w:r>
      <w:r w:rsidRPr="001B5B45">
        <w:rPr>
          <w:rStyle w:val="da"/>
          <w:rFonts w:asciiTheme="minorEastAsia" w:eastAsiaTheme="minorEastAsia" w:hAnsiTheme="minorEastAsia" w:hint="eastAsia"/>
        </w:rPr>
        <w:t>）基金管理人、基金托管人的法定名称、住所发生变更；</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7</w:t>
      </w:r>
      <w:r w:rsidRPr="001B5B45">
        <w:rPr>
          <w:rStyle w:val="da"/>
          <w:rFonts w:asciiTheme="minorEastAsia" w:eastAsiaTheme="minorEastAsia" w:hAnsiTheme="minorEastAsia" w:hint="eastAsia"/>
        </w:rPr>
        <w:t>）基金管理公司变更持有百分之五以上股权的股东、基金管理人的实际控制人变更；</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8</w:t>
      </w:r>
      <w:r w:rsidRPr="001B5B45">
        <w:rPr>
          <w:rStyle w:val="da"/>
          <w:rFonts w:asciiTheme="minorEastAsia" w:eastAsiaTheme="minorEastAsia" w:hAnsiTheme="minorEastAsia" w:hint="eastAsia"/>
        </w:rPr>
        <w:t>）基金募集期延长或提前结束募集；</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9</w:t>
      </w:r>
      <w:r w:rsidRPr="001B5B45">
        <w:rPr>
          <w:rStyle w:val="da"/>
          <w:rFonts w:asciiTheme="minorEastAsia" w:eastAsiaTheme="minorEastAsia" w:hAnsiTheme="minorEastAsia" w:hint="eastAsia"/>
        </w:rPr>
        <w:t>）基金管理人的高级管理人员、基金经理和基金托管人专门基金托管部门负责人发生变动；</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10</w:t>
      </w:r>
      <w:r w:rsidRPr="001B5B45">
        <w:rPr>
          <w:rStyle w:val="da"/>
          <w:rFonts w:asciiTheme="minorEastAsia" w:eastAsiaTheme="minorEastAsia" w:hAnsiTheme="minorEastAsia" w:hint="eastAsia"/>
        </w:rPr>
        <w:t>）基金管理人的董事在最近</w:t>
      </w:r>
      <w:r w:rsidRPr="001B5B45">
        <w:rPr>
          <w:rStyle w:val="da"/>
          <w:rFonts w:asciiTheme="minorEastAsia" w:eastAsiaTheme="minorEastAsia" w:hAnsiTheme="minorEastAsia"/>
        </w:rPr>
        <w:t>12</w:t>
      </w:r>
      <w:r w:rsidRPr="001B5B45">
        <w:rPr>
          <w:rStyle w:val="da"/>
          <w:rFonts w:asciiTheme="minorEastAsia" w:eastAsiaTheme="minorEastAsia" w:hAnsiTheme="minorEastAsia" w:hint="eastAsia"/>
        </w:rPr>
        <w:t>个月内变更超过百分之五十，基金管理人、基金托管人专门基金托管部门的主要业务人员在最近</w:t>
      </w:r>
      <w:r w:rsidRPr="001B5B45">
        <w:rPr>
          <w:rStyle w:val="da"/>
          <w:rFonts w:asciiTheme="minorEastAsia" w:eastAsiaTheme="minorEastAsia" w:hAnsiTheme="minorEastAsia"/>
        </w:rPr>
        <w:t>12</w:t>
      </w:r>
      <w:r w:rsidRPr="001B5B45">
        <w:rPr>
          <w:rStyle w:val="da"/>
          <w:rFonts w:asciiTheme="minorEastAsia" w:eastAsiaTheme="minorEastAsia" w:hAnsiTheme="minorEastAsia" w:hint="eastAsia"/>
        </w:rPr>
        <w:t>个月内变动超过百分之三十；</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11</w:t>
      </w:r>
      <w:r w:rsidRPr="001B5B45">
        <w:rPr>
          <w:rStyle w:val="da"/>
          <w:rFonts w:asciiTheme="minorEastAsia" w:eastAsiaTheme="minorEastAsia" w:hAnsiTheme="minorEastAsia" w:hint="eastAsia"/>
        </w:rPr>
        <w:t>）涉及基金财产、基金管理业务、基金托管业务的诉讼或仲裁；</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12</w:t>
      </w:r>
      <w:r w:rsidRPr="001B5B45">
        <w:rPr>
          <w:rStyle w:val="da"/>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13</w:t>
      </w:r>
      <w:r w:rsidRPr="001B5B45">
        <w:rPr>
          <w:rStyle w:val="da"/>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14</w:t>
      </w:r>
      <w:r w:rsidRPr="001B5B45">
        <w:rPr>
          <w:rStyle w:val="da"/>
          <w:rFonts w:asciiTheme="minorEastAsia" w:eastAsiaTheme="minorEastAsia" w:hAnsiTheme="minorEastAsia" w:hint="eastAsia"/>
        </w:rPr>
        <w:t>）基金收益分配事项；</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15</w:t>
      </w:r>
      <w:r w:rsidRPr="001B5B45">
        <w:rPr>
          <w:rStyle w:val="da"/>
          <w:rFonts w:asciiTheme="minorEastAsia" w:eastAsiaTheme="minorEastAsia" w:hAnsiTheme="minorEastAsia" w:hint="eastAsia"/>
        </w:rPr>
        <w:t>）管理费、托管费、申购费、赎回费等费用计提标准、计提方式和费率发生变更；</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16</w:t>
      </w:r>
      <w:r w:rsidRPr="001B5B45">
        <w:rPr>
          <w:rStyle w:val="da"/>
          <w:rFonts w:asciiTheme="minorEastAsia" w:eastAsiaTheme="minorEastAsia" w:hAnsiTheme="minorEastAsia" w:hint="eastAsia"/>
        </w:rPr>
        <w:t>）基金份额净值计价错误达基金份额净值百分之零点五；</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17</w:t>
      </w:r>
      <w:r w:rsidRPr="001B5B45">
        <w:rPr>
          <w:rStyle w:val="da"/>
          <w:rFonts w:asciiTheme="minorEastAsia" w:eastAsiaTheme="minorEastAsia" w:hAnsiTheme="minorEastAsia" w:hint="eastAsia"/>
        </w:rPr>
        <w:t>）本基金开始办理申购、赎回；</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18</w:t>
      </w:r>
      <w:r w:rsidRPr="001B5B45">
        <w:rPr>
          <w:rStyle w:val="da"/>
          <w:rFonts w:asciiTheme="minorEastAsia" w:eastAsiaTheme="minorEastAsia" w:hAnsiTheme="minorEastAsia" w:hint="eastAsia"/>
        </w:rPr>
        <w:t>）本基金暂停接受申购、赎回申请或重新接受申购、赎回申请；</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19</w:t>
      </w:r>
      <w:r w:rsidRPr="001B5B45">
        <w:rPr>
          <w:rStyle w:val="da"/>
          <w:rFonts w:asciiTheme="minorEastAsia" w:eastAsiaTheme="minorEastAsia" w:hAnsiTheme="minorEastAsia" w:hint="eastAsia"/>
        </w:rPr>
        <w:t>）调整基金份额类别的设置；</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20</w:t>
      </w:r>
      <w:r w:rsidRPr="001B5B45">
        <w:rPr>
          <w:rStyle w:val="da"/>
          <w:rFonts w:asciiTheme="minorEastAsia" w:eastAsiaTheme="minorEastAsia" w:hAnsiTheme="minorEastAsia" w:hint="eastAsia"/>
        </w:rPr>
        <w:t>）基金推出新业务或服务；</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21</w:t>
      </w:r>
      <w:r w:rsidRPr="001B5B45">
        <w:rPr>
          <w:rStyle w:val="da"/>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8、澄清公告</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9</w:t>
      </w:r>
      <w:r w:rsidRPr="001B5B45">
        <w:rPr>
          <w:rStyle w:val="da"/>
          <w:rFonts w:asciiTheme="minorEastAsia" w:eastAsiaTheme="minorEastAsia" w:hAnsiTheme="minorEastAsia" w:hint="eastAsia"/>
        </w:rPr>
        <w:t>、清算报告</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E37233" w:rsidRPr="001B5B45" w:rsidRDefault="000E071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10</w:t>
      </w:r>
      <w:r w:rsidR="00D86678" w:rsidRPr="001B5B45">
        <w:rPr>
          <w:rStyle w:val="da"/>
          <w:rFonts w:asciiTheme="minorEastAsia" w:eastAsiaTheme="minorEastAsia" w:hAnsiTheme="minorEastAsia"/>
        </w:rPr>
        <w:t>、基金份额持有人大会决议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基金份额持有人大会决定的事项，应当依法报国务院证券监督管理机构备案，并予以公告。</w:t>
      </w:r>
    </w:p>
    <w:p w:rsidR="00E37233" w:rsidRPr="001B5B45" w:rsidRDefault="000E071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11</w:t>
      </w:r>
      <w:r w:rsidR="00D86678" w:rsidRPr="001B5B45">
        <w:rPr>
          <w:rStyle w:val="da"/>
          <w:rFonts w:asciiTheme="minorEastAsia" w:eastAsiaTheme="minorEastAsia" w:hAnsiTheme="minorEastAsia"/>
        </w:rPr>
        <w:t>、中国证监会规定的其他信息</w:t>
      </w:r>
    </w:p>
    <w:p w:rsidR="00564CC1" w:rsidRPr="001B5B45" w:rsidRDefault="00997221"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若本基金投资股指期货、国债期货、证券公司短期公司债、中小企业私募债券、资产支持证券、股票期权、参与融资业务，基金管理人将按相关法律法规要求进行披露。</w:t>
      </w:r>
    </w:p>
    <w:p w:rsidR="00B95706" w:rsidRPr="001B5B45" w:rsidRDefault="0090355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（六）</w:t>
      </w:r>
      <w:r w:rsidR="00B95706" w:rsidRPr="001B5B45">
        <w:rPr>
          <w:rStyle w:val="da"/>
          <w:rFonts w:asciiTheme="minorEastAsia" w:eastAsiaTheme="minorEastAsia" w:hAnsiTheme="minorEastAsia"/>
        </w:rPr>
        <w:t>信息披露事务管理</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基金管理人、基金托管人应当建立健全信息披露管理制度，指定专门部门及高级管理人员负责管理信息披露事务。</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基金信息披露义务人公开披露基金信息，应当符合中国证监会相关基金信息披露内容与格式准则等法规的规定。</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1B5B45" w:rsidRDefault="0090355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（七）</w:t>
      </w:r>
      <w:r w:rsidR="00B95706" w:rsidRPr="001B5B45">
        <w:rPr>
          <w:rStyle w:val="da"/>
          <w:rFonts w:asciiTheme="minorEastAsia" w:eastAsiaTheme="minorEastAsia" w:hAnsiTheme="minorEastAsia"/>
        </w:rPr>
        <w:t>信息披露文件的存放与查阅</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DC4447" w:rsidRPr="001B5B45" w:rsidRDefault="00DC4447"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br w:type="page"/>
      </w:r>
    </w:p>
    <w:p w:rsidR="00BA4B87" w:rsidRPr="001B5B45" w:rsidRDefault="001C5C6E" w:rsidP="00CC1421">
      <w:pPr>
        <w:pStyle w:val="1"/>
        <w:snapToGrid w:val="0"/>
        <w:spacing w:beforeLines="0" w:afterLines="0" w:line="360" w:lineRule="auto"/>
        <w:ind w:firstLine="600"/>
        <w:rPr>
          <w:rFonts w:asciiTheme="minorEastAsia" w:eastAsiaTheme="minorEastAsia" w:hAnsiTheme="minorEastAsia"/>
        </w:rPr>
      </w:pPr>
      <w:bookmarkStart w:id="83" w:name="_Toc46927574"/>
      <w:bookmarkStart w:id="84" w:name="_Toc332373573"/>
      <w:r w:rsidRPr="001B5B45">
        <w:rPr>
          <w:rFonts w:asciiTheme="minorEastAsia" w:eastAsiaTheme="minorEastAsia" w:hAnsiTheme="minorEastAsia"/>
          <w:sz w:val="30"/>
        </w:rPr>
        <w:lastRenderedPageBreak/>
        <w:t>十九</w:t>
      </w:r>
      <w:r w:rsidR="00BA4B87" w:rsidRPr="001B5B45">
        <w:rPr>
          <w:rFonts w:asciiTheme="minorEastAsia" w:eastAsiaTheme="minorEastAsia" w:hAnsiTheme="minorEastAsia"/>
          <w:sz w:val="30"/>
        </w:rPr>
        <w:t>、风险揭示</w:t>
      </w:r>
      <w:bookmarkEnd w:id="83"/>
    </w:p>
    <w:p w:rsidR="00843601" w:rsidRPr="001B5B45" w:rsidRDefault="00843601" w:rsidP="006C3CF2">
      <w:pPr>
        <w:spacing w:line="360" w:lineRule="auto"/>
        <w:ind w:firstLineChars="200" w:firstLine="420"/>
        <w:rPr>
          <w:rStyle w:val="da"/>
          <w:rFonts w:asciiTheme="minorEastAsia" w:eastAsiaTheme="minorEastAsia" w:hAnsiTheme="minorEastAsia"/>
        </w:rPr>
      </w:pPr>
      <w:bookmarkStart w:id="85" w:name="_Toc332373574"/>
      <w:bookmarkEnd w:id="84"/>
      <w:r w:rsidRPr="001B5B45">
        <w:rPr>
          <w:rStyle w:val="da"/>
          <w:rFonts w:asciiTheme="minorEastAsia" w:eastAsiaTheme="minorEastAsia" w:hAnsiTheme="minorEastAsia"/>
        </w:rPr>
        <w:t>（一）本基金的特有风险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1、本基金非现金资产主要投资于供给改革相关的资产，与之相关的特有风险包括但不限于：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（1）本基金非现金资产主要投资于与供给改革相关的资产，因此本基金在获取供给改革受益产业和公司收益的同时，须承受供给改革相关资产波动带来的风险。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（2）行业集中风险。与供给改革相关的产业识别是一个动态的过程，可能存在某段时期，受益的产业和公司大多出自少数几个行业，使得该期间本基金面临所投资的行业较为集中的风险。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经营风险。受惠于供给改革的产业和公司可能因改革实施而处于转型期，经营稳定性相对较低，抵抗市场风险和行业风险的能力相对较弱。因此，投资于供给改革相关的产业和公司可能面临较大的经营风险，从而带来本基金投资收益水平的不确定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改革失败的风险。国家各项改革政策、产业政策的实施，可能会使相关产业和公司从中受益，但改革的效果可能需要用较长时间检验，改革的最终效果存在不确定性，本基金投资的公司可能面临着改革失败而造成亏损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2、本基金投资特定品种的特有风险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本基金投资范围包括股指期货、国债期货、期权等金融衍生品，股指期货、国债期货、期权等金融衍生品投资可能给本基金带来额外风险。投资股指期货、国债期货的风险包括但不限于杠杆风险、保证金风险、期货价格与基金投资品种价格的相关度降低带来的风险等；投资期权的风险包括但不限于市场风险、流动性风险、交易对手信用风险、操作风险、保证金风险等。由此可能增加本基金净值的波动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w:t>
      </w:r>
      <w:r w:rsidRPr="001B5B45">
        <w:rPr>
          <w:rStyle w:val="da"/>
          <w:rFonts w:asciiTheme="minorEastAsia" w:eastAsiaTheme="minorEastAsia" w:hAnsiTheme="minorEastAsia"/>
        </w:rPr>
        <w:lastRenderedPageBreak/>
        <w:t>公开发布，也大大提高了分析并跟踪发债主体信用基本面的难度。由此可能给基金净值带来不利影响或损失。</w:t>
      </w:r>
    </w:p>
    <w:p w:rsidR="008B5311" w:rsidRPr="001B5B45" w:rsidRDefault="00B16DA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本基金可在综合考虑预期收益、风险、流动性等因素的基础上，参与融资业务。参与融资业务面临的风险包括保证金管理风险（保证金预留过多会导致资金运用效率过低，保证金不足将有被强行平仓的风险）、强制平仓风险、融资利率波动风险等，此外，由于参与融资业务需要通过具备相关业务资格的证券经纪商进行，本基金还面临着证券经纪商技术系统风险、运营风险、数据风险等，由此可能增加本基金净值的波动性。</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5）</w:t>
      </w:r>
      <w:r w:rsidRPr="001B5B45">
        <w:rPr>
          <w:rStyle w:val="da"/>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科创板股票在发行、上市、交易、退市等方面的规则与其他板块存在差异，基金投资科创板股票的风险包括但不限于：</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w:t>
      </w:r>
      <w:r w:rsidRPr="001B5B45">
        <w:rPr>
          <w:rStyle w:val="da"/>
          <w:rFonts w:asciiTheme="minorEastAsia" w:eastAsiaTheme="minorEastAsia" w:hAnsiTheme="minorEastAsia" w:hint="eastAsia"/>
        </w:rPr>
        <w:t>）科创板企业退市风险</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）市场风险</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1B5B45">
        <w:rPr>
          <w:rStyle w:val="da"/>
          <w:rFonts w:asciiTheme="minorEastAsia" w:eastAsiaTheme="minorEastAsia" w:hAnsiTheme="minorEastAsia"/>
        </w:rPr>
        <w:t>A</w:t>
      </w:r>
      <w:r w:rsidRPr="001B5B45">
        <w:rPr>
          <w:rStyle w:val="da"/>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1B5B45">
        <w:rPr>
          <w:rStyle w:val="da"/>
          <w:rFonts w:asciiTheme="minorEastAsia" w:eastAsiaTheme="minorEastAsia" w:hAnsiTheme="minorEastAsia"/>
        </w:rPr>
        <w:t>5</w:t>
      </w:r>
      <w:r w:rsidRPr="001B5B45">
        <w:rPr>
          <w:rStyle w:val="da"/>
          <w:rFonts w:asciiTheme="minorEastAsia" w:eastAsiaTheme="minorEastAsia" w:hAnsiTheme="minorEastAsia" w:hint="eastAsia"/>
        </w:rPr>
        <w:t>个交易日不设涨跌幅限制，其后涨跌幅限制为</w:t>
      </w:r>
      <w:r w:rsidRPr="001B5B45">
        <w:rPr>
          <w:rStyle w:val="da"/>
          <w:rFonts w:asciiTheme="minorEastAsia" w:eastAsiaTheme="minorEastAsia" w:hAnsiTheme="minorEastAsia"/>
        </w:rPr>
        <w:t>20%</w:t>
      </w:r>
      <w:r w:rsidRPr="001B5B45">
        <w:rPr>
          <w:rStyle w:val="da"/>
          <w:rFonts w:asciiTheme="minorEastAsia" w:eastAsiaTheme="minorEastAsia" w:hAnsiTheme="minorEastAsia" w:hint="eastAsia"/>
        </w:rPr>
        <w:t>）、科创板股票上市首日即可作为融资融券标的，可能导致较大的股票价格波动。</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w:t>
      </w:r>
      <w:r w:rsidRPr="001B5B45">
        <w:rPr>
          <w:rStyle w:val="da"/>
          <w:rFonts w:asciiTheme="minorEastAsia" w:eastAsiaTheme="minorEastAsia" w:hAnsiTheme="minorEastAsia" w:hint="eastAsia"/>
        </w:rPr>
        <w:t>）流动性风险</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4</w:t>
      </w:r>
      <w:r w:rsidRPr="001B5B45">
        <w:rPr>
          <w:rStyle w:val="da"/>
          <w:rFonts w:asciiTheme="minorEastAsia" w:eastAsiaTheme="minorEastAsia" w:hAnsiTheme="minorEastAsia" w:hint="eastAsia"/>
        </w:rPr>
        <w:t>）监管规则变化的风险</w:t>
      </w:r>
    </w:p>
    <w:p w:rsidR="00020503" w:rsidRPr="001B5B45" w:rsidRDefault="00020503" w:rsidP="008E6611">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BA4B87" w:rsidRPr="001B5B45" w:rsidRDefault="002E1C3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843601" w:rsidRPr="001B5B45">
        <w:rPr>
          <w:rStyle w:val="da"/>
          <w:rFonts w:asciiTheme="minorEastAsia" w:eastAsiaTheme="minorEastAsia" w:hAnsiTheme="minorEastAsia"/>
        </w:rPr>
        <w:t>二</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市场风险</w:t>
      </w:r>
    </w:p>
    <w:bookmarkEnd w:id="85"/>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本基金投资于证券市场，而证券市场价格因受到经济因素、政治因素、投资者心理和交易制度等各种因素的影响而产生波动，从而导致基金收益水平发生变化，产生风险。主要的风险因素包括：</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1、政策风险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因国家宏观政策（如货币政策、财政政策、产业政策、地区发展政策等）发生变化，导致市场价格波动而产生风险。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2、利率风险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利率风险主要是指因金融市场利率的波动而导致证券市场价格和收益率变动的风险。利率直接影响着债券的价格和收益率，影响着企业的融资成本和利润。本基金为混合型基金，可投资于股票和债券，其收益水平可能会受到利率变化的影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3、购买力风险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如果发生通货膨胀，基金投资于证券所获得的收益可能会被通货膨胀抵消，从而影响基金资产的实际收益率。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4、信用风险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信用风险主要指债券、票据发行主体、存款银行信用状况可能恶化而可能产生的到期不能兑付的风险。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5、公司经营风险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6、经济周期风险</w:t>
      </w:r>
    </w:p>
    <w:p w:rsidR="0055340E" w:rsidRPr="001B5B45" w:rsidRDefault="00894FE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随着经济运行的周期性变化，证券市场的收益水平也呈周期性变化，基金投资的收益水平也会随之变化，从而产生风险。</w:t>
      </w:r>
    </w:p>
    <w:p w:rsidR="00AE536E" w:rsidRPr="001B5B45" w:rsidRDefault="002E1C38" w:rsidP="006C3CF2">
      <w:pPr>
        <w:spacing w:line="360" w:lineRule="auto"/>
        <w:ind w:firstLineChars="200" w:firstLine="420"/>
        <w:rPr>
          <w:rStyle w:val="da"/>
          <w:rFonts w:asciiTheme="minorEastAsia" w:eastAsiaTheme="minorEastAsia" w:hAnsiTheme="minorEastAsia"/>
        </w:rPr>
      </w:pPr>
      <w:bookmarkStart w:id="86" w:name="_Toc332373575"/>
      <w:r w:rsidRPr="001B5B45">
        <w:rPr>
          <w:rStyle w:val="da"/>
          <w:rFonts w:asciiTheme="minorEastAsia" w:eastAsiaTheme="minorEastAsia" w:hAnsiTheme="minorEastAsia"/>
        </w:rPr>
        <w:lastRenderedPageBreak/>
        <w:t>（</w:t>
      </w:r>
      <w:r w:rsidR="00843601" w:rsidRPr="001B5B45">
        <w:rPr>
          <w:rStyle w:val="da"/>
          <w:rFonts w:asciiTheme="minorEastAsia" w:eastAsiaTheme="minorEastAsia" w:hAnsiTheme="minorEastAsia"/>
        </w:rPr>
        <w:t>三</w:t>
      </w:r>
      <w:r w:rsidRPr="001B5B45">
        <w:rPr>
          <w:rStyle w:val="da"/>
          <w:rFonts w:asciiTheme="minorEastAsia" w:eastAsiaTheme="minorEastAsia" w:hAnsiTheme="minorEastAsia"/>
        </w:rPr>
        <w:t>）</w:t>
      </w:r>
      <w:r w:rsidR="00AE536E" w:rsidRPr="001B5B45">
        <w:rPr>
          <w:rStyle w:val="da"/>
          <w:rFonts w:asciiTheme="minorEastAsia" w:eastAsiaTheme="minorEastAsia" w:hAnsiTheme="minorEastAsia"/>
        </w:rPr>
        <w:t>流动性风险</w:t>
      </w:r>
    </w:p>
    <w:bookmarkEnd w:id="86"/>
    <w:p w:rsidR="009B4C50" w:rsidRPr="001B5B45" w:rsidRDefault="009B4C50" w:rsidP="009B4C50">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1、流动性风险评估</w:t>
      </w:r>
    </w:p>
    <w:p w:rsidR="009B4C50" w:rsidRPr="001B5B45" w:rsidRDefault="009B4C50" w:rsidP="009B4C50">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本基金为混合基金，可投资于股票、债券、货币市场工具等，一般情况下，这些资产市场流动性较好。</w:t>
      </w:r>
    </w:p>
    <w:p w:rsidR="00AE536E" w:rsidRPr="001B5B45" w:rsidRDefault="009B4C50" w:rsidP="009B4C50">
      <w:pPr>
        <w:spacing w:line="360" w:lineRule="auto"/>
        <w:ind w:firstLineChars="200" w:firstLine="420"/>
        <w:rPr>
          <w:rStyle w:val="da"/>
          <w:rFonts w:asciiTheme="minorEastAsia" w:eastAsiaTheme="minorEastAsia" w:hAnsiTheme="minorEastAsia"/>
        </w:rPr>
      </w:pPr>
      <w:r w:rsidRPr="001B5B45">
        <w:rPr>
          <w:rFonts w:asciiTheme="minorEastAsia" w:eastAsiaTheme="minorEastAsia" w:hAnsiTheme="minorEastAsia" w:hint="eastAsia"/>
        </w:rPr>
        <w:t>但本基金投资于上述资产时，仍存在以下流动性风险</w:t>
      </w:r>
      <w:r w:rsidR="0059218B" w:rsidRPr="001B5B45">
        <w:rPr>
          <w:rStyle w:val="da"/>
          <w:rFonts w:asciiTheme="minorEastAsia" w:eastAsiaTheme="minorEastAsia" w:hAnsiTheme="minorEastAsia"/>
        </w:rPr>
        <w:t>：一是基金管理人建仓时或为实现收益而进行组合调整时，可能由于</w:t>
      </w:r>
      <w:r w:rsidRPr="001B5B45">
        <w:rPr>
          <w:rFonts w:asciiTheme="minorEastAsia" w:eastAsiaTheme="minorEastAsia" w:hAnsiTheme="minorEastAsia" w:hint="eastAsia"/>
        </w:rPr>
        <w:t>特定投资标的</w:t>
      </w:r>
      <w:r w:rsidR="0059218B" w:rsidRPr="001B5B45">
        <w:rPr>
          <w:rStyle w:val="da"/>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市场流动性相对不足而无法按预期的价格买进或卖出；二是为应付投资者的赎回，基金管理人的现金支付出现困难，被迫在不适当的价格大量抛售股票、债券或其他资产。两者均可能使基金净值受到不利影响。</w:t>
      </w:r>
    </w:p>
    <w:p w:rsidR="00802B9F" w:rsidRPr="001B5B45" w:rsidRDefault="00802B9F" w:rsidP="00802B9F">
      <w:pPr>
        <w:spacing w:line="360" w:lineRule="auto"/>
        <w:ind w:firstLineChars="200" w:firstLine="420"/>
        <w:rPr>
          <w:rFonts w:asciiTheme="minorEastAsia" w:eastAsiaTheme="minorEastAsia" w:hAnsiTheme="minorEastAsia"/>
        </w:rPr>
      </w:pPr>
      <w:bookmarkStart w:id="87" w:name="_Toc332373576"/>
      <w:r w:rsidRPr="001B5B45">
        <w:rPr>
          <w:rFonts w:asciiTheme="minorEastAsia" w:eastAsiaTheme="minorEastAsia" w:hAnsiTheme="minorEastAsia" w:hint="eastAsia"/>
        </w:rPr>
        <w:t>2、巨额赎回情形下的流动性风险管理措施</w:t>
      </w:r>
    </w:p>
    <w:p w:rsidR="00802B9F" w:rsidRPr="001B5B45" w:rsidRDefault="00802B9F" w:rsidP="00802B9F">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802B9F" w:rsidRPr="001B5B45" w:rsidRDefault="00802B9F" w:rsidP="00802B9F">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802B9F" w:rsidRPr="001B5B45" w:rsidRDefault="00802B9F" w:rsidP="00802B9F">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3、除巨额赎回情形外实施备用的流动性风险管理工具的情形、程序及对投资者的潜在影响</w:t>
      </w:r>
    </w:p>
    <w:p w:rsidR="00802B9F" w:rsidRPr="001B5B45" w:rsidRDefault="00802B9F" w:rsidP="00802B9F">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802B9F" w:rsidRPr="001B5B45" w:rsidRDefault="00802B9F" w:rsidP="00802B9F">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szCs w:val="21"/>
        </w:rPr>
        <w:t>暂停接受赎回申请、延缓支付赎回款项等工具的情形、程序见招募说明书“八、基金份额的申购、赎回”之“</w:t>
      </w:r>
      <w:r w:rsidRPr="001B5B45">
        <w:rPr>
          <w:rFonts w:asciiTheme="minorEastAsia" w:eastAsiaTheme="minorEastAsia" w:hAnsiTheme="minorEastAsia" w:hint="eastAsia"/>
        </w:rPr>
        <w:t>（十一）拒绝或暂停申购、暂停赎回</w:t>
      </w:r>
      <w:r w:rsidRPr="001B5B45">
        <w:rPr>
          <w:rFonts w:asciiTheme="minorEastAsia" w:eastAsiaTheme="minorEastAsia" w:hAnsiTheme="minorEastAsia" w:hint="eastAsia"/>
          <w:szCs w:val="21"/>
        </w:rPr>
        <w:t>或延缓支付赎回款项</w:t>
      </w:r>
      <w:r w:rsidRPr="001B5B45">
        <w:rPr>
          <w:rFonts w:asciiTheme="minorEastAsia" w:eastAsiaTheme="minorEastAsia" w:hAnsiTheme="minorEastAsia" w:hint="eastAsia"/>
        </w:rPr>
        <w:t>的情形及处理”的相关规定。</w:t>
      </w:r>
      <w:r w:rsidRPr="001B5B45">
        <w:rPr>
          <w:rFonts w:asciiTheme="minorEastAsia" w:eastAsiaTheme="minorEastAsia" w:hAnsiTheme="minorEastAsia" w:hint="eastAsia"/>
          <w:szCs w:val="21"/>
        </w:rPr>
        <w:t>若本基金暂停赎回申请，投</w:t>
      </w:r>
      <w:r w:rsidRPr="001B5B45">
        <w:rPr>
          <w:rFonts w:asciiTheme="minorEastAsia" w:eastAsiaTheme="minorEastAsia" w:hAnsiTheme="minorEastAsia" w:hint="eastAsia"/>
        </w:rPr>
        <w:t>资者在暂停赎回期间将无法赎回其持有的基金份额。若</w:t>
      </w:r>
      <w:r w:rsidRPr="001B5B45">
        <w:rPr>
          <w:rFonts w:asciiTheme="minorEastAsia" w:eastAsiaTheme="minorEastAsia" w:hAnsiTheme="minorEastAsia" w:hint="eastAsia"/>
          <w:szCs w:val="21"/>
        </w:rPr>
        <w:t>本基金延缓支付赎回款项，赎回款支付时间将后延，可能对投资者的资金安排带来不利影响。</w:t>
      </w:r>
    </w:p>
    <w:p w:rsidR="00802B9F" w:rsidRPr="001B5B45" w:rsidRDefault="00802B9F" w:rsidP="00802B9F">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w:t>
      </w:r>
      <w:r w:rsidRPr="001B5B45">
        <w:rPr>
          <w:rFonts w:asciiTheme="minorEastAsia" w:eastAsiaTheme="minorEastAsia" w:hAnsiTheme="minorEastAsia" w:hint="eastAsia"/>
          <w:szCs w:val="21"/>
        </w:rPr>
        <w:lastRenderedPageBreak/>
        <w:t>产。短期赎回费的收取将使得投资者在持续持有期限少于7日时会承担较高的赎回费。</w:t>
      </w:r>
    </w:p>
    <w:p w:rsidR="00802B9F" w:rsidRPr="001B5B45" w:rsidRDefault="00802B9F" w:rsidP="004E2ECB">
      <w:pPr>
        <w:spacing w:line="360" w:lineRule="auto"/>
        <w:ind w:firstLineChars="200" w:firstLine="420"/>
        <w:rPr>
          <w:rFonts w:asciiTheme="minorEastAsia" w:eastAsiaTheme="minorEastAsia" w:hAnsiTheme="minorEastAsia"/>
          <w:szCs w:val="21"/>
        </w:rPr>
      </w:pPr>
      <w:r w:rsidRPr="001B5B45">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暂停基金估值的情形、程序见招募说明书“十四、基金资产的估值”之“（六）暂停估值的情形”的相关规定。若本基金暂停基金估值，一方面投资者将无法知晓本基金的基金份额净值，</w:t>
      </w:r>
      <w:r w:rsidR="004E2ECB" w:rsidRPr="001B5B45">
        <w:rPr>
          <w:rFonts w:asciiTheme="minorEastAsia" w:eastAsiaTheme="minorEastAsia" w:hAnsiTheme="minorEastAsia" w:hint="eastAsia"/>
          <w:szCs w:val="21"/>
        </w:rPr>
        <w:t>另一方面基金将</w:t>
      </w:r>
      <w:r w:rsidR="004E2ECB" w:rsidRPr="001B5B45">
        <w:rPr>
          <w:rFonts w:asciiTheme="minorEastAsia" w:eastAsiaTheme="minorEastAsia" w:hAnsiTheme="minorEastAsia" w:hint="eastAsia"/>
        </w:rPr>
        <w:t>延缓支付赎回款项或</w:t>
      </w:r>
      <w:r w:rsidR="004E2ECB" w:rsidRPr="001B5B45">
        <w:rPr>
          <w:rFonts w:asciiTheme="minorEastAsia" w:eastAsiaTheme="minorEastAsia" w:hAnsiTheme="minorEastAsia" w:hint="eastAsia"/>
          <w:szCs w:val="21"/>
        </w:rPr>
        <w:t>暂停接受申购赎回申请，</w:t>
      </w:r>
      <w:r w:rsidR="004E2ECB" w:rsidRPr="001B5B45">
        <w:rPr>
          <w:rFonts w:asciiTheme="minorEastAsia" w:eastAsiaTheme="minorEastAsia" w:hAnsiTheme="minorEastAsia" w:hint="eastAsia"/>
        </w:rPr>
        <w:t>延缓支付赎回款项可能影响投资者的资金安排，</w:t>
      </w:r>
      <w:r w:rsidR="004E2ECB" w:rsidRPr="001B5B45">
        <w:rPr>
          <w:rFonts w:asciiTheme="minorEastAsia" w:eastAsiaTheme="minorEastAsia" w:hAnsiTheme="minorEastAsia" w:hint="eastAsia"/>
          <w:szCs w:val="21"/>
        </w:rPr>
        <w:t>暂停接受申购赎回申请将导致投资者无法申购或赎回本基金</w:t>
      </w:r>
      <w:r w:rsidRPr="001B5B45">
        <w:rPr>
          <w:rFonts w:asciiTheme="minorEastAsia" w:eastAsiaTheme="minorEastAsia" w:hAnsiTheme="minorEastAsia" w:hint="eastAsia"/>
          <w:szCs w:val="21"/>
        </w:rPr>
        <w:t>。</w:t>
      </w:r>
    </w:p>
    <w:p w:rsidR="000E0719" w:rsidRPr="001B5B45" w:rsidRDefault="000E071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（四）本基金法律文件中涉及基金风险特征的表述与销售机构对基金的风险评级可能不一致的风险</w:t>
      </w:r>
    </w:p>
    <w:p w:rsidR="000E0719" w:rsidRPr="001B5B45" w:rsidRDefault="000E0719" w:rsidP="000E071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1B5B45" w:rsidRDefault="002E1C38" w:rsidP="000E071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E0719" w:rsidRPr="001B5B45">
        <w:rPr>
          <w:rStyle w:val="da"/>
          <w:rFonts w:asciiTheme="minorEastAsia" w:eastAsiaTheme="minorEastAsia" w:hAnsiTheme="minorEastAsia" w:hint="eastAsia"/>
        </w:rPr>
        <w:t>五</w:t>
      </w:r>
      <w:r w:rsidRPr="001B5B45">
        <w:rPr>
          <w:rStyle w:val="da"/>
          <w:rFonts w:asciiTheme="minorEastAsia" w:eastAsiaTheme="minorEastAsia" w:hAnsiTheme="minorEastAsia"/>
        </w:rPr>
        <w:t>）</w:t>
      </w:r>
      <w:r w:rsidR="00BA4B87" w:rsidRPr="001B5B45">
        <w:rPr>
          <w:rStyle w:val="da"/>
          <w:rFonts w:asciiTheme="minorEastAsia" w:eastAsiaTheme="minorEastAsia" w:hAnsiTheme="minorEastAsia"/>
        </w:rPr>
        <w:t>管理风险</w:t>
      </w:r>
    </w:p>
    <w:bookmarkEnd w:id="87"/>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1、在基金管理运作过程中，基金管理人的知识、经验、判断、决策、技能等，会影响其对信息的占有以及对经济形势、证券价格走势的判断，从而影响基金收益水平。</w:t>
      </w:r>
    </w:p>
    <w:p w:rsidR="00536174" w:rsidRPr="001B5B45" w:rsidRDefault="0059218B"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2、基金管理人的管理手段和管理技术等因素的变化也会影响基金收益水平。</w:t>
      </w:r>
    </w:p>
    <w:p w:rsidR="00536174" w:rsidRPr="001B5B45" w:rsidRDefault="0053617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w:t>
      </w:r>
      <w:r w:rsidR="000E0719" w:rsidRPr="001B5B45">
        <w:rPr>
          <w:rStyle w:val="da"/>
          <w:rFonts w:asciiTheme="minorEastAsia" w:eastAsiaTheme="minorEastAsia" w:hAnsiTheme="minorEastAsia" w:hint="eastAsia"/>
        </w:rPr>
        <w:t>六</w:t>
      </w:r>
      <w:r w:rsidRPr="001B5B45">
        <w:rPr>
          <w:rStyle w:val="da"/>
          <w:rFonts w:asciiTheme="minorEastAsia" w:eastAsiaTheme="minorEastAsia" w:hAnsiTheme="minorEastAsia"/>
        </w:rPr>
        <w:t>）其他风险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1、因技术因素而产生的风险，如电脑等技术系统的故障或差错产生的风险。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2、因战争、自然灾害等不可抗力导致的基金管理人、基金托管人、基金服务机构等机构无法正常工作，从而影响基金运作的风险。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3、因金融市场危机、代理商违约、基金托管人违约等超出基金管理人自身控制能力的因素出现，可能导致基金或者基金份额持有人利益受损的风险。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4、因固定收益类金融工具主要在场外市场进行交易，场外市场交易现阶段自动化程度较场内市场低，本基金在投资运作过程中可能面临操作风险。</w:t>
      </w:r>
    </w:p>
    <w:p w:rsidR="00DC4447" w:rsidRPr="001B5B45" w:rsidRDefault="00536174" w:rsidP="00323A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5、其他意外导致的风险。</w:t>
      </w:r>
      <w:r w:rsidR="00DC4447" w:rsidRPr="001B5B45">
        <w:rPr>
          <w:rStyle w:val="da"/>
          <w:rFonts w:asciiTheme="minorEastAsia" w:eastAsiaTheme="minorEastAsia" w:hAnsiTheme="minorEastAsia"/>
        </w:rPr>
        <w:br w:type="page"/>
      </w:r>
    </w:p>
    <w:p w:rsidR="00BA4B87" w:rsidRPr="001B5B45" w:rsidRDefault="001C5C6E" w:rsidP="007C2342">
      <w:pPr>
        <w:pStyle w:val="1"/>
        <w:snapToGrid w:val="0"/>
        <w:spacing w:beforeLines="0" w:afterLines="0" w:line="360" w:lineRule="auto"/>
        <w:ind w:firstLineChars="0" w:firstLine="0"/>
        <w:rPr>
          <w:rFonts w:asciiTheme="minorEastAsia" w:eastAsiaTheme="minorEastAsia" w:hAnsiTheme="minorEastAsia"/>
        </w:rPr>
      </w:pPr>
      <w:bookmarkStart w:id="88" w:name="_Toc46927575"/>
      <w:bookmarkStart w:id="89" w:name="_Toc332373579"/>
      <w:r w:rsidRPr="001B5B45">
        <w:rPr>
          <w:rFonts w:asciiTheme="minorEastAsia" w:eastAsiaTheme="minorEastAsia" w:hAnsiTheme="minorEastAsia"/>
          <w:sz w:val="30"/>
        </w:rPr>
        <w:lastRenderedPageBreak/>
        <w:t>二十</w:t>
      </w:r>
      <w:r w:rsidR="00BA4B87" w:rsidRPr="001B5B45">
        <w:rPr>
          <w:rFonts w:asciiTheme="minorEastAsia" w:eastAsiaTheme="minorEastAsia" w:hAnsiTheme="minorEastAsia"/>
          <w:sz w:val="30"/>
        </w:rPr>
        <w:t>、基金合同的变更、终止与基金财产的清算</w:t>
      </w:r>
      <w:bookmarkEnd w:id="88"/>
    </w:p>
    <w:p w:rsidR="00FE1510" w:rsidRPr="001B5B45" w:rsidRDefault="00FE1510" w:rsidP="006C3CF2">
      <w:pPr>
        <w:spacing w:line="360" w:lineRule="auto"/>
        <w:ind w:firstLineChars="200" w:firstLine="420"/>
        <w:rPr>
          <w:rStyle w:val="da"/>
          <w:rFonts w:asciiTheme="minorEastAsia" w:eastAsiaTheme="minorEastAsia" w:hAnsiTheme="minorEastAsia"/>
        </w:rPr>
      </w:pPr>
      <w:bookmarkStart w:id="90" w:name="_Toc79392639"/>
      <w:bookmarkEnd w:id="89"/>
      <w:r w:rsidRPr="001B5B45">
        <w:rPr>
          <w:rStyle w:val="da"/>
          <w:rFonts w:asciiTheme="minorEastAsia" w:eastAsiaTheme="minorEastAsia" w:hAnsiTheme="minorEastAsia"/>
        </w:rPr>
        <w:t>（一）《基金合同》的变更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2、关于《基金合同》变更的基金份额持有人大会决议</w:t>
      </w:r>
      <w:bookmarkStart w:id="91" w:name="OLE_LINK4"/>
      <w:bookmarkStart w:id="92" w:name="OLE_LINK5"/>
      <w:r w:rsidRPr="001B5B45">
        <w:rPr>
          <w:rStyle w:val="da"/>
          <w:rFonts w:asciiTheme="minorEastAsia" w:eastAsiaTheme="minorEastAsia" w:hAnsiTheme="minorEastAsia" w:hint="eastAsia"/>
        </w:rPr>
        <w:t>自表决通过之日起生效，</w:t>
      </w:r>
      <w:bookmarkEnd w:id="91"/>
      <w:bookmarkEnd w:id="92"/>
      <w:r w:rsidRPr="001B5B45">
        <w:rPr>
          <w:rStyle w:val="da"/>
          <w:rFonts w:asciiTheme="minorEastAsia" w:eastAsiaTheme="minorEastAsia" w:hAnsiTheme="minorEastAsia" w:hint="eastAsia"/>
        </w:rPr>
        <w:t>自决议生效后两日内在指定媒介公告。</w:t>
      </w:r>
    </w:p>
    <w:p w:rsidR="00FE1510" w:rsidRPr="001B5B45" w:rsidRDefault="00FE151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（二）《基金合同》的终止事由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有下列情形之一的，《基金合同》应当终止：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1、基金份额持有人大会决定终止的；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2、基金管理人、基金托管人职责终止，在6个月内没有新基金管理人、新基金托管人承接的；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3、《基金合同》约定的其他情形；</w:t>
      </w:r>
    </w:p>
    <w:p w:rsidR="00FE1510" w:rsidRPr="001B5B45" w:rsidRDefault="0059218B"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4、相关法律法规和中国证监会规定的其他情况。</w:t>
      </w:r>
    </w:p>
    <w:p w:rsidR="00FE1510" w:rsidRPr="001B5B45" w:rsidRDefault="00FE151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（三）基金财产的清算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1、基金财产清算小组：自出现《基金合同》终止事由之日起30个工作日内成立清算小组，基金管理人组织基金财产清算小组并在中国证监会的监督下进行基金清算。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3、基金财产清算小组职责：基金财产清算小组负责基金财产的保管、清理、估价、变现和分配。基金财产清算小组可以依法进行必要的民事活动。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4、基金财产清算程序：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（1）《基金合同》终止情形出现时，由基金财产清算小组统一接管基金；</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（2）对基金财产和债权债务进行清理和确认；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（3）对基金财产进行估值和变现；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（4）制作清算报告；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（5）聘请会计师事务所对清算报告进行外部审计，聘请律师事务所对清算报告出具法律意见书；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lastRenderedPageBreak/>
        <w:t>（6）将清算报告报中国证监会备案并公告；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（7）对基金财产进行分配。</w:t>
      </w:r>
    </w:p>
    <w:p w:rsidR="00CB50D7" w:rsidRPr="001B5B45" w:rsidRDefault="0059218B"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5、基金财产清算的期限为6个月，但因本基金所持证券的流动性受到限制而不能及时变现的，清算期限相应顺延。</w:t>
      </w:r>
    </w:p>
    <w:p w:rsidR="00FE1510" w:rsidRPr="001B5B45" w:rsidRDefault="00FE151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（四）清算费用</w:t>
      </w:r>
    </w:p>
    <w:p w:rsidR="00FE1510" w:rsidRPr="001B5B45" w:rsidRDefault="0059218B"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清算费用是指基金财产清算小组在进行基金清算过程中发生的所有合理费用，清算费用由基金财产清算小组优先从基金财产中支付。</w:t>
      </w:r>
    </w:p>
    <w:p w:rsidR="00FE1510" w:rsidRPr="001B5B45" w:rsidRDefault="00FE151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（五）基金财产清算剩余资产的分配</w:t>
      </w:r>
    </w:p>
    <w:p w:rsidR="00FE1510" w:rsidRPr="001B5B45" w:rsidRDefault="0059218B"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依据基金财产清算的分配方案，将基金财产清算后的全部剩余资产扣除基金财产清算费用、交纳所欠税款并清偿基金债务后，按基金份额持有人持有的基金份额比例进行分配。</w:t>
      </w:r>
    </w:p>
    <w:p w:rsidR="00FE1510" w:rsidRPr="001B5B45" w:rsidRDefault="00FE151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（六）基金财产清算的公告</w:t>
      </w:r>
    </w:p>
    <w:p w:rsidR="00FE1510" w:rsidRPr="001B5B45" w:rsidRDefault="0059218B"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E1510" w:rsidRPr="001B5B45" w:rsidRDefault="00FE151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（七）基金财产清算账册及文件的保存</w:t>
      </w:r>
    </w:p>
    <w:p w:rsidR="00DC4447" w:rsidRPr="001B5B45" w:rsidRDefault="0059218B" w:rsidP="00323AB9">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基金财产清算账册及有关文件由基金托管人保存15年以上。</w:t>
      </w:r>
      <w:r w:rsidR="00DC4447" w:rsidRPr="001B5B45">
        <w:rPr>
          <w:rStyle w:val="da"/>
          <w:rFonts w:asciiTheme="minorEastAsia" w:eastAsiaTheme="minorEastAsia" w:hAnsiTheme="minorEastAsia"/>
        </w:rPr>
        <w:br w:type="page"/>
      </w:r>
    </w:p>
    <w:p w:rsidR="00BA4B87" w:rsidRPr="001B5B45" w:rsidRDefault="00BA4B87" w:rsidP="00CC1421">
      <w:pPr>
        <w:pStyle w:val="1"/>
        <w:snapToGrid w:val="0"/>
        <w:spacing w:beforeLines="0" w:afterLines="0" w:line="360" w:lineRule="auto"/>
        <w:ind w:firstLine="600"/>
        <w:rPr>
          <w:rFonts w:asciiTheme="minorEastAsia" w:eastAsiaTheme="minorEastAsia" w:hAnsiTheme="minorEastAsia"/>
          <w:kern w:val="44"/>
          <w:sz w:val="28"/>
          <w:szCs w:val="44"/>
        </w:rPr>
      </w:pPr>
      <w:bookmarkStart w:id="93" w:name="_Toc46927576"/>
      <w:bookmarkEnd w:id="90"/>
      <w:r w:rsidRPr="001B5B45">
        <w:rPr>
          <w:rFonts w:asciiTheme="minorEastAsia" w:eastAsiaTheme="minorEastAsia" w:hAnsiTheme="minorEastAsia"/>
          <w:sz w:val="30"/>
        </w:rPr>
        <w:lastRenderedPageBreak/>
        <w:t>二</w:t>
      </w:r>
      <w:bookmarkStart w:id="94" w:name="_Toc332373588"/>
      <w:r w:rsidRPr="001B5B45">
        <w:rPr>
          <w:rFonts w:asciiTheme="minorEastAsia" w:eastAsiaTheme="minorEastAsia" w:hAnsiTheme="minorEastAsia"/>
          <w:sz w:val="30"/>
        </w:rPr>
        <w:t>十</w:t>
      </w:r>
      <w:r w:rsidR="001C5C6E" w:rsidRPr="001B5B45">
        <w:rPr>
          <w:rFonts w:asciiTheme="minorEastAsia" w:eastAsiaTheme="minorEastAsia" w:hAnsiTheme="minorEastAsia"/>
          <w:sz w:val="30"/>
        </w:rPr>
        <w:t>一</w:t>
      </w:r>
      <w:r w:rsidRPr="001B5B45">
        <w:rPr>
          <w:rFonts w:asciiTheme="minorEastAsia" w:eastAsiaTheme="minorEastAsia" w:hAnsiTheme="minorEastAsia"/>
          <w:sz w:val="30"/>
        </w:rPr>
        <w:t>、基金合同的内容摘要</w:t>
      </w:r>
      <w:bookmarkEnd w:id="93"/>
    </w:p>
    <w:bookmarkEnd w:id="94"/>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一、基金份额持有人、基金管理人和基金托管人的权利、义务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（一）基金份额持有人的权利、义务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同一类别每份基金份额具有同等的合法权益。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1、根据《基金法》、《运作办法》及其他有关规定，基金份额持有人的权利包括但不限于：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（1）分享基金财产收益；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（2）参与分配清算后的剩余基金财产；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（3）依法申请赎回或转让其持有的基金份额；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（4）按照规定要求召开基金份额持有人大会或者召集基金份额持有人大会；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（5）出席或者委派代表出席基金份额持有人大会，对基金份额持有人大会审议事项行使表决权；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（6）查阅或者复制公开披露的基金信息资料；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（7）监督基金管理人的投资运作；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（8）对基金管理人、基金托管人、基金服务机构损害其合法权益的行为依法提起诉讼或仲裁；</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（9）法律法规及中国证监会规定的和《基金合同》约定的其他权利。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2、根据《基金法》、《运作办法》及其他有关规定，基金份额持有人的义务包括但不限于：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（1）认真阅读并遵守《基金合同》、招募说明书等信息披露文件；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（2）了解所投资基金产品，了解自身风险承受能力，自主判断基金的投资价值，自主做出投资决策，自行承担投资风险；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（3）关注基金信息披露，及时行使权利和履行义务；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（4）缴纳基金认购、申购款项及法律法规和《基金合同》所规定的费用；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（5）在其持有的基金份额范围内，承担基金亏损或者《基金合同》终止的有限责任；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（6）不从事任何有损基金及其他《基金合同》当事人合法权益的活动；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（7）执行生效的基金份额持有人大会的决定；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（8）返还在基金交易过程中因任何原因获得的不当得利；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（9）法律法规及中国证监会规定的和《基金合同》约定的其他义务。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（二）基金管理人的权利与义务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1、根据《基金法》、《运作办法》及其他有关规定，基金管理人的权利包括但不限于：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（1）依法募集资金；</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（2）自《基金合同》生效之日起，根据法律法规和《基金合同》独立运用并管理基金财产；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（3）依照《基金合同》收取基金管理费以及法律法规规定或中国证监会批准的其他费用；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（4）销售基金份额；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（5）召集基金份额持有人大会；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（7）在基金托管人更换时，提名新的基金托管人；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（8）选择、更换基金销售机构，对基金销售机构的相关行为进行监督和处理；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（9）担任或委托其他符合条件的机构担任基金登记机构办理基金登记业务并获得《基金合同》规定的费用；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（10）依据《基金合同》及有关法律规定决定基金收益的分配方案；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（11）在《基金合同》约定的范围内，拒绝或暂停受理申购、赎回和转换申请；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（12）在不违反法律法规和监管规定且对基金份额持有人利益无实质不利影响的前提下，为支付本基金应付的赎回、交易清算等款项，基金管理人有权代表基金份额持有人以基金资产作为质押进行融资；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（13）依照法律法规为基金的利益对被投资公司行使股东权利，为基金的利益行使因基金财产投资于证券所产生的权利；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（14）在法律法规允许的前提下，为基金的利益依法进行融资、融券；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（15）以基金管理人的名义，代表基金份额持有人的利益行使诉讼权利或者实施其他法</w:t>
      </w:r>
      <w:r w:rsidRPr="001B5B45">
        <w:rPr>
          <w:rStyle w:val="da"/>
          <w:rFonts w:asciiTheme="minorEastAsia" w:eastAsiaTheme="minorEastAsia" w:hAnsiTheme="minorEastAsia" w:hint="eastAsia"/>
        </w:rPr>
        <w:lastRenderedPageBreak/>
        <w:t>律行为；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（16）选择、更换律师事务所、会计师事务所、证券经纪商或其他为基金提供服务的外部机构；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（17）在符合有关法律、法规的前提下，制订和调整有关基金认购、申购、赎回、转换、非交易过户、转托管和收益分配等业务规则；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（18）法律法规及中国证监会规定的和《基金合同》约定的其他权利。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2、根据《基金法》、《运作办法》及其他有关规定，基金管理人的义务包括但不限于：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（1）依法募集资金，办理或者委托经中国证监会认定的其他机构办理基金份额的发售、申购、赎回和登记事宜；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（2）办理基金备案手续；</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（3）自《基金合同》生效之日起,以诚实信用、谨慎勤勉的原则管理和运用基金财产；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（4）配备足够的具有专业资格的人员进行基金投资分析、决策，以专业化的经营方式管理和运作基金财产；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（5）建立健全内部风险控制、监察与稽核、财务管理及人事管理等制度，保证所管理的基金财产和基金管理人的财产相互独立,对所管理的不同基金分别管理，分别记账，进行证券投资；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（6）除依据《基金法》、《基金合同》及其他有关规定外,不得利用基金财产为自己及任何第三人谋取利益，不得委托第三人运作基金财产；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（7）依法接受基金托管人的监督；</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8</w:t>
      </w:r>
      <w:r w:rsidRPr="001B5B45">
        <w:rPr>
          <w:rStyle w:val="da"/>
          <w:rFonts w:asciiTheme="minorEastAsia" w:eastAsiaTheme="minorEastAsia" w:hAnsiTheme="minorEastAsia" w:hint="eastAsia"/>
        </w:rPr>
        <w:t>）采取适当合理的措施使计算基金份额认购、申购、赎回和注销价格的方法符合《基金合同》等法律文件的规定，按有关规定计算并公告基金净值信息，确定基金份额申购、赎回的价格；</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9</w:t>
      </w:r>
      <w:r w:rsidRPr="001B5B45">
        <w:rPr>
          <w:rStyle w:val="da"/>
          <w:rFonts w:asciiTheme="minorEastAsia" w:eastAsiaTheme="minorEastAsia" w:hAnsiTheme="minorEastAsia" w:hint="eastAsia"/>
        </w:rPr>
        <w:t>）进行基金会计核算并编制基金财务会计报告；</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10</w:t>
      </w:r>
      <w:r w:rsidRPr="001B5B45">
        <w:rPr>
          <w:rStyle w:val="da"/>
          <w:rFonts w:asciiTheme="minorEastAsia" w:eastAsiaTheme="minorEastAsia" w:hAnsiTheme="minorEastAsia" w:hint="eastAsia"/>
        </w:rPr>
        <w:t>）编制季度报告、中期报告和年度报告；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（11）严格按照《基金法》、《基金合同》及其他有关规定，履行信息披露及报告义务；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（13）按《基金合同》的约定确定基金收益分配方案，及时向基金份额持有人分配基金收益；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（14）按规定受理申购与赎回申请，及时、足额支付赎回款项；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（15）依据《基金法》、《基金合同》及其他有关规定召集基金份额持有人大会或配合基金托管人、基金份额持有人依法召集基金份额持有人大会；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（16）按规定保存基金财产管理业务活动的会计账册、报表、记录和其他相关资料15年以上；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（18）组织并参加基金财产清算小组,参与基金财产的保管、清理、估价、变现和分配；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（19）面临解散、依法被撤销或者被依法宣告破产时，及时报告中国证监会并通知基金托管人；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（20）因违反《基金合同》导致基金财产的损失或损害基金份额持有人合法权益时，应当承担赔偿责任，其赔偿责任不因其退任而免除；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（21）监督基金托管人按法律法规和《基金合同》规定履行自己的义务，基金托管人违反《基金合同》造成基金财产损失时，基金管理人应为基金份额持有人利益向基金托管人追偿；</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（22）当基金管理人将其义务委托第三方处理时，应当对第三方处理有关基金事务的行为承担责任；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23）以基金管理人名义，代表基金份额持有人利益行使诉讼权利或实施其他法律行为；（24）基金管理人在募集期间未能达到基金的备案条件，《基金合同》不能生效，基金管理人承担全部募集费用，将已募集资金并加计银行同期活期存款利息在基金募集期结束后30日内退还基金认购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（25）执行生效的基金份额持有人大会的决议；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（26）建立并保存基金份额持有人名册；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（27）法律法规及中国证监会规定的和《基金合同》约定的其他义务。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（三）基金托管人的权利与义务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1、根据《基金法》、《运作办法》及其他有关规定，基金托管人的权利包括但不限于：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（1）自《基金合同》生效之日起，依法律法规和《基金合同》的规定安全保管基金财产；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（2）依《基金合同》约定获得基金托管费以及法律法规规定或监管部门批准的其他费用；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（4）根据相关市场规则，为基金开设证券账户、为基金办理证券交易资金清算。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（5）提议召开或召集基金份额持有人大会；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（6）在基金管理人更换时，提名新的基金管理人；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（7）法律法规及中国证监会规定的和《基金合同》约定的其他权利。</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2、根据《基金法》、《运作办法》及其他有关规定，基金托管人的义务包括但不限于：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（1）以诚实信用、勤勉尽责的原则持有并安全保管基金财产；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（4）除依据《基金法》、《基金合同》及其他有关规定外，不得利用基金财产为自己及任何第三人谋取利益，不得委托第三人托管基金财产；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（5）保管由基金管理人代表基金签订的与基金有关的重大合同及有关凭证；</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（6）按规定开设基金财产的资金账户和证券账户,按照《基金合同》的约定，根据基金管理人的投资指令，及时办理清算、交割事宜；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（7）保守基金商业秘密，除《基金法》、《基金合同》及其他有关规定另有规定外，在基金信息公开披露前予以保密，不得向他人泄露；</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8</w:t>
      </w:r>
      <w:r w:rsidRPr="001B5B45">
        <w:rPr>
          <w:rStyle w:val="da"/>
          <w:rFonts w:asciiTheme="minorEastAsia" w:eastAsiaTheme="minorEastAsia" w:hAnsiTheme="minorEastAsia" w:hint="eastAsia"/>
        </w:rPr>
        <w:t>）复核、审查基金管理人计算的基金资产净值、基金份额净值、基金份额申购、赎回价格；</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9</w:t>
      </w:r>
      <w:r w:rsidRPr="001B5B45">
        <w:rPr>
          <w:rStyle w:val="da"/>
          <w:rFonts w:asciiTheme="minorEastAsia" w:eastAsiaTheme="minorEastAsia" w:hAnsiTheme="minorEastAsia" w:hint="eastAsia"/>
        </w:rPr>
        <w:t>）办理与基金托管业务活动有关的信息披露事项；</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10</w:t>
      </w:r>
      <w:r w:rsidRPr="001B5B45">
        <w:rPr>
          <w:rStyle w:val="da"/>
          <w:rFonts w:asciiTheme="minorEastAsia" w:eastAsiaTheme="minorEastAsia" w:hAnsiTheme="minorEastAsia" w:hint="eastAsia"/>
        </w:rPr>
        <w:t>）对基金财务会计报告、季度报告、中期报告和年度报告出具意见，说明基金管理人在各重要方面的运作是否严格按照《基金合同》的规定进行；如果基金管理人有未执行《基</w:t>
      </w:r>
      <w:r w:rsidRPr="001B5B45">
        <w:rPr>
          <w:rStyle w:val="da"/>
          <w:rFonts w:asciiTheme="minorEastAsia" w:eastAsiaTheme="minorEastAsia" w:hAnsiTheme="minorEastAsia" w:hint="eastAsia"/>
        </w:rPr>
        <w:lastRenderedPageBreak/>
        <w:t>金合同》规定的行为，还应当说明基金托管人是否采取了适当的措施；</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（11）保存基金托管业务活动的记录、账册、报表和其他相关资料15年以上；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（12）建立并保存基金份额持有人名册；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（13）按规定制作相关账册并与基金管理人核对；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（14）依据基金管理人的指令或有关规定向基金份额持有人支付基金收益和赎回款项；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（15）依据《基金法》、《基金合同》及其他有关规定，召集基金份额持有人大会或配合基金份额持有人依法召集基金份额持有人大会；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（16）按照法律法规和《基金合同》的规定监督基金管理人的投资运作；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（17）参加基金财产清算小组，参与基金财产的保管、清理、估价、变现和分配；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（18）面临解散、依法被撤销或者被依法宣告破产时，及时报告中国证监会和银行监管机构，并通知基金管理人；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（19）因违反《基金合同》导致基金财产损失时，应承担赔偿责任，其赔偿责任不因其退任而免除；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（20）按规定监督基金管理人按法律法规和《基金合同》规定履行自己的义务，基金管理人因违反《基金合同》造成基金财产损失时，应为基金份额持有人利益向基金管理人追偿；</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（21）执行生效的基金份额持有人大会的决定；</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（22）法律法规及中国证监会规定的和《基金合同》约定的其他义务。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二、基金份额持有人大会召集、议事及表决的程序和规则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基金份额持有人大会由基金份额持有人组成，基金份额持有人的合法授权代表有权代表基金份额持有人出席会议并表决。基金份额持有人持有的每一基金份额拥有平等的投票权。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本基金份额持有人大会暂不设日常机构。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（一）召开事由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1、当出现或需要决定下列事由之一的，应当召开基金份额持有人大会，但法律法规、中国证监会另有规定的除外：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（1）终止《基金合同》；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（2）更换基金管理人；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（3）更换基金托管人；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（4）转换基金运作方式；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（5）调整基金管理人、基金托管人的报酬标准；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（6）变更基金类别；</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（7）本基金与其他基金的合并；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（8）变更基金投资目标、范围或策略；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（9）变更基金份额持有人大会程序；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（10）基金管理人或基金托管人要求召开基金份额持有人大会；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（12）对基金当事人权利和义务产生重大影响的其他事项；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（13）法律法规、中国证监会规定的其他应当召开基金份额持有人大会的事项。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2、以下情况可由基金管理人和基金托管人协商后修改，不需召开基金份额持有人大会：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（1）法律法规要求增加的基金费用的收取；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（2）在法律法规和《基金合同》规定的范围内调整本基金的申购费率、调低赎回费率或变更收费方式；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（3）因相应的法律法规发生变动而应当对《基金合同》进行修改；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（4）对《基金合同》的修改对基金份额持有人利益无实质性不利影响或修改不涉及《基金合同》当事人权利义务关系发生重大变化；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在对基金份额持有人利益无实质不利影响的情况下，基金管理人、基金登记机构、基金销售机构，在法律法规规定或中国证监会许可的范围内调整有关认购、申购、赎回、转换、基金交易、非交易过户、转托管、质押等业务规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（6）在对基金份额持有人利益无实质不利影响的情况下，在法律法规规定或中国证监会许可的范围内基金推出新业务或服务；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（7）按照法律法规和《基金合同》规定不需召开基金份额持有人大会的其他情形。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（二）会议召集人及召集方式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1、除法律法规规定或《基金合同》另有约定外，基金份额持有人大会由基金管理人召集；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2、基金管理人未按规定召集或不能召集时，由基金托管人召集；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w:t>
      </w:r>
      <w:r w:rsidRPr="001B5B45">
        <w:rPr>
          <w:rStyle w:val="da"/>
          <w:rFonts w:asciiTheme="minorEastAsia" w:eastAsiaTheme="minorEastAsia" w:hAnsiTheme="minorEastAsia" w:hint="eastAsia"/>
        </w:rPr>
        <w:lastRenderedPageBreak/>
        <w:t>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6、基金份额持有人会议的召集人负责选择确定开会时间、地点、方式和权益登记日。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（三）召开基金份额持有人大会的通知时间、通知内容、通知方式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1、召开基金份额持有人大会，召集人应于会议召开前30日，在指定媒介公告。基金份额持有人大会通知应至少载明以下内容：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（1）会议召开的时间、地点和会议形式；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（2）会议拟审议的事项、议事程序和表决方式；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（3）有权出席基金份额持有人大会的基金份额持有人的权益登记日；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（4）授权委托证明的内容要求（包括但不限于代理人身份，代理权限和代理有效期限等）、送达时间和地点;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（5）会务常设联系人姓名及联系电话；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（6）出席会议者必须准备的文件和必须履行的手续；</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（7）召集人需要通知的其他事项。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2、采取通讯开会方式并进行表决的情况下，由会议召集人决定在会议通知中说明本次</w:t>
      </w:r>
      <w:r w:rsidRPr="001B5B45">
        <w:rPr>
          <w:rStyle w:val="da"/>
          <w:rFonts w:asciiTheme="minorEastAsia" w:eastAsiaTheme="minorEastAsia" w:hAnsiTheme="minorEastAsia" w:hint="eastAsia"/>
        </w:rPr>
        <w:lastRenderedPageBreak/>
        <w:t>基金份额持有人大会所采取的具体通讯方式、委托的公证机关及其联系方式和联系人、书面表决意见寄交的截止时间和收取方式。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（四）基金份额持有人出席会议的方式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基金份额持有人大会可通过现场开会方式、通讯开会方式或法律法规、中国证监会允许的其他方式召开，会议的召开方式由会议召集人确定。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（1）亲自出席会议者持有的有关证明文件、受托出席会议者出示的委托人的代理投票授权委托证明及有关证明文件符合法律法规、《基金合同》和会议通知的规定；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（2）经核对，到会者在权益登记日代表的有效的基金份额不少于本基金在权益登记日基金总份额的50%（含50%）。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2、通讯开会。通讯开会系指基金份额持有人将其对表决事项的投票以书面形式在表决截至日以前送达至召集人指定的地址。通讯开会应以书面方式进行表决。</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在同时符合以下条件时，通讯开会的方式视为有效：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（1）会议召集人按《基金合同》约定公布会议通知后，在2个工作日内连续公布相关提示性公告；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（3）本人直接出具书面意见或授权他人代表出具书面意见的，基金份额持有人所持有</w:t>
      </w:r>
      <w:r w:rsidRPr="001B5B45">
        <w:rPr>
          <w:rStyle w:val="da"/>
          <w:rFonts w:asciiTheme="minorEastAsia" w:eastAsiaTheme="minorEastAsia" w:hAnsiTheme="minorEastAsia" w:hint="eastAsia"/>
        </w:rPr>
        <w:lastRenderedPageBreak/>
        <w:t>的基金份额不小于在权益登记日基金总份额的50%（含50%）；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3、重新召集基金份额持有人大会的条件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基金份额持有人大会应当有代表二分之一以上基金份额的持有人参加，方可召开。</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5、基金份额持有人授权他人代为出席会议并表决的，授权方式可以采用书面、网络、电话、短信或其他方式，具体方式由会议召集人确定并在会议通知中列明。</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（五）议事内容与程序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1、议事内容及提案权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基金份额持有人大会的召集人发出召集会议的通知后，对原有提案的修改应当在基金份额持有人大会召开前及时公告。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基金份额持有人大会不得对未事先公告的议事内容进行表决。</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2、议事程序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（1）现场开会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sidRPr="001B5B45">
        <w:rPr>
          <w:rStyle w:val="da"/>
          <w:rFonts w:asciiTheme="minorEastAsia" w:eastAsiaTheme="minorEastAsia" w:hAnsiTheme="minorEastAsia" w:hint="eastAsia"/>
        </w:rPr>
        <w:lastRenderedPageBreak/>
        <w:t>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会议召集人应当制作出席会议人员的签名册。签名册载明参加会议人员姓名（或单位名称）、身份证明文件号码、持有或代表有表决权的基金份额、委托人姓名（或单位名称）和联系方式等事项。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（2）通讯开会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在通讯开会的情况下，首先由召集人提前30日公布提案，在所通知的表决截止日期后2个工作日内在公证机关监督下由召集人统计全部有效表决，在公证机关监督下形成决议。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（六）表决</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基金份额持有人所持每份基金份额有一票表决权。</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基金份额持有人大会决议分为一般决议和特别决议：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特别决议，特别决议应当经参加大会的基金份额持有人或其代理人所持表决权的2/3以上（含2/3）通过方可做出。转换基金运作方式、更换基金管理人或者基金托管人、终止《基金合同》、与其他基金合并以特别决议通过方为有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基金份额持有人大会采取记名方式进行投票表决。</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基金份额持有人大会的各项提案或同一项提案内并列的各项议题应当分开审议、逐项表决。</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（七）计票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1、现场开会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（1）如大会由基金管理人或基金托管人召集，基金份额持有人大会的主持人应当在会</w:t>
      </w:r>
      <w:r w:rsidRPr="001B5B45">
        <w:rPr>
          <w:rStyle w:val="da"/>
          <w:rFonts w:asciiTheme="minorEastAsia" w:eastAsiaTheme="minorEastAsia" w:hAnsiTheme="minorEastAsia" w:hint="eastAsia"/>
        </w:rPr>
        <w:lastRenderedPageBreak/>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（2）监票人应当在基金份额持有人表决后立即进行清点并由大会主持人当场公布计票结果。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（4）计票过程应由公证机关予以公证,基金管理人或基金托管人拒不出席大会的，不影响计票的效力。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2、通讯开会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生效与公告基金份额持有人大会的决议，召集人应当自通过之日起5日内报中国证监会备案。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基金份额持有人大会的决议自表决通过之日起生效。</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基金份额持有人大会决议自生效之日起</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日内在指定媒介上公告。</w:t>
      </w:r>
      <w:bookmarkStart w:id="95" w:name="_Hlt88820702"/>
      <w:bookmarkEnd w:id="95"/>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基金管理人、基金托管人和基金份额持有人应当执行生效的基金份额持有人大会的决议。生效的基金份额持有人大会决议对全体基金份额持有人、基金管理人、基金托管人均有约束力。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三、基金合同解除和终止的事由、程序以及基金财产清算方式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（一）《基金合同》的变更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、关于《基金合同》变更的基金份额持有人大会决议自表决通过之日起生效，自决议生效后两日内在指定媒介公告。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（二）《基金合同》的终止事由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有下列情形之一的，《基金合同》应当终止：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1、基金份额持有人大会决定终止的；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2、基金管理人、基金托管人职责终止，在6个月内没有新基金管理人、新基金托管人承接的；</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3、《基金合同》约定的其他情形；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4、相关法律法规和中国证监会规定的其他情况。</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（三）基金财产的清算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1、基金财产清算小组：自出现《基金合同》终止事由之日起30个工作日内成立清算小组，基金管理人组织基金财产清算小组并在中国证监会的监督下进行基金清算。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3、基金财产清算小组职责：基金财产清算小组负责基金财产的保管、清理、估价、变现和分配。基金财产清算小组可以依法进行必要的民事活动。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4、基金财产清算程序：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（1）《基金合同》终止情形出现时，由基金财产清算小组统一接管基金；</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（2）对基金财产和债权债务进行清理和确认；</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（3）对基金财产进行估值和变现；</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（4）制作清算报告；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（5）聘请会计师事务所对清算报告进行外部审计，聘请律师事务所对清算报告出具法律意见书；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（6）将清算报告报中国证监会备案并公告；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（7）对基金财产进行分配。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5、基金财产清算的期限为6个月，但因本基金所持证券的流动性受到限制而不能及时变现的，清算期限相应顺延。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（四）清算费用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（五）基金财产清算剩余资产的分配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（六）基金财产清算的公告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（七）基金财产清算账册及文件的保存</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基金财产清算账册及有关文件由基金托管人保存15年以上。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四、争议解决方式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争议处理期间，各方当事人应恪守各自的职责，继续忠实、勤勉、尽责地履行基金合同规定的义务，维护基金份额持有人的合法权益。</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《基金合同》受中国法律管辖。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五、基金合同存放地和投资者取得基金合同的方式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《基金合同》是约定基金当事人之间、基金与基金当事人之间权利义务关系的法律文件。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1、《基金合同》经基金管理人、基金托管人双方盖章以及双方法定代表人或授权代表签字或盖章并在募集结束后经基金管理人向中国证监会办理基金备案手续，并经中国证监会书面确认后生效。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2、《基金合同》的有效期自其生效之日起至基金财产清算结果报中国证监会备案并公告之日止。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3、《基金合同》自生效之日起对包括基金管理人、基金托管人和基金份额持有人在内的《基金合同》各方当事人具有同等的法律约束力。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4、《基金合同》正本一式六份，除上报有关监管机构一式二份外，基金管理人、基金托管人各持有二份，每份具有同等的法律效力。</w:t>
      </w:r>
    </w:p>
    <w:p w:rsidR="00DC4447" w:rsidRPr="001B5B45" w:rsidRDefault="000E23C6" w:rsidP="00075BF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5、《基金合同》可印制成册，供投资者在基金管理人、基金托管人、销售机构的办公场所和营业场所查阅。</w:t>
      </w:r>
      <w:r w:rsidR="00DC4447" w:rsidRPr="001B5B45">
        <w:rPr>
          <w:rStyle w:val="da"/>
          <w:rFonts w:asciiTheme="minorEastAsia" w:eastAsiaTheme="minorEastAsia" w:hAnsiTheme="minorEastAsia"/>
        </w:rPr>
        <w:br w:type="page"/>
      </w:r>
    </w:p>
    <w:p w:rsidR="00BA4B87" w:rsidRPr="001B5B45" w:rsidRDefault="001C5C6E" w:rsidP="00DC4447">
      <w:pPr>
        <w:pStyle w:val="1"/>
        <w:snapToGrid w:val="0"/>
        <w:spacing w:beforeLines="0" w:afterLines="0" w:line="360" w:lineRule="auto"/>
        <w:ind w:firstLine="600"/>
        <w:rPr>
          <w:rFonts w:asciiTheme="minorEastAsia" w:eastAsiaTheme="minorEastAsia" w:hAnsiTheme="minorEastAsia"/>
          <w:sz w:val="30"/>
        </w:rPr>
      </w:pPr>
      <w:bookmarkStart w:id="96" w:name="_Toc46927577"/>
      <w:bookmarkStart w:id="97" w:name="_Toc332373590"/>
      <w:bookmarkStart w:id="98" w:name="_Toc332374170"/>
      <w:r w:rsidRPr="001B5B45">
        <w:rPr>
          <w:rFonts w:asciiTheme="minorEastAsia" w:eastAsiaTheme="minorEastAsia" w:hAnsiTheme="minorEastAsia"/>
          <w:sz w:val="30"/>
        </w:rPr>
        <w:lastRenderedPageBreak/>
        <w:t>二十二</w:t>
      </w:r>
      <w:r w:rsidR="00BA4B87" w:rsidRPr="001B5B45">
        <w:rPr>
          <w:rFonts w:asciiTheme="minorEastAsia" w:eastAsiaTheme="minorEastAsia" w:hAnsiTheme="minorEastAsia"/>
          <w:sz w:val="30"/>
        </w:rPr>
        <w:t>、基金托管协议的内容摘要</w:t>
      </w:r>
      <w:bookmarkEnd w:id="96"/>
    </w:p>
    <w:bookmarkEnd w:id="97"/>
    <w:bookmarkEnd w:id="98"/>
    <w:p w:rsidR="00D51034" w:rsidRPr="001B5B45" w:rsidRDefault="00D51034"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一、托管协议当事人</w:t>
      </w:r>
    </w:p>
    <w:p w:rsidR="00D86678" w:rsidRPr="001B5B45" w:rsidRDefault="00D86678" w:rsidP="00D86678">
      <w:pPr>
        <w:spacing w:line="360" w:lineRule="auto"/>
        <w:ind w:firstLineChars="200" w:firstLine="420"/>
        <w:rPr>
          <w:rFonts w:asciiTheme="minorEastAsia" w:eastAsiaTheme="minorEastAsia" w:hAnsiTheme="minorEastAsia"/>
          <w:kern w:val="0"/>
          <w:szCs w:val="21"/>
        </w:rPr>
      </w:pPr>
      <w:r w:rsidRPr="001B5B45">
        <w:rPr>
          <w:rFonts w:asciiTheme="minorEastAsia" w:eastAsiaTheme="minorEastAsia" w:hAnsiTheme="minorEastAsia" w:hint="eastAsia"/>
          <w:kern w:val="0"/>
          <w:szCs w:val="21"/>
        </w:rPr>
        <w:t>（一）基金管理人（或简称“管理人”）</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名称：易方达基金管理有限公司</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住所：</w:t>
      </w:r>
      <w:r w:rsidR="00317069" w:rsidRPr="001B5B45">
        <w:rPr>
          <w:rStyle w:val="da"/>
          <w:rFonts w:asciiTheme="minorEastAsia" w:eastAsiaTheme="minorEastAsia" w:hAnsiTheme="minorEastAsia" w:hint="eastAsia"/>
          <w:szCs w:val="21"/>
        </w:rPr>
        <w:t>广东省珠海市横琴新区宝华路6号105室－42891（集中办公区）</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法定代表人：刘晓艳</w:t>
      </w:r>
    </w:p>
    <w:p w:rsidR="004304D3" w:rsidRPr="001B5B45" w:rsidRDefault="002945F3" w:rsidP="004304D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成立时间：2001年4月17日</w:t>
      </w:r>
    </w:p>
    <w:p w:rsidR="00710911" w:rsidRPr="001B5B45" w:rsidRDefault="00710911" w:rsidP="004304D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批准设立机关</w:t>
      </w:r>
      <w:r w:rsidR="004304D3" w:rsidRPr="001B5B45">
        <w:rPr>
          <w:rStyle w:val="da"/>
          <w:rFonts w:asciiTheme="minorEastAsia" w:eastAsiaTheme="minorEastAsia" w:hAnsiTheme="minorEastAsia"/>
        </w:rPr>
        <w:t>：中国证券监督管理委员会</w:t>
      </w:r>
    </w:p>
    <w:p w:rsidR="004304D3" w:rsidRPr="001B5B45" w:rsidRDefault="00710911" w:rsidP="004304D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批准设立文号</w:t>
      </w:r>
      <w:r w:rsidRPr="001B5B45">
        <w:rPr>
          <w:rStyle w:val="da"/>
          <w:rFonts w:asciiTheme="minorEastAsia" w:eastAsiaTheme="minorEastAsia" w:hAnsiTheme="minorEastAsia" w:hint="eastAsia"/>
        </w:rPr>
        <w:t>：</w:t>
      </w:r>
      <w:r w:rsidR="004304D3" w:rsidRPr="001B5B45">
        <w:rPr>
          <w:rStyle w:val="da"/>
          <w:rFonts w:asciiTheme="minorEastAsia" w:eastAsiaTheme="minorEastAsia" w:hAnsiTheme="minorEastAsia"/>
        </w:rPr>
        <w:t>证监基金字[2001]4号</w:t>
      </w:r>
    </w:p>
    <w:p w:rsidR="004304D3" w:rsidRPr="001B5B45" w:rsidRDefault="002945F3" w:rsidP="004304D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组织形式：有限责任公司</w:t>
      </w:r>
    </w:p>
    <w:p w:rsidR="001C2258" w:rsidRPr="001B5B45" w:rsidRDefault="00C80A18" w:rsidP="001C225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注册资本：13,244.2万元人民币</w:t>
      </w:r>
    </w:p>
    <w:p w:rsidR="002945F3" w:rsidRPr="001B5B45" w:rsidRDefault="004304D3" w:rsidP="004304D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经营范围：</w:t>
      </w:r>
      <w:r w:rsidR="00317069" w:rsidRPr="001B5B45">
        <w:rPr>
          <w:rStyle w:val="da"/>
          <w:rFonts w:asciiTheme="minorEastAsia" w:eastAsiaTheme="minorEastAsia" w:hAnsiTheme="minorEastAsia" w:hint="eastAsia"/>
        </w:rPr>
        <w:t>公开募集证券投资基金管理、基金销售、特定客户资产管理</w:t>
      </w:r>
    </w:p>
    <w:p w:rsidR="004304D3" w:rsidRPr="001B5B45" w:rsidRDefault="004304D3" w:rsidP="001C225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存续期间：持续经营</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w:t>
      </w:r>
      <w:r w:rsidR="00D86678" w:rsidRPr="001B5B45">
        <w:rPr>
          <w:rFonts w:asciiTheme="minorEastAsia" w:eastAsiaTheme="minorEastAsia" w:hAnsiTheme="minorEastAsia" w:hint="eastAsia"/>
          <w:kern w:val="0"/>
          <w:szCs w:val="21"/>
        </w:rPr>
        <w:t>基金托管人（或简称“托管人”）</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名称：中国银行股份有限公司</w:t>
      </w:r>
    </w:p>
    <w:p w:rsidR="002945F3" w:rsidRPr="001B5B45" w:rsidRDefault="002945F3" w:rsidP="003C467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住所：北京市西城区复兴门内大街1号</w:t>
      </w:r>
    </w:p>
    <w:p w:rsidR="003C4676" w:rsidRPr="001B5B45" w:rsidRDefault="002945F3" w:rsidP="003C467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法定代表人：</w:t>
      </w:r>
      <w:r w:rsidR="00E23B3C" w:rsidRPr="001B5B45">
        <w:rPr>
          <w:rStyle w:val="da"/>
          <w:rFonts w:asciiTheme="minorEastAsia" w:eastAsiaTheme="minorEastAsia" w:hAnsiTheme="minorEastAsia" w:hint="eastAsia"/>
        </w:rPr>
        <w:t>刘连舸</w:t>
      </w:r>
    </w:p>
    <w:p w:rsidR="003C4676" w:rsidRPr="001B5B45" w:rsidRDefault="003C4676" w:rsidP="00D86678">
      <w:pPr>
        <w:spacing w:line="360" w:lineRule="auto"/>
        <w:ind w:firstLineChars="200" w:firstLine="420"/>
        <w:rPr>
          <w:rStyle w:val="da"/>
          <w:rFonts w:asciiTheme="minorEastAsia" w:eastAsiaTheme="minorEastAsia" w:hAnsiTheme="minorEastAsia"/>
          <w:kern w:val="0"/>
          <w:szCs w:val="21"/>
        </w:rPr>
      </w:pPr>
      <w:r w:rsidRPr="001B5B45">
        <w:rPr>
          <w:rStyle w:val="da"/>
          <w:rFonts w:asciiTheme="minorEastAsia" w:eastAsiaTheme="minorEastAsia" w:hAnsiTheme="minorEastAsia" w:hint="eastAsia"/>
        </w:rPr>
        <w:t>成立时间：</w:t>
      </w:r>
      <w:r w:rsidR="00D86678" w:rsidRPr="001B5B45">
        <w:rPr>
          <w:rFonts w:asciiTheme="minorEastAsia" w:eastAsiaTheme="minorEastAsia" w:hAnsiTheme="minorEastAsia" w:hint="eastAsia"/>
          <w:kern w:val="0"/>
          <w:szCs w:val="21"/>
        </w:rPr>
        <w:t>1983年10月31日</w:t>
      </w:r>
    </w:p>
    <w:p w:rsidR="002945F3" w:rsidRPr="001B5B45" w:rsidRDefault="002945F3" w:rsidP="004304D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基金托管业务批准文号：中国证监会证监基字【1998】24号</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组织形式：股份有限公司</w:t>
      </w:r>
    </w:p>
    <w:p w:rsidR="002945F3" w:rsidRPr="001B5B45" w:rsidRDefault="002945F3" w:rsidP="002945F3">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注册资本：人民币贰仟玖佰肆拾叁亿捌仟柒佰柒拾玖万壹仟贰佰肆拾壹元整</w:t>
      </w:r>
    </w:p>
    <w:p w:rsidR="00397E25" w:rsidRPr="001B5B45" w:rsidRDefault="004304D3"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经营范围：</w:t>
      </w:r>
      <w:r w:rsidR="00074F77" w:rsidRPr="001B5B45">
        <w:rPr>
          <w:rStyle w:val="da"/>
          <w:rFonts w:asciiTheme="minorEastAsia" w:eastAsiaTheme="minorEastAsia" w:hAnsiTheme="minorEastAsia"/>
        </w:rPr>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w:t>
      </w:r>
      <w:r w:rsidR="00074F77" w:rsidRPr="001B5B45">
        <w:rPr>
          <w:rStyle w:val="da"/>
          <w:rFonts w:asciiTheme="minorEastAsia" w:eastAsiaTheme="minorEastAsia" w:hAnsiTheme="minorEastAsia"/>
        </w:rPr>
        <w:lastRenderedPageBreak/>
        <w:t>发行当地货币；经中国人民银行批准的其他业务。</w:t>
      </w:r>
    </w:p>
    <w:p w:rsidR="003C4676" w:rsidRPr="001B5B45" w:rsidRDefault="003C4676" w:rsidP="003C4676">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存续期间：持续经营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二、基金托管人对基金管理人的业务监督和核查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（一）基金托管人根据有关法律法规的规定对基金管理人的下列投资运作进行监督：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对基金的投资范围、投资对象进行监督。基金管理人应将拟投资的股票库、债券库等各投资品种的具体范围及时提供给基金托管人。基金管理人可以根据实际情况的变化，对各投资品种的具体范围予以更新和调整，并及时通知基金托管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的投资范围包括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银行存款、同业存单、权证、股指期货、国债期货、股票期权及法律法规或中国证监会允许基金投资的其他金融工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如法律法规或监管机构以后允许基金投资其他品种，管理人在履行适当程序后，本基金可以将其纳入投资范围。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基金的投资组合比例为：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本基金股票资产占基金资产的比例为0%—95%，扣除股指期货、国债期货合约需缴纳的交易保证金后，保持不低于基金资产净值5％的现金或者到期日在一年以内的政府债券</w:t>
      </w:r>
      <w:r w:rsidR="00CE786D" w:rsidRPr="001B5B45">
        <w:rPr>
          <w:rFonts w:asciiTheme="minorEastAsia" w:eastAsiaTheme="minorEastAsia" w:hAnsiTheme="minorEastAsia" w:hint="eastAsia"/>
          <w:szCs w:val="21"/>
        </w:rPr>
        <w:t>，现金不包括结算备付金、存出保证金、应收申购款等</w:t>
      </w:r>
      <w:r w:rsidRPr="001B5B45">
        <w:rPr>
          <w:rStyle w:val="da"/>
          <w:rFonts w:asciiTheme="minorEastAsia" w:eastAsiaTheme="minorEastAsia" w:hAnsiTheme="minorEastAsia" w:hint="eastAsia"/>
        </w:rPr>
        <w:t>，权证、股指期货、国债期货、股票期权及其他金融工具的投资比例依照法律法规或监管机构的规定执行。本基金投资于供给改革主题相关资产的比例不低于非现金资产的80%。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基金托管人根据上述投资范围对基金的投资进行监督；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2、对基金投融资比例进行监督；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（1）本基金股票资产占基金资产的比例为0%-95%；非现金资产中不低于80%的资产将投资于供给改革主题相关的资产；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（2）扣除股指期货、国债期货合约需缴纳的交易保证金后，保持不低于基金资产净值5％的现金或者到期日在一年以内的政府债券</w:t>
      </w:r>
      <w:r w:rsidR="001A6661" w:rsidRPr="001B5B45">
        <w:rPr>
          <w:rFonts w:asciiTheme="minorEastAsia" w:eastAsiaTheme="minorEastAsia" w:hAnsiTheme="minorEastAsia" w:hint="eastAsia"/>
          <w:szCs w:val="21"/>
        </w:rPr>
        <w:t>，现金不包括结算备付金、存出保证金、应收申购款等</w:t>
      </w:r>
      <w:r w:rsidRPr="001B5B45">
        <w:rPr>
          <w:rStyle w:val="da"/>
          <w:rFonts w:asciiTheme="minorEastAsia" w:eastAsiaTheme="minorEastAsia" w:hAnsiTheme="minorEastAsia" w:hint="eastAsia"/>
        </w:rPr>
        <w:t>；</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（3）本基金持有一家公司发行的证券，其市值不超过基金资产净值的10％；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（4）本基金管理人管理的全部基金持有一家公司发行的证券，不超过该证券的10％；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（5）本基金持有的全部权证，其市值不得超过基金资产净值的3％；</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（6）本基金管理人管理的全部基金持有的同一权证，不得超过该权证的10％；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（7）本基金在任何交易日买入权证的总金额，不得超过上一交易日基金资产净值的0.5％；</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（8）本基金投资于同一原始权益人的各类资产支持证券的比例，不得超过基金资产净值的10％；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（9）本基金持有的全部资产支持证券，其市值不得超过基金资产净值的20％；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（10）本基金持有的同一(指同一信用级别)资产支持证券的比例，不得超过该资产支持证券规模的10％；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（11）本基金管理人管理的全部基金投资于同一原始权益人的各类资产支持证券，不得超过其各类资产支持证券合计规模的10％；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（12）本基金应投资于信用级别评级为BBB以上(含BBB)的资产支持证券。基金持有资产支持证券期间，如果其信用等级下降、不再符合投资标准，应在评级报告发布之日起3个月内予以全部卖出；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（13）基金财产参与股票发行申购，本基金所申报的金额不超过本基金的总资产，本基金所申报的股票数量不超过拟发行股票公司本次发行股票的总量；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（14）本基金进入全国银行间同业市场进行债券回购的资金余额不得超过基金资产净值的40%；在全国银行间同业市场的债券回购最长期限为1年，债券回购到期后不得展期；</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（15）本基金总资产不得超过基金净资产的140%；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16）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（17）本基金投资于国债期货，还应遵循如下投资组合限制：在任何交易日日终，本基金持有的买入国债期货合约价值，不得超过基金资产净值的15%；本基金在任何交易日日终，</w:t>
      </w:r>
      <w:r w:rsidRPr="001B5B45">
        <w:rPr>
          <w:rStyle w:val="da"/>
          <w:rFonts w:asciiTheme="minorEastAsia" w:eastAsiaTheme="minorEastAsia" w:hAnsiTheme="minorEastAsia" w:hint="eastAsia"/>
        </w:rPr>
        <w:lastRenderedPageBreak/>
        <w:t>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（19）基金参与融资业务后，在任何交易日日终，持有的融资买入股票与其他有价证券市值之和，不得超过基金资产净值的95%；</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20</w:t>
      </w:r>
      <w:r w:rsidRPr="001B5B45">
        <w:rPr>
          <w:rStyle w:val="da"/>
          <w:rFonts w:asciiTheme="minorEastAsia" w:eastAsiaTheme="minorEastAsia" w:hAnsiTheme="minorEastAsia" w:hint="eastAsia"/>
        </w:rPr>
        <w:t>）基金管理人管理的且由本托管人托管的全部开放式基金持有一家上市公司发行的可流通股票，不得超过该上市公司可流通股票的</w:t>
      </w:r>
      <w:r w:rsidRPr="001B5B45">
        <w:rPr>
          <w:rStyle w:val="da"/>
          <w:rFonts w:asciiTheme="minorEastAsia" w:eastAsiaTheme="minorEastAsia" w:hAnsiTheme="minorEastAsia"/>
        </w:rPr>
        <w:t>15%</w:t>
      </w:r>
      <w:r w:rsidRPr="001B5B45">
        <w:rPr>
          <w:rStyle w:val="da"/>
          <w:rFonts w:asciiTheme="minorEastAsia" w:eastAsiaTheme="minorEastAsia" w:hAnsiTheme="minorEastAsia" w:hint="eastAsia"/>
        </w:rPr>
        <w:t>；基金管理人管理的且由本托管人托管的全部投资组合持有一家上市公司发行的可流通股票，不得超过该上市公司可流通股票的</w:t>
      </w:r>
      <w:r w:rsidRPr="001B5B45">
        <w:rPr>
          <w:rStyle w:val="da"/>
          <w:rFonts w:asciiTheme="minorEastAsia" w:eastAsiaTheme="minorEastAsia" w:hAnsiTheme="minorEastAsia"/>
        </w:rPr>
        <w:t>30%</w:t>
      </w:r>
      <w:r w:rsidRPr="001B5B45">
        <w:rPr>
          <w:rStyle w:val="da"/>
          <w:rFonts w:asciiTheme="minorEastAsia" w:eastAsiaTheme="minorEastAsia" w:hAnsiTheme="minorEastAsia" w:hint="eastAsia"/>
        </w:rPr>
        <w:t>。</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21</w:t>
      </w:r>
      <w:r w:rsidRPr="001B5B45">
        <w:rPr>
          <w:rStyle w:val="da"/>
          <w:rFonts w:asciiTheme="minorEastAsia" w:eastAsiaTheme="minorEastAsia" w:hAnsiTheme="minorEastAsia" w:hint="eastAsia"/>
        </w:rPr>
        <w:t>）本基金主动投资于流动性受限资产的市值合计不得超过该基金资产净值的</w:t>
      </w:r>
      <w:r w:rsidRPr="001B5B45">
        <w:rPr>
          <w:rStyle w:val="da"/>
          <w:rFonts w:asciiTheme="minorEastAsia" w:eastAsiaTheme="minorEastAsia" w:hAnsiTheme="minorEastAsia"/>
        </w:rPr>
        <w:t>15%</w:t>
      </w:r>
      <w:r w:rsidRPr="001B5B45">
        <w:rPr>
          <w:rStyle w:val="da"/>
          <w:rFonts w:asciiTheme="minorEastAsia" w:eastAsiaTheme="minorEastAsia" w:hAnsiTheme="minorEastAsia" w:hint="eastAsia"/>
        </w:rPr>
        <w:t>。</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3A7D4D" w:rsidRPr="001B5B45" w:rsidRDefault="00753F8C" w:rsidP="00BE3DDF">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22</w:t>
      </w:r>
      <w:r w:rsidRPr="001B5B45">
        <w:rPr>
          <w:rStyle w:val="da"/>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E37233" w:rsidRPr="001B5B45" w:rsidRDefault="00753F8C" w:rsidP="00F2449B">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（23）</w:t>
      </w:r>
      <w:r w:rsidR="00D86678" w:rsidRPr="001B5B45">
        <w:rPr>
          <w:rStyle w:val="da"/>
          <w:rFonts w:asciiTheme="minorEastAsia" w:eastAsiaTheme="minorEastAsia" w:hAnsiTheme="minorEastAsia" w:hint="eastAsia"/>
        </w:rPr>
        <w:t>法律法规及中国证监会规定的其他投资比例限制。</w:t>
      </w:r>
    </w:p>
    <w:p w:rsidR="00E37233" w:rsidRPr="001B5B45" w:rsidRDefault="00753F8C">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除上述（</w:t>
      </w:r>
      <w:r w:rsidRPr="001B5B45">
        <w:rPr>
          <w:rStyle w:val="da"/>
          <w:rFonts w:asciiTheme="minorEastAsia" w:eastAsiaTheme="minorEastAsia" w:hAnsiTheme="minorEastAsia"/>
        </w:rPr>
        <w:t>2</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12</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13</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21</w:t>
      </w:r>
      <w:r w:rsidRPr="001B5B45">
        <w:rPr>
          <w:rStyle w:val="da"/>
          <w:rFonts w:asciiTheme="minorEastAsia" w:eastAsiaTheme="minorEastAsia" w:hAnsiTheme="minorEastAsia" w:hint="eastAsia"/>
        </w:rPr>
        <w:t>）、（</w:t>
      </w:r>
      <w:r w:rsidRPr="001B5B45">
        <w:rPr>
          <w:rStyle w:val="da"/>
          <w:rFonts w:asciiTheme="minorEastAsia" w:eastAsiaTheme="minorEastAsia" w:hAnsiTheme="minorEastAsia"/>
        </w:rPr>
        <w:t>22</w:t>
      </w:r>
      <w:r w:rsidRPr="001B5B45">
        <w:rPr>
          <w:rStyle w:val="da"/>
          <w:rFonts w:asciiTheme="minorEastAsia" w:eastAsiaTheme="minorEastAsia" w:hAnsiTheme="minorEastAsia" w:hint="eastAsia"/>
        </w:rPr>
        <w:t>）以外，</w:t>
      </w:r>
      <w:r w:rsidR="00D86678" w:rsidRPr="001B5B45">
        <w:rPr>
          <w:rStyle w:val="da"/>
          <w:rFonts w:asciiTheme="minorEastAsia" w:eastAsiaTheme="minorEastAsia" w:hAnsiTheme="minorEastAsia" w:hint="eastAsia"/>
        </w:rPr>
        <w:t>因证券市场波动、证券发行人合并、基金规模变动等基金管理人之外的因素致使基金投资比例不符合上述规定投资比例的，基金管理人应当在10个交易日内进行调整，但中国证监会规定的特殊情形除外。</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基金管理人应当自基金合同生效之日起六个月内使基金的投资组合比例符合基金合同的有关约定。上述期间，本基金的投资范围、投资策略应当符合基金合同的约定。基金托管</w:t>
      </w:r>
      <w:r w:rsidRPr="001B5B45">
        <w:rPr>
          <w:rStyle w:val="da"/>
          <w:rFonts w:asciiTheme="minorEastAsia" w:eastAsiaTheme="minorEastAsia" w:hAnsiTheme="minorEastAsia" w:hint="eastAsia"/>
        </w:rPr>
        <w:lastRenderedPageBreak/>
        <w:t>人对基金的投资的监督与检查自基金合同生效之日起开始。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通知基金管理人，并依照法律法规的规定及时向中国证监会报告。</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三、基金管理人对基金托管人的业务核查</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3、基金托管人应积极配合基金管理人的核查行为，包括但不限于：提交相关资料以供</w:t>
      </w:r>
      <w:r w:rsidRPr="001B5B45">
        <w:rPr>
          <w:rStyle w:val="da"/>
          <w:rFonts w:asciiTheme="minorEastAsia" w:eastAsiaTheme="minorEastAsia" w:hAnsiTheme="minorEastAsia" w:hint="eastAsia"/>
        </w:rPr>
        <w:lastRenderedPageBreak/>
        <w:t>基金管理人核查托管财产的完整性和真实性，在规定时间内答复基金管理人并改正。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四、基金财产的保管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（一）基金财产保管的原则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1、基金财产应独立于基金管理人、基金托管人的固有财产。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2、基金托管人应安全保管基金财产，未经基金管理人的合法合规指令或法律法规、《基金合同》及本协议另有规定，不得自行运用、处分、分配基金的任何财产。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3、基金托管人按照规定开设基金财产的资金账户、证券账户。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4、基金托管人对所托管的不同基金财产分别设置账户，确保基金财产的完整与独立。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5、除依据《基金法》、《运作办法》、《基金合同》及其他有关法律法规规定外，基金托管人不得委托第三人托管基金财产。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（二）基金合同生效前募集资金的验资和入账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2、基金管理人应将属于本基金财产的全部资金划入在基金托管人处为本基金开立的基金银行账户中，并确保划入的资金与验资确认金额相一致。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（三）基金的银行账户的开设和管理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1、基金托管人应负责本基金的银行账户的开设和管理。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4、基金银行账户的管理应符合法律法规的有关规定。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（四）基金进行定期存款投资的账户开设和管理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基金管理人以基金名义在基金托管人认可的存款银行的指定营业网点开立存款账户，基金托管人负责该账户银行预留印鉴的保管和使用。在上述账户开立和账户相关信息变更过程</w:t>
      </w:r>
      <w:r w:rsidRPr="001B5B45">
        <w:rPr>
          <w:rStyle w:val="da"/>
          <w:rFonts w:asciiTheme="minorEastAsia" w:eastAsiaTheme="minorEastAsia" w:hAnsiTheme="minorEastAsia" w:hint="eastAsia"/>
        </w:rPr>
        <w:lastRenderedPageBreak/>
        <w:t>中，基金管理人应提前向基金托管人提供开户或账户变更所需的相关资料。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（五）基金证券账户、结算备付金账户及其他投资账户的开设和管理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1、基金托管人应当代表本基金，以基金托管人和本基金联名的方式在中国证券登记结算有限责任公司开设证券账户。</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2、本基金证券账户的开立和使用，限于满足开展本基金业务的需要。基金托管人和基金管理人不得出借或转让本基金的证券账户，亦不得使用本基金的证券账户进行本基金业务以外的活动。</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4、在本托管协议生效日之后，本基金被允许从事其他投资品种的投资业务的，涉及相关账户的开设、使用的，若无相关规定，则基金托管人应当比照并遵守上述关于账户开设、使用的规定。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（六）债券托管专户的开设和管理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（七）基金财产投资的有关有价凭证的保管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基金财产投资的实物证券、银行定期存款存单等有价凭证由基金托管人负责妥善保管。基金托管人对其以外机构实际有效控制的有价凭证不承担责任。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（八）与基金财产有关的重大合同及有关凭证的保管</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五、基金资产净值计算与复核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（一）基金资产净值的计算和复核</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1、基金资产净值是指基金资产总值减去负债后的价值。基金份额净值是指计算日基金资产净值除以计算日该基金份额总数后的价值。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管理人应每开放日对基金财产估值。估值原则应符合《基金合同》、《证券投资基金会计核算业务指引》及其他法律法规的规定。用于基金信息披露的基金资产净值和基金份额净值由基金管理人负责计算，基金托管人复核。基金管理人应于每个开放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3、当相关法律法规或《基金合同》规定的估值方法不能客观反映基金财产公允价值时，基金管理人可根据具体情况，并与基金托管人商定后，按最能反映公允价值的价格估值。</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4、基金管理人、基金托管人发现基金估值违反《基金合同》订明的估值方法、程序以及相关法律法规的规定或者未能充分维护基金份额持有人利益时，双方应及时进行协商和纠正。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通报基金托管人；当计价错误达到基金份额净值的0.5%时，基金管理人应当在报中国证监会备案的同时并及时进行公告。如法律法规或监管机关对前述内容另有规定的，按其规定处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7、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lastRenderedPageBreak/>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（二）基金会计核算</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1、基金账册的建立</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2、会计数据和财务指标的核对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基金管理人和基金托管人应定期就会计数据和财务指标进行核对。如发现存在不符，双方应及时查明原因并纠正。</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3、基金财务报表和定期报告的编制和复核</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基金财务报表由基金管理人和基金托管人每月分别独立编制。月度报表的编制，应于每月终了后</w:t>
      </w:r>
      <w:r w:rsidRPr="001B5B45">
        <w:rPr>
          <w:rStyle w:val="da"/>
          <w:rFonts w:asciiTheme="minorEastAsia" w:eastAsiaTheme="minorEastAsia" w:hAnsiTheme="minorEastAsia"/>
        </w:rPr>
        <w:t>5</w:t>
      </w:r>
      <w:r w:rsidRPr="001B5B45">
        <w:rPr>
          <w:rStyle w:val="da"/>
          <w:rFonts w:asciiTheme="minorEastAsia" w:eastAsiaTheme="minorEastAsia" w:hAnsiTheme="minorEastAsia" w:hint="eastAsia"/>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季度报告应在每个季度结束之日起</w:t>
      </w:r>
      <w:r w:rsidRPr="001B5B45">
        <w:rPr>
          <w:rStyle w:val="da"/>
          <w:rFonts w:asciiTheme="minorEastAsia" w:eastAsiaTheme="minorEastAsia" w:hAnsiTheme="minorEastAsia"/>
        </w:rPr>
        <w:t>10个工作日内编制完毕并于每个季度结束之日起15个工作日内予以公告；中期报告在上半年结束之日起40日内编制完毕并于上半年结束之日起两个月内予以公告；年度报告在每年结束之日起60日内编制完毕并于每年结束之日起三个月内予以公告。基金合同生效不足两个月的，基金管理人可以不编制当期季度报告、中期报告或者年度报告。</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基金管理人在月度报表完成当日，将报表盖章后提供给基金托管人复核；基金托管人在收到后应</w:t>
      </w:r>
      <w:r w:rsidRPr="001B5B45">
        <w:rPr>
          <w:rStyle w:val="da"/>
          <w:rFonts w:asciiTheme="minorEastAsia" w:eastAsiaTheme="minorEastAsia" w:hAnsiTheme="minorEastAsia"/>
        </w:rPr>
        <w:t>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w:t>
      </w:r>
      <w:r w:rsidRPr="001B5B45">
        <w:rPr>
          <w:rStyle w:val="da"/>
          <w:rFonts w:asciiTheme="minorEastAsia" w:eastAsiaTheme="minorEastAsia" w:hAnsiTheme="minorEastAsia" w:hint="eastAsia"/>
        </w:rPr>
        <w:lastRenderedPageBreak/>
        <w:t>人和基金托管人之间的上述文件往来均以传真的方式或双方商定的其他方式进行。</w:t>
      </w:r>
    </w:p>
    <w:p w:rsidR="00723679" w:rsidRPr="001B5B45" w:rsidRDefault="00723679" w:rsidP="002A7B3A">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六、基金份额持有人名册的登记与保管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（一）基金份额持有人名册的内容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基金份额持有人名册的内容包括但不限于基金份额持有人的名称和持有的基金份额。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基金份额持有人名册包括以下几类：</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1、基金募集期结束时的基金份额持有人名册；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2、基金权益登记日的基金份额持有人名册；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3、基金份额持有人大会登记日的基金份额持有人名册；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4、每半年度最后一个交易日的基金份额持有人名册。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（二）基金份额持有人名册的提供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（三）基金份额持有人名册的保管</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七、争议解决方式</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（一）本协议适用中华人民共和国法律并从其解释。</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基金管理人与基金托管人之间因本协议产生的或与本协议有关的争议可通过友好协商解决。但若争议未能以协商方式解决的，则任何一方有权将争议提交位于北京的中国国际经济贸易仲裁委员会，并按其时有效的仲裁规则进行仲裁。仲裁裁决是终局的，对仲裁各</w:t>
      </w:r>
      <w:r w:rsidRPr="001B5B45">
        <w:rPr>
          <w:rStyle w:val="da"/>
          <w:rFonts w:asciiTheme="minorEastAsia" w:eastAsiaTheme="minorEastAsia" w:hAnsiTheme="minorEastAsia" w:hint="eastAsia"/>
        </w:rPr>
        <w:lastRenderedPageBreak/>
        <w:t>方当事人均具有约束力。</w:t>
      </w:r>
    </w:p>
    <w:p w:rsidR="00E37233" w:rsidRPr="001B5B45" w:rsidRDefault="00D86678" w:rsidP="00A1265D">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（三）除争议所涉的内容之外，本协议的当事人仍应履行本协议的其他规定。</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八、托管协议的修改与终止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（一）托管协议的变更</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本协议双方当事人经协商一致，可以对协议进行变更。变更后的新协议，其内容不得与《基金合同》的规定有任何冲突。变更后的新协议应当报中国证监会备案。</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（二）托管协议的终止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发生以下情况，本托管协议应当终止：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1、《基金合同》终止；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2、本基金更换基金托管人；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3、本基金更换基金管理人；</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4、发生《基金法》、《运作办法》或其他法律法规规定的终止事项。</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（三）基金财产的清算</w:t>
      </w:r>
    </w:p>
    <w:p w:rsidR="00DC4447" w:rsidRPr="001B5B45" w:rsidRDefault="0014722D"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hint="eastAsia"/>
        </w:rPr>
        <w:t>基金管理人和基金托管人应按照《基金合同》及有关法律法规的规定对本基金的财产进行清算。</w:t>
      </w:r>
      <w:r w:rsidR="00DC4447" w:rsidRPr="001B5B45">
        <w:rPr>
          <w:rStyle w:val="da"/>
          <w:rFonts w:asciiTheme="minorEastAsia" w:eastAsiaTheme="minorEastAsia" w:hAnsiTheme="minorEastAsia"/>
        </w:rPr>
        <w:br w:type="page"/>
      </w:r>
    </w:p>
    <w:p w:rsidR="00BA4B87" w:rsidRPr="001B5B45" w:rsidRDefault="001C5C6E" w:rsidP="00CC1421">
      <w:pPr>
        <w:pStyle w:val="1"/>
        <w:pageBreakBefore/>
        <w:snapToGrid w:val="0"/>
        <w:spacing w:beforeLines="0" w:afterLines="0" w:line="360" w:lineRule="auto"/>
        <w:ind w:firstLine="600"/>
        <w:rPr>
          <w:rFonts w:asciiTheme="minorEastAsia" w:eastAsiaTheme="minorEastAsia" w:hAnsiTheme="minorEastAsia"/>
          <w:bCs/>
        </w:rPr>
      </w:pPr>
      <w:bookmarkStart w:id="99" w:name="_Toc46927578"/>
      <w:bookmarkStart w:id="100" w:name="_Toc332373591"/>
      <w:r w:rsidRPr="001B5B45">
        <w:rPr>
          <w:rFonts w:asciiTheme="minorEastAsia" w:eastAsiaTheme="minorEastAsia" w:hAnsiTheme="minorEastAsia"/>
          <w:sz w:val="30"/>
        </w:rPr>
        <w:lastRenderedPageBreak/>
        <w:t>二十三</w:t>
      </w:r>
      <w:r w:rsidR="00BA4B87" w:rsidRPr="001B5B45">
        <w:rPr>
          <w:rFonts w:asciiTheme="minorEastAsia" w:eastAsiaTheme="minorEastAsia" w:hAnsiTheme="minorEastAsia"/>
          <w:sz w:val="30"/>
        </w:rPr>
        <w:t>、对基金份额持有人的服务</w:t>
      </w:r>
      <w:bookmarkEnd w:id="99"/>
    </w:p>
    <w:bookmarkEnd w:id="100"/>
    <w:p w:rsidR="00AE2909" w:rsidRPr="001B5B45" w:rsidRDefault="00AE290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rsidR="00AE2909" w:rsidRPr="001B5B45" w:rsidRDefault="00AE290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（一）基金份额持有人投资交易确认服务</w:t>
      </w:r>
    </w:p>
    <w:p w:rsidR="003712D8" w:rsidRPr="001B5B45" w:rsidRDefault="003712D8"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1B5B45" w:rsidRDefault="00AE290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（二）基金份额持有人交易记录查询服务</w:t>
      </w:r>
    </w:p>
    <w:p w:rsidR="00AE2909" w:rsidRPr="001B5B45" w:rsidRDefault="005A1A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本基金份额持有人可通过基金管理人的客户服务中心查询历史交易记录。</w:t>
      </w:r>
    </w:p>
    <w:p w:rsidR="00AE2909" w:rsidRPr="001B5B45" w:rsidRDefault="00AE290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（三）基金份额持有人的对账单服务</w:t>
      </w:r>
    </w:p>
    <w:p w:rsidR="001D44E2" w:rsidRPr="001B5B45" w:rsidRDefault="001D44E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1、基金份额持有人可登录本公司网站（http://www.efunds.com.cn）查阅对账单。</w:t>
      </w:r>
    </w:p>
    <w:p w:rsidR="001D44E2" w:rsidRPr="001B5B45" w:rsidRDefault="001D44E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2、基金份额持有人也可向本公司定制电子对账单。</w:t>
      </w:r>
    </w:p>
    <w:p w:rsidR="001D44E2" w:rsidRPr="001B5B45" w:rsidRDefault="001D44E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具体查阅和定制账单的方法可参见本公司网站或拨打客服热线咨询。</w:t>
      </w:r>
    </w:p>
    <w:p w:rsidR="00AE2909" w:rsidRPr="001B5B45" w:rsidRDefault="00AE290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（四）定期定额投资计划</w:t>
      </w:r>
    </w:p>
    <w:p w:rsidR="005A1A0E" w:rsidRPr="001B5B45" w:rsidRDefault="005A1A0E"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p>
    <w:p w:rsidR="00AE2909" w:rsidRPr="001B5B45" w:rsidRDefault="00AE2909"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（五）资讯服务</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1、客户服务电话</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投资者如果想了解基金产品、服务等信息，或反馈投资过程中需要投诉与建议的情况，可拨打如下电话：4008818088（免长途话费）。投资者如果认为自己不能准确理解本基金《招募说明书》、《基金合同》的具体内容，也可拨打上述电话详询。</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2、互联网站及电子信箱</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网址：http://www.efunds.com.cn</w:t>
      </w:r>
    </w:p>
    <w:p w:rsidR="00AE2909" w:rsidRPr="001B5B45" w:rsidRDefault="001D44E2"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电子信箱：service@efunds.com.cn</w:t>
      </w:r>
    </w:p>
    <w:p w:rsidR="006C36CD" w:rsidRPr="001B5B45" w:rsidRDefault="001C5C6E" w:rsidP="007C2342">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01" w:name="_Toc332373592"/>
      <w:bookmarkStart w:id="102" w:name="_Toc46927579"/>
      <w:r w:rsidRPr="001B5B45">
        <w:rPr>
          <w:rFonts w:asciiTheme="minorEastAsia" w:eastAsiaTheme="minorEastAsia" w:hAnsiTheme="minorEastAsia"/>
          <w:sz w:val="30"/>
        </w:rPr>
        <w:lastRenderedPageBreak/>
        <w:t>二十四</w:t>
      </w:r>
      <w:r w:rsidR="00BA4B87" w:rsidRPr="001B5B45">
        <w:rPr>
          <w:rFonts w:asciiTheme="minorEastAsia" w:eastAsiaTheme="minorEastAsia" w:hAnsiTheme="minorEastAsia"/>
          <w:sz w:val="30"/>
        </w:rPr>
        <w:t>、其他应披露事项</w:t>
      </w:r>
      <w:bookmarkEnd w:id="101"/>
      <w:bookmarkEnd w:id="102"/>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6"/>
        <w:gridCol w:w="1887"/>
      </w:tblGrid>
      <w:tr w:rsidR="00F75FD5" w:rsidRPr="001B5B45" w:rsidTr="009A1D44">
        <w:trPr>
          <w:trHeight w:val="765"/>
        </w:trPr>
        <w:tc>
          <w:tcPr>
            <w:tcW w:w="6536" w:type="dxa"/>
            <w:tcBorders>
              <w:top w:val="single" w:sz="4" w:space="0" w:color="auto"/>
              <w:left w:val="single" w:sz="4" w:space="0" w:color="auto"/>
              <w:bottom w:val="single" w:sz="4" w:space="0" w:color="auto"/>
              <w:right w:val="single" w:sz="4" w:space="0" w:color="auto"/>
            </w:tcBorders>
            <w:vAlign w:val="center"/>
            <w:hideMark/>
          </w:tcPr>
          <w:p w:rsidR="00C6179D" w:rsidRPr="001B5B45" w:rsidRDefault="00213CB9" w:rsidP="00286B28">
            <w:pPr>
              <w:spacing w:line="360" w:lineRule="auto"/>
              <w:ind w:firstLineChars="200" w:firstLine="420"/>
              <w:jc w:val="center"/>
              <w:rPr>
                <w:rFonts w:asciiTheme="minorEastAsia" w:eastAsiaTheme="minorEastAsia" w:hAnsiTheme="minorEastAsia"/>
              </w:rPr>
            </w:pPr>
            <w:r w:rsidRPr="001B5B45">
              <w:rPr>
                <w:rFonts w:asciiTheme="minorEastAsia" w:eastAsiaTheme="minorEastAsia" w:hAnsiTheme="minorEastAsia" w:hint="eastAsia"/>
              </w:rPr>
              <w:t>公告事项</w:t>
            </w:r>
          </w:p>
        </w:tc>
        <w:tc>
          <w:tcPr>
            <w:tcW w:w="1887" w:type="dxa"/>
            <w:tcBorders>
              <w:top w:val="single" w:sz="4" w:space="0" w:color="auto"/>
              <w:left w:val="single" w:sz="4" w:space="0" w:color="auto"/>
              <w:bottom w:val="single" w:sz="4" w:space="0" w:color="auto"/>
              <w:right w:val="single" w:sz="4" w:space="0" w:color="auto"/>
            </w:tcBorders>
            <w:vAlign w:val="center"/>
            <w:hideMark/>
          </w:tcPr>
          <w:p w:rsidR="00C6179D" w:rsidRPr="001B5B45" w:rsidRDefault="00213CB9" w:rsidP="00D84F24">
            <w:pPr>
              <w:spacing w:line="360" w:lineRule="auto"/>
              <w:ind w:firstLineChars="200" w:firstLine="420"/>
              <w:rPr>
                <w:rFonts w:asciiTheme="minorEastAsia" w:eastAsiaTheme="minorEastAsia" w:hAnsiTheme="minorEastAsia"/>
              </w:rPr>
            </w:pPr>
            <w:r w:rsidRPr="001B5B45">
              <w:rPr>
                <w:rFonts w:asciiTheme="minorEastAsia" w:eastAsiaTheme="minorEastAsia" w:hAnsiTheme="minorEastAsia" w:hint="eastAsia"/>
              </w:rPr>
              <w:t>披露日期</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易方达基金管理有限公司关于旗下部分开放式基金参加海通证券费率优惠活动的公告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2019-08-12</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易方达基金管理有限公司关于旗下部分开放式基金参加销售机构申购费率优惠活动的公告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2019-08-13</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2019-08-13</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szCs w:val="21"/>
              </w:rPr>
              <w:t>2019-08-14</w:t>
            </w:r>
          </w:p>
          <w:p w:rsidR="00213CB9" w:rsidRPr="001B5B45" w:rsidRDefault="00213CB9" w:rsidP="0006546A">
            <w:pPr>
              <w:jc w:val="center"/>
              <w:rPr>
                <w:rFonts w:asciiTheme="minorEastAsia" w:eastAsiaTheme="minorEastAsia" w:hAnsiTheme="minorEastAsia"/>
                <w:szCs w:val="21"/>
              </w:rPr>
            </w:pP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2019-08-14</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2019-08-14</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易方达基金管理有限公司旗下基金季度报告提示性公告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2019-10-24</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易方达基金管理有限公司关于公司股权变更的公告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易方达基金管理有限公司关于易方达供给改革灵活配置混合型证券投资基金根据《公开募集证券投资基金信息披露管理办法》修订基金合同、托管协议部分条款的公告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易方达基金管理有限公司旗下部分开放式基金参加交通银行手机银行费率优惠活动的公告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易方达基金管理有限公司旗下部分开放式基金参加苏州银行费率优惠活动的公告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2019-12-31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易方达基金管理有限公司旗下基金2019年第4季度报告提示性公告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2020-01-18</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易方达基金管理有限公司旗下部分开放式基金参加泉州银行费率优惠活动的公告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2020-01-23</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2020-01-30</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易方达基金管理有限公司及全资子公司投资旗下基金相关事宜的公告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2020-02-04</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易方达基金管理有限公司旗下部分开放式基金参加中金公司费率优惠活动的公告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2020-03-05</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易方达基金管理有限公司旗下部分开放式基金参加百度百盈费率优惠活动的公告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2020-03-10</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2020-03-23</w:t>
            </w:r>
          </w:p>
        </w:tc>
      </w:tr>
      <w:tr w:rsidR="00E74126"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E74126" w:rsidRPr="001B5B45" w:rsidRDefault="00E74126" w:rsidP="00E74126">
            <w:pPr>
              <w:spacing w:line="360" w:lineRule="auto"/>
              <w:jc w:val="left"/>
              <w:rPr>
                <w:rFonts w:asciiTheme="minorEastAsia" w:eastAsiaTheme="minorEastAsia" w:hAnsiTheme="minorEastAsia"/>
                <w:szCs w:val="22"/>
              </w:rPr>
            </w:pPr>
            <w:r w:rsidRPr="001B5B45">
              <w:rPr>
                <w:rFonts w:asciiTheme="minorEastAsia" w:eastAsiaTheme="minorEastAsia" w:hAnsiTheme="minorEastAsia" w:hint="eastAsia"/>
                <w:szCs w:val="22"/>
              </w:rPr>
              <w:lastRenderedPageBreak/>
              <w:t>易方达基金管理有限公司旗下基金2019年年度报告提示性公告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E74126" w:rsidRPr="001B5B45" w:rsidRDefault="00E74126" w:rsidP="00E74126">
            <w:pPr>
              <w:spacing w:line="360" w:lineRule="auto"/>
              <w:jc w:val="center"/>
              <w:rPr>
                <w:rFonts w:asciiTheme="minorEastAsia" w:eastAsiaTheme="minorEastAsia" w:hAnsiTheme="minorEastAsia"/>
                <w:szCs w:val="22"/>
              </w:rPr>
            </w:pPr>
            <w:r w:rsidRPr="001B5B45">
              <w:rPr>
                <w:rFonts w:asciiTheme="minorEastAsia" w:eastAsiaTheme="minorEastAsia" w:hAnsiTheme="minorEastAsia" w:hint="eastAsia"/>
                <w:szCs w:val="22"/>
              </w:rPr>
              <w:t>2020-03-31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易方达基金管理有限公司关于提醒投资者及时提供或更新身份信息资料的公告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2020-04-10</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autoSpaceDE w:val="0"/>
              <w:autoSpaceDN w:val="0"/>
              <w:adjustRightInd w:val="0"/>
              <w:jc w:val="left"/>
              <w:rPr>
                <w:rFonts w:asciiTheme="minorEastAsia" w:eastAsiaTheme="minorEastAsia" w:hAnsiTheme="minorEastAsia" w:cs="宋体"/>
                <w:kern w:val="0"/>
                <w:szCs w:val="21"/>
              </w:rPr>
            </w:pPr>
            <w:r w:rsidRPr="001B5B45">
              <w:rPr>
                <w:rFonts w:asciiTheme="minorEastAsia" w:eastAsiaTheme="minorEastAsia" w:hAnsiTheme="minorEastAsia" w:cs="宋体" w:hint="eastAsia"/>
                <w:kern w:val="0"/>
                <w:szCs w:val="21"/>
              </w:rPr>
              <w:t>易方达基金管理有限公司旗下部分开放式基金参加诺亚正行费率优惠活动的公告</w:t>
            </w:r>
          </w:p>
          <w:p w:rsidR="00213CB9" w:rsidRPr="001B5B45" w:rsidRDefault="00213CB9" w:rsidP="00213CB9">
            <w:pPr>
              <w:jc w:val="left"/>
              <w:rPr>
                <w:rFonts w:asciiTheme="minorEastAsia" w:eastAsiaTheme="minorEastAsia" w:hAnsiTheme="minorEastAsia"/>
                <w:szCs w:val="21"/>
              </w:rPr>
            </w:pP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2020-04-17</w:t>
            </w:r>
          </w:p>
        </w:tc>
      </w:tr>
      <w:tr w:rsidR="00E74126"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E74126" w:rsidRPr="001B5B45" w:rsidRDefault="00E74126" w:rsidP="00E74126">
            <w:pPr>
              <w:spacing w:line="360" w:lineRule="auto"/>
              <w:jc w:val="left"/>
              <w:rPr>
                <w:rFonts w:asciiTheme="minorEastAsia" w:eastAsiaTheme="minorEastAsia" w:hAnsiTheme="minorEastAsia"/>
                <w:szCs w:val="22"/>
              </w:rPr>
            </w:pPr>
            <w:r w:rsidRPr="001B5B45">
              <w:rPr>
                <w:rFonts w:asciiTheme="minorEastAsia" w:eastAsiaTheme="minorEastAsia" w:hAnsiTheme="minorEastAsia" w:hint="eastAsia"/>
                <w:szCs w:val="22"/>
              </w:rPr>
              <w:t>易方达基金管理有限公司旗下基金2020年第1季度报告提示性公告</w:t>
            </w:r>
          </w:p>
        </w:tc>
        <w:tc>
          <w:tcPr>
            <w:tcW w:w="1887" w:type="dxa"/>
            <w:tcBorders>
              <w:top w:val="single" w:sz="4" w:space="0" w:color="auto"/>
              <w:left w:val="single" w:sz="4" w:space="0" w:color="auto"/>
              <w:bottom w:val="single" w:sz="4" w:space="0" w:color="auto"/>
              <w:right w:val="single" w:sz="4" w:space="0" w:color="auto"/>
            </w:tcBorders>
            <w:vAlign w:val="center"/>
          </w:tcPr>
          <w:p w:rsidR="00E74126" w:rsidRPr="001B5B45" w:rsidRDefault="00E74126" w:rsidP="00E74126">
            <w:pPr>
              <w:spacing w:line="360" w:lineRule="auto"/>
              <w:jc w:val="center"/>
              <w:rPr>
                <w:rFonts w:asciiTheme="minorEastAsia" w:eastAsiaTheme="minorEastAsia" w:hAnsiTheme="minorEastAsia"/>
                <w:szCs w:val="22"/>
              </w:rPr>
            </w:pPr>
            <w:r w:rsidRPr="001B5B45">
              <w:rPr>
                <w:rFonts w:asciiTheme="minorEastAsia" w:eastAsiaTheme="minorEastAsia" w:hAnsiTheme="minorEastAsia" w:hint="eastAsia"/>
                <w:szCs w:val="22"/>
              </w:rPr>
              <w:t>2020-04-21</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易方达基金管理有限公司旗下部分开放式基金参加国联证券费率优惠活动的公告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2020-04-22</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易方达基金管理有限公司旗下部分开放式基金参加中金公司申购费率优惠活动的公告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2020-05-14</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易方达基金管理有限公司旗下部分开放式基金参加万联证券费率优惠活动的公告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2020-05-18</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易方达基金管理有限公司旗下部分开放式基金参加华夏财富费率优惠活动的公告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2020-05-23</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易方达基金管理有限公司关于暂停上海朝阳永续基金销售有限公司办理旗下基金相关销售业务的公告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2020-06-03</w:t>
            </w:r>
          </w:p>
        </w:tc>
      </w:tr>
      <w:tr w:rsidR="0006546A" w:rsidRPr="001B5B45" w:rsidTr="0006546A">
        <w:tc>
          <w:tcPr>
            <w:tcW w:w="6536" w:type="dxa"/>
            <w:tcBorders>
              <w:top w:val="single" w:sz="4" w:space="0" w:color="auto"/>
              <w:left w:val="single" w:sz="4" w:space="0" w:color="auto"/>
              <w:bottom w:val="single" w:sz="4" w:space="0" w:color="auto"/>
              <w:right w:val="single" w:sz="4" w:space="0" w:color="auto"/>
            </w:tcBorders>
            <w:vAlign w:val="bottom"/>
          </w:tcPr>
          <w:p w:rsidR="00213CB9" w:rsidRPr="001B5B45" w:rsidRDefault="00213CB9" w:rsidP="00213CB9">
            <w:pPr>
              <w:jc w:val="left"/>
              <w:rPr>
                <w:rFonts w:asciiTheme="minorEastAsia" w:eastAsiaTheme="minorEastAsia" w:hAnsiTheme="minorEastAsia"/>
                <w:szCs w:val="21"/>
              </w:rPr>
            </w:pPr>
            <w:r w:rsidRPr="001B5B45">
              <w:rPr>
                <w:rFonts w:asciiTheme="minorEastAsia" w:eastAsiaTheme="minorEastAsia" w:hAnsiTheme="minorEastAsia" w:hint="eastAsia"/>
                <w:szCs w:val="21"/>
              </w:rPr>
              <w:t>易方达基金管理有限公司关于调整旗下部分开放式基金在招商银行最低定期定额投资金额限制的公告</w:t>
            </w:r>
          </w:p>
        </w:tc>
        <w:tc>
          <w:tcPr>
            <w:tcW w:w="1887" w:type="dxa"/>
            <w:tcBorders>
              <w:top w:val="single" w:sz="4" w:space="0" w:color="auto"/>
              <w:left w:val="single" w:sz="4" w:space="0" w:color="auto"/>
              <w:bottom w:val="single" w:sz="4" w:space="0" w:color="auto"/>
              <w:right w:val="single" w:sz="4" w:space="0" w:color="auto"/>
            </w:tcBorders>
            <w:vAlign w:val="center"/>
          </w:tcPr>
          <w:p w:rsidR="00213CB9" w:rsidRPr="001B5B45" w:rsidRDefault="00213CB9" w:rsidP="002F3648">
            <w:pPr>
              <w:jc w:val="center"/>
              <w:rPr>
                <w:rFonts w:asciiTheme="minorEastAsia" w:eastAsiaTheme="minorEastAsia" w:hAnsiTheme="minorEastAsia"/>
                <w:szCs w:val="21"/>
              </w:rPr>
            </w:pPr>
            <w:r w:rsidRPr="001B5B45">
              <w:rPr>
                <w:rFonts w:asciiTheme="minorEastAsia" w:eastAsiaTheme="minorEastAsia" w:hAnsiTheme="minorEastAsia" w:hint="eastAsia"/>
                <w:szCs w:val="21"/>
              </w:rPr>
              <w:t>2020-06-04</w:t>
            </w:r>
          </w:p>
        </w:tc>
      </w:tr>
    </w:tbl>
    <w:p w:rsidR="00DC4447" w:rsidRPr="001B5B45" w:rsidRDefault="00A903CF" w:rsidP="00C6179D">
      <w:pPr>
        <w:spacing w:line="360" w:lineRule="auto"/>
        <w:rPr>
          <w:rStyle w:val="da"/>
          <w:rFonts w:asciiTheme="minorEastAsia" w:eastAsiaTheme="minorEastAsia" w:hAnsiTheme="minorEastAsia"/>
        </w:rPr>
      </w:pPr>
      <w:r w:rsidRPr="001B5B45">
        <w:rPr>
          <w:rStyle w:val="da"/>
          <w:rFonts w:asciiTheme="minorEastAsia" w:eastAsiaTheme="minorEastAsia" w:hAnsiTheme="minorEastAsia" w:hint="eastAsia"/>
        </w:rPr>
        <w:t>注：以上公告事项披露在指定媒介及基金管理人网站上。</w:t>
      </w:r>
      <w:r w:rsidR="00DC4447" w:rsidRPr="001B5B45">
        <w:rPr>
          <w:rStyle w:val="da"/>
          <w:rFonts w:asciiTheme="minorEastAsia" w:eastAsiaTheme="minorEastAsia" w:hAnsiTheme="minorEastAsia"/>
        </w:rPr>
        <w:br w:type="page"/>
      </w:r>
    </w:p>
    <w:p w:rsidR="006820A0" w:rsidRPr="001B5B45" w:rsidRDefault="006820A0" w:rsidP="00CC1421">
      <w:pPr>
        <w:snapToGrid w:val="0"/>
        <w:spacing w:line="360" w:lineRule="auto"/>
        <w:rPr>
          <w:rFonts w:asciiTheme="minorEastAsia" w:eastAsiaTheme="minorEastAsia" w:hAnsiTheme="minorEastAsia"/>
        </w:rPr>
        <w:sectPr w:rsidR="006820A0" w:rsidRPr="001B5B45" w:rsidSect="00F8058B">
          <w:headerReference w:type="default" r:id="rId16"/>
          <w:footerReference w:type="default" r:id="rId17"/>
          <w:pgSz w:w="11906" w:h="16838" w:code="9"/>
          <w:pgMar w:top="1440" w:right="1803" w:bottom="1440" w:left="1803" w:header="851" w:footer="992" w:gutter="0"/>
          <w:pgNumType w:start="1"/>
          <w:cols w:space="720"/>
          <w:docGrid w:type="lines" w:linePitch="317"/>
        </w:sectPr>
      </w:pPr>
    </w:p>
    <w:p w:rsidR="00BA4B87" w:rsidRPr="001B5B45" w:rsidRDefault="001C5C6E" w:rsidP="00CC1421">
      <w:pPr>
        <w:pStyle w:val="1"/>
        <w:snapToGrid w:val="0"/>
        <w:spacing w:beforeLines="0" w:afterLines="0" w:line="360" w:lineRule="auto"/>
        <w:ind w:firstLine="600"/>
        <w:rPr>
          <w:rFonts w:asciiTheme="minorEastAsia" w:eastAsiaTheme="minorEastAsia" w:hAnsiTheme="minorEastAsia"/>
          <w:bCs/>
          <w:szCs w:val="20"/>
        </w:rPr>
      </w:pPr>
      <w:bookmarkStart w:id="103" w:name="_Toc46927580"/>
      <w:bookmarkStart w:id="104" w:name="_Toc332373593"/>
      <w:r w:rsidRPr="001B5B45">
        <w:rPr>
          <w:rFonts w:asciiTheme="minorEastAsia" w:eastAsiaTheme="minorEastAsia" w:hAnsiTheme="minorEastAsia"/>
          <w:sz w:val="30"/>
        </w:rPr>
        <w:lastRenderedPageBreak/>
        <w:t>二十五</w:t>
      </w:r>
      <w:r w:rsidR="00BA4B87" w:rsidRPr="001B5B45">
        <w:rPr>
          <w:rFonts w:asciiTheme="minorEastAsia" w:eastAsiaTheme="minorEastAsia" w:hAnsiTheme="minorEastAsia"/>
          <w:sz w:val="30"/>
        </w:rPr>
        <w:t>、招募说明书的存放及查阅方式</w:t>
      </w:r>
      <w:bookmarkEnd w:id="103"/>
    </w:p>
    <w:bookmarkEnd w:id="104"/>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本招募说明书存放在基金管理人、基金托管人及其他基金销售机构处，投资者可在营业时间免费查阅，也可按工本费购买复印件。</w:t>
      </w:r>
    </w:p>
    <w:p w:rsidR="00DC4447" w:rsidRPr="001B5B45" w:rsidRDefault="00BF3F90" w:rsidP="00DC4447">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基金管理人和基金托管人保证文本的内容与公告的内容完全一致。</w:t>
      </w:r>
      <w:r w:rsidR="00DC4447" w:rsidRPr="001B5B45">
        <w:rPr>
          <w:rStyle w:val="da"/>
          <w:rFonts w:asciiTheme="minorEastAsia" w:eastAsiaTheme="minorEastAsia" w:hAnsiTheme="minorEastAsia"/>
        </w:rPr>
        <w:br w:type="page"/>
      </w:r>
    </w:p>
    <w:p w:rsidR="00BA4B87" w:rsidRPr="001B5B45" w:rsidRDefault="001C5C6E" w:rsidP="00CC1421">
      <w:pPr>
        <w:pStyle w:val="1"/>
        <w:snapToGrid w:val="0"/>
        <w:spacing w:beforeLines="0" w:afterLines="0" w:line="360" w:lineRule="auto"/>
        <w:ind w:firstLine="600"/>
        <w:rPr>
          <w:rFonts w:asciiTheme="minorEastAsia" w:eastAsiaTheme="minorEastAsia" w:hAnsiTheme="minorEastAsia"/>
          <w:bCs/>
          <w:szCs w:val="20"/>
        </w:rPr>
      </w:pPr>
      <w:bookmarkStart w:id="105" w:name="_Toc46927581"/>
      <w:bookmarkStart w:id="106" w:name="_Toc332373594"/>
      <w:r w:rsidRPr="001B5B45">
        <w:rPr>
          <w:rFonts w:asciiTheme="minorEastAsia" w:eastAsiaTheme="minorEastAsia" w:hAnsiTheme="minorEastAsia"/>
          <w:sz w:val="30"/>
        </w:rPr>
        <w:lastRenderedPageBreak/>
        <w:t>二十六</w:t>
      </w:r>
      <w:r w:rsidR="00BA4B87" w:rsidRPr="001B5B45">
        <w:rPr>
          <w:rFonts w:asciiTheme="minorEastAsia" w:eastAsiaTheme="minorEastAsia" w:hAnsiTheme="minorEastAsia"/>
          <w:sz w:val="30"/>
        </w:rPr>
        <w:t>、备查文件</w:t>
      </w:r>
      <w:bookmarkEnd w:id="105"/>
    </w:p>
    <w:bookmarkEnd w:id="106"/>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1、中国证监会准予易方达供给改革灵活配置混合型证券投资基金注册的文件；</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2、《易方达供给改革灵活配置混合型证券投资基金基金合同》；</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3、《易方达供给改革灵活配置混合型证券投资基金托管协议》；</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4、《易方达基金管理有限公司开放式基金业务规则》；</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5、法律意见书；</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6、基金管理人业务资格批件、营业执照；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7、基金托管人业务资格批件、营业执照。</w:t>
      </w:r>
    </w:p>
    <w:p w:rsidR="00E37233" w:rsidRPr="001B5B45" w:rsidRDefault="00D86678">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存放地点：基金管理人、基金托管人处</w:t>
      </w:r>
    </w:p>
    <w:p w:rsidR="00BA4B87" w:rsidRPr="001B5B45" w:rsidRDefault="00BF3F90" w:rsidP="006C3CF2">
      <w:pPr>
        <w:spacing w:line="360" w:lineRule="auto"/>
        <w:ind w:firstLineChars="200" w:firstLine="420"/>
        <w:rPr>
          <w:rStyle w:val="da"/>
          <w:rFonts w:asciiTheme="minorEastAsia" w:eastAsiaTheme="minorEastAsia" w:hAnsiTheme="minorEastAsia"/>
        </w:rPr>
      </w:pPr>
      <w:r w:rsidRPr="001B5B45">
        <w:rPr>
          <w:rStyle w:val="da"/>
          <w:rFonts w:asciiTheme="minorEastAsia" w:eastAsiaTheme="minorEastAsia" w:hAnsiTheme="minorEastAsia"/>
        </w:rPr>
        <w:t>查阅方式：投资者可在营业时间免费查阅，也可按工本费购买复印件。</w:t>
      </w:r>
    </w:p>
    <w:p w:rsidR="00610EAC" w:rsidRPr="001B5B45" w:rsidRDefault="00610EAC" w:rsidP="00610EAC">
      <w:pPr>
        <w:pStyle w:val="a6"/>
        <w:snapToGrid w:val="0"/>
        <w:spacing w:line="360" w:lineRule="auto"/>
        <w:ind w:firstLine="480"/>
        <w:rPr>
          <w:rFonts w:asciiTheme="minorEastAsia" w:eastAsiaTheme="minorEastAsia" w:hAnsiTheme="minorEastAsia"/>
          <w:bCs/>
        </w:rPr>
      </w:pPr>
    </w:p>
    <w:p w:rsidR="00610EAC" w:rsidRPr="001B5B45" w:rsidRDefault="00610EAC" w:rsidP="00610EAC">
      <w:pPr>
        <w:pStyle w:val="a6"/>
        <w:snapToGrid w:val="0"/>
        <w:spacing w:line="360" w:lineRule="auto"/>
        <w:ind w:firstLine="480"/>
        <w:rPr>
          <w:rFonts w:asciiTheme="minorEastAsia" w:eastAsiaTheme="minorEastAsia" w:hAnsiTheme="minorEastAsia"/>
          <w:bCs/>
        </w:rPr>
      </w:pPr>
    </w:p>
    <w:p w:rsidR="00F22D63" w:rsidRPr="001B5B45" w:rsidRDefault="00F22D63" w:rsidP="00610EAC">
      <w:pPr>
        <w:pStyle w:val="a6"/>
        <w:snapToGrid w:val="0"/>
        <w:spacing w:line="360" w:lineRule="auto"/>
        <w:ind w:firstLine="420"/>
        <w:jc w:val="right"/>
        <w:rPr>
          <w:rFonts w:asciiTheme="minorEastAsia" w:eastAsiaTheme="minorEastAsia" w:hAnsiTheme="minorEastAsia"/>
          <w:sz w:val="21"/>
        </w:rPr>
      </w:pPr>
      <w:r w:rsidRPr="001B5B45">
        <w:rPr>
          <w:rFonts w:asciiTheme="minorEastAsia" w:eastAsiaTheme="minorEastAsia" w:hAnsiTheme="minorEastAsia"/>
          <w:sz w:val="21"/>
        </w:rPr>
        <w:t>易方达基金管理有限公司</w:t>
      </w:r>
    </w:p>
    <w:p w:rsidR="00BA4B87" w:rsidRPr="001B5B45" w:rsidRDefault="00213CB9" w:rsidP="008E6611">
      <w:pPr>
        <w:snapToGrid w:val="0"/>
        <w:spacing w:line="360" w:lineRule="auto"/>
        <w:ind w:right="420"/>
        <w:jc w:val="right"/>
        <w:rPr>
          <w:rFonts w:asciiTheme="minorEastAsia" w:eastAsiaTheme="minorEastAsia" w:hAnsiTheme="minorEastAsia"/>
        </w:rPr>
      </w:pPr>
      <w:r w:rsidRPr="001B5B45">
        <w:rPr>
          <w:rFonts w:asciiTheme="minorEastAsia" w:eastAsiaTheme="minorEastAsia" w:hAnsiTheme="minorEastAsia" w:cs="Arial"/>
        </w:rPr>
        <w:t>2020年</w:t>
      </w:r>
      <w:r w:rsidR="0055151A" w:rsidRPr="001B5B45">
        <w:rPr>
          <w:rFonts w:asciiTheme="minorEastAsia" w:eastAsiaTheme="minorEastAsia" w:hAnsiTheme="minorEastAsia" w:cs="Arial"/>
        </w:rPr>
        <w:t>8</w:t>
      </w:r>
      <w:r w:rsidRPr="001B5B45">
        <w:rPr>
          <w:rFonts w:asciiTheme="minorEastAsia" w:eastAsiaTheme="minorEastAsia" w:hAnsiTheme="minorEastAsia" w:cs="Arial"/>
        </w:rPr>
        <w:t>月</w:t>
      </w:r>
      <w:r w:rsidR="0055151A" w:rsidRPr="001B5B45">
        <w:rPr>
          <w:rFonts w:asciiTheme="minorEastAsia" w:eastAsiaTheme="minorEastAsia" w:hAnsiTheme="minorEastAsia" w:cs="Arial"/>
        </w:rPr>
        <w:t>2</w:t>
      </w:r>
      <w:r w:rsidR="0070277F" w:rsidRPr="001B5B45">
        <w:rPr>
          <w:rFonts w:asciiTheme="minorEastAsia" w:eastAsiaTheme="minorEastAsia" w:hAnsiTheme="minorEastAsia" w:cs="Arial"/>
        </w:rPr>
        <w:t>6</w:t>
      </w:r>
      <w:r w:rsidRPr="001B5B45">
        <w:rPr>
          <w:rFonts w:asciiTheme="minorEastAsia" w:eastAsiaTheme="minorEastAsia" w:hAnsiTheme="minorEastAsia" w:cs="Arial"/>
        </w:rPr>
        <w:t>日</w:t>
      </w:r>
      <w:bookmarkStart w:id="107" w:name="_Toc38438350"/>
      <w:bookmarkStart w:id="108" w:name="_Toc38438687"/>
      <w:bookmarkStart w:id="109" w:name="_Toc38439024"/>
      <w:bookmarkStart w:id="110" w:name="_Toc38439361"/>
      <w:bookmarkStart w:id="111" w:name="_Toc38439698"/>
      <w:bookmarkStart w:id="112" w:name="_Toc38440035"/>
      <w:bookmarkStart w:id="113" w:name="_Toc38440372"/>
      <w:bookmarkStart w:id="114" w:name="_Toc38440904"/>
      <w:bookmarkStart w:id="115" w:name="_Toc38441236"/>
      <w:bookmarkStart w:id="116" w:name="_Toc38441568"/>
      <w:bookmarkStart w:id="117" w:name="_Toc38441896"/>
      <w:bookmarkStart w:id="118" w:name="_Toc38442228"/>
      <w:bookmarkStart w:id="119" w:name="_Toc38442560"/>
      <w:bookmarkStart w:id="120" w:name="_Toc38442891"/>
      <w:bookmarkStart w:id="121" w:name="_Toc38443222"/>
      <w:bookmarkStart w:id="122" w:name="_Toc38443553"/>
      <w:bookmarkStart w:id="123" w:name="_Toc38443883"/>
      <w:bookmarkStart w:id="124" w:name="_Toc38438351"/>
      <w:bookmarkStart w:id="125" w:name="_Toc38438688"/>
      <w:bookmarkStart w:id="126" w:name="_Toc38439025"/>
      <w:bookmarkStart w:id="127" w:name="_Toc38439362"/>
      <w:bookmarkStart w:id="128" w:name="_Toc38439699"/>
      <w:bookmarkStart w:id="129" w:name="_Toc38440036"/>
      <w:bookmarkStart w:id="130" w:name="_Toc38440373"/>
      <w:bookmarkStart w:id="131" w:name="_Toc38440905"/>
      <w:bookmarkStart w:id="132" w:name="_Toc38441237"/>
      <w:bookmarkStart w:id="133" w:name="_Toc38441569"/>
      <w:bookmarkStart w:id="134" w:name="_Toc38441897"/>
      <w:bookmarkStart w:id="135" w:name="_Toc38442229"/>
      <w:bookmarkStart w:id="136" w:name="_Toc38442561"/>
      <w:bookmarkStart w:id="137" w:name="_Toc38442892"/>
      <w:bookmarkStart w:id="138" w:name="_Toc38443223"/>
      <w:bookmarkStart w:id="139" w:name="_Toc38443554"/>
      <w:bookmarkStart w:id="140" w:name="_Toc38443884"/>
      <w:bookmarkStart w:id="141" w:name="_Toc38438352"/>
      <w:bookmarkStart w:id="142" w:name="_Toc38438689"/>
      <w:bookmarkStart w:id="143" w:name="_Toc38439026"/>
      <w:bookmarkStart w:id="144" w:name="_Toc38439363"/>
      <w:bookmarkStart w:id="145" w:name="_Toc38439700"/>
      <w:bookmarkStart w:id="146" w:name="_Toc38440037"/>
      <w:bookmarkStart w:id="147" w:name="_Toc38440374"/>
      <w:bookmarkStart w:id="148" w:name="_Toc38440906"/>
      <w:bookmarkStart w:id="149" w:name="_Toc38441238"/>
      <w:bookmarkStart w:id="150" w:name="_Toc38441570"/>
      <w:bookmarkStart w:id="151" w:name="_Toc38441898"/>
      <w:bookmarkStart w:id="152" w:name="_Toc38442230"/>
      <w:bookmarkStart w:id="153" w:name="_Toc38442562"/>
      <w:bookmarkStart w:id="154" w:name="_Toc38442893"/>
      <w:bookmarkStart w:id="155" w:name="_Toc38443224"/>
      <w:bookmarkStart w:id="156" w:name="_Toc38443555"/>
      <w:bookmarkStart w:id="157" w:name="_Toc38443885"/>
      <w:bookmarkStart w:id="158" w:name="_Toc38438353"/>
      <w:bookmarkStart w:id="159" w:name="_Toc38438690"/>
      <w:bookmarkStart w:id="160" w:name="_Toc38439027"/>
      <w:bookmarkStart w:id="161" w:name="_Toc38439364"/>
      <w:bookmarkStart w:id="162" w:name="_Toc38439701"/>
      <w:bookmarkStart w:id="163" w:name="_Toc38440038"/>
      <w:bookmarkStart w:id="164" w:name="_Toc38440375"/>
      <w:bookmarkStart w:id="165" w:name="_Toc38440907"/>
      <w:bookmarkStart w:id="166" w:name="_Toc38441239"/>
      <w:bookmarkStart w:id="167" w:name="_Toc38441571"/>
      <w:bookmarkStart w:id="168" w:name="_Toc38441899"/>
      <w:bookmarkStart w:id="169" w:name="_Toc38442231"/>
      <w:bookmarkStart w:id="170" w:name="_Toc38442563"/>
      <w:bookmarkStart w:id="171" w:name="_Toc38442894"/>
      <w:bookmarkStart w:id="172" w:name="_Toc38443225"/>
      <w:bookmarkStart w:id="173" w:name="_Toc38443556"/>
      <w:bookmarkStart w:id="174" w:name="_Toc38443886"/>
      <w:bookmarkStart w:id="175" w:name="_Toc38438354"/>
      <w:bookmarkStart w:id="176" w:name="_Toc38438691"/>
      <w:bookmarkStart w:id="177" w:name="_Toc38439028"/>
      <w:bookmarkStart w:id="178" w:name="_Toc38439365"/>
      <w:bookmarkStart w:id="179" w:name="_Toc38439702"/>
      <w:bookmarkStart w:id="180" w:name="_Toc38440039"/>
      <w:bookmarkStart w:id="181" w:name="_Toc38440376"/>
      <w:bookmarkStart w:id="182" w:name="_Toc38440908"/>
      <w:bookmarkStart w:id="183" w:name="_Toc38441240"/>
      <w:bookmarkStart w:id="184" w:name="_Toc38441572"/>
      <w:bookmarkStart w:id="185" w:name="_Toc38441900"/>
      <w:bookmarkStart w:id="186" w:name="_Toc38442232"/>
      <w:bookmarkStart w:id="187" w:name="_Toc38442564"/>
      <w:bookmarkStart w:id="188" w:name="_Toc38442895"/>
      <w:bookmarkStart w:id="189" w:name="_Toc38443226"/>
      <w:bookmarkStart w:id="190" w:name="_Toc38443557"/>
      <w:bookmarkStart w:id="191" w:name="_Toc38443887"/>
      <w:bookmarkStart w:id="192" w:name="_Toc38438355"/>
      <w:bookmarkStart w:id="193" w:name="_Toc38438692"/>
      <w:bookmarkStart w:id="194" w:name="_Toc38439029"/>
      <w:bookmarkStart w:id="195" w:name="_Toc38439366"/>
      <w:bookmarkStart w:id="196" w:name="_Toc38439703"/>
      <w:bookmarkStart w:id="197" w:name="_Toc38440040"/>
      <w:bookmarkStart w:id="198" w:name="_Toc38440377"/>
      <w:bookmarkStart w:id="199" w:name="_Toc38440909"/>
      <w:bookmarkStart w:id="200" w:name="_Toc38441241"/>
      <w:bookmarkStart w:id="201" w:name="_Toc38441573"/>
      <w:bookmarkStart w:id="202" w:name="_Toc38441901"/>
      <w:bookmarkStart w:id="203" w:name="_Toc38442233"/>
      <w:bookmarkStart w:id="204" w:name="_Toc38442565"/>
      <w:bookmarkStart w:id="205" w:name="_Toc38442896"/>
      <w:bookmarkStart w:id="206" w:name="_Toc38443227"/>
      <w:bookmarkStart w:id="207" w:name="_Toc38443558"/>
      <w:bookmarkStart w:id="208" w:name="_Toc38443888"/>
      <w:bookmarkStart w:id="209" w:name="_Toc38438356"/>
      <w:bookmarkStart w:id="210" w:name="_Toc38438693"/>
      <w:bookmarkStart w:id="211" w:name="_Toc38439030"/>
      <w:bookmarkStart w:id="212" w:name="_Toc38439367"/>
      <w:bookmarkStart w:id="213" w:name="_Toc38439704"/>
      <w:bookmarkStart w:id="214" w:name="_Toc38440041"/>
      <w:bookmarkStart w:id="215" w:name="_Toc38440378"/>
      <w:bookmarkStart w:id="216" w:name="_Toc38440910"/>
      <w:bookmarkStart w:id="217" w:name="_Toc38441242"/>
      <w:bookmarkStart w:id="218" w:name="_Toc38441574"/>
      <w:bookmarkStart w:id="219" w:name="_Toc38441902"/>
      <w:bookmarkStart w:id="220" w:name="_Toc38442234"/>
      <w:bookmarkStart w:id="221" w:name="_Toc38442566"/>
      <w:bookmarkStart w:id="222" w:name="_Toc38442897"/>
      <w:bookmarkStart w:id="223" w:name="_Toc38443228"/>
      <w:bookmarkStart w:id="224" w:name="_Toc38443559"/>
      <w:bookmarkStart w:id="225" w:name="_Toc38443889"/>
      <w:bookmarkStart w:id="226" w:name="_Toc38438357"/>
      <w:bookmarkStart w:id="227" w:name="_Toc38438694"/>
      <w:bookmarkStart w:id="228" w:name="_Toc38439031"/>
      <w:bookmarkStart w:id="229" w:name="_Toc38439368"/>
      <w:bookmarkStart w:id="230" w:name="_Toc38439705"/>
      <w:bookmarkStart w:id="231" w:name="_Toc38440042"/>
      <w:bookmarkStart w:id="232" w:name="_Toc38440379"/>
      <w:bookmarkStart w:id="233" w:name="_Toc38440911"/>
      <w:bookmarkStart w:id="234" w:name="_Toc38441243"/>
      <w:bookmarkStart w:id="235" w:name="_Toc38441575"/>
      <w:bookmarkStart w:id="236" w:name="_Toc38441903"/>
      <w:bookmarkStart w:id="237" w:name="_Toc38442235"/>
      <w:bookmarkStart w:id="238" w:name="_Toc38442567"/>
      <w:bookmarkStart w:id="239" w:name="_Toc38442898"/>
      <w:bookmarkStart w:id="240" w:name="_Toc38443229"/>
      <w:bookmarkStart w:id="241" w:name="_Toc38443560"/>
      <w:bookmarkStart w:id="242" w:name="_Toc38443890"/>
      <w:bookmarkStart w:id="243" w:name="_Toc38438358"/>
      <w:bookmarkStart w:id="244" w:name="_Toc38438695"/>
      <w:bookmarkStart w:id="245" w:name="_Toc38439032"/>
      <w:bookmarkStart w:id="246" w:name="_Toc38439369"/>
      <w:bookmarkStart w:id="247" w:name="_Toc38439706"/>
      <w:bookmarkStart w:id="248" w:name="_Toc38440043"/>
      <w:bookmarkStart w:id="249" w:name="_Toc38440380"/>
      <w:bookmarkStart w:id="250" w:name="_Toc38440912"/>
      <w:bookmarkStart w:id="251" w:name="_Toc38441244"/>
      <w:bookmarkStart w:id="252" w:name="_Toc38441576"/>
      <w:bookmarkStart w:id="253" w:name="_Toc38441904"/>
      <w:bookmarkStart w:id="254" w:name="_Toc38442236"/>
      <w:bookmarkStart w:id="255" w:name="_Toc38442568"/>
      <w:bookmarkStart w:id="256" w:name="_Toc38442899"/>
      <w:bookmarkStart w:id="257" w:name="_Toc38443230"/>
      <w:bookmarkStart w:id="258" w:name="_Toc38443561"/>
      <w:bookmarkStart w:id="259" w:name="_Toc38443891"/>
      <w:bookmarkStart w:id="260" w:name="_Toc38438359"/>
      <w:bookmarkStart w:id="261" w:name="_Toc38438696"/>
      <w:bookmarkStart w:id="262" w:name="_Toc38439033"/>
      <w:bookmarkStart w:id="263" w:name="_Toc38439370"/>
      <w:bookmarkStart w:id="264" w:name="_Toc38439707"/>
      <w:bookmarkStart w:id="265" w:name="_Toc38440044"/>
      <w:bookmarkStart w:id="266" w:name="_Toc38440381"/>
      <w:bookmarkStart w:id="267" w:name="_Toc38440913"/>
      <w:bookmarkStart w:id="268" w:name="_Toc38441245"/>
      <w:bookmarkStart w:id="269" w:name="_Toc38441577"/>
      <w:bookmarkStart w:id="270" w:name="_Toc38441905"/>
      <w:bookmarkStart w:id="271" w:name="_Toc38442237"/>
      <w:bookmarkStart w:id="272" w:name="_Toc38442569"/>
      <w:bookmarkStart w:id="273" w:name="_Toc38442900"/>
      <w:bookmarkStart w:id="274" w:name="_Toc38443231"/>
      <w:bookmarkStart w:id="275" w:name="_Toc38443562"/>
      <w:bookmarkStart w:id="276" w:name="_Toc38443892"/>
      <w:bookmarkStart w:id="277" w:name="_Toc38438360"/>
      <w:bookmarkStart w:id="278" w:name="_Toc38438697"/>
      <w:bookmarkStart w:id="279" w:name="_Toc38439034"/>
      <w:bookmarkStart w:id="280" w:name="_Toc38439371"/>
      <w:bookmarkStart w:id="281" w:name="_Toc38439708"/>
      <w:bookmarkStart w:id="282" w:name="_Toc38440045"/>
      <w:bookmarkStart w:id="283" w:name="_Toc38440382"/>
      <w:bookmarkStart w:id="284" w:name="_Toc38440914"/>
      <w:bookmarkStart w:id="285" w:name="_Toc38441246"/>
      <w:bookmarkStart w:id="286" w:name="_Toc38441578"/>
      <w:bookmarkStart w:id="287" w:name="_Toc38441906"/>
      <w:bookmarkStart w:id="288" w:name="_Toc38442238"/>
      <w:bookmarkStart w:id="289" w:name="_Toc38442570"/>
      <w:bookmarkStart w:id="290" w:name="_Toc38442901"/>
      <w:bookmarkStart w:id="291" w:name="_Toc38443232"/>
      <w:bookmarkStart w:id="292" w:name="_Toc38443563"/>
      <w:bookmarkStart w:id="293" w:name="_Toc38443893"/>
      <w:bookmarkStart w:id="294" w:name="_Toc38438361"/>
      <w:bookmarkStart w:id="295" w:name="_Toc38438698"/>
      <w:bookmarkStart w:id="296" w:name="_Toc38439035"/>
      <w:bookmarkStart w:id="297" w:name="_Toc38439372"/>
      <w:bookmarkStart w:id="298" w:name="_Toc38439709"/>
      <w:bookmarkStart w:id="299" w:name="_Toc38440046"/>
      <w:bookmarkStart w:id="300" w:name="_Toc38440383"/>
      <w:bookmarkStart w:id="301" w:name="_Toc38440915"/>
      <w:bookmarkStart w:id="302" w:name="_Toc38441247"/>
      <w:bookmarkStart w:id="303" w:name="_Toc38441579"/>
      <w:bookmarkStart w:id="304" w:name="_Toc38441907"/>
      <w:bookmarkStart w:id="305" w:name="_Toc38442239"/>
      <w:bookmarkStart w:id="306" w:name="_Toc38442571"/>
      <w:bookmarkStart w:id="307" w:name="_Toc38442902"/>
      <w:bookmarkStart w:id="308" w:name="_Toc38443233"/>
      <w:bookmarkStart w:id="309" w:name="_Toc38443564"/>
      <w:bookmarkStart w:id="310" w:name="_Toc38443894"/>
      <w:bookmarkStart w:id="311" w:name="_Toc38438362"/>
      <w:bookmarkStart w:id="312" w:name="_Toc38438699"/>
      <w:bookmarkStart w:id="313" w:name="_Toc38439036"/>
      <w:bookmarkStart w:id="314" w:name="_Toc38439373"/>
      <w:bookmarkStart w:id="315" w:name="_Toc38439710"/>
      <w:bookmarkStart w:id="316" w:name="_Toc38440047"/>
      <w:bookmarkStart w:id="317" w:name="_Toc38440384"/>
      <w:bookmarkStart w:id="318" w:name="_Toc38440916"/>
      <w:bookmarkStart w:id="319" w:name="_Toc38441248"/>
      <w:bookmarkStart w:id="320" w:name="_Toc38441580"/>
      <w:bookmarkStart w:id="321" w:name="_Toc38441908"/>
      <w:bookmarkStart w:id="322" w:name="_Toc38442240"/>
      <w:bookmarkStart w:id="323" w:name="_Toc38442572"/>
      <w:bookmarkStart w:id="324" w:name="_Toc38442903"/>
      <w:bookmarkStart w:id="325" w:name="_Toc38443234"/>
      <w:bookmarkStart w:id="326" w:name="_Toc38443565"/>
      <w:bookmarkStart w:id="327" w:name="_Toc38443895"/>
      <w:bookmarkStart w:id="328" w:name="_Toc38438363"/>
      <w:bookmarkStart w:id="329" w:name="_Toc38438700"/>
      <w:bookmarkStart w:id="330" w:name="_Toc38439037"/>
      <w:bookmarkStart w:id="331" w:name="_Toc38439374"/>
      <w:bookmarkStart w:id="332" w:name="_Toc38439711"/>
      <w:bookmarkStart w:id="333" w:name="_Toc38440048"/>
      <w:bookmarkStart w:id="334" w:name="_Toc38440385"/>
      <w:bookmarkStart w:id="335" w:name="_Toc38440917"/>
      <w:bookmarkStart w:id="336" w:name="_Toc38441249"/>
      <w:bookmarkStart w:id="337" w:name="_Toc38441581"/>
      <w:bookmarkStart w:id="338" w:name="_Toc38441909"/>
      <w:bookmarkStart w:id="339" w:name="_Toc38442241"/>
      <w:bookmarkStart w:id="340" w:name="_Toc38442573"/>
      <w:bookmarkStart w:id="341" w:name="_Toc38442904"/>
      <w:bookmarkStart w:id="342" w:name="_Toc38443235"/>
      <w:bookmarkStart w:id="343" w:name="_Toc38443566"/>
      <w:bookmarkStart w:id="344" w:name="_Toc38443896"/>
      <w:bookmarkStart w:id="345" w:name="_Toc38438364"/>
      <w:bookmarkStart w:id="346" w:name="_Toc38438701"/>
      <w:bookmarkStart w:id="347" w:name="_Toc38439038"/>
      <w:bookmarkStart w:id="348" w:name="_Toc38439375"/>
      <w:bookmarkStart w:id="349" w:name="_Toc38439712"/>
      <w:bookmarkStart w:id="350" w:name="_Toc38440049"/>
      <w:bookmarkStart w:id="351" w:name="_Toc38440386"/>
      <w:bookmarkStart w:id="352" w:name="_Toc38440918"/>
      <w:bookmarkStart w:id="353" w:name="_Toc38441250"/>
      <w:bookmarkStart w:id="354" w:name="_Toc38441582"/>
      <w:bookmarkStart w:id="355" w:name="_Toc38441910"/>
      <w:bookmarkStart w:id="356" w:name="_Toc38442242"/>
      <w:bookmarkStart w:id="357" w:name="_Toc38442574"/>
      <w:bookmarkStart w:id="358" w:name="_Toc38442905"/>
      <w:bookmarkStart w:id="359" w:name="_Toc38443236"/>
      <w:bookmarkStart w:id="360" w:name="_Toc38443567"/>
      <w:bookmarkStart w:id="361" w:name="_Toc38443897"/>
      <w:bookmarkStart w:id="362" w:name="_Toc38438365"/>
      <w:bookmarkStart w:id="363" w:name="_Toc38438702"/>
      <w:bookmarkStart w:id="364" w:name="_Toc38439039"/>
      <w:bookmarkStart w:id="365" w:name="_Toc38439376"/>
      <w:bookmarkStart w:id="366" w:name="_Toc38439713"/>
      <w:bookmarkStart w:id="367" w:name="_Toc38440050"/>
      <w:bookmarkStart w:id="368" w:name="_Toc38440387"/>
      <w:bookmarkStart w:id="369" w:name="_Toc38440919"/>
      <w:bookmarkStart w:id="370" w:name="_Toc38441251"/>
      <w:bookmarkStart w:id="371" w:name="_Toc38441583"/>
      <w:bookmarkStart w:id="372" w:name="_Toc38441911"/>
      <w:bookmarkStart w:id="373" w:name="_Toc38442243"/>
      <w:bookmarkStart w:id="374" w:name="_Toc38442575"/>
      <w:bookmarkStart w:id="375" w:name="_Toc38442906"/>
      <w:bookmarkStart w:id="376" w:name="_Toc38443237"/>
      <w:bookmarkStart w:id="377" w:name="_Toc38443568"/>
      <w:bookmarkStart w:id="378" w:name="_Toc38443898"/>
      <w:bookmarkStart w:id="379" w:name="_Toc38438366"/>
      <w:bookmarkStart w:id="380" w:name="_Toc38438703"/>
      <w:bookmarkStart w:id="381" w:name="_Toc38439040"/>
      <w:bookmarkStart w:id="382" w:name="_Toc38439377"/>
      <w:bookmarkStart w:id="383" w:name="_Toc38439714"/>
      <w:bookmarkStart w:id="384" w:name="_Toc38440051"/>
      <w:bookmarkStart w:id="385" w:name="_Toc38440388"/>
      <w:bookmarkStart w:id="386" w:name="_Toc38440920"/>
      <w:bookmarkStart w:id="387" w:name="_Toc38441252"/>
      <w:bookmarkStart w:id="388" w:name="_Toc38441584"/>
      <w:bookmarkStart w:id="389" w:name="_Toc38441912"/>
      <w:bookmarkStart w:id="390" w:name="_Toc38442244"/>
      <w:bookmarkStart w:id="391" w:name="_Toc38442576"/>
      <w:bookmarkStart w:id="392" w:name="_Toc38442907"/>
      <w:bookmarkStart w:id="393" w:name="_Toc38443238"/>
      <w:bookmarkStart w:id="394" w:name="_Toc38443569"/>
      <w:bookmarkStart w:id="395" w:name="_Toc38443899"/>
      <w:bookmarkStart w:id="396" w:name="_Toc38438367"/>
      <w:bookmarkStart w:id="397" w:name="_Toc38438704"/>
      <w:bookmarkStart w:id="398" w:name="_Toc38439041"/>
      <w:bookmarkStart w:id="399" w:name="_Toc38439378"/>
      <w:bookmarkStart w:id="400" w:name="_Toc38439715"/>
      <w:bookmarkStart w:id="401" w:name="_Toc38440052"/>
      <w:bookmarkStart w:id="402" w:name="_Toc38440389"/>
      <w:bookmarkStart w:id="403" w:name="_Toc38440921"/>
      <w:bookmarkStart w:id="404" w:name="_Toc38441253"/>
      <w:bookmarkStart w:id="405" w:name="_Toc38441585"/>
      <w:bookmarkStart w:id="406" w:name="_Toc38441913"/>
      <w:bookmarkStart w:id="407" w:name="_Toc38442245"/>
      <w:bookmarkStart w:id="408" w:name="_Toc38442577"/>
      <w:bookmarkStart w:id="409" w:name="_Toc38442908"/>
      <w:bookmarkStart w:id="410" w:name="_Toc38443239"/>
      <w:bookmarkStart w:id="411" w:name="_Toc38443570"/>
      <w:bookmarkStart w:id="412" w:name="_Toc38443900"/>
      <w:bookmarkStart w:id="413" w:name="_Toc38438368"/>
      <w:bookmarkStart w:id="414" w:name="_Toc38438705"/>
      <w:bookmarkStart w:id="415" w:name="_Toc38439042"/>
      <w:bookmarkStart w:id="416" w:name="_Toc38439379"/>
      <w:bookmarkStart w:id="417" w:name="_Toc38439716"/>
      <w:bookmarkStart w:id="418" w:name="_Toc38440053"/>
      <w:bookmarkStart w:id="419" w:name="_Toc38440390"/>
      <w:bookmarkStart w:id="420" w:name="_Toc38440922"/>
      <w:bookmarkStart w:id="421" w:name="_Toc38441254"/>
      <w:bookmarkStart w:id="422" w:name="_Toc38441586"/>
      <w:bookmarkStart w:id="423" w:name="_Toc38441914"/>
      <w:bookmarkStart w:id="424" w:name="_Toc38442246"/>
      <w:bookmarkStart w:id="425" w:name="_Toc38442578"/>
      <w:bookmarkStart w:id="426" w:name="_Toc38442909"/>
      <w:bookmarkStart w:id="427" w:name="_Toc38443240"/>
      <w:bookmarkStart w:id="428" w:name="_Toc38443571"/>
      <w:bookmarkStart w:id="429" w:name="_Toc38443901"/>
      <w:bookmarkStart w:id="430" w:name="_Toc38438369"/>
      <w:bookmarkStart w:id="431" w:name="_Toc38438706"/>
      <w:bookmarkStart w:id="432" w:name="_Toc38439043"/>
      <w:bookmarkStart w:id="433" w:name="_Toc38439380"/>
      <w:bookmarkStart w:id="434" w:name="_Toc38439717"/>
      <w:bookmarkStart w:id="435" w:name="_Toc38440054"/>
      <w:bookmarkStart w:id="436" w:name="_Toc38440391"/>
      <w:bookmarkStart w:id="437" w:name="_Toc38440923"/>
      <w:bookmarkStart w:id="438" w:name="_Toc38441255"/>
      <w:bookmarkStart w:id="439" w:name="_Toc38441587"/>
      <w:bookmarkStart w:id="440" w:name="_Toc38441915"/>
      <w:bookmarkStart w:id="441" w:name="_Toc38442247"/>
      <w:bookmarkStart w:id="442" w:name="_Toc38442579"/>
      <w:bookmarkStart w:id="443" w:name="_Toc38442910"/>
      <w:bookmarkStart w:id="444" w:name="_Toc38443241"/>
      <w:bookmarkStart w:id="445" w:name="_Toc38443572"/>
      <w:bookmarkStart w:id="446" w:name="_Toc38443902"/>
      <w:bookmarkStart w:id="447" w:name="_Toc38438371"/>
      <w:bookmarkStart w:id="448" w:name="_Toc38438708"/>
      <w:bookmarkStart w:id="449" w:name="_Toc38439045"/>
      <w:bookmarkStart w:id="450" w:name="_Toc38439382"/>
      <w:bookmarkStart w:id="451" w:name="_Toc38439719"/>
      <w:bookmarkStart w:id="452" w:name="_Toc38440056"/>
      <w:bookmarkStart w:id="453" w:name="_Toc38440393"/>
      <w:bookmarkStart w:id="454" w:name="_Toc38440925"/>
      <w:bookmarkStart w:id="455" w:name="_Toc38441257"/>
      <w:bookmarkStart w:id="456" w:name="_Toc38441589"/>
      <w:bookmarkStart w:id="457" w:name="_Toc38441917"/>
      <w:bookmarkStart w:id="458" w:name="_Toc38442249"/>
      <w:bookmarkStart w:id="459" w:name="_Toc38442581"/>
      <w:bookmarkStart w:id="460" w:name="_Toc38442912"/>
      <w:bookmarkStart w:id="461" w:name="_Toc38443243"/>
      <w:bookmarkStart w:id="462" w:name="_Toc38443574"/>
      <w:bookmarkStart w:id="463" w:name="_Toc38443904"/>
      <w:bookmarkStart w:id="464" w:name="_Toc38438372"/>
      <w:bookmarkStart w:id="465" w:name="_Toc38438709"/>
      <w:bookmarkStart w:id="466" w:name="_Toc38439046"/>
      <w:bookmarkStart w:id="467" w:name="_Toc38439383"/>
      <w:bookmarkStart w:id="468" w:name="_Toc38439720"/>
      <w:bookmarkStart w:id="469" w:name="_Toc38440057"/>
      <w:bookmarkStart w:id="470" w:name="_Toc38440394"/>
      <w:bookmarkStart w:id="471" w:name="_Toc38440926"/>
      <w:bookmarkStart w:id="472" w:name="_Toc38441258"/>
      <w:bookmarkStart w:id="473" w:name="_Toc38441590"/>
      <w:bookmarkStart w:id="474" w:name="_Toc38441918"/>
      <w:bookmarkStart w:id="475" w:name="_Toc38442250"/>
      <w:bookmarkStart w:id="476" w:name="_Toc38442582"/>
      <w:bookmarkStart w:id="477" w:name="_Toc38442913"/>
      <w:bookmarkStart w:id="478" w:name="_Toc38443244"/>
      <w:bookmarkStart w:id="479" w:name="_Toc38443575"/>
      <w:bookmarkStart w:id="480" w:name="_Toc38443905"/>
      <w:bookmarkStart w:id="481" w:name="_Toc38438373"/>
      <w:bookmarkStart w:id="482" w:name="_Toc38438710"/>
      <w:bookmarkStart w:id="483" w:name="_Toc38439047"/>
      <w:bookmarkStart w:id="484" w:name="_Toc38439384"/>
      <w:bookmarkStart w:id="485" w:name="_Toc38439721"/>
      <w:bookmarkStart w:id="486" w:name="_Toc38440058"/>
      <w:bookmarkStart w:id="487" w:name="_Toc38440395"/>
      <w:bookmarkStart w:id="488" w:name="_Toc38440927"/>
      <w:bookmarkStart w:id="489" w:name="_Toc38441259"/>
      <w:bookmarkStart w:id="490" w:name="_Toc38441591"/>
      <w:bookmarkStart w:id="491" w:name="_Toc38441919"/>
      <w:bookmarkStart w:id="492" w:name="_Toc38442251"/>
      <w:bookmarkStart w:id="493" w:name="_Toc38442583"/>
      <w:bookmarkStart w:id="494" w:name="_Toc38442914"/>
      <w:bookmarkStart w:id="495" w:name="_Toc38443245"/>
      <w:bookmarkStart w:id="496" w:name="_Toc38443576"/>
      <w:bookmarkStart w:id="497" w:name="_Toc38443906"/>
      <w:bookmarkStart w:id="498" w:name="_Toc38438374"/>
      <w:bookmarkStart w:id="499" w:name="_Toc38438711"/>
      <w:bookmarkStart w:id="500" w:name="_Toc38439048"/>
      <w:bookmarkStart w:id="501" w:name="_Toc38439385"/>
      <w:bookmarkStart w:id="502" w:name="_Toc38439722"/>
      <w:bookmarkStart w:id="503" w:name="_Toc38440059"/>
      <w:bookmarkStart w:id="504" w:name="_Toc38440396"/>
      <w:bookmarkStart w:id="505" w:name="_Toc38440928"/>
      <w:bookmarkStart w:id="506" w:name="_Toc38441260"/>
      <w:bookmarkStart w:id="507" w:name="_Toc38441592"/>
      <w:bookmarkStart w:id="508" w:name="_Toc38441920"/>
      <w:bookmarkStart w:id="509" w:name="_Toc38442252"/>
      <w:bookmarkStart w:id="510" w:name="_Toc38442584"/>
      <w:bookmarkStart w:id="511" w:name="_Toc38442915"/>
      <w:bookmarkStart w:id="512" w:name="_Toc38443246"/>
      <w:bookmarkStart w:id="513" w:name="_Toc38443577"/>
      <w:bookmarkStart w:id="514" w:name="_Toc38443907"/>
      <w:bookmarkStart w:id="515" w:name="_Toc38438375"/>
      <w:bookmarkStart w:id="516" w:name="_Toc38438712"/>
      <w:bookmarkStart w:id="517" w:name="_Toc38439049"/>
      <w:bookmarkStart w:id="518" w:name="_Toc38439386"/>
      <w:bookmarkStart w:id="519" w:name="_Toc38439723"/>
      <w:bookmarkStart w:id="520" w:name="_Toc38440060"/>
      <w:bookmarkStart w:id="521" w:name="_Toc38440397"/>
      <w:bookmarkStart w:id="522" w:name="_Toc38440929"/>
      <w:bookmarkStart w:id="523" w:name="_Toc38441261"/>
      <w:bookmarkStart w:id="524" w:name="_Toc38441593"/>
      <w:bookmarkStart w:id="525" w:name="_Toc38441921"/>
      <w:bookmarkStart w:id="526" w:name="_Toc38442253"/>
      <w:bookmarkStart w:id="527" w:name="_Toc38442585"/>
      <w:bookmarkStart w:id="528" w:name="_Toc38442916"/>
      <w:bookmarkStart w:id="529" w:name="_Toc38443247"/>
      <w:bookmarkStart w:id="530" w:name="_Toc38443578"/>
      <w:bookmarkStart w:id="531" w:name="_Toc38443908"/>
      <w:bookmarkStart w:id="532" w:name="_Toc38438376"/>
      <w:bookmarkStart w:id="533" w:name="_Toc38438713"/>
      <w:bookmarkStart w:id="534" w:name="_Toc38439050"/>
      <w:bookmarkStart w:id="535" w:name="_Toc38439387"/>
      <w:bookmarkStart w:id="536" w:name="_Toc38439724"/>
      <w:bookmarkStart w:id="537" w:name="_Toc38440061"/>
      <w:bookmarkStart w:id="538" w:name="_Toc38440398"/>
      <w:bookmarkStart w:id="539" w:name="_Toc38440930"/>
      <w:bookmarkStart w:id="540" w:name="_Toc38441262"/>
      <w:bookmarkStart w:id="541" w:name="_Toc38441594"/>
      <w:bookmarkStart w:id="542" w:name="_Toc38441922"/>
      <w:bookmarkStart w:id="543" w:name="_Toc38442254"/>
      <w:bookmarkStart w:id="544" w:name="_Toc38442586"/>
      <w:bookmarkStart w:id="545" w:name="_Toc38442917"/>
      <w:bookmarkStart w:id="546" w:name="_Toc38443248"/>
      <w:bookmarkStart w:id="547" w:name="_Toc38443579"/>
      <w:bookmarkStart w:id="548" w:name="_Toc38443909"/>
      <w:bookmarkStart w:id="549" w:name="_Toc38438377"/>
      <w:bookmarkStart w:id="550" w:name="_Toc38438714"/>
      <w:bookmarkStart w:id="551" w:name="_Toc38439051"/>
      <w:bookmarkStart w:id="552" w:name="_Toc38439388"/>
      <w:bookmarkStart w:id="553" w:name="_Toc38439725"/>
      <w:bookmarkStart w:id="554" w:name="_Toc38440062"/>
      <w:bookmarkStart w:id="555" w:name="_Toc38440399"/>
      <w:bookmarkStart w:id="556" w:name="_Toc38440931"/>
      <w:bookmarkStart w:id="557" w:name="_Toc38441263"/>
      <w:bookmarkStart w:id="558" w:name="_Toc38441595"/>
      <w:bookmarkStart w:id="559" w:name="_Toc38441923"/>
      <w:bookmarkStart w:id="560" w:name="_Toc38442255"/>
      <w:bookmarkStart w:id="561" w:name="_Toc38442587"/>
      <w:bookmarkStart w:id="562" w:name="_Toc38442918"/>
      <w:bookmarkStart w:id="563" w:name="_Toc38443249"/>
      <w:bookmarkStart w:id="564" w:name="_Toc38443580"/>
      <w:bookmarkStart w:id="565" w:name="_Toc38443910"/>
      <w:bookmarkStart w:id="566" w:name="_Toc38438378"/>
      <w:bookmarkStart w:id="567" w:name="_Toc38438715"/>
      <w:bookmarkStart w:id="568" w:name="_Toc38439052"/>
      <w:bookmarkStart w:id="569" w:name="_Toc38439389"/>
      <w:bookmarkStart w:id="570" w:name="_Toc38439726"/>
      <w:bookmarkStart w:id="571" w:name="_Toc38440063"/>
      <w:bookmarkStart w:id="572" w:name="_Toc38440400"/>
      <w:bookmarkStart w:id="573" w:name="_Toc38440932"/>
      <w:bookmarkStart w:id="574" w:name="_Toc38441264"/>
      <w:bookmarkStart w:id="575" w:name="_Toc38441596"/>
      <w:bookmarkStart w:id="576" w:name="_Toc38441924"/>
      <w:bookmarkStart w:id="577" w:name="_Toc38442256"/>
      <w:bookmarkStart w:id="578" w:name="_Toc38442588"/>
      <w:bookmarkStart w:id="579" w:name="_Toc38442919"/>
      <w:bookmarkStart w:id="580" w:name="_Toc38443250"/>
      <w:bookmarkStart w:id="581" w:name="_Toc38443581"/>
      <w:bookmarkStart w:id="582" w:name="_Toc38443911"/>
      <w:bookmarkStart w:id="583" w:name="_Toc38438379"/>
      <w:bookmarkStart w:id="584" w:name="_Toc38438716"/>
      <w:bookmarkStart w:id="585" w:name="_Toc38439053"/>
      <w:bookmarkStart w:id="586" w:name="_Toc38439390"/>
      <w:bookmarkStart w:id="587" w:name="_Toc38439727"/>
      <w:bookmarkStart w:id="588" w:name="_Toc38440064"/>
      <w:bookmarkStart w:id="589" w:name="_Toc38440401"/>
      <w:bookmarkStart w:id="590" w:name="_Toc38440933"/>
      <w:bookmarkStart w:id="591" w:name="_Toc38441265"/>
      <w:bookmarkStart w:id="592" w:name="_Toc38441597"/>
      <w:bookmarkStart w:id="593" w:name="_Toc38441925"/>
      <w:bookmarkStart w:id="594" w:name="_Toc38442257"/>
      <w:bookmarkStart w:id="595" w:name="_Toc38442589"/>
      <w:bookmarkStart w:id="596" w:name="_Toc38442920"/>
      <w:bookmarkStart w:id="597" w:name="_Toc38443251"/>
      <w:bookmarkStart w:id="598" w:name="_Toc38443582"/>
      <w:bookmarkStart w:id="599" w:name="_Toc38443912"/>
      <w:bookmarkStart w:id="600" w:name="_Toc38438380"/>
      <w:bookmarkStart w:id="601" w:name="_Toc38438717"/>
      <w:bookmarkStart w:id="602" w:name="_Toc38439054"/>
      <w:bookmarkStart w:id="603" w:name="_Toc38439391"/>
      <w:bookmarkStart w:id="604" w:name="_Toc38439728"/>
      <w:bookmarkStart w:id="605" w:name="_Toc38440065"/>
      <w:bookmarkStart w:id="606" w:name="_Toc38440402"/>
      <w:bookmarkStart w:id="607" w:name="_Toc38440934"/>
      <w:bookmarkStart w:id="608" w:name="_Toc38441266"/>
      <w:bookmarkStart w:id="609" w:name="_Toc38441598"/>
      <w:bookmarkStart w:id="610" w:name="_Toc38441926"/>
      <w:bookmarkStart w:id="611" w:name="_Toc38442258"/>
      <w:bookmarkStart w:id="612" w:name="_Toc38442590"/>
      <w:bookmarkStart w:id="613" w:name="_Toc38442921"/>
      <w:bookmarkStart w:id="614" w:name="_Toc38443252"/>
      <w:bookmarkStart w:id="615" w:name="_Toc38443583"/>
      <w:bookmarkStart w:id="616" w:name="_Toc38443913"/>
      <w:bookmarkStart w:id="617" w:name="_Toc38438381"/>
      <w:bookmarkStart w:id="618" w:name="_Toc38438718"/>
      <w:bookmarkStart w:id="619" w:name="_Toc38439055"/>
      <w:bookmarkStart w:id="620" w:name="_Toc38439392"/>
      <w:bookmarkStart w:id="621" w:name="_Toc38439729"/>
      <w:bookmarkStart w:id="622" w:name="_Toc38440066"/>
      <w:bookmarkStart w:id="623" w:name="_Toc38440403"/>
      <w:bookmarkStart w:id="624" w:name="_Toc38440935"/>
      <w:bookmarkStart w:id="625" w:name="_Toc38441267"/>
      <w:bookmarkStart w:id="626" w:name="_Toc38441599"/>
      <w:bookmarkStart w:id="627" w:name="_Toc38441927"/>
      <w:bookmarkStart w:id="628" w:name="_Toc38442259"/>
      <w:bookmarkStart w:id="629" w:name="_Toc38442591"/>
      <w:bookmarkStart w:id="630" w:name="_Toc38442922"/>
      <w:bookmarkStart w:id="631" w:name="_Toc38443253"/>
      <w:bookmarkStart w:id="632" w:name="_Toc38443584"/>
      <w:bookmarkStart w:id="633" w:name="_Toc38443914"/>
      <w:bookmarkStart w:id="634" w:name="_Toc38438382"/>
      <w:bookmarkStart w:id="635" w:name="_Toc38438719"/>
      <w:bookmarkStart w:id="636" w:name="_Toc38439056"/>
      <w:bookmarkStart w:id="637" w:name="_Toc38439393"/>
      <w:bookmarkStart w:id="638" w:name="_Toc38439730"/>
      <w:bookmarkStart w:id="639" w:name="_Toc38440067"/>
      <w:bookmarkStart w:id="640" w:name="_Toc38440404"/>
      <w:bookmarkStart w:id="641" w:name="_Toc38440936"/>
      <w:bookmarkStart w:id="642" w:name="_Toc38441268"/>
      <w:bookmarkStart w:id="643" w:name="_Toc38441600"/>
      <w:bookmarkStart w:id="644" w:name="_Toc38441928"/>
      <w:bookmarkStart w:id="645" w:name="_Toc38442260"/>
      <w:bookmarkStart w:id="646" w:name="_Toc38442592"/>
      <w:bookmarkStart w:id="647" w:name="_Toc38442923"/>
      <w:bookmarkStart w:id="648" w:name="_Toc38443254"/>
      <w:bookmarkStart w:id="649" w:name="_Toc38443585"/>
      <w:bookmarkStart w:id="650" w:name="_Toc38443915"/>
      <w:bookmarkStart w:id="651" w:name="_Toc38438383"/>
      <w:bookmarkStart w:id="652" w:name="_Toc38438720"/>
      <w:bookmarkStart w:id="653" w:name="_Toc38439057"/>
      <w:bookmarkStart w:id="654" w:name="_Toc38439394"/>
      <w:bookmarkStart w:id="655" w:name="_Toc38439731"/>
      <w:bookmarkStart w:id="656" w:name="_Toc38440068"/>
      <w:bookmarkStart w:id="657" w:name="_Toc38440405"/>
      <w:bookmarkStart w:id="658" w:name="_Toc38440937"/>
      <w:bookmarkStart w:id="659" w:name="_Toc38441269"/>
      <w:bookmarkStart w:id="660" w:name="_Toc38441601"/>
      <w:bookmarkStart w:id="661" w:name="_Toc38441929"/>
      <w:bookmarkStart w:id="662" w:name="_Toc38442261"/>
      <w:bookmarkStart w:id="663" w:name="_Toc38442593"/>
      <w:bookmarkStart w:id="664" w:name="_Toc38442924"/>
      <w:bookmarkStart w:id="665" w:name="_Toc38443255"/>
      <w:bookmarkStart w:id="666" w:name="_Toc38443586"/>
      <w:bookmarkStart w:id="667" w:name="_Toc38443916"/>
      <w:bookmarkStart w:id="668" w:name="_Toc38438384"/>
      <w:bookmarkStart w:id="669" w:name="_Toc38438721"/>
      <w:bookmarkStart w:id="670" w:name="_Toc38439058"/>
      <w:bookmarkStart w:id="671" w:name="_Toc38439395"/>
      <w:bookmarkStart w:id="672" w:name="_Toc38439732"/>
      <w:bookmarkStart w:id="673" w:name="_Toc38440069"/>
      <w:bookmarkStart w:id="674" w:name="_Toc38440406"/>
      <w:bookmarkStart w:id="675" w:name="_Toc38440938"/>
      <w:bookmarkStart w:id="676" w:name="_Toc38441270"/>
      <w:bookmarkStart w:id="677" w:name="_Toc38441602"/>
      <w:bookmarkStart w:id="678" w:name="_Toc38441930"/>
      <w:bookmarkStart w:id="679" w:name="_Toc38442262"/>
      <w:bookmarkStart w:id="680" w:name="_Toc38442594"/>
      <w:bookmarkStart w:id="681" w:name="_Toc38442925"/>
      <w:bookmarkStart w:id="682" w:name="_Toc38443256"/>
      <w:bookmarkStart w:id="683" w:name="_Toc38443587"/>
      <w:bookmarkStart w:id="684" w:name="_Toc38443917"/>
      <w:bookmarkStart w:id="685" w:name="_Toc38438385"/>
      <w:bookmarkStart w:id="686" w:name="_Toc38438722"/>
      <w:bookmarkStart w:id="687" w:name="_Toc38439059"/>
      <w:bookmarkStart w:id="688" w:name="_Toc38439396"/>
      <w:bookmarkStart w:id="689" w:name="_Toc38439733"/>
      <w:bookmarkStart w:id="690" w:name="_Toc38440070"/>
      <w:bookmarkStart w:id="691" w:name="_Toc38440407"/>
      <w:bookmarkStart w:id="692" w:name="_Toc38440939"/>
      <w:bookmarkStart w:id="693" w:name="_Toc38441271"/>
      <w:bookmarkStart w:id="694" w:name="_Toc38441603"/>
      <w:bookmarkStart w:id="695" w:name="_Toc38441931"/>
      <w:bookmarkStart w:id="696" w:name="_Toc38442263"/>
      <w:bookmarkStart w:id="697" w:name="_Toc38442595"/>
      <w:bookmarkStart w:id="698" w:name="_Toc38442926"/>
      <w:bookmarkStart w:id="699" w:name="_Toc38443257"/>
      <w:bookmarkStart w:id="700" w:name="_Toc38443588"/>
      <w:bookmarkStart w:id="701" w:name="_Toc38443918"/>
      <w:bookmarkStart w:id="702" w:name="_Toc38438386"/>
      <w:bookmarkStart w:id="703" w:name="_Toc38438723"/>
      <w:bookmarkStart w:id="704" w:name="_Toc38439060"/>
      <w:bookmarkStart w:id="705" w:name="_Toc38439397"/>
      <w:bookmarkStart w:id="706" w:name="_Toc38439734"/>
      <w:bookmarkStart w:id="707" w:name="_Toc38440071"/>
      <w:bookmarkStart w:id="708" w:name="_Toc38440408"/>
      <w:bookmarkStart w:id="709" w:name="_Toc38440940"/>
      <w:bookmarkStart w:id="710" w:name="_Toc38441272"/>
      <w:bookmarkStart w:id="711" w:name="_Toc38441604"/>
      <w:bookmarkStart w:id="712" w:name="_Toc38441932"/>
      <w:bookmarkStart w:id="713" w:name="_Toc38442264"/>
      <w:bookmarkStart w:id="714" w:name="_Toc38442596"/>
      <w:bookmarkStart w:id="715" w:name="_Toc38442927"/>
      <w:bookmarkStart w:id="716" w:name="_Toc38443258"/>
      <w:bookmarkStart w:id="717" w:name="_Toc38443589"/>
      <w:bookmarkStart w:id="718" w:name="_Toc38443919"/>
      <w:bookmarkStart w:id="719" w:name="_Toc38438387"/>
      <w:bookmarkStart w:id="720" w:name="_Toc38438724"/>
      <w:bookmarkStart w:id="721" w:name="_Toc38439061"/>
      <w:bookmarkStart w:id="722" w:name="_Toc38439398"/>
      <w:bookmarkStart w:id="723" w:name="_Toc38439735"/>
      <w:bookmarkStart w:id="724" w:name="_Toc38440072"/>
      <w:bookmarkStart w:id="725" w:name="_Toc38440409"/>
      <w:bookmarkStart w:id="726" w:name="_Toc38440941"/>
      <w:bookmarkStart w:id="727" w:name="_Toc38441273"/>
      <w:bookmarkStart w:id="728" w:name="_Toc38441605"/>
      <w:bookmarkStart w:id="729" w:name="_Toc38441933"/>
      <w:bookmarkStart w:id="730" w:name="_Toc38442265"/>
      <w:bookmarkStart w:id="731" w:name="_Toc38442597"/>
      <w:bookmarkStart w:id="732" w:name="_Toc38442928"/>
      <w:bookmarkStart w:id="733" w:name="_Toc38443259"/>
      <w:bookmarkStart w:id="734" w:name="_Toc38443590"/>
      <w:bookmarkStart w:id="735" w:name="_Toc38443920"/>
      <w:bookmarkStart w:id="736" w:name="_Toc38438388"/>
      <w:bookmarkStart w:id="737" w:name="_Toc38438725"/>
      <w:bookmarkStart w:id="738" w:name="_Toc38439062"/>
      <w:bookmarkStart w:id="739" w:name="_Toc38439399"/>
      <w:bookmarkStart w:id="740" w:name="_Toc38439736"/>
      <w:bookmarkStart w:id="741" w:name="_Toc38440073"/>
      <w:bookmarkStart w:id="742" w:name="_Toc38440410"/>
      <w:bookmarkStart w:id="743" w:name="_Toc38440942"/>
      <w:bookmarkStart w:id="744" w:name="_Toc38441274"/>
      <w:bookmarkStart w:id="745" w:name="_Toc38441606"/>
      <w:bookmarkStart w:id="746" w:name="_Toc38441934"/>
      <w:bookmarkStart w:id="747" w:name="_Toc38442266"/>
      <w:bookmarkStart w:id="748" w:name="_Toc38442598"/>
      <w:bookmarkStart w:id="749" w:name="_Toc38442929"/>
      <w:bookmarkStart w:id="750" w:name="_Toc38443260"/>
      <w:bookmarkStart w:id="751" w:name="_Toc38443591"/>
      <w:bookmarkStart w:id="752" w:name="_Toc38443921"/>
      <w:bookmarkStart w:id="753" w:name="_Toc38438389"/>
      <w:bookmarkStart w:id="754" w:name="_Toc38438726"/>
      <w:bookmarkStart w:id="755" w:name="_Toc38439063"/>
      <w:bookmarkStart w:id="756" w:name="_Toc38439400"/>
      <w:bookmarkStart w:id="757" w:name="_Toc38439737"/>
      <w:bookmarkStart w:id="758" w:name="_Toc38440074"/>
      <w:bookmarkStart w:id="759" w:name="_Toc38440411"/>
      <w:bookmarkStart w:id="760" w:name="_Toc38440943"/>
      <w:bookmarkStart w:id="761" w:name="_Toc38441275"/>
      <w:bookmarkStart w:id="762" w:name="_Toc38441607"/>
      <w:bookmarkStart w:id="763" w:name="_Toc38441935"/>
      <w:bookmarkStart w:id="764" w:name="_Toc38442267"/>
      <w:bookmarkStart w:id="765" w:name="_Toc38442599"/>
      <w:bookmarkStart w:id="766" w:name="_Toc38442930"/>
      <w:bookmarkStart w:id="767" w:name="_Toc38443261"/>
      <w:bookmarkStart w:id="768" w:name="_Toc38443592"/>
      <w:bookmarkStart w:id="769" w:name="_Toc38443922"/>
      <w:bookmarkStart w:id="770" w:name="_Toc38438390"/>
      <w:bookmarkStart w:id="771" w:name="_Toc38438727"/>
      <w:bookmarkStart w:id="772" w:name="_Toc38439064"/>
      <w:bookmarkStart w:id="773" w:name="_Toc38439401"/>
      <w:bookmarkStart w:id="774" w:name="_Toc38439738"/>
      <w:bookmarkStart w:id="775" w:name="_Toc38440075"/>
      <w:bookmarkStart w:id="776" w:name="_Toc38440412"/>
      <w:bookmarkStart w:id="777" w:name="_Toc38440944"/>
      <w:bookmarkStart w:id="778" w:name="_Toc38441276"/>
      <w:bookmarkStart w:id="779" w:name="_Toc38441608"/>
      <w:bookmarkStart w:id="780" w:name="_Toc38441936"/>
      <w:bookmarkStart w:id="781" w:name="_Toc38442268"/>
      <w:bookmarkStart w:id="782" w:name="_Toc38442600"/>
      <w:bookmarkStart w:id="783" w:name="_Toc38442931"/>
      <w:bookmarkStart w:id="784" w:name="_Toc38443262"/>
      <w:bookmarkStart w:id="785" w:name="_Toc38443593"/>
      <w:bookmarkStart w:id="786" w:name="_Toc38443923"/>
      <w:bookmarkStart w:id="787" w:name="_Toc38438391"/>
      <w:bookmarkStart w:id="788" w:name="_Toc38438728"/>
      <w:bookmarkStart w:id="789" w:name="_Toc38439065"/>
      <w:bookmarkStart w:id="790" w:name="_Toc38439402"/>
      <w:bookmarkStart w:id="791" w:name="_Toc38439739"/>
      <w:bookmarkStart w:id="792" w:name="_Toc38440076"/>
      <w:bookmarkStart w:id="793" w:name="_Toc38440413"/>
      <w:bookmarkStart w:id="794" w:name="_Toc38440945"/>
      <w:bookmarkStart w:id="795" w:name="_Toc38441277"/>
      <w:bookmarkStart w:id="796" w:name="_Toc38441609"/>
      <w:bookmarkStart w:id="797" w:name="_Toc38441937"/>
      <w:bookmarkStart w:id="798" w:name="_Toc38442269"/>
      <w:bookmarkStart w:id="799" w:name="_Toc38442601"/>
      <w:bookmarkStart w:id="800" w:name="_Toc38442932"/>
      <w:bookmarkStart w:id="801" w:name="_Toc38443263"/>
      <w:bookmarkStart w:id="802" w:name="_Toc38443594"/>
      <w:bookmarkStart w:id="803" w:name="_Toc38443924"/>
      <w:bookmarkStart w:id="804" w:name="_Toc38438392"/>
      <w:bookmarkStart w:id="805" w:name="_Toc38438729"/>
      <w:bookmarkStart w:id="806" w:name="_Toc38439066"/>
      <w:bookmarkStart w:id="807" w:name="_Toc38439403"/>
      <w:bookmarkStart w:id="808" w:name="_Toc38439740"/>
      <w:bookmarkStart w:id="809" w:name="_Toc38440077"/>
      <w:bookmarkStart w:id="810" w:name="_Toc38440414"/>
      <w:bookmarkStart w:id="811" w:name="_Toc38440946"/>
      <w:bookmarkStart w:id="812" w:name="_Toc38441278"/>
      <w:bookmarkStart w:id="813" w:name="_Toc38441610"/>
      <w:bookmarkStart w:id="814" w:name="_Toc38441938"/>
      <w:bookmarkStart w:id="815" w:name="_Toc38442270"/>
      <w:bookmarkStart w:id="816" w:name="_Toc38442602"/>
      <w:bookmarkStart w:id="817" w:name="_Toc38442933"/>
      <w:bookmarkStart w:id="818" w:name="_Toc38443264"/>
      <w:bookmarkStart w:id="819" w:name="_Toc38443595"/>
      <w:bookmarkStart w:id="820" w:name="_Toc38443925"/>
      <w:bookmarkStart w:id="821" w:name="_Toc38438393"/>
      <w:bookmarkStart w:id="822" w:name="_Toc38438730"/>
      <w:bookmarkStart w:id="823" w:name="_Toc38439067"/>
      <w:bookmarkStart w:id="824" w:name="_Toc38439404"/>
      <w:bookmarkStart w:id="825" w:name="_Toc38439741"/>
      <w:bookmarkStart w:id="826" w:name="_Toc38440078"/>
      <w:bookmarkStart w:id="827" w:name="_Toc38440415"/>
      <w:bookmarkStart w:id="828" w:name="_Toc38440947"/>
      <w:bookmarkStart w:id="829" w:name="_Toc38441279"/>
      <w:bookmarkStart w:id="830" w:name="_Toc38441611"/>
      <w:bookmarkStart w:id="831" w:name="_Toc38441939"/>
      <w:bookmarkStart w:id="832" w:name="_Toc38442271"/>
      <w:bookmarkStart w:id="833" w:name="_Toc38442603"/>
      <w:bookmarkStart w:id="834" w:name="_Toc38442934"/>
      <w:bookmarkStart w:id="835" w:name="_Toc38443265"/>
      <w:bookmarkStart w:id="836" w:name="_Toc38443596"/>
      <w:bookmarkStart w:id="837" w:name="_Toc38443926"/>
      <w:bookmarkStart w:id="838" w:name="_Toc38438394"/>
      <w:bookmarkStart w:id="839" w:name="_Toc38438731"/>
      <w:bookmarkStart w:id="840" w:name="_Toc38439068"/>
      <w:bookmarkStart w:id="841" w:name="_Toc38439405"/>
      <w:bookmarkStart w:id="842" w:name="_Toc38439742"/>
      <w:bookmarkStart w:id="843" w:name="_Toc38440079"/>
      <w:bookmarkStart w:id="844" w:name="_Toc38440416"/>
      <w:bookmarkStart w:id="845" w:name="_Toc38440948"/>
      <w:bookmarkStart w:id="846" w:name="_Toc38441280"/>
      <w:bookmarkStart w:id="847" w:name="_Toc38441612"/>
      <w:bookmarkStart w:id="848" w:name="_Toc38441940"/>
      <w:bookmarkStart w:id="849" w:name="_Toc38442272"/>
      <w:bookmarkStart w:id="850" w:name="_Toc38442604"/>
      <w:bookmarkStart w:id="851" w:name="_Toc38442935"/>
      <w:bookmarkStart w:id="852" w:name="_Toc38443266"/>
      <w:bookmarkStart w:id="853" w:name="_Toc38443597"/>
      <w:bookmarkStart w:id="854" w:name="_Toc38443927"/>
      <w:bookmarkStart w:id="855" w:name="_Toc38438395"/>
      <w:bookmarkStart w:id="856" w:name="_Toc38438732"/>
      <w:bookmarkStart w:id="857" w:name="_Toc38439069"/>
      <w:bookmarkStart w:id="858" w:name="_Toc38439406"/>
      <w:bookmarkStart w:id="859" w:name="_Toc38439743"/>
      <w:bookmarkStart w:id="860" w:name="_Toc38440080"/>
      <w:bookmarkStart w:id="861" w:name="_Toc38440417"/>
      <w:bookmarkStart w:id="862" w:name="_Toc38440949"/>
      <w:bookmarkStart w:id="863" w:name="_Toc38441281"/>
      <w:bookmarkStart w:id="864" w:name="_Toc38441613"/>
      <w:bookmarkStart w:id="865" w:name="_Toc38441941"/>
      <w:bookmarkStart w:id="866" w:name="_Toc38442273"/>
      <w:bookmarkStart w:id="867" w:name="_Toc38442605"/>
      <w:bookmarkStart w:id="868" w:name="_Toc38442936"/>
      <w:bookmarkStart w:id="869" w:name="_Toc38443267"/>
      <w:bookmarkStart w:id="870" w:name="_Toc38443598"/>
      <w:bookmarkStart w:id="871" w:name="_Toc38443928"/>
      <w:bookmarkStart w:id="872" w:name="_Toc38438396"/>
      <w:bookmarkStart w:id="873" w:name="_Toc38438733"/>
      <w:bookmarkStart w:id="874" w:name="_Toc38439070"/>
      <w:bookmarkStart w:id="875" w:name="_Toc38439407"/>
      <w:bookmarkStart w:id="876" w:name="_Toc38439744"/>
      <w:bookmarkStart w:id="877" w:name="_Toc38440081"/>
      <w:bookmarkStart w:id="878" w:name="_Toc38440418"/>
      <w:bookmarkStart w:id="879" w:name="_Toc38440950"/>
      <w:bookmarkStart w:id="880" w:name="_Toc38441282"/>
      <w:bookmarkStart w:id="881" w:name="_Toc38441614"/>
      <w:bookmarkStart w:id="882" w:name="_Toc38441942"/>
      <w:bookmarkStart w:id="883" w:name="_Toc38442274"/>
      <w:bookmarkStart w:id="884" w:name="_Toc38442606"/>
      <w:bookmarkStart w:id="885" w:name="_Toc38442937"/>
      <w:bookmarkStart w:id="886" w:name="_Toc38443268"/>
      <w:bookmarkStart w:id="887" w:name="_Toc38443599"/>
      <w:bookmarkStart w:id="888" w:name="_Toc38443929"/>
      <w:bookmarkStart w:id="889" w:name="_Toc38438397"/>
      <w:bookmarkStart w:id="890" w:name="_Toc38438734"/>
      <w:bookmarkStart w:id="891" w:name="_Toc38439071"/>
      <w:bookmarkStart w:id="892" w:name="_Toc38439408"/>
      <w:bookmarkStart w:id="893" w:name="_Toc38439745"/>
      <w:bookmarkStart w:id="894" w:name="_Toc38440082"/>
      <w:bookmarkStart w:id="895" w:name="_Toc38440419"/>
      <w:bookmarkStart w:id="896" w:name="_Toc38440951"/>
      <w:bookmarkStart w:id="897" w:name="_Toc38441283"/>
      <w:bookmarkStart w:id="898" w:name="_Toc38441615"/>
      <w:bookmarkStart w:id="899" w:name="_Toc38441943"/>
      <w:bookmarkStart w:id="900" w:name="_Toc38442275"/>
      <w:bookmarkStart w:id="901" w:name="_Toc38442607"/>
      <w:bookmarkStart w:id="902" w:name="_Toc38442938"/>
      <w:bookmarkStart w:id="903" w:name="_Toc38443269"/>
      <w:bookmarkStart w:id="904" w:name="_Toc38443600"/>
      <w:bookmarkStart w:id="905" w:name="_Toc38443930"/>
      <w:bookmarkStart w:id="906" w:name="_Toc38438398"/>
      <w:bookmarkStart w:id="907" w:name="_Toc38438735"/>
      <w:bookmarkStart w:id="908" w:name="_Toc38439072"/>
      <w:bookmarkStart w:id="909" w:name="_Toc38439409"/>
      <w:bookmarkStart w:id="910" w:name="_Toc38439746"/>
      <w:bookmarkStart w:id="911" w:name="_Toc38440083"/>
      <w:bookmarkStart w:id="912" w:name="_Toc38440420"/>
      <w:bookmarkStart w:id="913" w:name="_Toc38440952"/>
      <w:bookmarkStart w:id="914" w:name="_Toc38441284"/>
      <w:bookmarkStart w:id="915" w:name="_Toc38441616"/>
      <w:bookmarkStart w:id="916" w:name="_Toc38441944"/>
      <w:bookmarkStart w:id="917" w:name="_Toc38442276"/>
      <w:bookmarkStart w:id="918" w:name="_Toc38442608"/>
      <w:bookmarkStart w:id="919" w:name="_Toc38442939"/>
      <w:bookmarkStart w:id="920" w:name="_Toc38443270"/>
      <w:bookmarkStart w:id="921" w:name="_Toc38443601"/>
      <w:bookmarkStart w:id="922" w:name="_Toc38443931"/>
      <w:bookmarkStart w:id="923" w:name="_Toc38438400"/>
      <w:bookmarkStart w:id="924" w:name="_Toc38438737"/>
      <w:bookmarkStart w:id="925" w:name="_Toc38439074"/>
      <w:bookmarkStart w:id="926" w:name="_Toc38439411"/>
      <w:bookmarkStart w:id="927" w:name="_Toc38439748"/>
      <w:bookmarkStart w:id="928" w:name="_Toc38440085"/>
      <w:bookmarkStart w:id="929" w:name="_Toc38440422"/>
      <w:bookmarkStart w:id="930" w:name="_Toc38440954"/>
      <w:bookmarkStart w:id="931" w:name="_Toc38441286"/>
      <w:bookmarkStart w:id="932" w:name="_Toc38441618"/>
      <w:bookmarkStart w:id="933" w:name="_Toc38441946"/>
      <w:bookmarkStart w:id="934" w:name="_Toc38442278"/>
      <w:bookmarkStart w:id="935" w:name="_Toc38442610"/>
      <w:bookmarkStart w:id="936" w:name="_Toc38442941"/>
      <w:bookmarkStart w:id="937" w:name="_Toc38443272"/>
      <w:bookmarkStart w:id="938" w:name="_Toc38443603"/>
      <w:bookmarkStart w:id="939" w:name="_Toc38443933"/>
      <w:bookmarkStart w:id="940" w:name="_Toc38438401"/>
      <w:bookmarkStart w:id="941" w:name="_Toc38438738"/>
      <w:bookmarkStart w:id="942" w:name="_Toc38439075"/>
      <w:bookmarkStart w:id="943" w:name="_Toc38439412"/>
      <w:bookmarkStart w:id="944" w:name="_Toc38439749"/>
      <w:bookmarkStart w:id="945" w:name="_Toc38440086"/>
      <w:bookmarkStart w:id="946" w:name="_Toc38440423"/>
      <w:bookmarkStart w:id="947" w:name="_Toc38440955"/>
      <w:bookmarkStart w:id="948" w:name="_Toc38441287"/>
      <w:bookmarkStart w:id="949" w:name="_Toc38441619"/>
      <w:bookmarkStart w:id="950" w:name="_Toc38441947"/>
      <w:bookmarkStart w:id="951" w:name="_Toc38442279"/>
      <w:bookmarkStart w:id="952" w:name="_Toc38442611"/>
      <w:bookmarkStart w:id="953" w:name="_Toc38442942"/>
      <w:bookmarkStart w:id="954" w:name="_Toc38443273"/>
      <w:bookmarkStart w:id="955" w:name="_Toc38443604"/>
      <w:bookmarkStart w:id="956" w:name="_Toc38443934"/>
      <w:bookmarkStart w:id="957" w:name="_Toc38438402"/>
      <w:bookmarkStart w:id="958" w:name="_Toc38438739"/>
      <w:bookmarkStart w:id="959" w:name="_Toc38439076"/>
      <w:bookmarkStart w:id="960" w:name="_Toc38439413"/>
      <w:bookmarkStart w:id="961" w:name="_Toc38439750"/>
      <w:bookmarkStart w:id="962" w:name="_Toc38440087"/>
      <w:bookmarkStart w:id="963" w:name="_Toc38440424"/>
      <w:bookmarkStart w:id="964" w:name="_Toc38440956"/>
      <w:bookmarkStart w:id="965" w:name="_Toc38441288"/>
      <w:bookmarkStart w:id="966" w:name="_Toc38441620"/>
      <w:bookmarkStart w:id="967" w:name="_Toc38441948"/>
      <w:bookmarkStart w:id="968" w:name="_Toc38442280"/>
      <w:bookmarkStart w:id="969" w:name="_Toc38442612"/>
      <w:bookmarkStart w:id="970" w:name="_Toc38442943"/>
      <w:bookmarkStart w:id="971" w:name="_Toc38443274"/>
      <w:bookmarkStart w:id="972" w:name="_Toc38443605"/>
      <w:bookmarkStart w:id="973" w:name="_Toc38443935"/>
      <w:bookmarkStart w:id="974" w:name="_Toc38438404"/>
      <w:bookmarkStart w:id="975" w:name="_Toc38438741"/>
      <w:bookmarkStart w:id="976" w:name="_Toc38439078"/>
      <w:bookmarkStart w:id="977" w:name="_Toc38439415"/>
      <w:bookmarkStart w:id="978" w:name="_Toc38439752"/>
      <w:bookmarkStart w:id="979" w:name="_Toc38440089"/>
      <w:bookmarkStart w:id="980" w:name="_Toc38440426"/>
      <w:bookmarkStart w:id="981" w:name="_Toc38440958"/>
      <w:bookmarkStart w:id="982" w:name="_Toc38441290"/>
      <w:bookmarkStart w:id="983" w:name="_Toc38441622"/>
      <w:bookmarkStart w:id="984" w:name="_Toc38441950"/>
      <w:bookmarkStart w:id="985" w:name="_Toc38442282"/>
      <w:bookmarkStart w:id="986" w:name="_Toc38442614"/>
      <w:bookmarkStart w:id="987" w:name="_Toc38442945"/>
      <w:bookmarkStart w:id="988" w:name="_Toc38443276"/>
      <w:bookmarkStart w:id="989" w:name="_Toc38443607"/>
      <w:bookmarkStart w:id="990" w:name="_Toc38443937"/>
      <w:bookmarkStart w:id="991" w:name="_Toc38438405"/>
      <w:bookmarkStart w:id="992" w:name="_Toc38438742"/>
      <w:bookmarkStart w:id="993" w:name="_Toc38439079"/>
      <w:bookmarkStart w:id="994" w:name="_Toc38439416"/>
      <w:bookmarkStart w:id="995" w:name="_Toc38439753"/>
      <w:bookmarkStart w:id="996" w:name="_Toc38440090"/>
      <w:bookmarkStart w:id="997" w:name="_Toc38440427"/>
      <w:bookmarkStart w:id="998" w:name="_Toc38440959"/>
      <w:bookmarkStart w:id="999" w:name="_Toc38441291"/>
      <w:bookmarkStart w:id="1000" w:name="_Toc38441623"/>
      <w:bookmarkStart w:id="1001" w:name="_Toc38441951"/>
      <w:bookmarkStart w:id="1002" w:name="_Toc38442283"/>
      <w:bookmarkStart w:id="1003" w:name="_Toc38442615"/>
      <w:bookmarkStart w:id="1004" w:name="_Toc38442946"/>
      <w:bookmarkStart w:id="1005" w:name="_Toc38443277"/>
      <w:bookmarkStart w:id="1006" w:name="_Toc38443608"/>
      <w:bookmarkStart w:id="1007" w:name="_Toc38443938"/>
      <w:bookmarkStart w:id="1008" w:name="_Toc38438406"/>
      <w:bookmarkStart w:id="1009" w:name="_Toc38438743"/>
      <w:bookmarkStart w:id="1010" w:name="_Toc38439080"/>
      <w:bookmarkStart w:id="1011" w:name="_Toc38439417"/>
      <w:bookmarkStart w:id="1012" w:name="_Toc38439754"/>
      <w:bookmarkStart w:id="1013" w:name="_Toc38440091"/>
      <w:bookmarkStart w:id="1014" w:name="_Toc38440428"/>
      <w:bookmarkStart w:id="1015" w:name="_Toc38440960"/>
      <w:bookmarkStart w:id="1016" w:name="_Toc38441292"/>
      <w:bookmarkStart w:id="1017" w:name="_Toc38441624"/>
      <w:bookmarkStart w:id="1018" w:name="_Toc38441952"/>
      <w:bookmarkStart w:id="1019" w:name="_Toc38442284"/>
      <w:bookmarkStart w:id="1020" w:name="_Toc38442616"/>
      <w:bookmarkStart w:id="1021" w:name="_Toc38442947"/>
      <w:bookmarkStart w:id="1022" w:name="_Toc38443278"/>
      <w:bookmarkStart w:id="1023" w:name="_Toc38443609"/>
      <w:bookmarkStart w:id="1024" w:name="_Toc38443939"/>
      <w:bookmarkStart w:id="1025" w:name="_Toc38438407"/>
      <w:bookmarkStart w:id="1026" w:name="_Toc38438744"/>
      <w:bookmarkStart w:id="1027" w:name="_Toc38439081"/>
      <w:bookmarkStart w:id="1028" w:name="_Toc38439418"/>
      <w:bookmarkStart w:id="1029" w:name="_Toc38439755"/>
      <w:bookmarkStart w:id="1030" w:name="_Toc38440092"/>
      <w:bookmarkStart w:id="1031" w:name="_Toc38440429"/>
      <w:bookmarkStart w:id="1032" w:name="_Toc38440961"/>
      <w:bookmarkStart w:id="1033" w:name="_Toc38441293"/>
      <w:bookmarkStart w:id="1034" w:name="_Toc38441625"/>
      <w:bookmarkStart w:id="1035" w:name="_Toc38441953"/>
      <w:bookmarkStart w:id="1036" w:name="_Toc38442285"/>
      <w:bookmarkStart w:id="1037" w:name="_Toc38442617"/>
      <w:bookmarkStart w:id="1038" w:name="_Toc38442948"/>
      <w:bookmarkStart w:id="1039" w:name="_Toc38443279"/>
      <w:bookmarkStart w:id="1040" w:name="_Toc38443610"/>
      <w:bookmarkStart w:id="1041" w:name="_Toc38443940"/>
      <w:bookmarkStart w:id="1042" w:name="_Toc38438408"/>
      <w:bookmarkStart w:id="1043" w:name="_Toc38438745"/>
      <w:bookmarkStart w:id="1044" w:name="_Toc38439082"/>
      <w:bookmarkStart w:id="1045" w:name="_Toc38439419"/>
      <w:bookmarkStart w:id="1046" w:name="_Toc38439756"/>
      <w:bookmarkStart w:id="1047" w:name="_Toc38440093"/>
      <w:bookmarkStart w:id="1048" w:name="_Toc38440430"/>
      <w:bookmarkStart w:id="1049" w:name="_Toc38440962"/>
      <w:bookmarkStart w:id="1050" w:name="_Toc38441294"/>
      <w:bookmarkStart w:id="1051" w:name="_Toc38441626"/>
      <w:bookmarkStart w:id="1052" w:name="_Toc38441954"/>
      <w:bookmarkStart w:id="1053" w:name="_Toc38442286"/>
      <w:bookmarkStart w:id="1054" w:name="_Toc38442618"/>
      <w:bookmarkStart w:id="1055" w:name="_Toc38442949"/>
      <w:bookmarkStart w:id="1056" w:name="_Toc38443280"/>
      <w:bookmarkStart w:id="1057" w:name="_Toc38443611"/>
      <w:bookmarkStart w:id="1058" w:name="_Toc38443941"/>
      <w:bookmarkStart w:id="1059" w:name="_Toc38438409"/>
      <w:bookmarkStart w:id="1060" w:name="_Toc38438746"/>
      <w:bookmarkStart w:id="1061" w:name="_Toc38439083"/>
      <w:bookmarkStart w:id="1062" w:name="_Toc38439420"/>
      <w:bookmarkStart w:id="1063" w:name="_Toc38439757"/>
      <w:bookmarkStart w:id="1064" w:name="_Toc38440094"/>
      <w:bookmarkStart w:id="1065" w:name="_Toc38440431"/>
      <w:bookmarkStart w:id="1066" w:name="_Toc38440963"/>
      <w:bookmarkStart w:id="1067" w:name="_Toc38441295"/>
      <w:bookmarkStart w:id="1068" w:name="_Toc38441627"/>
      <w:bookmarkStart w:id="1069" w:name="_Toc38441955"/>
      <w:bookmarkStart w:id="1070" w:name="_Toc38442287"/>
      <w:bookmarkStart w:id="1071" w:name="_Toc38442619"/>
      <w:bookmarkStart w:id="1072" w:name="_Toc38442950"/>
      <w:bookmarkStart w:id="1073" w:name="_Toc38443281"/>
      <w:bookmarkStart w:id="1074" w:name="_Toc38443612"/>
      <w:bookmarkStart w:id="1075" w:name="_Toc38443942"/>
      <w:bookmarkStart w:id="1076" w:name="_Toc38438410"/>
      <w:bookmarkStart w:id="1077" w:name="_Toc38438747"/>
      <w:bookmarkStart w:id="1078" w:name="_Toc38439084"/>
      <w:bookmarkStart w:id="1079" w:name="_Toc38439421"/>
      <w:bookmarkStart w:id="1080" w:name="_Toc38439758"/>
      <w:bookmarkStart w:id="1081" w:name="_Toc38440095"/>
      <w:bookmarkStart w:id="1082" w:name="_Toc38440432"/>
      <w:bookmarkStart w:id="1083" w:name="_Toc38440964"/>
      <w:bookmarkStart w:id="1084" w:name="_Toc38441296"/>
      <w:bookmarkStart w:id="1085" w:name="_Toc38441628"/>
      <w:bookmarkStart w:id="1086" w:name="_Toc38441956"/>
      <w:bookmarkStart w:id="1087" w:name="_Toc38442288"/>
      <w:bookmarkStart w:id="1088" w:name="_Toc38442620"/>
      <w:bookmarkStart w:id="1089" w:name="_Toc38442951"/>
      <w:bookmarkStart w:id="1090" w:name="_Toc38443282"/>
      <w:bookmarkStart w:id="1091" w:name="_Toc38443613"/>
      <w:bookmarkStart w:id="1092" w:name="_Toc38443943"/>
      <w:bookmarkStart w:id="1093" w:name="_Toc38438411"/>
      <w:bookmarkStart w:id="1094" w:name="_Toc38438748"/>
      <w:bookmarkStart w:id="1095" w:name="_Toc38439085"/>
      <w:bookmarkStart w:id="1096" w:name="_Toc38439422"/>
      <w:bookmarkStart w:id="1097" w:name="_Toc38439759"/>
      <w:bookmarkStart w:id="1098" w:name="_Toc38440096"/>
      <w:bookmarkStart w:id="1099" w:name="_Toc38440433"/>
      <w:bookmarkStart w:id="1100" w:name="_Toc38440965"/>
      <w:bookmarkStart w:id="1101" w:name="_Toc38441297"/>
      <w:bookmarkStart w:id="1102" w:name="_Toc38441629"/>
      <w:bookmarkStart w:id="1103" w:name="_Toc38441957"/>
      <w:bookmarkStart w:id="1104" w:name="_Toc38442289"/>
      <w:bookmarkStart w:id="1105" w:name="_Toc38442621"/>
      <w:bookmarkStart w:id="1106" w:name="_Toc38442952"/>
      <w:bookmarkStart w:id="1107" w:name="_Toc38443283"/>
      <w:bookmarkStart w:id="1108" w:name="_Toc38443614"/>
      <w:bookmarkStart w:id="1109" w:name="_Toc38443944"/>
      <w:bookmarkStart w:id="1110" w:name="_Toc38438412"/>
      <w:bookmarkStart w:id="1111" w:name="_Toc38438749"/>
      <w:bookmarkStart w:id="1112" w:name="_Toc38439086"/>
      <w:bookmarkStart w:id="1113" w:name="_Toc38439423"/>
      <w:bookmarkStart w:id="1114" w:name="_Toc38439760"/>
      <w:bookmarkStart w:id="1115" w:name="_Toc38440097"/>
      <w:bookmarkStart w:id="1116" w:name="_Toc38440434"/>
      <w:bookmarkStart w:id="1117" w:name="_Toc38440966"/>
      <w:bookmarkStart w:id="1118" w:name="_Toc38441298"/>
      <w:bookmarkStart w:id="1119" w:name="_Toc38441630"/>
      <w:bookmarkStart w:id="1120" w:name="_Toc38441958"/>
      <w:bookmarkStart w:id="1121" w:name="_Toc38442290"/>
      <w:bookmarkStart w:id="1122" w:name="_Toc38442622"/>
      <w:bookmarkStart w:id="1123" w:name="_Toc38442953"/>
      <w:bookmarkStart w:id="1124" w:name="_Toc38443284"/>
      <w:bookmarkStart w:id="1125" w:name="_Toc38443615"/>
      <w:bookmarkStart w:id="1126" w:name="_Toc38443945"/>
      <w:bookmarkStart w:id="1127" w:name="_Toc38438413"/>
      <w:bookmarkStart w:id="1128" w:name="_Toc38438750"/>
      <w:bookmarkStart w:id="1129" w:name="_Toc38439087"/>
      <w:bookmarkStart w:id="1130" w:name="_Toc38439424"/>
      <w:bookmarkStart w:id="1131" w:name="_Toc38439761"/>
      <w:bookmarkStart w:id="1132" w:name="_Toc38440098"/>
      <w:bookmarkStart w:id="1133" w:name="_Toc38440435"/>
      <w:bookmarkStart w:id="1134" w:name="_Toc38440967"/>
      <w:bookmarkStart w:id="1135" w:name="_Toc38441299"/>
      <w:bookmarkStart w:id="1136" w:name="_Toc38441631"/>
      <w:bookmarkStart w:id="1137" w:name="_Toc38441959"/>
      <w:bookmarkStart w:id="1138" w:name="_Toc38442291"/>
      <w:bookmarkStart w:id="1139" w:name="_Toc38442623"/>
      <w:bookmarkStart w:id="1140" w:name="_Toc38442954"/>
      <w:bookmarkStart w:id="1141" w:name="_Toc38443285"/>
      <w:bookmarkStart w:id="1142" w:name="_Toc38443616"/>
      <w:bookmarkStart w:id="1143" w:name="_Toc38443946"/>
      <w:bookmarkStart w:id="1144" w:name="_Toc38438414"/>
      <w:bookmarkStart w:id="1145" w:name="_Toc38438751"/>
      <w:bookmarkStart w:id="1146" w:name="_Toc38439088"/>
      <w:bookmarkStart w:id="1147" w:name="_Toc38439425"/>
      <w:bookmarkStart w:id="1148" w:name="_Toc38439762"/>
      <w:bookmarkStart w:id="1149" w:name="_Toc38440099"/>
      <w:bookmarkStart w:id="1150" w:name="_Toc38440436"/>
      <w:bookmarkStart w:id="1151" w:name="_Toc38440968"/>
      <w:bookmarkStart w:id="1152" w:name="_Toc38441300"/>
      <w:bookmarkStart w:id="1153" w:name="_Toc38441632"/>
      <w:bookmarkStart w:id="1154" w:name="_Toc38441960"/>
      <w:bookmarkStart w:id="1155" w:name="_Toc38442292"/>
      <w:bookmarkStart w:id="1156" w:name="_Toc38442624"/>
      <w:bookmarkStart w:id="1157" w:name="_Toc38442955"/>
      <w:bookmarkStart w:id="1158" w:name="_Toc38443286"/>
      <w:bookmarkStart w:id="1159" w:name="_Toc38443617"/>
      <w:bookmarkStart w:id="1160" w:name="_Toc38443947"/>
      <w:bookmarkStart w:id="1161" w:name="_Toc38438415"/>
      <w:bookmarkStart w:id="1162" w:name="_Toc38438752"/>
      <w:bookmarkStart w:id="1163" w:name="_Toc38439089"/>
      <w:bookmarkStart w:id="1164" w:name="_Toc38439426"/>
      <w:bookmarkStart w:id="1165" w:name="_Toc38439763"/>
      <w:bookmarkStart w:id="1166" w:name="_Toc38440100"/>
      <w:bookmarkStart w:id="1167" w:name="_Toc38440437"/>
      <w:bookmarkStart w:id="1168" w:name="_Toc38440969"/>
      <w:bookmarkStart w:id="1169" w:name="_Toc38441301"/>
      <w:bookmarkStart w:id="1170" w:name="_Toc38441633"/>
      <w:bookmarkStart w:id="1171" w:name="_Toc38441961"/>
      <w:bookmarkStart w:id="1172" w:name="_Toc38442293"/>
      <w:bookmarkStart w:id="1173" w:name="_Toc38442625"/>
      <w:bookmarkStart w:id="1174" w:name="_Toc38442956"/>
      <w:bookmarkStart w:id="1175" w:name="_Toc38443287"/>
      <w:bookmarkStart w:id="1176" w:name="_Toc38443618"/>
      <w:bookmarkStart w:id="1177" w:name="_Toc38443948"/>
      <w:bookmarkStart w:id="1178" w:name="_Toc38438416"/>
      <w:bookmarkStart w:id="1179" w:name="_Toc38438753"/>
      <w:bookmarkStart w:id="1180" w:name="_Toc38439090"/>
      <w:bookmarkStart w:id="1181" w:name="_Toc38439427"/>
      <w:bookmarkStart w:id="1182" w:name="_Toc38439764"/>
      <w:bookmarkStart w:id="1183" w:name="_Toc38440101"/>
      <w:bookmarkStart w:id="1184" w:name="_Toc38440438"/>
      <w:bookmarkStart w:id="1185" w:name="_Toc38440970"/>
      <w:bookmarkStart w:id="1186" w:name="_Toc38441302"/>
      <w:bookmarkStart w:id="1187" w:name="_Toc38441634"/>
      <w:bookmarkStart w:id="1188" w:name="_Toc38441962"/>
      <w:bookmarkStart w:id="1189" w:name="_Toc38442294"/>
      <w:bookmarkStart w:id="1190" w:name="_Toc38442626"/>
      <w:bookmarkStart w:id="1191" w:name="_Toc38442957"/>
      <w:bookmarkStart w:id="1192" w:name="_Toc38443288"/>
      <w:bookmarkStart w:id="1193" w:name="_Toc38443619"/>
      <w:bookmarkStart w:id="1194" w:name="_Toc38443949"/>
      <w:bookmarkStart w:id="1195" w:name="_Toc38438417"/>
      <w:bookmarkStart w:id="1196" w:name="_Toc38438754"/>
      <w:bookmarkStart w:id="1197" w:name="_Toc38439091"/>
      <w:bookmarkStart w:id="1198" w:name="_Toc38439428"/>
      <w:bookmarkStart w:id="1199" w:name="_Toc38439765"/>
      <w:bookmarkStart w:id="1200" w:name="_Toc38440102"/>
      <w:bookmarkStart w:id="1201" w:name="_Toc38440439"/>
      <w:bookmarkStart w:id="1202" w:name="_Toc38440971"/>
      <w:bookmarkStart w:id="1203" w:name="_Toc38441303"/>
      <w:bookmarkStart w:id="1204" w:name="_Toc38441635"/>
      <w:bookmarkStart w:id="1205" w:name="_Toc38441963"/>
      <w:bookmarkStart w:id="1206" w:name="_Toc38442295"/>
      <w:bookmarkStart w:id="1207" w:name="_Toc38442627"/>
      <w:bookmarkStart w:id="1208" w:name="_Toc38442958"/>
      <w:bookmarkStart w:id="1209" w:name="_Toc38443289"/>
      <w:bookmarkStart w:id="1210" w:name="_Toc38443620"/>
      <w:bookmarkStart w:id="1211" w:name="_Toc38443950"/>
      <w:bookmarkStart w:id="1212" w:name="_Toc38438418"/>
      <w:bookmarkStart w:id="1213" w:name="_Toc38438755"/>
      <w:bookmarkStart w:id="1214" w:name="_Toc38439092"/>
      <w:bookmarkStart w:id="1215" w:name="_Toc38439429"/>
      <w:bookmarkStart w:id="1216" w:name="_Toc38439766"/>
      <w:bookmarkStart w:id="1217" w:name="_Toc38440103"/>
      <w:bookmarkStart w:id="1218" w:name="_Toc38440440"/>
      <w:bookmarkStart w:id="1219" w:name="_Toc38440972"/>
      <w:bookmarkStart w:id="1220" w:name="_Toc38441304"/>
      <w:bookmarkStart w:id="1221" w:name="_Toc38441636"/>
      <w:bookmarkStart w:id="1222" w:name="_Toc38441964"/>
      <w:bookmarkStart w:id="1223" w:name="_Toc38442296"/>
      <w:bookmarkStart w:id="1224" w:name="_Toc38442628"/>
      <w:bookmarkStart w:id="1225" w:name="_Toc38442959"/>
      <w:bookmarkStart w:id="1226" w:name="_Toc38443290"/>
      <w:bookmarkStart w:id="1227" w:name="_Toc38443621"/>
      <w:bookmarkStart w:id="1228" w:name="_Toc38443951"/>
      <w:bookmarkStart w:id="1229" w:name="_Toc38438419"/>
      <w:bookmarkStart w:id="1230" w:name="_Toc38438756"/>
      <w:bookmarkStart w:id="1231" w:name="_Toc38439093"/>
      <w:bookmarkStart w:id="1232" w:name="_Toc38439430"/>
      <w:bookmarkStart w:id="1233" w:name="_Toc38439767"/>
      <w:bookmarkStart w:id="1234" w:name="_Toc38440104"/>
      <w:bookmarkStart w:id="1235" w:name="_Toc38440441"/>
      <w:bookmarkStart w:id="1236" w:name="_Toc38440973"/>
      <w:bookmarkStart w:id="1237" w:name="_Toc38441305"/>
      <w:bookmarkStart w:id="1238" w:name="_Toc38441637"/>
      <w:bookmarkStart w:id="1239" w:name="_Toc38441965"/>
      <w:bookmarkStart w:id="1240" w:name="_Toc38442297"/>
      <w:bookmarkStart w:id="1241" w:name="_Toc38442629"/>
      <w:bookmarkStart w:id="1242" w:name="_Toc38442960"/>
      <w:bookmarkStart w:id="1243" w:name="_Toc38443291"/>
      <w:bookmarkStart w:id="1244" w:name="_Toc38443622"/>
      <w:bookmarkStart w:id="1245" w:name="_Toc38443952"/>
      <w:bookmarkStart w:id="1246" w:name="_Toc38438420"/>
      <w:bookmarkStart w:id="1247" w:name="_Toc38438757"/>
      <w:bookmarkStart w:id="1248" w:name="_Toc38439094"/>
      <w:bookmarkStart w:id="1249" w:name="_Toc38439431"/>
      <w:bookmarkStart w:id="1250" w:name="_Toc38439768"/>
      <w:bookmarkStart w:id="1251" w:name="_Toc38440105"/>
      <w:bookmarkStart w:id="1252" w:name="_Toc38440442"/>
      <w:bookmarkStart w:id="1253" w:name="_Toc38440974"/>
      <w:bookmarkStart w:id="1254" w:name="_Toc38441306"/>
      <w:bookmarkStart w:id="1255" w:name="_Toc38441638"/>
      <w:bookmarkStart w:id="1256" w:name="_Toc38441966"/>
      <w:bookmarkStart w:id="1257" w:name="_Toc38442298"/>
      <w:bookmarkStart w:id="1258" w:name="_Toc38442630"/>
      <w:bookmarkStart w:id="1259" w:name="_Toc38442961"/>
      <w:bookmarkStart w:id="1260" w:name="_Toc38443292"/>
      <w:bookmarkStart w:id="1261" w:name="_Toc38443623"/>
      <w:bookmarkStart w:id="1262" w:name="_Toc38443953"/>
      <w:bookmarkStart w:id="1263" w:name="_Toc38438421"/>
      <w:bookmarkStart w:id="1264" w:name="_Toc38438758"/>
      <w:bookmarkStart w:id="1265" w:name="_Toc38439095"/>
      <w:bookmarkStart w:id="1266" w:name="_Toc38439432"/>
      <w:bookmarkStart w:id="1267" w:name="_Toc38439769"/>
      <w:bookmarkStart w:id="1268" w:name="_Toc38440106"/>
      <w:bookmarkStart w:id="1269" w:name="_Toc38440443"/>
      <w:bookmarkStart w:id="1270" w:name="_Toc38440975"/>
      <w:bookmarkStart w:id="1271" w:name="_Toc38441307"/>
      <w:bookmarkStart w:id="1272" w:name="_Toc38441639"/>
      <w:bookmarkStart w:id="1273" w:name="_Toc38441967"/>
      <w:bookmarkStart w:id="1274" w:name="_Toc38442299"/>
      <w:bookmarkStart w:id="1275" w:name="_Toc38442631"/>
      <w:bookmarkStart w:id="1276" w:name="_Toc38442962"/>
      <w:bookmarkStart w:id="1277" w:name="_Toc38443293"/>
      <w:bookmarkStart w:id="1278" w:name="_Toc38443624"/>
      <w:bookmarkStart w:id="1279" w:name="_Toc38443954"/>
      <w:bookmarkStart w:id="1280" w:name="_Toc38438422"/>
      <w:bookmarkStart w:id="1281" w:name="_Toc38438759"/>
      <w:bookmarkStart w:id="1282" w:name="_Toc38439096"/>
      <w:bookmarkStart w:id="1283" w:name="_Toc38439433"/>
      <w:bookmarkStart w:id="1284" w:name="_Toc38439770"/>
      <w:bookmarkStart w:id="1285" w:name="_Toc38440107"/>
      <w:bookmarkStart w:id="1286" w:name="_Toc38440444"/>
      <w:bookmarkStart w:id="1287" w:name="_Toc38440976"/>
      <w:bookmarkStart w:id="1288" w:name="_Toc38441308"/>
      <w:bookmarkStart w:id="1289" w:name="_Toc38441640"/>
      <w:bookmarkStart w:id="1290" w:name="_Toc38441968"/>
      <w:bookmarkStart w:id="1291" w:name="_Toc38442300"/>
      <w:bookmarkStart w:id="1292" w:name="_Toc38442632"/>
      <w:bookmarkStart w:id="1293" w:name="_Toc38442963"/>
      <w:bookmarkStart w:id="1294" w:name="_Toc38443294"/>
      <w:bookmarkStart w:id="1295" w:name="_Toc38443625"/>
      <w:bookmarkStart w:id="1296" w:name="_Toc38443955"/>
      <w:bookmarkStart w:id="1297" w:name="_Toc38438423"/>
      <w:bookmarkStart w:id="1298" w:name="_Toc38438760"/>
      <w:bookmarkStart w:id="1299" w:name="_Toc38439097"/>
      <w:bookmarkStart w:id="1300" w:name="_Toc38439434"/>
      <w:bookmarkStart w:id="1301" w:name="_Toc38439771"/>
      <w:bookmarkStart w:id="1302" w:name="_Toc38440108"/>
      <w:bookmarkStart w:id="1303" w:name="_Toc38440445"/>
      <w:bookmarkStart w:id="1304" w:name="_Toc38440977"/>
      <w:bookmarkStart w:id="1305" w:name="_Toc38441309"/>
      <w:bookmarkStart w:id="1306" w:name="_Toc38441641"/>
      <w:bookmarkStart w:id="1307" w:name="_Toc38441969"/>
      <w:bookmarkStart w:id="1308" w:name="_Toc38442301"/>
      <w:bookmarkStart w:id="1309" w:name="_Toc38442633"/>
      <w:bookmarkStart w:id="1310" w:name="_Toc38442964"/>
      <w:bookmarkStart w:id="1311" w:name="_Toc38443295"/>
      <w:bookmarkStart w:id="1312" w:name="_Toc38443626"/>
      <w:bookmarkStart w:id="1313" w:name="_Toc38443956"/>
      <w:bookmarkStart w:id="1314" w:name="_Toc38438424"/>
      <w:bookmarkStart w:id="1315" w:name="_Toc38438761"/>
      <w:bookmarkStart w:id="1316" w:name="_Toc38439098"/>
      <w:bookmarkStart w:id="1317" w:name="_Toc38439435"/>
      <w:bookmarkStart w:id="1318" w:name="_Toc38439772"/>
      <w:bookmarkStart w:id="1319" w:name="_Toc38440109"/>
      <w:bookmarkStart w:id="1320" w:name="_Toc38440446"/>
      <w:bookmarkStart w:id="1321" w:name="_Toc38440978"/>
      <w:bookmarkStart w:id="1322" w:name="_Toc38441310"/>
      <w:bookmarkStart w:id="1323" w:name="_Toc38441642"/>
      <w:bookmarkStart w:id="1324" w:name="_Toc38441970"/>
      <w:bookmarkStart w:id="1325" w:name="_Toc38442302"/>
      <w:bookmarkStart w:id="1326" w:name="_Toc38442634"/>
      <w:bookmarkStart w:id="1327" w:name="_Toc38442965"/>
      <w:bookmarkStart w:id="1328" w:name="_Toc38443296"/>
      <w:bookmarkStart w:id="1329" w:name="_Toc38443627"/>
      <w:bookmarkStart w:id="1330" w:name="_Toc38443957"/>
      <w:bookmarkStart w:id="1331" w:name="_Toc38438425"/>
      <w:bookmarkStart w:id="1332" w:name="_Toc38438762"/>
      <w:bookmarkStart w:id="1333" w:name="_Toc38439099"/>
      <w:bookmarkStart w:id="1334" w:name="_Toc38439436"/>
      <w:bookmarkStart w:id="1335" w:name="_Toc38439773"/>
      <w:bookmarkStart w:id="1336" w:name="_Toc38440110"/>
      <w:bookmarkStart w:id="1337" w:name="_Toc38440447"/>
      <w:bookmarkStart w:id="1338" w:name="_Toc38440979"/>
      <w:bookmarkStart w:id="1339" w:name="_Toc38441311"/>
      <w:bookmarkStart w:id="1340" w:name="_Toc38441643"/>
      <w:bookmarkStart w:id="1341" w:name="_Toc38441971"/>
      <w:bookmarkStart w:id="1342" w:name="_Toc38442303"/>
      <w:bookmarkStart w:id="1343" w:name="_Toc38442635"/>
      <w:bookmarkStart w:id="1344" w:name="_Toc38442966"/>
      <w:bookmarkStart w:id="1345" w:name="_Toc38443297"/>
      <w:bookmarkStart w:id="1346" w:name="_Toc38443628"/>
      <w:bookmarkStart w:id="1347" w:name="_Toc38443958"/>
      <w:bookmarkStart w:id="1348" w:name="_Toc38438426"/>
      <w:bookmarkStart w:id="1349" w:name="_Toc38438763"/>
      <w:bookmarkStart w:id="1350" w:name="_Toc38439100"/>
      <w:bookmarkStart w:id="1351" w:name="_Toc38439437"/>
      <w:bookmarkStart w:id="1352" w:name="_Toc38439774"/>
      <w:bookmarkStart w:id="1353" w:name="_Toc38440111"/>
      <w:bookmarkStart w:id="1354" w:name="_Toc38440448"/>
      <w:bookmarkStart w:id="1355" w:name="_Toc38440980"/>
      <w:bookmarkStart w:id="1356" w:name="_Toc38441312"/>
      <w:bookmarkStart w:id="1357" w:name="_Toc38441644"/>
      <w:bookmarkStart w:id="1358" w:name="_Toc38441972"/>
      <w:bookmarkStart w:id="1359" w:name="_Toc38442304"/>
      <w:bookmarkStart w:id="1360" w:name="_Toc38442636"/>
      <w:bookmarkStart w:id="1361" w:name="_Toc38442967"/>
      <w:bookmarkStart w:id="1362" w:name="_Toc38443298"/>
      <w:bookmarkStart w:id="1363" w:name="_Toc38443629"/>
      <w:bookmarkStart w:id="1364" w:name="_Toc38443959"/>
      <w:bookmarkStart w:id="1365" w:name="_Toc38438427"/>
      <w:bookmarkStart w:id="1366" w:name="_Toc38438764"/>
      <w:bookmarkStart w:id="1367" w:name="_Toc38439101"/>
      <w:bookmarkStart w:id="1368" w:name="_Toc38439438"/>
      <w:bookmarkStart w:id="1369" w:name="_Toc38439775"/>
      <w:bookmarkStart w:id="1370" w:name="_Toc38440112"/>
      <w:bookmarkStart w:id="1371" w:name="_Toc38440449"/>
      <w:bookmarkStart w:id="1372" w:name="_Toc38440981"/>
      <w:bookmarkStart w:id="1373" w:name="_Toc38441313"/>
      <w:bookmarkStart w:id="1374" w:name="_Toc38441645"/>
      <w:bookmarkStart w:id="1375" w:name="_Toc38441973"/>
      <w:bookmarkStart w:id="1376" w:name="_Toc38442305"/>
      <w:bookmarkStart w:id="1377" w:name="_Toc38442637"/>
      <w:bookmarkStart w:id="1378" w:name="_Toc38442968"/>
      <w:bookmarkStart w:id="1379" w:name="_Toc38443299"/>
      <w:bookmarkStart w:id="1380" w:name="_Toc38443630"/>
      <w:bookmarkStart w:id="1381" w:name="_Toc38443960"/>
      <w:bookmarkStart w:id="1382" w:name="_Toc38438428"/>
      <w:bookmarkStart w:id="1383" w:name="_Toc38438765"/>
      <w:bookmarkStart w:id="1384" w:name="_Toc38439102"/>
      <w:bookmarkStart w:id="1385" w:name="_Toc38439439"/>
      <w:bookmarkStart w:id="1386" w:name="_Toc38439776"/>
      <w:bookmarkStart w:id="1387" w:name="_Toc38440113"/>
      <w:bookmarkStart w:id="1388" w:name="_Toc38440450"/>
      <w:bookmarkStart w:id="1389" w:name="_Toc38440982"/>
      <w:bookmarkStart w:id="1390" w:name="_Toc38441314"/>
      <w:bookmarkStart w:id="1391" w:name="_Toc38441646"/>
      <w:bookmarkStart w:id="1392" w:name="_Toc38441974"/>
      <w:bookmarkStart w:id="1393" w:name="_Toc38442306"/>
      <w:bookmarkStart w:id="1394" w:name="_Toc38442638"/>
      <w:bookmarkStart w:id="1395" w:name="_Toc38442969"/>
      <w:bookmarkStart w:id="1396" w:name="_Toc38443300"/>
      <w:bookmarkStart w:id="1397" w:name="_Toc38443631"/>
      <w:bookmarkStart w:id="1398" w:name="_Toc38443961"/>
      <w:bookmarkStart w:id="1399" w:name="_Toc38438429"/>
      <w:bookmarkStart w:id="1400" w:name="_Toc38438766"/>
      <w:bookmarkStart w:id="1401" w:name="_Toc38439103"/>
      <w:bookmarkStart w:id="1402" w:name="_Toc38439440"/>
      <w:bookmarkStart w:id="1403" w:name="_Toc38439777"/>
      <w:bookmarkStart w:id="1404" w:name="_Toc38440114"/>
      <w:bookmarkStart w:id="1405" w:name="_Toc38440451"/>
      <w:bookmarkStart w:id="1406" w:name="_Toc38440983"/>
      <w:bookmarkStart w:id="1407" w:name="_Toc38441315"/>
      <w:bookmarkStart w:id="1408" w:name="_Toc38441647"/>
      <w:bookmarkStart w:id="1409" w:name="_Toc38441975"/>
      <w:bookmarkStart w:id="1410" w:name="_Toc38442307"/>
      <w:bookmarkStart w:id="1411" w:name="_Toc38442639"/>
      <w:bookmarkStart w:id="1412" w:name="_Toc38442970"/>
      <w:bookmarkStart w:id="1413" w:name="_Toc38443301"/>
      <w:bookmarkStart w:id="1414" w:name="_Toc38443632"/>
      <w:bookmarkStart w:id="1415" w:name="_Toc38443962"/>
      <w:bookmarkStart w:id="1416" w:name="_Toc38438430"/>
      <w:bookmarkStart w:id="1417" w:name="_Toc38438767"/>
      <w:bookmarkStart w:id="1418" w:name="_Toc38439104"/>
      <w:bookmarkStart w:id="1419" w:name="_Toc38439441"/>
      <w:bookmarkStart w:id="1420" w:name="_Toc38439778"/>
      <w:bookmarkStart w:id="1421" w:name="_Toc38440115"/>
      <w:bookmarkStart w:id="1422" w:name="_Toc38440452"/>
      <w:bookmarkStart w:id="1423" w:name="_Toc38440984"/>
      <w:bookmarkStart w:id="1424" w:name="_Toc38441316"/>
      <w:bookmarkStart w:id="1425" w:name="_Toc38441648"/>
      <w:bookmarkStart w:id="1426" w:name="_Toc38441976"/>
      <w:bookmarkStart w:id="1427" w:name="_Toc38442308"/>
      <w:bookmarkStart w:id="1428" w:name="_Toc38442640"/>
      <w:bookmarkStart w:id="1429" w:name="_Toc38442971"/>
      <w:bookmarkStart w:id="1430" w:name="_Toc38443302"/>
      <w:bookmarkStart w:id="1431" w:name="_Toc38443633"/>
      <w:bookmarkStart w:id="1432" w:name="_Toc38443963"/>
      <w:bookmarkStart w:id="1433" w:name="_Toc38438431"/>
      <w:bookmarkStart w:id="1434" w:name="_Toc38438768"/>
      <w:bookmarkStart w:id="1435" w:name="_Toc38439105"/>
      <w:bookmarkStart w:id="1436" w:name="_Toc38439442"/>
      <w:bookmarkStart w:id="1437" w:name="_Toc38439779"/>
      <w:bookmarkStart w:id="1438" w:name="_Toc38440116"/>
      <w:bookmarkStart w:id="1439" w:name="_Toc38440453"/>
      <w:bookmarkStart w:id="1440" w:name="_Toc38440985"/>
      <w:bookmarkStart w:id="1441" w:name="_Toc38441317"/>
      <w:bookmarkStart w:id="1442" w:name="_Toc38441649"/>
      <w:bookmarkStart w:id="1443" w:name="_Toc38441977"/>
      <w:bookmarkStart w:id="1444" w:name="_Toc38442309"/>
      <w:bookmarkStart w:id="1445" w:name="_Toc38442641"/>
      <w:bookmarkStart w:id="1446" w:name="_Toc38442972"/>
      <w:bookmarkStart w:id="1447" w:name="_Toc38443303"/>
      <w:bookmarkStart w:id="1448" w:name="_Toc38443634"/>
      <w:bookmarkStart w:id="1449" w:name="_Toc38443964"/>
      <w:bookmarkStart w:id="1450" w:name="_Toc38438432"/>
      <w:bookmarkStart w:id="1451" w:name="_Toc38438769"/>
      <w:bookmarkStart w:id="1452" w:name="_Toc38439106"/>
      <w:bookmarkStart w:id="1453" w:name="_Toc38439443"/>
      <w:bookmarkStart w:id="1454" w:name="_Toc38439780"/>
      <w:bookmarkStart w:id="1455" w:name="_Toc38440117"/>
      <w:bookmarkStart w:id="1456" w:name="_Toc38440454"/>
      <w:bookmarkStart w:id="1457" w:name="_Toc38440986"/>
      <w:bookmarkStart w:id="1458" w:name="_Toc38441318"/>
      <w:bookmarkStart w:id="1459" w:name="_Toc38441650"/>
      <w:bookmarkStart w:id="1460" w:name="_Toc38441978"/>
      <w:bookmarkStart w:id="1461" w:name="_Toc38442310"/>
      <w:bookmarkStart w:id="1462" w:name="_Toc38442642"/>
      <w:bookmarkStart w:id="1463" w:name="_Toc38442973"/>
      <w:bookmarkStart w:id="1464" w:name="_Toc38443304"/>
      <w:bookmarkStart w:id="1465" w:name="_Toc38443635"/>
      <w:bookmarkStart w:id="1466" w:name="_Toc38443965"/>
      <w:bookmarkStart w:id="1467" w:name="_Toc38438433"/>
      <w:bookmarkStart w:id="1468" w:name="_Toc38438770"/>
      <w:bookmarkStart w:id="1469" w:name="_Toc38439107"/>
      <w:bookmarkStart w:id="1470" w:name="_Toc38439444"/>
      <w:bookmarkStart w:id="1471" w:name="_Toc38439781"/>
      <w:bookmarkStart w:id="1472" w:name="_Toc38440118"/>
      <w:bookmarkStart w:id="1473" w:name="_Toc38440455"/>
      <w:bookmarkStart w:id="1474" w:name="_Toc38440987"/>
      <w:bookmarkStart w:id="1475" w:name="_Toc38441319"/>
      <w:bookmarkStart w:id="1476" w:name="_Toc38441651"/>
      <w:bookmarkStart w:id="1477" w:name="_Toc38441979"/>
      <w:bookmarkStart w:id="1478" w:name="_Toc38442311"/>
      <w:bookmarkStart w:id="1479" w:name="_Toc38442643"/>
      <w:bookmarkStart w:id="1480" w:name="_Toc38442974"/>
      <w:bookmarkStart w:id="1481" w:name="_Toc38443305"/>
      <w:bookmarkStart w:id="1482" w:name="_Toc38443636"/>
      <w:bookmarkStart w:id="1483" w:name="_Toc38443966"/>
      <w:bookmarkStart w:id="1484" w:name="_Toc38438434"/>
      <w:bookmarkStart w:id="1485" w:name="_Toc38438771"/>
      <w:bookmarkStart w:id="1486" w:name="_Toc38439108"/>
      <w:bookmarkStart w:id="1487" w:name="_Toc38439445"/>
      <w:bookmarkStart w:id="1488" w:name="_Toc38439782"/>
      <w:bookmarkStart w:id="1489" w:name="_Toc38440119"/>
      <w:bookmarkStart w:id="1490" w:name="_Toc38440456"/>
      <w:bookmarkStart w:id="1491" w:name="_Toc38440988"/>
      <w:bookmarkStart w:id="1492" w:name="_Toc38441320"/>
      <w:bookmarkStart w:id="1493" w:name="_Toc38441652"/>
      <w:bookmarkStart w:id="1494" w:name="_Toc38441980"/>
      <w:bookmarkStart w:id="1495" w:name="_Toc38442312"/>
      <w:bookmarkStart w:id="1496" w:name="_Toc38442644"/>
      <w:bookmarkStart w:id="1497" w:name="_Toc38442975"/>
      <w:bookmarkStart w:id="1498" w:name="_Toc38443306"/>
      <w:bookmarkStart w:id="1499" w:name="_Toc38443637"/>
      <w:bookmarkStart w:id="1500" w:name="_Toc38443967"/>
      <w:bookmarkStart w:id="1501" w:name="_Toc38438435"/>
      <w:bookmarkStart w:id="1502" w:name="_Toc38438772"/>
      <w:bookmarkStart w:id="1503" w:name="_Toc38439109"/>
      <w:bookmarkStart w:id="1504" w:name="_Toc38439446"/>
      <w:bookmarkStart w:id="1505" w:name="_Toc38439783"/>
      <w:bookmarkStart w:id="1506" w:name="_Toc38440120"/>
      <w:bookmarkStart w:id="1507" w:name="_Toc38440457"/>
      <w:bookmarkStart w:id="1508" w:name="_Toc38440989"/>
      <w:bookmarkStart w:id="1509" w:name="_Toc38441321"/>
      <w:bookmarkStart w:id="1510" w:name="_Toc38441653"/>
      <w:bookmarkStart w:id="1511" w:name="_Toc38441981"/>
      <w:bookmarkStart w:id="1512" w:name="_Toc38442313"/>
      <w:bookmarkStart w:id="1513" w:name="_Toc38442645"/>
      <w:bookmarkStart w:id="1514" w:name="_Toc38442976"/>
      <w:bookmarkStart w:id="1515" w:name="_Toc38443307"/>
      <w:bookmarkStart w:id="1516" w:name="_Toc38443638"/>
      <w:bookmarkStart w:id="1517" w:name="_Toc38443968"/>
      <w:bookmarkStart w:id="1518" w:name="_Toc38438436"/>
      <w:bookmarkStart w:id="1519" w:name="_Toc38438773"/>
      <w:bookmarkStart w:id="1520" w:name="_Toc38439110"/>
      <w:bookmarkStart w:id="1521" w:name="_Toc38439447"/>
      <w:bookmarkStart w:id="1522" w:name="_Toc38439784"/>
      <w:bookmarkStart w:id="1523" w:name="_Toc38440121"/>
      <w:bookmarkStart w:id="1524" w:name="_Toc38440458"/>
      <w:bookmarkStart w:id="1525" w:name="_Toc38440990"/>
      <w:bookmarkStart w:id="1526" w:name="_Toc38441322"/>
      <w:bookmarkStart w:id="1527" w:name="_Toc38441654"/>
      <w:bookmarkStart w:id="1528" w:name="_Toc38441982"/>
      <w:bookmarkStart w:id="1529" w:name="_Toc38442314"/>
      <w:bookmarkStart w:id="1530" w:name="_Toc38442646"/>
      <w:bookmarkStart w:id="1531" w:name="_Toc38442977"/>
      <w:bookmarkStart w:id="1532" w:name="_Toc38443308"/>
      <w:bookmarkStart w:id="1533" w:name="_Toc38443639"/>
      <w:bookmarkStart w:id="1534" w:name="_Toc38443969"/>
      <w:bookmarkStart w:id="1535" w:name="_Toc38438437"/>
      <w:bookmarkStart w:id="1536" w:name="_Toc38438774"/>
      <w:bookmarkStart w:id="1537" w:name="_Toc38439111"/>
      <w:bookmarkStart w:id="1538" w:name="_Toc38439448"/>
      <w:bookmarkStart w:id="1539" w:name="_Toc38439785"/>
      <w:bookmarkStart w:id="1540" w:name="_Toc38440122"/>
      <w:bookmarkStart w:id="1541" w:name="_Toc38440459"/>
      <w:bookmarkStart w:id="1542" w:name="_Toc38440991"/>
      <w:bookmarkStart w:id="1543" w:name="_Toc38441323"/>
      <w:bookmarkStart w:id="1544" w:name="_Toc38441655"/>
      <w:bookmarkStart w:id="1545" w:name="_Toc38441983"/>
      <w:bookmarkStart w:id="1546" w:name="_Toc38442315"/>
      <w:bookmarkStart w:id="1547" w:name="_Toc38442647"/>
      <w:bookmarkStart w:id="1548" w:name="_Toc38442978"/>
      <w:bookmarkStart w:id="1549" w:name="_Toc38443309"/>
      <w:bookmarkStart w:id="1550" w:name="_Toc38443640"/>
      <w:bookmarkStart w:id="1551" w:name="_Toc38443970"/>
      <w:bookmarkStart w:id="1552" w:name="_Toc38438438"/>
      <w:bookmarkStart w:id="1553" w:name="_Toc38438775"/>
      <w:bookmarkStart w:id="1554" w:name="_Toc38439112"/>
      <w:bookmarkStart w:id="1555" w:name="_Toc38439449"/>
      <w:bookmarkStart w:id="1556" w:name="_Toc38439786"/>
      <w:bookmarkStart w:id="1557" w:name="_Toc38440123"/>
      <w:bookmarkStart w:id="1558" w:name="_Toc38440460"/>
      <w:bookmarkStart w:id="1559" w:name="_Toc38440992"/>
      <w:bookmarkStart w:id="1560" w:name="_Toc38441324"/>
      <w:bookmarkStart w:id="1561" w:name="_Toc38441656"/>
      <w:bookmarkStart w:id="1562" w:name="_Toc38441984"/>
      <w:bookmarkStart w:id="1563" w:name="_Toc38442316"/>
      <w:bookmarkStart w:id="1564" w:name="_Toc38442648"/>
      <w:bookmarkStart w:id="1565" w:name="_Toc38442979"/>
      <w:bookmarkStart w:id="1566" w:name="_Toc38443310"/>
      <w:bookmarkStart w:id="1567" w:name="_Toc38443641"/>
      <w:bookmarkStart w:id="1568" w:name="_Toc38443971"/>
      <w:bookmarkStart w:id="1569" w:name="_Toc38438439"/>
      <w:bookmarkStart w:id="1570" w:name="_Toc38438776"/>
      <w:bookmarkStart w:id="1571" w:name="_Toc38439113"/>
      <w:bookmarkStart w:id="1572" w:name="_Toc38439450"/>
      <w:bookmarkStart w:id="1573" w:name="_Toc38439787"/>
      <w:bookmarkStart w:id="1574" w:name="_Toc38440124"/>
      <w:bookmarkStart w:id="1575" w:name="_Toc38440461"/>
      <w:bookmarkStart w:id="1576" w:name="_Toc38440993"/>
      <w:bookmarkStart w:id="1577" w:name="_Toc38441325"/>
      <w:bookmarkStart w:id="1578" w:name="_Toc38441657"/>
      <w:bookmarkStart w:id="1579" w:name="_Toc38441985"/>
      <w:bookmarkStart w:id="1580" w:name="_Toc38442317"/>
      <w:bookmarkStart w:id="1581" w:name="_Toc38442649"/>
      <w:bookmarkStart w:id="1582" w:name="_Toc38442980"/>
      <w:bookmarkStart w:id="1583" w:name="_Toc38443311"/>
      <w:bookmarkStart w:id="1584" w:name="_Toc38443642"/>
      <w:bookmarkStart w:id="1585" w:name="_Toc38443972"/>
      <w:bookmarkStart w:id="1586" w:name="_Toc38438440"/>
      <w:bookmarkStart w:id="1587" w:name="_Toc38438777"/>
      <w:bookmarkStart w:id="1588" w:name="_Toc38439114"/>
      <w:bookmarkStart w:id="1589" w:name="_Toc38439451"/>
      <w:bookmarkStart w:id="1590" w:name="_Toc38439788"/>
      <w:bookmarkStart w:id="1591" w:name="_Toc38440125"/>
      <w:bookmarkStart w:id="1592" w:name="_Toc38440462"/>
      <w:bookmarkStart w:id="1593" w:name="_Toc38440994"/>
      <w:bookmarkStart w:id="1594" w:name="_Toc38441326"/>
      <w:bookmarkStart w:id="1595" w:name="_Toc38441658"/>
      <w:bookmarkStart w:id="1596" w:name="_Toc38441986"/>
      <w:bookmarkStart w:id="1597" w:name="_Toc38442318"/>
      <w:bookmarkStart w:id="1598" w:name="_Toc38442650"/>
      <w:bookmarkStart w:id="1599" w:name="_Toc38442981"/>
      <w:bookmarkStart w:id="1600" w:name="_Toc38443312"/>
      <w:bookmarkStart w:id="1601" w:name="_Toc38443643"/>
      <w:bookmarkStart w:id="1602" w:name="_Toc38443973"/>
      <w:bookmarkStart w:id="1603" w:name="_Toc38438441"/>
      <w:bookmarkStart w:id="1604" w:name="_Toc38438778"/>
      <w:bookmarkStart w:id="1605" w:name="_Toc38439115"/>
      <w:bookmarkStart w:id="1606" w:name="_Toc38439452"/>
      <w:bookmarkStart w:id="1607" w:name="_Toc38439789"/>
      <w:bookmarkStart w:id="1608" w:name="_Toc38440126"/>
      <w:bookmarkStart w:id="1609" w:name="_Toc38440463"/>
      <w:bookmarkStart w:id="1610" w:name="_Toc38440995"/>
      <w:bookmarkStart w:id="1611" w:name="_Toc38441327"/>
      <w:bookmarkStart w:id="1612" w:name="_Toc38441659"/>
      <w:bookmarkStart w:id="1613" w:name="_Toc38441987"/>
      <w:bookmarkStart w:id="1614" w:name="_Toc38442319"/>
      <w:bookmarkStart w:id="1615" w:name="_Toc38442651"/>
      <w:bookmarkStart w:id="1616" w:name="_Toc38442982"/>
      <w:bookmarkStart w:id="1617" w:name="_Toc38443313"/>
      <w:bookmarkStart w:id="1618" w:name="_Toc38443644"/>
      <w:bookmarkStart w:id="1619" w:name="_Toc38443974"/>
      <w:bookmarkStart w:id="1620" w:name="_Toc38438442"/>
      <w:bookmarkStart w:id="1621" w:name="_Toc38438779"/>
      <w:bookmarkStart w:id="1622" w:name="_Toc38439116"/>
      <w:bookmarkStart w:id="1623" w:name="_Toc38439453"/>
      <w:bookmarkStart w:id="1624" w:name="_Toc38439790"/>
      <w:bookmarkStart w:id="1625" w:name="_Toc38440127"/>
      <w:bookmarkStart w:id="1626" w:name="_Toc38440464"/>
      <w:bookmarkStart w:id="1627" w:name="_Toc38440996"/>
      <w:bookmarkStart w:id="1628" w:name="_Toc38441328"/>
      <w:bookmarkStart w:id="1629" w:name="_Toc38441660"/>
      <w:bookmarkStart w:id="1630" w:name="_Toc38441988"/>
      <w:bookmarkStart w:id="1631" w:name="_Toc38442320"/>
      <w:bookmarkStart w:id="1632" w:name="_Toc38442652"/>
      <w:bookmarkStart w:id="1633" w:name="_Toc38442983"/>
      <w:bookmarkStart w:id="1634" w:name="_Toc38443314"/>
      <w:bookmarkStart w:id="1635" w:name="_Toc38443645"/>
      <w:bookmarkStart w:id="1636" w:name="_Toc38443975"/>
      <w:bookmarkStart w:id="1637" w:name="_Toc38438443"/>
      <w:bookmarkStart w:id="1638" w:name="_Toc38438780"/>
      <w:bookmarkStart w:id="1639" w:name="_Toc38439117"/>
      <w:bookmarkStart w:id="1640" w:name="_Toc38439454"/>
      <w:bookmarkStart w:id="1641" w:name="_Toc38439791"/>
      <w:bookmarkStart w:id="1642" w:name="_Toc38440128"/>
      <w:bookmarkStart w:id="1643" w:name="_Toc38440465"/>
      <w:bookmarkStart w:id="1644" w:name="_Toc38440997"/>
      <w:bookmarkStart w:id="1645" w:name="_Toc38441329"/>
      <w:bookmarkStart w:id="1646" w:name="_Toc38441661"/>
      <w:bookmarkStart w:id="1647" w:name="_Toc38441989"/>
      <w:bookmarkStart w:id="1648" w:name="_Toc38442321"/>
      <w:bookmarkStart w:id="1649" w:name="_Toc38442653"/>
      <w:bookmarkStart w:id="1650" w:name="_Toc38442984"/>
      <w:bookmarkStart w:id="1651" w:name="_Toc38443315"/>
      <w:bookmarkStart w:id="1652" w:name="_Toc38443646"/>
      <w:bookmarkStart w:id="1653" w:name="_Toc38443976"/>
      <w:bookmarkStart w:id="1654" w:name="_Toc38438444"/>
      <w:bookmarkStart w:id="1655" w:name="_Toc38438781"/>
      <w:bookmarkStart w:id="1656" w:name="_Toc38439118"/>
      <w:bookmarkStart w:id="1657" w:name="_Toc38439455"/>
      <w:bookmarkStart w:id="1658" w:name="_Toc38439792"/>
      <w:bookmarkStart w:id="1659" w:name="_Toc38440129"/>
      <w:bookmarkStart w:id="1660" w:name="_Toc38440466"/>
      <w:bookmarkStart w:id="1661" w:name="_Toc38440998"/>
      <w:bookmarkStart w:id="1662" w:name="_Toc38441330"/>
      <w:bookmarkStart w:id="1663" w:name="_Toc38441662"/>
      <w:bookmarkStart w:id="1664" w:name="_Toc38441990"/>
      <w:bookmarkStart w:id="1665" w:name="_Toc38442322"/>
      <w:bookmarkStart w:id="1666" w:name="_Toc38442654"/>
      <w:bookmarkStart w:id="1667" w:name="_Toc38442985"/>
      <w:bookmarkStart w:id="1668" w:name="_Toc38443316"/>
      <w:bookmarkStart w:id="1669" w:name="_Toc38443647"/>
      <w:bookmarkStart w:id="1670" w:name="_Toc38443977"/>
      <w:bookmarkStart w:id="1671" w:name="_Toc38438445"/>
      <w:bookmarkStart w:id="1672" w:name="_Toc38438782"/>
      <w:bookmarkStart w:id="1673" w:name="_Toc38439119"/>
      <w:bookmarkStart w:id="1674" w:name="_Toc38439456"/>
      <w:bookmarkStart w:id="1675" w:name="_Toc38439793"/>
      <w:bookmarkStart w:id="1676" w:name="_Toc38440130"/>
      <w:bookmarkStart w:id="1677" w:name="_Toc38440467"/>
      <w:bookmarkStart w:id="1678" w:name="_Toc38440999"/>
      <w:bookmarkStart w:id="1679" w:name="_Toc38441331"/>
      <w:bookmarkStart w:id="1680" w:name="_Toc38441663"/>
      <w:bookmarkStart w:id="1681" w:name="_Toc38441991"/>
      <w:bookmarkStart w:id="1682" w:name="_Toc38442323"/>
      <w:bookmarkStart w:id="1683" w:name="_Toc38442655"/>
      <w:bookmarkStart w:id="1684" w:name="_Toc38442986"/>
      <w:bookmarkStart w:id="1685" w:name="_Toc38443317"/>
      <w:bookmarkStart w:id="1686" w:name="_Toc38443648"/>
      <w:bookmarkStart w:id="1687" w:name="_Toc38443978"/>
      <w:bookmarkStart w:id="1688" w:name="_Toc38438446"/>
      <w:bookmarkStart w:id="1689" w:name="_Toc38438783"/>
      <w:bookmarkStart w:id="1690" w:name="_Toc38439120"/>
      <w:bookmarkStart w:id="1691" w:name="_Toc38439457"/>
      <w:bookmarkStart w:id="1692" w:name="_Toc38439794"/>
      <w:bookmarkStart w:id="1693" w:name="_Toc38440131"/>
      <w:bookmarkStart w:id="1694" w:name="_Toc38440468"/>
      <w:bookmarkStart w:id="1695" w:name="_Toc38441000"/>
      <w:bookmarkStart w:id="1696" w:name="_Toc38441332"/>
      <w:bookmarkStart w:id="1697" w:name="_Toc38441664"/>
      <w:bookmarkStart w:id="1698" w:name="_Toc38441992"/>
      <w:bookmarkStart w:id="1699" w:name="_Toc38442324"/>
      <w:bookmarkStart w:id="1700" w:name="_Toc38442656"/>
      <w:bookmarkStart w:id="1701" w:name="_Toc38442987"/>
      <w:bookmarkStart w:id="1702" w:name="_Toc38443318"/>
      <w:bookmarkStart w:id="1703" w:name="_Toc38443649"/>
      <w:bookmarkStart w:id="1704" w:name="_Toc38443979"/>
      <w:bookmarkStart w:id="1705" w:name="_Toc38438447"/>
      <w:bookmarkStart w:id="1706" w:name="_Toc38438784"/>
      <w:bookmarkStart w:id="1707" w:name="_Toc38439121"/>
      <w:bookmarkStart w:id="1708" w:name="_Toc38439458"/>
      <w:bookmarkStart w:id="1709" w:name="_Toc38439795"/>
      <w:bookmarkStart w:id="1710" w:name="_Toc38440132"/>
      <w:bookmarkStart w:id="1711" w:name="_Toc38440469"/>
      <w:bookmarkStart w:id="1712" w:name="_Toc38441001"/>
      <w:bookmarkStart w:id="1713" w:name="_Toc38441333"/>
      <w:bookmarkStart w:id="1714" w:name="_Toc38441665"/>
      <w:bookmarkStart w:id="1715" w:name="_Toc38441993"/>
      <w:bookmarkStart w:id="1716" w:name="_Toc38442325"/>
      <w:bookmarkStart w:id="1717" w:name="_Toc38442657"/>
      <w:bookmarkStart w:id="1718" w:name="_Toc38442988"/>
      <w:bookmarkStart w:id="1719" w:name="_Toc38443319"/>
      <w:bookmarkStart w:id="1720" w:name="_Toc38443650"/>
      <w:bookmarkStart w:id="1721" w:name="_Toc38443980"/>
      <w:bookmarkStart w:id="1722" w:name="_Toc38438448"/>
      <w:bookmarkStart w:id="1723" w:name="_Toc38438785"/>
      <w:bookmarkStart w:id="1724" w:name="_Toc38439122"/>
      <w:bookmarkStart w:id="1725" w:name="_Toc38439459"/>
      <w:bookmarkStart w:id="1726" w:name="_Toc38439796"/>
      <w:bookmarkStart w:id="1727" w:name="_Toc38440133"/>
      <w:bookmarkStart w:id="1728" w:name="_Toc38440470"/>
      <w:bookmarkStart w:id="1729" w:name="_Toc38441002"/>
      <w:bookmarkStart w:id="1730" w:name="_Toc38441334"/>
      <w:bookmarkStart w:id="1731" w:name="_Toc38441666"/>
      <w:bookmarkStart w:id="1732" w:name="_Toc38441994"/>
      <w:bookmarkStart w:id="1733" w:name="_Toc38442326"/>
      <w:bookmarkStart w:id="1734" w:name="_Toc38442658"/>
      <w:bookmarkStart w:id="1735" w:name="_Toc38442989"/>
      <w:bookmarkStart w:id="1736" w:name="_Toc38443320"/>
      <w:bookmarkStart w:id="1737" w:name="_Toc38443651"/>
      <w:bookmarkStart w:id="1738" w:name="_Toc38443981"/>
      <w:bookmarkStart w:id="1739" w:name="_Toc38438449"/>
      <w:bookmarkStart w:id="1740" w:name="_Toc38438786"/>
      <w:bookmarkStart w:id="1741" w:name="_Toc38439123"/>
      <w:bookmarkStart w:id="1742" w:name="_Toc38439460"/>
      <w:bookmarkStart w:id="1743" w:name="_Toc38439797"/>
      <w:bookmarkStart w:id="1744" w:name="_Toc38440134"/>
      <w:bookmarkStart w:id="1745" w:name="_Toc38440471"/>
      <w:bookmarkStart w:id="1746" w:name="_Toc38441003"/>
      <w:bookmarkStart w:id="1747" w:name="_Toc38441335"/>
      <w:bookmarkStart w:id="1748" w:name="_Toc38441667"/>
      <w:bookmarkStart w:id="1749" w:name="_Toc38441995"/>
      <w:bookmarkStart w:id="1750" w:name="_Toc38442327"/>
      <w:bookmarkStart w:id="1751" w:name="_Toc38442659"/>
      <w:bookmarkStart w:id="1752" w:name="_Toc38442990"/>
      <w:bookmarkStart w:id="1753" w:name="_Toc38443321"/>
      <w:bookmarkStart w:id="1754" w:name="_Toc38443652"/>
      <w:bookmarkStart w:id="1755" w:name="_Toc38443982"/>
      <w:bookmarkStart w:id="1756" w:name="_Toc38438450"/>
      <w:bookmarkStart w:id="1757" w:name="_Toc38438787"/>
      <w:bookmarkStart w:id="1758" w:name="_Toc38439124"/>
      <w:bookmarkStart w:id="1759" w:name="_Toc38439461"/>
      <w:bookmarkStart w:id="1760" w:name="_Toc38439798"/>
      <w:bookmarkStart w:id="1761" w:name="_Toc38440135"/>
      <w:bookmarkStart w:id="1762" w:name="_Toc38440472"/>
      <w:bookmarkStart w:id="1763" w:name="_Toc38441004"/>
      <w:bookmarkStart w:id="1764" w:name="_Toc38441336"/>
      <w:bookmarkStart w:id="1765" w:name="_Toc38441668"/>
      <w:bookmarkStart w:id="1766" w:name="_Toc38441996"/>
      <w:bookmarkStart w:id="1767" w:name="_Toc38442328"/>
      <w:bookmarkStart w:id="1768" w:name="_Toc38442660"/>
      <w:bookmarkStart w:id="1769" w:name="_Toc38442991"/>
      <w:bookmarkStart w:id="1770" w:name="_Toc38443322"/>
      <w:bookmarkStart w:id="1771" w:name="_Toc38443653"/>
      <w:bookmarkStart w:id="1772" w:name="_Toc38443983"/>
      <w:bookmarkStart w:id="1773" w:name="_Toc38438451"/>
      <w:bookmarkStart w:id="1774" w:name="_Toc38438788"/>
      <w:bookmarkStart w:id="1775" w:name="_Toc38439125"/>
      <w:bookmarkStart w:id="1776" w:name="_Toc38439462"/>
      <w:bookmarkStart w:id="1777" w:name="_Toc38439799"/>
      <w:bookmarkStart w:id="1778" w:name="_Toc38440136"/>
      <w:bookmarkStart w:id="1779" w:name="_Toc38440473"/>
      <w:bookmarkStart w:id="1780" w:name="_Toc38441005"/>
      <w:bookmarkStart w:id="1781" w:name="_Toc38441337"/>
      <w:bookmarkStart w:id="1782" w:name="_Toc38441669"/>
      <w:bookmarkStart w:id="1783" w:name="_Toc38441997"/>
      <w:bookmarkStart w:id="1784" w:name="_Toc38442329"/>
      <w:bookmarkStart w:id="1785" w:name="_Toc38442661"/>
      <w:bookmarkStart w:id="1786" w:name="_Toc38442992"/>
      <w:bookmarkStart w:id="1787" w:name="_Toc38443323"/>
      <w:bookmarkStart w:id="1788" w:name="_Toc38443654"/>
      <w:bookmarkStart w:id="1789" w:name="_Toc38443984"/>
      <w:bookmarkStart w:id="1790" w:name="_Toc38438452"/>
      <w:bookmarkStart w:id="1791" w:name="_Toc38438789"/>
      <w:bookmarkStart w:id="1792" w:name="_Toc38439126"/>
      <w:bookmarkStart w:id="1793" w:name="_Toc38439463"/>
      <w:bookmarkStart w:id="1794" w:name="_Toc38439800"/>
      <w:bookmarkStart w:id="1795" w:name="_Toc38440137"/>
      <w:bookmarkStart w:id="1796" w:name="_Toc38440474"/>
      <w:bookmarkStart w:id="1797" w:name="_Toc38441006"/>
      <w:bookmarkStart w:id="1798" w:name="_Toc38441338"/>
      <w:bookmarkStart w:id="1799" w:name="_Toc38441670"/>
      <w:bookmarkStart w:id="1800" w:name="_Toc38441998"/>
      <w:bookmarkStart w:id="1801" w:name="_Toc38442330"/>
      <w:bookmarkStart w:id="1802" w:name="_Toc38442662"/>
      <w:bookmarkStart w:id="1803" w:name="_Toc38442993"/>
      <w:bookmarkStart w:id="1804" w:name="_Toc38443324"/>
      <w:bookmarkStart w:id="1805" w:name="_Toc38443655"/>
      <w:bookmarkStart w:id="1806" w:name="_Toc38443985"/>
      <w:bookmarkStart w:id="1807" w:name="_Toc38438453"/>
      <w:bookmarkStart w:id="1808" w:name="_Toc38438790"/>
      <w:bookmarkStart w:id="1809" w:name="_Toc38439127"/>
      <w:bookmarkStart w:id="1810" w:name="_Toc38439464"/>
      <w:bookmarkStart w:id="1811" w:name="_Toc38439801"/>
      <w:bookmarkStart w:id="1812" w:name="_Toc38440138"/>
      <w:bookmarkStart w:id="1813" w:name="_Toc38440475"/>
      <w:bookmarkStart w:id="1814" w:name="_Toc38441007"/>
      <w:bookmarkStart w:id="1815" w:name="_Toc38441339"/>
      <w:bookmarkStart w:id="1816" w:name="_Toc38441671"/>
      <w:bookmarkStart w:id="1817" w:name="_Toc38441999"/>
      <w:bookmarkStart w:id="1818" w:name="_Toc38442331"/>
      <w:bookmarkStart w:id="1819" w:name="_Toc38442663"/>
      <w:bookmarkStart w:id="1820" w:name="_Toc38442994"/>
      <w:bookmarkStart w:id="1821" w:name="_Toc38443325"/>
      <w:bookmarkStart w:id="1822" w:name="_Toc38443656"/>
      <w:bookmarkStart w:id="1823" w:name="_Toc38443986"/>
      <w:bookmarkStart w:id="1824" w:name="_Toc38438454"/>
      <w:bookmarkStart w:id="1825" w:name="_Toc38438791"/>
      <w:bookmarkStart w:id="1826" w:name="_Toc38439128"/>
      <w:bookmarkStart w:id="1827" w:name="_Toc38439465"/>
      <w:bookmarkStart w:id="1828" w:name="_Toc38439802"/>
      <w:bookmarkStart w:id="1829" w:name="_Toc38440139"/>
      <w:bookmarkStart w:id="1830" w:name="_Toc38440476"/>
      <w:bookmarkStart w:id="1831" w:name="_Toc38441008"/>
      <w:bookmarkStart w:id="1832" w:name="_Toc38441340"/>
      <w:bookmarkStart w:id="1833" w:name="_Toc38441672"/>
      <w:bookmarkStart w:id="1834" w:name="_Toc38442000"/>
      <w:bookmarkStart w:id="1835" w:name="_Toc38442332"/>
      <w:bookmarkStart w:id="1836" w:name="_Toc38442664"/>
      <w:bookmarkStart w:id="1837" w:name="_Toc38442995"/>
      <w:bookmarkStart w:id="1838" w:name="_Toc38443326"/>
      <w:bookmarkStart w:id="1839" w:name="_Toc38443657"/>
      <w:bookmarkStart w:id="1840" w:name="_Toc38443987"/>
      <w:bookmarkStart w:id="1841" w:name="_Toc38438455"/>
      <w:bookmarkStart w:id="1842" w:name="_Toc38438792"/>
      <w:bookmarkStart w:id="1843" w:name="_Toc38439129"/>
      <w:bookmarkStart w:id="1844" w:name="_Toc38439466"/>
      <w:bookmarkStart w:id="1845" w:name="_Toc38439803"/>
      <w:bookmarkStart w:id="1846" w:name="_Toc38440140"/>
      <w:bookmarkStart w:id="1847" w:name="_Toc38440477"/>
      <w:bookmarkStart w:id="1848" w:name="_Toc38441009"/>
      <w:bookmarkStart w:id="1849" w:name="_Toc38441341"/>
      <w:bookmarkStart w:id="1850" w:name="_Toc38441673"/>
      <w:bookmarkStart w:id="1851" w:name="_Toc38442001"/>
      <w:bookmarkStart w:id="1852" w:name="_Toc38442333"/>
      <w:bookmarkStart w:id="1853" w:name="_Toc38442665"/>
      <w:bookmarkStart w:id="1854" w:name="_Toc38442996"/>
      <w:bookmarkStart w:id="1855" w:name="_Toc38443327"/>
      <w:bookmarkStart w:id="1856" w:name="_Toc38443658"/>
      <w:bookmarkStart w:id="1857" w:name="_Toc38443988"/>
      <w:bookmarkStart w:id="1858" w:name="_Toc38438456"/>
      <w:bookmarkStart w:id="1859" w:name="_Toc38438793"/>
      <w:bookmarkStart w:id="1860" w:name="_Toc38439130"/>
      <w:bookmarkStart w:id="1861" w:name="_Toc38439467"/>
      <w:bookmarkStart w:id="1862" w:name="_Toc38439804"/>
      <w:bookmarkStart w:id="1863" w:name="_Toc38440141"/>
      <w:bookmarkStart w:id="1864" w:name="_Toc38440478"/>
      <w:bookmarkStart w:id="1865" w:name="_Toc38441010"/>
      <w:bookmarkStart w:id="1866" w:name="_Toc38441342"/>
      <w:bookmarkStart w:id="1867" w:name="_Toc38441674"/>
      <w:bookmarkStart w:id="1868" w:name="_Toc38442002"/>
      <w:bookmarkStart w:id="1869" w:name="_Toc38442334"/>
      <w:bookmarkStart w:id="1870" w:name="_Toc38442666"/>
      <w:bookmarkStart w:id="1871" w:name="_Toc38442997"/>
      <w:bookmarkStart w:id="1872" w:name="_Toc38443328"/>
      <w:bookmarkStart w:id="1873" w:name="_Toc38443659"/>
      <w:bookmarkStart w:id="1874" w:name="_Toc38443989"/>
      <w:bookmarkStart w:id="1875" w:name="_Toc38438457"/>
      <w:bookmarkStart w:id="1876" w:name="_Toc38438794"/>
      <w:bookmarkStart w:id="1877" w:name="_Toc38439131"/>
      <w:bookmarkStart w:id="1878" w:name="_Toc38439468"/>
      <w:bookmarkStart w:id="1879" w:name="_Toc38439805"/>
      <w:bookmarkStart w:id="1880" w:name="_Toc38440142"/>
      <w:bookmarkStart w:id="1881" w:name="_Toc38440479"/>
      <w:bookmarkStart w:id="1882" w:name="_Toc38441011"/>
      <w:bookmarkStart w:id="1883" w:name="_Toc38441343"/>
      <w:bookmarkStart w:id="1884" w:name="_Toc38441675"/>
      <w:bookmarkStart w:id="1885" w:name="_Toc38442003"/>
      <w:bookmarkStart w:id="1886" w:name="_Toc38442335"/>
      <w:bookmarkStart w:id="1887" w:name="_Toc38442667"/>
      <w:bookmarkStart w:id="1888" w:name="_Toc38442998"/>
      <w:bookmarkStart w:id="1889" w:name="_Toc38443329"/>
      <w:bookmarkStart w:id="1890" w:name="_Toc38443660"/>
      <w:bookmarkStart w:id="1891" w:name="_Toc38443990"/>
      <w:bookmarkStart w:id="1892" w:name="_Toc38438458"/>
      <w:bookmarkStart w:id="1893" w:name="_Toc38438795"/>
      <w:bookmarkStart w:id="1894" w:name="_Toc38439132"/>
      <w:bookmarkStart w:id="1895" w:name="_Toc38439469"/>
      <w:bookmarkStart w:id="1896" w:name="_Toc38439806"/>
      <w:bookmarkStart w:id="1897" w:name="_Toc38440143"/>
      <w:bookmarkStart w:id="1898" w:name="_Toc38440480"/>
      <w:bookmarkStart w:id="1899" w:name="_Toc38441012"/>
      <w:bookmarkStart w:id="1900" w:name="_Toc38441344"/>
      <w:bookmarkStart w:id="1901" w:name="_Toc38441676"/>
      <w:bookmarkStart w:id="1902" w:name="_Toc38442004"/>
      <w:bookmarkStart w:id="1903" w:name="_Toc38442336"/>
      <w:bookmarkStart w:id="1904" w:name="_Toc38442668"/>
      <w:bookmarkStart w:id="1905" w:name="_Toc38442999"/>
      <w:bookmarkStart w:id="1906" w:name="_Toc38443330"/>
      <w:bookmarkStart w:id="1907" w:name="_Toc38443661"/>
      <w:bookmarkStart w:id="1908" w:name="_Toc3844399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sectPr w:rsidR="00BA4B87" w:rsidRPr="001B5B45" w:rsidSect="00991555">
      <w:pgSz w:w="11906" w:h="16838" w:code="9"/>
      <w:pgMar w:top="1440" w:right="1803" w:bottom="1440" w:left="1803"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1F" w:rsidRDefault="00D6041F"/>
    <w:p w:rsidR="00D6041F" w:rsidRDefault="00D6041F"/>
  </w:endnote>
  <w:endnote w:type="continuationSeparator" w:id="0">
    <w:p w:rsidR="00D6041F" w:rsidRDefault="00D6041F"/>
    <w:p w:rsidR="00D6041F" w:rsidRDefault="00D6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rsidP="00B17F70">
    <w:pPr>
      <w:pStyle w:val="a9"/>
      <w:ind w:firstLine="360"/>
      <w:jc w:val="center"/>
    </w:pPr>
  </w:p>
  <w:p w:rsidR="0070277F" w:rsidRPr="00391CB3" w:rsidRDefault="0070277F" w:rsidP="00391CB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964704"/>
      <w:docPartObj>
        <w:docPartGallery w:val="Page Numbers (Bottom of Page)"/>
        <w:docPartUnique/>
      </w:docPartObj>
    </w:sdtPr>
    <w:sdtContent>
      <w:p w:rsidR="0070277F" w:rsidRDefault="0070277F" w:rsidP="00723D30">
        <w:pPr>
          <w:pStyle w:val="a9"/>
          <w:ind w:firstLine="360"/>
          <w:jc w:val="center"/>
        </w:pPr>
        <w:r>
          <w:fldChar w:fldCharType="begin"/>
        </w:r>
        <w:r>
          <w:instrText>PAGE   \* MERGEFORMAT</w:instrText>
        </w:r>
        <w:r>
          <w:fldChar w:fldCharType="separate"/>
        </w:r>
        <w:r w:rsidR="001B5B45" w:rsidRPr="001B5B45">
          <w:rPr>
            <w:noProof/>
            <w:lang w:val="zh-CN"/>
          </w:rPr>
          <w:t>I</w:t>
        </w:r>
        <w:r>
          <w:fldChar w:fldCharType="end"/>
        </w:r>
      </w:p>
    </w:sdtContent>
  </w:sdt>
  <w:p w:rsidR="0070277F" w:rsidRPr="00391CB3" w:rsidRDefault="0070277F" w:rsidP="00391CB3">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3362"/>
      <w:docPartObj>
        <w:docPartGallery w:val="Page Numbers (Bottom of Page)"/>
        <w:docPartUnique/>
      </w:docPartObj>
    </w:sdtPr>
    <w:sdtContent>
      <w:p w:rsidR="0070277F" w:rsidRDefault="0070277F" w:rsidP="00723D30">
        <w:pPr>
          <w:pStyle w:val="a9"/>
          <w:ind w:firstLine="360"/>
          <w:jc w:val="center"/>
        </w:pPr>
        <w:r>
          <w:fldChar w:fldCharType="begin"/>
        </w:r>
        <w:r>
          <w:instrText>PAGE   \* MERGEFORMAT</w:instrText>
        </w:r>
        <w:r>
          <w:fldChar w:fldCharType="separate"/>
        </w:r>
        <w:r w:rsidR="001B5B45" w:rsidRPr="001B5B45">
          <w:rPr>
            <w:noProof/>
            <w:lang w:val="zh-CN"/>
          </w:rPr>
          <w:t>1</w:t>
        </w:r>
        <w:r>
          <w:fldChar w:fldCharType="end"/>
        </w:r>
      </w:p>
    </w:sdtContent>
  </w:sdt>
  <w:p w:rsidR="0070277F" w:rsidRPr="00391CB3" w:rsidRDefault="0070277F" w:rsidP="00391CB3">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1F" w:rsidRDefault="00D6041F"/>
    <w:p w:rsidR="00D6041F" w:rsidRDefault="00D6041F"/>
  </w:footnote>
  <w:footnote w:type="continuationSeparator" w:id="0">
    <w:p w:rsidR="00D6041F" w:rsidRDefault="00D6041F"/>
    <w:p w:rsidR="00D6041F" w:rsidRDefault="00D60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rsidP="0083371B">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7F" w:rsidRDefault="0070277F">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A"/>
    <w:multiLevelType w:val="singleLevel"/>
    <w:tmpl w:val="0000000A"/>
    <w:lvl w:ilvl="0">
      <w:start w:val="4"/>
      <w:numFmt w:val="chineseCounting"/>
      <w:suff w:val="nothing"/>
      <w:lvlText w:val="%1、"/>
      <w:lvlJc w:val="left"/>
    </w:lvl>
  </w:abstractNum>
  <w:abstractNum w:abstractNumId="11"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2"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4"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7"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1"/>
  </w:num>
  <w:num w:numId="2">
    <w:abstractNumId w:val="14"/>
  </w:num>
  <w:num w:numId="3">
    <w:abstractNumId w:val="23"/>
  </w:num>
  <w:num w:numId="4">
    <w:abstractNumId w:val="16"/>
  </w:num>
  <w:num w:numId="5">
    <w:abstractNumId w:val="25"/>
  </w:num>
  <w:num w:numId="6">
    <w:abstractNumId w:val="38"/>
  </w:num>
  <w:num w:numId="7">
    <w:abstractNumId w:val="26"/>
  </w:num>
  <w:num w:numId="8">
    <w:abstractNumId w:val="18"/>
  </w:num>
  <w:num w:numId="9">
    <w:abstractNumId w:val="32"/>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6"/>
  </w:num>
  <w:num w:numId="22">
    <w:abstractNumId w:val="22"/>
  </w:num>
  <w:num w:numId="23">
    <w:abstractNumId w:val="19"/>
  </w:num>
  <w:num w:numId="24">
    <w:abstractNumId w:val="46"/>
  </w:num>
  <w:num w:numId="25">
    <w:abstractNumId w:val="15"/>
  </w:num>
  <w:num w:numId="26">
    <w:abstractNumId w:val="41"/>
  </w:num>
  <w:num w:numId="27">
    <w:abstractNumId w:val="30"/>
  </w:num>
  <w:num w:numId="28">
    <w:abstractNumId w:val="29"/>
  </w:num>
  <w:num w:numId="29">
    <w:abstractNumId w:val="17"/>
  </w:num>
  <w:num w:numId="30">
    <w:abstractNumId w:val="43"/>
  </w:num>
  <w:num w:numId="31">
    <w:abstractNumId w:val="13"/>
  </w:num>
  <w:num w:numId="32">
    <w:abstractNumId w:val="27"/>
  </w:num>
  <w:num w:numId="33">
    <w:abstractNumId w:val="12"/>
  </w:num>
  <w:num w:numId="34">
    <w:abstractNumId w:val="47"/>
  </w:num>
  <w:num w:numId="35">
    <w:abstractNumId w:val="40"/>
  </w:num>
  <w:num w:numId="36">
    <w:abstractNumId w:val="34"/>
  </w:num>
  <w:num w:numId="37">
    <w:abstractNumId w:val="37"/>
  </w:num>
  <w:num w:numId="38">
    <w:abstractNumId w:val="33"/>
  </w:num>
  <w:num w:numId="39">
    <w:abstractNumId w:val="39"/>
  </w:num>
  <w:num w:numId="40">
    <w:abstractNumId w:val="35"/>
  </w:num>
  <w:num w:numId="41">
    <w:abstractNumId w:val="42"/>
  </w:num>
  <w:num w:numId="42">
    <w:abstractNumId w:val="20"/>
  </w:num>
  <w:num w:numId="43">
    <w:abstractNumId w:val="31"/>
  </w:num>
  <w:num w:numId="44">
    <w:abstractNumId w:val="45"/>
  </w:num>
  <w:num w:numId="45">
    <w:abstractNumId w:val="21"/>
  </w:num>
  <w:num w:numId="46">
    <w:abstractNumId w:val="28"/>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09F5"/>
    <w:rsid w:val="00000C38"/>
    <w:rsid w:val="00001694"/>
    <w:rsid w:val="00002696"/>
    <w:rsid w:val="000026E0"/>
    <w:rsid w:val="00002865"/>
    <w:rsid w:val="00002E36"/>
    <w:rsid w:val="00003C24"/>
    <w:rsid w:val="00003E6C"/>
    <w:rsid w:val="000059BE"/>
    <w:rsid w:val="000064C6"/>
    <w:rsid w:val="00006C96"/>
    <w:rsid w:val="00010869"/>
    <w:rsid w:val="00010950"/>
    <w:rsid w:val="00010BE3"/>
    <w:rsid w:val="000123D9"/>
    <w:rsid w:val="000123E6"/>
    <w:rsid w:val="0001419E"/>
    <w:rsid w:val="0001716B"/>
    <w:rsid w:val="000174AA"/>
    <w:rsid w:val="00017DA2"/>
    <w:rsid w:val="00020503"/>
    <w:rsid w:val="00020907"/>
    <w:rsid w:val="00021D40"/>
    <w:rsid w:val="000223BB"/>
    <w:rsid w:val="00022523"/>
    <w:rsid w:val="00023038"/>
    <w:rsid w:val="000234A0"/>
    <w:rsid w:val="00023B6D"/>
    <w:rsid w:val="00025C20"/>
    <w:rsid w:val="00026705"/>
    <w:rsid w:val="00027992"/>
    <w:rsid w:val="00030AA1"/>
    <w:rsid w:val="00030EFE"/>
    <w:rsid w:val="00031D27"/>
    <w:rsid w:val="00031D6F"/>
    <w:rsid w:val="00031E7D"/>
    <w:rsid w:val="000335F6"/>
    <w:rsid w:val="00034445"/>
    <w:rsid w:val="00036C46"/>
    <w:rsid w:val="000375DA"/>
    <w:rsid w:val="000376B4"/>
    <w:rsid w:val="000432F2"/>
    <w:rsid w:val="00043C5D"/>
    <w:rsid w:val="00044EFB"/>
    <w:rsid w:val="000467C2"/>
    <w:rsid w:val="00046A2F"/>
    <w:rsid w:val="00046AE8"/>
    <w:rsid w:val="00047342"/>
    <w:rsid w:val="000503C6"/>
    <w:rsid w:val="0005219D"/>
    <w:rsid w:val="00052320"/>
    <w:rsid w:val="00052C9F"/>
    <w:rsid w:val="00053030"/>
    <w:rsid w:val="00053E4C"/>
    <w:rsid w:val="0005478E"/>
    <w:rsid w:val="00054D80"/>
    <w:rsid w:val="00055032"/>
    <w:rsid w:val="000553C5"/>
    <w:rsid w:val="00055654"/>
    <w:rsid w:val="000579E2"/>
    <w:rsid w:val="000602D3"/>
    <w:rsid w:val="000603E7"/>
    <w:rsid w:val="00060771"/>
    <w:rsid w:val="00061A4B"/>
    <w:rsid w:val="00062004"/>
    <w:rsid w:val="0006260C"/>
    <w:rsid w:val="00062629"/>
    <w:rsid w:val="000631C2"/>
    <w:rsid w:val="00063A03"/>
    <w:rsid w:val="0006546A"/>
    <w:rsid w:val="000658E9"/>
    <w:rsid w:val="0006600C"/>
    <w:rsid w:val="00066D91"/>
    <w:rsid w:val="0006753C"/>
    <w:rsid w:val="00067E66"/>
    <w:rsid w:val="00070309"/>
    <w:rsid w:val="000743BB"/>
    <w:rsid w:val="0007451B"/>
    <w:rsid w:val="00074579"/>
    <w:rsid w:val="00074F77"/>
    <w:rsid w:val="000751D7"/>
    <w:rsid w:val="000754B6"/>
    <w:rsid w:val="00075BFD"/>
    <w:rsid w:val="00075DC4"/>
    <w:rsid w:val="00076E39"/>
    <w:rsid w:val="00077BD0"/>
    <w:rsid w:val="00080A4A"/>
    <w:rsid w:val="0008426E"/>
    <w:rsid w:val="00084A0F"/>
    <w:rsid w:val="00084FF4"/>
    <w:rsid w:val="00085404"/>
    <w:rsid w:val="00085634"/>
    <w:rsid w:val="000878D9"/>
    <w:rsid w:val="00087C08"/>
    <w:rsid w:val="000900B4"/>
    <w:rsid w:val="00090469"/>
    <w:rsid w:val="00090BF0"/>
    <w:rsid w:val="00093518"/>
    <w:rsid w:val="0009363C"/>
    <w:rsid w:val="000949B9"/>
    <w:rsid w:val="000A0A05"/>
    <w:rsid w:val="000A1967"/>
    <w:rsid w:val="000A20AD"/>
    <w:rsid w:val="000A2307"/>
    <w:rsid w:val="000A26DC"/>
    <w:rsid w:val="000A34E2"/>
    <w:rsid w:val="000A4424"/>
    <w:rsid w:val="000A53A4"/>
    <w:rsid w:val="000A55CC"/>
    <w:rsid w:val="000A579A"/>
    <w:rsid w:val="000A63A1"/>
    <w:rsid w:val="000A7C2A"/>
    <w:rsid w:val="000B0B17"/>
    <w:rsid w:val="000B2DD6"/>
    <w:rsid w:val="000B46DC"/>
    <w:rsid w:val="000B4ECC"/>
    <w:rsid w:val="000B5344"/>
    <w:rsid w:val="000B7E9F"/>
    <w:rsid w:val="000C0730"/>
    <w:rsid w:val="000C0DAA"/>
    <w:rsid w:val="000C1A80"/>
    <w:rsid w:val="000C2D98"/>
    <w:rsid w:val="000C32FA"/>
    <w:rsid w:val="000C3945"/>
    <w:rsid w:val="000C5050"/>
    <w:rsid w:val="000C5135"/>
    <w:rsid w:val="000C5D7F"/>
    <w:rsid w:val="000C6D5F"/>
    <w:rsid w:val="000D1888"/>
    <w:rsid w:val="000D3ADE"/>
    <w:rsid w:val="000D3DAB"/>
    <w:rsid w:val="000D4DF8"/>
    <w:rsid w:val="000D57B6"/>
    <w:rsid w:val="000D6139"/>
    <w:rsid w:val="000D7E67"/>
    <w:rsid w:val="000E0719"/>
    <w:rsid w:val="000E1148"/>
    <w:rsid w:val="000E1757"/>
    <w:rsid w:val="000E197D"/>
    <w:rsid w:val="000E23C6"/>
    <w:rsid w:val="000E2BA4"/>
    <w:rsid w:val="000E2F9E"/>
    <w:rsid w:val="000E39F0"/>
    <w:rsid w:val="000E464D"/>
    <w:rsid w:val="000E46D7"/>
    <w:rsid w:val="000E5076"/>
    <w:rsid w:val="000E61BA"/>
    <w:rsid w:val="000E6D1C"/>
    <w:rsid w:val="000E6F15"/>
    <w:rsid w:val="000E7413"/>
    <w:rsid w:val="000F1803"/>
    <w:rsid w:val="000F217C"/>
    <w:rsid w:val="000F2807"/>
    <w:rsid w:val="000F2C37"/>
    <w:rsid w:val="000F3DCD"/>
    <w:rsid w:val="000F50EC"/>
    <w:rsid w:val="000F5558"/>
    <w:rsid w:val="000F595F"/>
    <w:rsid w:val="000F6E21"/>
    <w:rsid w:val="000F74E9"/>
    <w:rsid w:val="000F79C6"/>
    <w:rsid w:val="000F7CC0"/>
    <w:rsid w:val="000F7D19"/>
    <w:rsid w:val="00101ABE"/>
    <w:rsid w:val="001029BF"/>
    <w:rsid w:val="00103317"/>
    <w:rsid w:val="00103C99"/>
    <w:rsid w:val="00104072"/>
    <w:rsid w:val="00104270"/>
    <w:rsid w:val="00104621"/>
    <w:rsid w:val="00105DA3"/>
    <w:rsid w:val="0010655B"/>
    <w:rsid w:val="0010689F"/>
    <w:rsid w:val="001075C2"/>
    <w:rsid w:val="00107B08"/>
    <w:rsid w:val="00107E28"/>
    <w:rsid w:val="0011071E"/>
    <w:rsid w:val="0011115D"/>
    <w:rsid w:val="001111DA"/>
    <w:rsid w:val="0011137D"/>
    <w:rsid w:val="00111483"/>
    <w:rsid w:val="00111550"/>
    <w:rsid w:val="00112630"/>
    <w:rsid w:val="001127C7"/>
    <w:rsid w:val="001138AD"/>
    <w:rsid w:val="00114CB9"/>
    <w:rsid w:val="00115ED5"/>
    <w:rsid w:val="001162DC"/>
    <w:rsid w:val="001175C0"/>
    <w:rsid w:val="001176C5"/>
    <w:rsid w:val="001177E6"/>
    <w:rsid w:val="00117AF6"/>
    <w:rsid w:val="001200B4"/>
    <w:rsid w:val="00120226"/>
    <w:rsid w:val="00121AB8"/>
    <w:rsid w:val="00125258"/>
    <w:rsid w:val="001260F5"/>
    <w:rsid w:val="001265F5"/>
    <w:rsid w:val="001273F1"/>
    <w:rsid w:val="001308D7"/>
    <w:rsid w:val="00130A00"/>
    <w:rsid w:val="00130E9A"/>
    <w:rsid w:val="001318DA"/>
    <w:rsid w:val="00132C86"/>
    <w:rsid w:val="00133009"/>
    <w:rsid w:val="0013422A"/>
    <w:rsid w:val="00135E76"/>
    <w:rsid w:val="00135EF2"/>
    <w:rsid w:val="001369FA"/>
    <w:rsid w:val="00136C04"/>
    <w:rsid w:val="00137B1B"/>
    <w:rsid w:val="00137C27"/>
    <w:rsid w:val="00137DAD"/>
    <w:rsid w:val="00140387"/>
    <w:rsid w:val="001404C8"/>
    <w:rsid w:val="00140905"/>
    <w:rsid w:val="0014103F"/>
    <w:rsid w:val="00141518"/>
    <w:rsid w:val="00141DBD"/>
    <w:rsid w:val="00142DCB"/>
    <w:rsid w:val="00143612"/>
    <w:rsid w:val="001441C7"/>
    <w:rsid w:val="001461B1"/>
    <w:rsid w:val="00146C0A"/>
    <w:rsid w:val="0014722D"/>
    <w:rsid w:val="001474BD"/>
    <w:rsid w:val="00147A68"/>
    <w:rsid w:val="00147EFD"/>
    <w:rsid w:val="0015192A"/>
    <w:rsid w:val="00154D25"/>
    <w:rsid w:val="00154FCA"/>
    <w:rsid w:val="00155475"/>
    <w:rsid w:val="00157CDF"/>
    <w:rsid w:val="00157F52"/>
    <w:rsid w:val="00157F9D"/>
    <w:rsid w:val="001611D1"/>
    <w:rsid w:val="00161329"/>
    <w:rsid w:val="001616AD"/>
    <w:rsid w:val="00161887"/>
    <w:rsid w:val="001618F9"/>
    <w:rsid w:val="00161CFC"/>
    <w:rsid w:val="0016274E"/>
    <w:rsid w:val="00162EEB"/>
    <w:rsid w:val="00163296"/>
    <w:rsid w:val="0016332A"/>
    <w:rsid w:val="001634D6"/>
    <w:rsid w:val="00163592"/>
    <w:rsid w:val="0016381A"/>
    <w:rsid w:val="00163C31"/>
    <w:rsid w:val="00164C1E"/>
    <w:rsid w:val="00164DEB"/>
    <w:rsid w:val="00164EE8"/>
    <w:rsid w:val="00165927"/>
    <w:rsid w:val="001678FB"/>
    <w:rsid w:val="0017025E"/>
    <w:rsid w:val="001711A1"/>
    <w:rsid w:val="00172767"/>
    <w:rsid w:val="0017289D"/>
    <w:rsid w:val="001735E3"/>
    <w:rsid w:val="00175112"/>
    <w:rsid w:val="00175BD6"/>
    <w:rsid w:val="001769C4"/>
    <w:rsid w:val="00177EF8"/>
    <w:rsid w:val="00181D5A"/>
    <w:rsid w:val="001832FF"/>
    <w:rsid w:val="00184282"/>
    <w:rsid w:val="00184DA2"/>
    <w:rsid w:val="00184EE9"/>
    <w:rsid w:val="00184F77"/>
    <w:rsid w:val="0018555E"/>
    <w:rsid w:val="001856A1"/>
    <w:rsid w:val="0018590F"/>
    <w:rsid w:val="00185994"/>
    <w:rsid w:val="001864CA"/>
    <w:rsid w:val="00186C6C"/>
    <w:rsid w:val="00187C2E"/>
    <w:rsid w:val="00192A21"/>
    <w:rsid w:val="00192FAC"/>
    <w:rsid w:val="001930AD"/>
    <w:rsid w:val="00193187"/>
    <w:rsid w:val="00194665"/>
    <w:rsid w:val="0019491D"/>
    <w:rsid w:val="00194A61"/>
    <w:rsid w:val="00194C12"/>
    <w:rsid w:val="0019543C"/>
    <w:rsid w:val="0019706E"/>
    <w:rsid w:val="001977D2"/>
    <w:rsid w:val="0019799A"/>
    <w:rsid w:val="00197EF8"/>
    <w:rsid w:val="001A1688"/>
    <w:rsid w:val="001A22B1"/>
    <w:rsid w:val="001A2699"/>
    <w:rsid w:val="001A3931"/>
    <w:rsid w:val="001A483B"/>
    <w:rsid w:val="001A5992"/>
    <w:rsid w:val="001A599B"/>
    <w:rsid w:val="001A6348"/>
    <w:rsid w:val="001A6661"/>
    <w:rsid w:val="001A7757"/>
    <w:rsid w:val="001B1385"/>
    <w:rsid w:val="001B18F3"/>
    <w:rsid w:val="001B1C0C"/>
    <w:rsid w:val="001B2270"/>
    <w:rsid w:val="001B39DD"/>
    <w:rsid w:val="001B52A6"/>
    <w:rsid w:val="001B5B45"/>
    <w:rsid w:val="001B5D97"/>
    <w:rsid w:val="001B6DE2"/>
    <w:rsid w:val="001B71AC"/>
    <w:rsid w:val="001B754A"/>
    <w:rsid w:val="001B7A7F"/>
    <w:rsid w:val="001C049E"/>
    <w:rsid w:val="001C0676"/>
    <w:rsid w:val="001C1088"/>
    <w:rsid w:val="001C175C"/>
    <w:rsid w:val="001C1BB8"/>
    <w:rsid w:val="001C2258"/>
    <w:rsid w:val="001C2D6B"/>
    <w:rsid w:val="001C47F7"/>
    <w:rsid w:val="001C4D6F"/>
    <w:rsid w:val="001C54CA"/>
    <w:rsid w:val="001C555F"/>
    <w:rsid w:val="001C5A87"/>
    <w:rsid w:val="001C5C6E"/>
    <w:rsid w:val="001C5F3E"/>
    <w:rsid w:val="001C626A"/>
    <w:rsid w:val="001D047F"/>
    <w:rsid w:val="001D10FC"/>
    <w:rsid w:val="001D2766"/>
    <w:rsid w:val="001D2A4F"/>
    <w:rsid w:val="001D2AE6"/>
    <w:rsid w:val="001D3F31"/>
    <w:rsid w:val="001D4386"/>
    <w:rsid w:val="001D44E2"/>
    <w:rsid w:val="001D4770"/>
    <w:rsid w:val="001D4B9C"/>
    <w:rsid w:val="001D6645"/>
    <w:rsid w:val="001D676B"/>
    <w:rsid w:val="001D6D8B"/>
    <w:rsid w:val="001D7542"/>
    <w:rsid w:val="001D76FC"/>
    <w:rsid w:val="001E21EE"/>
    <w:rsid w:val="001E2C67"/>
    <w:rsid w:val="001E3849"/>
    <w:rsid w:val="001E49F5"/>
    <w:rsid w:val="001E4C2E"/>
    <w:rsid w:val="001E5840"/>
    <w:rsid w:val="001E5FFC"/>
    <w:rsid w:val="001E6198"/>
    <w:rsid w:val="001E6708"/>
    <w:rsid w:val="001E6AB4"/>
    <w:rsid w:val="001E7E40"/>
    <w:rsid w:val="001F12B2"/>
    <w:rsid w:val="001F3F96"/>
    <w:rsid w:val="001F46AD"/>
    <w:rsid w:val="001F51BD"/>
    <w:rsid w:val="001F59B1"/>
    <w:rsid w:val="001F7874"/>
    <w:rsid w:val="00200FA2"/>
    <w:rsid w:val="002010A5"/>
    <w:rsid w:val="00202CA0"/>
    <w:rsid w:val="002030F5"/>
    <w:rsid w:val="002034E4"/>
    <w:rsid w:val="0020350B"/>
    <w:rsid w:val="002039C9"/>
    <w:rsid w:val="00203E1F"/>
    <w:rsid w:val="00204E42"/>
    <w:rsid w:val="00205733"/>
    <w:rsid w:val="00205D7C"/>
    <w:rsid w:val="00206F26"/>
    <w:rsid w:val="00207A37"/>
    <w:rsid w:val="00210543"/>
    <w:rsid w:val="0021171D"/>
    <w:rsid w:val="0021184E"/>
    <w:rsid w:val="00212610"/>
    <w:rsid w:val="0021301E"/>
    <w:rsid w:val="0021302E"/>
    <w:rsid w:val="00213CB9"/>
    <w:rsid w:val="00214437"/>
    <w:rsid w:val="0021491A"/>
    <w:rsid w:val="00214A68"/>
    <w:rsid w:val="00215990"/>
    <w:rsid w:val="002167C7"/>
    <w:rsid w:val="00216C41"/>
    <w:rsid w:val="00217983"/>
    <w:rsid w:val="00220242"/>
    <w:rsid w:val="00220D0C"/>
    <w:rsid w:val="00220FA0"/>
    <w:rsid w:val="002213EA"/>
    <w:rsid w:val="002214F8"/>
    <w:rsid w:val="002221EE"/>
    <w:rsid w:val="00222A41"/>
    <w:rsid w:val="002233ED"/>
    <w:rsid w:val="00224477"/>
    <w:rsid w:val="0022545D"/>
    <w:rsid w:val="00225B09"/>
    <w:rsid w:val="00225CA1"/>
    <w:rsid w:val="00225DC8"/>
    <w:rsid w:val="00226D90"/>
    <w:rsid w:val="00227C8C"/>
    <w:rsid w:val="00232498"/>
    <w:rsid w:val="0023500E"/>
    <w:rsid w:val="00236C12"/>
    <w:rsid w:val="00240A4A"/>
    <w:rsid w:val="002429D0"/>
    <w:rsid w:val="00243308"/>
    <w:rsid w:val="0024354F"/>
    <w:rsid w:val="00244BC7"/>
    <w:rsid w:val="00244FEE"/>
    <w:rsid w:val="00245D63"/>
    <w:rsid w:val="00246735"/>
    <w:rsid w:val="002522C1"/>
    <w:rsid w:val="002536D4"/>
    <w:rsid w:val="0025451A"/>
    <w:rsid w:val="0025474D"/>
    <w:rsid w:val="00254814"/>
    <w:rsid w:val="00254B5E"/>
    <w:rsid w:val="00254F5B"/>
    <w:rsid w:val="00255427"/>
    <w:rsid w:val="002567AE"/>
    <w:rsid w:val="00256D0B"/>
    <w:rsid w:val="00257225"/>
    <w:rsid w:val="00257379"/>
    <w:rsid w:val="00260637"/>
    <w:rsid w:val="002607A0"/>
    <w:rsid w:val="0026172B"/>
    <w:rsid w:val="0026173F"/>
    <w:rsid w:val="00262C89"/>
    <w:rsid w:val="0026340B"/>
    <w:rsid w:val="00263C50"/>
    <w:rsid w:val="002641DD"/>
    <w:rsid w:val="00264DE5"/>
    <w:rsid w:val="0026526E"/>
    <w:rsid w:val="00265506"/>
    <w:rsid w:val="00265BF8"/>
    <w:rsid w:val="00266197"/>
    <w:rsid w:val="00266EA9"/>
    <w:rsid w:val="00270998"/>
    <w:rsid w:val="00271129"/>
    <w:rsid w:val="00271D34"/>
    <w:rsid w:val="0027317F"/>
    <w:rsid w:val="00273BF7"/>
    <w:rsid w:val="00273DB7"/>
    <w:rsid w:val="0027593E"/>
    <w:rsid w:val="00276939"/>
    <w:rsid w:val="0027774D"/>
    <w:rsid w:val="00277A71"/>
    <w:rsid w:val="00277E02"/>
    <w:rsid w:val="002839AA"/>
    <w:rsid w:val="00283D42"/>
    <w:rsid w:val="00284C03"/>
    <w:rsid w:val="0028530B"/>
    <w:rsid w:val="00285C23"/>
    <w:rsid w:val="00285D09"/>
    <w:rsid w:val="00286732"/>
    <w:rsid w:val="00286B28"/>
    <w:rsid w:val="00287884"/>
    <w:rsid w:val="0029195F"/>
    <w:rsid w:val="00294408"/>
    <w:rsid w:val="002945F3"/>
    <w:rsid w:val="00294DE8"/>
    <w:rsid w:val="00294E59"/>
    <w:rsid w:val="00295BF8"/>
    <w:rsid w:val="00295BFB"/>
    <w:rsid w:val="00295EFB"/>
    <w:rsid w:val="00295F5B"/>
    <w:rsid w:val="00296231"/>
    <w:rsid w:val="00296530"/>
    <w:rsid w:val="0029658E"/>
    <w:rsid w:val="002967FD"/>
    <w:rsid w:val="00296B7B"/>
    <w:rsid w:val="00296BBB"/>
    <w:rsid w:val="00297620"/>
    <w:rsid w:val="00297FCF"/>
    <w:rsid w:val="002A002C"/>
    <w:rsid w:val="002A0164"/>
    <w:rsid w:val="002A01E3"/>
    <w:rsid w:val="002A01EE"/>
    <w:rsid w:val="002A1A17"/>
    <w:rsid w:val="002A1D23"/>
    <w:rsid w:val="002A2D0D"/>
    <w:rsid w:val="002A31EB"/>
    <w:rsid w:val="002A3F28"/>
    <w:rsid w:val="002A42BE"/>
    <w:rsid w:val="002A4512"/>
    <w:rsid w:val="002A4882"/>
    <w:rsid w:val="002A4D62"/>
    <w:rsid w:val="002A6A03"/>
    <w:rsid w:val="002A6A89"/>
    <w:rsid w:val="002A6C6A"/>
    <w:rsid w:val="002A7144"/>
    <w:rsid w:val="002A7407"/>
    <w:rsid w:val="002A7B3A"/>
    <w:rsid w:val="002B115A"/>
    <w:rsid w:val="002B19B1"/>
    <w:rsid w:val="002B59D7"/>
    <w:rsid w:val="002B5DDF"/>
    <w:rsid w:val="002B6825"/>
    <w:rsid w:val="002B72FC"/>
    <w:rsid w:val="002B7567"/>
    <w:rsid w:val="002C1966"/>
    <w:rsid w:val="002C2A96"/>
    <w:rsid w:val="002C406A"/>
    <w:rsid w:val="002C4793"/>
    <w:rsid w:val="002C6AE9"/>
    <w:rsid w:val="002C731E"/>
    <w:rsid w:val="002C751B"/>
    <w:rsid w:val="002C7E57"/>
    <w:rsid w:val="002D0C0F"/>
    <w:rsid w:val="002D1535"/>
    <w:rsid w:val="002D2324"/>
    <w:rsid w:val="002D497A"/>
    <w:rsid w:val="002D4D63"/>
    <w:rsid w:val="002D4D6B"/>
    <w:rsid w:val="002D760F"/>
    <w:rsid w:val="002D7B92"/>
    <w:rsid w:val="002E0541"/>
    <w:rsid w:val="002E0E3F"/>
    <w:rsid w:val="002E1C38"/>
    <w:rsid w:val="002E23EA"/>
    <w:rsid w:val="002E2804"/>
    <w:rsid w:val="002E2EEC"/>
    <w:rsid w:val="002E37B0"/>
    <w:rsid w:val="002E3BD0"/>
    <w:rsid w:val="002E4490"/>
    <w:rsid w:val="002E44B0"/>
    <w:rsid w:val="002E483A"/>
    <w:rsid w:val="002E4B64"/>
    <w:rsid w:val="002E52B8"/>
    <w:rsid w:val="002E55B7"/>
    <w:rsid w:val="002E681B"/>
    <w:rsid w:val="002F042E"/>
    <w:rsid w:val="002F2C91"/>
    <w:rsid w:val="002F34A3"/>
    <w:rsid w:val="002F3648"/>
    <w:rsid w:val="002F3E13"/>
    <w:rsid w:val="002F4153"/>
    <w:rsid w:val="002F4363"/>
    <w:rsid w:val="002F4D82"/>
    <w:rsid w:val="002F54D4"/>
    <w:rsid w:val="002F62DA"/>
    <w:rsid w:val="002F6500"/>
    <w:rsid w:val="002F6B43"/>
    <w:rsid w:val="002F7481"/>
    <w:rsid w:val="00300A25"/>
    <w:rsid w:val="003015CC"/>
    <w:rsid w:val="00301930"/>
    <w:rsid w:val="003028F5"/>
    <w:rsid w:val="0030404A"/>
    <w:rsid w:val="00305674"/>
    <w:rsid w:val="003059D7"/>
    <w:rsid w:val="00310E26"/>
    <w:rsid w:val="00311045"/>
    <w:rsid w:val="00311114"/>
    <w:rsid w:val="003112AE"/>
    <w:rsid w:val="00311E99"/>
    <w:rsid w:val="003134A5"/>
    <w:rsid w:val="0031498B"/>
    <w:rsid w:val="00314F74"/>
    <w:rsid w:val="00316967"/>
    <w:rsid w:val="00317069"/>
    <w:rsid w:val="003173D1"/>
    <w:rsid w:val="0031746F"/>
    <w:rsid w:val="003174D4"/>
    <w:rsid w:val="003176F2"/>
    <w:rsid w:val="00317FD7"/>
    <w:rsid w:val="00321BD0"/>
    <w:rsid w:val="0032292F"/>
    <w:rsid w:val="00323AB9"/>
    <w:rsid w:val="0032452F"/>
    <w:rsid w:val="00324612"/>
    <w:rsid w:val="0032513B"/>
    <w:rsid w:val="00325E94"/>
    <w:rsid w:val="00325FE6"/>
    <w:rsid w:val="003261CF"/>
    <w:rsid w:val="00326CD2"/>
    <w:rsid w:val="003273AD"/>
    <w:rsid w:val="00327B53"/>
    <w:rsid w:val="00330CCD"/>
    <w:rsid w:val="00330E4A"/>
    <w:rsid w:val="00331853"/>
    <w:rsid w:val="00335663"/>
    <w:rsid w:val="00335929"/>
    <w:rsid w:val="00336FF7"/>
    <w:rsid w:val="00337CDE"/>
    <w:rsid w:val="00340785"/>
    <w:rsid w:val="00341586"/>
    <w:rsid w:val="003416A9"/>
    <w:rsid w:val="00341F1D"/>
    <w:rsid w:val="003438A8"/>
    <w:rsid w:val="00346008"/>
    <w:rsid w:val="00347113"/>
    <w:rsid w:val="003478B3"/>
    <w:rsid w:val="003513E8"/>
    <w:rsid w:val="003527CA"/>
    <w:rsid w:val="00353734"/>
    <w:rsid w:val="003541F9"/>
    <w:rsid w:val="003546C2"/>
    <w:rsid w:val="0035575C"/>
    <w:rsid w:val="00356DC1"/>
    <w:rsid w:val="00357E23"/>
    <w:rsid w:val="00360A83"/>
    <w:rsid w:val="003615CA"/>
    <w:rsid w:val="00361ABE"/>
    <w:rsid w:val="00362EB6"/>
    <w:rsid w:val="003641B1"/>
    <w:rsid w:val="003642CC"/>
    <w:rsid w:val="00364B7A"/>
    <w:rsid w:val="00364C92"/>
    <w:rsid w:val="003650BE"/>
    <w:rsid w:val="003656D0"/>
    <w:rsid w:val="003657BA"/>
    <w:rsid w:val="0036656D"/>
    <w:rsid w:val="00366CF1"/>
    <w:rsid w:val="003673DB"/>
    <w:rsid w:val="00367E73"/>
    <w:rsid w:val="003712D8"/>
    <w:rsid w:val="003713F0"/>
    <w:rsid w:val="00371919"/>
    <w:rsid w:val="00372583"/>
    <w:rsid w:val="00372CAE"/>
    <w:rsid w:val="00373415"/>
    <w:rsid w:val="00373CD1"/>
    <w:rsid w:val="0037563B"/>
    <w:rsid w:val="003758D9"/>
    <w:rsid w:val="00377E71"/>
    <w:rsid w:val="0038042C"/>
    <w:rsid w:val="00381D1E"/>
    <w:rsid w:val="00381E28"/>
    <w:rsid w:val="00382110"/>
    <w:rsid w:val="003829BD"/>
    <w:rsid w:val="00384BF7"/>
    <w:rsid w:val="003856F5"/>
    <w:rsid w:val="00385BC4"/>
    <w:rsid w:val="00385D84"/>
    <w:rsid w:val="003875A4"/>
    <w:rsid w:val="00391B65"/>
    <w:rsid w:val="00391B71"/>
    <w:rsid w:val="00391CB3"/>
    <w:rsid w:val="0039284A"/>
    <w:rsid w:val="0039359A"/>
    <w:rsid w:val="0039465D"/>
    <w:rsid w:val="00394AF4"/>
    <w:rsid w:val="00395363"/>
    <w:rsid w:val="0039579C"/>
    <w:rsid w:val="003957A6"/>
    <w:rsid w:val="003975FE"/>
    <w:rsid w:val="00397E25"/>
    <w:rsid w:val="003A0590"/>
    <w:rsid w:val="003A28A8"/>
    <w:rsid w:val="003A3225"/>
    <w:rsid w:val="003A33BB"/>
    <w:rsid w:val="003A38EE"/>
    <w:rsid w:val="003A5BD2"/>
    <w:rsid w:val="003A5F2C"/>
    <w:rsid w:val="003A6005"/>
    <w:rsid w:val="003A6E49"/>
    <w:rsid w:val="003A729D"/>
    <w:rsid w:val="003A7D4D"/>
    <w:rsid w:val="003B25BA"/>
    <w:rsid w:val="003B2791"/>
    <w:rsid w:val="003B2BFC"/>
    <w:rsid w:val="003B31D8"/>
    <w:rsid w:val="003B3BF6"/>
    <w:rsid w:val="003B3D18"/>
    <w:rsid w:val="003B477C"/>
    <w:rsid w:val="003B48EE"/>
    <w:rsid w:val="003B4F01"/>
    <w:rsid w:val="003B529B"/>
    <w:rsid w:val="003B592E"/>
    <w:rsid w:val="003B63BF"/>
    <w:rsid w:val="003B6713"/>
    <w:rsid w:val="003B6ED4"/>
    <w:rsid w:val="003B7ACA"/>
    <w:rsid w:val="003B7D5C"/>
    <w:rsid w:val="003B7DEA"/>
    <w:rsid w:val="003C0FDA"/>
    <w:rsid w:val="003C1B43"/>
    <w:rsid w:val="003C1F97"/>
    <w:rsid w:val="003C209E"/>
    <w:rsid w:val="003C2593"/>
    <w:rsid w:val="003C360C"/>
    <w:rsid w:val="003C4676"/>
    <w:rsid w:val="003C4F08"/>
    <w:rsid w:val="003C70E3"/>
    <w:rsid w:val="003D0662"/>
    <w:rsid w:val="003D0D0C"/>
    <w:rsid w:val="003D128C"/>
    <w:rsid w:val="003D35FC"/>
    <w:rsid w:val="003D3FB5"/>
    <w:rsid w:val="003D710C"/>
    <w:rsid w:val="003E060A"/>
    <w:rsid w:val="003E0E9A"/>
    <w:rsid w:val="003E1279"/>
    <w:rsid w:val="003E1B60"/>
    <w:rsid w:val="003E27F8"/>
    <w:rsid w:val="003E321D"/>
    <w:rsid w:val="003E4BD9"/>
    <w:rsid w:val="003E50DB"/>
    <w:rsid w:val="003E682C"/>
    <w:rsid w:val="003E6FE4"/>
    <w:rsid w:val="003E727E"/>
    <w:rsid w:val="003F0109"/>
    <w:rsid w:val="003F08A3"/>
    <w:rsid w:val="003F0C97"/>
    <w:rsid w:val="003F1E3F"/>
    <w:rsid w:val="003F2AFC"/>
    <w:rsid w:val="003F6B42"/>
    <w:rsid w:val="003F71D4"/>
    <w:rsid w:val="00400336"/>
    <w:rsid w:val="004007A5"/>
    <w:rsid w:val="00401BBA"/>
    <w:rsid w:val="00401F67"/>
    <w:rsid w:val="004055A7"/>
    <w:rsid w:val="00406156"/>
    <w:rsid w:val="0040645F"/>
    <w:rsid w:val="00406BA8"/>
    <w:rsid w:val="00406C29"/>
    <w:rsid w:val="00406E33"/>
    <w:rsid w:val="00411812"/>
    <w:rsid w:val="004136DF"/>
    <w:rsid w:val="004156D6"/>
    <w:rsid w:val="00415FCE"/>
    <w:rsid w:val="004164CA"/>
    <w:rsid w:val="004168C6"/>
    <w:rsid w:val="004175EE"/>
    <w:rsid w:val="0042031E"/>
    <w:rsid w:val="00421AA6"/>
    <w:rsid w:val="004229EF"/>
    <w:rsid w:val="004242AF"/>
    <w:rsid w:val="00424524"/>
    <w:rsid w:val="00424CA9"/>
    <w:rsid w:val="00425DE7"/>
    <w:rsid w:val="00426A18"/>
    <w:rsid w:val="00427C27"/>
    <w:rsid w:val="004304D3"/>
    <w:rsid w:val="004314F0"/>
    <w:rsid w:val="004327CF"/>
    <w:rsid w:val="00432D6D"/>
    <w:rsid w:val="0043354B"/>
    <w:rsid w:val="0043444D"/>
    <w:rsid w:val="00434E81"/>
    <w:rsid w:val="004362AE"/>
    <w:rsid w:val="004376BF"/>
    <w:rsid w:val="00437972"/>
    <w:rsid w:val="00437B7D"/>
    <w:rsid w:val="0044087D"/>
    <w:rsid w:val="00440CFF"/>
    <w:rsid w:val="00441AD4"/>
    <w:rsid w:val="0044276E"/>
    <w:rsid w:val="004428C2"/>
    <w:rsid w:val="00442D62"/>
    <w:rsid w:val="004447C9"/>
    <w:rsid w:val="0044589F"/>
    <w:rsid w:val="004468BE"/>
    <w:rsid w:val="00450463"/>
    <w:rsid w:val="004514D4"/>
    <w:rsid w:val="00451C03"/>
    <w:rsid w:val="004528A0"/>
    <w:rsid w:val="00453476"/>
    <w:rsid w:val="00456845"/>
    <w:rsid w:val="00457737"/>
    <w:rsid w:val="00457F31"/>
    <w:rsid w:val="00460056"/>
    <w:rsid w:val="00460D6A"/>
    <w:rsid w:val="00460FC3"/>
    <w:rsid w:val="00461A51"/>
    <w:rsid w:val="00461ADF"/>
    <w:rsid w:val="00462BFF"/>
    <w:rsid w:val="00462FB4"/>
    <w:rsid w:val="004648B1"/>
    <w:rsid w:val="00465843"/>
    <w:rsid w:val="004658A8"/>
    <w:rsid w:val="00466C73"/>
    <w:rsid w:val="0047093B"/>
    <w:rsid w:val="00473E1C"/>
    <w:rsid w:val="00474BBB"/>
    <w:rsid w:val="00476562"/>
    <w:rsid w:val="00476CC0"/>
    <w:rsid w:val="004810C7"/>
    <w:rsid w:val="0048242D"/>
    <w:rsid w:val="00482A91"/>
    <w:rsid w:val="00483B72"/>
    <w:rsid w:val="004841A3"/>
    <w:rsid w:val="004845BE"/>
    <w:rsid w:val="004860FB"/>
    <w:rsid w:val="00486586"/>
    <w:rsid w:val="00486679"/>
    <w:rsid w:val="004872AA"/>
    <w:rsid w:val="0049014C"/>
    <w:rsid w:val="004918F3"/>
    <w:rsid w:val="004954BA"/>
    <w:rsid w:val="00495B4C"/>
    <w:rsid w:val="004961CE"/>
    <w:rsid w:val="0049627A"/>
    <w:rsid w:val="0049633F"/>
    <w:rsid w:val="00496532"/>
    <w:rsid w:val="004A0874"/>
    <w:rsid w:val="004A08B7"/>
    <w:rsid w:val="004A1234"/>
    <w:rsid w:val="004A1381"/>
    <w:rsid w:val="004A2685"/>
    <w:rsid w:val="004A2B98"/>
    <w:rsid w:val="004A36EA"/>
    <w:rsid w:val="004A37C6"/>
    <w:rsid w:val="004A3E71"/>
    <w:rsid w:val="004B2078"/>
    <w:rsid w:val="004B3B54"/>
    <w:rsid w:val="004B3D9B"/>
    <w:rsid w:val="004B3F2B"/>
    <w:rsid w:val="004B4C25"/>
    <w:rsid w:val="004B4DB5"/>
    <w:rsid w:val="004B5A70"/>
    <w:rsid w:val="004B5AC2"/>
    <w:rsid w:val="004B618C"/>
    <w:rsid w:val="004B6FDB"/>
    <w:rsid w:val="004B79E5"/>
    <w:rsid w:val="004B7FD7"/>
    <w:rsid w:val="004C0F6D"/>
    <w:rsid w:val="004C19D4"/>
    <w:rsid w:val="004C2117"/>
    <w:rsid w:val="004C2EDE"/>
    <w:rsid w:val="004C3401"/>
    <w:rsid w:val="004C373B"/>
    <w:rsid w:val="004C392E"/>
    <w:rsid w:val="004C3BA4"/>
    <w:rsid w:val="004C3F19"/>
    <w:rsid w:val="004C48AC"/>
    <w:rsid w:val="004C5ED1"/>
    <w:rsid w:val="004C6B7E"/>
    <w:rsid w:val="004D0A82"/>
    <w:rsid w:val="004D0BD7"/>
    <w:rsid w:val="004D254B"/>
    <w:rsid w:val="004D2EBF"/>
    <w:rsid w:val="004D37E3"/>
    <w:rsid w:val="004D3969"/>
    <w:rsid w:val="004D4C3B"/>
    <w:rsid w:val="004D4E4B"/>
    <w:rsid w:val="004D5638"/>
    <w:rsid w:val="004D6E23"/>
    <w:rsid w:val="004D7FB2"/>
    <w:rsid w:val="004E01A1"/>
    <w:rsid w:val="004E0625"/>
    <w:rsid w:val="004E131A"/>
    <w:rsid w:val="004E2AD4"/>
    <w:rsid w:val="004E2ECB"/>
    <w:rsid w:val="004E3CA7"/>
    <w:rsid w:val="004E53CE"/>
    <w:rsid w:val="004E5DA9"/>
    <w:rsid w:val="004E67B3"/>
    <w:rsid w:val="004F0442"/>
    <w:rsid w:val="004F10EA"/>
    <w:rsid w:val="004F2A90"/>
    <w:rsid w:val="004F36EF"/>
    <w:rsid w:val="004F479D"/>
    <w:rsid w:val="004F4D4C"/>
    <w:rsid w:val="004F5D53"/>
    <w:rsid w:val="004F600A"/>
    <w:rsid w:val="004F637B"/>
    <w:rsid w:val="004F6AA3"/>
    <w:rsid w:val="004F7262"/>
    <w:rsid w:val="004F7BAB"/>
    <w:rsid w:val="004F7BB1"/>
    <w:rsid w:val="00500795"/>
    <w:rsid w:val="00501BC7"/>
    <w:rsid w:val="005029B7"/>
    <w:rsid w:val="0050397E"/>
    <w:rsid w:val="005044D0"/>
    <w:rsid w:val="0050455E"/>
    <w:rsid w:val="005047AC"/>
    <w:rsid w:val="00505139"/>
    <w:rsid w:val="0050604C"/>
    <w:rsid w:val="005060A4"/>
    <w:rsid w:val="00510390"/>
    <w:rsid w:val="00510BFE"/>
    <w:rsid w:val="005124FF"/>
    <w:rsid w:val="005125A2"/>
    <w:rsid w:val="00512F9F"/>
    <w:rsid w:val="00515405"/>
    <w:rsid w:val="00516572"/>
    <w:rsid w:val="005206B8"/>
    <w:rsid w:val="005218D4"/>
    <w:rsid w:val="00521972"/>
    <w:rsid w:val="00524616"/>
    <w:rsid w:val="00524AA8"/>
    <w:rsid w:val="00524EB0"/>
    <w:rsid w:val="00525B2D"/>
    <w:rsid w:val="0052677C"/>
    <w:rsid w:val="00526AAE"/>
    <w:rsid w:val="00527DC7"/>
    <w:rsid w:val="00531253"/>
    <w:rsid w:val="005327F5"/>
    <w:rsid w:val="00532E43"/>
    <w:rsid w:val="00532F60"/>
    <w:rsid w:val="00533D5A"/>
    <w:rsid w:val="00534A8E"/>
    <w:rsid w:val="00534E7C"/>
    <w:rsid w:val="00536174"/>
    <w:rsid w:val="005363F6"/>
    <w:rsid w:val="0053644E"/>
    <w:rsid w:val="0053676A"/>
    <w:rsid w:val="00536E2A"/>
    <w:rsid w:val="00537805"/>
    <w:rsid w:val="00537D78"/>
    <w:rsid w:val="00541082"/>
    <w:rsid w:val="005411F2"/>
    <w:rsid w:val="005415A9"/>
    <w:rsid w:val="00541D63"/>
    <w:rsid w:val="0054490D"/>
    <w:rsid w:val="00544BFE"/>
    <w:rsid w:val="00545CAE"/>
    <w:rsid w:val="0054622C"/>
    <w:rsid w:val="00546B7B"/>
    <w:rsid w:val="00547620"/>
    <w:rsid w:val="00547CB9"/>
    <w:rsid w:val="00550181"/>
    <w:rsid w:val="00550ADC"/>
    <w:rsid w:val="0055151A"/>
    <w:rsid w:val="0055183F"/>
    <w:rsid w:val="0055340E"/>
    <w:rsid w:val="0055342A"/>
    <w:rsid w:val="0055344C"/>
    <w:rsid w:val="005535E2"/>
    <w:rsid w:val="00554E26"/>
    <w:rsid w:val="00555603"/>
    <w:rsid w:val="005570CB"/>
    <w:rsid w:val="005571A6"/>
    <w:rsid w:val="005579B7"/>
    <w:rsid w:val="00560EC7"/>
    <w:rsid w:val="00561785"/>
    <w:rsid w:val="005626EC"/>
    <w:rsid w:val="005627CF"/>
    <w:rsid w:val="00562EF3"/>
    <w:rsid w:val="0056427E"/>
    <w:rsid w:val="00564CC1"/>
    <w:rsid w:val="00565195"/>
    <w:rsid w:val="005652ED"/>
    <w:rsid w:val="00565841"/>
    <w:rsid w:val="00566AB1"/>
    <w:rsid w:val="00566FA2"/>
    <w:rsid w:val="0056736B"/>
    <w:rsid w:val="00570054"/>
    <w:rsid w:val="0057051C"/>
    <w:rsid w:val="005706C9"/>
    <w:rsid w:val="00571371"/>
    <w:rsid w:val="00572E89"/>
    <w:rsid w:val="00574744"/>
    <w:rsid w:val="00575EDB"/>
    <w:rsid w:val="005768FB"/>
    <w:rsid w:val="00576A72"/>
    <w:rsid w:val="00577D12"/>
    <w:rsid w:val="00577F81"/>
    <w:rsid w:val="005806A9"/>
    <w:rsid w:val="005811D7"/>
    <w:rsid w:val="00585D1E"/>
    <w:rsid w:val="005867B3"/>
    <w:rsid w:val="00586E1B"/>
    <w:rsid w:val="0058761D"/>
    <w:rsid w:val="00587D7B"/>
    <w:rsid w:val="0059073B"/>
    <w:rsid w:val="00590AD2"/>
    <w:rsid w:val="00590BE8"/>
    <w:rsid w:val="0059174B"/>
    <w:rsid w:val="0059218B"/>
    <w:rsid w:val="00592274"/>
    <w:rsid w:val="00594731"/>
    <w:rsid w:val="0059529A"/>
    <w:rsid w:val="00595D97"/>
    <w:rsid w:val="005961C6"/>
    <w:rsid w:val="005963C7"/>
    <w:rsid w:val="00596BEE"/>
    <w:rsid w:val="005A129F"/>
    <w:rsid w:val="005A1373"/>
    <w:rsid w:val="005A1A0E"/>
    <w:rsid w:val="005A312B"/>
    <w:rsid w:val="005A4E18"/>
    <w:rsid w:val="005A5111"/>
    <w:rsid w:val="005A5A04"/>
    <w:rsid w:val="005B27D8"/>
    <w:rsid w:val="005B2978"/>
    <w:rsid w:val="005B3A34"/>
    <w:rsid w:val="005B3DF2"/>
    <w:rsid w:val="005B42EA"/>
    <w:rsid w:val="005B5CBD"/>
    <w:rsid w:val="005B5CEB"/>
    <w:rsid w:val="005B666B"/>
    <w:rsid w:val="005B71B7"/>
    <w:rsid w:val="005C015B"/>
    <w:rsid w:val="005C06C9"/>
    <w:rsid w:val="005C23A3"/>
    <w:rsid w:val="005C2CD3"/>
    <w:rsid w:val="005C2DBE"/>
    <w:rsid w:val="005C666E"/>
    <w:rsid w:val="005C6E54"/>
    <w:rsid w:val="005C7508"/>
    <w:rsid w:val="005C7A00"/>
    <w:rsid w:val="005C7FED"/>
    <w:rsid w:val="005D0083"/>
    <w:rsid w:val="005D01C8"/>
    <w:rsid w:val="005D028A"/>
    <w:rsid w:val="005D0B32"/>
    <w:rsid w:val="005D1A6B"/>
    <w:rsid w:val="005D286E"/>
    <w:rsid w:val="005D3B35"/>
    <w:rsid w:val="005D3E64"/>
    <w:rsid w:val="005D4006"/>
    <w:rsid w:val="005D4205"/>
    <w:rsid w:val="005D444A"/>
    <w:rsid w:val="005D5358"/>
    <w:rsid w:val="005D57DD"/>
    <w:rsid w:val="005D5AB3"/>
    <w:rsid w:val="005D65CC"/>
    <w:rsid w:val="005D66CE"/>
    <w:rsid w:val="005D6C18"/>
    <w:rsid w:val="005D7F94"/>
    <w:rsid w:val="005E00F2"/>
    <w:rsid w:val="005E1158"/>
    <w:rsid w:val="005E1880"/>
    <w:rsid w:val="005E1D11"/>
    <w:rsid w:val="005E2DE2"/>
    <w:rsid w:val="005E3769"/>
    <w:rsid w:val="005E5320"/>
    <w:rsid w:val="005E6884"/>
    <w:rsid w:val="005E6F6B"/>
    <w:rsid w:val="005E7266"/>
    <w:rsid w:val="005E72C9"/>
    <w:rsid w:val="005E7A25"/>
    <w:rsid w:val="005F030C"/>
    <w:rsid w:val="005F0491"/>
    <w:rsid w:val="005F08FF"/>
    <w:rsid w:val="005F1331"/>
    <w:rsid w:val="005F1645"/>
    <w:rsid w:val="005F2545"/>
    <w:rsid w:val="005F254F"/>
    <w:rsid w:val="005F2D63"/>
    <w:rsid w:val="005F3ED8"/>
    <w:rsid w:val="005F4344"/>
    <w:rsid w:val="005F4D13"/>
    <w:rsid w:val="005F4D55"/>
    <w:rsid w:val="005F5DE4"/>
    <w:rsid w:val="005F77B9"/>
    <w:rsid w:val="0060014E"/>
    <w:rsid w:val="00605D0A"/>
    <w:rsid w:val="00610EAC"/>
    <w:rsid w:val="00610EEC"/>
    <w:rsid w:val="00611FE2"/>
    <w:rsid w:val="00612601"/>
    <w:rsid w:val="006129FB"/>
    <w:rsid w:val="00612A6F"/>
    <w:rsid w:val="00612CF4"/>
    <w:rsid w:val="00612D5E"/>
    <w:rsid w:val="00612DDF"/>
    <w:rsid w:val="00613677"/>
    <w:rsid w:val="00613A29"/>
    <w:rsid w:val="00622BFE"/>
    <w:rsid w:val="006233D0"/>
    <w:rsid w:val="00623CDD"/>
    <w:rsid w:val="00623EA5"/>
    <w:rsid w:val="00624574"/>
    <w:rsid w:val="00626A0B"/>
    <w:rsid w:val="0062746E"/>
    <w:rsid w:val="006277B4"/>
    <w:rsid w:val="00627AC6"/>
    <w:rsid w:val="00630D82"/>
    <w:rsid w:val="00631684"/>
    <w:rsid w:val="006319B4"/>
    <w:rsid w:val="006321C5"/>
    <w:rsid w:val="006327BB"/>
    <w:rsid w:val="006329B6"/>
    <w:rsid w:val="006335C7"/>
    <w:rsid w:val="00635DC9"/>
    <w:rsid w:val="006368EA"/>
    <w:rsid w:val="00637C5A"/>
    <w:rsid w:val="00641652"/>
    <w:rsid w:val="00642A0B"/>
    <w:rsid w:val="00643094"/>
    <w:rsid w:val="006444A0"/>
    <w:rsid w:val="00644F84"/>
    <w:rsid w:val="0064509E"/>
    <w:rsid w:val="00645B1F"/>
    <w:rsid w:val="0064649B"/>
    <w:rsid w:val="006466D9"/>
    <w:rsid w:val="00646FDD"/>
    <w:rsid w:val="006473D0"/>
    <w:rsid w:val="00647BC7"/>
    <w:rsid w:val="006513B0"/>
    <w:rsid w:val="00651B97"/>
    <w:rsid w:val="00653292"/>
    <w:rsid w:val="006536CB"/>
    <w:rsid w:val="00654799"/>
    <w:rsid w:val="00654822"/>
    <w:rsid w:val="00655D3A"/>
    <w:rsid w:val="006562C3"/>
    <w:rsid w:val="0066115D"/>
    <w:rsid w:val="00662882"/>
    <w:rsid w:val="00664BD6"/>
    <w:rsid w:val="00666363"/>
    <w:rsid w:val="00670218"/>
    <w:rsid w:val="006708E2"/>
    <w:rsid w:val="00672032"/>
    <w:rsid w:val="00674565"/>
    <w:rsid w:val="00674A1C"/>
    <w:rsid w:val="00674C09"/>
    <w:rsid w:val="00677EC5"/>
    <w:rsid w:val="00681B57"/>
    <w:rsid w:val="00681DCE"/>
    <w:rsid w:val="006820A0"/>
    <w:rsid w:val="00683327"/>
    <w:rsid w:val="00683802"/>
    <w:rsid w:val="00683D30"/>
    <w:rsid w:val="00684B44"/>
    <w:rsid w:val="00685D02"/>
    <w:rsid w:val="00685D2E"/>
    <w:rsid w:val="00686A4D"/>
    <w:rsid w:val="00686EF0"/>
    <w:rsid w:val="006872D3"/>
    <w:rsid w:val="0068731F"/>
    <w:rsid w:val="006912FF"/>
    <w:rsid w:val="00691D80"/>
    <w:rsid w:val="00693950"/>
    <w:rsid w:val="00693D9A"/>
    <w:rsid w:val="006941E2"/>
    <w:rsid w:val="0069527F"/>
    <w:rsid w:val="00695781"/>
    <w:rsid w:val="0069783F"/>
    <w:rsid w:val="006A2089"/>
    <w:rsid w:val="006A35D0"/>
    <w:rsid w:val="006A3A72"/>
    <w:rsid w:val="006A5510"/>
    <w:rsid w:val="006A665D"/>
    <w:rsid w:val="006A746D"/>
    <w:rsid w:val="006A74AF"/>
    <w:rsid w:val="006B03BC"/>
    <w:rsid w:val="006B0442"/>
    <w:rsid w:val="006B0B79"/>
    <w:rsid w:val="006B1EFF"/>
    <w:rsid w:val="006B3241"/>
    <w:rsid w:val="006B49CD"/>
    <w:rsid w:val="006B4F0C"/>
    <w:rsid w:val="006B5663"/>
    <w:rsid w:val="006B5890"/>
    <w:rsid w:val="006C21F4"/>
    <w:rsid w:val="006C325B"/>
    <w:rsid w:val="006C36CD"/>
    <w:rsid w:val="006C3A40"/>
    <w:rsid w:val="006C3CF2"/>
    <w:rsid w:val="006C40E4"/>
    <w:rsid w:val="006C568A"/>
    <w:rsid w:val="006D070E"/>
    <w:rsid w:val="006D0C04"/>
    <w:rsid w:val="006D1EBC"/>
    <w:rsid w:val="006D2338"/>
    <w:rsid w:val="006D3DCF"/>
    <w:rsid w:val="006D4355"/>
    <w:rsid w:val="006D4526"/>
    <w:rsid w:val="006D478D"/>
    <w:rsid w:val="006D4922"/>
    <w:rsid w:val="006D51AF"/>
    <w:rsid w:val="006D5375"/>
    <w:rsid w:val="006D60BC"/>
    <w:rsid w:val="006D65A2"/>
    <w:rsid w:val="006D67B3"/>
    <w:rsid w:val="006D67EE"/>
    <w:rsid w:val="006D6B82"/>
    <w:rsid w:val="006D70C3"/>
    <w:rsid w:val="006E02FF"/>
    <w:rsid w:val="006E0D8B"/>
    <w:rsid w:val="006E0F39"/>
    <w:rsid w:val="006E16B3"/>
    <w:rsid w:val="006E1B0A"/>
    <w:rsid w:val="006E2188"/>
    <w:rsid w:val="006E21A4"/>
    <w:rsid w:val="006E2E46"/>
    <w:rsid w:val="006E39BC"/>
    <w:rsid w:val="006E3FDD"/>
    <w:rsid w:val="006E5749"/>
    <w:rsid w:val="006E698A"/>
    <w:rsid w:val="006E6E06"/>
    <w:rsid w:val="006E7038"/>
    <w:rsid w:val="006E7B3A"/>
    <w:rsid w:val="006F02C1"/>
    <w:rsid w:val="006F2DCE"/>
    <w:rsid w:val="006F335D"/>
    <w:rsid w:val="006F3D9F"/>
    <w:rsid w:val="006F4A15"/>
    <w:rsid w:val="006F4D62"/>
    <w:rsid w:val="006F5A2F"/>
    <w:rsid w:val="006F6742"/>
    <w:rsid w:val="006F7150"/>
    <w:rsid w:val="006F7634"/>
    <w:rsid w:val="006F7979"/>
    <w:rsid w:val="006F7DE4"/>
    <w:rsid w:val="00700200"/>
    <w:rsid w:val="0070095A"/>
    <w:rsid w:val="007013FE"/>
    <w:rsid w:val="00701811"/>
    <w:rsid w:val="00701C1B"/>
    <w:rsid w:val="0070277F"/>
    <w:rsid w:val="007036A5"/>
    <w:rsid w:val="00704EB8"/>
    <w:rsid w:val="00705012"/>
    <w:rsid w:val="00705948"/>
    <w:rsid w:val="007067C7"/>
    <w:rsid w:val="00707EC7"/>
    <w:rsid w:val="00710551"/>
    <w:rsid w:val="00710911"/>
    <w:rsid w:val="007114F6"/>
    <w:rsid w:val="007117A0"/>
    <w:rsid w:val="0071199C"/>
    <w:rsid w:val="007119E9"/>
    <w:rsid w:val="00711DE8"/>
    <w:rsid w:val="007128B8"/>
    <w:rsid w:val="00712A27"/>
    <w:rsid w:val="00712F2A"/>
    <w:rsid w:val="0071332F"/>
    <w:rsid w:val="00714307"/>
    <w:rsid w:val="00714A61"/>
    <w:rsid w:val="007153C7"/>
    <w:rsid w:val="007203D0"/>
    <w:rsid w:val="00721A72"/>
    <w:rsid w:val="00721CAE"/>
    <w:rsid w:val="00722FC3"/>
    <w:rsid w:val="007233DB"/>
    <w:rsid w:val="00723679"/>
    <w:rsid w:val="00723D30"/>
    <w:rsid w:val="0072473E"/>
    <w:rsid w:val="007256EE"/>
    <w:rsid w:val="00725D61"/>
    <w:rsid w:val="00726179"/>
    <w:rsid w:val="00726F1C"/>
    <w:rsid w:val="00730657"/>
    <w:rsid w:val="00730AB8"/>
    <w:rsid w:val="00731D4B"/>
    <w:rsid w:val="00732661"/>
    <w:rsid w:val="007327BE"/>
    <w:rsid w:val="00733912"/>
    <w:rsid w:val="00734095"/>
    <w:rsid w:val="007344DF"/>
    <w:rsid w:val="00734DC3"/>
    <w:rsid w:val="00736476"/>
    <w:rsid w:val="00740AA6"/>
    <w:rsid w:val="007413B0"/>
    <w:rsid w:val="0074219C"/>
    <w:rsid w:val="007443D1"/>
    <w:rsid w:val="007445A2"/>
    <w:rsid w:val="00745A7C"/>
    <w:rsid w:val="007468C0"/>
    <w:rsid w:val="00746A7E"/>
    <w:rsid w:val="00747241"/>
    <w:rsid w:val="00747586"/>
    <w:rsid w:val="0074777E"/>
    <w:rsid w:val="00747B4C"/>
    <w:rsid w:val="00751057"/>
    <w:rsid w:val="0075134B"/>
    <w:rsid w:val="007518BA"/>
    <w:rsid w:val="00751B61"/>
    <w:rsid w:val="007520A0"/>
    <w:rsid w:val="0075257C"/>
    <w:rsid w:val="0075338A"/>
    <w:rsid w:val="00753F8C"/>
    <w:rsid w:val="00754288"/>
    <w:rsid w:val="007549BE"/>
    <w:rsid w:val="00754CCD"/>
    <w:rsid w:val="0075581A"/>
    <w:rsid w:val="00755A83"/>
    <w:rsid w:val="007564FA"/>
    <w:rsid w:val="007566BE"/>
    <w:rsid w:val="00760187"/>
    <w:rsid w:val="007601A2"/>
    <w:rsid w:val="0076074D"/>
    <w:rsid w:val="0076119F"/>
    <w:rsid w:val="00762961"/>
    <w:rsid w:val="00762E69"/>
    <w:rsid w:val="00764385"/>
    <w:rsid w:val="007650EC"/>
    <w:rsid w:val="00765978"/>
    <w:rsid w:val="00766320"/>
    <w:rsid w:val="00771213"/>
    <w:rsid w:val="007731AC"/>
    <w:rsid w:val="007742B0"/>
    <w:rsid w:val="00775E7D"/>
    <w:rsid w:val="007764EC"/>
    <w:rsid w:val="007769AE"/>
    <w:rsid w:val="00777CD8"/>
    <w:rsid w:val="00780802"/>
    <w:rsid w:val="00780E51"/>
    <w:rsid w:val="007822C3"/>
    <w:rsid w:val="007825F1"/>
    <w:rsid w:val="00782C87"/>
    <w:rsid w:val="007851AC"/>
    <w:rsid w:val="0078751A"/>
    <w:rsid w:val="007875FD"/>
    <w:rsid w:val="00787F21"/>
    <w:rsid w:val="007905BD"/>
    <w:rsid w:val="00792CBE"/>
    <w:rsid w:val="007931CF"/>
    <w:rsid w:val="0079449F"/>
    <w:rsid w:val="00794601"/>
    <w:rsid w:val="00795422"/>
    <w:rsid w:val="00795496"/>
    <w:rsid w:val="007956D3"/>
    <w:rsid w:val="00795965"/>
    <w:rsid w:val="007959A0"/>
    <w:rsid w:val="00796575"/>
    <w:rsid w:val="007967B3"/>
    <w:rsid w:val="0079797C"/>
    <w:rsid w:val="007A03C7"/>
    <w:rsid w:val="007A1B55"/>
    <w:rsid w:val="007A2DF5"/>
    <w:rsid w:val="007A48BA"/>
    <w:rsid w:val="007A4AA0"/>
    <w:rsid w:val="007A573E"/>
    <w:rsid w:val="007A63F1"/>
    <w:rsid w:val="007A649D"/>
    <w:rsid w:val="007A6AF4"/>
    <w:rsid w:val="007A770C"/>
    <w:rsid w:val="007A7A41"/>
    <w:rsid w:val="007B0548"/>
    <w:rsid w:val="007B1746"/>
    <w:rsid w:val="007B198C"/>
    <w:rsid w:val="007B19B6"/>
    <w:rsid w:val="007B22CB"/>
    <w:rsid w:val="007B3539"/>
    <w:rsid w:val="007B3643"/>
    <w:rsid w:val="007B3AB2"/>
    <w:rsid w:val="007B4770"/>
    <w:rsid w:val="007B4E77"/>
    <w:rsid w:val="007B7E25"/>
    <w:rsid w:val="007C140F"/>
    <w:rsid w:val="007C2342"/>
    <w:rsid w:val="007C2F0B"/>
    <w:rsid w:val="007C6E23"/>
    <w:rsid w:val="007D0A97"/>
    <w:rsid w:val="007D0E22"/>
    <w:rsid w:val="007D1044"/>
    <w:rsid w:val="007D1DFF"/>
    <w:rsid w:val="007D2B40"/>
    <w:rsid w:val="007D3A86"/>
    <w:rsid w:val="007D486B"/>
    <w:rsid w:val="007D56D4"/>
    <w:rsid w:val="007D6164"/>
    <w:rsid w:val="007D698E"/>
    <w:rsid w:val="007D6D0E"/>
    <w:rsid w:val="007E01D0"/>
    <w:rsid w:val="007E03AA"/>
    <w:rsid w:val="007E1A59"/>
    <w:rsid w:val="007E1ACF"/>
    <w:rsid w:val="007E219B"/>
    <w:rsid w:val="007E3BF8"/>
    <w:rsid w:val="007E60E1"/>
    <w:rsid w:val="007F06A5"/>
    <w:rsid w:val="007F0B0E"/>
    <w:rsid w:val="007F22C6"/>
    <w:rsid w:val="007F449F"/>
    <w:rsid w:val="007F5262"/>
    <w:rsid w:val="007F5996"/>
    <w:rsid w:val="007F63A3"/>
    <w:rsid w:val="007F7DF5"/>
    <w:rsid w:val="00800493"/>
    <w:rsid w:val="00802336"/>
    <w:rsid w:val="00802A37"/>
    <w:rsid w:val="00802B9F"/>
    <w:rsid w:val="00802CBA"/>
    <w:rsid w:val="00802FD0"/>
    <w:rsid w:val="00803CC2"/>
    <w:rsid w:val="00803E69"/>
    <w:rsid w:val="0080512D"/>
    <w:rsid w:val="00805CBA"/>
    <w:rsid w:val="00806E0C"/>
    <w:rsid w:val="008078F4"/>
    <w:rsid w:val="008105B4"/>
    <w:rsid w:val="00811C8A"/>
    <w:rsid w:val="0081410F"/>
    <w:rsid w:val="0081455A"/>
    <w:rsid w:val="00815F6A"/>
    <w:rsid w:val="00816B44"/>
    <w:rsid w:val="00817430"/>
    <w:rsid w:val="008236FB"/>
    <w:rsid w:val="00824054"/>
    <w:rsid w:val="008242D7"/>
    <w:rsid w:val="00824AC7"/>
    <w:rsid w:val="008250BA"/>
    <w:rsid w:val="0082606B"/>
    <w:rsid w:val="0082656C"/>
    <w:rsid w:val="00827F37"/>
    <w:rsid w:val="00830247"/>
    <w:rsid w:val="00831D26"/>
    <w:rsid w:val="0083309A"/>
    <w:rsid w:val="0083371B"/>
    <w:rsid w:val="0083447D"/>
    <w:rsid w:val="008367FE"/>
    <w:rsid w:val="00836D29"/>
    <w:rsid w:val="00837024"/>
    <w:rsid w:val="0083754E"/>
    <w:rsid w:val="008375E9"/>
    <w:rsid w:val="00840D48"/>
    <w:rsid w:val="008411BF"/>
    <w:rsid w:val="008419AE"/>
    <w:rsid w:val="008432A1"/>
    <w:rsid w:val="00843601"/>
    <w:rsid w:val="00843959"/>
    <w:rsid w:val="00843FC8"/>
    <w:rsid w:val="00846601"/>
    <w:rsid w:val="0084683E"/>
    <w:rsid w:val="008501B1"/>
    <w:rsid w:val="008502BE"/>
    <w:rsid w:val="008516E9"/>
    <w:rsid w:val="008537A9"/>
    <w:rsid w:val="008551C2"/>
    <w:rsid w:val="00855255"/>
    <w:rsid w:val="0085537C"/>
    <w:rsid w:val="00855D22"/>
    <w:rsid w:val="00856C27"/>
    <w:rsid w:val="00857751"/>
    <w:rsid w:val="00857C6D"/>
    <w:rsid w:val="008600D9"/>
    <w:rsid w:val="0086063B"/>
    <w:rsid w:val="00861A45"/>
    <w:rsid w:val="00862436"/>
    <w:rsid w:val="008626D4"/>
    <w:rsid w:val="00863C44"/>
    <w:rsid w:val="00863C6F"/>
    <w:rsid w:val="00864F72"/>
    <w:rsid w:val="00865C27"/>
    <w:rsid w:val="00866A0C"/>
    <w:rsid w:val="008703E3"/>
    <w:rsid w:val="008727F1"/>
    <w:rsid w:val="008748AC"/>
    <w:rsid w:val="0087511C"/>
    <w:rsid w:val="008777E7"/>
    <w:rsid w:val="0088009D"/>
    <w:rsid w:val="00880A01"/>
    <w:rsid w:val="00880F98"/>
    <w:rsid w:val="00882518"/>
    <w:rsid w:val="00884171"/>
    <w:rsid w:val="00884427"/>
    <w:rsid w:val="00884B8C"/>
    <w:rsid w:val="008860D6"/>
    <w:rsid w:val="00886630"/>
    <w:rsid w:val="00886D9A"/>
    <w:rsid w:val="00886EE5"/>
    <w:rsid w:val="00890A8B"/>
    <w:rsid w:val="00891E93"/>
    <w:rsid w:val="008931AE"/>
    <w:rsid w:val="00894FE0"/>
    <w:rsid w:val="0089595F"/>
    <w:rsid w:val="008962C3"/>
    <w:rsid w:val="00897003"/>
    <w:rsid w:val="00897B2D"/>
    <w:rsid w:val="008A0A8E"/>
    <w:rsid w:val="008A0ED5"/>
    <w:rsid w:val="008A1372"/>
    <w:rsid w:val="008A14B4"/>
    <w:rsid w:val="008A168E"/>
    <w:rsid w:val="008A34E7"/>
    <w:rsid w:val="008A3633"/>
    <w:rsid w:val="008A3656"/>
    <w:rsid w:val="008A3C55"/>
    <w:rsid w:val="008A4020"/>
    <w:rsid w:val="008A4258"/>
    <w:rsid w:val="008A47D7"/>
    <w:rsid w:val="008A4E68"/>
    <w:rsid w:val="008A526E"/>
    <w:rsid w:val="008A56DF"/>
    <w:rsid w:val="008A5715"/>
    <w:rsid w:val="008A585A"/>
    <w:rsid w:val="008A5AF1"/>
    <w:rsid w:val="008A5C04"/>
    <w:rsid w:val="008A7AC4"/>
    <w:rsid w:val="008A7B58"/>
    <w:rsid w:val="008B01E5"/>
    <w:rsid w:val="008B07EE"/>
    <w:rsid w:val="008B2432"/>
    <w:rsid w:val="008B4EF8"/>
    <w:rsid w:val="008B5311"/>
    <w:rsid w:val="008B64F3"/>
    <w:rsid w:val="008B654C"/>
    <w:rsid w:val="008B79CA"/>
    <w:rsid w:val="008B7D43"/>
    <w:rsid w:val="008B7E71"/>
    <w:rsid w:val="008C0C4B"/>
    <w:rsid w:val="008C2297"/>
    <w:rsid w:val="008C287E"/>
    <w:rsid w:val="008C31D3"/>
    <w:rsid w:val="008C440B"/>
    <w:rsid w:val="008C5360"/>
    <w:rsid w:val="008C567D"/>
    <w:rsid w:val="008C5C19"/>
    <w:rsid w:val="008C5D59"/>
    <w:rsid w:val="008C787B"/>
    <w:rsid w:val="008C7D56"/>
    <w:rsid w:val="008D4032"/>
    <w:rsid w:val="008D4238"/>
    <w:rsid w:val="008D515A"/>
    <w:rsid w:val="008D6529"/>
    <w:rsid w:val="008E07D0"/>
    <w:rsid w:val="008E0DB9"/>
    <w:rsid w:val="008E0FD2"/>
    <w:rsid w:val="008E1C58"/>
    <w:rsid w:val="008E1D78"/>
    <w:rsid w:val="008E1DE9"/>
    <w:rsid w:val="008E3B17"/>
    <w:rsid w:val="008E4A08"/>
    <w:rsid w:val="008E5DF4"/>
    <w:rsid w:val="008E625B"/>
    <w:rsid w:val="008E6611"/>
    <w:rsid w:val="008E76E9"/>
    <w:rsid w:val="008E7BA7"/>
    <w:rsid w:val="008F05B4"/>
    <w:rsid w:val="008F0B25"/>
    <w:rsid w:val="008F141A"/>
    <w:rsid w:val="008F1ED0"/>
    <w:rsid w:val="008F229A"/>
    <w:rsid w:val="008F267D"/>
    <w:rsid w:val="008F289D"/>
    <w:rsid w:val="008F2942"/>
    <w:rsid w:val="008F2C8A"/>
    <w:rsid w:val="008F54F0"/>
    <w:rsid w:val="008F5795"/>
    <w:rsid w:val="008F5BB7"/>
    <w:rsid w:val="008F5EED"/>
    <w:rsid w:val="008F717F"/>
    <w:rsid w:val="008F7E57"/>
    <w:rsid w:val="009009C3"/>
    <w:rsid w:val="00900C00"/>
    <w:rsid w:val="00900ED2"/>
    <w:rsid w:val="00900FAB"/>
    <w:rsid w:val="009012CD"/>
    <w:rsid w:val="0090139E"/>
    <w:rsid w:val="00901B1D"/>
    <w:rsid w:val="00902404"/>
    <w:rsid w:val="00902C3A"/>
    <w:rsid w:val="00903553"/>
    <w:rsid w:val="00903C6A"/>
    <w:rsid w:val="00904F8C"/>
    <w:rsid w:val="00905A9E"/>
    <w:rsid w:val="009072A5"/>
    <w:rsid w:val="00907F5F"/>
    <w:rsid w:val="00911D61"/>
    <w:rsid w:val="0091210F"/>
    <w:rsid w:val="00912177"/>
    <w:rsid w:val="009138C8"/>
    <w:rsid w:val="009148C8"/>
    <w:rsid w:val="00914B5B"/>
    <w:rsid w:val="00917AAA"/>
    <w:rsid w:val="00920367"/>
    <w:rsid w:val="009223FA"/>
    <w:rsid w:val="00922A96"/>
    <w:rsid w:val="00922C77"/>
    <w:rsid w:val="00923606"/>
    <w:rsid w:val="009237A1"/>
    <w:rsid w:val="00923EF3"/>
    <w:rsid w:val="009242B7"/>
    <w:rsid w:val="009245A6"/>
    <w:rsid w:val="009255BD"/>
    <w:rsid w:val="00926D6B"/>
    <w:rsid w:val="009317FF"/>
    <w:rsid w:val="0093374D"/>
    <w:rsid w:val="00933C93"/>
    <w:rsid w:val="00933CDC"/>
    <w:rsid w:val="00933FF7"/>
    <w:rsid w:val="00935489"/>
    <w:rsid w:val="0093574A"/>
    <w:rsid w:val="009357B7"/>
    <w:rsid w:val="009359CF"/>
    <w:rsid w:val="00935CE5"/>
    <w:rsid w:val="0093626E"/>
    <w:rsid w:val="00936DBC"/>
    <w:rsid w:val="00940887"/>
    <w:rsid w:val="00940D34"/>
    <w:rsid w:val="009412C6"/>
    <w:rsid w:val="009417BA"/>
    <w:rsid w:val="00942837"/>
    <w:rsid w:val="00950452"/>
    <w:rsid w:val="009505C9"/>
    <w:rsid w:val="00950B1D"/>
    <w:rsid w:val="00950C2E"/>
    <w:rsid w:val="00950E34"/>
    <w:rsid w:val="00952BC4"/>
    <w:rsid w:val="00957E4B"/>
    <w:rsid w:val="00960BC9"/>
    <w:rsid w:val="00961271"/>
    <w:rsid w:val="009622BB"/>
    <w:rsid w:val="009634E5"/>
    <w:rsid w:val="009648D4"/>
    <w:rsid w:val="00965086"/>
    <w:rsid w:val="0096662B"/>
    <w:rsid w:val="00966D63"/>
    <w:rsid w:val="00967DA1"/>
    <w:rsid w:val="00970D86"/>
    <w:rsid w:val="00970FDC"/>
    <w:rsid w:val="0097106B"/>
    <w:rsid w:val="00971491"/>
    <w:rsid w:val="00971B97"/>
    <w:rsid w:val="00971ED8"/>
    <w:rsid w:val="00972780"/>
    <w:rsid w:val="00973EC4"/>
    <w:rsid w:val="0097450E"/>
    <w:rsid w:val="00974B01"/>
    <w:rsid w:val="00975478"/>
    <w:rsid w:val="00975C95"/>
    <w:rsid w:val="00976340"/>
    <w:rsid w:val="00976821"/>
    <w:rsid w:val="0097719C"/>
    <w:rsid w:val="00977458"/>
    <w:rsid w:val="009814A8"/>
    <w:rsid w:val="0098318A"/>
    <w:rsid w:val="0098338A"/>
    <w:rsid w:val="00984250"/>
    <w:rsid w:val="0098511B"/>
    <w:rsid w:val="009862EE"/>
    <w:rsid w:val="00986F01"/>
    <w:rsid w:val="009900DB"/>
    <w:rsid w:val="00990B2F"/>
    <w:rsid w:val="00991555"/>
    <w:rsid w:val="0099181D"/>
    <w:rsid w:val="009918CF"/>
    <w:rsid w:val="00991E54"/>
    <w:rsid w:val="00992FE4"/>
    <w:rsid w:val="00993407"/>
    <w:rsid w:val="0099591E"/>
    <w:rsid w:val="00996839"/>
    <w:rsid w:val="00996950"/>
    <w:rsid w:val="00996CD6"/>
    <w:rsid w:val="00997221"/>
    <w:rsid w:val="009A0516"/>
    <w:rsid w:val="009A168D"/>
    <w:rsid w:val="009A1D44"/>
    <w:rsid w:val="009A34CD"/>
    <w:rsid w:val="009A418C"/>
    <w:rsid w:val="009A59DF"/>
    <w:rsid w:val="009A5A64"/>
    <w:rsid w:val="009A5D43"/>
    <w:rsid w:val="009A64DF"/>
    <w:rsid w:val="009A69C8"/>
    <w:rsid w:val="009A7404"/>
    <w:rsid w:val="009B0F9A"/>
    <w:rsid w:val="009B24F3"/>
    <w:rsid w:val="009B2B84"/>
    <w:rsid w:val="009B2E01"/>
    <w:rsid w:val="009B2EA3"/>
    <w:rsid w:val="009B46AD"/>
    <w:rsid w:val="009B4C50"/>
    <w:rsid w:val="009B50CA"/>
    <w:rsid w:val="009B6C7E"/>
    <w:rsid w:val="009C0BDD"/>
    <w:rsid w:val="009C1D52"/>
    <w:rsid w:val="009C2710"/>
    <w:rsid w:val="009C2B63"/>
    <w:rsid w:val="009C2CEC"/>
    <w:rsid w:val="009C396E"/>
    <w:rsid w:val="009C4B4C"/>
    <w:rsid w:val="009C4F3F"/>
    <w:rsid w:val="009C53CB"/>
    <w:rsid w:val="009C56F4"/>
    <w:rsid w:val="009C6BF0"/>
    <w:rsid w:val="009D110E"/>
    <w:rsid w:val="009D1FBD"/>
    <w:rsid w:val="009D38E0"/>
    <w:rsid w:val="009D541C"/>
    <w:rsid w:val="009D5863"/>
    <w:rsid w:val="009D5E4B"/>
    <w:rsid w:val="009D67B8"/>
    <w:rsid w:val="009D684C"/>
    <w:rsid w:val="009E04F7"/>
    <w:rsid w:val="009E0E15"/>
    <w:rsid w:val="009E13FC"/>
    <w:rsid w:val="009E1D3D"/>
    <w:rsid w:val="009E2804"/>
    <w:rsid w:val="009E3C65"/>
    <w:rsid w:val="009E6141"/>
    <w:rsid w:val="009E6E18"/>
    <w:rsid w:val="009E7813"/>
    <w:rsid w:val="009F0B4C"/>
    <w:rsid w:val="009F14A0"/>
    <w:rsid w:val="009F1DB8"/>
    <w:rsid w:val="009F24D2"/>
    <w:rsid w:val="009F366A"/>
    <w:rsid w:val="009F5318"/>
    <w:rsid w:val="009F626E"/>
    <w:rsid w:val="009F66A5"/>
    <w:rsid w:val="009F6A37"/>
    <w:rsid w:val="009F6D08"/>
    <w:rsid w:val="009F705C"/>
    <w:rsid w:val="009F763A"/>
    <w:rsid w:val="009F7D73"/>
    <w:rsid w:val="009F7E57"/>
    <w:rsid w:val="00A016C1"/>
    <w:rsid w:val="00A01C11"/>
    <w:rsid w:val="00A0246E"/>
    <w:rsid w:val="00A05E07"/>
    <w:rsid w:val="00A072CB"/>
    <w:rsid w:val="00A0750D"/>
    <w:rsid w:val="00A07871"/>
    <w:rsid w:val="00A11F04"/>
    <w:rsid w:val="00A122CB"/>
    <w:rsid w:val="00A123B2"/>
    <w:rsid w:val="00A1265D"/>
    <w:rsid w:val="00A12B7E"/>
    <w:rsid w:val="00A13477"/>
    <w:rsid w:val="00A13823"/>
    <w:rsid w:val="00A150CF"/>
    <w:rsid w:val="00A15982"/>
    <w:rsid w:val="00A1635B"/>
    <w:rsid w:val="00A1692C"/>
    <w:rsid w:val="00A16CE7"/>
    <w:rsid w:val="00A173D2"/>
    <w:rsid w:val="00A20909"/>
    <w:rsid w:val="00A20B82"/>
    <w:rsid w:val="00A22008"/>
    <w:rsid w:val="00A224F0"/>
    <w:rsid w:val="00A22D7A"/>
    <w:rsid w:val="00A23CF2"/>
    <w:rsid w:val="00A24118"/>
    <w:rsid w:val="00A24B6D"/>
    <w:rsid w:val="00A24C4E"/>
    <w:rsid w:val="00A254BB"/>
    <w:rsid w:val="00A2578B"/>
    <w:rsid w:val="00A25F49"/>
    <w:rsid w:val="00A26107"/>
    <w:rsid w:val="00A277EA"/>
    <w:rsid w:val="00A27C89"/>
    <w:rsid w:val="00A3053B"/>
    <w:rsid w:val="00A30592"/>
    <w:rsid w:val="00A30AEF"/>
    <w:rsid w:val="00A30FD1"/>
    <w:rsid w:val="00A32A8B"/>
    <w:rsid w:val="00A33E8E"/>
    <w:rsid w:val="00A346A1"/>
    <w:rsid w:val="00A35536"/>
    <w:rsid w:val="00A35672"/>
    <w:rsid w:val="00A35EDE"/>
    <w:rsid w:val="00A37151"/>
    <w:rsid w:val="00A3721A"/>
    <w:rsid w:val="00A4073E"/>
    <w:rsid w:val="00A425E1"/>
    <w:rsid w:val="00A431CF"/>
    <w:rsid w:val="00A44887"/>
    <w:rsid w:val="00A45EF6"/>
    <w:rsid w:val="00A46181"/>
    <w:rsid w:val="00A478AF"/>
    <w:rsid w:val="00A5037A"/>
    <w:rsid w:val="00A509AA"/>
    <w:rsid w:val="00A53AAA"/>
    <w:rsid w:val="00A53D67"/>
    <w:rsid w:val="00A53E84"/>
    <w:rsid w:val="00A54CA5"/>
    <w:rsid w:val="00A56DEE"/>
    <w:rsid w:val="00A574B0"/>
    <w:rsid w:val="00A57745"/>
    <w:rsid w:val="00A61E61"/>
    <w:rsid w:val="00A63F61"/>
    <w:rsid w:val="00A64477"/>
    <w:rsid w:val="00A6481A"/>
    <w:rsid w:val="00A65C02"/>
    <w:rsid w:val="00A65CB8"/>
    <w:rsid w:val="00A66C64"/>
    <w:rsid w:val="00A67128"/>
    <w:rsid w:val="00A67953"/>
    <w:rsid w:val="00A67E93"/>
    <w:rsid w:val="00A70BE1"/>
    <w:rsid w:val="00A70EB7"/>
    <w:rsid w:val="00A70FD0"/>
    <w:rsid w:val="00A730F9"/>
    <w:rsid w:val="00A736B3"/>
    <w:rsid w:val="00A739FD"/>
    <w:rsid w:val="00A73F32"/>
    <w:rsid w:val="00A73F5D"/>
    <w:rsid w:val="00A744BD"/>
    <w:rsid w:val="00A74943"/>
    <w:rsid w:val="00A75303"/>
    <w:rsid w:val="00A76236"/>
    <w:rsid w:val="00A76269"/>
    <w:rsid w:val="00A763A1"/>
    <w:rsid w:val="00A76643"/>
    <w:rsid w:val="00A832B1"/>
    <w:rsid w:val="00A83904"/>
    <w:rsid w:val="00A83CCE"/>
    <w:rsid w:val="00A849FA"/>
    <w:rsid w:val="00A84CCF"/>
    <w:rsid w:val="00A84E2C"/>
    <w:rsid w:val="00A85194"/>
    <w:rsid w:val="00A86344"/>
    <w:rsid w:val="00A87335"/>
    <w:rsid w:val="00A903CF"/>
    <w:rsid w:val="00A9291A"/>
    <w:rsid w:val="00A92A48"/>
    <w:rsid w:val="00A93A43"/>
    <w:rsid w:val="00A951DC"/>
    <w:rsid w:val="00A957F4"/>
    <w:rsid w:val="00A95B91"/>
    <w:rsid w:val="00A95E4A"/>
    <w:rsid w:val="00A9647A"/>
    <w:rsid w:val="00A96833"/>
    <w:rsid w:val="00A970A4"/>
    <w:rsid w:val="00A97748"/>
    <w:rsid w:val="00A978F2"/>
    <w:rsid w:val="00AA0B84"/>
    <w:rsid w:val="00AA0D4F"/>
    <w:rsid w:val="00AA2423"/>
    <w:rsid w:val="00AA2EB6"/>
    <w:rsid w:val="00AA40F0"/>
    <w:rsid w:val="00AA5411"/>
    <w:rsid w:val="00AA64D6"/>
    <w:rsid w:val="00AA650C"/>
    <w:rsid w:val="00AA6F13"/>
    <w:rsid w:val="00AA73F1"/>
    <w:rsid w:val="00AA7543"/>
    <w:rsid w:val="00AB012C"/>
    <w:rsid w:val="00AB09CF"/>
    <w:rsid w:val="00AB0F34"/>
    <w:rsid w:val="00AB1388"/>
    <w:rsid w:val="00AB1808"/>
    <w:rsid w:val="00AB21F7"/>
    <w:rsid w:val="00AB279C"/>
    <w:rsid w:val="00AB357F"/>
    <w:rsid w:val="00AB478E"/>
    <w:rsid w:val="00AB4C62"/>
    <w:rsid w:val="00AB5B52"/>
    <w:rsid w:val="00AB5B95"/>
    <w:rsid w:val="00AB687F"/>
    <w:rsid w:val="00AC06D1"/>
    <w:rsid w:val="00AC0A07"/>
    <w:rsid w:val="00AC0E63"/>
    <w:rsid w:val="00AC122C"/>
    <w:rsid w:val="00AC1A64"/>
    <w:rsid w:val="00AC4485"/>
    <w:rsid w:val="00AC6736"/>
    <w:rsid w:val="00AC7E71"/>
    <w:rsid w:val="00AD22C1"/>
    <w:rsid w:val="00AD22DC"/>
    <w:rsid w:val="00AD31AE"/>
    <w:rsid w:val="00AD32D9"/>
    <w:rsid w:val="00AD3FC5"/>
    <w:rsid w:val="00AD5039"/>
    <w:rsid w:val="00AD74A9"/>
    <w:rsid w:val="00AD7BB9"/>
    <w:rsid w:val="00AE08A7"/>
    <w:rsid w:val="00AE1B68"/>
    <w:rsid w:val="00AE25F8"/>
    <w:rsid w:val="00AE2772"/>
    <w:rsid w:val="00AE2909"/>
    <w:rsid w:val="00AE3058"/>
    <w:rsid w:val="00AE33B5"/>
    <w:rsid w:val="00AE490A"/>
    <w:rsid w:val="00AE4923"/>
    <w:rsid w:val="00AE4EC2"/>
    <w:rsid w:val="00AE536E"/>
    <w:rsid w:val="00AE56F4"/>
    <w:rsid w:val="00AE6407"/>
    <w:rsid w:val="00AE6872"/>
    <w:rsid w:val="00AE6F12"/>
    <w:rsid w:val="00AE70B8"/>
    <w:rsid w:val="00AF0EE6"/>
    <w:rsid w:val="00AF1062"/>
    <w:rsid w:val="00AF12D2"/>
    <w:rsid w:val="00AF1ECF"/>
    <w:rsid w:val="00AF29B9"/>
    <w:rsid w:val="00AF3585"/>
    <w:rsid w:val="00AF47E6"/>
    <w:rsid w:val="00AF578F"/>
    <w:rsid w:val="00AF5DE1"/>
    <w:rsid w:val="00AF710A"/>
    <w:rsid w:val="00B002D3"/>
    <w:rsid w:val="00B00D23"/>
    <w:rsid w:val="00B05B7B"/>
    <w:rsid w:val="00B060DF"/>
    <w:rsid w:val="00B06E93"/>
    <w:rsid w:val="00B076E7"/>
    <w:rsid w:val="00B1039B"/>
    <w:rsid w:val="00B10E59"/>
    <w:rsid w:val="00B11F78"/>
    <w:rsid w:val="00B12243"/>
    <w:rsid w:val="00B1279E"/>
    <w:rsid w:val="00B13146"/>
    <w:rsid w:val="00B13A36"/>
    <w:rsid w:val="00B13A7A"/>
    <w:rsid w:val="00B13ADC"/>
    <w:rsid w:val="00B1570B"/>
    <w:rsid w:val="00B15D95"/>
    <w:rsid w:val="00B16DAE"/>
    <w:rsid w:val="00B17055"/>
    <w:rsid w:val="00B17503"/>
    <w:rsid w:val="00B17F70"/>
    <w:rsid w:val="00B20423"/>
    <w:rsid w:val="00B20935"/>
    <w:rsid w:val="00B21257"/>
    <w:rsid w:val="00B21AE8"/>
    <w:rsid w:val="00B221B4"/>
    <w:rsid w:val="00B2266C"/>
    <w:rsid w:val="00B226D8"/>
    <w:rsid w:val="00B22FA8"/>
    <w:rsid w:val="00B2398D"/>
    <w:rsid w:val="00B241BA"/>
    <w:rsid w:val="00B2446B"/>
    <w:rsid w:val="00B248C4"/>
    <w:rsid w:val="00B259B1"/>
    <w:rsid w:val="00B2624E"/>
    <w:rsid w:val="00B26963"/>
    <w:rsid w:val="00B27FCF"/>
    <w:rsid w:val="00B30995"/>
    <w:rsid w:val="00B34632"/>
    <w:rsid w:val="00B3491B"/>
    <w:rsid w:val="00B35D93"/>
    <w:rsid w:val="00B361B2"/>
    <w:rsid w:val="00B36FDE"/>
    <w:rsid w:val="00B370D4"/>
    <w:rsid w:val="00B37B27"/>
    <w:rsid w:val="00B37DF2"/>
    <w:rsid w:val="00B409CB"/>
    <w:rsid w:val="00B42E40"/>
    <w:rsid w:val="00B43DA4"/>
    <w:rsid w:val="00B44918"/>
    <w:rsid w:val="00B46C51"/>
    <w:rsid w:val="00B5028E"/>
    <w:rsid w:val="00B5189C"/>
    <w:rsid w:val="00B536D4"/>
    <w:rsid w:val="00B54B96"/>
    <w:rsid w:val="00B54E31"/>
    <w:rsid w:val="00B5508E"/>
    <w:rsid w:val="00B559FF"/>
    <w:rsid w:val="00B57119"/>
    <w:rsid w:val="00B57307"/>
    <w:rsid w:val="00B57968"/>
    <w:rsid w:val="00B57999"/>
    <w:rsid w:val="00B57E2F"/>
    <w:rsid w:val="00B600B6"/>
    <w:rsid w:val="00B609C9"/>
    <w:rsid w:val="00B62238"/>
    <w:rsid w:val="00B62413"/>
    <w:rsid w:val="00B62D7D"/>
    <w:rsid w:val="00B63FF2"/>
    <w:rsid w:val="00B64274"/>
    <w:rsid w:val="00B64D7F"/>
    <w:rsid w:val="00B655C4"/>
    <w:rsid w:val="00B66976"/>
    <w:rsid w:val="00B7090F"/>
    <w:rsid w:val="00B70B95"/>
    <w:rsid w:val="00B71282"/>
    <w:rsid w:val="00B723BA"/>
    <w:rsid w:val="00B733FC"/>
    <w:rsid w:val="00B74F93"/>
    <w:rsid w:val="00B754E1"/>
    <w:rsid w:val="00B75BC9"/>
    <w:rsid w:val="00B75C48"/>
    <w:rsid w:val="00B774E0"/>
    <w:rsid w:val="00B77C08"/>
    <w:rsid w:val="00B80496"/>
    <w:rsid w:val="00B816F7"/>
    <w:rsid w:val="00B81C2E"/>
    <w:rsid w:val="00B81D74"/>
    <w:rsid w:val="00B828E6"/>
    <w:rsid w:val="00B847A7"/>
    <w:rsid w:val="00B85167"/>
    <w:rsid w:val="00B858EF"/>
    <w:rsid w:val="00B874C3"/>
    <w:rsid w:val="00B87656"/>
    <w:rsid w:val="00B8765D"/>
    <w:rsid w:val="00B902A1"/>
    <w:rsid w:val="00B918DA"/>
    <w:rsid w:val="00B91B8D"/>
    <w:rsid w:val="00B91F68"/>
    <w:rsid w:val="00B933DC"/>
    <w:rsid w:val="00B93880"/>
    <w:rsid w:val="00B9402A"/>
    <w:rsid w:val="00B94751"/>
    <w:rsid w:val="00B94B06"/>
    <w:rsid w:val="00B95706"/>
    <w:rsid w:val="00B95FC7"/>
    <w:rsid w:val="00B96087"/>
    <w:rsid w:val="00B978A2"/>
    <w:rsid w:val="00BA03F4"/>
    <w:rsid w:val="00BA1A95"/>
    <w:rsid w:val="00BA1E8F"/>
    <w:rsid w:val="00BA235D"/>
    <w:rsid w:val="00BA42C9"/>
    <w:rsid w:val="00BA430C"/>
    <w:rsid w:val="00BA4726"/>
    <w:rsid w:val="00BA4B00"/>
    <w:rsid w:val="00BA4B87"/>
    <w:rsid w:val="00BA50C2"/>
    <w:rsid w:val="00BA62D7"/>
    <w:rsid w:val="00BA7D18"/>
    <w:rsid w:val="00BB06EC"/>
    <w:rsid w:val="00BB1017"/>
    <w:rsid w:val="00BB26BA"/>
    <w:rsid w:val="00BB31DF"/>
    <w:rsid w:val="00BB3DC7"/>
    <w:rsid w:val="00BB4871"/>
    <w:rsid w:val="00BB677A"/>
    <w:rsid w:val="00BC021E"/>
    <w:rsid w:val="00BC0856"/>
    <w:rsid w:val="00BC0CD4"/>
    <w:rsid w:val="00BC1E6F"/>
    <w:rsid w:val="00BC2183"/>
    <w:rsid w:val="00BC31EF"/>
    <w:rsid w:val="00BC33F6"/>
    <w:rsid w:val="00BC48E8"/>
    <w:rsid w:val="00BC4C47"/>
    <w:rsid w:val="00BC6298"/>
    <w:rsid w:val="00BC6DF5"/>
    <w:rsid w:val="00BC710C"/>
    <w:rsid w:val="00BD0BDC"/>
    <w:rsid w:val="00BD12B3"/>
    <w:rsid w:val="00BD138A"/>
    <w:rsid w:val="00BD1ABD"/>
    <w:rsid w:val="00BD2335"/>
    <w:rsid w:val="00BD3066"/>
    <w:rsid w:val="00BD4DD3"/>
    <w:rsid w:val="00BD5ACD"/>
    <w:rsid w:val="00BD6090"/>
    <w:rsid w:val="00BD6496"/>
    <w:rsid w:val="00BD6AB5"/>
    <w:rsid w:val="00BD6C72"/>
    <w:rsid w:val="00BD737A"/>
    <w:rsid w:val="00BE0362"/>
    <w:rsid w:val="00BE048A"/>
    <w:rsid w:val="00BE05C5"/>
    <w:rsid w:val="00BE0C00"/>
    <w:rsid w:val="00BE0C61"/>
    <w:rsid w:val="00BE141C"/>
    <w:rsid w:val="00BE15B2"/>
    <w:rsid w:val="00BE3DDF"/>
    <w:rsid w:val="00BE5FEB"/>
    <w:rsid w:val="00BF0A17"/>
    <w:rsid w:val="00BF0AFC"/>
    <w:rsid w:val="00BF14FF"/>
    <w:rsid w:val="00BF1567"/>
    <w:rsid w:val="00BF1CA6"/>
    <w:rsid w:val="00BF1F01"/>
    <w:rsid w:val="00BF307D"/>
    <w:rsid w:val="00BF3A49"/>
    <w:rsid w:val="00BF3F90"/>
    <w:rsid w:val="00BF4A86"/>
    <w:rsid w:val="00BF50A2"/>
    <w:rsid w:val="00BF7122"/>
    <w:rsid w:val="00C0063A"/>
    <w:rsid w:val="00C00C4C"/>
    <w:rsid w:val="00C010D3"/>
    <w:rsid w:val="00C014AA"/>
    <w:rsid w:val="00C014F5"/>
    <w:rsid w:val="00C01642"/>
    <w:rsid w:val="00C01F3D"/>
    <w:rsid w:val="00C02267"/>
    <w:rsid w:val="00C02B21"/>
    <w:rsid w:val="00C02E5D"/>
    <w:rsid w:val="00C03EC6"/>
    <w:rsid w:val="00C04C6B"/>
    <w:rsid w:val="00C0536B"/>
    <w:rsid w:val="00C05517"/>
    <w:rsid w:val="00C05D9D"/>
    <w:rsid w:val="00C065D3"/>
    <w:rsid w:val="00C07673"/>
    <w:rsid w:val="00C1098E"/>
    <w:rsid w:val="00C112C9"/>
    <w:rsid w:val="00C11F79"/>
    <w:rsid w:val="00C121CE"/>
    <w:rsid w:val="00C1259C"/>
    <w:rsid w:val="00C12A9A"/>
    <w:rsid w:val="00C12AEE"/>
    <w:rsid w:val="00C13548"/>
    <w:rsid w:val="00C14291"/>
    <w:rsid w:val="00C15153"/>
    <w:rsid w:val="00C17547"/>
    <w:rsid w:val="00C17CD1"/>
    <w:rsid w:val="00C17FD6"/>
    <w:rsid w:val="00C2039A"/>
    <w:rsid w:val="00C205DE"/>
    <w:rsid w:val="00C21398"/>
    <w:rsid w:val="00C21E12"/>
    <w:rsid w:val="00C2218E"/>
    <w:rsid w:val="00C22A6A"/>
    <w:rsid w:val="00C24661"/>
    <w:rsid w:val="00C247F8"/>
    <w:rsid w:val="00C249C6"/>
    <w:rsid w:val="00C25D92"/>
    <w:rsid w:val="00C26743"/>
    <w:rsid w:val="00C269DB"/>
    <w:rsid w:val="00C26B9D"/>
    <w:rsid w:val="00C2779D"/>
    <w:rsid w:val="00C302D2"/>
    <w:rsid w:val="00C3497E"/>
    <w:rsid w:val="00C35176"/>
    <w:rsid w:val="00C355C1"/>
    <w:rsid w:val="00C3622F"/>
    <w:rsid w:val="00C378C5"/>
    <w:rsid w:val="00C37BE8"/>
    <w:rsid w:val="00C4632A"/>
    <w:rsid w:val="00C46639"/>
    <w:rsid w:val="00C466EB"/>
    <w:rsid w:val="00C468D4"/>
    <w:rsid w:val="00C46AFD"/>
    <w:rsid w:val="00C50BE9"/>
    <w:rsid w:val="00C514D3"/>
    <w:rsid w:val="00C51578"/>
    <w:rsid w:val="00C53F83"/>
    <w:rsid w:val="00C54674"/>
    <w:rsid w:val="00C5488C"/>
    <w:rsid w:val="00C548AE"/>
    <w:rsid w:val="00C556F1"/>
    <w:rsid w:val="00C55D92"/>
    <w:rsid w:val="00C575D4"/>
    <w:rsid w:val="00C57BD0"/>
    <w:rsid w:val="00C60771"/>
    <w:rsid w:val="00C6179D"/>
    <w:rsid w:val="00C707BF"/>
    <w:rsid w:val="00C70B47"/>
    <w:rsid w:val="00C70BE0"/>
    <w:rsid w:val="00C7157E"/>
    <w:rsid w:val="00C71EA8"/>
    <w:rsid w:val="00C72A72"/>
    <w:rsid w:val="00C72C88"/>
    <w:rsid w:val="00C72D54"/>
    <w:rsid w:val="00C737D9"/>
    <w:rsid w:val="00C74527"/>
    <w:rsid w:val="00C74F9C"/>
    <w:rsid w:val="00C75215"/>
    <w:rsid w:val="00C75523"/>
    <w:rsid w:val="00C75765"/>
    <w:rsid w:val="00C7691B"/>
    <w:rsid w:val="00C77096"/>
    <w:rsid w:val="00C775F5"/>
    <w:rsid w:val="00C80A18"/>
    <w:rsid w:val="00C80ECB"/>
    <w:rsid w:val="00C81B0A"/>
    <w:rsid w:val="00C8283D"/>
    <w:rsid w:val="00C8295A"/>
    <w:rsid w:val="00C82DF0"/>
    <w:rsid w:val="00C84F37"/>
    <w:rsid w:val="00C8515F"/>
    <w:rsid w:val="00C86083"/>
    <w:rsid w:val="00C8680A"/>
    <w:rsid w:val="00C87E6E"/>
    <w:rsid w:val="00C91925"/>
    <w:rsid w:val="00C9234E"/>
    <w:rsid w:val="00C92919"/>
    <w:rsid w:val="00C92EEE"/>
    <w:rsid w:val="00C935E9"/>
    <w:rsid w:val="00C9385B"/>
    <w:rsid w:val="00C9420F"/>
    <w:rsid w:val="00C94503"/>
    <w:rsid w:val="00C94765"/>
    <w:rsid w:val="00C94AA3"/>
    <w:rsid w:val="00C95B3A"/>
    <w:rsid w:val="00C95FFE"/>
    <w:rsid w:val="00C961FC"/>
    <w:rsid w:val="00C9636E"/>
    <w:rsid w:val="00C970FA"/>
    <w:rsid w:val="00CA069E"/>
    <w:rsid w:val="00CA24A1"/>
    <w:rsid w:val="00CA3B2C"/>
    <w:rsid w:val="00CA3BE4"/>
    <w:rsid w:val="00CA57BD"/>
    <w:rsid w:val="00CA6DC5"/>
    <w:rsid w:val="00CA722B"/>
    <w:rsid w:val="00CA798B"/>
    <w:rsid w:val="00CA79D1"/>
    <w:rsid w:val="00CB013C"/>
    <w:rsid w:val="00CB08FF"/>
    <w:rsid w:val="00CB09E3"/>
    <w:rsid w:val="00CB158E"/>
    <w:rsid w:val="00CB1C47"/>
    <w:rsid w:val="00CB260A"/>
    <w:rsid w:val="00CB2696"/>
    <w:rsid w:val="00CB32B3"/>
    <w:rsid w:val="00CB50D7"/>
    <w:rsid w:val="00CB5A82"/>
    <w:rsid w:val="00CB6439"/>
    <w:rsid w:val="00CC089F"/>
    <w:rsid w:val="00CC1021"/>
    <w:rsid w:val="00CC1421"/>
    <w:rsid w:val="00CC52E3"/>
    <w:rsid w:val="00CC5330"/>
    <w:rsid w:val="00CC6187"/>
    <w:rsid w:val="00CC675C"/>
    <w:rsid w:val="00CC6F54"/>
    <w:rsid w:val="00CD08F6"/>
    <w:rsid w:val="00CD16F4"/>
    <w:rsid w:val="00CD2E5F"/>
    <w:rsid w:val="00CD4FE9"/>
    <w:rsid w:val="00CD6A7D"/>
    <w:rsid w:val="00CD6F3C"/>
    <w:rsid w:val="00CD7448"/>
    <w:rsid w:val="00CD7876"/>
    <w:rsid w:val="00CD795D"/>
    <w:rsid w:val="00CE0E5C"/>
    <w:rsid w:val="00CE17F7"/>
    <w:rsid w:val="00CE1A8B"/>
    <w:rsid w:val="00CE23EB"/>
    <w:rsid w:val="00CE240E"/>
    <w:rsid w:val="00CE39B0"/>
    <w:rsid w:val="00CE39ED"/>
    <w:rsid w:val="00CE51D2"/>
    <w:rsid w:val="00CE5CC9"/>
    <w:rsid w:val="00CE6A06"/>
    <w:rsid w:val="00CE786D"/>
    <w:rsid w:val="00CF0114"/>
    <w:rsid w:val="00CF055C"/>
    <w:rsid w:val="00CF06F7"/>
    <w:rsid w:val="00CF2865"/>
    <w:rsid w:val="00CF2E74"/>
    <w:rsid w:val="00CF2FAA"/>
    <w:rsid w:val="00CF3E23"/>
    <w:rsid w:val="00CF41AB"/>
    <w:rsid w:val="00CF4857"/>
    <w:rsid w:val="00CF48DB"/>
    <w:rsid w:val="00CF535A"/>
    <w:rsid w:val="00CF751B"/>
    <w:rsid w:val="00CF76BF"/>
    <w:rsid w:val="00CF7E2C"/>
    <w:rsid w:val="00D00300"/>
    <w:rsid w:val="00D007A5"/>
    <w:rsid w:val="00D01132"/>
    <w:rsid w:val="00D019DA"/>
    <w:rsid w:val="00D02814"/>
    <w:rsid w:val="00D02C16"/>
    <w:rsid w:val="00D03623"/>
    <w:rsid w:val="00D05706"/>
    <w:rsid w:val="00D05AB0"/>
    <w:rsid w:val="00D06106"/>
    <w:rsid w:val="00D06AAD"/>
    <w:rsid w:val="00D108B5"/>
    <w:rsid w:val="00D10907"/>
    <w:rsid w:val="00D11D0C"/>
    <w:rsid w:val="00D127C2"/>
    <w:rsid w:val="00D136C3"/>
    <w:rsid w:val="00D14269"/>
    <w:rsid w:val="00D15841"/>
    <w:rsid w:val="00D1676E"/>
    <w:rsid w:val="00D178E0"/>
    <w:rsid w:val="00D20068"/>
    <w:rsid w:val="00D203D7"/>
    <w:rsid w:val="00D20A0A"/>
    <w:rsid w:val="00D21F14"/>
    <w:rsid w:val="00D22384"/>
    <w:rsid w:val="00D22B51"/>
    <w:rsid w:val="00D22DBE"/>
    <w:rsid w:val="00D231C6"/>
    <w:rsid w:val="00D24052"/>
    <w:rsid w:val="00D25769"/>
    <w:rsid w:val="00D259E0"/>
    <w:rsid w:val="00D26EF6"/>
    <w:rsid w:val="00D27BC3"/>
    <w:rsid w:val="00D32C59"/>
    <w:rsid w:val="00D347A8"/>
    <w:rsid w:val="00D35242"/>
    <w:rsid w:val="00D3560F"/>
    <w:rsid w:val="00D358B7"/>
    <w:rsid w:val="00D36381"/>
    <w:rsid w:val="00D3755C"/>
    <w:rsid w:val="00D41F50"/>
    <w:rsid w:val="00D429F5"/>
    <w:rsid w:val="00D43820"/>
    <w:rsid w:val="00D43FAE"/>
    <w:rsid w:val="00D50332"/>
    <w:rsid w:val="00D51034"/>
    <w:rsid w:val="00D51FB2"/>
    <w:rsid w:val="00D52837"/>
    <w:rsid w:val="00D5310B"/>
    <w:rsid w:val="00D535B4"/>
    <w:rsid w:val="00D53F70"/>
    <w:rsid w:val="00D54105"/>
    <w:rsid w:val="00D5578C"/>
    <w:rsid w:val="00D55E50"/>
    <w:rsid w:val="00D565D6"/>
    <w:rsid w:val="00D57165"/>
    <w:rsid w:val="00D57FF1"/>
    <w:rsid w:val="00D6041F"/>
    <w:rsid w:val="00D6238E"/>
    <w:rsid w:val="00D62443"/>
    <w:rsid w:val="00D626AB"/>
    <w:rsid w:val="00D62CFB"/>
    <w:rsid w:val="00D660C9"/>
    <w:rsid w:val="00D6728F"/>
    <w:rsid w:val="00D6764A"/>
    <w:rsid w:val="00D6797F"/>
    <w:rsid w:val="00D72FBD"/>
    <w:rsid w:val="00D74258"/>
    <w:rsid w:val="00D757B2"/>
    <w:rsid w:val="00D75AC1"/>
    <w:rsid w:val="00D75E62"/>
    <w:rsid w:val="00D75FB9"/>
    <w:rsid w:val="00D768E5"/>
    <w:rsid w:val="00D76CE2"/>
    <w:rsid w:val="00D776E6"/>
    <w:rsid w:val="00D80B32"/>
    <w:rsid w:val="00D81315"/>
    <w:rsid w:val="00D81322"/>
    <w:rsid w:val="00D82DDA"/>
    <w:rsid w:val="00D839A6"/>
    <w:rsid w:val="00D844CF"/>
    <w:rsid w:val="00D84F24"/>
    <w:rsid w:val="00D86678"/>
    <w:rsid w:val="00D866B4"/>
    <w:rsid w:val="00D869D0"/>
    <w:rsid w:val="00D86EFA"/>
    <w:rsid w:val="00D87D1A"/>
    <w:rsid w:val="00D9063B"/>
    <w:rsid w:val="00D94556"/>
    <w:rsid w:val="00D955F6"/>
    <w:rsid w:val="00D95F5B"/>
    <w:rsid w:val="00D9615F"/>
    <w:rsid w:val="00D96FF1"/>
    <w:rsid w:val="00D97103"/>
    <w:rsid w:val="00D97EB9"/>
    <w:rsid w:val="00DA0F5A"/>
    <w:rsid w:val="00DA1F41"/>
    <w:rsid w:val="00DA2FD2"/>
    <w:rsid w:val="00DA4D6C"/>
    <w:rsid w:val="00DA7AD0"/>
    <w:rsid w:val="00DB34CF"/>
    <w:rsid w:val="00DB3E32"/>
    <w:rsid w:val="00DB4390"/>
    <w:rsid w:val="00DB553A"/>
    <w:rsid w:val="00DB589B"/>
    <w:rsid w:val="00DB678E"/>
    <w:rsid w:val="00DB6948"/>
    <w:rsid w:val="00DB6D30"/>
    <w:rsid w:val="00DB7515"/>
    <w:rsid w:val="00DC001E"/>
    <w:rsid w:val="00DC0AA1"/>
    <w:rsid w:val="00DC0B3B"/>
    <w:rsid w:val="00DC1D1F"/>
    <w:rsid w:val="00DC2CED"/>
    <w:rsid w:val="00DC4340"/>
    <w:rsid w:val="00DC4447"/>
    <w:rsid w:val="00DC4812"/>
    <w:rsid w:val="00DC6B08"/>
    <w:rsid w:val="00DC7AB5"/>
    <w:rsid w:val="00DD0764"/>
    <w:rsid w:val="00DD1BC8"/>
    <w:rsid w:val="00DD271B"/>
    <w:rsid w:val="00DD34D1"/>
    <w:rsid w:val="00DD3CB7"/>
    <w:rsid w:val="00DD4317"/>
    <w:rsid w:val="00DD48AB"/>
    <w:rsid w:val="00DD5874"/>
    <w:rsid w:val="00DD5BD5"/>
    <w:rsid w:val="00DD6813"/>
    <w:rsid w:val="00DD77A4"/>
    <w:rsid w:val="00DE0207"/>
    <w:rsid w:val="00DE064F"/>
    <w:rsid w:val="00DE1B1C"/>
    <w:rsid w:val="00DE1D45"/>
    <w:rsid w:val="00DE4F6E"/>
    <w:rsid w:val="00DE4FD3"/>
    <w:rsid w:val="00DE52BC"/>
    <w:rsid w:val="00DE594D"/>
    <w:rsid w:val="00DE6E62"/>
    <w:rsid w:val="00DE6E70"/>
    <w:rsid w:val="00DE6E81"/>
    <w:rsid w:val="00DE71AD"/>
    <w:rsid w:val="00DF07DB"/>
    <w:rsid w:val="00DF17CF"/>
    <w:rsid w:val="00DF2399"/>
    <w:rsid w:val="00DF23F3"/>
    <w:rsid w:val="00DF3D4F"/>
    <w:rsid w:val="00DF4ABF"/>
    <w:rsid w:val="00DF5850"/>
    <w:rsid w:val="00DF695F"/>
    <w:rsid w:val="00E00085"/>
    <w:rsid w:val="00E00713"/>
    <w:rsid w:val="00E048F3"/>
    <w:rsid w:val="00E05B6E"/>
    <w:rsid w:val="00E075EF"/>
    <w:rsid w:val="00E07DF8"/>
    <w:rsid w:val="00E102A0"/>
    <w:rsid w:val="00E12C22"/>
    <w:rsid w:val="00E132EC"/>
    <w:rsid w:val="00E13CD0"/>
    <w:rsid w:val="00E13F7E"/>
    <w:rsid w:val="00E145B0"/>
    <w:rsid w:val="00E1511F"/>
    <w:rsid w:val="00E1528F"/>
    <w:rsid w:val="00E15800"/>
    <w:rsid w:val="00E1659A"/>
    <w:rsid w:val="00E166E5"/>
    <w:rsid w:val="00E16794"/>
    <w:rsid w:val="00E175FB"/>
    <w:rsid w:val="00E208D9"/>
    <w:rsid w:val="00E21057"/>
    <w:rsid w:val="00E21518"/>
    <w:rsid w:val="00E21768"/>
    <w:rsid w:val="00E217E1"/>
    <w:rsid w:val="00E2196A"/>
    <w:rsid w:val="00E21DBD"/>
    <w:rsid w:val="00E22335"/>
    <w:rsid w:val="00E23B3C"/>
    <w:rsid w:val="00E25B8C"/>
    <w:rsid w:val="00E26A5A"/>
    <w:rsid w:val="00E278BF"/>
    <w:rsid w:val="00E30449"/>
    <w:rsid w:val="00E30552"/>
    <w:rsid w:val="00E328DD"/>
    <w:rsid w:val="00E33B92"/>
    <w:rsid w:val="00E35999"/>
    <w:rsid w:val="00E36453"/>
    <w:rsid w:val="00E369E9"/>
    <w:rsid w:val="00E36A9D"/>
    <w:rsid w:val="00E36F86"/>
    <w:rsid w:val="00E37233"/>
    <w:rsid w:val="00E377F7"/>
    <w:rsid w:val="00E37822"/>
    <w:rsid w:val="00E379BB"/>
    <w:rsid w:val="00E37B73"/>
    <w:rsid w:val="00E37D54"/>
    <w:rsid w:val="00E37E60"/>
    <w:rsid w:val="00E40637"/>
    <w:rsid w:val="00E41603"/>
    <w:rsid w:val="00E41AE6"/>
    <w:rsid w:val="00E426BC"/>
    <w:rsid w:val="00E427B5"/>
    <w:rsid w:val="00E4382D"/>
    <w:rsid w:val="00E438A9"/>
    <w:rsid w:val="00E43C46"/>
    <w:rsid w:val="00E43F56"/>
    <w:rsid w:val="00E448A3"/>
    <w:rsid w:val="00E44E05"/>
    <w:rsid w:val="00E458E6"/>
    <w:rsid w:val="00E471BA"/>
    <w:rsid w:val="00E47D74"/>
    <w:rsid w:val="00E512B1"/>
    <w:rsid w:val="00E5170D"/>
    <w:rsid w:val="00E51843"/>
    <w:rsid w:val="00E51D51"/>
    <w:rsid w:val="00E53217"/>
    <w:rsid w:val="00E53A3B"/>
    <w:rsid w:val="00E53FE5"/>
    <w:rsid w:val="00E547DE"/>
    <w:rsid w:val="00E56482"/>
    <w:rsid w:val="00E56A31"/>
    <w:rsid w:val="00E57B4D"/>
    <w:rsid w:val="00E61480"/>
    <w:rsid w:val="00E6148C"/>
    <w:rsid w:val="00E615AB"/>
    <w:rsid w:val="00E61F79"/>
    <w:rsid w:val="00E63669"/>
    <w:rsid w:val="00E64DDC"/>
    <w:rsid w:val="00E67247"/>
    <w:rsid w:val="00E6745F"/>
    <w:rsid w:val="00E67D55"/>
    <w:rsid w:val="00E70E0F"/>
    <w:rsid w:val="00E717CD"/>
    <w:rsid w:val="00E73991"/>
    <w:rsid w:val="00E73E9A"/>
    <w:rsid w:val="00E74126"/>
    <w:rsid w:val="00E75F45"/>
    <w:rsid w:val="00E77221"/>
    <w:rsid w:val="00E7734E"/>
    <w:rsid w:val="00E77641"/>
    <w:rsid w:val="00E804E2"/>
    <w:rsid w:val="00E8090D"/>
    <w:rsid w:val="00E81627"/>
    <w:rsid w:val="00E820A0"/>
    <w:rsid w:val="00E8219C"/>
    <w:rsid w:val="00E8251D"/>
    <w:rsid w:val="00E82E3D"/>
    <w:rsid w:val="00E85196"/>
    <w:rsid w:val="00E85D39"/>
    <w:rsid w:val="00E86309"/>
    <w:rsid w:val="00E865B8"/>
    <w:rsid w:val="00E86A4A"/>
    <w:rsid w:val="00E874BE"/>
    <w:rsid w:val="00E87612"/>
    <w:rsid w:val="00E878ED"/>
    <w:rsid w:val="00E914B5"/>
    <w:rsid w:val="00E9191D"/>
    <w:rsid w:val="00E9194B"/>
    <w:rsid w:val="00E93231"/>
    <w:rsid w:val="00E93863"/>
    <w:rsid w:val="00E94EE0"/>
    <w:rsid w:val="00E95125"/>
    <w:rsid w:val="00E95B25"/>
    <w:rsid w:val="00E967AA"/>
    <w:rsid w:val="00E96895"/>
    <w:rsid w:val="00E96BD6"/>
    <w:rsid w:val="00E96DFD"/>
    <w:rsid w:val="00EA00AA"/>
    <w:rsid w:val="00EA23F2"/>
    <w:rsid w:val="00EA2F8A"/>
    <w:rsid w:val="00EA34F6"/>
    <w:rsid w:val="00EA3FD8"/>
    <w:rsid w:val="00EA59E7"/>
    <w:rsid w:val="00EA5F59"/>
    <w:rsid w:val="00EA63A4"/>
    <w:rsid w:val="00EA72DA"/>
    <w:rsid w:val="00EA72EF"/>
    <w:rsid w:val="00EA7349"/>
    <w:rsid w:val="00EA777D"/>
    <w:rsid w:val="00EB11EB"/>
    <w:rsid w:val="00EB1B58"/>
    <w:rsid w:val="00EB2B9E"/>
    <w:rsid w:val="00EB2CB5"/>
    <w:rsid w:val="00EB2DEA"/>
    <w:rsid w:val="00EB3137"/>
    <w:rsid w:val="00EB325B"/>
    <w:rsid w:val="00EB45C3"/>
    <w:rsid w:val="00EB4771"/>
    <w:rsid w:val="00EB5DB8"/>
    <w:rsid w:val="00EB6A26"/>
    <w:rsid w:val="00EB6EFA"/>
    <w:rsid w:val="00EB77B1"/>
    <w:rsid w:val="00EB784E"/>
    <w:rsid w:val="00EB7EDB"/>
    <w:rsid w:val="00EC19B2"/>
    <w:rsid w:val="00EC2E13"/>
    <w:rsid w:val="00EC3527"/>
    <w:rsid w:val="00EC3964"/>
    <w:rsid w:val="00EC39D4"/>
    <w:rsid w:val="00EC403B"/>
    <w:rsid w:val="00EC44DC"/>
    <w:rsid w:val="00EC4A39"/>
    <w:rsid w:val="00EC4D14"/>
    <w:rsid w:val="00EC5361"/>
    <w:rsid w:val="00EC5B35"/>
    <w:rsid w:val="00EC6CC6"/>
    <w:rsid w:val="00EC7147"/>
    <w:rsid w:val="00EC7888"/>
    <w:rsid w:val="00EC78EA"/>
    <w:rsid w:val="00EC7A7E"/>
    <w:rsid w:val="00ED0377"/>
    <w:rsid w:val="00ED1858"/>
    <w:rsid w:val="00ED3374"/>
    <w:rsid w:val="00ED34C0"/>
    <w:rsid w:val="00ED3CA8"/>
    <w:rsid w:val="00ED5B81"/>
    <w:rsid w:val="00ED5D46"/>
    <w:rsid w:val="00EE1D26"/>
    <w:rsid w:val="00EE1FC2"/>
    <w:rsid w:val="00EE20B8"/>
    <w:rsid w:val="00EE21C4"/>
    <w:rsid w:val="00EE2464"/>
    <w:rsid w:val="00EE3641"/>
    <w:rsid w:val="00EE38C1"/>
    <w:rsid w:val="00EE5DB5"/>
    <w:rsid w:val="00EE5DC6"/>
    <w:rsid w:val="00EE6A65"/>
    <w:rsid w:val="00EF0300"/>
    <w:rsid w:val="00EF052D"/>
    <w:rsid w:val="00EF19A0"/>
    <w:rsid w:val="00EF1CD4"/>
    <w:rsid w:val="00EF335B"/>
    <w:rsid w:val="00EF3495"/>
    <w:rsid w:val="00EF3C55"/>
    <w:rsid w:val="00EF450A"/>
    <w:rsid w:val="00EF4D22"/>
    <w:rsid w:val="00EF5049"/>
    <w:rsid w:val="00EF58D9"/>
    <w:rsid w:val="00EF5BA2"/>
    <w:rsid w:val="00EF756D"/>
    <w:rsid w:val="00EF7584"/>
    <w:rsid w:val="00F0107C"/>
    <w:rsid w:val="00F018FC"/>
    <w:rsid w:val="00F01C51"/>
    <w:rsid w:val="00F01E94"/>
    <w:rsid w:val="00F0425D"/>
    <w:rsid w:val="00F04573"/>
    <w:rsid w:val="00F0480B"/>
    <w:rsid w:val="00F0509F"/>
    <w:rsid w:val="00F05F45"/>
    <w:rsid w:val="00F0635E"/>
    <w:rsid w:val="00F06AC9"/>
    <w:rsid w:val="00F1187B"/>
    <w:rsid w:val="00F12A6E"/>
    <w:rsid w:val="00F12F2B"/>
    <w:rsid w:val="00F13759"/>
    <w:rsid w:val="00F14066"/>
    <w:rsid w:val="00F144BB"/>
    <w:rsid w:val="00F17377"/>
    <w:rsid w:val="00F1752A"/>
    <w:rsid w:val="00F20DA6"/>
    <w:rsid w:val="00F20EBB"/>
    <w:rsid w:val="00F22D63"/>
    <w:rsid w:val="00F2449B"/>
    <w:rsid w:val="00F25294"/>
    <w:rsid w:val="00F257CB"/>
    <w:rsid w:val="00F25E02"/>
    <w:rsid w:val="00F26335"/>
    <w:rsid w:val="00F272F1"/>
    <w:rsid w:val="00F275B5"/>
    <w:rsid w:val="00F301E7"/>
    <w:rsid w:val="00F3081B"/>
    <w:rsid w:val="00F31AB0"/>
    <w:rsid w:val="00F31FA4"/>
    <w:rsid w:val="00F32A84"/>
    <w:rsid w:val="00F33779"/>
    <w:rsid w:val="00F34067"/>
    <w:rsid w:val="00F3517A"/>
    <w:rsid w:val="00F35680"/>
    <w:rsid w:val="00F36469"/>
    <w:rsid w:val="00F36F75"/>
    <w:rsid w:val="00F37493"/>
    <w:rsid w:val="00F37B1F"/>
    <w:rsid w:val="00F405CA"/>
    <w:rsid w:val="00F40CC8"/>
    <w:rsid w:val="00F410D6"/>
    <w:rsid w:val="00F4145F"/>
    <w:rsid w:val="00F41A90"/>
    <w:rsid w:val="00F41E85"/>
    <w:rsid w:val="00F42B7B"/>
    <w:rsid w:val="00F43707"/>
    <w:rsid w:val="00F44E11"/>
    <w:rsid w:val="00F45AB7"/>
    <w:rsid w:val="00F46AAC"/>
    <w:rsid w:val="00F474A6"/>
    <w:rsid w:val="00F474C7"/>
    <w:rsid w:val="00F47595"/>
    <w:rsid w:val="00F477A7"/>
    <w:rsid w:val="00F506BE"/>
    <w:rsid w:val="00F50C35"/>
    <w:rsid w:val="00F526BA"/>
    <w:rsid w:val="00F526EF"/>
    <w:rsid w:val="00F52AA9"/>
    <w:rsid w:val="00F53A5F"/>
    <w:rsid w:val="00F53FB3"/>
    <w:rsid w:val="00F55DE3"/>
    <w:rsid w:val="00F55EBC"/>
    <w:rsid w:val="00F56AFB"/>
    <w:rsid w:val="00F5710F"/>
    <w:rsid w:val="00F61078"/>
    <w:rsid w:val="00F62F00"/>
    <w:rsid w:val="00F63582"/>
    <w:rsid w:val="00F635CF"/>
    <w:rsid w:val="00F63CAF"/>
    <w:rsid w:val="00F63FE2"/>
    <w:rsid w:val="00F64134"/>
    <w:rsid w:val="00F67D70"/>
    <w:rsid w:val="00F70B23"/>
    <w:rsid w:val="00F71027"/>
    <w:rsid w:val="00F71A49"/>
    <w:rsid w:val="00F72C46"/>
    <w:rsid w:val="00F72CAB"/>
    <w:rsid w:val="00F75C1C"/>
    <w:rsid w:val="00F75FD5"/>
    <w:rsid w:val="00F7721B"/>
    <w:rsid w:val="00F774DA"/>
    <w:rsid w:val="00F802EE"/>
    <w:rsid w:val="00F8058B"/>
    <w:rsid w:val="00F810CF"/>
    <w:rsid w:val="00F8361D"/>
    <w:rsid w:val="00F84F20"/>
    <w:rsid w:val="00F84FB1"/>
    <w:rsid w:val="00F86680"/>
    <w:rsid w:val="00F9083C"/>
    <w:rsid w:val="00F90D96"/>
    <w:rsid w:val="00F921A7"/>
    <w:rsid w:val="00F924D4"/>
    <w:rsid w:val="00F96F59"/>
    <w:rsid w:val="00F97A89"/>
    <w:rsid w:val="00FA0770"/>
    <w:rsid w:val="00FA1A28"/>
    <w:rsid w:val="00FA2F59"/>
    <w:rsid w:val="00FA351F"/>
    <w:rsid w:val="00FA3A28"/>
    <w:rsid w:val="00FA3BFE"/>
    <w:rsid w:val="00FA4482"/>
    <w:rsid w:val="00FA59D9"/>
    <w:rsid w:val="00FA5DFE"/>
    <w:rsid w:val="00FA66A0"/>
    <w:rsid w:val="00FA6D82"/>
    <w:rsid w:val="00FA77BB"/>
    <w:rsid w:val="00FB02B8"/>
    <w:rsid w:val="00FB0C67"/>
    <w:rsid w:val="00FB1E9F"/>
    <w:rsid w:val="00FB46FE"/>
    <w:rsid w:val="00FB56C8"/>
    <w:rsid w:val="00FB653E"/>
    <w:rsid w:val="00FB7B5D"/>
    <w:rsid w:val="00FC0129"/>
    <w:rsid w:val="00FC0809"/>
    <w:rsid w:val="00FC2143"/>
    <w:rsid w:val="00FC279D"/>
    <w:rsid w:val="00FC2CD6"/>
    <w:rsid w:val="00FC3BD7"/>
    <w:rsid w:val="00FC3EA2"/>
    <w:rsid w:val="00FC6366"/>
    <w:rsid w:val="00FC65FE"/>
    <w:rsid w:val="00FC7687"/>
    <w:rsid w:val="00FC782E"/>
    <w:rsid w:val="00FC78B2"/>
    <w:rsid w:val="00FC7D52"/>
    <w:rsid w:val="00FC7F7E"/>
    <w:rsid w:val="00FD2B4A"/>
    <w:rsid w:val="00FD32CC"/>
    <w:rsid w:val="00FD3B2B"/>
    <w:rsid w:val="00FD4B16"/>
    <w:rsid w:val="00FD4EA2"/>
    <w:rsid w:val="00FD5A2E"/>
    <w:rsid w:val="00FD609B"/>
    <w:rsid w:val="00FE10BB"/>
    <w:rsid w:val="00FE1510"/>
    <w:rsid w:val="00FE2345"/>
    <w:rsid w:val="00FE27BB"/>
    <w:rsid w:val="00FE386C"/>
    <w:rsid w:val="00FE5C66"/>
    <w:rsid w:val="00FE67B0"/>
    <w:rsid w:val="00FE6DEB"/>
    <w:rsid w:val="00FF0091"/>
    <w:rsid w:val="00FF0903"/>
    <w:rsid w:val="00FF0A78"/>
    <w:rsid w:val="00FF20F5"/>
    <w:rsid w:val="00FF3C6E"/>
    <w:rsid w:val="00FF3FA9"/>
    <w:rsid w:val="00FF5C63"/>
    <w:rsid w:val="00FF5D19"/>
    <w:rsid w:val="00FF5DDA"/>
    <w:rsid w:val="00FF5E39"/>
    <w:rsid w:val="00FF5FA6"/>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EBB1455-865D-4F0C-B664-7777490E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E05"/>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DE594D"/>
    <w:pPr>
      <w:tabs>
        <w:tab w:val="right" w:leader="dot" w:pos="8296"/>
      </w:tabs>
      <w:spacing w:before="317" w:after="317" w:line="360" w:lineRule="exact"/>
      <w:ind w:leftChars="-200" w:left="-420" w:firstLineChars="200" w:firstLine="482"/>
      <w:contextualSpacing/>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3">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4">
    <w:name w:val="List Paragraph"/>
    <w:basedOn w:val="a0"/>
    <w:uiPriority w:val="34"/>
    <w:qFormat/>
    <w:rsid w:val="00BA03F4"/>
    <w:pPr>
      <w:ind w:firstLineChars="200" w:firstLine="420"/>
    </w:pPr>
    <w:rPr>
      <w:szCs w:val="21"/>
    </w:rPr>
  </w:style>
  <w:style w:type="table" w:styleId="af5">
    <w:name w:val="Table Grid"/>
    <w:basedOn w:val="a2"/>
    <w:qFormat/>
    <w:rsid w:val="00BA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basedOn w:val="a1"/>
    <w:semiHidden/>
    <w:locked/>
    <w:rsid w:val="00C4632A"/>
    <w:rPr>
      <w:rFonts w:ascii="宋体" w:hAnsi="Courier New" w:cs="Courier New"/>
      <w:kern w:val="2"/>
      <w:sz w:val="21"/>
      <w:szCs w:val="21"/>
    </w:rPr>
  </w:style>
  <w:style w:type="character" w:styleId="af6">
    <w:name w:val="FollowedHyperlink"/>
    <w:basedOn w:val="a1"/>
    <w:uiPriority w:val="99"/>
    <w:unhideWhenUsed/>
    <w:rsid w:val="00321BD0"/>
    <w:rPr>
      <w:color w:val="800080" w:themeColor="followedHyperlink"/>
      <w:u w:val="single"/>
    </w:rPr>
  </w:style>
  <w:style w:type="character" w:customStyle="1" w:styleId="t1">
    <w:name w:val="t1"/>
    <w:basedOn w:val="a1"/>
    <w:rsid w:val="008C31D3"/>
    <w:rPr>
      <w:color w:val="990000"/>
    </w:rPr>
  </w:style>
  <w:style w:type="table" w:customStyle="1" w:styleId="210">
    <w:name w:val="无格式表格 21"/>
    <w:basedOn w:val="a2"/>
    <w:uiPriority w:val="42"/>
    <w:rsid w:val="003174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31">
    <w:name w:val="Body Text Indent 3"/>
    <w:basedOn w:val="a0"/>
    <w:link w:val="3Char"/>
    <w:semiHidden/>
    <w:unhideWhenUsed/>
    <w:rsid w:val="00723679"/>
    <w:pPr>
      <w:spacing w:after="120"/>
      <w:ind w:leftChars="200" w:left="420"/>
    </w:pPr>
    <w:rPr>
      <w:sz w:val="16"/>
      <w:szCs w:val="16"/>
    </w:rPr>
  </w:style>
  <w:style w:type="character" w:customStyle="1" w:styleId="3Char">
    <w:name w:val="正文文本缩进 3 Char"/>
    <w:basedOn w:val="a1"/>
    <w:link w:val="31"/>
    <w:semiHidden/>
    <w:rsid w:val="00723679"/>
    <w:rPr>
      <w:kern w:val="2"/>
      <w:sz w:val="16"/>
      <w:szCs w:val="16"/>
    </w:rPr>
  </w:style>
  <w:style w:type="paragraph" w:styleId="HTML">
    <w:name w:val="HTML Preformatted"/>
    <w:basedOn w:val="a0"/>
    <w:link w:val="HTMLChar"/>
    <w:uiPriority w:val="99"/>
    <w:semiHidden/>
    <w:unhideWhenUsed/>
    <w:rsid w:val="004F7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semiHidden/>
    <w:rsid w:val="004F7BAB"/>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511">
      <w:bodyDiv w:val="1"/>
      <w:marLeft w:val="0"/>
      <w:marRight w:val="0"/>
      <w:marTop w:val="0"/>
      <w:marBottom w:val="0"/>
      <w:divBdr>
        <w:top w:val="none" w:sz="0" w:space="0" w:color="auto"/>
        <w:left w:val="none" w:sz="0" w:space="0" w:color="auto"/>
        <w:bottom w:val="none" w:sz="0" w:space="0" w:color="auto"/>
        <w:right w:val="none" w:sz="0" w:space="0" w:color="auto"/>
      </w:divBdr>
    </w:div>
    <w:div w:id="9382851">
      <w:bodyDiv w:val="1"/>
      <w:marLeft w:val="0"/>
      <w:marRight w:val="0"/>
      <w:marTop w:val="0"/>
      <w:marBottom w:val="0"/>
      <w:divBdr>
        <w:top w:val="none" w:sz="0" w:space="0" w:color="auto"/>
        <w:left w:val="none" w:sz="0" w:space="0" w:color="auto"/>
        <w:bottom w:val="none" w:sz="0" w:space="0" w:color="auto"/>
        <w:right w:val="none" w:sz="0" w:space="0" w:color="auto"/>
      </w:divBdr>
    </w:div>
    <w:div w:id="10835960">
      <w:bodyDiv w:val="1"/>
      <w:marLeft w:val="0"/>
      <w:marRight w:val="0"/>
      <w:marTop w:val="0"/>
      <w:marBottom w:val="0"/>
      <w:divBdr>
        <w:top w:val="none" w:sz="0" w:space="0" w:color="auto"/>
        <w:left w:val="none" w:sz="0" w:space="0" w:color="auto"/>
        <w:bottom w:val="none" w:sz="0" w:space="0" w:color="auto"/>
        <w:right w:val="none" w:sz="0" w:space="0" w:color="auto"/>
      </w:divBdr>
    </w:div>
    <w:div w:id="33504047">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50084487">
      <w:bodyDiv w:val="1"/>
      <w:marLeft w:val="0"/>
      <w:marRight w:val="0"/>
      <w:marTop w:val="0"/>
      <w:marBottom w:val="0"/>
      <w:divBdr>
        <w:top w:val="none" w:sz="0" w:space="0" w:color="auto"/>
        <w:left w:val="none" w:sz="0" w:space="0" w:color="auto"/>
        <w:bottom w:val="none" w:sz="0" w:space="0" w:color="auto"/>
        <w:right w:val="none" w:sz="0" w:space="0" w:color="auto"/>
      </w:divBdr>
    </w:div>
    <w:div w:id="96557916">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42744819">
      <w:bodyDiv w:val="1"/>
      <w:marLeft w:val="0"/>
      <w:marRight w:val="0"/>
      <w:marTop w:val="0"/>
      <w:marBottom w:val="0"/>
      <w:divBdr>
        <w:top w:val="none" w:sz="0" w:space="0" w:color="auto"/>
        <w:left w:val="none" w:sz="0" w:space="0" w:color="auto"/>
        <w:bottom w:val="none" w:sz="0" w:space="0" w:color="auto"/>
        <w:right w:val="none" w:sz="0" w:space="0" w:color="auto"/>
      </w:divBdr>
    </w:div>
    <w:div w:id="147670242">
      <w:bodyDiv w:val="1"/>
      <w:marLeft w:val="0"/>
      <w:marRight w:val="0"/>
      <w:marTop w:val="0"/>
      <w:marBottom w:val="0"/>
      <w:divBdr>
        <w:top w:val="none" w:sz="0" w:space="0" w:color="auto"/>
        <w:left w:val="none" w:sz="0" w:space="0" w:color="auto"/>
        <w:bottom w:val="none" w:sz="0" w:space="0" w:color="auto"/>
        <w:right w:val="none" w:sz="0" w:space="0" w:color="auto"/>
      </w:divBdr>
    </w:div>
    <w:div w:id="154493124">
      <w:bodyDiv w:val="1"/>
      <w:marLeft w:val="0"/>
      <w:marRight w:val="0"/>
      <w:marTop w:val="0"/>
      <w:marBottom w:val="0"/>
      <w:divBdr>
        <w:top w:val="none" w:sz="0" w:space="0" w:color="auto"/>
        <w:left w:val="none" w:sz="0" w:space="0" w:color="auto"/>
        <w:bottom w:val="none" w:sz="0" w:space="0" w:color="auto"/>
        <w:right w:val="none" w:sz="0" w:space="0" w:color="auto"/>
      </w:divBdr>
    </w:div>
    <w:div w:id="179584544">
      <w:bodyDiv w:val="1"/>
      <w:marLeft w:val="0"/>
      <w:marRight w:val="0"/>
      <w:marTop w:val="0"/>
      <w:marBottom w:val="0"/>
      <w:divBdr>
        <w:top w:val="none" w:sz="0" w:space="0" w:color="auto"/>
        <w:left w:val="none" w:sz="0" w:space="0" w:color="auto"/>
        <w:bottom w:val="none" w:sz="0" w:space="0" w:color="auto"/>
        <w:right w:val="none" w:sz="0" w:space="0" w:color="auto"/>
      </w:divBdr>
    </w:div>
    <w:div w:id="194078811">
      <w:bodyDiv w:val="1"/>
      <w:marLeft w:val="0"/>
      <w:marRight w:val="0"/>
      <w:marTop w:val="0"/>
      <w:marBottom w:val="0"/>
      <w:divBdr>
        <w:top w:val="none" w:sz="0" w:space="0" w:color="auto"/>
        <w:left w:val="none" w:sz="0" w:space="0" w:color="auto"/>
        <w:bottom w:val="none" w:sz="0" w:space="0" w:color="auto"/>
        <w:right w:val="none" w:sz="0" w:space="0" w:color="auto"/>
      </w:divBdr>
    </w:div>
    <w:div w:id="195625321">
      <w:bodyDiv w:val="1"/>
      <w:marLeft w:val="0"/>
      <w:marRight w:val="0"/>
      <w:marTop w:val="0"/>
      <w:marBottom w:val="0"/>
      <w:divBdr>
        <w:top w:val="none" w:sz="0" w:space="0" w:color="auto"/>
        <w:left w:val="none" w:sz="0" w:space="0" w:color="auto"/>
        <w:bottom w:val="none" w:sz="0" w:space="0" w:color="auto"/>
        <w:right w:val="none" w:sz="0" w:space="0" w:color="auto"/>
      </w:divBdr>
    </w:div>
    <w:div w:id="220678532">
      <w:bodyDiv w:val="1"/>
      <w:marLeft w:val="0"/>
      <w:marRight w:val="0"/>
      <w:marTop w:val="0"/>
      <w:marBottom w:val="0"/>
      <w:divBdr>
        <w:top w:val="none" w:sz="0" w:space="0" w:color="auto"/>
        <w:left w:val="none" w:sz="0" w:space="0" w:color="auto"/>
        <w:bottom w:val="none" w:sz="0" w:space="0" w:color="auto"/>
        <w:right w:val="none" w:sz="0" w:space="0" w:color="auto"/>
      </w:divBdr>
    </w:div>
    <w:div w:id="236211777">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325784224">
      <w:bodyDiv w:val="1"/>
      <w:marLeft w:val="0"/>
      <w:marRight w:val="0"/>
      <w:marTop w:val="0"/>
      <w:marBottom w:val="0"/>
      <w:divBdr>
        <w:top w:val="none" w:sz="0" w:space="0" w:color="auto"/>
        <w:left w:val="none" w:sz="0" w:space="0" w:color="auto"/>
        <w:bottom w:val="none" w:sz="0" w:space="0" w:color="auto"/>
        <w:right w:val="none" w:sz="0" w:space="0" w:color="auto"/>
      </w:divBdr>
    </w:div>
    <w:div w:id="332685810">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766820">
      <w:bodyDiv w:val="1"/>
      <w:marLeft w:val="0"/>
      <w:marRight w:val="0"/>
      <w:marTop w:val="0"/>
      <w:marBottom w:val="0"/>
      <w:divBdr>
        <w:top w:val="none" w:sz="0" w:space="0" w:color="auto"/>
        <w:left w:val="none" w:sz="0" w:space="0" w:color="auto"/>
        <w:bottom w:val="none" w:sz="0" w:space="0" w:color="auto"/>
        <w:right w:val="none" w:sz="0" w:space="0" w:color="auto"/>
      </w:divBdr>
    </w:div>
    <w:div w:id="379012637">
      <w:bodyDiv w:val="1"/>
      <w:marLeft w:val="0"/>
      <w:marRight w:val="0"/>
      <w:marTop w:val="0"/>
      <w:marBottom w:val="0"/>
      <w:divBdr>
        <w:top w:val="none" w:sz="0" w:space="0" w:color="auto"/>
        <w:left w:val="none" w:sz="0" w:space="0" w:color="auto"/>
        <w:bottom w:val="none" w:sz="0" w:space="0" w:color="auto"/>
        <w:right w:val="none" w:sz="0" w:space="0" w:color="auto"/>
      </w:divBdr>
    </w:div>
    <w:div w:id="400446822">
      <w:bodyDiv w:val="1"/>
      <w:marLeft w:val="0"/>
      <w:marRight w:val="0"/>
      <w:marTop w:val="0"/>
      <w:marBottom w:val="0"/>
      <w:divBdr>
        <w:top w:val="none" w:sz="0" w:space="0" w:color="auto"/>
        <w:left w:val="none" w:sz="0" w:space="0" w:color="auto"/>
        <w:bottom w:val="none" w:sz="0" w:space="0" w:color="auto"/>
        <w:right w:val="none" w:sz="0" w:space="0" w:color="auto"/>
      </w:divBdr>
    </w:div>
    <w:div w:id="407267813">
      <w:bodyDiv w:val="1"/>
      <w:marLeft w:val="0"/>
      <w:marRight w:val="0"/>
      <w:marTop w:val="0"/>
      <w:marBottom w:val="0"/>
      <w:divBdr>
        <w:top w:val="none" w:sz="0" w:space="0" w:color="auto"/>
        <w:left w:val="none" w:sz="0" w:space="0" w:color="auto"/>
        <w:bottom w:val="none" w:sz="0" w:space="0" w:color="auto"/>
        <w:right w:val="none" w:sz="0" w:space="0" w:color="auto"/>
      </w:divBdr>
    </w:div>
    <w:div w:id="453641687">
      <w:bodyDiv w:val="1"/>
      <w:marLeft w:val="0"/>
      <w:marRight w:val="0"/>
      <w:marTop w:val="0"/>
      <w:marBottom w:val="0"/>
      <w:divBdr>
        <w:top w:val="none" w:sz="0" w:space="0" w:color="auto"/>
        <w:left w:val="none" w:sz="0" w:space="0" w:color="auto"/>
        <w:bottom w:val="none" w:sz="0" w:space="0" w:color="auto"/>
        <w:right w:val="none" w:sz="0" w:space="0" w:color="auto"/>
      </w:divBdr>
    </w:div>
    <w:div w:id="460074937">
      <w:bodyDiv w:val="1"/>
      <w:marLeft w:val="0"/>
      <w:marRight w:val="0"/>
      <w:marTop w:val="0"/>
      <w:marBottom w:val="0"/>
      <w:divBdr>
        <w:top w:val="none" w:sz="0" w:space="0" w:color="auto"/>
        <w:left w:val="none" w:sz="0" w:space="0" w:color="auto"/>
        <w:bottom w:val="none" w:sz="0" w:space="0" w:color="auto"/>
        <w:right w:val="none" w:sz="0" w:space="0" w:color="auto"/>
      </w:divBdr>
    </w:div>
    <w:div w:id="476654122">
      <w:bodyDiv w:val="1"/>
      <w:marLeft w:val="0"/>
      <w:marRight w:val="0"/>
      <w:marTop w:val="0"/>
      <w:marBottom w:val="0"/>
      <w:divBdr>
        <w:top w:val="none" w:sz="0" w:space="0" w:color="auto"/>
        <w:left w:val="none" w:sz="0" w:space="0" w:color="auto"/>
        <w:bottom w:val="none" w:sz="0" w:space="0" w:color="auto"/>
        <w:right w:val="none" w:sz="0" w:space="0" w:color="auto"/>
      </w:divBdr>
    </w:div>
    <w:div w:id="477386748">
      <w:bodyDiv w:val="1"/>
      <w:marLeft w:val="0"/>
      <w:marRight w:val="0"/>
      <w:marTop w:val="0"/>
      <w:marBottom w:val="0"/>
      <w:divBdr>
        <w:top w:val="none" w:sz="0" w:space="0" w:color="auto"/>
        <w:left w:val="none" w:sz="0" w:space="0" w:color="auto"/>
        <w:bottom w:val="none" w:sz="0" w:space="0" w:color="auto"/>
        <w:right w:val="none" w:sz="0" w:space="0" w:color="auto"/>
      </w:divBdr>
    </w:div>
    <w:div w:id="490295586">
      <w:bodyDiv w:val="1"/>
      <w:marLeft w:val="0"/>
      <w:marRight w:val="0"/>
      <w:marTop w:val="0"/>
      <w:marBottom w:val="0"/>
      <w:divBdr>
        <w:top w:val="none" w:sz="0" w:space="0" w:color="auto"/>
        <w:left w:val="none" w:sz="0" w:space="0" w:color="auto"/>
        <w:bottom w:val="none" w:sz="0" w:space="0" w:color="auto"/>
        <w:right w:val="none" w:sz="0" w:space="0" w:color="auto"/>
      </w:divBdr>
    </w:div>
    <w:div w:id="491289857">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38247438">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88151516">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1789180">
      <w:bodyDiv w:val="1"/>
      <w:marLeft w:val="0"/>
      <w:marRight w:val="0"/>
      <w:marTop w:val="0"/>
      <w:marBottom w:val="0"/>
      <w:divBdr>
        <w:top w:val="none" w:sz="0" w:space="0" w:color="auto"/>
        <w:left w:val="none" w:sz="0" w:space="0" w:color="auto"/>
        <w:bottom w:val="none" w:sz="0" w:space="0" w:color="auto"/>
        <w:right w:val="none" w:sz="0" w:space="0" w:color="auto"/>
      </w:divBdr>
    </w:div>
    <w:div w:id="666597062">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2439477">
      <w:bodyDiv w:val="1"/>
      <w:marLeft w:val="0"/>
      <w:marRight w:val="0"/>
      <w:marTop w:val="0"/>
      <w:marBottom w:val="0"/>
      <w:divBdr>
        <w:top w:val="none" w:sz="0" w:space="0" w:color="auto"/>
        <w:left w:val="none" w:sz="0" w:space="0" w:color="auto"/>
        <w:bottom w:val="none" w:sz="0" w:space="0" w:color="auto"/>
        <w:right w:val="none" w:sz="0" w:space="0" w:color="auto"/>
      </w:divBdr>
    </w:div>
    <w:div w:id="683747866">
      <w:bodyDiv w:val="1"/>
      <w:marLeft w:val="0"/>
      <w:marRight w:val="0"/>
      <w:marTop w:val="0"/>
      <w:marBottom w:val="0"/>
      <w:divBdr>
        <w:top w:val="none" w:sz="0" w:space="0" w:color="auto"/>
        <w:left w:val="none" w:sz="0" w:space="0" w:color="auto"/>
        <w:bottom w:val="none" w:sz="0" w:space="0" w:color="auto"/>
        <w:right w:val="none" w:sz="0" w:space="0" w:color="auto"/>
      </w:divBdr>
    </w:div>
    <w:div w:id="701784361">
      <w:bodyDiv w:val="1"/>
      <w:marLeft w:val="0"/>
      <w:marRight w:val="0"/>
      <w:marTop w:val="0"/>
      <w:marBottom w:val="0"/>
      <w:divBdr>
        <w:top w:val="none" w:sz="0" w:space="0" w:color="auto"/>
        <w:left w:val="none" w:sz="0" w:space="0" w:color="auto"/>
        <w:bottom w:val="none" w:sz="0" w:space="0" w:color="auto"/>
        <w:right w:val="none" w:sz="0" w:space="0" w:color="auto"/>
      </w:divBdr>
    </w:div>
    <w:div w:id="749230697">
      <w:bodyDiv w:val="1"/>
      <w:marLeft w:val="0"/>
      <w:marRight w:val="0"/>
      <w:marTop w:val="0"/>
      <w:marBottom w:val="0"/>
      <w:divBdr>
        <w:top w:val="none" w:sz="0" w:space="0" w:color="auto"/>
        <w:left w:val="none" w:sz="0" w:space="0" w:color="auto"/>
        <w:bottom w:val="none" w:sz="0" w:space="0" w:color="auto"/>
        <w:right w:val="none" w:sz="0" w:space="0" w:color="auto"/>
      </w:divBdr>
    </w:div>
    <w:div w:id="765657698">
      <w:bodyDiv w:val="1"/>
      <w:marLeft w:val="0"/>
      <w:marRight w:val="0"/>
      <w:marTop w:val="0"/>
      <w:marBottom w:val="0"/>
      <w:divBdr>
        <w:top w:val="none" w:sz="0" w:space="0" w:color="auto"/>
        <w:left w:val="none" w:sz="0" w:space="0" w:color="auto"/>
        <w:bottom w:val="none" w:sz="0" w:space="0" w:color="auto"/>
        <w:right w:val="none" w:sz="0" w:space="0" w:color="auto"/>
      </w:divBdr>
    </w:div>
    <w:div w:id="775825811">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7382065">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18692869">
      <w:bodyDiv w:val="1"/>
      <w:marLeft w:val="0"/>
      <w:marRight w:val="0"/>
      <w:marTop w:val="0"/>
      <w:marBottom w:val="0"/>
      <w:divBdr>
        <w:top w:val="none" w:sz="0" w:space="0" w:color="auto"/>
        <w:left w:val="none" w:sz="0" w:space="0" w:color="auto"/>
        <w:bottom w:val="none" w:sz="0" w:space="0" w:color="auto"/>
        <w:right w:val="none" w:sz="0" w:space="0" w:color="auto"/>
      </w:divBdr>
    </w:div>
    <w:div w:id="836306461">
      <w:bodyDiv w:val="1"/>
      <w:marLeft w:val="0"/>
      <w:marRight w:val="0"/>
      <w:marTop w:val="0"/>
      <w:marBottom w:val="0"/>
      <w:divBdr>
        <w:top w:val="none" w:sz="0" w:space="0" w:color="auto"/>
        <w:left w:val="none" w:sz="0" w:space="0" w:color="auto"/>
        <w:bottom w:val="none" w:sz="0" w:space="0" w:color="auto"/>
        <w:right w:val="none" w:sz="0" w:space="0" w:color="auto"/>
      </w:divBdr>
    </w:div>
    <w:div w:id="845480573">
      <w:bodyDiv w:val="1"/>
      <w:marLeft w:val="0"/>
      <w:marRight w:val="0"/>
      <w:marTop w:val="0"/>
      <w:marBottom w:val="0"/>
      <w:divBdr>
        <w:top w:val="none" w:sz="0" w:space="0" w:color="auto"/>
        <w:left w:val="none" w:sz="0" w:space="0" w:color="auto"/>
        <w:bottom w:val="none" w:sz="0" w:space="0" w:color="auto"/>
        <w:right w:val="none" w:sz="0" w:space="0" w:color="auto"/>
      </w:divBdr>
    </w:div>
    <w:div w:id="869683405">
      <w:bodyDiv w:val="1"/>
      <w:marLeft w:val="0"/>
      <w:marRight w:val="0"/>
      <w:marTop w:val="0"/>
      <w:marBottom w:val="0"/>
      <w:divBdr>
        <w:top w:val="none" w:sz="0" w:space="0" w:color="auto"/>
        <w:left w:val="none" w:sz="0" w:space="0" w:color="auto"/>
        <w:bottom w:val="none" w:sz="0" w:space="0" w:color="auto"/>
        <w:right w:val="none" w:sz="0" w:space="0" w:color="auto"/>
      </w:divBdr>
    </w:div>
    <w:div w:id="873541457">
      <w:bodyDiv w:val="1"/>
      <w:marLeft w:val="0"/>
      <w:marRight w:val="0"/>
      <w:marTop w:val="0"/>
      <w:marBottom w:val="0"/>
      <w:divBdr>
        <w:top w:val="none" w:sz="0" w:space="0" w:color="auto"/>
        <w:left w:val="none" w:sz="0" w:space="0" w:color="auto"/>
        <w:bottom w:val="none" w:sz="0" w:space="0" w:color="auto"/>
        <w:right w:val="none" w:sz="0" w:space="0" w:color="auto"/>
      </w:divBdr>
    </w:div>
    <w:div w:id="880627984">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0306903">
      <w:bodyDiv w:val="1"/>
      <w:marLeft w:val="0"/>
      <w:marRight w:val="0"/>
      <w:marTop w:val="0"/>
      <w:marBottom w:val="0"/>
      <w:divBdr>
        <w:top w:val="none" w:sz="0" w:space="0" w:color="auto"/>
        <w:left w:val="none" w:sz="0" w:space="0" w:color="auto"/>
        <w:bottom w:val="none" w:sz="0" w:space="0" w:color="auto"/>
        <w:right w:val="none" w:sz="0" w:space="0" w:color="auto"/>
      </w:divBdr>
    </w:div>
    <w:div w:id="931280171">
      <w:bodyDiv w:val="1"/>
      <w:marLeft w:val="0"/>
      <w:marRight w:val="0"/>
      <w:marTop w:val="0"/>
      <w:marBottom w:val="0"/>
      <w:divBdr>
        <w:top w:val="none" w:sz="0" w:space="0" w:color="auto"/>
        <w:left w:val="none" w:sz="0" w:space="0" w:color="auto"/>
        <w:bottom w:val="none" w:sz="0" w:space="0" w:color="auto"/>
        <w:right w:val="none" w:sz="0" w:space="0" w:color="auto"/>
      </w:divBdr>
    </w:div>
    <w:div w:id="1012684593">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7467005">
      <w:bodyDiv w:val="1"/>
      <w:marLeft w:val="0"/>
      <w:marRight w:val="0"/>
      <w:marTop w:val="0"/>
      <w:marBottom w:val="0"/>
      <w:divBdr>
        <w:top w:val="none" w:sz="0" w:space="0" w:color="auto"/>
        <w:left w:val="none" w:sz="0" w:space="0" w:color="auto"/>
        <w:bottom w:val="none" w:sz="0" w:space="0" w:color="auto"/>
        <w:right w:val="none" w:sz="0" w:space="0" w:color="auto"/>
      </w:divBdr>
    </w:div>
    <w:div w:id="1064332035">
      <w:bodyDiv w:val="1"/>
      <w:marLeft w:val="0"/>
      <w:marRight w:val="0"/>
      <w:marTop w:val="0"/>
      <w:marBottom w:val="0"/>
      <w:divBdr>
        <w:top w:val="none" w:sz="0" w:space="0" w:color="auto"/>
        <w:left w:val="none" w:sz="0" w:space="0" w:color="auto"/>
        <w:bottom w:val="none" w:sz="0" w:space="0" w:color="auto"/>
        <w:right w:val="none" w:sz="0" w:space="0" w:color="auto"/>
      </w:divBdr>
    </w:div>
    <w:div w:id="1069769522">
      <w:bodyDiv w:val="1"/>
      <w:marLeft w:val="0"/>
      <w:marRight w:val="0"/>
      <w:marTop w:val="0"/>
      <w:marBottom w:val="0"/>
      <w:divBdr>
        <w:top w:val="none" w:sz="0" w:space="0" w:color="auto"/>
        <w:left w:val="none" w:sz="0" w:space="0" w:color="auto"/>
        <w:bottom w:val="none" w:sz="0" w:space="0" w:color="auto"/>
        <w:right w:val="none" w:sz="0" w:space="0" w:color="auto"/>
      </w:divBdr>
    </w:div>
    <w:div w:id="1081828866">
      <w:bodyDiv w:val="1"/>
      <w:marLeft w:val="0"/>
      <w:marRight w:val="0"/>
      <w:marTop w:val="0"/>
      <w:marBottom w:val="0"/>
      <w:divBdr>
        <w:top w:val="none" w:sz="0" w:space="0" w:color="auto"/>
        <w:left w:val="none" w:sz="0" w:space="0" w:color="auto"/>
        <w:bottom w:val="none" w:sz="0" w:space="0" w:color="auto"/>
        <w:right w:val="none" w:sz="0" w:space="0" w:color="auto"/>
      </w:divBdr>
    </w:div>
    <w:div w:id="1087969021">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50560301">
      <w:bodyDiv w:val="1"/>
      <w:marLeft w:val="0"/>
      <w:marRight w:val="0"/>
      <w:marTop w:val="0"/>
      <w:marBottom w:val="0"/>
      <w:divBdr>
        <w:top w:val="none" w:sz="0" w:space="0" w:color="auto"/>
        <w:left w:val="none" w:sz="0" w:space="0" w:color="auto"/>
        <w:bottom w:val="none" w:sz="0" w:space="0" w:color="auto"/>
        <w:right w:val="none" w:sz="0" w:space="0" w:color="auto"/>
      </w:divBdr>
    </w:div>
    <w:div w:id="1154491268">
      <w:bodyDiv w:val="1"/>
      <w:marLeft w:val="0"/>
      <w:marRight w:val="0"/>
      <w:marTop w:val="0"/>
      <w:marBottom w:val="0"/>
      <w:divBdr>
        <w:top w:val="none" w:sz="0" w:space="0" w:color="auto"/>
        <w:left w:val="none" w:sz="0" w:space="0" w:color="auto"/>
        <w:bottom w:val="none" w:sz="0" w:space="0" w:color="auto"/>
        <w:right w:val="none" w:sz="0" w:space="0" w:color="auto"/>
      </w:divBdr>
    </w:div>
    <w:div w:id="1172136304">
      <w:bodyDiv w:val="1"/>
      <w:marLeft w:val="0"/>
      <w:marRight w:val="0"/>
      <w:marTop w:val="0"/>
      <w:marBottom w:val="0"/>
      <w:divBdr>
        <w:top w:val="none" w:sz="0" w:space="0" w:color="auto"/>
        <w:left w:val="none" w:sz="0" w:space="0" w:color="auto"/>
        <w:bottom w:val="none" w:sz="0" w:space="0" w:color="auto"/>
        <w:right w:val="none" w:sz="0" w:space="0" w:color="auto"/>
      </w:divBdr>
    </w:div>
    <w:div w:id="1181353957">
      <w:bodyDiv w:val="1"/>
      <w:marLeft w:val="0"/>
      <w:marRight w:val="0"/>
      <w:marTop w:val="0"/>
      <w:marBottom w:val="0"/>
      <w:divBdr>
        <w:top w:val="none" w:sz="0" w:space="0" w:color="auto"/>
        <w:left w:val="none" w:sz="0" w:space="0" w:color="auto"/>
        <w:bottom w:val="none" w:sz="0" w:space="0" w:color="auto"/>
        <w:right w:val="none" w:sz="0" w:space="0" w:color="auto"/>
      </w:divBdr>
    </w:div>
    <w:div w:id="1188836661">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34612">
      <w:bodyDiv w:val="1"/>
      <w:marLeft w:val="0"/>
      <w:marRight w:val="0"/>
      <w:marTop w:val="0"/>
      <w:marBottom w:val="0"/>
      <w:divBdr>
        <w:top w:val="none" w:sz="0" w:space="0" w:color="auto"/>
        <w:left w:val="none" w:sz="0" w:space="0" w:color="auto"/>
        <w:bottom w:val="none" w:sz="0" w:space="0" w:color="auto"/>
        <w:right w:val="none" w:sz="0" w:space="0" w:color="auto"/>
      </w:divBdr>
    </w:div>
    <w:div w:id="1276215256">
      <w:bodyDiv w:val="1"/>
      <w:marLeft w:val="0"/>
      <w:marRight w:val="0"/>
      <w:marTop w:val="0"/>
      <w:marBottom w:val="0"/>
      <w:divBdr>
        <w:top w:val="none" w:sz="0" w:space="0" w:color="auto"/>
        <w:left w:val="none" w:sz="0" w:space="0" w:color="auto"/>
        <w:bottom w:val="none" w:sz="0" w:space="0" w:color="auto"/>
        <w:right w:val="none" w:sz="0" w:space="0" w:color="auto"/>
      </w:divBdr>
    </w:div>
    <w:div w:id="1282303556">
      <w:bodyDiv w:val="1"/>
      <w:marLeft w:val="0"/>
      <w:marRight w:val="0"/>
      <w:marTop w:val="0"/>
      <w:marBottom w:val="0"/>
      <w:divBdr>
        <w:top w:val="none" w:sz="0" w:space="0" w:color="auto"/>
        <w:left w:val="none" w:sz="0" w:space="0" w:color="auto"/>
        <w:bottom w:val="none" w:sz="0" w:space="0" w:color="auto"/>
        <w:right w:val="none" w:sz="0" w:space="0" w:color="auto"/>
      </w:divBdr>
    </w:div>
    <w:div w:id="1350597852">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7873210">
      <w:bodyDiv w:val="1"/>
      <w:marLeft w:val="0"/>
      <w:marRight w:val="0"/>
      <w:marTop w:val="0"/>
      <w:marBottom w:val="0"/>
      <w:divBdr>
        <w:top w:val="none" w:sz="0" w:space="0" w:color="auto"/>
        <w:left w:val="none" w:sz="0" w:space="0" w:color="auto"/>
        <w:bottom w:val="none" w:sz="0" w:space="0" w:color="auto"/>
        <w:right w:val="none" w:sz="0" w:space="0" w:color="auto"/>
      </w:divBdr>
    </w:div>
    <w:div w:id="1391535323">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2119783">
      <w:bodyDiv w:val="1"/>
      <w:marLeft w:val="0"/>
      <w:marRight w:val="0"/>
      <w:marTop w:val="0"/>
      <w:marBottom w:val="0"/>
      <w:divBdr>
        <w:top w:val="none" w:sz="0" w:space="0" w:color="auto"/>
        <w:left w:val="none" w:sz="0" w:space="0" w:color="auto"/>
        <w:bottom w:val="none" w:sz="0" w:space="0" w:color="auto"/>
        <w:right w:val="none" w:sz="0" w:space="0" w:color="auto"/>
      </w:divBdr>
    </w:div>
    <w:div w:id="1419255412">
      <w:bodyDiv w:val="1"/>
      <w:marLeft w:val="0"/>
      <w:marRight w:val="0"/>
      <w:marTop w:val="0"/>
      <w:marBottom w:val="0"/>
      <w:divBdr>
        <w:top w:val="none" w:sz="0" w:space="0" w:color="auto"/>
        <w:left w:val="none" w:sz="0" w:space="0" w:color="auto"/>
        <w:bottom w:val="none" w:sz="0" w:space="0" w:color="auto"/>
        <w:right w:val="none" w:sz="0" w:space="0" w:color="auto"/>
      </w:divBdr>
    </w:div>
    <w:div w:id="1427850392">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89322328">
      <w:bodyDiv w:val="1"/>
      <w:marLeft w:val="0"/>
      <w:marRight w:val="0"/>
      <w:marTop w:val="0"/>
      <w:marBottom w:val="0"/>
      <w:divBdr>
        <w:top w:val="none" w:sz="0" w:space="0" w:color="auto"/>
        <w:left w:val="none" w:sz="0" w:space="0" w:color="auto"/>
        <w:bottom w:val="none" w:sz="0" w:space="0" w:color="auto"/>
        <w:right w:val="none" w:sz="0" w:space="0" w:color="auto"/>
      </w:divBdr>
    </w:div>
    <w:div w:id="1514105069">
      <w:bodyDiv w:val="1"/>
      <w:marLeft w:val="0"/>
      <w:marRight w:val="0"/>
      <w:marTop w:val="0"/>
      <w:marBottom w:val="0"/>
      <w:divBdr>
        <w:top w:val="none" w:sz="0" w:space="0" w:color="auto"/>
        <w:left w:val="none" w:sz="0" w:space="0" w:color="auto"/>
        <w:bottom w:val="none" w:sz="0" w:space="0" w:color="auto"/>
        <w:right w:val="none" w:sz="0" w:space="0" w:color="auto"/>
      </w:divBdr>
    </w:div>
    <w:div w:id="1517039051">
      <w:bodyDiv w:val="1"/>
      <w:marLeft w:val="0"/>
      <w:marRight w:val="0"/>
      <w:marTop w:val="0"/>
      <w:marBottom w:val="0"/>
      <w:divBdr>
        <w:top w:val="none" w:sz="0" w:space="0" w:color="auto"/>
        <w:left w:val="none" w:sz="0" w:space="0" w:color="auto"/>
        <w:bottom w:val="none" w:sz="0" w:space="0" w:color="auto"/>
        <w:right w:val="none" w:sz="0" w:space="0" w:color="auto"/>
      </w:divBdr>
    </w:div>
    <w:div w:id="1555503407">
      <w:bodyDiv w:val="1"/>
      <w:marLeft w:val="0"/>
      <w:marRight w:val="0"/>
      <w:marTop w:val="0"/>
      <w:marBottom w:val="0"/>
      <w:divBdr>
        <w:top w:val="none" w:sz="0" w:space="0" w:color="auto"/>
        <w:left w:val="none" w:sz="0" w:space="0" w:color="auto"/>
        <w:bottom w:val="none" w:sz="0" w:space="0" w:color="auto"/>
        <w:right w:val="none" w:sz="0" w:space="0" w:color="auto"/>
      </w:divBdr>
    </w:div>
    <w:div w:id="1568684274">
      <w:bodyDiv w:val="1"/>
      <w:marLeft w:val="0"/>
      <w:marRight w:val="0"/>
      <w:marTop w:val="0"/>
      <w:marBottom w:val="0"/>
      <w:divBdr>
        <w:top w:val="none" w:sz="0" w:space="0" w:color="auto"/>
        <w:left w:val="none" w:sz="0" w:space="0" w:color="auto"/>
        <w:bottom w:val="none" w:sz="0" w:space="0" w:color="auto"/>
        <w:right w:val="none" w:sz="0" w:space="0" w:color="auto"/>
      </w:divBdr>
    </w:div>
    <w:div w:id="1586299280">
      <w:bodyDiv w:val="1"/>
      <w:marLeft w:val="0"/>
      <w:marRight w:val="0"/>
      <w:marTop w:val="0"/>
      <w:marBottom w:val="0"/>
      <w:divBdr>
        <w:top w:val="none" w:sz="0" w:space="0" w:color="auto"/>
        <w:left w:val="none" w:sz="0" w:space="0" w:color="auto"/>
        <w:bottom w:val="none" w:sz="0" w:space="0" w:color="auto"/>
        <w:right w:val="none" w:sz="0" w:space="0" w:color="auto"/>
      </w:divBdr>
    </w:div>
    <w:div w:id="1601722940">
      <w:bodyDiv w:val="1"/>
      <w:marLeft w:val="0"/>
      <w:marRight w:val="0"/>
      <w:marTop w:val="0"/>
      <w:marBottom w:val="0"/>
      <w:divBdr>
        <w:top w:val="none" w:sz="0" w:space="0" w:color="auto"/>
        <w:left w:val="none" w:sz="0" w:space="0" w:color="auto"/>
        <w:bottom w:val="none" w:sz="0" w:space="0" w:color="auto"/>
        <w:right w:val="none" w:sz="0" w:space="0" w:color="auto"/>
      </w:divBdr>
    </w:div>
    <w:div w:id="1603030084">
      <w:bodyDiv w:val="1"/>
      <w:marLeft w:val="0"/>
      <w:marRight w:val="0"/>
      <w:marTop w:val="0"/>
      <w:marBottom w:val="0"/>
      <w:divBdr>
        <w:top w:val="none" w:sz="0" w:space="0" w:color="auto"/>
        <w:left w:val="none" w:sz="0" w:space="0" w:color="auto"/>
        <w:bottom w:val="none" w:sz="0" w:space="0" w:color="auto"/>
        <w:right w:val="none" w:sz="0" w:space="0" w:color="auto"/>
      </w:divBdr>
    </w:div>
    <w:div w:id="1658193943">
      <w:bodyDiv w:val="1"/>
      <w:marLeft w:val="0"/>
      <w:marRight w:val="0"/>
      <w:marTop w:val="0"/>
      <w:marBottom w:val="0"/>
      <w:divBdr>
        <w:top w:val="none" w:sz="0" w:space="0" w:color="auto"/>
        <w:left w:val="none" w:sz="0" w:space="0" w:color="auto"/>
        <w:bottom w:val="none" w:sz="0" w:space="0" w:color="auto"/>
        <w:right w:val="none" w:sz="0" w:space="0" w:color="auto"/>
      </w:divBdr>
    </w:div>
    <w:div w:id="1671056277">
      <w:bodyDiv w:val="1"/>
      <w:marLeft w:val="0"/>
      <w:marRight w:val="0"/>
      <w:marTop w:val="0"/>
      <w:marBottom w:val="0"/>
      <w:divBdr>
        <w:top w:val="none" w:sz="0" w:space="0" w:color="auto"/>
        <w:left w:val="none" w:sz="0" w:space="0" w:color="auto"/>
        <w:bottom w:val="none" w:sz="0" w:space="0" w:color="auto"/>
        <w:right w:val="none" w:sz="0" w:space="0" w:color="auto"/>
      </w:divBdr>
    </w:div>
    <w:div w:id="1684018428">
      <w:bodyDiv w:val="1"/>
      <w:marLeft w:val="0"/>
      <w:marRight w:val="0"/>
      <w:marTop w:val="0"/>
      <w:marBottom w:val="0"/>
      <w:divBdr>
        <w:top w:val="none" w:sz="0" w:space="0" w:color="auto"/>
        <w:left w:val="none" w:sz="0" w:space="0" w:color="auto"/>
        <w:bottom w:val="none" w:sz="0" w:space="0" w:color="auto"/>
        <w:right w:val="none" w:sz="0" w:space="0" w:color="auto"/>
      </w:divBdr>
    </w:div>
    <w:div w:id="1722901483">
      <w:bodyDiv w:val="1"/>
      <w:marLeft w:val="0"/>
      <w:marRight w:val="0"/>
      <w:marTop w:val="0"/>
      <w:marBottom w:val="0"/>
      <w:divBdr>
        <w:top w:val="none" w:sz="0" w:space="0" w:color="auto"/>
        <w:left w:val="none" w:sz="0" w:space="0" w:color="auto"/>
        <w:bottom w:val="none" w:sz="0" w:space="0" w:color="auto"/>
        <w:right w:val="none" w:sz="0" w:space="0" w:color="auto"/>
      </w:divBdr>
    </w:div>
    <w:div w:id="1735543036">
      <w:bodyDiv w:val="1"/>
      <w:marLeft w:val="0"/>
      <w:marRight w:val="0"/>
      <w:marTop w:val="0"/>
      <w:marBottom w:val="0"/>
      <w:divBdr>
        <w:top w:val="none" w:sz="0" w:space="0" w:color="auto"/>
        <w:left w:val="none" w:sz="0" w:space="0" w:color="auto"/>
        <w:bottom w:val="none" w:sz="0" w:space="0" w:color="auto"/>
        <w:right w:val="none" w:sz="0" w:space="0" w:color="auto"/>
      </w:divBdr>
    </w:div>
    <w:div w:id="1797945010">
      <w:bodyDiv w:val="1"/>
      <w:marLeft w:val="0"/>
      <w:marRight w:val="0"/>
      <w:marTop w:val="0"/>
      <w:marBottom w:val="0"/>
      <w:divBdr>
        <w:top w:val="none" w:sz="0" w:space="0" w:color="auto"/>
        <w:left w:val="none" w:sz="0" w:space="0" w:color="auto"/>
        <w:bottom w:val="none" w:sz="0" w:space="0" w:color="auto"/>
        <w:right w:val="none" w:sz="0" w:space="0" w:color="auto"/>
      </w:divBdr>
    </w:div>
    <w:div w:id="1840542596">
      <w:bodyDiv w:val="1"/>
      <w:marLeft w:val="0"/>
      <w:marRight w:val="0"/>
      <w:marTop w:val="0"/>
      <w:marBottom w:val="0"/>
      <w:divBdr>
        <w:top w:val="none" w:sz="0" w:space="0" w:color="auto"/>
        <w:left w:val="none" w:sz="0" w:space="0" w:color="auto"/>
        <w:bottom w:val="none" w:sz="0" w:space="0" w:color="auto"/>
        <w:right w:val="none" w:sz="0" w:space="0" w:color="auto"/>
      </w:divBdr>
    </w:div>
    <w:div w:id="1874607989">
      <w:bodyDiv w:val="1"/>
      <w:marLeft w:val="0"/>
      <w:marRight w:val="0"/>
      <w:marTop w:val="0"/>
      <w:marBottom w:val="0"/>
      <w:divBdr>
        <w:top w:val="none" w:sz="0" w:space="0" w:color="auto"/>
        <w:left w:val="none" w:sz="0" w:space="0" w:color="auto"/>
        <w:bottom w:val="none" w:sz="0" w:space="0" w:color="auto"/>
        <w:right w:val="none" w:sz="0" w:space="0" w:color="auto"/>
      </w:divBdr>
    </w:div>
    <w:div w:id="1878200193">
      <w:bodyDiv w:val="1"/>
      <w:marLeft w:val="0"/>
      <w:marRight w:val="0"/>
      <w:marTop w:val="0"/>
      <w:marBottom w:val="0"/>
      <w:divBdr>
        <w:top w:val="none" w:sz="0" w:space="0" w:color="auto"/>
        <w:left w:val="none" w:sz="0" w:space="0" w:color="auto"/>
        <w:bottom w:val="none" w:sz="0" w:space="0" w:color="auto"/>
        <w:right w:val="none" w:sz="0" w:space="0" w:color="auto"/>
      </w:divBdr>
    </w:div>
    <w:div w:id="1898392773">
      <w:bodyDiv w:val="1"/>
      <w:marLeft w:val="0"/>
      <w:marRight w:val="0"/>
      <w:marTop w:val="0"/>
      <w:marBottom w:val="0"/>
      <w:divBdr>
        <w:top w:val="none" w:sz="0" w:space="0" w:color="auto"/>
        <w:left w:val="none" w:sz="0" w:space="0" w:color="auto"/>
        <w:bottom w:val="none" w:sz="0" w:space="0" w:color="auto"/>
        <w:right w:val="none" w:sz="0" w:space="0" w:color="auto"/>
      </w:divBdr>
    </w:div>
    <w:div w:id="1922791253">
      <w:bodyDiv w:val="1"/>
      <w:marLeft w:val="0"/>
      <w:marRight w:val="0"/>
      <w:marTop w:val="0"/>
      <w:marBottom w:val="0"/>
      <w:divBdr>
        <w:top w:val="none" w:sz="0" w:space="0" w:color="auto"/>
        <w:left w:val="none" w:sz="0" w:space="0" w:color="auto"/>
        <w:bottom w:val="none" w:sz="0" w:space="0" w:color="auto"/>
        <w:right w:val="none" w:sz="0" w:space="0" w:color="auto"/>
      </w:divBdr>
    </w:div>
    <w:div w:id="1947273930">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80262841">
      <w:bodyDiv w:val="1"/>
      <w:marLeft w:val="0"/>
      <w:marRight w:val="0"/>
      <w:marTop w:val="0"/>
      <w:marBottom w:val="0"/>
      <w:divBdr>
        <w:top w:val="none" w:sz="0" w:space="0" w:color="auto"/>
        <w:left w:val="none" w:sz="0" w:space="0" w:color="auto"/>
        <w:bottom w:val="none" w:sz="0" w:space="0" w:color="auto"/>
        <w:right w:val="none" w:sz="0" w:space="0" w:color="auto"/>
      </w:divBdr>
    </w:div>
    <w:div w:id="1993293860">
      <w:bodyDiv w:val="1"/>
      <w:marLeft w:val="0"/>
      <w:marRight w:val="0"/>
      <w:marTop w:val="0"/>
      <w:marBottom w:val="0"/>
      <w:divBdr>
        <w:top w:val="none" w:sz="0" w:space="0" w:color="auto"/>
        <w:left w:val="none" w:sz="0" w:space="0" w:color="auto"/>
        <w:bottom w:val="none" w:sz="0" w:space="0" w:color="auto"/>
        <w:right w:val="none" w:sz="0" w:space="0" w:color="auto"/>
      </w:divBdr>
    </w:div>
    <w:div w:id="1994797328">
      <w:bodyDiv w:val="1"/>
      <w:marLeft w:val="0"/>
      <w:marRight w:val="0"/>
      <w:marTop w:val="0"/>
      <w:marBottom w:val="0"/>
      <w:divBdr>
        <w:top w:val="none" w:sz="0" w:space="0" w:color="auto"/>
        <w:left w:val="none" w:sz="0" w:space="0" w:color="auto"/>
        <w:bottom w:val="none" w:sz="0" w:space="0" w:color="auto"/>
        <w:right w:val="none" w:sz="0" w:space="0" w:color="auto"/>
      </w:divBdr>
    </w:div>
    <w:div w:id="2038508258">
      <w:bodyDiv w:val="1"/>
      <w:marLeft w:val="0"/>
      <w:marRight w:val="0"/>
      <w:marTop w:val="0"/>
      <w:marBottom w:val="0"/>
      <w:divBdr>
        <w:top w:val="none" w:sz="0" w:space="0" w:color="auto"/>
        <w:left w:val="none" w:sz="0" w:space="0" w:color="auto"/>
        <w:bottom w:val="none" w:sz="0" w:space="0" w:color="auto"/>
        <w:right w:val="none" w:sz="0" w:space="0" w:color="auto"/>
      </w:divBdr>
    </w:div>
    <w:div w:id="2058621310">
      <w:bodyDiv w:val="1"/>
      <w:marLeft w:val="0"/>
      <w:marRight w:val="0"/>
      <w:marTop w:val="0"/>
      <w:marBottom w:val="0"/>
      <w:divBdr>
        <w:top w:val="none" w:sz="0" w:space="0" w:color="auto"/>
        <w:left w:val="none" w:sz="0" w:space="0" w:color="auto"/>
        <w:bottom w:val="none" w:sz="0" w:space="0" w:color="auto"/>
        <w:right w:val="none" w:sz="0" w:space="0" w:color="auto"/>
      </w:divBdr>
    </w:div>
    <w:div w:id="2071343514">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D3FB0-6E5A-4C0D-8285-9C78CF66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157</Pages>
  <Words>16014</Words>
  <Characters>91281</Characters>
  <Application>Microsoft Office Word</Application>
  <DocSecurity>0</DocSecurity>
  <Lines>760</Lines>
  <Paragraphs>214</Paragraphs>
  <ScaleCrop>false</ScaleCrop>
  <Company>E FUND</Company>
  <LinksUpToDate>false</LinksUpToDate>
  <CharactersWithSpaces>107081</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陈红</cp:lastModifiedBy>
  <cp:revision>20</cp:revision>
  <cp:lastPrinted>2019-09-05T09:41:00Z</cp:lastPrinted>
  <dcterms:created xsi:type="dcterms:W3CDTF">2020-07-02T09:47:00Z</dcterms:created>
  <dcterms:modified xsi:type="dcterms:W3CDTF">2020-08-25T08:48:00Z</dcterms:modified>
</cp:coreProperties>
</file>