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8644BE" w:rsidRDefault="008F2942" w:rsidP="00936084">
      <w:pPr>
        <w:adjustRightInd w:val="0"/>
        <w:snapToGrid w:val="0"/>
        <w:spacing w:line="360" w:lineRule="auto"/>
        <w:jc w:val="left"/>
        <w:rPr>
          <w:rFonts w:asciiTheme="minorEastAsia" w:eastAsiaTheme="minorEastAsia" w:hAnsiTheme="minorEastAsia" w:cs="Arial"/>
          <w:szCs w:val="21"/>
        </w:rPr>
      </w:pPr>
    </w:p>
    <w:p w:rsidR="00BA4B87" w:rsidRPr="008644BE" w:rsidRDefault="00BA4B87" w:rsidP="00936084">
      <w:pPr>
        <w:tabs>
          <w:tab w:val="left" w:pos="1890"/>
        </w:tabs>
        <w:snapToGrid w:val="0"/>
        <w:spacing w:line="360" w:lineRule="auto"/>
        <w:rPr>
          <w:rFonts w:asciiTheme="minorEastAsia" w:eastAsiaTheme="minorEastAsia" w:hAnsiTheme="minorEastAsia"/>
          <w:i/>
          <w:iCs/>
          <w:sz w:val="28"/>
          <w:szCs w:val="28"/>
        </w:rPr>
      </w:pPr>
    </w:p>
    <w:p w:rsidR="00BA4B87" w:rsidRPr="008644BE" w:rsidRDefault="00BA4B87" w:rsidP="00936084">
      <w:pPr>
        <w:snapToGrid w:val="0"/>
        <w:spacing w:line="360" w:lineRule="auto"/>
        <w:ind w:firstLine="881"/>
        <w:jc w:val="center"/>
        <w:rPr>
          <w:rFonts w:asciiTheme="minorEastAsia" w:eastAsiaTheme="minorEastAsia" w:hAnsiTheme="minorEastAsia"/>
          <w:b/>
          <w:sz w:val="44"/>
        </w:rPr>
      </w:pPr>
    </w:p>
    <w:p w:rsidR="00BA4B87" w:rsidRPr="008644BE" w:rsidRDefault="00BA4B87" w:rsidP="00936084">
      <w:pPr>
        <w:snapToGrid w:val="0"/>
        <w:spacing w:line="360" w:lineRule="auto"/>
        <w:ind w:firstLine="881"/>
        <w:jc w:val="center"/>
        <w:rPr>
          <w:rFonts w:asciiTheme="minorEastAsia" w:eastAsiaTheme="minorEastAsia" w:hAnsiTheme="minorEastAsia"/>
          <w:b/>
          <w:sz w:val="44"/>
        </w:rPr>
      </w:pPr>
    </w:p>
    <w:p w:rsidR="00BA4B87" w:rsidRPr="008644BE" w:rsidRDefault="00BA4B87" w:rsidP="00936084">
      <w:pPr>
        <w:snapToGrid w:val="0"/>
        <w:spacing w:line="360" w:lineRule="auto"/>
        <w:ind w:firstLine="881"/>
        <w:jc w:val="center"/>
        <w:rPr>
          <w:rFonts w:asciiTheme="minorEastAsia" w:eastAsiaTheme="minorEastAsia" w:hAnsiTheme="minorEastAsia"/>
          <w:b/>
          <w:sz w:val="44"/>
        </w:rPr>
      </w:pPr>
    </w:p>
    <w:p w:rsidR="00E40637" w:rsidRPr="008644BE" w:rsidRDefault="00E40637" w:rsidP="00936084">
      <w:pPr>
        <w:snapToGrid w:val="0"/>
        <w:spacing w:line="360" w:lineRule="auto"/>
        <w:jc w:val="center"/>
        <w:rPr>
          <w:rFonts w:asciiTheme="minorEastAsia" w:eastAsiaTheme="minorEastAsia" w:hAnsiTheme="minorEastAsia"/>
          <w:b/>
          <w:sz w:val="44"/>
        </w:rPr>
      </w:pPr>
      <w:r w:rsidRPr="008644BE">
        <w:rPr>
          <w:rFonts w:asciiTheme="minorEastAsia" w:eastAsiaTheme="minorEastAsia" w:hAnsiTheme="minorEastAsia" w:hint="eastAsia"/>
          <w:b/>
          <w:sz w:val="44"/>
        </w:rPr>
        <w:t>易方达</w:t>
      </w:r>
      <w:r w:rsidR="009B42FE" w:rsidRPr="008644BE">
        <w:rPr>
          <w:rFonts w:asciiTheme="minorEastAsia" w:eastAsiaTheme="minorEastAsia" w:hAnsiTheme="minorEastAsia" w:hint="eastAsia"/>
          <w:b/>
          <w:sz w:val="44"/>
        </w:rPr>
        <w:t>创新驱动</w:t>
      </w:r>
      <w:r w:rsidRPr="008644BE">
        <w:rPr>
          <w:rFonts w:asciiTheme="minorEastAsia" w:eastAsiaTheme="minorEastAsia" w:hAnsiTheme="minorEastAsia" w:hint="eastAsia"/>
          <w:b/>
          <w:sz w:val="44"/>
        </w:rPr>
        <w:t>灵活配置混合型</w:t>
      </w:r>
    </w:p>
    <w:p w:rsidR="00BA4B87" w:rsidRPr="008644BE" w:rsidRDefault="002221EE" w:rsidP="00936084">
      <w:pPr>
        <w:snapToGrid w:val="0"/>
        <w:spacing w:line="360" w:lineRule="auto"/>
        <w:jc w:val="center"/>
        <w:rPr>
          <w:rFonts w:asciiTheme="minorEastAsia" w:eastAsiaTheme="minorEastAsia" w:hAnsiTheme="minorEastAsia"/>
          <w:b/>
          <w:sz w:val="44"/>
        </w:rPr>
      </w:pPr>
      <w:r w:rsidRPr="008644BE">
        <w:rPr>
          <w:rFonts w:asciiTheme="minorEastAsia" w:eastAsiaTheme="minorEastAsia" w:hAnsiTheme="minorEastAsia" w:hint="eastAsia"/>
          <w:b/>
          <w:sz w:val="44"/>
        </w:rPr>
        <w:t>证券投资基金</w:t>
      </w:r>
      <w:r w:rsidR="00D63A6B" w:rsidRPr="008644BE">
        <w:rPr>
          <w:rFonts w:asciiTheme="minorEastAsia" w:eastAsiaTheme="minorEastAsia" w:hAnsiTheme="minorEastAsia" w:hint="eastAsia"/>
          <w:b/>
          <w:sz w:val="44"/>
        </w:rPr>
        <w:t>更新的</w:t>
      </w:r>
      <w:r w:rsidR="00BA4B87" w:rsidRPr="008644BE">
        <w:rPr>
          <w:rFonts w:asciiTheme="minorEastAsia" w:eastAsiaTheme="minorEastAsia" w:hAnsiTheme="minorEastAsia" w:hint="eastAsia"/>
          <w:b/>
          <w:sz w:val="44"/>
        </w:rPr>
        <w:t>招募说明书</w:t>
      </w:r>
    </w:p>
    <w:p w:rsidR="00BA4B87" w:rsidRPr="008644BE" w:rsidRDefault="00BA4B87" w:rsidP="00936084">
      <w:pPr>
        <w:snapToGrid w:val="0"/>
        <w:spacing w:line="360" w:lineRule="auto"/>
        <w:ind w:leftChars="800" w:left="1680" w:firstLine="181"/>
        <w:rPr>
          <w:rFonts w:asciiTheme="minorEastAsia" w:eastAsiaTheme="minorEastAsia" w:hAnsiTheme="minorEastAsia"/>
          <w:sz w:val="30"/>
          <w:szCs w:val="30"/>
        </w:rPr>
      </w:pPr>
    </w:p>
    <w:p w:rsidR="00992FE4" w:rsidRPr="008644BE" w:rsidRDefault="00992FE4" w:rsidP="00936084">
      <w:pPr>
        <w:snapToGrid w:val="0"/>
        <w:spacing w:line="360" w:lineRule="auto"/>
        <w:ind w:leftChars="800" w:left="1680" w:firstLine="181"/>
        <w:rPr>
          <w:rFonts w:asciiTheme="minorEastAsia" w:eastAsiaTheme="minorEastAsia" w:hAnsiTheme="minorEastAsia"/>
          <w:sz w:val="30"/>
          <w:szCs w:val="30"/>
        </w:rPr>
      </w:pPr>
    </w:p>
    <w:p w:rsidR="00BA4B87" w:rsidRPr="008644BE" w:rsidRDefault="00BA4B87" w:rsidP="00936084">
      <w:pPr>
        <w:snapToGrid w:val="0"/>
        <w:spacing w:line="360" w:lineRule="auto"/>
        <w:ind w:leftChars="800" w:left="1680"/>
        <w:rPr>
          <w:rFonts w:asciiTheme="minorEastAsia" w:eastAsiaTheme="minorEastAsia" w:hAnsiTheme="minorEastAsia"/>
          <w:sz w:val="30"/>
          <w:szCs w:val="30"/>
        </w:rPr>
      </w:pPr>
    </w:p>
    <w:p w:rsidR="00BA4B87" w:rsidRPr="008644BE" w:rsidRDefault="00BA4B87" w:rsidP="00936084">
      <w:pPr>
        <w:snapToGrid w:val="0"/>
        <w:spacing w:line="360" w:lineRule="auto"/>
        <w:ind w:leftChars="800" w:left="1680"/>
        <w:rPr>
          <w:rFonts w:asciiTheme="minorEastAsia" w:eastAsiaTheme="minorEastAsia" w:hAnsiTheme="minorEastAsia"/>
          <w:sz w:val="30"/>
          <w:szCs w:val="30"/>
        </w:rPr>
      </w:pPr>
    </w:p>
    <w:p w:rsidR="00936084" w:rsidRPr="008644BE" w:rsidRDefault="00936084" w:rsidP="00936084">
      <w:pPr>
        <w:snapToGrid w:val="0"/>
        <w:spacing w:line="360" w:lineRule="auto"/>
        <w:ind w:leftChars="800" w:left="1680"/>
        <w:rPr>
          <w:rFonts w:asciiTheme="minorEastAsia" w:eastAsiaTheme="minorEastAsia" w:hAnsiTheme="minorEastAsia"/>
          <w:sz w:val="30"/>
          <w:szCs w:val="30"/>
        </w:rPr>
      </w:pPr>
    </w:p>
    <w:p w:rsidR="00936084" w:rsidRPr="008644BE" w:rsidRDefault="00936084" w:rsidP="00936084">
      <w:pPr>
        <w:snapToGrid w:val="0"/>
        <w:spacing w:line="360" w:lineRule="auto"/>
        <w:ind w:leftChars="800" w:left="1680"/>
        <w:rPr>
          <w:rFonts w:asciiTheme="minorEastAsia" w:eastAsiaTheme="minorEastAsia" w:hAnsiTheme="minorEastAsia"/>
          <w:sz w:val="30"/>
          <w:szCs w:val="30"/>
        </w:rPr>
      </w:pPr>
    </w:p>
    <w:p w:rsidR="00936084" w:rsidRPr="008644BE" w:rsidRDefault="00936084" w:rsidP="00936084">
      <w:pPr>
        <w:snapToGrid w:val="0"/>
        <w:spacing w:line="360" w:lineRule="auto"/>
        <w:ind w:leftChars="800" w:left="1680"/>
        <w:rPr>
          <w:rFonts w:asciiTheme="minorEastAsia" w:eastAsiaTheme="minorEastAsia" w:hAnsiTheme="minorEastAsia"/>
          <w:sz w:val="30"/>
          <w:szCs w:val="30"/>
        </w:rPr>
      </w:pPr>
    </w:p>
    <w:p w:rsidR="00936084" w:rsidRPr="008644BE" w:rsidRDefault="00936084" w:rsidP="00936084">
      <w:pPr>
        <w:snapToGrid w:val="0"/>
        <w:spacing w:line="360" w:lineRule="auto"/>
        <w:ind w:leftChars="800" w:left="1680"/>
        <w:rPr>
          <w:rFonts w:asciiTheme="minorEastAsia" w:eastAsiaTheme="minorEastAsia" w:hAnsiTheme="minorEastAsia"/>
          <w:sz w:val="30"/>
          <w:szCs w:val="30"/>
        </w:rPr>
      </w:pPr>
    </w:p>
    <w:p w:rsidR="00BA4B87" w:rsidRPr="008644BE" w:rsidRDefault="00BA4B87" w:rsidP="00936084">
      <w:pPr>
        <w:snapToGrid w:val="0"/>
        <w:spacing w:line="360" w:lineRule="auto"/>
        <w:ind w:leftChars="800" w:left="1680"/>
        <w:rPr>
          <w:rFonts w:asciiTheme="minorEastAsia" w:eastAsiaTheme="minorEastAsia" w:hAnsiTheme="minorEastAsia"/>
          <w:sz w:val="30"/>
          <w:szCs w:val="30"/>
        </w:rPr>
      </w:pPr>
    </w:p>
    <w:p w:rsidR="00BA4B87" w:rsidRPr="008644BE" w:rsidRDefault="00BA4B87" w:rsidP="00936084">
      <w:pPr>
        <w:snapToGrid w:val="0"/>
        <w:spacing w:line="360" w:lineRule="auto"/>
        <w:ind w:leftChars="800" w:left="1680"/>
        <w:rPr>
          <w:rFonts w:asciiTheme="minorEastAsia" w:eastAsiaTheme="minorEastAsia" w:hAnsiTheme="minorEastAsia"/>
          <w:sz w:val="30"/>
          <w:szCs w:val="30"/>
        </w:rPr>
      </w:pPr>
    </w:p>
    <w:p w:rsidR="00BA4B87" w:rsidRPr="008644BE" w:rsidRDefault="00BA4B87" w:rsidP="00936084">
      <w:pPr>
        <w:snapToGrid w:val="0"/>
        <w:spacing w:line="360" w:lineRule="auto"/>
        <w:ind w:leftChars="686" w:left="1679" w:hangingChars="74" w:hanging="238"/>
        <w:rPr>
          <w:rFonts w:asciiTheme="minorEastAsia" w:eastAsiaTheme="minorEastAsia" w:hAnsiTheme="minorEastAsia"/>
          <w:b/>
          <w:sz w:val="32"/>
          <w:szCs w:val="32"/>
        </w:rPr>
      </w:pPr>
      <w:r w:rsidRPr="008644BE">
        <w:rPr>
          <w:rFonts w:asciiTheme="minorEastAsia" w:eastAsiaTheme="minorEastAsia" w:hAnsiTheme="minorEastAsia" w:hint="eastAsia"/>
          <w:b/>
          <w:sz w:val="32"/>
          <w:szCs w:val="32"/>
        </w:rPr>
        <w:t>基金管理人：易方达基金管理有限公司</w:t>
      </w:r>
    </w:p>
    <w:p w:rsidR="00BA4B87" w:rsidRPr="008644BE" w:rsidRDefault="00BA4B87" w:rsidP="00936084">
      <w:pPr>
        <w:snapToGrid w:val="0"/>
        <w:spacing w:line="360" w:lineRule="auto"/>
        <w:ind w:leftChars="685" w:left="1438"/>
        <w:rPr>
          <w:rFonts w:asciiTheme="minorEastAsia" w:eastAsiaTheme="minorEastAsia" w:hAnsiTheme="minorEastAsia"/>
          <w:b/>
          <w:sz w:val="32"/>
          <w:szCs w:val="32"/>
        </w:rPr>
      </w:pPr>
      <w:r w:rsidRPr="008644BE">
        <w:rPr>
          <w:rFonts w:asciiTheme="minorEastAsia" w:eastAsiaTheme="minorEastAsia" w:hAnsiTheme="minorEastAsia" w:hint="eastAsia"/>
          <w:b/>
          <w:sz w:val="32"/>
          <w:szCs w:val="32"/>
        </w:rPr>
        <w:t>基金托管人：</w:t>
      </w:r>
      <w:r w:rsidR="0021171D" w:rsidRPr="008644BE">
        <w:rPr>
          <w:rFonts w:asciiTheme="minorEastAsia" w:eastAsiaTheme="minorEastAsia" w:hAnsiTheme="minorEastAsia" w:hint="eastAsia"/>
          <w:b/>
          <w:sz w:val="32"/>
          <w:szCs w:val="32"/>
        </w:rPr>
        <w:t>中国</w:t>
      </w:r>
      <w:r w:rsidR="00DD16B1" w:rsidRPr="008644BE">
        <w:rPr>
          <w:rFonts w:asciiTheme="minorEastAsia" w:eastAsiaTheme="minorEastAsia" w:hAnsiTheme="minorEastAsia" w:hint="eastAsia"/>
          <w:b/>
          <w:sz w:val="32"/>
          <w:szCs w:val="32"/>
        </w:rPr>
        <w:t>建设</w:t>
      </w:r>
      <w:r w:rsidR="00746A7E" w:rsidRPr="008644BE">
        <w:rPr>
          <w:rFonts w:asciiTheme="minorEastAsia" w:eastAsiaTheme="minorEastAsia" w:hAnsiTheme="minorEastAsia" w:hint="eastAsia"/>
          <w:b/>
          <w:sz w:val="32"/>
          <w:szCs w:val="32"/>
        </w:rPr>
        <w:t>银行</w:t>
      </w:r>
      <w:r w:rsidRPr="008644BE">
        <w:rPr>
          <w:rFonts w:asciiTheme="minorEastAsia" w:eastAsiaTheme="minorEastAsia" w:hAnsiTheme="minorEastAsia" w:hint="eastAsia"/>
          <w:b/>
          <w:sz w:val="32"/>
          <w:szCs w:val="32"/>
        </w:rPr>
        <w:t>股份有限公司</w:t>
      </w:r>
    </w:p>
    <w:p w:rsidR="00BA4B87" w:rsidRPr="008644BE" w:rsidRDefault="00BA4B87" w:rsidP="00936084">
      <w:pPr>
        <w:snapToGrid w:val="0"/>
        <w:spacing w:line="360" w:lineRule="auto"/>
        <w:ind w:firstLine="561"/>
        <w:rPr>
          <w:rFonts w:asciiTheme="minorEastAsia" w:eastAsiaTheme="minorEastAsia" w:hAnsiTheme="minorEastAsia"/>
          <w:b/>
          <w:sz w:val="24"/>
        </w:rPr>
      </w:pPr>
    </w:p>
    <w:p w:rsidR="003411CA" w:rsidRPr="008644BE" w:rsidRDefault="003411CA" w:rsidP="00936084">
      <w:pPr>
        <w:snapToGrid w:val="0"/>
        <w:spacing w:line="360" w:lineRule="auto"/>
        <w:jc w:val="center"/>
        <w:rPr>
          <w:rFonts w:asciiTheme="minorEastAsia" w:eastAsiaTheme="minorEastAsia" w:hAnsiTheme="minorEastAsia"/>
          <w:b/>
          <w:sz w:val="28"/>
          <w:szCs w:val="28"/>
        </w:rPr>
      </w:pPr>
      <w:r w:rsidRPr="008644BE">
        <w:rPr>
          <w:rFonts w:asciiTheme="minorEastAsia" w:eastAsiaTheme="minorEastAsia" w:hAnsiTheme="minorEastAsia" w:hint="eastAsia"/>
          <w:b/>
          <w:sz w:val="28"/>
          <w:szCs w:val="28"/>
        </w:rPr>
        <w:t>二○二○年八月</w:t>
      </w:r>
    </w:p>
    <w:p w:rsidR="00300AA2" w:rsidRPr="008644BE" w:rsidRDefault="00300AA2" w:rsidP="00936084">
      <w:pPr>
        <w:snapToGrid w:val="0"/>
        <w:spacing w:line="360" w:lineRule="auto"/>
        <w:jc w:val="center"/>
        <w:rPr>
          <w:rFonts w:asciiTheme="minorEastAsia" w:eastAsiaTheme="minorEastAsia" w:hAnsiTheme="minorEastAsia"/>
          <w:b/>
          <w:sz w:val="28"/>
          <w:szCs w:val="28"/>
        </w:rPr>
      </w:pPr>
    </w:p>
    <w:p w:rsidR="00BA4B87" w:rsidRPr="008644BE" w:rsidRDefault="00BA4B87" w:rsidP="00936084">
      <w:pPr>
        <w:snapToGrid w:val="0"/>
        <w:spacing w:line="360" w:lineRule="auto"/>
        <w:jc w:val="center"/>
        <w:rPr>
          <w:rFonts w:asciiTheme="minorEastAsia" w:eastAsiaTheme="minorEastAsia" w:hAnsiTheme="minorEastAsia"/>
          <w:b/>
          <w:sz w:val="28"/>
          <w:szCs w:val="28"/>
        </w:rPr>
      </w:pPr>
      <w:r w:rsidRPr="008644BE">
        <w:rPr>
          <w:rFonts w:asciiTheme="minorEastAsia" w:eastAsiaTheme="minorEastAsia" w:hAnsiTheme="minorEastAsia" w:hint="eastAsia"/>
          <w:b/>
          <w:sz w:val="28"/>
          <w:szCs w:val="28"/>
        </w:rPr>
        <w:lastRenderedPageBreak/>
        <w:t>重要提示</w:t>
      </w:r>
    </w:p>
    <w:p w:rsidR="00BA4B87" w:rsidRPr="008644BE" w:rsidRDefault="00BA4B87" w:rsidP="00936084">
      <w:pPr>
        <w:snapToGrid w:val="0"/>
        <w:spacing w:line="360" w:lineRule="auto"/>
        <w:ind w:firstLineChars="200" w:firstLine="422"/>
        <w:rPr>
          <w:rFonts w:asciiTheme="minorEastAsia" w:eastAsiaTheme="minorEastAsia" w:hAnsiTheme="minorEastAsia"/>
          <w:b/>
        </w:rPr>
      </w:pPr>
      <w:r w:rsidRPr="008644BE">
        <w:rPr>
          <w:rFonts w:asciiTheme="minorEastAsia" w:eastAsiaTheme="minorEastAsia" w:hAnsiTheme="minorEastAsia" w:hint="eastAsia"/>
          <w:b/>
        </w:rPr>
        <w:t>本基金根据</w:t>
      </w:r>
      <w:r w:rsidR="009B42FE" w:rsidRPr="008644BE">
        <w:rPr>
          <w:rFonts w:asciiTheme="minorEastAsia" w:eastAsiaTheme="minorEastAsia" w:hAnsiTheme="minorEastAsia" w:hint="eastAsia"/>
          <w:b/>
        </w:rPr>
        <w:t>2014</w:t>
      </w:r>
      <w:r w:rsidR="00461ADF" w:rsidRPr="008644BE">
        <w:rPr>
          <w:rFonts w:asciiTheme="minorEastAsia" w:eastAsiaTheme="minorEastAsia" w:hAnsiTheme="minorEastAsia" w:hint="eastAsia"/>
          <w:b/>
        </w:rPr>
        <w:t>年</w:t>
      </w:r>
      <w:r w:rsidR="004A3C24" w:rsidRPr="008644BE">
        <w:rPr>
          <w:rFonts w:asciiTheme="minorEastAsia" w:eastAsiaTheme="minorEastAsia" w:hAnsiTheme="minorEastAsia" w:hint="eastAsia"/>
          <w:b/>
        </w:rPr>
        <w:t>3</w:t>
      </w:r>
      <w:r w:rsidRPr="008644BE">
        <w:rPr>
          <w:rFonts w:asciiTheme="minorEastAsia" w:eastAsiaTheme="minorEastAsia" w:hAnsiTheme="minorEastAsia" w:hint="eastAsia"/>
          <w:b/>
        </w:rPr>
        <w:t>月</w:t>
      </w:r>
      <w:r w:rsidR="004A3C24" w:rsidRPr="008644BE">
        <w:rPr>
          <w:rFonts w:asciiTheme="minorEastAsia" w:eastAsiaTheme="minorEastAsia" w:hAnsiTheme="minorEastAsia" w:hint="eastAsia"/>
          <w:b/>
        </w:rPr>
        <w:t>13</w:t>
      </w:r>
      <w:r w:rsidRPr="008644BE">
        <w:rPr>
          <w:rFonts w:asciiTheme="minorEastAsia" w:eastAsiaTheme="minorEastAsia" w:hAnsiTheme="minorEastAsia" w:hint="eastAsia"/>
          <w:b/>
        </w:rPr>
        <w:t>日中国证券监督管理委员会《关于核准</w:t>
      </w:r>
      <w:r w:rsidR="00E40637" w:rsidRPr="008644BE">
        <w:rPr>
          <w:rFonts w:asciiTheme="minorEastAsia" w:eastAsiaTheme="minorEastAsia" w:hAnsiTheme="minorEastAsia" w:hint="eastAsia"/>
          <w:b/>
        </w:rPr>
        <w:t>易方达</w:t>
      </w:r>
      <w:r w:rsidR="009B42FE" w:rsidRPr="008644BE">
        <w:rPr>
          <w:rFonts w:asciiTheme="minorEastAsia" w:eastAsiaTheme="minorEastAsia" w:hAnsiTheme="minorEastAsia" w:hint="eastAsia"/>
          <w:b/>
        </w:rPr>
        <w:t>创新驱动</w:t>
      </w:r>
      <w:r w:rsidR="00E40637" w:rsidRPr="008644BE">
        <w:rPr>
          <w:rFonts w:asciiTheme="minorEastAsia" w:eastAsiaTheme="minorEastAsia" w:hAnsiTheme="minorEastAsia" w:hint="eastAsia"/>
          <w:b/>
        </w:rPr>
        <w:t>灵活配置混合型</w:t>
      </w:r>
      <w:r w:rsidR="002221EE" w:rsidRPr="008644BE">
        <w:rPr>
          <w:rFonts w:asciiTheme="minorEastAsia" w:eastAsiaTheme="minorEastAsia" w:hAnsiTheme="minorEastAsia" w:hint="eastAsia"/>
          <w:b/>
        </w:rPr>
        <w:t>证券投资基金</w:t>
      </w:r>
      <w:r w:rsidRPr="008644BE">
        <w:rPr>
          <w:rFonts w:asciiTheme="minorEastAsia" w:eastAsiaTheme="minorEastAsia" w:hAnsiTheme="minorEastAsia" w:hint="eastAsia"/>
          <w:b/>
        </w:rPr>
        <w:t>募集的批复》</w:t>
      </w:r>
      <w:r w:rsidR="002E1C38" w:rsidRPr="008644BE">
        <w:rPr>
          <w:rFonts w:asciiTheme="minorEastAsia" w:eastAsiaTheme="minorEastAsia" w:hAnsiTheme="minorEastAsia" w:hint="eastAsia"/>
          <w:b/>
        </w:rPr>
        <w:t>（</w:t>
      </w:r>
      <w:r w:rsidRPr="008644BE">
        <w:rPr>
          <w:rFonts w:asciiTheme="minorEastAsia" w:eastAsiaTheme="minorEastAsia" w:hAnsiTheme="minorEastAsia" w:hint="eastAsia"/>
          <w:b/>
        </w:rPr>
        <w:t>证监许可[</w:t>
      </w:r>
      <w:r w:rsidR="009B42FE" w:rsidRPr="008644BE">
        <w:rPr>
          <w:rFonts w:asciiTheme="minorEastAsia" w:eastAsiaTheme="minorEastAsia" w:hAnsiTheme="minorEastAsia" w:hint="eastAsia"/>
          <w:b/>
        </w:rPr>
        <w:t>2014</w:t>
      </w:r>
      <w:r w:rsidRPr="008644BE">
        <w:rPr>
          <w:rFonts w:asciiTheme="minorEastAsia" w:eastAsiaTheme="minorEastAsia" w:hAnsiTheme="minorEastAsia" w:hint="eastAsia"/>
          <w:b/>
        </w:rPr>
        <w:t>]</w:t>
      </w:r>
      <w:r w:rsidR="00AB2AF9" w:rsidRPr="008644BE">
        <w:rPr>
          <w:rFonts w:asciiTheme="minorEastAsia" w:eastAsiaTheme="minorEastAsia" w:hAnsiTheme="minorEastAsia" w:hint="eastAsia"/>
          <w:b/>
        </w:rPr>
        <w:t>290</w:t>
      </w:r>
      <w:r w:rsidRPr="008644BE">
        <w:rPr>
          <w:rFonts w:asciiTheme="minorEastAsia" w:eastAsiaTheme="minorEastAsia" w:hAnsiTheme="minorEastAsia" w:hint="eastAsia"/>
          <w:b/>
        </w:rPr>
        <w:t>号</w:t>
      </w:r>
      <w:r w:rsidR="002E1C38" w:rsidRPr="008644BE">
        <w:rPr>
          <w:rFonts w:asciiTheme="minorEastAsia" w:eastAsiaTheme="minorEastAsia" w:hAnsiTheme="minorEastAsia" w:hint="eastAsia"/>
          <w:b/>
        </w:rPr>
        <w:t>）</w:t>
      </w:r>
      <w:r w:rsidR="00D06CAC" w:rsidRPr="008644BE">
        <w:rPr>
          <w:rFonts w:asciiTheme="minorEastAsia" w:eastAsiaTheme="minorEastAsia" w:hAnsiTheme="minorEastAsia" w:hint="eastAsia"/>
          <w:b/>
        </w:rPr>
        <w:t>、2014年12月8日《关于易方达创新驱动灵活配置混合型证券投资基金延期募集备案的回函》（证券基金机构监管部部函[2014]1961号）</w:t>
      </w:r>
      <w:r w:rsidRPr="008644BE">
        <w:rPr>
          <w:rFonts w:asciiTheme="minorEastAsia" w:eastAsiaTheme="minorEastAsia" w:hAnsiTheme="minorEastAsia" w:hint="eastAsia"/>
          <w:b/>
        </w:rPr>
        <w:t>和</w:t>
      </w:r>
      <w:r w:rsidR="009B42FE" w:rsidRPr="008644BE">
        <w:rPr>
          <w:rFonts w:asciiTheme="minorEastAsia" w:eastAsiaTheme="minorEastAsia" w:hAnsiTheme="minorEastAsia" w:hint="eastAsia"/>
          <w:b/>
        </w:rPr>
        <w:t>201</w:t>
      </w:r>
      <w:r w:rsidR="00336803" w:rsidRPr="008644BE">
        <w:rPr>
          <w:rFonts w:asciiTheme="minorEastAsia" w:eastAsiaTheme="minorEastAsia" w:hAnsiTheme="minorEastAsia" w:hint="eastAsia"/>
          <w:b/>
        </w:rPr>
        <w:t>5</w:t>
      </w:r>
      <w:r w:rsidR="00461ADF" w:rsidRPr="008644BE">
        <w:rPr>
          <w:rFonts w:asciiTheme="minorEastAsia" w:eastAsiaTheme="minorEastAsia" w:hAnsiTheme="minorEastAsia" w:hint="eastAsia"/>
          <w:b/>
        </w:rPr>
        <w:t>年</w:t>
      </w:r>
      <w:r w:rsidR="00336803" w:rsidRPr="008644BE">
        <w:rPr>
          <w:rFonts w:asciiTheme="minorEastAsia" w:eastAsiaTheme="minorEastAsia" w:hAnsiTheme="minorEastAsia" w:hint="eastAsia"/>
          <w:b/>
        </w:rPr>
        <w:t>1</w:t>
      </w:r>
      <w:r w:rsidRPr="008644BE">
        <w:rPr>
          <w:rFonts w:asciiTheme="minorEastAsia" w:eastAsiaTheme="minorEastAsia" w:hAnsiTheme="minorEastAsia" w:hint="eastAsia"/>
          <w:b/>
        </w:rPr>
        <w:t>月</w:t>
      </w:r>
      <w:r w:rsidR="00336803" w:rsidRPr="008644BE">
        <w:rPr>
          <w:rFonts w:asciiTheme="minorEastAsia" w:eastAsiaTheme="minorEastAsia" w:hAnsiTheme="minorEastAsia" w:hint="eastAsia"/>
          <w:b/>
        </w:rPr>
        <w:t>13</w:t>
      </w:r>
      <w:r w:rsidRPr="008644BE">
        <w:rPr>
          <w:rFonts w:asciiTheme="minorEastAsia" w:eastAsiaTheme="minorEastAsia" w:hAnsiTheme="minorEastAsia" w:hint="eastAsia"/>
          <w:b/>
        </w:rPr>
        <w:t>日《关于</w:t>
      </w:r>
      <w:r w:rsidR="00E40637" w:rsidRPr="008644BE">
        <w:rPr>
          <w:rFonts w:asciiTheme="minorEastAsia" w:eastAsiaTheme="minorEastAsia" w:hAnsiTheme="minorEastAsia" w:hint="eastAsia"/>
          <w:b/>
        </w:rPr>
        <w:t>易方达</w:t>
      </w:r>
      <w:r w:rsidR="009B42FE" w:rsidRPr="008644BE">
        <w:rPr>
          <w:rFonts w:asciiTheme="minorEastAsia" w:eastAsiaTheme="minorEastAsia" w:hAnsiTheme="minorEastAsia" w:hint="eastAsia"/>
          <w:b/>
        </w:rPr>
        <w:t>创新驱动</w:t>
      </w:r>
      <w:r w:rsidR="00E40637" w:rsidRPr="008644BE">
        <w:rPr>
          <w:rFonts w:asciiTheme="minorEastAsia" w:eastAsiaTheme="minorEastAsia" w:hAnsiTheme="minorEastAsia" w:hint="eastAsia"/>
          <w:b/>
        </w:rPr>
        <w:t>灵活配置混合型</w:t>
      </w:r>
      <w:r w:rsidR="002221EE" w:rsidRPr="008644BE">
        <w:rPr>
          <w:rFonts w:asciiTheme="minorEastAsia" w:eastAsiaTheme="minorEastAsia" w:hAnsiTheme="minorEastAsia" w:hint="eastAsia"/>
          <w:b/>
        </w:rPr>
        <w:t>证券投资基金</w:t>
      </w:r>
      <w:r w:rsidRPr="008644BE">
        <w:rPr>
          <w:rFonts w:asciiTheme="minorEastAsia" w:eastAsiaTheme="minorEastAsia" w:hAnsiTheme="minorEastAsia" w:hint="eastAsia"/>
          <w:b/>
        </w:rPr>
        <w:t>募集时间安排的确认函》</w:t>
      </w:r>
      <w:r w:rsidR="002E1C38" w:rsidRPr="008644BE">
        <w:rPr>
          <w:rFonts w:asciiTheme="minorEastAsia" w:eastAsiaTheme="minorEastAsia" w:hAnsiTheme="minorEastAsia" w:hint="eastAsia"/>
          <w:b/>
        </w:rPr>
        <w:t>（</w:t>
      </w:r>
      <w:r w:rsidR="00D06CAC" w:rsidRPr="008644BE">
        <w:rPr>
          <w:rFonts w:asciiTheme="minorEastAsia" w:eastAsiaTheme="minorEastAsia" w:hAnsiTheme="minorEastAsia" w:hint="eastAsia"/>
          <w:b/>
        </w:rPr>
        <w:t>机构</w:t>
      </w:r>
      <w:r w:rsidRPr="008644BE">
        <w:rPr>
          <w:rFonts w:asciiTheme="minorEastAsia" w:eastAsiaTheme="minorEastAsia" w:hAnsiTheme="minorEastAsia" w:hint="eastAsia"/>
          <w:b/>
        </w:rPr>
        <w:t>部函[</w:t>
      </w:r>
      <w:r w:rsidR="009B42FE" w:rsidRPr="008644BE">
        <w:rPr>
          <w:rFonts w:asciiTheme="minorEastAsia" w:eastAsiaTheme="minorEastAsia" w:hAnsiTheme="minorEastAsia" w:hint="eastAsia"/>
          <w:b/>
        </w:rPr>
        <w:t>201</w:t>
      </w:r>
      <w:r w:rsidR="009C76E5" w:rsidRPr="008644BE">
        <w:rPr>
          <w:rFonts w:asciiTheme="minorEastAsia" w:eastAsiaTheme="minorEastAsia" w:hAnsiTheme="minorEastAsia" w:hint="eastAsia"/>
          <w:b/>
        </w:rPr>
        <w:t>5</w:t>
      </w:r>
      <w:r w:rsidRPr="008644BE">
        <w:rPr>
          <w:rFonts w:asciiTheme="minorEastAsia" w:eastAsiaTheme="minorEastAsia" w:hAnsiTheme="minorEastAsia" w:hint="eastAsia"/>
          <w:b/>
        </w:rPr>
        <w:t>]</w:t>
      </w:r>
      <w:r w:rsidR="009C76E5" w:rsidRPr="008644BE">
        <w:rPr>
          <w:rFonts w:asciiTheme="minorEastAsia" w:eastAsiaTheme="minorEastAsia" w:hAnsiTheme="minorEastAsia" w:hint="eastAsia"/>
          <w:b/>
        </w:rPr>
        <w:t>107</w:t>
      </w:r>
      <w:r w:rsidRPr="008644BE">
        <w:rPr>
          <w:rFonts w:asciiTheme="minorEastAsia" w:eastAsiaTheme="minorEastAsia" w:hAnsiTheme="minorEastAsia" w:hint="eastAsia"/>
          <w:b/>
        </w:rPr>
        <w:t>号</w:t>
      </w:r>
      <w:r w:rsidR="002E1C38" w:rsidRPr="008644BE">
        <w:rPr>
          <w:rFonts w:asciiTheme="minorEastAsia" w:eastAsiaTheme="minorEastAsia" w:hAnsiTheme="minorEastAsia" w:hint="eastAsia"/>
          <w:b/>
        </w:rPr>
        <w:t>）</w:t>
      </w:r>
      <w:r w:rsidRPr="008644BE">
        <w:rPr>
          <w:rFonts w:asciiTheme="minorEastAsia" w:eastAsiaTheme="minorEastAsia" w:hAnsiTheme="minorEastAsia" w:hint="eastAsia"/>
          <w:b/>
        </w:rPr>
        <w:t>进行募集。</w:t>
      </w:r>
      <w:r w:rsidR="00127ED2" w:rsidRPr="008644BE">
        <w:rPr>
          <w:rFonts w:asciiTheme="minorEastAsia" w:eastAsiaTheme="minorEastAsia" w:hAnsiTheme="minorEastAsia" w:hint="eastAsia"/>
          <w:b/>
          <w:szCs w:val="21"/>
        </w:rPr>
        <w:t>本基金基金合同于2015年2月</w:t>
      </w:r>
      <w:r w:rsidR="00E379FA" w:rsidRPr="008644BE">
        <w:rPr>
          <w:rFonts w:asciiTheme="minorEastAsia" w:eastAsiaTheme="minorEastAsia" w:hAnsiTheme="minorEastAsia" w:hint="eastAsia"/>
          <w:b/>
          <w:szCs w:val="21"/>
        </w:rPr>
        <w:t>13</w:t>
      </w:r>
      <w:r w:rsidR="00127ED2" w:rsidRPr="008644BE">
        <w:rPr>
          <w:rFonts w:asciiTheme="minorEastAsia" w:eastAsiaTheme="minorEastAsia" w:hAnsiTheme="minorEastAsia" w:hint="eastAsia"/>
          <w:b/>
          <w:szCs w:val="21"/>
        </w:rPr>
        <w:t>日正式生效。</w:t>
      </w:r>
    </w:p>
    <w:p w:rsidR="00BA4B87" w:rsidRPr="008644BE" w:rsidRDefault="00BA4B87" w:rsidP="00936084">
      <w:pPr>
        <w:snapToGrid w:val="0"/>
        <w:spacing w:line="360" w:lineRule="auto"/>
        <w:ind w:firstLineChars="200" w:firstLine="422"/>
        <w:rPr>
          <w:rFonts w:asciiTheme="minorEastAsia" w:eastAsiaTheme="minorEastAsia" w:hAnsiTheme="minorEastAsia"/>
          <w:b/>
        </w:rPr>
      </w:pPr>
      <w:r w:rsidRPr="008644BE">
        <w:rPr>
          <w:rFonts w:asciiTheme="minorEastAsia" w:eastAsiaTheme="minorEastAsia" w:hAnsiTheme="minorEastAsia" w:hint="eastAsia"/>
          <w:b/>
        </w:rPr>
        <w:t>基金管理人保证《招募说明书》的内容真实、准确、完整。本《招募说明书》经中国证监会</w:t>
      </w:r>
      <w:r w:rsidR="001F59B1" w:rsidRPr="008644BE">
        <w:rPr>
          <w:rFonts w:asciiTheme="minorEastAsia" w:eastAsiaTheme="minorEastAsia" w:hAnsiTheme="minorEastAsia" w:hint="eastAsia"/>
          <w:b/>
        </w:rPr>
        <w:t>注册</w:t>
      </w:r>
      <w:r w:rsidRPr="008644BE">
        <w:rPr>
          <w:rFonts w:asciiTheme="minorEastAsia" w:eastAsiaTheme="minorEastAsia" w:hAnsiTheme="minorEastAsia" w:hint="eastAsia"/>
          <w:b/>
        </w:rPr>
        <w:t>，但中国证监会对本基金募集的</w:t>
      </w:r>
      <w:r w:rsidR="001F59B1" w:rsidRPr="008644BE">
        <w:rPr>
          <w:rFonts w:asciiTheme="minorEastAsia" w:eastAsiaTheme="minorEastAsia" w:hAnsiTheme="minorEastAsia" w:hint="eastAsia"/>
          <w:b/>
        </w:rPr>
        <w:t>注册</w:t>
      </w:r>
      <w:r w:rsidRPr="008644BE">
        <w:rPr>
          <w:rFonts w:asciiTheme="minorEastAsia" w:eastAsiaTheme="minorEastAsia" w:hAnsiTheme="minorEastAsia" w:hint="eastAsia"/>
          <w:b/>
        </w:rPr>
        <w:t>，并不表明其对本基金的价值和收益作出实质性判断或保证，也不表明投资于本基金没有风险。</w:t>
      </w:r>
    </w:p>
    <w:p w:rsidR="00BA4B87" w:rsidRPr="008644BE" w:rsidRDefault="00BA4B87" w:rsidP="00936084">
      <w:pPr>
        <w:snapToGrid w:val="0"/>
        <w:spacing w:line="360" w:lineRule="auto"/>
        <w:ind w:firstLineChars="200" w:firstLine="422"/>
        <w:rPr>
          <w:rFonts w:asciiTheme="minorEastAsia" w:eastAsiaTheme="minorEastAsia" w:hAnsiTheme="minorEastAsia"/>
          <w:b/>
        </w:rPr>
      </w:pPr>
      <w:r w:rsidRPr="008644BE">
        <w:rPr>
          <w:rFonts w:asciiTheme="minorEastAsia" w:eastAsiaTheme="minorEastAsia" w:hAnsiTheme="minorEastAsia" w:hint="eastAsia"/>
          <w:b/>
        </w:rPr>
        <w:t>基金管理人依照恪尽职守、诚实信用、谨慎勤勉的原则管理和运用基金财产，但不保证基金一定盈利，也不保证最低收益。</w:t>
      </w:r>
    </w:p>
    <w:p w:rsidR="00BA4B87" w:rsidRPr="008644BE" w:rsidRDefault="00F477A7" w:rsidP="00936084">
      <w:pPr>
        <w:snapToGrid w:val="0"/>
        <w:spacing w:line="360" w:lineRule="auto"/>
        <w:ind w:firstLineChars="200" w:firstLine="422"/>
        <w:rPr>
          <w:rFonts w:asciiTheme="minorEastAsia" w:eastAsiaTheme="minorEastAsia" w:hAnsiTheme="minorEastAsia"/>
          <w:b/>
        </w:rPr>
      </w:pPr>
      <w:r w:rsidRPr="008644BE">
        <w:rPr>
          <w:rFonts w:asciiTheme="minorEastAsia" w:eastAsiaTheme="minorEastAsia" w:hAnsiTheme="minorEastAsia" w:hint="eastAsia"/>
          <w:b/>
        </w:rPr>
        <w:t>本基金投资于证券市场，基金净值会因为证券市场波动等因素产生波动。投资有风险，投资者在投资本基金前，请认真阅读</w:t>
      </w:r>
      <w:r w:rsidR="00AE332A" w:rsidRPr="008644BE">
        <w:rPr>
          <w:rFonts w:asciiTheme="minorEastAsia" w:eastAsiaTheme="minorEastAsia" w:hAnsiTheme="minorEastAsia" w:hint="eastAsia"/>
          <w:b/>
        </w:rPr>
        <w:t>本基金的招募说明书、基金合同和基金产品资料概要等信息披露文件</w:t>
      </w:r>
      <w:r w:rsidRPr="008644BE">
        <w:rPr>
          <w:rFonts w:asciiTheme="minorEastAsia" w:eastAsiaTheme="minorEastAsia" w:hAnsiTheme="minorEastAsia" w:hint="eastAsia"/>
          <w:b/>
        </w:rPr>
        <w:t>，全面认识本基金产品的风险收益特征和产品特性，充分考虑自身的风险承受能力，理性判断市场，对认购（或申购）基金的意愿、时机、数量等投资行为作出独立决策，承担基金投资中出现的各类风险。投资本基金可能遇到的风险包括：</w:t>
      </w:r>
      <w:r w:rsidR="009B42FE" w:rsidRPr="008644BE">
        <w:rPr>
          <w:rFonts w:asciiTheme="minorEastAsia" w:eastAsiaTheme="minorEastAsia" w:hAnsiTheme="minorEastAsia" w:hint="eastAsia"/>
          <w:b/>
        </w:rPr>
        <w:t>创新驱动型公司</w:t>
      </w:r>
      <w:r w:rsidRPr="008644BE">
        <w:rPr>
          <w:rFonts w:asciiTheme="minorEastAsia" w:eastAsiaTheme="minorEastAsia" w:hAnsiTheme="minorEastAsia" w:hint="eastAsia"/>
          <w:b/>
        </w:rPr>
        <w:t>股票波动率较高的风险；</w:t>
      </w:r>
      <w:r w:rsidR="009B42FE" w:rsidRPr="008644BE">
        <w:rPr>
          <w:rFonts w:asciiTheme="minorEastAsia" w:eastAsiaTheme="minorEastAsia" w:hAnsiTheme="minorEastAsia" w:hint="eastAsia"/>
          <w:b/>
        </w:rPr>
        <w:t>创新驱动型公司</w:t>
      </w:r>
      <w:r w:rsidR="00B1039B" w:rsidRPr="008644BE">
        <w:rPr>
          <w:rFonts w:asciiTheme="minorEastAsia" w:eastAsiaTheme="minorEastAsia" w:hAnsiTheme="minorEastAsia" w:hint="eastAsia"/>
          <w:b/>
        </w:rPr>
        <w:t>证券</w:t>
      </w:r>
      <w:r w:rsidRPr="008644BE">
        <w:rPr>
          <w:rFonts w:asciiTheme="minorEastAsia" w:eastAsiaTheme="minorEastAsia" w:hAnsiTheme="minorEastAsia" w:hint="eastAsia"/>
          <w:b/>
        </w:rPr>
        <w:t>整体表现可能较差的风险；基金投资回报可能低于业绩比较基准的风险；如果本基金投资股指期货</w:t>
      </w:r>
      <w:r w:rsidR="007632A0" w:rsidRPr="008644BE">
        <w:rPr>
          <w:rFonts w:asciiTheme="minorEastAsia" w:eastAsiaTheme="minorEastAsia" w:hAnsiTheme="minorEastAsia" w:hint="eastAsia"/>
          <w:b/>
        </w:rPr>
        <w:t>、科创板股票</w:t>
      </w:r>
      <w:r w:rsidRPr="008644BE">
        <w:rPr>
          <w:rFonts w:asciiTheme="minorEastAsia" w:eastAsiaTheme="minorEastAsia" w:hAnsiTheme="minorEastAsia" w:hint="eastAsia"/>
          <w:b/>
        </w:rPr>
        <w:t>，可能给本基金带来额外风险</w:t>
      </w:r>
      <w:r w:rsidR="00F272F1" w:rsidRPr="008644BE">
        <w:rPr>
          <w:rFonts w:asciiTheme="minorEastAsia" w:eastAsiaTheme="minorEastAsia" w:hAnsiTheme="minorEastAsia" w:hint="eastAsia"/>
          <w:b/>
        </w:rPr>
        <w:t>；</w:t>
      </w:r>
      <w:r w:rsidRPr="008644BE">
        <w:rPr>
          <w:rFonts w:asciiTheme="minorEastAsia" w:eastAsiaTheme="minorEastAsia" w:hAnsiTheme="minorEastAsia" w:hint="eastAsia"/>
          <w:b/>
        </w:rPr>
        <w:t>证券市场整体环境引发的系统性风险；个别证券特有的非系统性风险；流动性风险；</w:t>
      </w:r>
      <w:r w:rsidR="006666F7" w:rsidRPr="008644BE">
        <w:rPr>
          <w:rFonts w:asciiTheme="minorEastAsia" w:eastAsiaTheme="minorEastAsia" w:hAnsiTheme="minorEastAsia" w:hint="eastAsia"/>
          <w:b/>
        </w:rPr>
        <w:t>本基金法律文件中涉及基金风险特征的表述与销售机构对基金的风险评级可能不一致的风险;</w:t>
      </w:r>
      <w:r w:rsidRPr="008644BE">
        <w:rPr>
          <w:rFonts w:asciiTheme="minorEastAsia" w:eastAsiaTheme="minorEastAsia" w:hAnsiTheme="minorEastAsia" w:hint="eastAsia"/>
          <w:b/>
        </w:rPr>
        <w:t>基金投资过程中产生的操作风险；因交收违约和投资债券引发的信用风险等。</w:t>
      </w:r>
      <w:r w:rsidR="00121AB8" w:rsidRPr="008644BE">
        <w:rPr>
          <w:rFonts w:asciiTheme="minorEastAsia" w:eastAsiaTheme="minorEastAsia" w:hAnsiTheme="minorEastAsia" w:hint="eastAsia"/>
          <w:b/>
        </w:rPr>
        <w:t>本基金为混合型基金，理论上其风险收益水平低于股票型基金，高于债券型基金和货币市场基金。</w:t>
      </w:r>
      <w:r w:rsidRPr="008644BE">
        <w:rPr>
          <w:rFonts w:asciiTheme="minorEastAsia" w:eastAsiaTheme="minorEastAsia" w:hAnsiTheme="minorEastAsia" w:hint="eastAsia"/>
          <w:b/>
        </w:rPr>
        <w:t>基金管理人提醒投资者基金投资的“买者自负”原则，在投资者作出投资决策后，基金运营状况与基金净值变化引致的投资风险，由投资者自行负责。此外，本基金以1元初始面值进行募集，在市场波动等因素的影响下，存在单位份额净值跌破1元初始面值的风险。</w:t>
      </w:r>
    </w:p>
    <w:p w:rsidR="00BA4B87" w:rsidRPr="008644BE" w:rsidRDefault="00BA4B87" w:rsidP="00936084">
      <w:pPr>
        <w:snapToGrid w:val="0"/>
        <w:spacing w:line="360" w:lineRule="auto"/>
        <w:ind w:firstLineChars="200" w:firstLine="422"/>
        <w:rPr>
          <w:rFonts w:asciiTheme="minorEastAsia" w:eastAsiaTheme="minorEastAsia" w:hAnsiTheme="minorEastAsia"/>
          <w:b/>
        </w:rPr>
      </w:pPr>
      <w:r w:rsidRPr="008644BE">
        <w:rPr>
          <w:rFonts w:asciiTheme="minorEastAsia" w:eastAsiaTheme="minorEastAsia" w:hAnsiTheme="minorEastAsia" w:hint="eastAsia"/>
          <w:b/>
        </w:rPr>
        <w:t>基金不同于银行储蓄，基金</w:t>
      </w:r>
      <w:r w:rsidR="008D4032" w:rsidRPr="008644BE">
        <w:rPr>
          <w:rFonts w:asciiTheme="minorEastAsia" w:eastAsiaTheme="minorEastAsia" w:hAnsiTheme="minorEastAsia" w:hint="eastAsia"/>
          <w:b/>
        </w:rPr>
        <w:t>投资人</w:t>
      </w:r>
      <w:r w:rsidRPr="008644BE">
        <w:rPr>
          <w:rFonts w:asciiTheme="minorEastAsia" w:eastAsiaTheme="minorEastAsia" w:hAnsiTheme="minorEastAsia" w:hint="eastAsia"/>
          <w:b/>
        </w:rPr>
        <w:t>有可能获得较高的收益，也有可能损失本金。投资有风险，</w:t>
      </w:r>
      <w:r w:rsidR="008D4032" w:rsidRPr="008644BE">
        <w:rPr>
          <w:rFonts w:asciiTheme="minorEastAsia" w:eastAsiaTheme="minorEastAsia" w:hAnsiTheme="minorEastAsia" w:hint="eastAsia"/>
          <w:b/>
        </w:rPr>
        <w:t>投资人</w:t>
      </w:r>
      <w:r w:rsidRPr="008644BE">
        <w:rPr>
          <w:rFonts w:asciiTheme="minorEastAsia" w:eastAsiaTheme="minorEastAsia" w:hAnsiTheme="minorEastAsia" w:hint="eastAsia"/>
          <w:b/>
        </w:rPr>
        <w:t>在进行投资决策前，请仔细阅读本基金的《招募说明书》及《基金合同》。</w:t>
      </w:r>
    </w:p>
    <w:p w:rsidR="005D65CC" w:rsidRPr="008644BE" w:rsidRDefault="005D65CC" w:rsidP="00936084">
      <w:pPr>
        <w:snapToGrid w:val="0"/>
        <w:spacing w:line="360" w:lineRule="auto"/>
        <w:ind w:firstLineChars="200" w:firstLine="422"/>
        <w:rPr>
          <w:rFonts w:asciiTheme="minorEastAsia" w:eastAsiaTheme="minorEastAsia" w:hAnsiTheme="minorEastAsia"/>
          <w:b/>
        </w:rPr>
      </w:pPr>
      <w:r w:rsidRPr="008644BE">
        <w:rPr>
          <w:rFonts w:asciiTheme="minorEastAsia" w:eastAsiaTheme="minorEastAsia" w:hAnsiTheme="minorEastAsia" w:hint="eastAsia"/>
          <w:b/>
        </w:rPr>
        <w:t>基金的过往业绩并不预示其未来表现。</w:t>
      </w:r>
    </w:p>
    <w:p w:rsidR="006666F7" w:rsidRPr="008644BE" w:rsidRDefault="006666F7" w:rsidP="00936084">
      <w:pPr>
        <w:snapToGrid w:val="0"/>
        <w:spacing w:line="360" w:lineRule="auto"/>
        <w:ind w:firstLineChars="200" w:firstLine="422"/>
        <w:rPr>
          <w:rFonts w:asciiTheme="minorEastAsia" w:eastAsiaTheme="minorEastAsia" w:hAnsiTheme="minorEastAsia"/>
          <w:b/>
        </w:rPr>
      </w:pPr>
      <w:r w:rsidRPr="008644BE">
        <w:rPr>
          <w:rFonts w:asciiTheme="minorEastAsia" w:eastAsiaTheme="minorEastAsia" w:hAnsiTheme="minorEastAsia" w:hint="eastAsia"/>
          <w:b/>
        </w:rPr>
        <w:t>基金合同约定的基金产品资料概要编制、披露与更新要求，自《信息披露办法》实施之日起一年后开始执行。</w:t>
      </w:r>
    </w:p>
    <w:p w:rsidR="00692C06" w:rsidRPr="008644BE" w:rsidRDefault="0075658A" w:rsidP="00936084">
      <w:pPr>
        <w:snapToGrid w:val="0"/>
        <w:spacing w:line="360" w:lineRule="auto"/>
        <w:ind w:firstLineChars="200" w:firstLine="422"/>
        <w:rPr>
          <w:rFonts w:asciiTheme="minorEastAsia" w:eastAsiaTheme="minorEastAsia" w:hAnsiTheme="minorEastAsia"/>
          <w:b/>
          <w:szCs w:val="21"/>
        </w:rPr>
        <w:sectPr w:rsidR="00692C06" w:rsidRPr="008644BE" w:rsidSect="007C111B">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851" w:footer="992" w:gutter="0"/>
          <w:pgNumType w:fmt="upperRoman" w:start="1"/>
          <w:cols w:space="720"/>
          <w:docGrid w:type="lines" w:linePitch="317"/>
        </w:sectPr>
      </w:pPr>
      <w:r w:rsidRPr="0075658A">
        <w:rPr>
          <w:rFonts w:asciiTheme="minorEastAsia" w:eastAsiaTheme="minorEastAsia" w:hAnsiTheme="minorEastAsia" w:hint="eastAsia"/>
          <w:b/>
          <w:szCs w:val="21"/>
        </w:rPr>
        <w:t>本基金基金经理变更相关信息更新截止日为2020年8月22日。</w:t>
      </w:r>
      <w:r w:rsidR="00E379FA" w:rsidRPr="008644BE">
        <w:rPr>
          <w:rFonts w:asciiTheme="minorEastAsia" w:eastAsiaTheme="minorEastAsia" w:hAnsiTheme="minorEastAsia" w:hint="eastAsia"/>
          <w:b/>
          <w:szCs w:val="21"/>
        </w:rPr>
        <w:t>除非另有说明，</w:t>
      </w:r>
      <w:r w:rsidR="003411CA" w:rsidRPr="008644BE">
        <w:rPr>
          <w:rFonts w:asciiTheme="minorEastAsia" w:eastAsiaTheme="minorEastAsia" w:hAnsiTheme="minorEastAsia" w:hint="eastAsia"/>
          <w:b/>
          <w:szCs w:val="21"/>
        </w:rPr>
        <w:t>本招募说明书</w:t>
      </w:r>
      <w:r>
        <w:rPr>
          <w:rFonts w:asciiTheme="minorEastAsia" w:eastAsiaTheme="minorEastAsia" w:hAnsiTheme="minorEastAsia" w:hint="eastAsia"/>
          <w:b/>
          <w:szCs w:val="21"/>
        </w:rPr>
        <w:t>其他</w:t>
      </w:r>
      <w:r w:rsidR="003411CA" w:rsidRPr="008644BE">
        <w:rPr>
          <w:rFonts w:asciiTheme="minorEastAsia" w:eastAsiaTheme="minorEastAsia" w:hAnsiTheme="minorEastAsia" w:hint="eastAsia"/>
          <w:b/>
          <w:szCs w:val="21"/>
        </w:rPr>
        <w:t>所载内容截止日为2020年7月16日</w:t>
      </w:r>
      <w:r w:rsidR="00C1259A" w:rsidRPr="008644BE">
        <w:rPr>
          <w:rFonts w:asciiTheme="minorEastAsia" w:eastAsiaTheme="minorEastAsia" w:hAnsiTheme="minorEastAsia" w:hint="eastAsia"/>
          <w:b/>
          <w:szCs w:val="21"/>
        </w:rPr>
        <w:t>，</w:t>
      </w:r>
      <w:r w:rsidR="003411CA" w:rsidRPr="008644BE">
        <w:rPr>
          <w:rFonts w:asciiTheme="minorEastAsia" w:eastAsiaTheme="minorEastAsia" w:hAnsiTheme="minorEastAsia" w:hint="eastAsia"/>
          <w:b/>
          <w:szCs w:val="21"/>
        </w:rPr>
        <w:t>有关财务数据截止日为2020年6月30</w:t>
      </w:r>
      <w:r w:rsidR="003411CA" w:rsidRPr="008644BE">
        <w:rPr>
          <w:rFonts w:asciiTheme="minorEastAsia" w:eastAsiaTheme="minorEastAsia" w:hAnsiTheme="minorEastAsia" w:hint="eastAsia"/>
          <w:b/>
          <w:szCs w:val="21"/>
        </w:rPr>
        <w:lastRenderedPageBreak/>
        <w:t>日</w:t>
      </w:r>
      <w:r w:rsidR="00C1259A" w:rsidRPr="008644BE">
        <w:rPr>
          <w:rFonts w:asciiTheme="minorEastAsia" w:eastAsiaTheme="minorEastAsia" w:hAnsiTheme="minorEastAsia" w:hint="eastAsia"/>
          <w:b/>
          <w:szCs w:val="21"/>
        </w:rPr>
        <w:t>，</w:t>
      </w:r>
      <w:r w:rsidR="003411CA" w:rsidRPr="008644BE">
        <w:rPr>
          <w:rFonts w:asciiTheme="minorEastAsia" w:eastAsiaTheme="minorEastAsia" w:hAnsiTheme="minorEastAsia" w:hint="eastAsia"/>
          <w:b/>
          <w:szCs w:val="21"/>
        </w:rPr>
        <w:t>净值表现截止日为2020年6月30日</w:t>
      </w:r>
      <w:r w:rsidR="00E379FA" w:rsidRPr="008644BE">
        <w:rPr>
          <w:rFonts w:asciiTheme="minorEastAsia" w:eastAsiaTheme="minorEastAsia" w:hAnsiTheme="minorEastAsia" w:hint="eastAsia"/>
          <w:b/>
          <w:szCs w:val="21"/>
        </w:rPr>
        <w:t>。（本报告中财务数据未经审计）</w:t>
      </w:r>
    </w:p>
    <w:p w:rsidR="00BA4B87" w:rsidRPr="008644BE" w:rsidRDefault="00BA4B87" w:rsidP="00936084">
      <w:pPr>
        <w:adjustRightInd w:val="0"/>
        <w:snapToGrid w:val="0"/>
        <w:spacing w:line="360" w:lineRule="auto"/>
        <w:jc w:val="center"/>
        <w:rPr>
          <w:rFonts w:asciiTheme="minorEastAsia" w:eastAsiaTheme="minorEastAsia" w:hAnsiTheme="minorEastAsia"/>
          <w:sz w:val="30"/>
        </w:rPr>
      </w:pPr>
      <w:r w:rsidRPr="008644BE">
        <w:rPr>
          <w:rFonts w:asciiTheme="minorEastAsia" w:eastAsiaTheme="minorEastAsia" w:hAnsiTheme="minorEastAsia" w:hint="eastAsia"/>
          <w:sz w:val="30"/>
        </w:rPr>
        <w:lastRenderedPageBreak/>
        <w:t>目录</w:t>
      </w:r>
    </w:p>
    <w:p w:rsidR="008644BE" w:rsidRDefault="00C22BCD">
      <w:pPr>
        <w:pStyle w:val="10"/>
        <w:rPr>
          <w:rFonts w:asciiTheme="minorHAnsi" w:eastAsiaTheme="minorEastAsia" w:hAnsiTheme="minorHAnsi" w:cstheme="minorBidi"/>
          <w:caps w:val="0"/>
          <w:color w:val="auto"/>
          <w:sz w:val="21"/>
          <w:szCs w:val="22"/>
        </w:rPr>
      </w:pPr>
      <w:r w:rsidRPr="008644BE">
        <w:rPr>
          <w:rFonts w:asciiTheme="minorEastAsia" w:eastAsiaTheme="minorEastAsia" w:hAnsiTheme="minorEastAsia"/>
          <w:b/>
          <w:caps w:val="0"/>
          <w:color w:val="auto"/>
        </w:rPr>
        <w:fldChar w:fldCharType="begin"/>
      </w:r>
      <w:r w:rsidR="00BA1E8F" w:rsidRPr="008644BE">
        <w:rPr>
          <w:rFonts w:asciiTheme="minorEastAsia" w:eastAsiaTheme="minorEastAsia" w:hAnsiTheme="minorEastAsia"/>
          <w:b/>
          <w:caps w:val="0"/>
          <w:color w:val="auto"/>
        </w:rPr>
        <w:instrText xml:space="preserve"> TOC \o "1-1" \h \z \u </w:instrText>
      </w:r>
      <w:r w:rsidRPr="008644BE">
        <w:rPr>
          <w:rFonts w:asciiTheme="minorEastAsia" w:eastAsiaTheme="minorEastAsia" w:hAnsiTheme="minorEastAsia"/>
          <w:b/>
          <w:caps w:val="0"/>
          <w:color w:val="auto"/>
        </w:rPr>
        <w:fldChar w:fldCharType="separate"/>
      </w:r>
      <w:hyperlink w:anchor="_Toc49269626" w:history="1">
        <w:r w:rsidR="008644BE" w:rsidRPr="00A028D9">
          <w:rPr>
            <w:rStyle w:val="a5"/>
            <w:rFonts w:asciiTheme="minorEastAsia" w:hAnsiTheme="minorEastAsia" w:hint="eastAsia"/>
          </w:rPr>
          <w:t>一、绪言</w:t>
        </w:r>
        <w:r w:rsidR="008644BE">
          <w:rPr>
            <w:webHidden/>
          </w:rPr>
          <w:tab/>
        </w:r>
        <w:r w:rsidR="008644BE">
          <w:rPr>
            <w:webHidden/>
          </w:rPr>
          <w:fldChar w:fldCharType="begin"/>
        </w:r>
        <w:r w:rsidR="008644BE">
          <w:rPr>
            <w:webHidden/>
          </w:rPr>
          <w:instrText xml:space="preserve"> PAGEREF _Toc49269626 \h </w:instrText>
        </w:r>
        <w:r w:rsidR="008644BE">
          <w:rPr>
            <w:webHidden/>
          </w:rPr>
        </w:r>
        <w:r w:rsidR="008644BE">
          <w:rPr>
            <w:webHidden/>
          </w:rPr>
          <w:fldChar w:fldCharType="separate"/>
        </w:r>
        <w:r w:rsidR="00E33C9A">
          <w:rPr>
            <w:webHidden/>
          </w:rPr>
          <w:t>1</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27" w:history="1">
        <w:r w:rsidR="008644BE" w:rsidRPr="00A028D9">
          <w:rPr>
            <w:rStyle w:val="a5"/>
            <w:rFonts w:asciiTheme="minorEastAsia" w:hAnsiTheme="minorEastAsia" w:hint="eastAsia"/>
          </w:rPr>
          <w:t>二、释义</w:t>
        </w:r>
        <w:r w:rsidR="008644BE">
          <w:rPr>
            <w:webHidden/>
          </w:rPr>
          <w:tab/>
        </w:r>
        <w:r w:rsidR="008644BE">
          <w:rPr>
            <w:webHidden/>
          </w:rPr>
          <w:fldChar w:fldCharType="begin"/>
        </w:r>
        <w:r w:rsidR="008644BE">
          <w:rPr>
            <w:webHidden/>
          </w:rPr>
          <w:instrText xml:space="preserve"> PAGEREF _Toc49269627 \h </w:instrText>
        </w:r>
        <w:r w:rsidR="008644BE">
          <w:rPr>
            <w:webHidden/>
          </w:rPr>
        </w:r>
        <w:r w:rsidR="008644BE">
          <w:rPr>
            <w:webHidden/>
          </w:rPr>
          <w:fldChar w:fldCharType="separate"/>
        </w:r>
        <w:r w:rsidR="00E33C9A">
          <w:rPr>
            <w:webHidden/>
          </w:rPr>
          <w:t>2</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28" w:history="1">
        <w:r w:rsidR="008644BE" w:rsidRPr="00A028D9">
          <w:rPr>
            <w:rStyle w:val="a5"/>
            <w:rFonts w:asciiTheme="minorEastAsia" w:hAnsiTheme="minorEastAsia" w:hint="eastAsia"/>
          </w:rPr>
          <w:t>三、基金管理人</w:t>
        </w:r>
        <w:r w:rsidR="008644BE">
          <w:rPr>
            <w:webHidden/>
          </w:rPr>
          <w:tab/>
        </w:r>
        <w:r w:rsidR="008644BE">
          <w:rPr>
            <w:webHidden/>
          </w:rPr>
          <w:fldChar w:fldCharType="begin"/>
        </w:r>
        <w:r w:rsidR="008644BE">
          <w:rPr>
            <w:webHidden/>
          </w:rPr>
          <w:instrText xml:space="preserve"> PAGEREF _Toc49269628 \h </w:instrText>
        </w:r>
        <w:r w:rsidR="008644BE">
          <w:rPr>
            <w:webHidden/>
          </w:rPr>
        </w:r>
        <w:r w:rsidR="008644BE">
          <w:rPr>
            <w:webHidden/>
          </w:rPr>
          <w:fldChar w:fldCharType="separate"/>
        </w:r>
        <w:r w:rsidR="00E33C9A">
          <w:rPr>
            <w:webHidden/>
          </w:rPr>
          <w:t>6</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29" w:history="1">
        <w:r w:rsidR="008644BE" w:rsidRPr="00A028D9">
          <w:rPr>
            <w:rStyle w:val="a5"/>
            <w:rFonts w:asciiTheme="minorEastAsia" w:hAnsiTheme="minorEastAsia" w:hint="eastAsia"/>
          </w:rPr>
          <w:t>四、基金托管人</w:t>
        </w:r>
        <w:r w:rsidR="008644BE">
          <w:rPr>
            <w:webHidden/>
          </w:rPr>
          <w:tab/>
        </w:r>
        <w:r w:rsidR="008644BE">
          <w:rPr>
            <w:webHidden/>
          </w:rPr>
          <w:fldChar w:fldCharType="begin"/>
        </w:r>
        <w:r w:rsidR="008644BE">
          <w:rPr>
            <w:webHidden/>
          </w:rPr>
          <w:instrText xml:space="preserve"> PAGEREF _Toc49269629 \h </w:instrText>
        </w:r>
        <w:r w:rsidR="008644BE">
          <w:rPr>
            <w:webHidden/>
          </w:rPr>
        </w:r>
        <w:r w:rsidR="008644BE">
          <w:rPr>
            <w:webHidden/>
          </w:rPr>
          <w:fldChar w:fldCharType="separate"/>
        </w:r>
        <w:r w:rsidR="00E33C9A">
          <w:rPr>
            <w:webHidden/>
          </w:rPr>
          <w:t>16</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30" w:history="1">
        <w:r w:rsidR="008644BE" w:rsidRPr="00A028D9">
          <w:rPr>
            <w:rStyle w:val="a5"/>
            <w:rFonts w:asciiTheme="minorEastAsia" w:hAnsiTheme="minorEastAsia" w:hint="eastAsia"/>
          </w:rPr>
          <w:t>五、相关服务机构</w:t>
        </w:r>
        <w:r w:rsidR="008644BE">
          <w:rPr>
            <w:webHidden/>
          </w:rPr>
          <w:tab/>
        </w:r>
        <w:r w:rsidR="008644BE">
          <w:rPr>
            <w:webHidden/>
          </w:rPr>
          <w:fldChar w:fldCharType="begin"/>
        </w:r>
        <w:r w:rsidR="008644BE">
          <w:rPr>
            <w:webHidden/>
          </w:rPr>
          <w:instrText xml:space="preserve"> PAGEREF _Toc49269630 \h </w:instrText>
        </w:r>
        <w:r w:rsidR="008644BE">
          <w:rPr>
            <w:webHidden/>
          </w:rPr>
        </w:r>
        <w:r w:rsidR="008644BE">
          <w:rPr>
            <w:webHidden/>
          </w:rPr>
          <w:fldChar w:fldCharType="separate"/>
        </w:r>
        <w:r w:rsidR="00E33C9A">
          <w:rPr>
            <w:webHidden/>
          </w:rPr>
          <w:t>20</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31" w:history="1">
        <w:r w:rsidR="008644BE" w:rsidRPr="00A028D9">
          <w:rPr>
            <w:rStyle w:val="a5"/>
            <w:rFonts w:asciiTheme="minorEastAsia" w:hAnsiTheme="minorEastAsia" w:hint="eastAsia"/>
            <w:bCs/>
          </w:rPr>
          <w:t>六、基金的募集</w:t>
        </w:r>
        <w:r w:rsidR="008644BE">
          <w:rPr>
            <w:webHidden/>
          </w:rPr>
          <w:tab/>
        </w:r>
        <w:r w:rsidR="008644BE">
          <w:rPr>
            <w:webHidden/>
          </w:rPr>
          <w:fldChar w:fldCharType="begin"/>
        </w:r>
        <w:r w:rsidR="008644BE">
          <w:rPr>
            <w:webHidden/>
          </w:rPr>
          <w:instrText xml:space="preserve"> PAGEREF _Toc49269631 \h </w:instrText>
        </w:r>
        <w:r w:rsidR="008644BE">
          <w:rPr>
            <w:webHidden/>
          </w:rPr>
        </w:r>
        <w:r w:rsidR="008644BE">
          <w:rPr>
            <w:webHidden/>
          </w:rPr>
          <w:fldChar w:fldCharType="separate"/>
        </w:r>
        <w:r w:rsidR="00E33C9A">
          <w:rPr>
            <w:webHidden/>
          </w:rPr>
          <w:t>70</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32" w:history="1">
        <w:r w:rsidR="008644BE" w:rsidRPr="00A028D9">
          <w:rPr>
            <w:rStyle w:val="a5"/>
            <w:rFonts w:asciiTheme="minorEastAsia" w:hAnsiTheme="minorEastAsia" w:hint="eastAsia"/>
            <w:bCs/>
          </w:rPr>
          <w:t>七、基金合同的生效</w:t>
        </w:r>
        <w:r w:rsidR="008644BE">
          <w:rPr>
            <w:webHidden/>
          </w:rPr>
          <w:tab/>
        </w:r>
        <w:r w:rsidR="008644BE">
          <w:rPr>
            <w:webHidden/>
          </w:rPr>
          <w:fldChar w:fldCharType="begin"/>
        </w:r>
        <w:r w:rsidR="008644BE">
          <w:rPr>
            <w:webHidden/>
          </w:rPr>
          <w:instrText xml:space="preserve"> PAGEREF _Toc49269632 \h </w:instrText>
        </w:r>
        <w:r w:rsidR="008644BE">
          <w:rPr>
            <w:webHidden/>
          </w:rPr>
        </w:r>
        <w:r w:rsidR="008644BE">
          <w:rPr>
            <w:webHidden/>
          </w:rPr>
          <w:fldChar w:fldCharType="separate"/>
        </w:r>
        <w:r w:rsidR="00E33C9A">
          <w:rPr>
            <w:webHidden/>
          </w:rPr>
          <w:t>71</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33" w:history="1">
        <w:r w:rsidR="008644BE" w:rsidRPr="00A028D9">
          <w:rPr>
            <w:rStyle w:val="a5"/>
            <w:rFonts w:asciiTheme="minorEastAsia" w:hAnsiTheme="minorEastAsia" w:hint="eastAsia"/>
          </w:rPr>
          <w:t>八、基金份额的申购、赎回</w:t>
        </w:r>
        <w:r w:rsidR="008644BE">
          <w:rPr>
            <w:webHidden/>
          </w:rPr>
          <w:tab/>
        </w:r>
        <w:r w:rsidR="008644BE">
          <w:rPr>
            <w:webHidden/>
          </w:rPr>
          <w:fldChar w:fldCharType="begin"/>
        </w:r>
        <w:r w:rsidR="008644BE">
          <w:rPr>
            <w:webHidden/>
          </w:rPr>
          <w:instrText xml:space="preserve"> PAGEREF _Toc49269633 \h </w:instrText>
        </w:r>
        <w:r w:rsidR="008644BE">
          <w:rPr>
            <w:webHidden/>
          </w:rPr>
        </w:r>
        <w:r w:rsidR="008644BE">
          <w:rPr>
            <w:webHidden/>
          </w:rPr>
          <w:fldChar w:fldCharType="separate"/>
        </w:r>
        <w:r w:rsidR="00E33C9A">
          <w:rPr>
            <w:webHidden/>
          </w:rPr>
          <w:t>72</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34" w:history="1">
        <w:r w:rsidR="008644BE" w:rsidRPr="00A028D9">
          <w:rPr>
            <w:rStyle w:val="a5"/>
            <w:rFonts w:asciiTheme="minorEastAsia" w:hAnsiTheme="minorEastAsia" w:hint="eastAsia"/>
          </w:rPr>
          <w:t>九、基金转换、定期定额投资计划和基金份额折算</w:t>
        </w:r>
        <w:r w:rsidR="008644BE">
          <w:rPr>
            <w:webHidden/>
          </w:rPr>
          <w:tab/>
        </w:r>
        <w:r w:rsidR="008644BE">
          <w:rPr>
            <w:webHidden/>
          </w:rPr>
          <w:fldChar w:fldCharType="begin"/>
        </w:r>
        <w:r w:rsidR="008644BE">
          <w:rPr>
            <w:webHidden/>
          </w:rPr>
          <w:instrText xml:space="preserve"> PAGEREF _Toc49269634 \h </w:instrText>
        </w:r>
        <w:r w:rsidR="008644BE">
          <w:rPr>
            <w:webHidden/>
          </w:rPr>
        </w:r>
        <w:r w:rsidR="008644BE">
          <w:rPr>
            <w:webHidden/>
          </w:rPr>
          <w:fldChar w:fldCharType="separate"/>
        </w:r>
        <w:r w:rsidR="00E33C9A">
          <w:rPr>
            <w:webHidden/>
          </w:rPr>
          <w:t>80</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35" w:history="1">
        <w:r w:rsidR="008644BE" w:rsidRPr="00A028D9">
          <w:rPr>
            <w:rStyle w:val="a5"/>
            <w:rFonts w:asciiTheme="minorEastAsia" w:hAnsiTheme="minorEastAsia" w:hint="eastAsia"/>
          </w:rPr>
          <w:t>十、基金的转托管、非交易过户、冻结与解冻</w:t>
        </w:r>
        <w:r w:rsidR="008644BE">
          <w:rPr>
            <w:webHidden/>
          </w:rPr>
          <w:tab/>
        </w:r>
        <w:r w:rsidR="008644BE">
          <w:rPr>
            <w:webHidden/>
          </w:rPr>
          <w:fldChar w:fldCharType="begin"/>
        </w:r>
        <w:r w:rsidR="008644BE">
          <w:rPr>
            <w:webHidden/>
          </w:rPr>
          <w:instrText xml:space="preserve"> PAGEREF _Toc49269635 \h </w:instrText>
        </w:r>
        <w:r w:rsidR="008644BE">
          <w:rPr>
            <w:webHidden/>
          </w:rPr>
        </w:r>
        <w:r w:rsidR="008644BE">
          <w:rPr>
            <w:webHidden/>
          </w:rPr>
          <w:fldChar w:fldCharType="separate"/>
        </w:r>
        <w:r w:rsidR="00E33C9A">
          <w:rPr>
            <w:webHidden/>
          </w:rPr>
          <w:t>85</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36" w:history="1">
        <w:r w:rsidR="008644BE" w:rsidRPr="00A028D9">
          <w:rPr>
            <w:rStyle w:val="a5"/>
            <w:rFonts w:asciiTheme="minorEastAsia" w:hAnsiTheme="minorEastAsia" w:hint="eastAsia"/>
          </w:rPr>
          <w:t>十一、基金的投资</w:t>
        </w:r>
        <w:r w:rsidR="008644BE">
          <w:rPr>
            <w:webHidden/>
          </w:rPr>
          <w:tab/>
        </w:r>
        <w:r w:rsidR="008644BE">
          <w:rPr>
            <w:webHidden/>
          </w:rPr>
          <w:fldChar w:fldCharType="begin"/>
        </w:r>
        <w:r w:rsidR="008644BE">
          <w:rPr>
            <w:webHidden/>
          </w:rPr>
          <w:instrText xml:space="preserve"> PAGEREF _Toc49269636 \h </w:instrText>
        </w:r>
        <w:r w:rsidR="008644BE">
          <w:rPr>
            <w:webHidden/>
          </w:rPr>
        </w:r>
        <w:r w:rsidR="008644BE">
          <w:rPr>
            <w:webHidden/>
          </w:rPr>
          <w:fldChar w:fldCharType="separate"/>
        </w:r>
        <w:r w:rsidR="00E33C9A">
          <w:rPr>
            <w:webHidden/>
          </w:rPr>
          <w:t>86</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37" w:history="1">
        <w:r w:rsidR="008644BE" w:rsidRPr="00A028D9">
          <w:rPr>
            <w:rStyle w:val="a5"/>
            <w:rFonts w:asciiTheme="minorEastAsia" w:hAnsiTheme="minorEastAsia" w:hint="eastAsia"/>
          </w:rPr>
          <w:t>十二、基金的业绩</w:t>
        </w:r>
        <w:r w:rsidR="008644BE">
          <w:rPr>
            <w:webHidden/>
          </w:rPr>
          <w:tab/>
        </w:r>
        <w:r w:rsidR="008644BE">
          <w:rPr>
            <w:webHidden/>
          </w:rPr>
          <w:fldChar w:fldCharType="begin"/>
        </w:r>
        <w:r w:rsidR="008644BE">
          <w:rPr>
            <w:webHidden/>
          </w:rPr>
          <w:instrText xml:space="preserve"> PAGEREF _Toc49269637 \h </w:instrText>
        </w:r>
        <w:r w:rsidR="008644BE">
          <w:rPr>
            <w:webHidden/>
          </w:rPr>
        </w:r>
        <w:r w:rsidR="008644BE">
          <w:rPr>
            <w:webHidden/>
          </w:rPr>
          <w:fldChar w:fldCharType="separate"/>
        </w:r>
        <w:r w:rsidR="00E33C9A">
          <w:rPr>
            <w:webHidden/>
          </w:rPr>
          <w:t>95</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38" w:history="1">
        <w:r w:rsidR="008644BE" w:rsidRPr="00A028D9">
          <w:rPr>
            <w:rStyle w:val="a5"/>
            <w:rFonts w:asciiTheme="minorEastAsia" w:hAnsiTheme="minorEastAsia" w:hint="eastAsia"/>
          </w:rPr>
          <w:t>十三、基金的财产</w:t>
        </w:r>
        <w:r w:rsidR="008644BE">
          <w:rPr>
            <w:webHidden/>
          </w:rPr>
          <w:tab/>
        </w:r>
        <w:r w:rsidR="008644BE">
          <w:rPr>
            <w:webHidden/>
          </w:rPr>
          <w:fldChar w:fldCharType="begin"/>
        </w:r>
        <w:r w:rsidR="008644BE">
          <w:rPr>
            <w:webHidden/>
          </w:rPr>
          <w:instrText xml:space="preserve"> PAGEREF _Toc49269638 \h </w:instrText>
        </w:r>
        <w:r w:rsidR="008644BE">
          <w:rPr>
            <w:webHidden/>
          </w:rPr>
        </w:r>
        <w:r w:rsidR="008644BE">
          <w:rPr>
            <w:webHidden/>
          </w:rPr>
          <w:fldChar w:fldCharType="separate"/>
        </w:r>
        <w:r w:rsidR="00E33C9A">
          <w:rPr>
            <w:webHidden/>
          </w:rPr>
          <w:t>97</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39" w:history="1">
        <w:r w:rsidR="008644BE" w:rsidRPr="00A028D9">
          <w:rPr>
            <w:rStyle w:val="a5"/>
            <w:rFonts w:asciiTheme="minorEastAsia" w:hAnsiTheme="minorEastAsia" w:hint="eastAsia"/>
          </w:rPr>
          <w:t>十四、基金资产的估值</w:t>
        </w:r>
        <w:r w:rsidR="008644BE">
          <w:rPr>
            <w:webHidden/>
          </w:rPr>
          <w:tab/>
        </w:r>
        <w:r w:rsidR="008644BE">
          <w:rPr>
            <w:webHidden/>
          </w:rPr>
          <w:fldChar w:fldCharType="begin"/>
        </w:r>
        <w:r w:rsidR="008644BE">
          <w:rPr>
            <w:webHidden/>
          </w:rPr>
          <w:instrText xml:space="preserve"> PAGEREF _Toc49269639 \h </w:instrText>
        </w:r>
        <w:r w:rsidR="008644BE">
          <w:rPr>
            <w:webHidden/>
          </w:rPr>
        </w:r>
        <w:r w:rsidR="008644BE">
          <w:rPr>
            <w:webHidden/>
          </w:rPr>
          <w:fldChar w:fldCharType="separate"/>
        </w:r>
        <w:r w:rsidR="00E33C9A">
          <w:rPr>
            <w:webHidden/>
          </w:rPr>
          <w:t>98</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40" w:history="1">
        <w:r w:rsidR="008644BE" w:rsidRPr="00A028D9">
          <w:rPr>
            <w:rStyle w:val="a5"/>
            <w:rFonts w:asciiTheme="minorEastAsia" w:hAnsiTheme="minorEastAsia" w:hint="eastAsia"/>
          </w:rPr>
          <w:t>十五、基金的收益分配</w:t>
        </w:r>
        <w:r w:rsidR="008644BE">
          <w:rPr>
            <w:webHidden/>
          </w:rPr>
          <w:tab/>
        </w:r>
        <w:r w:rsidR="008644BE">
          <w:rPr>
            <w:webHidden/>
          </w:rPr>
          <w:fldChar w:fldCharType="begin"/>
        </w:r>
        <w:r w:rsidR="008644BE">
          <w:rPr>
            <w:webHidden/>
          </w:rPr>
          <w:instrText xml:space="preserve"> PAGEREF _Toc49269640 \h </w:instrText>
        </w:r>
        <w:r w:rsidR="008644BE">
          <w:rPr>
            <w:webHidden/>
          </w:rPr>
        </w:r>
        <w:r w:rsidR="008644BE">
          <w:rPr>
            <w:webHidden/>
          </w:rPr>
          <w:fldChar w:fldCharType="separate"/>
        </w:r>
        <w:r w:rsidR="00E33C9A">
          <w:rPr>
            <w:webHidden/>
          </w:rPr>
          <w:t>102</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41" w:history="1">
        <w:r w:rsidR="008644BE" w:rsidRPr="00A028D9">
          <w:rPr>
            <w:rStyle w:val="a5"/>
            <w:rFonts w:asciiTheme="minorEastAsia" w:hAnsiTheme="minorEastAsia" w:hint="eastAsia"/>
          </w:rPr>
          <w:t>十六、基金的费用与税收</w:t>
        </w:r>
        <w:r w:rsidR="008644BE">
          <w:rPr>
            <w:webHidden/>
          </w:rPr>
          <w:tab/>
        </w:r>
        <w:r w:rsidR="008644BE">
          <w:rPr>
            <w:webHidden/>
          </w:rPr>
          <w:fldChar w:fldCharType="begin"/>
        </w:r>
        <w:r w:rsidR="008644BE">
          <w:rPr>
            <w:webHidden/>
          </w:rPr>
          <w:instrText xml:space="preserve"> PAGEREF _Toc49269641 \h </w:instrText>
        </w:r>
        <w:r w:rsidR="008644BE">
          <w:rPr>
            <w:webHidden/>
          </w:rPr>
        </w:r>
        <w:r w:rsidR="008644BE">
          <w:rPr>
            <w:webHidden/>
          </w:rPr>
          <w:fldChar w:fldCharType="separate"/>
        </w:r>
        <w:r w:rsidR="00E33C9A">
          <w:rPr>
            <w:webHidden/>
          </w:rPr>
          <w:t>103</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42" w:history="1">
        <w:r w:rsidR="008644BE" w:rsidRPr="00A028D9">
          <w:rPr>
            <w:rStyle w:val="a5"/>
            <w:rFonts w:asciiTheme="minorEastAsia" w:hAnsiTheme="minorEastAsia" w:hint="eastAsia"/>
          </w:rPr>
          <w:t>十七、基金的会计与审计</w:t>
        </w:r>
        <w:r w:rsidR="008644BE">
          <w:rPr>
            <w:webHidden/>
          </w:rPr>
          <w:tab/>
        </w:r>
        <w:r w:rsidR="008644BE">
          <w:rPr>
            <w:webHidden/>
          </w:rPr>
          <w:fldChar w:fldCharType="begin"/>
        </w:r>
        <w:r w:rsidR="008644BE">
          <w:rPr>
            <w:webHidden/>
          </w:rPr>
          <w:instrText xml:space="preserve"> PAGEREF _Toc49269642 \h </w:instrText>
        </w:r>
        <w:r w:rsidR="008644BE">
          <w:rPr>
            <w:webHidden/>
          </w:rPr>
        </w:r>
        <w:r w:rsidR="008644BE">
          <w:rPr>
            <w:webHidden/>
          </w:rPr>
          <w:fldChar w:fldCharType="separate"/>
        </w:r>
        <w:r w:rsidR="00E33C9A">
          <w:rPr>
            <w:webHidden/>
          </w:rPr>
          <w:t>105</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43" w:history="1">
        <w:r w:rsidR="008644BE" w:rsidRPr="00A028D9">
          <w:rPr>
            <w:rStyle w:val="a5"/>
            <w:rFonts w:asciiTheme="minorEastAsia" w:hAnsiTheme="minorEastAsia" w:hint="eastAsia"/>
          </w:rPr>
          <w:t>十八、基金的信息披露</w:t>
        </w:r>
        <w:r w:rsidR="008644BE">
          <w:rPr>
            <w:webHidden/>
          </w:rPr>
          <w:tab/>
        </w:r>
        <w:r w:rsidR="008644BE">
          <w:rPr>
            <w:webHidden/>
          </w:rPr>
          <w:fldChar w:fldCharType="begin"/>
        </w:r>
        <w:r w:rsidR="008644BE">
          <w:rPr>
            <w:webHidden/>
          </w:rPr>
          <w:instrText xml:space="preserve"> PAGEREF _Toc49269643 \h </w:instrText>
        </w:r>
        <w:r w:rsidR="008644BE">
          <w:rPr>
            <w:webHidden/>
          </w:rPr>
        </w:r>
        <w:r w:rsidR="008644BE">
          <w:rPr>
            <w:webHidden/>
          </w:rPr>
          <w:fldChar w:fldCharType="separate"/>
        </w:r>
        <w:r w:rsidR="00E33C9A">
          <w:rPr>
            <w:webHidden/>
          </w:rPr>
          <w:t>106</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44" w:history="1">
        <w:r w:rsidR="008644BE" w:rsidRPr="00A028D9">
          <w:rPr>
            <w:rStyle w:val="a5"/>
            <w:rFonts w:asciiTheme="minorEastAsia" w:hAnsiTheme="minorEastAsia" w:hint="eastAsia"/>
          </w:rPr>
          <w:t>十九、风险揭示</w:t>
        </w:r>
        <w:r w:rsidR="008644BE">
          <w:rPr>
            <w:webHidden/>
          </w:rPr>
          <w:tab/>
        </w:r>
        <w:r w:rsidR="008644BE">
          <w:rPr>
            <w:webHidden/>
          </w:rPr>
          <w:fldChar w:fldCharType="begin"/>
        </w:r>
        <w:r w:rsidR="008644BE">
          <w:rPr>
            <w:webHidden/>
          </w:rPr>
          <w:instrText xml:space="preserve"> PAGEREF _Toc49269644 \h </w:instrText>
        </w:r>
        <w:r w:rsidR="008644BE">
          <w:rPr>
            <w:webHidden/>
          </w:rPr>
        </w:r>
        <w:r w:rsidR="008644BE">
          <w:rPr>
            <w:webHidden/>
          </w:rPr>
          <w:fldChar w:fldCharType="separate"/>
        </w:r>
        <w:r w:rsidR="00E33C9A">
          <w:rPr>
            <w:webHidden/>
          </w:rPr>
          <w:t>111</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45" w:history="1">
        <w:r w:rsidR="008644BE" w:rsidRPr="00A028D9">
          <w:rPr>
            <w:rStyle w:val="a5"/>
            <w:rFonts w:asciiTheme="minorEastAsia" w:hAnsiTheme="minorEastAsia" w:hint="eastAsia"/>
          </w:rPr>
          <w:t>二十、基金合同的变更、终止与基金财产的清算</w:t>
        </w:r>
        <w:r w:rsidR="008644BE">
          <w:rPr>
            <w:webHidden/>
          </w:rPr>
          <w:tab/>
        </w:r>
        <w:r w:rsidR="008644BE">
          <w:rPr>
            <w:webHidden/>
          </w:rPr>
          <w:fldChar w:fldCharType="begin"/>
        </w:r>
        <w:r w:rsidR="008644BE">
          <w:rPr>
            <w:webHidden/>
          </w:rPr>
          <w:instrText xml:space="preserve"> PAGEREF _Toc49269645 \h </w:instrText>
        </w:r>
        <w:r w:rsidR="008644BE">
          <w:rPr>
            <w:webHidden/>
          </w:rPr>
        </w:r>
        <w:r w:rsidR="008644BE">
          <w:rPr>
            <w:webHidden/>
          </w:rPr>
          <w:fldChar w:fldCharType="separate"/>
        </w:r>
        <w:r w:rsidR="00E33C9A">
          <w:rPr>
            <w:webHidden/>
          </w:rPr>
          <w:t>115</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46" w:history="1">
        <w:r w:rsidR="008644BE" w:rsidRPr="00A028D9">
          <w:rPr>
            <w:rStyle w:val="a5"/>
            <w:rFonts w:asciiTheme="minorEastAsia" w:hAnsiTheme="minorEastAsia" w:hint="eastAsia"/>
          </w:rPr>
          <w:t>二十一、基金合同的内容摘要</w:t>
        </w:r>
        <w:r w:rsidR="008644BE">
          <w:rPr>
            <w:webHidden/>
          </w:rPr>
          <w:tab/>
        </w:r>
        <w:r w:rsidR="008644BE">
          <w:rPr>
            <w:webHidden/>
          </w:rPr>
          <w:fldChar w:fldCharType="begin"/>
        </w:r>
        <w:r w:rsidR="008644BE">
          <w:rPr>
            <w:webHidden/>
          </w:rPr>
          <w:instrText xml:space="preserve"> PAGEREF _Toc49269646 \h </w:instrText>
        </w:r>
        <w:r w:rsidR="008644BE">
          <w:rPr>
            <w:webHidden/>
          </w:rPr>
        </w:r>
        <w:r w:rsidR="008644BE">
          <w:rPr>
            <w:webHidden/>
          </w:rPr>
          <w:fldChar w:fldCharType="separate"/>
        </w:r>
        <w:r w:rsidR="00E33C9A">
          <w:rPr>
            <w:webHidden/>
          </w:rPr>
          <w:t>117</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47" w:history="1">
        <w:r w:rsidR="008644BE" w:rsidRPr="00A028D9">
          <w:rPr>
            <w:rStyle w:val="a5"/>
            <w:rFonts w:asciiTheme="minorEastAsia" w:hAnsiTheme="minorEastAsia" w:hint="eastAsia"/>
          </w:rPr>
          <w:t>二十二、基金托管协议的内容摘要</w:t>
        </w:r>
        <w:r w:rsidR="008644BE">
          <w:rPr>
            <w:webHidden/>
          </w:rPr>
          <w:tab/>
        </w:r>
        <w:r w:rsidR="008644BE">
          <w:rPr>
            <w:webHidden/>
          </w:rPr>
          <w:fldChar w:fldCharType="begin"/>
        </w:r>
        <w:r w:rsidR="008644BE">
          <w:rPr>
            <w:webHidden/>
          </w:rPr>
          <w:instrText xml:space="preserve"> PAGEREF _Toc49269647 \h </w:instrText>
        </w:r>
        <w:r w:rsidR="008644BE">
          <w:rPr>
            <w:webHidden/>
          </w:rPr>
        </w:r>
        <w:r w:rsidR="008644BE">
          <w:rPr>
            <w:webHidden/>
          </w:rPr>
          <w:fldChar w:fldCharType="separate"/>
        </w:r>
        <w:r w:rsidR="00E33C9A">
          <w:rPr>
            <w:webHidden/>
          </w:rPr>
          <w:t>129</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48" w:history="1">
        <w:r w:rsidR="008644BE" w:rsidRPr="00A028D9">
          <w:rPr>
            <w:rStyle w:val="a5"/>
            <w:rFonts w:asciiTheme="minorEastAsia" w:hAnsiTheme="minorEastAsia" w:hint="eastAsia"/>
          </w:rPr>
          <w:t>二十三、对基金份额持有人的服务</w:t>
        </w:r>
        <w:r w:rsidR="008644BE">
          <w:rPr>
            <w:webHidden/>
          </w:rPr>
          <w:tab/>
        </w:r>
        <w:r w:rsidR="008644BE">
          <w:rPr>
            <w:webHidden/>
          </w:rPr>
          <w:fldChar w:fldCharType="begin"/>
        </w:r>
        <w:r w:rsidR="008644BE">
          <w:rPr>
            <w:webHidden/>
          </w:rPr>
          <w:instrText xml:space="preserve"> PAGEREF _Toc49269648 \h </w:instrText>
        </w:r>
        <w:r w:rsidR="008644BE">
          <w:rPr>
            <w:webHidden/>
          </w:rPr>
        </w:r>
        <w:r w:rsidR="008644BE">
          <w:rPr>
            <w:webHidden/>
          </w:rPr>
          <w:fldChar w:fldCharType="separate"/>
        </w:r>
        <w:r w:rsidR="00E33C9A">
          <w:rPr>
            <w:webHidden/>
          </w:rPr>
          <w:t>143</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49" w:history="1">
        <w:r w:rsidR="008644BE" w:rsidRPr="00A028D9">
          <w:rPr>
            <w:rStyle w:val="a5"/>
            <w:rFonts w:asciiTheme="minorEastAsia" w:hAnsiTheme="minorEastAsia" w:hint="eastAsia"/>
          </w:rPr>
          <w:t>二十四、其他应披露事项</w:t>
        </w:r>
        <w:r w:rsidR="008644BE">
          <w:rPr>
            <w:webHidden/>
          </w:rPr>
          <w:tab/>
        </w:r>
        <w:r w:rsidR="008644BE">
          <w:rPr>
            <w:webHidden/>
          </w:rPr>
          <w:fldChar w:fldCharType="begin"/>
        </w:r>
        <w:r w:rsidR="008644BE">
          <w:rPr>
            <w:webHidden/>
          </w:rPr>
          <w:instrText xml:space="preserve"> PAGEREF _Toc49269649 \h </w:instrText>
        </w:r>
        <w:r w:rsidR="008644BE">
          <w:rPr>
            <w:webHidden/>
          </w:rPr>
        </w:r>
        <w:r w:rsidR="008644BE">
          <w:rPr>
            <w:webHidden/>
          </w:rPr>
          <w:fldChar w:fldCharType="separate"/>
        </w:r>
        <w:r w:rsidR="00E33C9A">
          <w:rPr>
            <w:webHidden/>
          </w:rPr>
          <w:t>144</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50" w:history="1">
        <w:r w:rsidR="008644BE" w:rsidRPr="00A028D9">
          <w:rPr>
            <w:rStyle w:val="a5"/>
            <w:rFonts w:asciiTheme="minorEastAsia" w:hAnsiTheme="minorEastAsia" w:hint="eastAsia"/>
          </w:rPr>
          <w:t>二十五、招募说明书的存放及查阅方式</w:t>
        </w:r>
        <w:r w:rsidR="008644BE">
          <w:rPr>
            <w:webHidden/>
          </w:rPr>
          <w:tab/>
        </w:r>
        <w:r w:rsidR="008644BE">
          <w:rPr>
            <w:webHidden/>
          </w:rPr>
          <w:fldChar w:fldCharType="begin"/>
        </w:r>
        <w:r w:rsidR="008644BE">
          <w:rPr>
            <w:webHidden/>
          </w:rPr>
          <w:instrText xml:space="preserve"> PAGEREF _Toc49269650 \h </w:instrText>
        </w:r>
        <w:r w:rsidR="008644BE">
          <w:rPr>
            <w:webHidden/>
          </w:rPr>
        </w:r>
        <w:r w:rsidR="008644BE">
          <w:rPr>
            <w:webHidden/>
          </w:rPr>
          <w:fldChar w:fldCharType="separate"/>
        </w:r>
        <w:r w:rsidR="00E33C9A">
          <w:rPr>
            <w:webHidden/>
          </w:rPr>
          <w:t>146</w:t>
        </w:r>
        <w:r w:rsidR="008644BE">
          <w:rPr>
            <w:webHidden/>
          </w:rPr>
          <w:fldChar w:fldCharType="end"/>
        </w:r>
      </w:hyperlink>
    </w:p>
    <w:p w:rsidR="008644BE" w:rsidRDefault="00941157">
      <w:pPr>
        <w:pStyle w:val="10"/>
        <w:rPr>
          <w:rFonts w:asciiTheme="minorHAnsi" w:eastAsiaTheme="minorEastAsia" w:hAnsiTheme="minorHAnsi" w:cstheme="minorBidi"/>
          <w:caps w:val="0"/>
          <w:color w:val="auto"/>
          <w:sz w:val="21"/>
          <w:szCs w:val="22"/>
        </w:rPr>
      </w:pPr>
      <w:hyperlink w:anchor="_Toc49269651" w:history="1">
        <w:r w:rsidR="008644BE" w:rsidRPr="00A028D9">
          <w:rPr>
            <w:rStyle w:val="a5"/>
            <w:rFonts w:asciiTheme="minorEastAsia" w:hAnsiTheme="minorEastAsia" w:hint="eastAsia"/>
          </w:rPr>
          <w:t>二十六、备查文件</w:t>
        </w:r>
        <w:r w:rsidR="008644BE">
          <w:rPr>
            <w:webHidden/>
          </w:rPr>
          <w:tab/>
        </w:r>
        <w:r w:rsidR="008644BE">
          <w:rPr>
            <w:webHidden/>
          </w:rPr>
          <w:fldChar w:fldCharType="begin"/>
        </w:r>
        <w:r w:rsidR="008644BE">
          <w:rPr>
            <w:webHidden/>
          </w:rPr>
          <w:instrText xml:space="preserve"> PAGEREF _Toc49269651 \h </w:instrText>
        </w:r>
        <w:r w:rsidR="008644BE">
          <w:rPr>
            <w:webHidden/>
          </w:rPr>
        </w:r>
        <w:r w:rsidR="008644BE">
          <w:rPr>
            <w:webHidden/>
          </w:rPr>
          <w:fldChar w:fldCharType="separate"/>
        </w:r>
        <w:r w:rsidR="00E33C9A">
          <w:rPr>
            <w:webHidden/>
          </w:rPr>
          <w:t>147</w:t>
        </w:r>
        <w:r w:rsidR="008644BE">
          <w:rPr>
            <w:webHidden/>
          </w:rPr>
          <w:fldChar w:fldCharType="end"/>
        </w:r>
      </w:hyperlink>
    </w:p>
    <w:p w:rsidR="00BA4B87" w:rsidRPr="008644BE" w:rsidRDefault="00C22BCD" w:rsidP="00936084">
      <w:pPr>
        <w:snapToGrid w:val="0"/>
        <w:spacing w:line="360" w:lineRule="auto"/>
        <w:ind w:firstLine="560"/>
        <w:jc w:val="center"/>
        <w:rPr>
          <w:rFonts w:asciiTheme="minorEastAsia" w:eastAsiaTheme="minorEastAsia" w:hAnsiTheme="minorEastAsia"/>
          <w:b/>
          <w:caps/>
          <w:noProof/>
          <w:sz w:val="24"/>
          <w:szCs w:val="28"/>
        </w:rPr>
      </w:pPr>
      <w:r w:rsidRPr="008644BE">
        <w:rPr>
          <w:rFonts w:asciiTheme="minorEastAsia" w:eastAsiaTheme="minorEastAsia" w:hAnsiTheme="minorEastAsia"/>
          <w:b/>
          <w:caps/>
          <w:noProof/>
          <w:sz w:val="24"/>
          <w:szCs w:val="28"/>
        </w:rPr>
        <w:fldChar w:fldCharType="end"/>
      </w:r>
    </w:p>
    <w:p w:rsidR="00ED193D" w:rsidRPr="008644BE" w:rsidRDefault="00ED193D" w:rsidP="00936084">
      <w:pPr>
        <w:snapToGrid w:val="0"/>
        <w:spacing w:line="360" w:lineRule="auto"/>
        <w:ind w:firstLine="560"/>
        <w:jc w:val="center"/>
        <w:rPr>
          <w:rFonts w:asciiTheme="minorEastAsia" w:eastAsiaTheme="minorEastAsia" w:hAnsiTheme="minorEastAsia"/>
          <w:b/>
          <w:caps/>
          <w:noProof/>
          <w:sz w:val="24"/>
          <w:szCs w:val="28"/>
        </w:rPr>
        <w:sectPr w:rsidR="00ED193D" w:rsidRPr="008644BE" w:rsidSect="007C111B">
          <w:footerReference w:type="default" r:id="rId15"/>
          <w:pgSz w:w="11906" w:h="16838" w:code="9"/>
          <w:pgMar w:top="1440" w:right="1803" w:bottom="1440" w:left="1803" w:header="851" w:footer="992" w:gutter="0"/>
          <w:pgNumType w:fmt="upperRoman" w:start="1"/>
          <w:cols w:space="720"/>
          <w:docGrid w:type="lines" w:linePitch="317"/>
        </w:sectPr>
      </w:pPr>
    </w:p>
    <w:p w:rsidR="00BA4B87" w:rsidRPr="008644BE" w:rsidRDefault="00BA4B87" w:rsidP="00936084">
      <w:pPr>
        <w:pStyle w:val="11"/>
        <w:snapToGrid w:val="0"/>
        <w:spacing w:beforeLines="0" w:afterLines="0" w:line="360" w:lineRule="auto"/>
        <w:ind w:firstLine="600"/>
        <w:rPr>
          <w:rFonts w:asciiTheme="minorEastAsia" w:eastAsiaTheme="minorEastAsia" w:hAnsiTheme="minorEastAsia"/>
          <w:b w:val="0"/>
          <w:sz w:val="30"/>
        </w:rPr>
      </w:pPr>
      <w:bookmarkStart w:id="0" w:name="_Toc332373444"/>
      <w:bookmarkStart w:id="1" w:name="_Toc49269626"/>
      <w:r w:rsidRPr="008644BE">
        <w:rPr>
          <w:rFonts w:asciiTheme="minorEastAsia" w:eastAsiaTheme="minorEastAsia" w:hAnsiTheme="minorEastAsia" w:hint="eastAsia"/>
          <w:b w:val="0"/>
          <w:sz w:val="30"/>
        </w:rPr>
        <w:lastRenderedPageBreak/>
        <w:t>一、</w:t>
      </w:r>
      <w:r w:rsidRPr="008644BE">
        <w:rPr>
          <w:rFonts w:asciiTheme="minorEastAsia" w:eastAsiaTheme="minorEastAsia" w:hAnsiTheme="minorEastAsia" w:hint="eastAsia"/>
          <w:b w:val="0"/>
        </w:rPr>
        <w:t>绪言</w:t>
      </w:r>
      <w:bookmarkEnd w:id="0"/>
      <w:bookmarkEnd w:id="1"/>
    </w:p>
    <w:p w:rsidR="00BA4B87" w:rsidRPr="008644BE" w:rsidRDefault="00BA4B87" w:rsidP="00936084">
      <w:pPr>
        <w:autoSpaceDE w:val="0"/>
        <w:autoSpaceDN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本招募说明书依据《中华人民共和国证券投资基金法》</w:t>
      </w:r>
      <w:r w:rsidR="002E1C38" w:rsidRPr="008644BE">
        <w:rPr>
          <w:rFonts w:asciiTheme="minorEastAsia" w:eastAsiaTheme="minorEastAsia" w:hAnsiTheme="minorEastAsia" w:hint="eastAsia"/>
        </w:rPr>
        <w:t>（</w:t>
      </w:r>
      <w:r w:rsidRPr="008644BE">
        <w:rPr>
          <w:rFonts w:asciiTheme="minorEastAsia" w:eastAsiaTheme="minorEastAsia" w:hAnsiTheme="minorEastAsia" w:hint="eastAsia"/>
        </w:rPr>
        <w:t>以下简称《基金法》</w:t>
      </w:r>
      <w:r w:rsidR="002E1C38" w:rsidRPr="008644BE">
        <w:rPr>
          <w:rFonts w:asciiTheme="minorEastAsia" w:eastAsiaTheme="minorEastAsia" w:hAnsiTheme="minorEastAsia" w:hint="eastAsia"/>
        </w:rPr>
        <w:t>）</w:t>
      </w:r>
      <w:r w:rsidRPr="008644BE">
        <w:rPr>
          <w:rFonts w:asciiTheme="minorEastAsia" w:eastAsiaTheme="minorEastAsia" w:hAnsiTheme="minorEastAsia" w:hint="eastAsia"/>
        </w:rPr>
        <w:t>、《</w:t>
      </w:r>
      <w:r w:rsidR="007A3CE0" w:rsidRPr="008644BE">
        <w:rPr>
          <w:rFonts w:asciiTheme="minorEastAsia" w:eastAsiaTheme="minorEastAsia" w:hAnsiTheme="minorEastAsia" w:hint="eastAsia"/>
        </w:rPr>
        <w:t>公开募集</w:t>
      </w:r>
      <w:r w:rsidRPr="008644BE">
        <w:rPr>
          <w:rFonts w:asciiTheme="minorEastAsia" w:eastAsiaTheme="minorEastAsia" w:hAnsiTheme="minorEastAsia" w:hint="eastAsia"/>
        </w:rPr>
        <w:t>证券投资基金运作管理办法》</w:t>
      </w:r>
      <w:r w:rsidR="002E1C38" w:rsidRPr="008644BE">
        <w:rPr>
          <w:rFonts w:asciiTheme="minorEastAsia" w:eastAsiaTheme="minorEastAsia" w:hAnsiTheme="minorEastAsia" w:hint="eastAsia"/>
        </w:rPr>
        <w:t>（</w:t>
      </w:r>
      <w:r w:rsidRPr="008644BE">
        <w:rPr>
          <w:rFonts w:asciiTheme="minorEastAsia" w:eastAsiaTheme="minorEastAsia" w:hAnsiTheme="minorEastAsia" w:hint="eastAsia"/>
        </w:rPr>
        <w:t>以下简称《运作办法》</w:t>
      </w:r>
      <w:r w:rsidR="002E1C38" w:rsidRPr="008644BE">
        <w:rPr>
          <w:rFonts w:asciiTheme="minorEastAsia" w:eastAsiaTheme="minorEastAsia" w:hAnsiTheme="minorEastAsia" w:hint="eastAsia"/>
        </w:rPr>
        <w:t>）</w:t>
      </w:r>
      <w:r w:rsidRPr="008644BE">
        <w:rPr>
          <w:rFonts w:asciiTheme="minorEastAsia" w:eastAsiaTheme="minorEastAsia" w:hAnsiTheme="minorEastAsia" w:hint="eastAsia"/>
        </w:rPr>
        <w:t>、《证券投资基金销售管理办法》</w:t>
      </w:r>
      <w:r w:rsidR="002E1C38" w:rsidRPr="008644BE">
        <w:rPr>
          <w:rFonts w:asciiTheme="minorEastAsia" w:eastAsiaTheme="minorEastAsia" w:hAnsiTheme="minorEastAsia" w:hint="eastAsia"/>
        </w:rPr>
        <w:t>（</w:t>
      </w:r>
      <w:r w:rsidRPr="008644BE">
        <w:rPr>
          <w:rFonts w:asciiTheme="minorEastAsia" w:eastAsiaTheme="minorEastAsia" w:hAnsiTheme="minorEastAsia" w:hint="eastAsia"/>
        </w:rPr>
        <w:t>以下简称《销售办法》</w:t>
      </w:r>
      <w:r w:rsidR="002E1C38" w:rsidRPr="008644BE">
        <w:rPr>
          <w:rFonts w:asciiTheme="minorEastAsia" w:eastAsiaTheme="minorEastAsia" w:hAnsiTheme="minorEastAsia" w:hint="eastAsia"/>
        </w:rPr>
        <w:t>）</w:t>
      </w:r>
      <w:r w:rsidRPr="008644BE">
        <w:rPr>
          <w:rFonts w:asciiTheme="minorEastAsia" w:eastAsiaTheme="minorEastAsia" w:hAnsiTheme="minorEastAsia" w:hint="eastAsia"/>
        </w:rPr>
        <w:t>、《</w:t>
      </w:r>
      <w:r w:rsidR="006666F7" w:rsidRPr="008644BE">
        <w:rPr>
          <w:rFonts w:asciiTheme="minorEastAsia" w:eastAsiaTheme="minorEastAsia" w:hAnsiTheme="minorEastAsia" w:hint="eastAsia"/>
        </w:rPr>
        <w:t>公开募集</w:t>
      </w:r>
      <w:r w:rsidRPr="008644BE">
        <w:rPr>
          <w:rFonts w:asciiTheme="minorEastAsia" w:eastAsiaTheme="minorEastAsia" w:hAnsiTheme="minorEastAsia" w:hint="eastAsia"/>
        </w:rPr>
        <w:t>证券投资基金信息披露管理办法》</w:t>
      </w:r>
      <w:r w:rsidR="002E1C38" w:rsidRPr="008644BE">
        <w:rPr>
          <w:rFonts w:asciiTheme="minorEastAsia" w:eastAsiaTheme="minorEastAsia" w:hAnsiTheme="minorEastAsia" w:hint="eastAsia"/>
        </w:rPr>
        <w:t>（</w:t>
      </w:r>
      <w:r w:rsidRPr="008644BE">
        <w:rPr>
          <w:rFonts w:asciiTheme="minorEastAsia" w:eastAsiaTheme="minorEastAsia" w:hAnsiTheme="minorEastAsia" w:hint="eastAsia"/>
        </w:rPr>
        <w:t>以下简称《信息披露办法》</w:t>
      </w:r>
      <w:r w:rsidR="002E1C38" w:rsidRPr="008644BE">
        <w:rPr>
          <w:rFonts w:asciiTheme="minorEastAsia" w:eastAsiaTheme="minorEastAsia" w:hAnsiTheme="minorEastAsia" w:hint="eastAsia"/>
        </w:rPr>
        <w:t>）</w:t>
      </w:r>
      <w:r w:rsidR="008C4ED0" w:rsidRPr="008644BE">
        <w:rPr>
          <w:rFonts w:asciiTheme="minorEastAsia" w:eastAsiaTheme="minorEastAsia" w:hAnsiTheme="minorEastAsia" w:hint="eastAsia"/>
        </w:rPr>
        <w:t>、《公开募集开放式证券投资基金流动性风险管理规定》（以下简称《管理规定》）</w:t>
      </w:r>
      <w:r w:rsidRPr="008644BE">
        <w:rPr>
          <w:rFonts w:asciiTheme="minorEastAsia" w:eastAsiaTheme="minorEastAsia" w:hAnsiTheme="minorEastAsia" w:hint="eastAsia"/>
        </w:rPr>
        <w:t>、《证券投资基金信息披露内容与格式准则第5号&lt;招募说明书的内容与格式&gt;》、《</w:t>
      </w:r>
      <w:r w:rsidR="00E40637" w:rsidRPr="008644BE">
        <w:rPr>
          <w:rFonts w:asciiTheme="minorEastAsia" w:eastAsiaTheme="minorEastAsia" w:hAnsiTheme="minorEastAsia" w:hint="eastAsia"/>
        </w:rPr>
        <w:t>易方达</w:t>
      </w:r>
      <w:r w:rsidR="009B42FE" w:rsidRPr="008644BE">
        <w:rPr>
          <w:rFonts w:asciiTheme="minorEastAsia" w:eastAsiaTheme="minorEastAsia" w:hAnsiTheme="minorEastAsia" w:hint="eastAsia"/>
        </w:rPr>
        <w:t>创新驱动</w:t>
      </w:r>
      <w:r w:rsidR="00E40637" w:rsidRPr="008644BE">
        <w:rPr>
          <w:rFonts w:asciiTheme="minorEastAsia" w:eastAsiaTheme="minorEastAsia" w:hAnsiTheme="minorEastAsia" w:hint="eastAsia"/>
        </w:rPr>
        <w:t>灵活配置混合型</w:t>
      </w:r>
      <w:r w:rsidR="002221EE" w:rsidRPr="008644BE">
        <w:rPr>
          <w:rFonts w:asciiTheme="minorEastAsia" w:eastAsiaTheme="minorEastAsia" w:hAnsiTheme="minorEastAsia" w:hint="eastAsia"/>
        </w:rPr>
        <w:t>证券投资基金</w:t>
      </w:r>
      <w:r w:rsidRPr="008644BE">
        <w:rPr>
          <w:rFonts w:asciiTheme="minorEastAsia" w:eastAsiaTheme="minorEastAsia" w:hAnsiTheme="minorEastAsia" w:hint="eastAsia"/>
        </w:rPr>
        <w:t>基金合同》</w:t>
      </w:r>
      <w:r w:rsidR="002E1C38" w:rsidRPr="008644BE">
        <w:rPr>
          <w:rFonts w:asciiTheme="minorEastAsia" w:eastAsiaTheme="minorEastAsia" w:hAnsiTheme="minorEastAsia" w:hint="eastAsia"/>
        </w:rPr>
        <w:t>（</w:t>
      </w:r>
      <w:r w:rsidRPr="008644BE">
        <w:rPr>
          <w:rFonts w:asciiTheme="minorEastAsia" w:eastAsiaTheme="minorEastAsia" w:hAnsiTheme="minorEastAsia" w:hint="eastAsia"/>
        </w:rPr>
        <w:t>以下简称基金合同</w:t>
      </w:r>
      <w:r w:rsidR="002E1C38" w:rsidRPr="008644BE">
        <w:rPr>
          <w:rFonts w:asciiTheme="minorEastAsia" w:eastAsiaTheme="minorEastAsia" w:hAnsiTheme="minorEastAsia" w:hint="eastAsia"/>
        </w:rPr>
        <w:t>）</w:t>
      </w:r>
      <w:r w:rsidRPr="008644BE">
        <w:rPr>
          <w:rFonts w:asciiTheme="minorEastAsia" w:eastAsiaTheme="minorEastAsia" w:hAnsiTheme="minorEastAsia" w:hint="eastAsia"/>
        </w:rPr>
        <w:t>及其它有关规定等编写。</w:t>
      </w:r>
    </w:p>
    <w:p w:rsidR="00BA4B87" w:rsidRPr="008644BE" w:rsidRDefault="00BA4B87" w:rsidP="00936084">
      <w:pPr>
        <w:snapToGrid w:val="0"/>
        <w:spacing w:line="360" w:lineRule="auto"/>
        <w:ind w:firstLineChars="200" w:firstLine="420"/>
        <w:rPr>
          <w:rFonts w:asciiTheme="minorEastAsia" w:eastAsiaTheme="minorEastAsia" w:hAnsiTheme="minorEastAsia"/>
        </w:rPr>
      </w:pPr>
      <w:r w:rsidRPr="008644BE">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本招募说明书根据本基金的基金合同编写，并经中国证监会</w:t>
      </w:r>
      <w:r w:rsidR="006F3D9F" w:rsidRPr="008644BE">
        <w:rPr>
          <w:rStyle w:val="da"/>
          <w:rFonts w:asciiTheme="minorEastAsia" w:eastAsiaTheme="minorEastAsia" w:hAnsiTheme="minorEastAsia" w:hint="eastAsia"/>
        </w:rPr>
        <w:t>注册</w:t>
      </w:r>
      <w:r w:rsidRPr="008644BE">
        <w:rPr>
          <w:rStyle w:val="da"/>
          <w:rFonts w:asciiTheme="minorEastAsia" w:eastAsiaTheme="minorEastAsia" w:hAnsiTheme="minorEastAsia" w:hint="eastAsia"/>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D0019" w:rsidRPr="008644BE" w:rsidRDefault="004D0019" w:rsidP="00936084">
      <w:pPr>
        <w:snapToGrid w:val="0"/>
        <w:spacing w:line="360" w:lineRule="auto"/>
        <w:ind w:firstLineChars="200" w:firstLine="420"/>
        <w:rPr>
          <w:rStyle w:val="da"/>
          <w:rFonts w:asciiTheme="minorEastAsia" w:eastAsiaTheme="minorEastAsia" w:hAnsiTheme="minorEastAsia"/>
        </w:rPr>
      </w:pPr>
    </w:p>
    <w:p w:rsidR="00BA4B87" w:rsidRPr="008644BE" w:rsidRDefault="004D0019" w:rsidP="00936084">
      <w:pPr>
        <w:pStyle w:val="111"/>
        <w:pageBreakBefore w:val="0"/>
        <w:snapToGrid w:val="0"/>
        <w:spacing w:beforeLines="0" w:afterLines="0" w:line="360" w:lineRule="auto"/>
        <w:ind w:firstLine="640"/>
        <w:rPr>
          <w:rFonts w:asciiTheme="minorEastAsia" w:eastAsiaTheme="minorEastAsia" w:hAnsiTheme="minorEastAsia"/>
          <w:sz w:val="30"/>
        </w:rPr>
      </w:pPr>
      <w:r w:rsidRPr="008644BE">
        <w:rPr>
          <w:rFonts w:asciiTheme="minorEastAsia" w:eastAsiaTheme="minorEastAsia" w:hAnsiTheme="minorEastAsia"/>
        </w:rPr>
        <w:br w:type="page"/>
      </w:r>
      <w:bookmarkStart w:id="2" w:name="_Toc332373445"/>
      <w:bookmarkStart w:id="3" w:name="_Toc49269627"/>
      <w:r w:rsidR="00BA4B87" w:rsidRPr="008644BE">
        <w:rPr>
          <w:rFonts w:asciiTheme="minorEastAsia" w:eastAsiaTheme="minorEastAsia" w:hAnsiTheme="minorEastAsia" w:hint="eastAsia"/>
          <w:sz w:val="30"/>
        </w:rPr>
        <w:lastRenderedPageBreak/>
        <w:t>二、释义</w:t>
      </w:r>
      <w:bookmarkEnd w:id="2"/>
      <w:bookmarkEnd w:id="3"/>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本招募说明书中除非文意另有所指，下列词语有如下含义：</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基金或本基金：指</w:t>
      </w:r>
      <w:r w:rsidR="00E40637" w:rsidRPr="008644BE">
        <w:rPr>
          <w:rStyle w:val="da"/>
          <w:rFonts w:asciiTheme="minorEastAsia" w:eastAsiaTheme="minorEastAsia" w:hAnsiTheme="minorEastAsia" w:hint="eastAsia"/>
        </w:rPr>
        <w:t>易方达</w:t>
      </w:r>
      <w:r w:rsidR="009B42FE" w:rsidRPr="008644BE">
        <w:rPr>
          <w:rStyle w:val="da"/>
          <w:rFonts w:asciiTheme="minorEastAsia" w:eastAsiaTheme="minorEastAsia" w:hAnsiTheme="minorEastAsia" w:hint="eastAsia"/>
        </w:rPr>
        <w:t>创新驱动</w:t>
      </w:r>
      <w:r w:rsidR="00E40637" w:rsidRPr="008644BE">
        <w:rPr>
          <w:rStyle w:val="da"/>
          <w:rFonts w:asciiTheme="minorEastAsia" w:eastAsiaTheme="minorEastAsia" w:hAnsiTheme="minorEastAsia" w:hint="eastAsia"/>
        </w:rPr>
        <w:t>灵活配置混合型</w:t>
      </w:r>
      <w:r w:rsidRPr="008644BE">
        <w:rPr>
          <w:rStyle w:val="da"/>
          <w:rFonts w:asciiTheme="minorEastAsia" w:eastAsiaTheme="minorEastAsia" w:hAnsiTheme="minorEastAsia" w:hint="eastAsia"/>
        </w:rPr>
        <w:t>证券投资基金</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基金管理人：指易方达基金管理有限公司</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基金托管人：指中国</w:t>
      </w:r>
      <w:r w:rsidR="00DD16B1" w:rsidRPr="008644BE">
        <w:rPr>
          <w:rStyle w:val="da"/>
          <w:rFonts w:asciiTheme="minorEastAsia" w:eastAsiaTheme="minorEastAsia" w:hAnsiTheme="minorEastAsia" w:hint="eastAsia"/>
        </w:rPr>
        <w:t>建设银行</w:t>
      </w:r>
      <w:r w:rsidRPr="008644BE">
        <w:rPr>
          <w:rStyle w:val="da"/>
          <w:rFonts w:asciiTheme="minorEastAsia" w:eastAsiaTheme="minorEastAsia" w:hAnsiTheme="minorEastAsia" w:hint="eastAsia"/>
        </w:rPr>
        <w:t>股份有限公司</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基金合同</w:t>
      </w:r>
      <w:r w:rsidR="004175EE" w:rsidRPr="008644BE">
        <w:rPr>
          <w:rStyle w:val="da"/>
          <w:rFonts w:asciiTheme="minorEastAsia" w:eastAsiaTheme="minorEastAsia" w:hAnsiTheme="minorEastAsia" w:hint="eastAsia"/>
        </w:rPr>
        <w:t>：指《</w:t>
      </w:r>
      <w:r w:rsidR="00E40637" w:rsidRPr="008644BE">
        <w:rPr>
          <w:rStyle w:val="da"/>
          <w:rFonts w:asciiTheme="minorEastAsia" w:eastAsiaTheme="minorEastAsia" w:hAnsiTheme="minorEastAsia" w:hint="eastAsia"/>
        </w:rPr>
        <w:t>易方达</w:t>
      </w:r>
      <w:r w:rsidR="009B42FE" w:rsidRPr="008644BE">
        <w:rPr>
          <w:rStyle w:val="da"/>
          <w:rFonts w:asciiTheme="minorEastAsia" w:eastAsiaTheme="minorEastAsia" w:hAnsiTheme="minorEastAsia" w:hint="eastAsia"/>
        </w:rPr>
        <w:t>创新驱动</w:t>
      </w:r>
      <w:r w:rsidR="00E40637" w:rsidRPr="008644BE">
        <w:rPr>
          <w:rStyle w:val="da"/>
          <w:rFonts w:asciiTheme="minorEastAsia" w:eastAsiaTheme="minorEastAsia" w:hAnsiTheme="minorEastAsia" w:hint="eastAsia"/>
        </w:rPr>
        <w:t>灵活配置混合型</w:t>
      </w:r>
      <w:r w:rsidR="004175EE" w:rsidRPr="008644BE">
        <w:rPr>
          <w:rStyle w:val="da"/>
          <w:rFonts w:asciiTheme="minorEastAsia" w:eastAsiaTheme="minorEastAsia" w:hAnsiTheme="minorEastAsia" w:hint="eastAsia"/>
        </w:rPr>
        <w:t>证券投资基金基金合同》及对</w:t>
      </w:r>
      <w:r w:rsidRPr="008644BE">
        <w:rPr>
          <w:rStyle w:val="da"/>
          <w:rFonts w:asciiTheme="minorEastAsia" w:eastAsiaTheme="minorEastAsia" w:hAnsiTheme="minorEastAsia" w:hint="eastAsia"/>
        </w:rPr>
        <w:t>基金合同的任何有效修订和补充</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托管协议：指基金管理人与基金托管人就本基金签订之《</w:t>
      </w:r>
      <w:r w:rsidR="00E40637" w:rsidRPr="008644BE">
        <w:rPr>
          <w:rStyle w:val="da"/>
          <w:rFonts w:asciiTheme="minorEastAsia" w:eastAsiaTheme="minorEastAsia" w:hAnsiTheme="minorEastAsia" w:hint="eastAsia"/>
        </w:rPr>
        <w:t>易方达</w:t>
      </w:r>
      <w:r w:rsidR="009B42FE" w:rsidRPr="008644BE">
        <w:rPr>
          <w:rStyle w:val="da"/>
          <w:rFonts w:asciiTheme="minorEastAsia" w:eastAsiaTheme="minorEastAsia" w:hAnsiTheme="minorEastAsia" w:hint="eastAsia"/>
        </w:rPr>
        <w:t>创新驱动</w:t>
      </w:r>
      <w:r w:rsidR="00E40637" w:rsidRPr="008644BE">
        <w:rPr>
          <w:rStyle w:val="da"/>
          <w:rFonts w:asciiTheme="minorEastAsia" w:eastAsiaTheme="minorEastAsia" w:hAnsiTheme="minorEastAsia" w:hint="eastAsia"/>
        </w:rPr>
        <w:t>灵活配置混合型</w:t>
      </w:r>
      <w:r w:rsidRPr="008644BE">
        <w:rPr>
          <w:rStyle w:val="da"/>
          <w:rFonts w:asciiTheme="minorEastAsia" w:eastAsiaTheme="minorEastAsia" w:hAnsiTheme="minorEastAsia" w:hint="eastAsia"/>
        </w:rPr>
        <w:t>证券投资基金托管协议》及对该托管协议的任何有效修订和补充</w:t>
      </w:r>
    </w:p>
    <w:p w:rsidR="00ED4153"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招募说明书：指《</w:t>
      </w:r>
      <w:r w:rsidR="00E40637" w:rsidRPr="008644BE">
        <w:rPr>
          <w:rStyle w:val="da"/>
          <w:rFonts w:asciiTheme="minorEastAsia" w:eastAsiaTheme="minorEastAsia" w:hAnsiTheme="minorEastAsia" w:hint="eastAsia"/>
        </w:rPr>
        <w:t>易方达</w:t>
      </w:r>
      <w:r w:rsidR="009B42FE" w:rsidRPr="008644BE">
        <w:rPr>
          <w:rStyle w:val="da"/>
          <w:rFonts w:asciiTheme="minorEastAsia" w:eastAsiaTheme="minorEastAsia" w:hAnsiTheme="minorEastAsia" w:hint="eastAsia"/>
        </w:rPr>
        <w:t>创新驱动</w:t>
      </w:r>
      <w:r w:rsidR="00E40637" w:rsidRPr="008644BE">
        <w:rPr>
          <w:rStyle w:val="da"/>
          <w:rFonts w:asciiTheme="minorEastAsia" w:eastAsiaTheme="minorEastAsia" w:hAnsiTheme="minorEastAsia" w:hint="eastAsia"/>
        </w:rPr>
        <w:t>灵活配置混合型</w:t>
      </w:r>
      <w:r w:rsidRPr="008644BE">
        <w:rPr>
          <w:rStyle w:val="da"/>
          <w:rFonts w:asciiTheme="minorEastAsia" w:eastAsiaTheme="minorEastAsia" w:hAnsiTheme="minorEastAsia" w:hint="eastAsia"/>
        </w:rPr>
        <w:t>证券投资基金招募说明书》</w:t>
      </w:r>
      <w:r w:rsidR="00ED4153" w:rsidRPr="008644BE">
        <w:rPr>
          <w:rStyle w:val="da"/>
          <w:rFonts w:asciiTheme="minorEastAsia" w:eastAsiaTheme="minorEastAsia" w:hAnsiTheme="minorEastAsia" w:hint="eastAsia"/>
        </w:rPr>
        <w:t>及其更新</w:t>
      </w:r>
    </w:p>
    <w:p w:rsidR="00565841" w:rsidRPr="008644BE" w:rsidRDefault="00ED4153"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基金产品资料概要：指《易方达创新驱动灵活配置混合型证券投资基金基金产品资料概要》及其更新</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基金份额发售公告：指《</w:t>
      </w:r>
      <w:r w:rsidR="00E40637" w:rsidRPr="008644BE">
        <w:rPr>
          <w:rStyle w:val="da"/>
          <w:rFonts w:asciiTheme="minorEastAsia" w:eastAsiaTheme="minorEastAsia" w:hAnsiTheme="minorEastAsia" w:hint="eastAsia"/>
        </w:rPr>
        <w:t>易方达</w:t>
      </w:r>
      <w:r w:rsidR="009B42FE" w:rsidRPr="008644BE">
        <w:rPr>
          <w:rStyle w:val="da"/>
          <w:rFonts w:asciiTheme="minorEastAsia" w:eastAsiaTheme="minorEastAsia" w:hAnsiTheme="minorEastAsia" w:hint="eastAsia"/>
        </w:rPr>
        <w:t>创新驱动</w:t>
      </w:r>
      <w:r w:rsidR="00E40637" w:rsidRPr="008644BE">
        <w:rPr>
          <w:rStyle w:val="da"/>
          <w:rFonts w:asciiTheme="minorEastAsia" w:eastAsiaTheme="minorEastAsia" w:hAnsiTheme="minorEastAsia" w:hint="eastAsia"/>
        </w:rPr>
        <w:t>灵活配置混合型</w:t>
      </w:r>
      <w:r w:rsidRPr="008644BE">
        <w:rPr>
          <w:rStyle w:val="da"/>
          <w:rFonts w:asciiTheme="minorEastAsia" w:eastAsiaTheme="minorEastAsia" w:hAnsiTheme="minorEastAsia" w:hint="eastAsia"/>
        </w:rPr>
        <w:t>证券投资基金基金份额发售公告》</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《基金法》：指2012年12月</w:t>
      </w:r>
      <w:r w:rsidRPr="008644BE">
        <w:rPr>
          <w:rStyle w:val="da"/>
          <w:rFonts w:asciiTheme="minorEastAsia" w:eastAsiaTheme="minorEastAsia" w:hAnsiTheme="minorEastAsia"/>
        </w:rPr>
        <w:t>28日经第十一届全国人民代表大会常务委员会第三十次会议通过，自2013年6月1日起实施的《中华人民共和国证券投资基金法》及颁布机关对其不时做出的修订</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《销售办法》：指中国证监会</w:t>
      </w:r>
      <w:r w:rsidRPr="008644BE">
        <w:rPr>
          <w:rStyle w:val="da"/>
          <w:rFonts w:asciiTheme="minorEastAsia" w:eastAsiaTheme="minorEastAsia" w:hAnsiTheme="minorEastAsia"/>
        </w:rPr>
        <w:t>2013年3月15日颁布、同年6月1日实施的《证券投资基金销售管理办法》及颁布机关对其不时做出的修订</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《信息披露办法》：</w:t>
      </w:r>
      <w:r w:rsidR="00ED4153" w:rsidRPr="008644BE">
        <w:rPr>
          <w:rStyle w:val="da"/>
          <w:rFonts w:asciiTheme="minorEastAsia" w:eastAsiaTheme="minorEastAsia" w:hAnsiTheme="minorEastAsia" w:hint="eastAsia"/>
        </w:rPr>
        <w:t>指中国证监会2019年7月26日颁布、同年9月1日实施的《公开募集证券投资基金信息披露管理办法》及颁布机关对其不时做出的修订</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《运作办法》：</w:t>
      </w:r>
      <w:r w:rsidR="00C91FB6" w:rsidRPr="008644BE">
        <w:rPr>
          <w:rFonts w:asciiTheme="minorEastAsia" w:eastAsiaTheme="minorEastAsia" w:hAnsiTheme="minorEastAsia" w:hint="eastAsia"/>
        </w:rPr>
        <w:t>指中国证监会</w:t>
      </w:r>
      <w:r w:rsidR="00C91FB6" w:rsidRPr="008644BE">
        <w:rPr>
          <w:rFonts w:asciiTheme="minorEastAsia" w:eastAsiaTheme="minorEastAsia" w:hAnsiTheme="minorEastAsia"/>
        </w:rPr>
        <w:t>2014</w:t>
      </w:r>
      <w:r w:rsidR="00C91FB6" w:rsidRPr="008644BE">
        <w:rPr>
          <w:rFonts w:asciiTheme="minorEastAsia" w:eastAsiaTheme="minorEastAsia" w:hAnsiTheme="minorEastAsia" w:hint="eastAsia"/>
        </w:rPr>
        <w:t>年</w:t>
      </w:r>
      <w:r w:rsidR="00C91FB6" w:rsidRPr="008644BE">
        <w:rPr>
          <w:rFonts w:asciiTheme="minorEastAsia" w:eastAsiaTheme="minorEastAsia" w:hAnsiTheme="minorEastAsia"/>
        </w:rPr>
        <w:t>7</w:t>
      </w:r>
      <w:r w:rsidR="00C91FB6" w:rsidRPr="008644BE">
        <w:rPr>
          <w:rFonts w:asciiTheme="minorEastAsia" w:eastAsiaTheme="minorEastAsia" w:hAnsiTheme="minorEastAsia" w:hint="eastAsia"/>
        </w:rPr>
        <w:t>月</w:t>
      </w:r>
      <w:r w:rsidR="00C91FB6" w:rsidRPr="008644BE">
        <w:rPr>
          <w:rFonts w:asciiTheme="minorEastAsia" w:eastAsiaTheme="minorEastAsia" w:hAnsiTheme="minorEastAsia"/>
        </w:rPr>
        <w:t>7</w:t>
      </w:r>
      <w:r w:rsidR="00C91FB6" w:rsidRPr="008644BE">
        <w:rPr>
          <w:rFonts w:asciiTheme="minorEastAsia" w:eastAsiaTheme="minorEastAsia" w:hAnsiTheme="minorEastAsia" w:hint="eastAsia"/>
        </w:rPr>
        <w:t>日颁布、同年</w:t>
      </w:r>
      <w:r w:rsidR="00C91FB6" w:rsidRPr="008644BE">
        <w:rPr>
          <w:rFonts w:asciiTheme="minorEastAsia" w:eastAsiaTheme="minorEastAsia" w:hAnsiTheme="minorEastAsia"/>
        </w:rPr>
        <w:t>8</w:t>
      </w:r>
      <w:r w:rsidR="00C91FB6" w:rsidRPr="008644BE">
        <w:rPr>
          <w:rFonts w:asciiTheme="minorEastAsia" w:eastAsiaTheme="minorEastAsia" w:hAnsiTheme="minorEastAsia" w:hint="eastAsia"/>
        </w:rPr>
        <w:t>月</w:t>
      </w:r>
      <w:r w:rsidR="00C91FB6" w:rsidRPr="008644BE">
        <w:rPr>
          <w:rFonts w:asciiTheme="minorEastAsia" w:eastAsiaTheme="minorEastAsia" w:hAnsiTheme="minorEastAsia"/>
        </w:rPr>
        <w:t>8</w:t>
      </w:r>
      <w:r w:rsidR="00C91FB6" w:rsidRPr="008644BE">
        <w:rPr>
          <w:rFonts w:asciiTheme="minorEastAsia" w:eastAsiaTheme="minorEastAsia" w:hAnsiTheme="minorEastAsia" w:hint="eastAsia"/>
        </w:rPr>
        <w:t>日实施的《公开募集证券投资基金运作管理办法》及颁布机关对其不时做出的修订</w:t>
      </w:r>
    </w:p>
    <w:p w:rsidR="00AE2A66" w:rsidRPr="008644BE" w:rsidRDefault="00C22BCD"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《管理规定》：指中国证监会</w:t>
      </w:r>
      <w:r w:rsidRPr="008644BE">
        <w:rPr>
          <w:rStyle w:val="da"/>
          <w:rFonts w:asciiTheme="minorEastAsia" w:eastAsiaTheme="minorEastAsia" w:hAnsiTheme="minorEastAsia"/>
        </w:rPr>
        <w:t>2017</w:t>
      </w:r>
      <w:r w:rsidRPr="008644BE">
        <w:rPr>
          <w:rStyle w:val="da"/>
          <w:rFonts w:asciiTheme="minorEastAsia" w:eastAsiaTheme="minorEastAsia" w:hAnsiTheme="minorEastAsia" w:hint="eastAsia"/>
        </w:rPr>
        <w:t>年</w:t>
      </w:r>
      <w:r w:rsidRPr="008644BE">
        <w:rPr>
          <w:rStyle w:val="da"/>
          <w:rFonts w:asciiTheme="minorEastAsia" w:eastAsiaTheme="minorEastAsia" w:hAnsiTheme="minorEastAsia"/>
        </w:rPr>
        <w:t>8</w:t>
      </w:r>
      <w:r w:rsidRPr="008644BE">
        <w:rPr>
          <w:rStyle w:val="da"/>
          <w:rFonts w:asciiTheme="minorEastAsia" w:eastAsiaTheme="minorEastAsia" w:hAnsiTheme="minorEastAsia" w:hint="eastAsia"/>
        </w:rPr>
        <w:t>月</w:t>
      </w:r>
      <w:r w:rsidRPr="008644BE">
        <w:rPr>
          <w:rStyle w:val="da"/>
          <w:rFonts w:asciiTheme="minorEastAsia" w:eastAsiaTheme="minorEastAsia" w:hAnsiTheme="minorEastAsia"/>
        </w:rPr>
        <w:t>31</w:t>
      </w:r>
      <w:r w:rsidRPr="008644BE">
        <w:rPr>
          <w:rStyle w:val="da"/>
          <w:rFonts w:asciiTheme="minorEastAsia" w:eastAsiaTheme="minorEastAsia" w:hAnsiTheme="minorEastAsia" w:hint="eastAsia"/>
        </w:rPr>
        <w:t>日颁布、同年</w:t>
      </w:r>
      <w:r w:rsidRPr="008644BE">
        <w:rPr>
          <w:rStyle w:val="da"/>
          <w:rFonts w:asciiTheme="minorEastAsia" w:eastAsiaTheme="minorEastAsia" w:hAnsiTheme="minorEastAsia"/>
        </w:rPr>
        <w:t>10</w:t>
      </w:r>
      <w:r w:rsidRPr="008644BE">
        <w:rPr>
          <w:rStyle w:val="da"/>
          <w:rFonts w:asciiTheme="minorEastAsia" w:eastAsiaTheme="minorEastAsia" w:hAnsiTheme="minorEastAsia" w:hint="eastAsia"/>
        </w:rPr>
        <w:t>月</w:t>
      </w:r>
      <w:r w:rsidRPr="008644BE">
        <w:rPr>
          <w:rStyle w:val="da"/>
          <w:rFonts w:asciiTheme="minorEastAsia" w:eastAsiaTheme="minorEastAsia" w:hAnsiTheme="minorEastAsia"/>
        </w:rPr>
        <w:t>1</w:t>
      </w:r>
      <w:r w:rsidRPr="008644BE">
        <w:rPr>
          <w:rStyle w:val="da"/>
          <w:rFonts w:asciiTheme="minorEastAsia" w:eastAsiaTheme="minorEastAsia" w:hAnsiTheme="minorEastAsia" w:hint="eastAsia"/>
        </w:rPr>
        <w:t>日实施的《公开募集开放式证券投资基金流动性风险管理规定》及颁布机关对其不时做出的修订</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中国证监会：指中国证券监督管理委员会</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银行业监督管理机构：指中国人民银行和/或</w:t>
      </w:r>
      <w:r w:rsidR="00F53FA7" w:rsidRPr="008644BE">
        <w:rPr>
          <w:rStyle w:val="da"/>
          <w:rFonts w:asciiTheme="minorEastAsia" w:eastAsiaTheme="minorEastAsia" w:hAnsiTheme="minorEastAsia" w:hint="eastAsia"/>
        </w:rPr>
        <w:t>中国银行保险监督管理委员会</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个人投资者：指依据有关法律法规规定可投资于证券投资基金的自然人</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机构投资者：指依法可以投资证券投资基金的、在中华人民共和国境内合法登记并</w:t>
      </w:r>
      <w:r w:rsidRPr="008644BE">
        <w:rPr>
          <w:rStyle w:val="da"/>
          <w:rFonts w:asciiTheme="minorEastAsia" w:eastAsiaTheme="minorEastAsia" w:hAnsiTheme="minorEastAsia" w:hint="eastAsia"/>
        </w:rPr>
        <w:lastRenderedPageBreak/>
        <w:t>存续或经有关政府部门批准设立并存续的企业法人、事业法人、社会团体或其他组织</w:t>
      </w:r>
    </w:p>
    <w:p w:rsidR="00565841" w:rsidRPr="008644BE" w:rsidRDefault="009A0E35"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合格境外机构投资者：指符合相关法律法规规定可以投资于在中国境内依法募集的证券投资基金的中国境外的机构投资者</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投资人：指个人投资者、机构投资者和合格境外机构投资者以及法律法规或中国证监会允许购买证券投资基金的其他投资人的合称</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基金份额持有人：指依基金合同和招募说明书合法取得基金份额的投资人</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基金销售业务：指基金管理人或销售机构宣传推介基金，发售基金份额，办理基金份额的申购、赎回、转换、非交易过户、转托管及定期定额投资等业务</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销售机构：指易方达基金管理有限公司以及符合《销售办法》和中国证监会规定的其他条件，取得基金销售业务资格并</w:t>
      </w:r>
      <w:r w:rsidR="001656EB" w:rsidRPr="008644BE">
        <w:rPr>
          <w:rFonts w:asciiTheme="minorEastAsia" w:eastAsiaTheme="minorEastAsia" w:hAnsiTheme="minorEastAsia" w:hint="eastAsia"/>
        </w:rPr>
        <w:t>接受基金管理人委托</w:t>
      </w:r>
      <w:r w:rsidRPr="008644BE">
        <w:rPr>
          <w:rStyle w:val="da"/>
          <w:rFonts w:asciiTheme="minorEastAsia" w:eastAsiaTheme="minorEastAsia" w:hAnsiTheme="minorEastAsia" w:hint="eastAsia"/>
        </w:rPr>
        <w:t>，办理基金销售业务的机构</w:t>
      </w:r>
    </w:p>
    <w:p w:rsidR="00C75215" w:rsidRPr="008644BE" w:rsidRDefault="00C75215" w:rsidP="004E2A21">
      <w:pPr>
        <w:pStyle w:val="af5"/>
        <w:numPr>
          <w:ilvl w:val="0"/>
          <w:numId w:val="8"/>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直销机构：指易方达基金管理有限公司</w:t>
      </w:r>
    </w:p>
    <w:p w:rsidR="00C75215" w:rsidRPr="008644BE" w:rsidRDefault="00F3543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非直销销售机构</w:t>
      </w:r>
      <w:r w:rsidR="00C75215" w:rsidRPr="008644BE">
        <w:rPr>
          <w:rFonts w:asciiTheme="minorEastAsia" w:eastAsiaTheme="minorEastAsia" w:hAnsiTheme="minorEastAsia" w:hint="eastAsia"/>
        </w:rPr>
        <w:t>：指</w:t>
      </w:r>
      <w:r w:rsidR="00C75215" w:rsidRPr="008644BE">
        <w:rPr>
          <w:rStyle w:val="da"/>
          <w:rFonts w:asciiTheme="minorEastAsia" w:eastAsiaTheme="minorEastAsia" w:hAnsiTheme="minorEastAsia" w:hint="eastAsia"/>
        </w:rPr>
        <w:t>符合《销售办法》和中国证监会规定的其他条件，取得基金销售业务资格并</w:t>
      </w:r>
      <w:r w:rsidR="00A87D0A" w:rsidRPr="008644BE">
        <w:rPr>
          <w:rFonts w:asciiTheme="minorEastAsia" w:eastAsiaTheme="minorEastAsia" w:hAnsiTheme="minorEastAsia" w:hint="eastAsia"/>
        </w:rPr>
        <w:t>接受基金管理人委托</w:t>
      </w:r>
      <w:r w:rsidR="00C75215" w:rsidRPr="008644BE">
        <w:rPr>
          <w:rStyle w:val="da"/>
          <w:rFonts w:asciiTheme="minorEastAsia" w:eastAsiaTheme="minorEastAsia" w:hAnsiTheme="minorEastAsia" w:hint="eastAsia"/>
        </w:rPr>
        <w:t>，办理基金销售业务的机构</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登记机构：指办理注册登记业务的机构。基金的登记机构为易方达基金管理有限公司或接受易方达基金管理有限公司委托代为办理登记业务的机构</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基金账户：指登记机构为投资人开立的、记录其持有的、基金管理人所管理的基金份额余额及其变动情况的账户</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基金交易账户：指销售机构为投资人开立的、记录投资人通过该销售机构买卖基金的基金份额变动及结余情况的账户</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基金合同生效日：指基金募集达到法律法规规定及基金合同规定的条件，基金管理人向中国证监会办理基金备案手续完毕，并获得中国证监会书面确认的日期</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基金募集期：指自基金份额发售之日起至发售结束之日止的期间，最长不得超过</w:t>
      </w:r>
      <w:r w:rsidRPr="008644BE">
        <w:rPr>
          <w:rStyle w:val="da"/>
          <w:rFonts w:asciiTheme="minorEastAsia" w:eastAsiaTheme="minorEastAsia" w:hAnsiTheme="minorEastAsia"/>
        </w:rPr>
        <w:t>3个月</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存续期：指基金合同生效至终止之间的不定期期限</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工作日：指上海证券交易所、深圳证券交易所的正常交易日</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rPr>
        <w:t>T日：指销售机构在规定时间受理投资人申购、赎回或其他业务申请的开放日</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rPr>
        <w:t>T+n日：指自T日起第n个工作日(不包含T日)，n为自然数</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开放日：指为投资人办理基金份额申购、赎回或其他业务的工作日</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开放时间：指开放日基金接受申购、赎回或其他交易的时间段</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认购：指在基金募集期内，投资人申请购买基金份额的行为</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申购：指基金合同生效后，投资人根据基金合同和招募说明书的规定申请购买基金份额的行为</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赎回：指基金合同生效后，基金份额持有人按基金合同规定的条件要求将基金份额兑换为现金的行为</w:t>
      </w:r>
    </w:p>
    <w:p w:rsidR="00565841" w:rsidRPr="008644BE" w:rsidRDefault="004175EE"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基金转换：指基金份额持有人按照</w:t>
      </w:r>
      <w:r w:rsidR="00565841" w:rsidRPr="008644BE">
        <w:rPr>
          <w:rStyle w:val="da"/>
          <w:rFonts w:asciiTheme="minorEastAsia" w:eastAsiaTheme="minorEastAsia" w:hAnsiTheme="minorEastAsia" w:hint="eastAsia"/>
        </w:rPr>
        <w:t>基金合同和基金管理人届时有效公告规定的条件，申请将其持有基金管理人管理的、某一基金的基金份额转换为基金管理人管理的其他基金基金份额的行为</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转托管：指基金份额持有人在本基金的不同销售机构之间实施的变更所持基金份额销售机构的操作</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巨额赎回：指本基金单个开放日，基金净赎回申请</w:t>
      </w:r>
      <w:r w:rsidRPr="008644BE">
        <w:rPr>
          <w:rStyle w:val="da"/>
          <w:rFonts w:asciiTheme="minorEastAsia" w:eastAsiaTheme="minorEastAsia" w:hAnsiTheme="minorEastAsia"/>
        </w:rPr>
        <w:t>(赎回申请份额总数加上基金转换中转出申请份额总数后扣除申购申请份额总数及基金转换中转入申请份额总数后的余额)超过上一开放日基金总份额的10%</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元：指人民币元</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基金资产总值：指基金拥有的各类有价证券、银行存款本息、基金应收申购款及其他资产的价值总和</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基金资产净值：指基金资产总值减去基金负债后的价值</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基金份额净值：指计算日基金资产净值除以计算日基金份额总数</w:t>
      </w:r>
    </w:p>
    <w:p w:rsidR="00565841" w:rsidRPr="008644BE" w:rsidRDefault="00565841"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基金资产估值：指计算评估基金资产和负债的价值，以确定基金资产净值和基金份额净值的过程</w:t>
      </w:r>
    </w:p>
    <w:p w:rsidR="00565841" w:rsidRPr="008644BE" w:rsidRDefault="00ED4153"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指定媒介：指中国证监会指定的用以进行信息披露的全国性报刊及指定互联网网站（包括基金管理人网站、基金托管人网站、中国证监会基金电子披露网站）等媒介</w:t>
      </w:r>
    </w:p>
    <w:p w:rsidR="007C3BDF" w:rsidRPr="008644BE" w:rsidRDefault="007C3BDF"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基金份额折算：指基金管理人根据基金运作的需要，在基金资产净值不变的前提下，按照一定比例调整基金份额总额及基金份额净值</w:t>
      </w:r>
    </w:p>
    <w:p w:rsidR="00294408" w:rsidRPr="008644BE" w:rsidRDefault="004175EE"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不可抗力：指基金</w:t>
      </w:r>
      <w:r w:rsidR="00565841" w:rsidRPr="008644BE">
        <w:rPr>
          <w:rStyle w:val="da"/>
          <w:rFonts w:asciiTheme="minorEastAsia" w:eastAsiaTheme="minorEastAsia" w:hAnsiTheme="minorEastAsia" w:hint="eastAsia"/>
        </w:rPr>
        <w:t>合同当事人不能预见、不能避免且不能克服的客观事件</w:t>
      </w:r>
    </w:p>
    <w:p w:rsidR="00AE2A66" w:rsidRPr="008644BE" w:rsidRDefault="00C22BCD" w:rsidP="004E2A21">
      <w:pPr>
        <w:pStyle w:val="af5"/>
        <w:numPr>
          <w:ilvl w:val="0"/>
          <w:numId w:val="8"/>
        </w:numPr>
        <w:snapToGrid w:val="0"/>
        <w:spacing w:line="360" w:lineRule="auto"/>
        <w:ind w:firstLineChars="0"/>
        <w:rPr>
          <w:rStyle w:val="da"/>
          <w:rFonts w:asciiTheme="minorEastAsia" w:eastAsiaTheme="minorEastAsia" w:hAnsiTheme="minorEastAsia"/>
        </w:rPr>
      </w:pPr>
      <w:r w:rsidRPr="008644BE">
        <w:rPr>
          <w:rStyle w:val="da"/>
          <w:rFonts w:asciiTheme="minorEastAsia" w:eastAsiaTheme="minorEastAsia" w:hAnsiTheme="minorEastAsia" w:hint="eastAsia"/>
        </w:rPr>
        <w:t>流动性受限资产：指由于法律法规、监管、合同或操作障碍等原因无法以合理价格予以变现的资产，包括但不限于到期日在</w:t>
      </w:r>
      <w:r w:rsidRPr="008644BE">
        <w:rPr>
          <w:rStyle w:val="da"/>
          <w:rFonts w:asciiTheme="minorEastAsia" w:eastAsiaTheme="minorEastAsia" w:hAnsiTheme="minorEastAsia"/>
        </w:rPr>
        <w:t>10</w:t>
      </w:r>
      <w:r w:rsidRPr="008644BE">
        <w:rPr>
          <w:rStyle w:val="da"/>
          <w:rFonts w:asciiTheme="minorEastAsia" w:eastAsiaTheme="minorEastAsia" w:hAnsiTheme="minorEastAsia" w:hint="eastAsia"/>
        </w:rPr>
        <w:t>个交易日以上的逆回购与银行定期存款（含协议约定有条件提前支取的银行存款）、停牌股票、流通受限的新股及非公开发行股票、资产支持证券、因发行人债务违约无法进行转让或交易的债券等</w:t>
      </w:r>
    </w:p>
    <w:p w:rsidR="00294408" w:rsidRPr="008644BE" w:rsidRDefault="00294408" w:rsidP="00936084">
      <w:pPr>
        <w:snapToGrid w:val="0"/>
        <w:spacing w:line="360" w:lineRule="auto"/>
        <w:ind w:firstLineChars="200" w:firstLine="420"/>
        <w:rPr>
          <w:rStyle w:val="da"/>
          <w:rFonts w:asciiTheme="minorEastAsia" w:eastAsiaTheme="minorEastAsia" w:hAnsiTheme="minorEastAsia"/>
        </w:rPr>
      </w:pPr>
    </w:p>
    <w:p w:rsidR="00BA4B87" w:rsidRPr="008644BE" w:rsidRDefault="00BA4B87" w:rsidP="00936084">
      <w:pPr>
        <w:pStyle w:val="111"/>
        <w:pageBreakBefore w:val="0"/>
        <w:snapToGrid w:val="0"/>
        <w:spacing w:beforeLines="0" w:afterLines="0" w:line="360" w:lineRule="auto"/>
        <w:ind w:firstLine="640"/>
        <w:rPr>
          <w:rFonts w:asciiTheme="minorEastAsia" w:eastAsiaTheme="minorEastAsia" w:hAnsiTheme="minorEastAsia"/>
          <w:sz w:val="30"/>
        </w:rPr>
      </w:pPr>
      <w:r w:rsidRPr="008644BE">
        <w:rPr>
          <w:rFonts w:asciiTheme="minorEastAsia" w:eastAsiaTheme="minorEastAsia" w:hAnsiTheme="minorEastAsia" w:hint="eastAsia"/>
          <w:kern w:val="0"/>
        </w:rPr>
        <w:br w:type="column"/>
      </w:r>
      <w:bookmarkStart w:id="4" w:name="_Toc332373446"/>
      <w:bookmarkStart w:id="5" w:name="_Toc49269628"/>
      <w:r w:rsidRPr="008644BE">
        <w:rPr>
          <w:rFonts w:asciiTheme="minorEastAsia" w:eastAsiaTheme="minorEastAsia" w:hAnsiTheme="minorEastAsia" w:hint="eastAsia"/>
          <w:sz w:val="30"/>
        </w:rPr>
        <w:lastRenderedPageBreak/>
        <w:t>三、基金管理人</w:t>
      </w:r>
      <w:bookmarkEnd w:id="4"/>
      <w:bookmarkEnd w:id="5"/>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6" w:name="_Toc332373447"/>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一</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基金管理人基本情况</w:t>
      </w:r>
      <w:bookmarkEnd w:id="6"/>
    </w:p>
    <w:p w:rsidR="00FC65FE" w:rsidRPr="008644BE" w:rsidRDefault="00FC65FE" w:rsidP="00936084">
      <w:pPr>
        <w:snapToGrid w:val="0"/>
        <w:spacing w:line="360" w:lineRule="auto"/>
        <w:ind w:firstLineChars="200" w:firstLine="420"/>
        <w:rPr>
          <w:rFonts w:asciiTheme="minorEastAsia" w:eastAsiaTheme="minorEastAsia" w:hAnsiTheme="minorEastAsia"/>
          <w:kern w:val="0"/>
        </w:rPr>
      </w:pPr>
      <w:r w:rsidRPr="008644BE">
        <w:rPr>
          <w:rFonts w:asciiTheme="minorEastAsia" w:eastAsiaTheme="minorEastAsia" w:hAnsiTheme="minorEastAsia" w:hint="eastAsia"/>
          <w:kern w:val="0"/>
        </w:rPr>
        <w:t>1、基金管理人：易方达基金管理有限公司</w:t>
      </w:r>
    </w:p>
    <w:p w:rsidR="00A21C5C" w:rsidRPr="008644BE" w:rsidRDefault="00A21C5C"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注册地址：</w:t>
      </w:r>
      <w:r w:rsidR="00D53D6B" w:rsidRPr="008644BE">
        <w:rPr>
          <w:rFonts w:asciiTheme="minorEastAsia" w:eastAsiaTheme="minorEastAsia" w:hAnsiTheme="minorEastAsia" w:hint="eastAsia"/>
        </w:rPr>
        <w:t>广东省珠海市横琴新区宝华路6号105室－42891（集中办公区）</w:t>
      </w:r>
    </w:p>
    <w:p w:rsidR="00A21C5C" w:rsidRPr="008644BE" w:rsidRDefault="00A21C5C"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办公地址：广州市天河区珠江新城珠江东路30号广州银行大厦40-43楼</w:t>
      </w:r>
    </w:p>
    <w:p w:rsidR="00A21C5C" w:rsidRPr="008644BE" w:rsidRDefault="00A21C5C"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设立日期：</w:t>
      </w:r>
      <w:smartTag w:uri="urn:schemas-microsoft-com:office:smarttags" w:element="chsdate">
        <w:smartTagPr>
          <w:attr w:name="IsROCDate" w:val="False"/>
          <w:attr w:name="IsLunarDate" w:val="False"/>
          <w:attr w:name="Day" w:val="17"/>
          <w:attr w:name="Month" w:val="4"/>
          <w:attr w:name="Year" w:val="2001"/>
        </w:smartTagPr>
        <w:r w:rsidRPr="008644BE">
          <w:rPr>
            <w:rFonts w:asciiTheme="minorEastAsia" w:eastAsiaTheme="minorEastAsia" w:hAnsiTheme="minorEastAsia" w:hint="eastAsia"/>
          </w:rPr>
          <w:t>2001年4月17日</w:t>
        </w:r>
      </w:smartTag>
    </w:p>
    <w:p w:rsidR="00A21C5C" w:rsidRPr="008644BE" w:rsidRDefault="00A21C5C"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法定代表人：</w:t>
      </w:r>
      <w:r w:rsidR="00AE3490" w:rsidRPr="008644BE">
        <w:rPr>
          <w:rFonts w:asciiTheme="minorEastAsia" w:eastAsiaTheme="minorEastAsia" w:hAnsiTheme="minorEastAsia" w:hint="eastAsia"/>
        </w:rPr>
        <w:t>刘晓艳</w:t>
      </w:r>
    </w:p>
    <w:p w:rsidR="00A21C5C" w:rsidRPr="008644BE" w:rsidRDefault="00A21C5C"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联系电话：4008818088</w:t>
      </w:r>
    </w:p>
    <w:p w:rsidR="00A21C5C" w:rsidRPr="008644BE" w:rsidRDefault="00A21C5C"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联系人：</w:t>
      </w:r>
      <w:r w:rsidR="000A77F7" w:rsidRPr="008644BE">
        <w:rPr>
          <w:rFonts w:asciiTheme="minorEastAsia" w:eastAsiaTheme="minorEastAsia" w:hAnsiTheme="minorEastAsia" w:hint="eastAsia"/>
        </w:rPr>
        <w:t>李红枫</w:t>
      </w:r>
    </w:p>
    <w:p w:rsidR="00A21C5C"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注册资本：13,244.2万元人民币</w:t>
      </w:r>
    </w:p>
    <w:p w:rsidR="00BA4B87" w:rsidRPr="008644BE" w:rsidRDefault="00BA4B87" w:rsidP="00936084">
      <w:pPr>
        <w:snapToGrid w:val="0"/>
        <w:spacing w:line="360" w:lineRule="auto"/>
        <w:ind w:firstLineChars="200" w:firstLine="420"/>
        <w:rPr>
          <w:rFonts w:asciiTheme="minorEastAsia" w:eastAsiaTheme="minorEastAsia" w:hAnsiTheme="minorEastAsia"/>
        </w:rPr>
      </w:pPr>
      <w:r w:rsidRPr="008644BE">
        <w:rPr>
          <w:rStyle w:val="da"/>
          <w:rFonts w:asciiTheme="minorEastAsia" w:eastAsiaTheme="minorEastAsia" w:hAnsiTheme="minorEastAsia" w:hint="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1"/>
        <w:gridCol w:w="2575"/>
      </w:tblGrid>
      <w:tr w:rsidR="00BF54B1" w:rsidRPr="008644BE" w:rsidTr="00524616">
        <w:trPr>
          <w:jc w:val="center"/>
        </w:trPr>
        <w:tc>
          <w:tcPr>
            <w:tcW w:w="3488" w:type="pct"/>
            <w:vAlign w:val="center"/>
          </w:tcPr>
          <w:p w:rsidR="00A21C5C" w:rsidRPr="008644BE" w:rsidRDefault="00A21C5C"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hint="eastAsia"/>
              </w:rPr>
              <w:t>股东名称</w:t>
            </w:r>
          </w:p>
        </w:tc>
        <w:tc>
          <w:tcPr>
            <w:tcW w:w="1512" w:type="pct"/>
            <w:vAlign w:val="center"/>
          </w:tcPr>
          <w:p w:rsidR="00A21C5C" w:rsidRPr="008644BE" w:rsidRDefault="00A21C5C"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hint="eastAsia"/>
              </w:rPr>
              <w:t>出资比例</w:t>
            </w:r>
          </w:p>
        </w:tc>
      </w:tr>
      <w:tr w:rsidR="00BF54B1" w:rsidRPr="008644BE" w:rsidTr="00524616">
        <w:trPr>
          <w:jc w:val="center"/>
        </w:trPr>
        <w:tc>
          <w:tcPr>
            <w:tcW w:w="3488" w:type="pct"/>
            <w:vAlign w:val="center"/>
          </w:tcPr>
          <w:p w:rsidR="00A21C5C"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广东粤财信托有限公司</w:t>
            </w:r>
          </w:p>
        </w:tc>
        <w:tc>
          <w:tcPr>
            <w:tcW w:w="1512" w:type="pct"/>
            <w:vAlign w:val="center"/>
          </w:tcPr>
          <w:p w:rsidR="00A21C5C"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22.6514％</w:t>
            </w:r>
          </w:p>
        </w:tc>
      </w:tr>
      <w:tr w:rsidR="00BF54B1" w:rsidRPr="008644BE" w:rsidTr="00524616">
        <w:trPr>
          <w:jc w:val="center"/>
        </w:trPr>
        <w:tc>
          <w:tcPr>
            <w:tcW w:w="3488" w:type="pct"/>
            <w:vAlign w:val="center"/>
          </w:tcPr>
          <w:p w:rsidR="00A21C5C"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广发证券股份有限公司</w:t>
            </w:r>
          </w:p>
        </w:tc>
        <w:tc>
          <w:tcPr>
            <w:tcW w:w="1512" w:type="pct"/>
            <w:vAlign w:val="center"/>
          </w:tcPr>
          <w:p w:rsidR="00A21C5C"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22.6514％</w:t>
            </w:r>
          </w:p>
        </w:tc>
      </w:tr>
      <w:tr w:rsidR="00BF54B1" w:rsidRPr="008644BE" w:rsidTr="00524616">
        <w:trPr>
          <w:jc w:val="center"/>
        </w:trPr>
        <w:tc>
          <w:tcPr>
            <w:tcW w:w="3488" w:type="pct"/>
            <w:vAlign w:val="center"/>
          </w:tcPr>
          <w:p w:rsidR="00A21C5C"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盈峰控股集团有限公司</w:t>
            </w:r>
          </w:p>
        </w:tc>
        <w:tc>
          <w:tcPr>
            <w:tcW w:w="1512" w:type="pct"/>
            <w:vAlign w:val="center"/>
          </w:tcPr>
          <w:p w:rsidR="00A21C5C"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22.6514％</w:t>
            </w:r>
          </w:p>
        </w:tc>
      </w:tr>
      <w:tr w:rsidR="00BF54B1" w:rsidRPr="008644BE" w:rsidTr="00524616">
        <w:trPr>
          <w:jc w:val="center"/>
        </w:trPr>
        <w:tc>
          <w:tcPr>
            <w:tcW w:w="3488" w:type="pct"/>
            <w:vAlign w:val="center"/>
          </w:tcPr>
          <w:p w:rsidR="00A21C5C"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广东省广晟资产经营有限公司</w:t>
            </w:r>
          </w:p>
        </w:tc>
        <w:tc>
          <w:tcPr>
            <w:tcW w:w="1512" w:type="pct"/>
            <w:vAlign w:val="center"/>
          </w:tcPr>
          <w:p w:rsidR="00A21C5C"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15.1010％</w:t>
            </w:r>
          </w:p>
        </w:tc>
      </w:tr>
      <w:tr w:rsidR="00BF54B1" w:rsidRPr="008644BE" w:rsidTr="00524616">
        <w:trPr>
          <w:jc w:val="center"/>
        </w:trPr>
        <w:tc>
          <w:tcPr>
            <w:tcW w:w="3488" w:type="pct"/>
            <w:vAlign w:val="center"/>
          </w:tcPr>
          <w:p w:rsidR="00A21C5C"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广州市广永国有资产经营有限公司</w:t>
            </w:r>
          </w:p>
        </w:tc>
        <w:tc>
          <w:tcPr>
            <w:tcW w:w="1512" w:type="pct"/>
            <w:vAlign w:val="center"/>
          </w:tcPr>
          <w:p w:rsidR="00A21C5C"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7.5505％</w:t>
            </w:r>
          </w:p>
        </w:tc>
      </w:tr>
      <w:tr w:rsidR="00BF54B1" w:rsidRPr="008644BE" w:rsidTr="00524616">
        <w:trPr>
          <w:jc w:val="center"/>
        </w:trPr>
        <w:tc>
          <w:tcPr>
            <w:tcW w:w="3488" w:type="pct"/>
            <w:vAlign w:val="center"/>
          </w:tcPr>
          <w:p w:rsidR="00A21C5C"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珠海祺荣宝股权投资合伙企业（有限合伙）</w:t>
            </w:r>
          </w:p>
        </w:tc>
        <w:tc>
          <w:tcPr>
            <w:tcW w:w="1512" w:type="pct"/>
            <w:vAlign w:val="center"/>
          </w:tcPr>
          <w:p w:rsidR="00A21C5C"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1.5087％</w:t>
            </w:r>
          </w:p>
        </w:tc>
      </w:tr>
      <w:tr w:rsidR="001B6207" w:rsidRPr="008644BE" w:rsidTr="00524616">
        <w:trPr>
          <w:jc w:val="center"/>
        </w:trPr>
        <w:tc>
          <w:tcPr>
            <w:tcW w:w="3488" w:type="pct"/>
            <w:vAlign w:val="center"/>
          </w:tcPr>
          <w:p w:rsidR="001B6207"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珠海祺泰宝股权投资合伙企业（有限合伙）</w:t>
            </w:r>
          </w:p>
        </w:tc>
        <w:tc>
          <w:tcPr>
            <w:tcW w:w="1512" w:type="pct"/>
            <w:vAlign w:val="center"/>
          </w:tcPr>
          <w:p w:rsidR="001B6207"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1.6205％</w:t>
            </w:r>
          </w:p>
        </w:tc>
      </w:tr>
      <w:tr w:rsidR="001B6207" w:rsidRPr="008644BE" w:rsidTr="00524616">
        <w:trPr>
          <w:jc w:val="center"/>
        </w:trPr>
        <w:tc>
          <w:tcPr>
            <w:tcW w:w="3488" w:type="pct"/>
            <w:vAlign w:val="center"/>
          </w:tcPr>
          <w:p w:rsidR="001B6207"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珠海祺丰宝股权投资合伙企业（有限合伙）</w:t>
            </w:r>
          </w:p>
        </w:tc>
        <w:tc>
          <w:tcPr>
            <w:tcW w:w="1512" w:type="pct"/>
            <w:vAlign w:val="center"/>
          </w:tcPr>
          <w:p w:rsidR="001B6207"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1.5309％</w:t>
            </w:r>
          </w:p>
        </w:tc>
      </w:tr>
      <w:tr w:rsidR="001B6207" w:rsidRPr="008644BE" w:rsidTr="00524616">
        <w:trPr>
          <w:jc w:val="center"/>
        </w:trPr>
        <w:tc>
          <w:tcPr>
            <w:tcW w:w="3488" w:type="pct"/>
            <w:vAlign w:val="center"/>
          </w:tcPr>
          <w:p w:rsidR="001B6207"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珠海聚莱康股权投资合伙企业（有限合伙）</w:t>
            </w:r>
          </w:p>
        </w:tc>
        <w:tc>
          <w:tcPr>
            <w:tcW w:w="1512" w:type="pct"/>
            <w:vAlign w:val="center"/>
          </w:tcPr>
          <w:p w:rsidR="001B6207"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1.7558％</w:t>
            </w:r>
          </w:p>
        </w:tc>
      </w:tr>
      <w:tr w:rsidR="001B6207" w:rsidRPr="008644BE" w:rsidTr="00524616">
        <w:trPr>
          <w:jc w:val="center"/>
        </w:trPr>
        <w:tc>
          <w:tcPr>
            <w:tcW w:w="3488" w:type="pct"/>
            <w:vAlign w:val="center"/>
          </w:tcPr>
          <w:p w:rsidR="001B6207"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珠海聚宁康股权投资合伙企业（有限合伙）</w:t>
            </w:r>
          </w:p>
        </w:tc>
        <w:tc>
          <w:tcPr>
            <w:tcW w:w="1512" w:type="pct"/>
            <w:vAlign w:val="center"/>
          </w:tcPr>
          <w:p w:rsidR="001B6207"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1.4396％</w:t>
            </w:r>
          </w:p>
        </w:tc>
      </w:tr>
      <w:tr w:rsidR="001B6207" w:rsidRPr="008644BE" w:rsidTr="00524616">
        <w:trPr>
          <w:jc w:val="center"/>
        </w:trPr>
        <w:tc>
          <w:tcPr>
            <w:tcW w:w="3488" w:type="pct"/>
            <w:vAlign w:val="center"/>
          </w:tcPr>
          <w:p w:rsidR="001B6207"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珠海聚弘康股权投资合伙企业（有限合伙）</w:t>
            </w:r>
          </w:p>
        </w:tc>
        <w:tc>
          <w:tcPr>
            <w:tcW w:w="1512" w:type="pct"/>
            <w:vAlign w:val="center"/>
          </w:tcPr>
          <w:p w:rsidR="001B6207"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1.5388％</w:t>
            </w:r>
          </w:p>
        </w:tc>
      </w:tr>
      <w:tr w:rsidR="001B6207" w:rsidRPr="008644BE" w:rsidTr="00524616">
        <w:trPr>
          <w:jc w:val="center"/>
        </w:trPr>
        <w:tc>
          <w:tcPr>
            <w:tcW w:w="3488" w:type="pct"/>
            <w:vAlign w:val="center"/>
          </w:tcPr>
          <w:p w:rsidR="001B6207" w:rsidRPr="008644BE" w:rsidRDefault="001B6207" w:rsidP="00936084">
            <w:pPr>
              <w:snapToGrid w:val="0"/>
              <w:spacing w:line="360" w:lineRule="auto"/>
              <w:ind w:firstLine="420"/>
              <w:rPr>
                <w:rFonts w:asciiTheme="minorEastAsia" w:eastAsiaTheme="minorEastAsia" w:hAnsiTheme="minorEastAsia"/>
              </w:rPr>
            </w:pPr>
            <w:r w:rsidRPr="008644BE">
              <w:rPr>
                <w:rFonts w:asciiTheme="minorEastAsia" w:eastAsiaTheme="minorEastAsia" w:hAnsiTheme="minorEastAsia" w:hint="eastAsia"/>
              </w:rPr>
              <w:t>总</w:t>
            </w:r>
            <w:r w:rsidRPr="008644BE">
              <w:rPr>
                <w:rFonts w:asciiTheme="minorEastAsia" w:eastAsiaTheme="minorEastAsia" w:hAnsiTheme="minorEastAsia"/>
              </w:rPr>
              <w:t xml:space="preserve">   计</w:t>
            </w:r>
          </w:p>
        </w:tc>
        <w:tc>
          <w:tcPr>
            <w:tcW w:w="1512" w:type="pct"/>
            <w:vAlign w:val="center"/>
          </w:tcPr>
          <w:p w:rsidR="001B6207" w:rsidRPr="008644BE" w:rsidRDefault="001B6207" w:rsidP="00936084">
            <w:pPr>
              <w:snapToGrid w:val="0"/>
              <w:spacing w:line="360" w:lineRule="auto"/>
              <w:ind w:firstLine="420"/>
              <w:jc w:val="center"/>
              <w:rPr>
                <w:rFonts w:asciiTheme="minorEastAsia" w:eastAsiaTheme="minorEastAsia" w:hAnsiTheme="minorEastAsia"/>
              </w:rPr>
            </w:pPr>
            <w:r w:rsidRPr="008644BE">
              <w:rPr>
                <w:rFonts w:asciiTheme="minorEastAsia" w:eastAsiaTheme="minorEastAsia" w:hAnsiTheme="minorEastAsia"/>
              </w:rPr>
              <w:t>100％</w:t>
            </w:r>
          </w:p>
        </w:tc>
      </w:tr>
    </w:tbl>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7" w:name="_Toc332373448"/>
      <w:r w:rsidRPr="008644BE">
        <w:rPr>
          <w:rStyle w:val="da"/>
          <w:rFonts w:asciiTheme="minorEastAsia" w:eastAsiaTheme="minorEastAsia" w:hAnsiTheme="minorEastAsia" w:hint="eastAsia"/>
        </w:rPr>
        <w:t>（</w:t>
      </w:r>
      <w:r w:rsidR="008D4032" w:rsidRPr="008644BE">
        <w:rPr>
          <w:rStyle w:val="da"/>
          <w:rFonts w:asciiTheme="minorEastAsia" w:eastAsiaTheme="minorEastAsia" w:hAnsiTheme="minorEastAsia" w:hint="eastAsia"/>
        </w:rPr>
        <w:t>二</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主要人员情况</w:t>
      </w:r>
      <w:bookmarkEnd w:id="7"/>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1、董事、监事及高级管理人员</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刘晓艳女士，经济学博士，副董事长、总裁。曾任广发证券有限责任公司投资理财部副</w:t>
      </w:r>
      <w:r w:rsidRPr="008644BE">
        <w:rPr>
          <w:rStyle w:val="da"/>
          <w:rFonts w:asciiTheme="minorEastAsia" w:eastAsiaTheme="minorEastAsia" w:hAnsiTheme="minorEastAsia" w:hint="eastAsia"/>
        </w:rPr>
        <w:lastRenderedPageBreak/>
        <w:t>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6" w:tgtFrame="_blank" w:history="1">
        <w:r w:rsidRPr="008644BE">
          <w:rPr>
            <w:rStyle w:val="da"/>
            <w:rFonts w:asciiTheme="minorEastAsia" w:eastAsiaTheme="minorEastAsia" w:hAnsiTheme="minorEastAsia" w:hint="eastAsia"/>
          </w:rPr>
          <w:t>上海汇招信息技术有限公司</w:t>
        </w:r>
      </w:hyperlink>
      <w:r w:rsidRPr="008644BE">
        <w:rPr>
          <w:rStyle w:val="da"/>
          <w:rFonts w:asciiTheme="minorEastAsia" w:eastAsiaTheme="minorEastAsia" w:hAnsiTheme="minorEastAsia" w:hint="eastAsia"/>
        </w:rPr>
        <w:t>董事。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w:t>
      </w:r>
      <w:r w:rsidRPr="008644BE">
        <w:rPr>
          <w:rStyle w:val="da"/>
          <w:rFonts w:asciiTheme="minorEastAsia" w:eastAsiaTheme="minorEastAsia" w:hAnsiTheme="minorEastAsia" w:hint="eastAsia"/>
        </w:rPr>
        <w:lastRenderedPageBreak/>
        <w:t>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马骏先生，工商管理硕士（</w:t>
      </w:r>
      <w:r w:rsidRPr="008644BE">
        <w:rPr>
          <w:rStyle w:val="da"/>
          <w:rFonts w:asciiTheme="minorEastAsia" w:eastAsiaTheme="minorEastAsia" w:hAnsiTheme="minorEastAsia"/>
        </w:rPr>
        <w:t>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收益投资决策委员会委员、产品审批委员会委员。</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高松凡先生，工商管理硕士（</w:t>
      </w:r>
      <w:r w:rsidRPr="008644BE">
        <w:rPr>
          <w:rStyle w:val="da"/>
          <w:rFonts w:asciiTheme="minorEastAsia" w:eastAsiaTheme="minorEastAsia" w:hAnsiTheme="minorEastAsia"/>
        </w:rPr>
        <w:t>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关秀霞女士，工商管理硕士、金融学硕士，副总经理级高级管理人员。曾任中国银行（香港）有限公司分析员，</w:t>
      </w:r>
      <w:r w:rsidRPr="008644BE">
        <w:rPr>
          <w:rStyle w:val="da"/>
          <w:rFonts w:asciiTheme="minorEastAsia" w:eastAsiaTheme="minorEastAsia" w:hAnsiTheme="minorEastAsia"/>
        </w:rPr>
        <w:t>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384ADA" w:rsidRPr="008644BE" w:rsidRDefault="00384ADA"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D83935" w:rsidRPr="008644BE" w:rsidRDefault="00D83935" w:rsidP="00D83935">
      <w:pPr>
        <w:tabs>
          <w:tab w:val="left" w:pos="2490"/>
        </w:tabs>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D83935" w:rsidRPr="008644BE" w:rsidRDefault="00D83935" w:rsidP="008644BE">
      <w:pPr>
        <w:tabs>
          <w:tab w:val="left" w:pos="2490"/>
        </w:tabs>
        <w:snapToGrid w:val="0"/>
        <w:spacing w:line="360" w:lineRule="auto"/>
        <w:ind w:firstLineChars="200" w:firstLine="420"/>
        <w:rPr>
          <w:rStyle w:val="da"/>
          <w:rFonts w:asciiTheme="minorEastAsia" w:eastAsiaTheme="minorEastAsia" w:hAnsiTheme="minorEastAsia"/>
        </w:rPr>
      </w:pPr>
      <w:r w:rsidRPr="008644BE">
        <w:rPr>
          <w:rFonts w:asciiTheme="minorEastAsia" w:eastAsiaTheme="minorEastAsia" w:hAnsiTheme="minorEastAsia" w:hint="eastAsia"/>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2、基金经理</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祁禾先生，理学硕士。曾任华泰联合证券有限责任公司研究所研究员，博时基金管理有限公司研究部研究员，易方达基金管理有限公司易方达科汇灵活配置混合型证券投资基金基金经理（自</w:t>
      </w:r>
      <w:r w:rsidRPr="008644BE">
        <w:rPr>
          <w:rStyle w:val="da"/>
          <w:rFonts w:asciiTheme="minorEastAsia" w:eastAsiaTheme="minorEastAsia" w:hAnsiTheme="minorEastAsia"/>
          <w:szCs w:val="21"/>
        </w:rPr>
        <w:t>2017年12月30日至2019年11</w:t>
      </w:r>
      <w:r w:rsidRPr="008644BE">
        <w:rPr>
          <w:rStyle w:val="da"/>
          <w:rFonts w:asciiTheme="minorEastAsia" w:eastAsiaTheme="minorEastAsia" w:hAnsiTheme="minorEastAsia" w:hint="eastAsia"/>
          <w:szCs w:val="21"/>
        </w:rPr>
        <w:t>月</w:t>
      </w:r>
      <w:r w:rsidRPr="008644BE">
        <w:rPr>
          <w:rStyle w:val="da"/>
          <w:rFonts w:asciiTheme="minorEastAsia" w:eastAsiaTheme="minorEastAsia" w:hAnsiTheme="minorEastAsia"/>
          <w:szCs w:val="21"/>
        </w:rPr>
        <w:t>27日）、易方达环保主题灵活配置混合型证券投资基金基金经理助理。现任易方达基金管理有限公司易方达环保主题灵活配置混合型证券投资基金基金经理（自2017年12月27日起任职）、易方达创新驱动灵活配置混合型证券投资基金基金经理（自2018年12月11日起任职）、易方达新丝路灵活配置混合型证券投资基金基金经理（自2018年12月11日起任职）、易方达高端制造混合型发起式证券投资基金</w:t>
      </w:r>
      <w:r w:rsidRPr="008644BE">
        <w:rPr>
          <w:rStyle w:val="da"/>
          <w:rFonts w:asciiTheme="minorEastAsia" w:eastAsiaTheme="minorEastAsia" w:hAnsiTheme="minorEastAsia"/>
          <w:szCs w:val="21"/>
        </w:rPr>
        <w:lastRenderedPageBreak/>
        <w:t>基金经理（自2020年3月16日起任职）、行业研究员。</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本基金历任基金经理情况：宋昆，管理时间为</w:t>
      </w:r>
      <w:r w:rsidRPr="008644BE">
        <w:rPr>
          <w:rStyle w:val="da"/>
          <w:rFonts w:asciiTheme="minorEastAsia" w:eastAsiaTheme="minorEastAsia" w:hAnsiTheme="minorEastAsia"/>
          <w:szCs w:val="21"/>
        </w:rPr>
        <w:t>2015年2月13日至2016年3</w:t>
      </w:r>
      <w:r w:rsidRPr="008644BE">
        <w:rPr>
          <w:rStyle w:val="da"/>
          <w:rFonts w:asciiTheme="minorEastAsia" w:eastAsiaTheme="minorEastAsia" w:hAnsiTheme="minorEastAsia" w:hint="eastAsia"/>
          <w:szCs w:val="21"/>
        </w:rPr>
        <w:t>月</w:t>
      </w:r>
      <w:r w:rsidRPr="008644BE">
        <w:rPr>
          <w:rStyle w:val="da"/>
          <w:rFonts w:asciiTheme="minorEastAsia" w:eastAsiaTheme="minorEastAsia" w:hAnsiTheme="minorEastAsia"/>
          <w:szCs w:val="21"/>
        </w:rPr>
        <w:t>17日；樊正伟，管理时间为2015年3月14日至2018年3月29日</w:t>
      </w:r>
      <w:r w:rsidR="0046556D" w:rsidRPr="008644BE">
        <w:rPr>
          <w:rStyle w:val="da"/>
          <w:rFonts w:asciiTheme="minorEastAsia" w:eastAsiaTheme="minorEastAsia" w:hAnsiTheme="minorEastAsia"/>
          <w:szCs w:val="21"/>
        </w:rPr>
        <w:t>；</w:t>
      </w:r>
      <w:r w:rsidR="0046556D" w:rsidRPr="008644BE">
        <w:rPr>
          <w:rStyle w:val="da"/>
          <w:rFonts w:asciiTheme="minorEastAsia" w:eastAsiaTheme="minorEastAsia" w:hAnsiTheme="minorEastAsia" w:hint="eastAsia"/>
          <w:szCs w:val="21"/>
        </w:rPr>
        <w:t>葛秋石，</w:t>
      </w:r>
      <w:r w:rsidR="0046556D" w:rsidRPr="008644BE">
        <w:rPr>
          <w:rStyle w:val="da"/>
          <w:rFonts w:asciiTheme="minorEastAsia" w:eastAsiaTheme="minorEastAsia" w:hAnsiTheme="minorEastAsia"/>
          <w:szCs w:val="21"/>
        </w:rPr>
        <w:t>管理时间为2018年3月30日至2020年8月21日</w:t>
      </w:r>
      <w:r w:rsidRPr="008644BE">
        <w:rPr>
          <w:rStyle w:val="da"/>
          <w:rFonts w:asciiTheme="minorEastAsia" w:eastAsiaTheme="minorEastAsia" w:hAnsiTheme="minorEastAsia"/>
          <w:szCs w:val="21"/>
        </w:rPr>
        <w:t>。</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3、权益投资决策委员会成员</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本公司权益投资决策委员会成员包括：吴欣荣先生、冯波先生、陈皓先生、张坤先生、孙松先生、付浩先生。</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吴欣荣先生，同上。</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冯波先生，易方达基金管理有限公司研究部总经理、基金经理。</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陈皓先生，易方达基金管理有限公司投资一部总经理、基金经理。</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张坤先生，同上。</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孙松先生，易方达基金管理有限公司投资二部总经理、基金经理。</w:t>
      </w:r>
    </w:p>
    <w:p w:rsidR="00C71450" w:rsidRPr="008644BE" w:rsidRDefault="00C71450"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付浩先生，易方达基金管理有限公司权益投资管理部总经理、基金经理。</w:t>
      </w:r>
    </w:p>
    <w:p w:rsidR="00BA4B87" w:rsidRPr="008644BE" w:rsidRDefault="00BA4B87" w:rsidP="00DB72CC">
      <w:pPr>
        <w:tabs>
          <w:tab w:val="left" w:pos="2490"/>
        </w:tabs>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4、上述人员之间均不存在近亲属关系。</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8" w:name="_Toc332373451"/>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三</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基金管理人的职责</w:t>
      </w:r>
      <w:bookmarkEnd w:id="8"/>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1、依法募集</w:t>
      </w:r>
      <w:r w:rsidR="001977D2" w:rsidRPr="008644BE">
        <w:rPr>
          <w:rStyle w:val="da"/>
          <w:rFonts w:asciiTheme="minorEastAsia" w:eastAsiaTheme="minorEastAsia" w:hAnsiTheme="minorEastAsia" w:hint="eastAsia"/>
        </w:rPr>
        <w:t>资</w:t>
      </w:r>
      <w:r w:rsidRPr="008644BE">
        <w:rPr>
          <w:rStyle w:val="da"/>
          <w:rFonts w:asciiTheme="minorEastAsia" w:eastAsiaTheme="minorEastAsia" w:hAnsiTheme="minorEastAsia" w:hint="eastAsia"/>
        </w:rPr>
        <w:t>金，办理</w:t>
      </w:r>
      <w:r w:rsidR="00651DC3" w:rsidRPr="008644BE">
        <w:rPr>
          <w:rStyle w:val="da"/>
          <w:rFonts w:asciiTheme="minorEastAsia" w:eastAsiaTheme="minorEastAsia" w:hAnsiTheme="minorEastAsia" w:hint="eastAsia"/>
        </w:rPr>
        <w:t>基金份额的发售和登记事宜</w:t>
      </w:r>
      <w:r w:rsidRPr="008644BE">
        <w:rPr>
          <w:rStyle w:val="da"/>
          <w:rFonts w:asciiTheme="minorEastAsia" w:eastAsiaTheme="minorEastAsia" w:hAnsiTheme="minorEastAsia" w:hint="eastAsia"/>
        </w:rPr>
        <w:t>；</w:t>
      </w:r>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bookmarkStart w:id="9" w:name="_Toc332373452"/>
      <w:r w:rsidRPr="008644BE">
        <w:rPr>
          <w:rStyle w:val="da"/>
          <w:rFonts w:asciiTheme="minorEastAsia" w:eastAsiaTheme="minorEastAsia" w:hAnsiTheme="minorEastAsia" w:hint="eastAsia"/>
        </w:rPr>
        <w:t>2、办理基金备案手续；</w:t>
      </w:r>
      <w:bookmarkEnd w:id="9"/>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3、对所管理的不同基金财产分别管理、分别记账，进行证券投资；</w:t>
      </w:r>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4、按照基金合同的约定确定基金收益分配方案，及时向基金份额持有人分配收益；</w:t>
      </w:r>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5、进行基金会计核算并编制基金财务会计报告；</w:t>
      </w:r>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6、编制</w:t>
      </w:r>
      <w:r w:rsidR="00ED4153" w:rsidRPr="008644BE">
        <w:rPr>
          <w:rStyle w:val="da"/>
          <w:rFonts w:asciiTheme="minorEastAsia" w:eastAsiaTheme="minorEastAsia" w:hAnsiTheme="minorEastAsia" w:hint="eastAsia"/>
        </w:rPr>
        <w:t>季度报告、中期报告和年度报告</w:t>
      </w:r>
      <w:r w:rsidRPr="008644BE">
        <w:rPr>
          <w:rStyle w:val="da"/>
          <w:rFonts w:asciiTheme="minorEastAsia" w:eastAsiaTheme="minorEastAsia" w:hAnsiTheme="minorEastAsia" w:hint="eastAsia"/>
        </w:rPr>
        <w:t>；</w:t>
      </w:r>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7、计算并公告基金</w:t>
      </w:r>
      <w:r w:rsidR="00ED4153" w:rsidRPr="008644BE">
        <w:rPr>
          <w:rStyle w:val="da"/>
          <w:rFonts w:asciiTheme="minorEastAsia" w:eastAsiaTheme="minorEastAsia" w:hAnsiTheme="minorEastAsia" w:hint="eastAsia"/>
        </w:rPr>
        <w:t>净值信息</w:t>
      </w:r>
      <w:r w:rsidRPr="008644BE">
        <w:rPr>
          <w:rStyle w:val="da"/>
          <w:rFonts w:asciiTheme="minorEastAsia" w:eastAsiaTheme="minorEastAsia" w:hAnsiTheme="minorEastAsia" w:hint="eastAsia"/>
        </w:rPr>
        <w:t>，确定基金份额申购、赎回价格；</w:t>
      </w:r>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bookmarkStart w:id="10" w:name="_Toc332373453"/>
      <w:r w:rsidRPr="008644BE">
        <w:rPr>
          <w:rStyle w:val="da"/>
          <w:rFonts w:asciiTheme="minorEastAsia" w:eastAsiaTheme="minorEastAsia" w:hAnsiTheme="minorEastAsia" w:hint="eastAsia"/>
        </w:rPr>
        <w:t>8、办理与基金财产管理业务活动有关的信息披露事项；</w:t>
      </w:r>
      <w:bookmarkEnd w:id="10"/>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w:t>
      </w:r>
      <w:r w:rsidR="005E6872" w:rsidRPr="008644BE">
        <w:rPr>
          <w:rStyle w:val="da"/>
          <w:rFonts w:asciiTheme="minorEastAsia" w:eastAsiaTheme="minorEastAsia" w:hAnsiTheme="minorEastAsia" w:hint="eastAsia"/>
        </w:rPr>
        <w:t>按照规定</w:t>
      </w:r>
      <w:r w:rsidRPr="008644BE">
        <w:rPr>
          <w:rStyle w:val="da"/>
          <w:rFonts w:asciiTheme="minorEastAsia" w:eastAsiaTheme="minorEastAsia" w:hAnsiTheme="minorEastAsia" w:hint="eastAsia"/>
        </w:rPr>
        <w:t>召集基金份额持有人大会；</w:t>
      </w:r>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bookmarkStart w:id="11" w:name="_Toc332373454"/>
      <w:r w:rsidRPr="008644BE">
        <w:rPr>
          <w:rStyle w:val="da"/>
          <w:rFonts w:asciiTheme="minorEastAsia" w:eastAsiaTheme="minorEastAsia" w:hAnsiTheme="minorEastAsia" w:hint="eastAsia"/>
        </w:rPr>
        <w:t>10、保存基金财产管理业务活动的记录、账册、报表和其他相关资料；</w:t>
      </w:r>
      <w:bookmarkEnd w:id="11"/>
    </w:p>
    <w:p w:rsidR="00426A18" w:rsidRPr="008644BE" w:rsidRDefault="00426A1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11、以基金管理人名义，代表基金份额持有人利益行使诉讼权利或者实施其他法律行为；</w:t>
      </w:r>
    </w:p>
    <w:p w:rsidR="00BA4B87" w:rsidRPr="008644BE" w:rsidRDefault="00426A1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12、中国证监会规定的其他职责。</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12" w:name="_Toc332373455"/>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四</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基金管理人的承诺</w:t>
      </w:r>
      <w:bookmarkEnd w:id="12"/>
    </w:p>
    <w:p w:rsidR="00BA4B87" w:rsidRPr="008644BE" w:rsidRDefault="00A70BE1"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w:t>
      </w:r>
      <w:r w:rsidR="00BA4B87" w:rsidRPr="008644BE">
        <w:rPr>
          <w:rStyle w:val="da"/>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8644BE" w:rsidRDefault="00A70BE1"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w:t>
      </w:r>
      <w:r w:rsidR="00BA4B87" w:rsidRPr="008644BE">
        <w:rPr>
          <w:rStyle w:val="da"/>
          <w:rFonts w:asciiTheme="minorEastAsia" w:eastAsiaTheme="minorEastAsia" w:hAnsiTheme="minorEastAsia" w:hint="eastAsia"/>
        </w:rPr>
        <w:t>本基金管理人承诺严格遵守《证券法》、《基金法》及有关法律法规，建立健全内部控制制度，采取有效措施，防止下列行为发生：</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13" w:name="_Toc332373456"/>
      <w:r w:rsidRPr="008644BE">
        <w:rPr>
          <w:rStyle w:val="da"/>
          <w:rFonts w:asciiTheme="minorEastAsia" w:eastAsiaTheme="minorEastAsia" w:hAnsiTheme="minorEastAsia" w:hint="eastAsia"/>
        </w:rPr>
        <w:t>（</w:t>
      </w:r>
      <w:r w:rsidR="002F62DA" w:rsidRPr="008644BE">
        <w:rPr>
          <w:rStyle w:val="da"/>
          <w:rFonts w:asciiTheme="minorEastAsia" w:eastAsiaTheme="minorEastAsia" w:hAnsiTheme="minorEastAsia" w:hint="eastAsia"/>
        </w:rPr>
        <w:t>1</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将其固有财产或者他人财产混同于基金财产从事证券投资；</w:t>
      </w:r>
      <w:bookmarkEnd w:id="13"/>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w:t>
      </w:r>
      <w:r w:rsidR="00D55E50" w:rsidRPr="008644BE">
        <w:rPr>
          <w:rStyle w:val="da"/>
          <w:rFonts w:asciiTheme="minorEastAsia" w:eastAsiaTheme="minorEastAsia" w:hAnsiTheme="minorEastAsia" w:hint="eastAsia"/>
        </w:rPr>
        <w:t>2</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不公平地对待其管理的不同基金财产；</w:t>
      </w:r>
    </w:p>
    <w:p w:rsidR="0096079E" w:rsidRPr="008644BE" w:rsidRDefault="0096079E" w:rsidP="00936084">
      <w:pPr>
        <w:snapToGrid w:val="0"/>
        <w:spacing w:line="360" w:lineRule="auto"/>
        <w:ind w:firstLineChars="200" w:firstLine="420"/>
        <w:rPr>
          <w:rStyle w:val="da"/>
          <w:rFonts w:asciiTheme="minorEastAsia" w:eastAsiaTheme="minorEastAsia" w:hAnsiTheme="minorEastAsia"/>
        </w:rPr>
      </w:pPr>
      <w:bookmarkStart w:id="14" w:name="_Toc332373457"/>
      <w:r w:rsidRPr="008644BE">
        <w:rPr>
          <w:rStyle w:val="da"/>
          <w:rFonts w:asciiTheme="minorEastAsia" w:eastAsiaTheme="minorEastAsia" w:hAnsiTheme="minorEastAsia" w:hint="eastAsia"/>
        </w:rPr>
        <w:t>（3）利用基金财产或者职务之便为基金份额持有人以外的第三人谋取利益；</w:t>
      </w:r>
    </w:p>
    <w:p w:rsidR="0096079E" w:rsidRPr="008644BE" w:rsidRDefault="0096079E"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（4）向基金份额持有人违规承诺收益或者承担损失；</w:t>
      </w:r>
    </w:p>
    <w:p w:rsidR="0096079E" w:rsidRPr="008644BE" w:rsidRDefault="0096079E"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（5）侵占、挪用基金财产；</w:t>
      </w:r>
    </w:p>
    <w:p w:rsidR="0096079E" w:rsidRPr="008644BE" w:rsidRDefault="0096079E"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（6）泄漏因职务便利获取的未公开信息、利用该信息从事或者明示、暗示他人从事相关的交易活动；</w:t>
      </w:r>
    </w:p>
    <w:p w:rsidR="0096079E" w:rsidRPr="008644BE" w:rsidRDefault="0096079E"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（7）玩忽职守，不按照规定履行职责；</w:t>
      </w:r>
    </w:p>
    <w:p w:rsidR="0096079E" w:rsidRPr="008644BE" w:rsidRDefault="0096079E"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（8）法律、行政法规和中国证监会禁止的其他行为。</w:t>
      </w:r>
    </w:p>
    <w:bookmarkEnd w:id="14"/>
    <w:p w:rsidR="00BA4B87" w:rsidRPr="008644BE" w:rsidRDefault="00A70BE1"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w:t>
      </w:r>
      <w:r w:rsidR="00BA4B87" w:rsidRPr="008644BE">
        <w:rPr>
          <w:rStyle w:val="da"/>
          <w:rFonts w:asciiTheme="minorEastAsia" w:eastAsiaTheme="minorEastAsia" w:hAnsiTheme="minorEastAsia" w:hint="eastAsia"/>
        </w:rPr>
        <w:t>本基金管理人承诺加强人员管理，强化职业操守，督促和约束员工遵守国家有关法律、法规及行业规范，诚实信用、勤勉尽责，不从事以下活动：</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1</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越权或违规经营；</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2</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违反基金合同或托管协议；</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3</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故意损害基金份额持有人或其他基金相关机构的合法利益；</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15" w:name="_Toc332373458"/>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4</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在向中国证监会报送的资料中弄虚作假；</w:t>
      </w:r>
      <w:bookmarkEnd w:id="15"/>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5</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拒绝、干扰、阻挠或严重影响中国证监会依法监管；</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16" w:name="_Toc332373459"/>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6</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玩忽职守、滥用职权；</w:t>
      </w:r>
      <w:bookmarkEnd w:id="16"/>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7</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违反现行有效的有关法律、法规、规章、基金合同和中国证监会的有关规定，泄漏在任职期间知悉的有关证券、基金的商业秘密，尚未依法公开的基金投资内容、基金投资计划等信息；</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8</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违反证券交易场所业务规则，利用对敲、倒仓等手段操纵市场价格，扰乱市场秩序；</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9</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贬损同行，以抬高自己；</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10</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以不正当手段谋求业务发展；</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11</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有悖社会公德，损害证券投资基金人员形象；</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12</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在公开信息披露和广告中故意含有虚假、误导、欺诈成分；</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A2578B" w:rsidRPr="008644BE">
        <w:rPr>
          <w:rStyle w:val="da"/>
          <w:rFonts w:asciiTheme="minorEastAsia" w:eastAsiaTheme="minorEastAsia" w:hAnsiTheme="minorEastAsia" w:hint="eastAsia"/>
        </w:rPr>
        <w:t>13</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其他法律、行政法规以及中国证监会禁止的行为。</w:t>
      </w:r>
    </w:p>
    <w:p w:rsidR="00BA4B87" w:rsidRPr="008644BE" w:rsidRDefault="00A70BE1" w:rsidP="00936084">
      <w:pPr>
        <w:snapToGrid w:val="0"/>
        <w:spacing w:line="360" w:lineRule="auto"/>
        <w:ind w:firstLineChars="200" w:firstLine="420"/>
        <w:rPr>
          <w:rStyle w:val="da"/>
          <w:rFonts w:asciiTheme="minorEastAsia" w:eastAsiaTheme="minorEastAsia" w:hAnsiTheme="minorEastAsia"/>
        </w:rPr>
      </w:pPr>
      <w:bookmarkStart w:id="17" w:name="_Toc332373460"/>
      <w:r w:rsidRPr="008644BE">
        <w:rPr>
          <w:rStyle w:val="da"/>
          <w:rFonts w:asciiTheme="minorEastAsia" w:eastAsiaTheme="minorEastAsia" w:hAnsiTheme="minorEastAsia" w:hint="eastAsia"/>
        </w:rPr>
        <w:t>4、</w:t>
      </w:r>
      <w:r w:rsidR="00BA4B87" w:rsidRPr="008644BE">
        <w:rPr>
          <w:rStyle w:val="da"/>
          <w:rFonts w:asciiTheme="minorEastAsia" w:eastAsiaTheme="minorEastAsia" w:hAnsiTheme="minorEastAsia" w:hint="eastAsia"/>
        </w:rPr>
        <w:t>基金经理承诺</w:t>
      </w:r>
      <w:bookmarkEnd w:id="17"/>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1</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依照有关法律、法规和基金合同的规定，本着谨慎的原则为基金份额持有人谋取最大利益；</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18" w:name="_Toc332373461"/>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2</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不利用职务之便为自己及其代理人、受雇人或任何第三人谋取利益；</w:t>
      </w:r>
      <w:bookmarkEnd w:id="18"/>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3</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不违反现行有效的有关法律、法规、规章、基金合同和中国证监会的有关规定，泄漏在任职期间知悉的有关证券、基金的商业秘密、尚未依法公开的基金投资内容、基金投资计划等信息；</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4</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不从事损害基金财产和基金份额持有人利益的证券交易及其他活动。</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19" w:name="_Toc332373462"/>
      <w:r w:rsidRPr="008644BE">
        <w:rPr>
          <w:rStyle w:val="da"/>
          <w:rFonts w:asciiTheme="minorEastAsia" w:eastAsiaTheme="minorEastAsia" w:hAnsiTheme="minorEastAsia" w:hint="eastAsia"/>
        </w:rPr>
        <w:lastRenderedPageBreak/>
        <w:t>（</w:t>
      </w:r>
      <w:r w:rsidR="00BA4B87" w:rsidRPr="008644BE">
        <w:rPr>
          <w:rStyle w:val="da"/>
          <w:rFonts w:asciiTheme="minorEastAsia" w:eastAsiaTheme="minorEastAsia" w:hAnsiTheme="minorEastAsia" w:hint="eastAsia"/>
        </w:rPr>
        <w:t>五</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基金管理人的内部控制制度</w:t>
      </w:r>
      <w:bookmarkEnd w:id="19"/>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rsidR="00BA4B87" w:rsidRPr="008644BE" w:rsidRDefault="00266EA9"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w:t>
      </w:r>
      <w:r w:rsidR="00BA4B87" w:rsidRPr="008644BE">
        <w:rPr>
          <w:rStyle w:val="da"/>
          <w:rFonts w:asciiTheme="minorEastAsia" w:eastAsiaTheme="minorEastAsia" w:hAnsiTheme="minorEastAsia" w:hint="eastAsia"/>
        </w:rPr>
        <w:t>公司内部控制的总体目标</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7A4AA0" w:rsidRPr="008644BE">
        <w:rPr>
          <w:rStyle w:val="da"/>
          <w:rFonts w:asciiTheme="minorEastAsia" w:eastAsiaTheme="minorEastAsia" w:hAnsiTheme="minorEastAsia" w:hint="eastAsia"/>
        </w:rPr>
        <w:t>1</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保证公司经营管理活动的合法合规性；</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7A4AA0" w:rsidRPr="008644BE">
        <w:rPr>
          <w:rStyle w:val="da"/>
          <w:rFonts w:asciiTheme="minorEastAsia" w:eastAsiaTheme="minorEastAsia" w:hAnsiTheme="minorEastAsia" w:hint="eastAsia"/>
        </w:rPr>
        <w:t>2</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保证基金份额持有人的合法权益不受侵犯；</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7A4AA0" w:rsidRPr="008644BE">
        <w:rPr>
          <w:rStyle w:val="da"/>
          <w:rFonts w:asciiTheme="minorEastAsia" w:eastAsiaTheme="minorEastAsia" w:hAnsiTheme="minorEastAsia" w:hint="eastAsia"/>
        </w:rPr>
        <w:t>3</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实现公司稳健、持续发展，维护股东权益；</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7A4AA0" w:rsidRPr="008644BE">
        <w:rPr>
          <w:rStyle w:val="da"/>
          <w:rFonts w:asciiTheme="minorEastAsia" w:eastAsiaTheme="minorEastAsia" w:hAnsiTheme="minorEastAsia" w:hint="eastAsia"/>
        </w:rPr>
        <w:t>4</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促进公司全体员工恪守职业操守，正直诚信，廉洁自律，勤勉尽责；</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7A4AA0" w:rsidRPr="008644BE">
        <w:rPr>
          <w:rStyle w:val="da"/>
          <w:rFonts w:asciiTheme="minorEastAsia" w:eastAsiaTheme="minorEastAsia" w:hAnsiTheme="minorEastAsia" w:hint="eastAsia"/>
        </w:rPr>
        <w:t>5</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保护公司最重要的资本：公司声誉。</w:t>
      </w:r>
    </w:p>
    <w:p w:rsidR="00BA4B87" w:rsidRPr="008644BE" w:rsidRDefault="00266EA9"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w:t>
      </w:r>
      <w:r w:rsidR="00BA4B87" w:rsidRPr="008644BE">
        <w:rPr>
          <w:rStyle w:val="da"/>
          <w:rFonts w:asciiTheme="minorEastAsia" w:eastAsiaTheme="minorEastAsia" w:hAnsiTheme="minorEastAsia" w:hint="eastAsia"/>
        </w:rPr>
        <w:t>公司内部控制遵循的原则</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D06106" w:rsidRPr="008644BE">
        <w:rPr>
          <w:rStyle w:val="da"/>
          <w:rFonts w:asciiTheme="minorEastAsia" w:eastAsiaTheme="minorEastAsia" w:hAnsiTheme="minorEastAsia" w:hint="eastAsia"/>
        </w:rPr>
        <w:t>1</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全面性原则：内部控制必须覆盖公司的所有部门和岗位，渗透各项业务过程和业务环节，并普遍适用于公司每一位职员；</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D06106" w:rsidRPr="008644BE">
        <w:rPr>
          <w:rStyle w:val="da"/>
          <w:rFonts w:asciiTheme="minorEastAsia" w:eastAsiaTheme="minorEastAsia" w:hAnsiTheme="minorEastAsia" w:hint="eastAsia"/>
        </w:rPr>
        <w:t>2</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审慎性原则：内部控制的核心是有效防范各种风险，公司组织体系的构成、内部管理制度的建立都要以防范风险、审慎经营为出发点；</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D06106" w:rsidRPr="008644BE">
        <w:rPr>
          <w:rStyle w:val="da"/>
          <w:rFonts w:asciiTheme="minorEastAsia" w:eastAsiaTheme="minorEastAsia" w:hAnsiTheme="minorEastAsia" w:hint="eastAsia"/>
        </w:rPr>
        <w:t>3</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相互制约原则：公司设置的各部门、各岗位权责分明、相互制衡。</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D06106" w:rsidRPr="008644BE">
        <w:rPr>
          <w:rStyle w:val="da"/>
          <w:rFonts w:asciiTheme="minorEastAsia" w:eastAsiaTheme="minorEastAsia" w:hAnsiTheme="minorEastAsia" w:hint="eastAsia"/>
        </w:rPr>
        <w:t>4</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独立性原则：公司根据业务的需要设立相对独立的机构、部门和岗位；公司内部部门和岗位的设置必须权责分明；</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D06106" w:rsidRPr="008644BE">
        <w:rPr>
          <w:rStyle w:val="da"/>
          <w:rFonts w:asciiTheme="minorEastAsia" w:eastAsiaTheme="minorEastAsia" w:hAnsiTheme="minorEastAsia" w:hint="eastAsia"/>
        </w:rPr>
        <w:t>5</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有效性原则：各种内部管理制度具有高度的权威性，应是所有员工严格遵守的行动指南；执行内部管理制度不能有任何例外，任何人不得拥有超越制度或违反规章的权力；</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D06106" w:rsidRPr="008644BE">
        <w:rPr>
          <w:rStyle w:val="da"/>
          <w:rFonts w:asciiTheme="minorEastAsia" w:eastAsiaTheme="minorEastAsia" w:hAnsiTheme="minorEastAsia" w:hint="eastAsia"/>
        </w:rPr>
        <w:t>6</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适时性原则：内部控制应具有前瞻性，并且必须随着公司经营战略、经营方针、经营理念等内部环境的变化和国家法律、法规、政策制度等外部环境的改变及时进行相应的修改和完善；</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D06106" w:rsidRPr="008644BE">
        <w:rPr>
          <w:rStyle w:val="da"/>
          <w:rFonts w:asciiTheme="minorEastAsia" w:eastAsiaTheme="minorEastAsia" w:hAnsiTheme="minorEastAsia" w:hint="eastAsia"/>
        </w:rPr>
        <w:t>7</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成本效益原则：公司运用科学化的经营管理方法降低运作成本，提高经济效益，力争以合理的控制成本达到最佳的内部控制效果。</w:t>
      </w:r>
    </w:p>
    <w:p w:rsidR="00BA4B87" w:rsidRPr="008644BE" w:rsidRDefault="00266EA9" w:rsidP="00936084">
      <w:pPr>
        <w:snapToGrid w:val="0"/>
        <w:spacing w:line="360" w:lineRule="auto"/>
        <w:ind w:firstLineChars="200" w:firstLine="420"/>
        <w:rPr>
          <w:rStyle w:val="da"/>
          <w:rFonts w:asciiTheme="minorEastAsia" w:eastAsiaTheme="minorEastAsia" w:hAnsiTheme="minorEastAsia"/>
        </w:rPr>
      </w:pPr>
      <w:bookmarkStart w:id="20" w:name="_Toc332373463"/>
      <w:r w:rsidRPr="008644BE">
        <w:rPr>
          <w:rStyle w:val="da"/>
          <w:rFonts w:asciiTheme="minorEastAsia" w:eastAsiaTheme="minorEastAsia" w:hAnsiTheme="minorEastAsia" w:hint="eastAsia"/>
        </w:rPr>
        <w:t>3、</w:t>
      </w:r>
      <w:r w:rsidR="00BA4B87" w:rsidRPr="008644BE">
        <w:rPr>
          <w:rStyle w:val="da"/>
          <w:rFonts w:asciiTheme="minorEastAsia" w:eastAsiaTheme="minorEastAsia" w:hAnsiTheme="minorEastAsia" w:hint="eastAsia"/>
        </w:rPr>
        <w:t>内部控制的制度体系</w:t>
      </w:r>
      <w:bookmarkEnd w:id="20"/>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A4B87" w:rsidRPr="008644BE" w:rsidRDefault="00266EA9"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w:t>
      </w:r>
      <w:r w:rsidR="00BA4B87" w:rsidRPr="008644BE">
        <w:rPr>
          <w:rStyle w:val="da"/>
          <w:rFonts w:asciiTheme="minorEastAsia" w:eastAsiaTheme="minorEastAsia" w:hAnsiTheme="minorEastAsia" w:hint="eastAsia"/>
        </w:rPr>
        <w:t>关于授权、研究、投资、交易等方面的控制点</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w:t>
      </w:r>
      <w:r w:rsidR="00052C9F" w:rsidRPr="008644BE">
        <w:rPr>
          <w:rStyle w:val="da"/>
          <w:rFonts w:asciiTheme="minorEastAsia" w:eastAsiaTheme="minorEastAsia" w:hAnsiTheme="minorEastAsia" w:hint="eastAsia"/>
        </w:rPr>
        <w:t>1</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授权制度</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21" w:name="_Toc332373464"/>
      <w:r w:rsidRPr="008644BE">
        <w:rPr>
          <w:rStyle w:val="da"/>
          <w:rFonts w:asciiTheme="minorEastAsia" w:eastAsiaTheme="minorEastAsia" w:hAnsiTheme="minorEastAsia" w:hint="eastAsia"/>
        </w:rPr>
        <w:t>（</w:t>
      </w:r>
      <w:r w:rsidR="00052C9F" w:rsidRPr="008644BE">
        <w:rPr>
          <w:rStyle w:val="da"/>
          <w:rFonts w:asciiTheme="minorEastAsia" w:eastAsiaTheme="minorEastAsia" w:hAnsiTheme="minorEastAsia" w:hint="eastAsia"/>
        </w:rPr>
        <w:t>2</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公司研究业务</w:t>
      </w:r>
      <w:bookmarkEnd w:id="21"/>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22" w:name="_Toc332373465"/>
      <w:r w:rsidRPr="008644BE">
        <w:rPr>
          <w:rStyle w:val="da"/>
          <w:rFonts w:asciiTheme="minorEastAsia" w:eastAsiaTheme="minorEastAsia" w:hAnsiTheme="minorEastAsia" w:hint="eastAsia"/>
        </w:rPr>
        <w:t>（</w:t>
      </w:r>
      <w:r w:rsidR="00052C9F" w:rsidRPr="008644BE">
        <w:rPr>
          <w:rStyle w:val="da"/>
          <w:rFonts w:asciiTheme="minorEastAsia" w:eastAsiaTheme="minorEastAsia" w:hAnsiTheme="minorEastAsia" w:hint="eastAsia"/>
        </w:rPr>
        <w:t>3</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基金投资业务</w:t>
      </w:r>
      <w:bookmarkEnd w:id="22"/>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23" w:name="_Toc332373466"/>
      <w:r w:rsidRPr="008644BE">
        <w:rPr>
          <w:rStyle w:val="da"/>
          <w:rFonts w:asciiTheme="minorEastAsia" w:eastAsiaTheme="minorEastAsia" w:hAnsiTheme="minorEastAsia" w:hint="eastAsia"/>
        </w:rPr>
        <w:t>（</w:t>
      </w:r>
      <w:r w:rsidR="00052C9F" w:rsidRPr="008644BE">
        <w:rPr>
          <w:rStyle w:val="da"/>
          <w:rFonts w:asciiTheme="minorEastAsia" w:eastAsiaTheme="minorEastAsia" w:hAnsiTheme="minorEastAsia" w:hint="eastAsia"/>
        </w:rPr>
        <w:t>4</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交易业务</w:t>
      </w:r>
      <w:bookmarkEnd w:id="23"/>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24" w:name="_Toc332373467"/>
      <w:r w:rsidRPr="008644BE">
        <w:rPr>
          <w:rStyle w:val="da"/>
          <w:rFonts w:asciiTheme="minorEastAsia" w:eastAsiaTheme="minorEastAsia" w:hAnsiTheme="minorEastAsia" w:hint="eastAsia"/>
        </w:rPr>
        <w:t>（</w:t>
      </w:r>
      <w:r w:rsidR="00052C9F" w:rsidRPr="008644BE">
        <w:rPr>
          <w:rStyle w:val="da"/>
          <w:rFonts w:asciiTheme="minorEastAsia" w:eastAsiaTheme="minorEastAsia" w:hAnsiTheme="minorEastAsia" w:hint="eastAsia"/>
        </w:rPr>
        <w:t>5</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基金会计核算</w:t>
      </w:r>
      <w:bookmarkEnd w:id="24"/>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25" w:name="_Toc332373468"/>
      <w:r w:rsidRPr="008644BE">
        <w:rPr>
          <w:rStyle w:val="da"/>
          <w:rFonts w:asciiTheme="minorEastAsia" w:eastAsiaTheme="minorEastAsia" w:hAnsiTheme="minorEastAsia" w:hint="eastAsia"/>
        </w:rPr>
        <w:t>（</w:t>
      </w:r>
      <w:r w:rsidR="00052C9F" w:rsidRPr="008644BE">
        <w:rPr>
          <w:rStyle w:val="da"/>
          <w:rFonts w:asciiTheme="minorEastAsia" w:eastAsiaTheme="minorEastAsia" w:hAnsiTheme="minorEastAsia" w:hint="eastAsia"/>
        </w:rPr>
        <w:t>6</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信息披露</w:t>
      </w:r>
      <w:bookmarkEnd w:id="25"/>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26" w:name="_Toc332373469"/>
      <w:r w:rsidRPr="008644BE">
        <w:rPr>
          <w:rStyle w:val="da"/>
          <w:rFonts w:asciiTheme="minorEastAsia" w:eastAsiaTheme="minorEastAsia" w:hAnsiTheme="minorEastAsia" w:hint="eastAsia"/>
        </w:rPr>
        <w:t>（</w:t>
      </w:r>
      <w:r w:rsidR="00052C9F" w:rsidRPr="008644BE">
        <w:rPr>
          <w:rStyle w:val="da"/>
          <w:rFonts w:asciiTheme="minorEastAsia" w:eastAsiaTheme="minorEastAsia" w:hAnsiTheme="minorEastAsia" w:hint="eastAsia"/>
        </w:rPr>
        <w:t>7</w:t>
      </w:r>
      <w:r w:rsidRPr="008644BE">
        <w:rPr>
          <w:rStyle w:val="da"/>
          <w:rFonts w:asciiTheme="minorEastAsia" w:eastAsiaTheme="minorEastAsia" w:hAnsiTheme="minorEastAsia" w:hint="eastAsia"/>
        </w:rPr>
        <w:t>）</w:t>
      </w:r>
      <w:bookmarkEnd w:id="26"/>
      <w:r w:rsidR="00D53D6B" w:rsidRPr="008644BE">
        <w:rPr>
          <w:rStyle w:val="da"/>
          <w:rFonts w:asciiTheme="minorEastAsia" w:eastAsiaTheme="minorEastAsia" w:hAnsiTheme="minorEastAsia" w:hint="eastAsia"/>
        </w:rPr>
        <w:t>监察与合规管理</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公司设立督察长，经董事会聘任，报中国证监会核准。根据公司</w:t>
      </w:r>
      <w:r w:rsidR="00D53D6B" w:rsidRPr="008644BE">
        <w:rPr>
          <w:rStyle w:val="da"/>
          <w:rFonts w:asciiTheme="minorEastAsia" w:eastAsiaTheme="minorEastAsia" w:hAnsiTheme="minorEastAsia" w:hint="eastAsia"/>
        </w:rPr>
        <w:t>监察与合规管理</w:t>
      </w:r>
      <w:r w:rsidRPr="008644BE">
        <w:rPr>
          <w:rStyle w:val="da"/>
          <w:rFonts w:asciiTheme="minorEastAsia" w:eastAsiaTheme="minorEastAsia" w:hAnsiTheme="minorEastAsia" w:hint="eastAsia"/>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BA4B87" w:rsidRPr="008644BE" w:rsidRDefault="003411CA"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BA4B87" w:rsidRPr="008644BE" w:rsidRDefault="003411CA"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监察合规管理部门强化内部检查制度，通过定期或不定期检查内部控制制度的执行情况，促使公司各项经营管理活动的规范运行。</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公司董事会和管理层充分重视和支持</w:t>
      </w:r>
      <w:r w:rsidR="00D53D6B" w:rsidRPr="008644BE">
        <w:rPr>
          <w:rStyle w:val="da"/>
          <w:rFonts w:asciiTheme="minorEastAsia" w:eastAsiaTheme="minorEastAsia" w:hAnsiTheme="minorEastAsia" w:hint="eastAsia"/>
        </w:rPr>
        <w:t>监察与合规管理</w:t>
      </w:r>
      <w:r w:rsidRPr="008644BE">
        <w:rPr>
          <w:rStyle w:val="da"/>
          <w:rFonts w:asciiTheme="minorEastAsia" w:eastAsiaTheme="minorEastAsia" w:hAnsiTheme="minorEastAsia" w:hint="eastAsia"/>
        </w:rPr>
        <w:t>工作，对违反法律、法规和公司内部控制制度的，追究有关部门和人员的责任。</w:t>
      </w:r>
    </w:p>
    <w:p w:rsidR="00BA4B87" w:rsidRPr="008644BE" w:rsidRDefault="00266EA9" w:rsidP="00936084">
      <w:pPr>
        <w:snapToGrid w:val="0"/>
        <w:spacing w:line="360" w:lineRule="auto"/>
        <w:ind w:firstLineChars="200" w:firstLine="420"/>
        <w:rPr>
          <w:rStyle w:val="da"/>
          <w:rFonts w:asciiTheme="minorEastAsia" w:eastAsiaTheme="minorEastAsia" w:hAnsiTheme="minorEastAsia"/>
        </w:rPr>
      </w:pPr>
      <w:bookmarkStart w:id="27" w:name="_Toc332373470"/>
      <w:r w:rsidRPr="008644BE">
        <w:rPr>
          <w:rStyle w:val="da"/>
          <w:rFonts w:asciiTheme="minorEastAsia" w:eastAsiaTheme="minorEastAsia" w:hAnsiTheme="minorEastAsia" w:hint="eastAsia"/>
        </w:rPr>
        <w:t>5、</w:t>
      </w:r>
      <w:r w:rsidR="00BA4B87" w:rsidRPr="008644BE">
        <w:rPr>
          <w:rStyle w:val="da"/>
          <w:rFonts w:asciiTheme="minorEastAsia" w:eastAsiaTheme="minorEastAsia" w:hAnsiTheme="minorEastAsia" w:hint="eastAsia"/>
        </w:rPr>
        <w:t>基金管理人关于内部控制制度声明书</w:t>
      </w:r>
      <w:bookmarkEnd w:id="27"/>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052C9F" w:rsidRPr="008644BE">
        <w:rPr>
          <w:rStyle w:val="da"/>
          <w:rFonts w:asciiTheme="minorEastAsia" w:eastAsiaTheme="minorEastAsia" w:hAnsiTheme="minorEastAsia" w:hint="eastAsia"/>
        </w:rPr>
        <w:t>1</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本公司承诺以上关于内部控制制度的披露真实、准确；</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052C9F" w:rsidRPr="008644BE">
        <w:rPr>
          <w:rStyle w:val="da"/>
          <w:rFonts w:asciiTheme="minorEastAsia" w:eastAsiaTheme="minorEastAsia" w:hAnsiTheme="minorEastAsia" w:hint="eastAsia"/>
        </w:rPr>
        <w:t>2</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本公司承诺根据市场变化和公司业务发展不断完善内部控制制度。</w:t>
      </w:r>
    </w:p>
    <w:p w:rsidR="00BA4B87" w:rsidRPr="008644BE" w:rsidRDefault="00BA4B87" w:rsidP="00936084">
      <w:pPr>
        <w:pStyle w:val="1"/>
        <w:snapToGrid w:val="0"/>
        <w:spacing w:beforeLines="0" w:afterLines="0" w:line="360" w:lineRule="auto"/>
        <w:ind w:firstLine="640"/>
        <w:rPr>
          <w:rFonts w:asciiTheme="minorEastAsia" w:eastAsiaTheme="minorEastAsia" w:hAnsiTheme="minorEastAsia"/>
        </w:rPr>
      </w:pPr>
      <w:r w:rsidRPr="008644BE">
        <w:rPr>
          <w:rFonts w:asciiTheme="minorEastAsia" w:eastAsiaTheme="minorEastAsia" w:hAnsiTheme="minorEastAsia" w:hint="eastAsia"/>
          <w:bCs/>
        </w:rPr>
        <w:br w:type="column"/>
      </w:r>
      <w:bookmarkStart w:id="28" w:name="_Toc332373471"/>
      <w:bookmarkStart w:id="29" w:name="_Toc49269629"/>
      <w:r w:rsidRPr="008644BE">
        <w:rPr>
          <w:rFonts w:asciiTheme="minorEastAsia" w:eastAsiaTheme="minorEastAsia" w:hAnsiTheme="minorEastAsia" w:hint="eastAsia"/>
        </w:rPr>
        <w:lastRenderedPageBreak/>
        <w:t>四、基金托管人</w:t>
      </w:r>
      <w:bookmarkEnd w:id="28"/>
      <w:bookmarkEnd w:id="29"/>
    </w:p>
    <w:p w:rsidR="003411CA" w:rsidRPr="008644BE" w:rsidRDefault="003411CA" w:rsidP="003411CA">
      <w:pPr>
        <w:spacing w:line="360" w:lineRule="auto"/>
        <w:ind w:firstLineChars="200" w:firstLine="420"/>
        <w:rPr>
          <w:rFonts w:asciiTheme="minorEastAsia" w:eastAsiaTheme="minorEastAsia" w:hAnsiTheme="minorEastAsia"/>
          <w:szCs w:val="21"/>
        </w:rPr>
      </w:pPr>
      <w:bookmarkStart w:id="30" w:name="_Toc332373472"/>
      <w:r w:rsidRPr="008644BE">
        <w:rPr>
          <w:rFonts w:asciiTheme="minorEastAsia" w:eastAsiaTheme="minorEastAsia" w:hAnsiTheme="minorEastAsia" w:hint="eastAsia"/>
          <w:szCs w:val="21"/>
        </w:rPr>
        <w:t>（一）基金托管人情况</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1、基本情况</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名称：中国建设银行股份有限公司(简称：中国建设银行)</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住所：北京市西城区金融大街25号</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办公地址：北京市西城区闹市口大街1号院1号楼</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法定代表人：田国立</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成立时间：</w:t>
      </w:r>
      <w:smartTag w:uri="urn:schemas-microsoft-com:office:smarttags" w:element="chsdate">
        <w:smartTagPr>
          <w:attr w:name="Year" w:val="2004"/>
          <w:attr w:name="Month" w:val="09"/>
          <w:attr w:name="Day" w:val="17"/>
          <w:attr w:name="IsLunarDate" w:val="False"/>
          <w:attr w:name="IsROCDate" w:val="False"/>
        </w:smartTagPr>
        <w:r w:rsidRPr="008644BE">
          <w:rPr>
            <w:rFonts w:asciiTheme="minorEastAsia" w:eastAsiaTheme="minorEastAsia" w:hAnsiTheme="minorEastAsia" w:hint="eastAsia"/>
            <w:szCs w:val="21"/>
          </w:rPr>
          <w:t>2004年09月17日</w:t>
        </w:r>
      </w:smartTag>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组织形式：股份有限公司</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注册资本：贰仟伍佰亿壹仟零玖拾柒万柒仟肆佰捌拾陆元整</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存续期间：持续经营</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基金托管资格批文及文号：中国证监会证监基字[1998]12号</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联系人：田  青</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联系电话：(010)6759 5096</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w:t>
      </w:r>
      <w:r w:rsidRPr="008644BE">
        <w:rPr>
          <w:rFonts w:asciiTheme="minorEastAsia" w:eastAsiaTheme="minorEastAsia" w:hAnsiTheme="minorEastAsia" w:hint="eastAsia"/>
          <w:szCs w:val="21"/>
        </w:rPr>
        <w:lastRenderedPageBreak/>
        <w:t>管运营中心，在上海设有托管运营中心上海分中心，共有员工300余人。自2007年起，托管部连续聘请外部会计师事务所对托管业务进行内部控制审计，并已经成为常规化的内控工作手段。</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2、主要人员情况</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龚毅，资产托管业务部资深经理（专业技术一级），曾就职于中国建设银行北京市分行国际部、营业部并担任副行长，长期从事信贷业务和集团客户业务等工作，具有丰富的客户服务和业务管理经验。</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黄秀莲，资产托管业务部资深经理（专业技术一级），曾就职于中国建设银行总行会计部，长期从事托管业务管理等工作，具有丰富的客户服务和业务管理经验。</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郑绍平，资产托管业务部副总经理，曾就职于中国建设银行总行投资部、委托代理部、战略客户部，长期从事客户服务、信贷业务管理等工作，具有丰富的客户服务和业务管理经验。</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3、基金托管业务经营情况</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w:t>
      </w:r>
      <w:r w:rsidRPr="008644BE">
        <w:rPr>
          <w:rFonts w:asciiTheme="minorEastAsia" w:eastAsiaTheme="minorEastAsia" w:hAnsiTheme="minorEastAsia" w:hint="eastAsia"/>
          <w:szCs w:val="21"/>
        </w:rPr>
        <w:lastRenderedPageBreak/>
        <w:t>荣获《亚洲银行家》“最佳托管系统实施奖”。</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（二）基金托管人的内部控制制度</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1、内部控制目标</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2、内部控制组织结构</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3、内部控制制度及措施</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（三）基金托管人对基金管理人运作基金进行监督的方法和程序</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1、监督方法</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2、监督流程</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lastRenderedPageBreak/>
        <w:t>（2）收到基金管理人的划款指令后，对指令要素等内容进行核查。</w:t>
      </w:r>
    </w:p>
    <w:p w:rsidR="003411CA" w:rsidRPr="008644BE" w:rsidRDefault="003411CA" w:rsidP="003411C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（3）通过技术或非技术手段发现基金涉嫌违规交易，电话或书面要求基金管理人进行解释或举证，如有必要将及时报告中国证监会。</w:t>
      </w:r>
    </w:p>
    <w:p w:rsidR="003411CA" w:rsidRPr="008644BE" w:rsidRDefault="003411CA" w:rsidP="003411CA">
      <w:pPr>
        <w:spacing w:line="360" w:lineRule="auto"/>
        <w:ind w:firstLineChars="200" w:firstLine="420"/>
        <w:rPr>
          <w:rFonts w:asciiTheme="minorEastAsia" w:eastAsiaTheme="minorEastAsia" w:hAnsiTheme="minorEastAsia"/>
          <w:szCs w:val="21"/>
        </w:rPr>
      </w:pPr>
    </w:p>
    <w:p w:rsidR="00BA4B87" w:rsidRPr="008644BE" w:rsidRDefault="008E49E3" w:rsidP="00936084">
      <w:pPr>
        <w:pStyle w:val="111"/>
        <w:snapToGrid w:val="0"/>
        <w:spacing w:beforeLines="0" w:afterLines="0" w:line="360" w:lineRule="auto"/>
        <w:ind w:firstLine="640"/>
        <w:rPr>
          <w:rFonts w:asciiTheme="minorEastAsia" w:eastAsiaTheme="minorEastAsia" w:hAnsiTheme="minorEastAsia"/>
          <w:szCs w:val="32"/>
        </w:rPr>
      </w:pPr>
      <w:bookmarkStart w:id="31" w:name="_Toc332373481"/>
      <w:bookmarkStart w:id="32" w:name="_Toc49269630"/>
      <w:bookmarkEnd w:id="30"/>
      <w:r w:rsidRPr="008644BE">
        <w:rPr>
          <w:rFonts w:asciiTheme="minorEastAsia" w:eastAsiaTheme="minorEastAsia" w:hAnsiTheme="minorEastAsia" w:hint="eastAsia"/>
          <w:szCs w:val="21"/>
        </w:rPr>
        <w:lastRenderedPageBreak/>
        <w:t>五、相关服务机构</w:t>
      </w:r>
      <w:bookmarkEnd w:id="31"/>
      <w:bookmarkEnd w:id="32"/>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33" w:name="_Toc332373482"/>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一</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基金份额</w:t>
      </w:r>
      <w:r w:rsidR="00C93899" w:rsidRPr="008644BE">
        <w:rPr>
          <w:rStyle w:val="da"/>
          <w:rFonts w:asciiTheme="minorEastAsia" w:eastAsiaTheme="minorEastAsia" w:hAnsiTheme="minorEastAsia" w:hint="eastAsia"/>
        </w:rPr>
        <w:t>销售</w:t>
      </w:r>
      <w:r w:rsidR="00BA4B87" w:rsidRPr="008644BE">
        <w:rPr>
          <w:rStyle w:val="da"/>
          <w:rFonts w:asciiTheme="minorEastAsia" w:eastAsiaTheme="minorEastAsia" w:hAnsiTheme="minorEastAsia" w:hint="eastAsia"/>
        </w:rPr>
        <w:t>机构</w:t>
      </w:r>
      <w:bookmarkEnd w:id="33"/>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1、直销机构：易方达基金管理有限公司</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注册地址：</w:t>
      </w:r>
      <w:r w:rsidR="00D53D6B" w:rsidRPr="008644BE">
        <w:rPr>
          <w:rStyle w:val="da"/>
          <w:rFonts w:asciiTheme="minorEastAsia" w:eastAsiaTheme="minorEastAsia" w:hAnsiTheme="minorEastAsia" w:hint="eastAsia"/>
          <w:szCs w:val="21"/>
        </w:rPr>
        <w:t>广东省珠海市横琴新区宝华路6号105室－42891（集中办公区）</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办公地址：广州市天河区珠江新城珠江东路30号广州银行大厦40-43楼</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法定代表人：刘晓艳</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电话：020-85102506</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传真：4008818099</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联系人：</w:t>
      </w:r>
      <w:r w:rsidR="00286E1A" w:rsidRPr="008644BE">
        <w:rPr>
          <w:rStyle w:val="da"/>
          <w:rFonts w:asciiTheme="minorEastAsia" w:eastAsiaTheme="minorEastAsia" w:hAnsiTheme="minorEastAsia" w:hint="eastAsia"/>
          <w:szCs w:val="21"/>
        </w:rPr>
        <w:t>王峰</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网址：www.efunds.com.cn</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直销机构网点信息：</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（1）易方达基金管理有限公司广州直销中心</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办公地址：广州市天河区珠江新城珠江东路30号广州银行大厦40楼</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电话：020-85102506</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传真：4008818099</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联系人：</w:t>
      </w:r>
      <w:r w:rsidR="00286E1A" w:rsidRPr="008644BE">
        <w:rPr>
          <w:rStyle w:val="da"/>
          <w:rFonts w:asciiTheme="minorEastAsia" w:eastAsiaTheme="minorEastAsia" w:hAnsiTheme="minorEastAsia" w:hint="eastAsia"/>
          <w:szCs w:val="21"/>
        </w:rPr>
        <w:t>王峰</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（2）易方达基金管理有限公司北京直销中心</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办公地址：</w:t>
      </w:r>
      <w:r w:rsidR="00C305DF" w:rsidRPr="008644BE">
        <w:rPr>
          <w:rStyle w:val="da"/>
          <w:rFonts w:asciiTheme="minorEastAsia" w:eastAsiaTheme="minorEastAsia" w:hAnsiTheme="minorEastAsia" w:hint="eastAsia"/>
          <w:szCs w:val="21"/>
        </w:rPr>
        <w:t>北京市西城区武定侯街2号泰康国际大厦18层</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电话：010-63213377</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传真：4008818099</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联系人：刘蕾</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（3）易方达基金管理有限公司上海直销中心</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办公地址：上海市浦东新区世纪大道88号金茂大厦46楼</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电话：021-50476668</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传真：4008818099</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联系人：</w:t>
      </w:r>
      <w:r w:rsidR="00286E1A" w:rsidRPr="008644BE">
        <w:rPr>
          <w:rStyle w:val="da"/>
          <w:rFonts w:asciiTheme="minorEastAsia" w:eastAsiaTheme="minorEastAsia" w:hAnsiTheme="minorEastAsia" w:hint="eastAsia"/>
          <w:szCs w:val="21"/>
        </w:rPr>
        <w:t>王程</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（4）易方达基金管理有限公司网上交易系统</w:t>
      </w:r>
    </w:p>
    <w:p w:rsidR="002B02E2" w:rsidRPr="008644BE" w:rsidRDefault="002B02E2" w:rsidP="002B02E2">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网址：www.efunds.com.cn</w:t>
      </w:r>
    </w:p>
    <w:p w:rsidR="002B02E2" w:rsidRPr="008644BE" w:rsidRDefault="002B02E2" w:rsidP="001358B7">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2、非直销销售机构</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 中国建设银行股份有限公司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注册地址：北京市西城区金融大街25号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办公地址：北京市西城区闹市口大街1号院1号楼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法定代表人：田国立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联系人：王未雨</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网址：www.ccb.com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 渤海银行股份有限公司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注册地址：天津市河东区海河东路218号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办公地址：天津市河东区海河东路218号渤海银行大厦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法定代表人：李伏安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联系电话：022-58316666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客户服务电话：95541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传真：022-58316569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网址：www.cbhb.com.cn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 广发银行股份有限公司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注册地址：广东省广州市越秀区东风东路713号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办公地址：广东省广州市越秀区东风东路713号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法定代表人：尹兆君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客户服务电话：400-830-8003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网址：www.cgbchina.com.cn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 华夏银行股份有限公司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注册地址：北京市东城区建国门内大街22号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办公地址：北京市东城区建国门内大街22号华夏银行大厦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法定代表人：李民吉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联系人：刘湘波</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客户服务电话：95577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网址：www.hxb.com.cn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 交通银行股份有限公司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注册地址：中国（上海）自由贸易试验区银城中路188号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办公地址：中国（上海）自由贸易试验区银城中路188号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法定代表人：任德奇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联系人：王菁</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联系电话：021-58781234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客户服务电话：95559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网址：www.bankcomm.com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 平安银行股份有限公司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注册地址：广东省深圳市罗湖区深南东路5047号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办公地址：广东省深圳市罗湖区深南东路5047号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法定代表人：谢永林</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联系人：赵杨</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联系电话：0755-22166574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客户服务电话：95511-3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传真：021-50979507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网址：bank.pingan.com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 上海浦东发展银行股份有限公司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注册地址：上海市中山东一路12号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办公地址：上海市中山东一路12号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法定代表人：郑杨</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联系人：赵守良</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联系电话：021-61618888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客户服务电话：95528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传真：021-63604196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网址：www.spdb.com.cn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 招商银行股份有限公司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注册地址：深圳市福田区深南大道7088号招商银行大厦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办公地址：深圳市福田区深南大道7088号招商银行大厦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法定代表人：李建红</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联系人：季平伟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客户服务电话：95555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网址：www.cmbchina.com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 中国工商银行股份有限公司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注册地址：北京西城区复兴门内大街55号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办公地址：北京西城区复兴门内大街55号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法定代表人：陈四清</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联系人：杨菲</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网址：www.icbc.com.cn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 中国民生银行股份有限公司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注册地址：北京市西城区复兴门内大街2号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办公地址：北京市西城区复兴门内大街2号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法定代表人：洪崎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联系人：徐野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客户服务电话：95568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网址：www.cmbc.com.cn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 中国邮政储蓄银行股份有限公司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注册地址：北京市西城区金融大街3号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办公地址：北京市西城区金融大街3号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法定代表人：张金良</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联系人：王硕</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客户服务电话：95580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传真：010-68858057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网址：www.psbc.com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 中信银行股份有限公司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注册地址：北京市东城区朝阳门北大街9号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办公地址：北京市东城区朝阳门北大街9号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法定代表人：李庆萍</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联系人：王晓琳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客户服务电话：95558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传真：010-85230049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网址：bank.ecitic.com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 长安银行股份有限公司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注册地址：西安市高新技术产业开发区高新四路13号1幢1单元10101室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办公地址：西安市高新技术产业开发区高新四路13号朗臣大厦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法定代表人：赵永军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联系人：闫石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客户服务电话：400-05-96669；（029）96669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传真：029-88609566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网址：http://www.ccabchina.com/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 成都农村商业银行股份有限公司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注册地址：成都市武侯区科华中路88号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办公地址：成都市武侯区科华中路88号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法定代表人：陈萍</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联系人：杨琪</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联系电话：028-85315412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客户服务电话：95392   4006-028-666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传真：028-85390961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网址：http://www.cdrcb.com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 大连银行股份有限公司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注册地址：辽宁省大连市中山区中山路88号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办公地址：大连市中山区中山路88号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法定代表人：崔磊</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联系人：卜书慧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联系电话：0411-82311936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客户服务电话：400-664-0099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网址：www.bankofdl.com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 东莞农村商业银行股份有限公司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注册地址：广东省东莞市东城区鸿福东路2号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办公地址：广东省东莞市东城区鸿福东路2号东莞农商银行大厦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法定代表人：王耀球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联系人：钟燕珊</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客户服务电话：0769-961122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网址：www.drcbank.com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 东莞银行股份有限公司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注册地址：东莞市莞城区体育路21号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办公地址：东莞市莞城区体育路21号东莞银行大厦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法定代表人：卢国锋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联系人：朱杰霞</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联系电话：0769-22865177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客户服务电话：956033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网址：www.dongguanbank.cn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 佛山农村商业银行股份有限公司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注册地址：佛山市禅城区华远东路5号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办公地址：佛山市禅城区华远东路5号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法定代表人：李川</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联系人：陈棠熙</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客户服务电话：96138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网址：www.foshanbank.cn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(19) 福建海峡银行股份有限公司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注册地址：福建省福州市台江区江滨中大道358号海峡银行大厦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办公地址：福建省福州市台江区江滨中大道358号福建海峡银行8楼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法定代表人：俞敏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联系人：黄钰雯</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联系电话：0591-87332762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客户服务电话：400-893-9999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传真：0591-87330926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网址：www.fjhxbank.com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(20) 富滇银行股份有限公司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注册地址：云南省昆明市拓东路41号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办公地址：云南省昆明市拓东路41号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法定代表人：洪维智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联系人：杨翊琳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电话：0871-63140324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客户服务电话：400-88-96533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传真：0871-63194471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网址：http://www.fudian-bank.com/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(21) 浙江富阳农村商业银行股份有限公司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注册地址：杭州市富阳区鹿山街道依江路501号第1幢</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办公地址：杭州市富阳区鹿山街道依江路501号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法定代表人：丁松茂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联系人：陈硕</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联系电话：0571-63280253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客户服务电话：96596、4008896596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网址：www.fyrcbk.com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(22) 广东华兴银行股份有限公司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注册地址：广东省汕头市龙湖区黄山路28号四层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办公地址：广州市天河区天河路533号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法定代表人：周泽荣</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联系人：许悦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联系电话：020-38173552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客户服务电话：400-830-8001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传真：020-38173857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网址：www.ghbank.com.cn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(23) 广东南粤银行股份有限公司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注册地址：广东省湛江市经济技术开发区乐山大道60号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办公地址：广东省湛江市经济技术开发区乐山大道60号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法定代表人：蒋丹</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联系人：陈静</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联系电话：020-28308757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客户服务电话：4000-961818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网址：www.gdnybank.com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(24) 广州农村商业银行股份有限公司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注册地址：广州市黄埔区映日路9号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办公地址：广州市天河区珠江新城华夏路1号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法定代表人：王继康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联系人：刘强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联系电话：020-22389067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客户服务电话：95313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传真：020-22389031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网址：www.grcbank.com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(25) 贵阳银行股份有限公司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注册地址：贵州省贵阳市观山湖区长岭北路中天•会展城B区金融商务区东区1-6栋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办公地址：贵州省贵阳市中华北路77号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法定代表人： 张正海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联系人：何西</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电话：0851-86858673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客户服务电话：40011-96033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传真：0851-86858673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网址：http://www.96033.cn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(26) 哈尔滨银行股份有限公司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注册地址：哈尔滨市道里区尚志大街160号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办公地址：哈尔滨市道里区上江街888号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法定代表人：郭志文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联系人：贾琳娜</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电话：0451-86779669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客户服务电话：95537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传真：0451-87792682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网址：www.hrbb.com.cn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(27) 杭州银行股份有限公司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注册地址：浙江省杭州市下城区庆春路46号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办公地址：杭州市下城区庆春路46号杭州银行大厦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法定代表人：陈震山</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联系人：蒋梦君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联系电话：0571-85120718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客户服务电话：95398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传真：0571-85106576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网址：www.hzbank.com.cn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(28) 河北银行股份有限公司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注册地址：石家庄市平安北大街28号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办公地址：石家庄市平安北大街28号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法定代表人：乔志强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联系人：李博</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联系电话：0311-88627587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客户服务电话：400-612-9999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传真：0311-67806407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网址：www.hebbank.com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(29) 华融湘江银行股份有限公司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注册地址：长沙市天心区芙蓉南路一段828号杰座大厦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办公地址：湖南省长沙市湘府东路二段208号万境财智中心南栋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法定代表人：黄卫忠</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联系人：闾娇蓉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联系电话：0731-89828182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客户服务电话：0731-96599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传真：0731-89828806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网址：www.hrxjbank.com.cn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(30) 吉林银行股份有限公司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注册地址：吉林省长春市经济技术开发区东南湖大路1817号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办公地址：吉林省长春市经济技术开发区东南湖大路1817号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法定代表人：陈宇龙</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联系人：孟明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联系电话：0431-84992680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客户服务电话：400-88-96666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传真：0431-84992649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网址：www.jlbank.com.cn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(31) 嘉兴银行股份有限公司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注册地址：浙江省嘉兴市昌盛南路1001号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办公地址：浙江省嘉兴市昌盛南路1001号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法定代表人：夏林生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联系人：余舟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联系电话：0573-82080201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客户服务电话：0573-96528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网址：http://www.bojx.com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(32) 锦州银行股份有限公司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注册地址：辽宁省锦州市科技路68号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办公地址：辽宁省锦州市科技路68号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法定代表人：魏学坤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联系人：庞璐璐</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客户服务电话：400-66-96178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网址：www.jinzhoubank.com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(33) 晋商银行股份有限公司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注册地址：山西省太原市小店区长风街59号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办公地址：山西省太原市小店区长风街59号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法定代表人：阎俊生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联系人：董嘉文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联系电话：0351-6819579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客户服务电话：9510-5588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传真：0351-6819926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网址：www.jshbank.com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(34) 吉林九台农村商业银行股份有限公司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注册地址：吉林省长春市九台区新华大街504号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办公地址：吉林省长春市高新开发区蔚山路2559号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法定代表人：高兵</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联系人：曲凌</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客户服务电话：0431-96888-0-2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网址：http://www.jtnsh.com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(35) 昆仑银行股份有限公司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注册地址：新疆克拉玛依市世纪大道7号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办公地址：北京市西城区金融大街1号B座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法定代表人：蒋尚军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联系人：张碧华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联系电话：010-89026813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客户服务电话：95379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传真：010-89025421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网址：www.klb.cn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(36) 江苏昆山农村商业银行股份有限公司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注册地址：江苏省昆山市前进东路828号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办公地址：江苏省昆山市前进东路828号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法定代表人：张哲清</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联系人：黄怡</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客户服务电话：0512-96079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网址：www.ksrcb.com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(37) 浙江乐清农村商业银行股份有限公司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注册地址：浙江省乐清市城南街道伯乐西路99号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办公地址：浙江省乐清市城南街道伯乐西路99号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法定代表人：高剑飞</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联系人：金晓娇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联系电话：0577-61566028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客户服务电话：4008896596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传真：0577-61566063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网址：www.yqbank.com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(38) 龙江银行股份有限公司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注册地址：黑龙江省哈尔滨市道里区友谊路436号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办公地址：黑龙江省哈尔滨市道里区友谊路436号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法定代表人：张建辉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联系人：闫勇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联系电话：0451-85706107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客户服务电话：400-645-8888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传真：0451-85706036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网址：http://www.lj-bank.com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(39) 浙江温州鹿城农村商业银行股份有限公司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注册地址：浙江省温州市鹿城区会展路1500号富银大厦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办公地址：温州市车站大道547号信合大厦A幢</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法定代表人：陈宏强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联系人：董雷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联系电话：0577-88077675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客户服务电话：96526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网址：http://www.lcrcbank.com/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(40) 洛阳银行股份有限公司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注册地址：洛阳市洛阳新区开元大道与通济街交叉口</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办公地址：河南省洛阳市开元大道256号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法定代表人：王建甫</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联系人：郭文博</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联系电话：0379-65921977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客户服务电话：0379-96699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传真：0379-65938595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网址：www.bankofluoyang.com.cn/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(41) 宁波银行股份有限公司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注册地址：浙江省宁波市鄞州区宁东路345号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办公地址：浙江省宁波市鄞州区宁东路345号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法定代表人：陆华裕</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联系人：夏禾</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客户服务电话：95574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网址：www.nbcb.com.cn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(42) 齐商银行股份有限公司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注册地址：淄博市张店区中心路105号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办公地址：山东省淄博市张店区金晶大道105号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法定代表人：杲传勇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联系人：焦浦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联系电话：0533-2178888-9907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客户服务电话：400-86-96588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传真：0533-2180303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网址：www.qsbank.cc</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(43) 青岛银行股份有限公司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注册地址：山东省青岛市崂山区秦岭路6号3号楼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办公地址：山东省青岛市崂山区秦岭路6号3号楼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法定代表人：郭少泉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联系人：陈界交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联系电话：0532-68629956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客户服务电话：96588（青岛）400-66-96588（全国）</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网址：http://www.qdccb.com/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(44) 泉州银行股份有限公司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注册地址：泉州市丰泽区云鹿路3号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办公地址：泉州市丰泽区云鹿路3号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法定代表人：傅子能</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联系人：董培姗</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联系电话：0595-22551071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客户服务电话：400-88-96312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传真：0595-22578871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网址：http://www.qzccbank.com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(45) 浙江瑞安农村商业银行股份有限公司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注册地址：瑞安市安阳街道万松东路148号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办公地址：瑞安市安阳街道万松东路148号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法定代表人：王光领</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联系人：吴小娜</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联系电话：0577-66681245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客户服务电话：4008057702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(46) 上海农村商业银行股份有限公司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注册地址：上海市黄浦区中山东二路70号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办公地址：上海市黄浦区中山东二路70号上海农商银行大厦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法定代表人：徐力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联系人：施传荣</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联系电话：021-61899999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客户服务电话：021-962999、4006962999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开放式基金业务传真：021-50105124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网址：www.srcb.com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(47) 上海银行股份有限公司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注册地址：中国（上海）自由贸易试验区银城中路168号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办公地址：上海市浦东新区银城中路168号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法定代表人：金煜</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联系人：王笑</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联系电话：021-68475732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客户服务电话：95594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网址：http://www.bosc.cn/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(48) 广东顺德农村商业银行股份有限公司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注册地址：广东佛山市顺德区大良德和居委会拥翠路2号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办公地址：广东佛山市顺德区大良德和居委会拥翠路2号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法定代表人：姚真勇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联系人：杨素苗、区敏欣</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联系电话：0757-22382524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客户服务电话：0757-22223388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传真：0757-22388235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网址：www.sdebank.com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(49) 四川天府银行股份有限公司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注册地址：四川省南充市涪江路1号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办公地址：四川省成都市锦江区东大街下东大街258号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法定代表人：邢敏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联系人：周乃雍</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联系电话：028-67676038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客户服务电话：400-16-96869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网址：www.tf.cn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(50) 苏州银行股份有限公司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注册地址：江苏省苏州市工业园区钟园路728号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办公地址：江苏省苏州市工业园区钟园路728号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法定代表人：王兰凤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联系人：吴骏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联系电话：0512-69868373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客户服务电话：96067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传真：0512-69868373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网址：www.suzhoubank.com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(51) 天津农村商业银行股份有限公司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注册地址：天津市河西区马场道59号国际经济贸易中心A座1-6层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办公地址：天津市河西区马场道59号国际经济贸易中心A座1-6层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法定代表人：徐庆宏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联系人：满与谦、梁冯雷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联系电话：022-83872155，022-83872800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客户服务电话：022-96155，400-80-96155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传真：022-83872156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网址：www.trcbank.com.cn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(52) 天津银行股份有限公司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注册地址：天津市河西区友谊路15号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办公地址：天津市河西区友谊路15号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法定代表人：李宗唐</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联系人：李岩</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联系电话：022-28405684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客户服务电话：956056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传真：022-28405631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网址：www.bank-of-tianjin.com.cn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(53) 威海市商业银行股份有限公司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注册地址：威海市宝泉路9号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办公地址：威海市宝泉路9号财政大厦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法定代表人：谭先国</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联系人：冯十卉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联系电话：0531-68978175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客户服务电话：山东省内96636、中国境内40000-96636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传真：0531-68978176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网址：www.whccb.com，www.whccb.com.cn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(54) 潍坊银行股份有限公司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注册地址：山东省潍坊市奎文区胜利东街5139号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办公地址：山东省潍坊市奎文区胜利东街5139号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法定代表人：郭虎英</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联系人：井靖</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联系电话：0536-8051904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客户服务电话：400-61-96588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传真：0536-8056061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网址：www.wfccb.com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(55) 无锡农村商业银行股份有限公司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注册地址：无锡市太湖新城金融二街9号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办公地址：无锡市太湖新城金融二街9号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法定代表人：邵辉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联系人：张屹霖</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联系电话：0510-85062012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客户服务电话：0510-96058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传真：0510-82830557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网址：www.wrcb.com.cn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(56) 浙江萧山农村商业银行股份有限公司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注册地址：萧山区人民路258号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办公地址：浙江省杭州市萧山区人民路258号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法定代表人：王云龙</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联系人：朱光锋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联系电话：0571-82739513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客户服务电话：96596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网址：http://www.zjxsbank.com/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(57) 浙江杭州余杭农村商业银行股份有限公司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注册地址：杭州市余杭区南苑街道南大街72号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办公地址：杭州市余杭区南苑街道南大街72号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法定代表人：来煜标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联系人：蔡亮</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联系电话：0571-86209980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客户服务电话：96596，4008896596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网址：www.yhrcb.com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(58) 云南红塔银行股份有限公司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注册地址：云南省玉溪市东风南路2号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办公地址：云南省昆明市盘龙区世博路低碳中心A座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法定代表人：李光林</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联系人：马杰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联系电话：0871-65236624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客户服务电话：0877-96522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网址：www.ynhtbank.com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(59) 浙江稠州商业银行股份有限公司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注册地址：浙江省义乌市江滨路义乌乐园东侧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办公地址：杭州市上城区望潮路158号稠银大厦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法定代表人：金子军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联系人：谢圆圆</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联系电话：0571-87117661/13777805250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客户服务电话：0571-96527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传真：0571-87117607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网址：http://www.czcb.com.cn/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(60) 浙江泰隆商业银行股份有限公司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注册地址：浙江省台州市路桥区南官大道188号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办公地址：浙江省台州市路桥区南官大道188号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联系人：陈妍宇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联系电话：0571-87219677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客户服务电话：95347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网址：www.zjtlcb.com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(61) 郑州银行股份有限公司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注册地址：河南省郑州市郑东新区商务外环路22号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办公地址：河南省郑州市郑东新区商务外环路22号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法定代表人：王天宇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联系人：庞骏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联系电话：0371-67009917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客户服务电话：95097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传真：0371-67009097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网址：http://www.zzbank.cn/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(62) 中原银行股份有限公司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注册地址：河南省郑州市郑东新区CBD商务外环路23号中科金座大厦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办公地址：河南省郑州市郑东新区CBD商务外环路23号中科金座大厦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法定代表人：窦荣兴</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联系人：张辉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联系电话：0371-61910217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客户服务电话：95186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网址：www.zybank.com.cn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(63) 珠海华润银行股份有限公司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注册地址：广东省珠海市吉大九洲大道东1346号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办公地址：广东省珠海市吉大九洲大道东1346号珠海华润银行大厦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法定代表人：刘晓勇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联系人：李阳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联系电话：4008800338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客户服务电话：96588（广东省外请加拨0756），400-8800-338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网址：www.crbank.com.cn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(64) 安信证券股份有限公司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注册地址：深圳市福田区金田路4018号安联大厦35层、28层A02单元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办公地址：深圳市福田区金田路4018号安联大厦35层、28层A02单元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          深圳市福田区深南大道2008号中国凤凰大厦1栋9层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法定代表人：黄炎勋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联系人：陈剑虹</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联系电话：0755-82825551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客户服务电话：95517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传真：0755-82558355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网址：www.essence.com.cn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(65) 渤海证券股份有限公司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注册地址：天津市经济技术开发区第二大街42号写字楼101室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办公地址：天津市南开区宾水西道8号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法定代表人：安志勇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联系电话：022-28451922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客户服务电话：400-651-5988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传真：022-28451892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网址：www.ewww.com.cn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(66) 财信证券有限责任公司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注册地址：长沙市芙蓉中路二段80号顺天国际财富中心26层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办公地址：长沙市芙蓉中路二段80号顺天国际财富中心26-28层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法定代表人：刘宛晨</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联系人：郭静</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联系电话：0731-84403347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客户服务电话：95317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传真：0731-84403439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网址：www.cfzq.com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(67) 长城证券股份有限公司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注册地址：深圳市福田区福田街道金田路2026号能源大厦南塔楼10-19层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办公地址：深圳市福田区福田街道金田路2026号能源大厦南塔楼10-19层长城证券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法定代表人：曹宏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联系人：梁浩</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联系电话：0755-83530715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客户服务电话：400-6666-888或95514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传真：0755--83515567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网址：www.cgws.com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(68) 长江证券股份有限公司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注册地址：湖北省武汉市新华路特8号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办公地址：湖北省武汉市新华路特8号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法定代表人：李新华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联系人：奚博宇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联系电话：027-65799999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客户服务电话：95579或4008-888-999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传真：027-85481900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网址：www.95579.com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(69) 川财证券有限责任公司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注册地址：中国（四川）自由贸易试验区成都高新区交子大道177号中海国际中心B座17楼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办公地址：四川省成都高新区交子大道177号中海国际中心B座17楼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法定代表人：金树成</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联系人：匡婷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联系电话：028-86583053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客户服务电话：028-962708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网址：www.cczq.com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(70) 大同证券有限责任公司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注册地址：山西省大同市城区迎宾街15号桐城中央21层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办公地址：山西省太原市小店区长治路111号山西世贸中心A座F12、F13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法定代表人：董祥</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联系人：薛津</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联系电话：0351-4130322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客户服务电话：4007121212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传真：0351-7219891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网址：www.dtsbc.com.cn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(71) 德邦证券股份有限公司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注册地址：上海市普陀区曹杨路510号南半幢9楼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办公地址：上海市福山路500号城建国际中心29楼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法定代表人：武晓春</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联系人：刘熠</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联系电话：021-68761616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客户服务电话：400-8888-128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传真：021-68767880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网址：http://www.tebon.com.cn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(72) 第一创业证券股份有限公司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注册地址：深圳市福田区福华一路115号投行大厦20楼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办公地址：深圳市福田区福华一路115号投行大厦20楼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法定代表人：刘学民</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联系人：单晶</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联系电话：0755-23838750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客户服务电话：95358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网址：www.firstcapital.com.cn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(73) 东北证券股份有限公司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注册地址：长春市生态大街6666号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办公地址：长春市生态大街6666号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法定代表人：李福春</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联系人：安岩岩</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联系电话：0431-85096517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客户服务电话：95360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传真：0431-85096795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网址：www.nesc.cn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(74) 东莞证券股份有限公司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注册地址：东莞市莞城区可园南路一号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办公地址：东莞市莞城区可园南路1号金源中心30楼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法定代表人：陈照星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联系人：李荣</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联系电话：0769-22115712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客户服务电话：95328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传真：0769-22115712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网址：www.dgzq.com.cn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(75) 东海证券股份有限公司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注册地址：江苏省常州市延陵西路23号投资广场18层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办公地址：上海市浦东新区东方路1928号东海证券大厦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法定代表人：钱俊文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联系人：王一彦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联系电话：021-20333333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客户服务电话：95531、400-8888-588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传真：021-50498825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网址：www.longone.com.cn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(76) 东吴证券股份有限公司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注册地址：苏州工业园区星阳街5号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办公地址：苏州工业园区星阳街5号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法定代表人：范力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联系人：陆晓</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联系电话：0512-62938521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客户服务电话：95330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传真：0512-65588021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网址：www.dwzq.com.cn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(77) 东兴证券股份有限公司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注册地址：北京市西城区金融大街5号（新盛大厦）12、15层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办公地址：北京市西城区金融大街5号新盛大厦B座10层、12层、15层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法定代表人：魏庆华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联系人：夏锐</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联系电话：010-66559079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客户服务电话：95309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传真：010-66555133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网址：www.dxzq.net</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(78) 光大证券股份有限公司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注册地址：上海市静安区新闸路1508号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办公地址：上海市静安区新闸路1508号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法定代表人：刘秋明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联系人：郁疆</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联系电话：021-22169999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客户服务电话：95525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网址：www.ebscn.com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(79) 广发证券股份有限公司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注册地址：广东省广州市黄埔区中新广州知识城腾飞一街2号618室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办公地址：广州市天河区马场路26号广发证券大厦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法定代表人：孙树明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联系人：黄岚</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客户服务电话：95575或02095575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网址：www.gf.com.cn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(80) 国都证券股份有限公司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注册地址：北京市东城区东直门南大街3号国华投资大厦9层10层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办公地址：北京市东城区东直门南大街3号国华投资大厦9层10层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法定代表人：翁振杰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联系人：黄静</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联系电话：010-84183333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客户服务电话：400-818-8118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传真：010-84183311-3122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网址：www.guodu.com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(81) 国金证券股份有限公司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注册地址：成都市青羊区东城根上街95号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办公地址：成都市青羊区东城根上街95号成证大厦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法定代表人：冉云</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联系人：杜晶、黎建平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联系电话：028-86690057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客户服务电话：95310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传真：028-86690126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网址：www.gjzq.com.cn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(82) 国联证券股份有限公司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注册地址：江苏省无锡市太湖新城金融一街8号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办公地址：江苏省无锡市太湖新城金融一街8号国联金融大厦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法定代表人：姚志勇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联系人：祁昊</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联系电话：0510-82831662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客户服务电话：95570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传真：0510-82830162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网址：www.glsc.com.cn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(83) 国盛证券有限责任公司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注册地址：江西省南昌市新建区子实路1589号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办公地址：江西省南昌市红谷滩新区凤凰中大道1115号北京银行大厦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法定代表人：徐丽峰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联系人：占文驰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联系电话：0791-88250812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客户服务电话：956080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传真：0791-86281305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网址：www.gszq.com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(84) 国泰君安证券股份有限公司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注册地址：中国（上海）自由贸易试验区商城路618号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办公地址：上海市静安区南京西路768号国泰君安大厦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法定代表人：贺青</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联系人：芮敏祺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客户服务电话：95521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传真：021-38670666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网址：www.gtja.com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(85) 国信证券股份有限公司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注册地址：深圳市罗湖区红岭中路1012号国信证券大厦十六层至二十六层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办公地址：深圳市罗湖区红岭中路1012号国信证券大厦十六层至二十六层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法定代表人：何如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联系人：李颖</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联系电话：0755-82130833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客户服务电话：95536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传真：0755-82133952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网址：www.guosen.com.cn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(86) 海通证券股份有限公司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注册地址：上海市广东路689号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办公地址：上海市广东路689号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法定代表人：周杰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联系人：金芸、李笑鸣</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联系电话：021-23219000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客户服务电话：95553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传真：021-23219100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网址：www.htsec.com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(87) 华安证券股份有限公司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注册地址：安徽省合肥市政务文化新区天鹅湖路198号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办公地址：安徽省合肥市政务文化新区天鹅湖路198号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法定代表人：章宏韬</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联系人：范超</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联系电话：0551-65161821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客户服务电话：95318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传真：0551-65161825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网址：www.hazq.com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(88) 华宝证券有限责任公司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注册地址：中国（上海）自由贸易试验区世纪大道100号57层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办公地址：中国（上海）自由贸易试验区世纪大道100号57层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法定代表人：刘加海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联系人：刘闻川</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联系电话：021-20657517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客户服务电话：400-820-9898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传真：021-20515593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网址：www.cnhbstock.com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(89) 华福证券有限责任公司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注册地址：福建省福州市鼓楼区鼓屏路27号1#楼3层、4层、5层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办公地址：上海市浦东新区陆家嘴环路1088号招商银行大厦18-19楼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法定代表人：黄金琳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联系人：王虹</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联系电话：021-20655183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客户服务电话：95547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传真：021-20655196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网址：www.hfzq.com.cn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(90) 华林证券股份有限公司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注册地址：拉萨市柳梧新区国际总部城3幢1单元5-5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办公地址：深圳市福田区民田路178号华融大厦6楼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法定代表人：林立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联系人：胡倩</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联系电话：0755-83255199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客户服务电话：400-188-3888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网址：www.chinalin.com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(91) 华龙证券股份有限公司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注册地址：兰州市城关区东岗西路638号兰州财富中心21楼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办公地址：兰州市城关区东岗西路638号兰州财富中心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法定代表人：陈牧原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联系人：范坤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联系电话：0931-4890208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客户服务电话：95368、400-689-8888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传真：0931-4890628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网址：www.hlzq.com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(92) 华融证券股份有限公司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注册地址：北京市西城区金融大街8号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办公地址：北京市朝阳区朝阳门北大街18号中国人保寿险大厦12至18层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法定代表人：张海文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联系人：孙燕波</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联系电话：010-85556048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客户服务电话：95390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传真：010-85556088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网址：www.hrsec.com.cn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(93) 华泰证券股份有限公司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注册地址：南京市江东中路228号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办公地址：南京市建邺区江东中路228号华泰证券广场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法定代表人：张伟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联系人：庞晓芸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联系电话：0755-82492193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客户服务电话：95597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传真：025-83387523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网址：www.htsc.com.cn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(94) 华西证券股份有限公司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注册地址：四川省成都市高新区天府二街198号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办公地址：四川省成都市高新区天府二街198号华西证券大厦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法定代表人：杨炯洋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联系人：张彬</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联系电话：010-58124967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客户服务电话：95584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传真：028-86150040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网址：www.hx168.com.cn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(95) 华鑫证券有限责任公司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注册地址：深圳市福田区莲花街道福中社区深南大道2008号中国凤凰大厦1栋20C-1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办公地址：上海市徐汇区宛平南路8号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法定代表人：俞洋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联系人：刘熠</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联系电话：021-54967656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客户服务电话：95323（全国）、400-109-9918（全国）、029-68918888（西安）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传真：021-54967293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网址：www.cfsc.com.cn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(96) 上海华信证券有限责任公司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注册地址：上海浦东新区世纪大道100号环球金融中心9楼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办公地址：上海市黄浦区南京西路399号明天广场23楼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法定代表人：陈灿辉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联系人：徐璐</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联系电话：021-63898952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客户服务电话：400-820-5999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传真：021-68776977转8952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网址：www.shhxzq.com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(97) 江海证券有限公司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注册地址：黑龙江省哈尔滨市香坊区赣水路56号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办公地址：黑龙江省哈尔滨市松北区创新三路833号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法定代表人：赵洪波</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联系人：姜志伟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联系电话：0451-87765732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客户服务电话：956007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传真：0451-82337279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网址：www.jhzq.com.cn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(98) 金元证券股份有限公司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注册地址：海口市南宝路36号证券大厦4楼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办公地址：深圳市深南大道4001号时代金融中心大厦17楼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法定代表人：王作义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联系人：刘萍</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联系电话：0755-83025693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客户服务电话：95372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传真：0755-83025625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网址：www.jyzq.cn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(99) 开源证券股份有限公司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注册地址：陕西省西安市高新区锦业路1号都市之门B座5层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办公地址：陕西省西安市高新区锦业路1号都市之门B座5层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法定代表人：李刚</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联系人：张蕊</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联系电话：029-88365809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客户服务电话：95325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网址：www.kysec.cn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(100) 联储证券有限责任公司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注册地址：广东省深圳市福田区福田街道岗厦社区深南大道南侧金地中心大厦9楼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办公地址：上海市浦东新区陆家嘴环路333号金砖大厦8楼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法定代表人：吕春卫</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联系人：张婉婷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联系电话：010-86499765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客户服务电话：400-620-6868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网址：www.lczq.com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(101) 南京证券股份有限公司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注册地址：南京市江东中路389号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办公地址：南京市江东中路389号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法定代表人：李剑锋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联系人：王万君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联系电话：025-58519523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客户服务电话：95386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传真：025-83369725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网址：www.njzq.com.cn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(102) 平安证券股份有限公司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注册地址：深圳市福田区福田街道益田路5023号平安金融中心B座第22-25层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办公地址：深圳市福田区金田路4036号荣超大厦16-20层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法定代表人：何之江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联系人：周驰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联系电话：021-38643230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客户服务电话：95511-8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传真：021-58991896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网址：stock.pingan.com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(103) 瑞银证券有限责任公司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注册地址：北京市西城区金融大街7号英蓝国际金融中心12层、15层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办公地址：北京市西城区金融大街7号英蓝国际金融中心12层、15层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法定代表人：钱于军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联系人：谢丹</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联系电话：0755-22158878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客户服务电话：400-887-8827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传真：010-58328170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网址：https://www.ubs.com/ubssecurities</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(104) 山西证券股份有限公司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注册地址：太原市府西街69号山西国际贸易中心东塔楼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办公地址：太原市府西街69号山西国际贸易中心东塔楼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法定代表人：侯巍</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联系人：谢武兵</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联系电话：0351-8686721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客户服务电话：95573或400-666-1618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传真：0351-8686619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网址：www.i618.com.cn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(105) 上海证券有限责任公司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注册地址：上海市黄浦区四川中路213号7楼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办公地址：上海市四川中路213号久事商务大厦7楼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法定代表人：李俊杰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联系人：邵珍珍</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联系电话：021-53686888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客户服务电话：4008-918-918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传真：021-53686100、021-53686200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网址：https://www.shzq.com/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(106) 申万宏源西部证券有限公司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注册地址：新疆乌鲁木齐市高新区（新市区）北京南路358号大成国际大厦20楼2005室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办公地址：新疆乌鲁木齐市高新区（新市区）北京南路358号大成国际大厦20楼2005室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联系人：王怀春</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联系电话：0991-2307105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客户服务电话：4008-000-562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传真：010-88085195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网址：www.hysec.com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(107) 申万宏源证券有限公司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注册地址：上海市徐汇区长乐路989号45层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办公地址：上海市徐汇区长乐路989号世纪商贸广场45层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法定代表人：杨玉成</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联系人：胡馨文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联系电话：021-33388252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客户服务电话：95523、4008895523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传真：021-33388224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网址：www.swhysc.com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(108) 世纪证券有限责任公司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注册地址：深圳市前海深港合作区南山街道桂湾五路128号前海深港基金小镇对冲基金中心406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办公地址：深圳市福田区深南大道招商银行大厦40-42层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联系人：徐玲娟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联系电话：0755-83199553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客户服务电话：4008323000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网址：www.csco.com.cn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(109) 首创证券有限责任公司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注册地址：北京市西城区德胜门外大街115号德胜尚城E座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办公地址：北京市西城区德胜门外大街115号德胜尚城E座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法定代表人：毕劲松</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联系人：刘宇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联系电话：010-59366070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客户服务电话：400-620-0620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传真：010-59366055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网址：http://www.sczq.com.cn/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(110) 天风证券股份有限公司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注册地址：湖北省武汉市东湖新技术开发区关东园路2号高科大厦四楼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办公地址：湖北省武汉市武昌区中南路99号保利广场A座37楼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法定代表人：余磊</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联系人：王雅薇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联系电话：027-87617017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客户服务电话：95391/400-800-5000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传真：027-87618863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网址：http://www.tfzq.com/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(111) 西部证券股份有限公司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注册地址：陕西省西安市新城区东新街319号8幢10000室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办公地址：陕西省西安市新城区东新街319号8幢10000室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法定代表人：徐朝晖</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联系人：梁承华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联系电话：029-87211526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客户服务电话：95582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传真：029-87211478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网址：www.westsecu.com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(112) 西南证券股份有限公司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注册地址：重庆市江北区桥北苑8号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办公地址：重庆市江北区桥北苑8号西南证券大厦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法定代表人：廖庆轩</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联系人：周青</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联系电话：023-63786633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客户服务电话：4008096096或95355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传真：023-63786212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网址：www.swsc.com.cn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(113) 新时代证券股份有限公司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注册地址：北京市海淀区北三环西路99号院1号楼15层1501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办公地址：北京市海淀区北三环西路99号院1号楼15层1501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法定代表人：叶顺德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联系人：马文玺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联系电话：010-83561072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网址：www.xsdzq.cn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(114) 信达证券股份有限公司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注册地址：北京市西城区闹市口大街9号院1号楼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办公地址：北京市西城区闹市口大街9号院1号楼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法定代表人：肖林</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联系人：尹旭航</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联系电话：010-63081000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客户服务电话：95321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传真：010-63080978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网址：www.cindasc.com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(115) 中国银河证券股份有限公司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注册地址：北京市西城区金融大街35号2-6层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办公地址：北京市西城区金融大街35号国际企业大厦C座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法定代表人：陈共炎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联系人：辛国政</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联系电话：010-83574507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客户服务电话：4008-888-888或95551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网址：www.chinastock.com.cn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(116) 粤开证券股份有限公司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注册地址：惠州市江北东江三路55号广播电视新闻中心西面一层大堂和三、四层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办公地址：广东省广州市黄埔区科学大道60号开发区金控中心21-23层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法定代表人：严亦斌</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联系人：彭莲</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联系电话：0755-83331195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客户服务电话：95564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公司网址：http://www.ykzq.com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(117) 招商证券股份有限公司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注册地址：深圳市福田区福田街道福华一路111号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办公地址：深圳市福田区福田街道福华一路111号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法定代表人：霍达</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联系人：黄婵君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联系电话：0755-82943666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客户服务电话：95565、400-8888-111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传真：0755-82943636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网址：www.newone.com.cn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(118) 中航证券有限公司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注册地址：江西省南昌市红谷滩新区红谷中大道1619号南昌国际金融大厦A栋41层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办公地址：江西省南昌市红谷滩新区红谷中大道1619号南昌国际金融大厦A栋41层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法定代表人：王晓峰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联系人：王紫雯</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联系电话：15611538682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客户服务电话：95335或400-88-95335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传真：010-59562637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网址：www.avicsec.com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(119) 中国国际金融股份有限公司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注册地址：北京市朝阳区建国门外大街1号国贸大厦2座27层及28层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办公地址：北京市朝阳区建国门外大街甲6号SK大厦38层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法定代表人：沈如军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联系人：杨涵宇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联系电话：010-65051166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客户服务电话：4009101166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网址：www.cicc.com.cn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(120) 中山证券有限责任公司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注册地址：深圳市南山区粤海街道蔚蓝海岸社区创业路1777号海信南方大厦21、22层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办公地址：深圳市南山区创业路1777号海信南方大厦21、22层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法定代表人：林炳城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联系人：罗艺琳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电话：0755-82943755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传真：0755-82960582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客户服务电话：95329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网址：www.zszq.com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(121) 中泰证券股份有限公司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注册地址：济南市市中区经七路86号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办公地址：山东省济南市经七路86号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法定代表人：李玮</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联系人：许曼华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联系电话：021-20315290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客户服务电话：95538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传真：0531-68889095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网址：www.zts.com.cn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(122) 中天证券股份有限公司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注册地址：辽宁省沈阳市和平区光荣街23甲</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办公地址：辽宁省沈阳市和平区光荣街23甲</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法定代表人：马功勋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联系人：李泓灏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联系电话：024-23255256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客户服务电话：024-95346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传真：024-23255606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网址：www.iztzq.com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(123) 中信建投证券股份有限公司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注册地址：北京市朝阳区安立路66号4号楼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办公地址：北京市朝阳门内大街188号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法定代表人：王常青</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联系人：刘芸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联系电话：010－85130554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客户服务电话：95587或4008-888-108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网址：http://www.csc108.com/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(124) 中信证券股份有限公司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注册地址：广东省深圳市福田区中心三路8号卓越时代广场（二期）北座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办公地址：北京市朝阳区亮马桥路48号中信证券大厦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法定代表人：张佑君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联系人：王一通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联系电话：010-60838888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客户服务电话：95548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传真：010-60836029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网址：www.cs.ecitic.com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(125) 中信证券华南股份有限公司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注册地址：广州市天河区珠江西路5号501房</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办公地址：广州市天河区珠江西路5号广州国际金融中心主塔19层、20层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法定代表人：胡伏云</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联系人：陈靖</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联系电话：020-88836999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客户服务电话：95548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传真：020-88836984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网址：www.gzs.com.cn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(126) 中信证券（山东）有限责任公司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注册地址：青岛市崂山区深圳路222号1号楼2001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办公地址：青岛市市南区东海西路28号龙翔广场东座5层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法定代表人：姜晓林</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联系人：焦刚</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联系电话：0531-89606166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客户服务电话：95548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传真：0532-85022605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网址：http://sd.citics.com/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(127) 中邮证券有限责任公司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注册地址：陕西省西安市唐延路5号（陕西邮政信息大厦9-11层）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办公地址：北京市东城区珠市口东大街17号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法定代表人：丁奇文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联系人：岳帅</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 010-67017788-6068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客户服务电话：4008-888-005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传真：010-67017788-9696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网址：www.cnpsec.com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(128) 上海长量基金销售有限公司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注册地址：上海市浦东新区高翔路526号2幢220室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办公地址：上海市浦东新区东方路1267号陆家嘴金融服务广场二期11层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法定代表人：张跃伟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联系人：孙娅雯</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联系电话：021-20691819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客户服务电话：400-820-2899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传真：021-20691861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网址：www.erichfund.com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(129) 上海朝阳永续基金销售有限公司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注册地址：浦东新区上丰路977号1幢B座812室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办公地址：上海市浦东新区碧波路690号4幢201-2A室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法定代表人：孙晓慧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联系人：陆纪青</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联系电话：021-80234888-6813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客户服务电话：400-699-1888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网址：www.998fund.com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(130) 北京创金启富基金销售有限公司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注册地址：北京市西城区白纸坊东街2号院6号楼712室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办公地址：北京市西城区白纸坊东街2号院6号楼712室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法定代表人：梁蓉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联系人：杨凤椅</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联系电话：010-66154828-8047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客户服务电话：400-6262-818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传真：010-63583991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网址：www.5irich.com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(131) 大泰金石基金销售有限公司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注册地址：南京市建邺区江东中路102号708室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办公地址：上海市浦东新区峨山路505号东方纯一大厦15楼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法定代表人：陈达伟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联系人：孟召社</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联系电话：021-20324176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客户服务电话：400-995-9220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传真：021-20324199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网址：www.dtfunds.com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(132) 上海大智慧基金销售有限公司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注册地址：中国（上海）自由贸易试验区杨高南路428号1号楼1102单元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办公地址：中国（上海）自由贸易试验区杨高南路428号1号楼1102单元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法定代表人：申健</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联系人：张蜓</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联系电话：021-20219988-35374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客户服务电话：021-20292031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传真：021-20219923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网址：https://www.wg.com.cn/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(133) 北京蛋卷基金销售有限公司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注册地址：北京市朝阳区创远路34号院6号楼15层1501室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办公地址：北京市朝阳区创远路34号院融新科技中心C座17层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法定代表人：钟斐斐</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联系人：侯芳芳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联系电话：010-61840688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客户服务电话：400-159-9288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网址：https://danjuanapp.com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(134) 鼎信汇金（北京）投资管理有限公司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注册地址：北京市朝阳区霄云路40号院1号楼3层306室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办公地址：北京市朝阳区霄云路40号院1号楼3层306室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法定代表人：齐凌峰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联系人：阮志凌</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联系电话：010-82050520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客户服务电话：400-158-5050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传真：010-82086110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网址：www.9ifund.com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(135) 上海东证期货有限公司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注册地址：中国（上海）自由贸易试验区浦电路500号上海期货大厦14层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办公地址：上海市黄浦区中山南路318号2号楼22楼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法定代表人：卢大印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联系人：张敏圆</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联系电话：021-63325888-4259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客户服务电话：4008859999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传真：021-63326752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网址：www.dzqh.com.cn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(136) 北京度小满基金销售有限公司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注册地址：北京市海淀区西北旺东路10号院西区4号楼1层103室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办公地址：北京市海淀区西北旺东路10号院西区4号楼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法定代表人：葛新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联系人：孙博超</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联系电话：010-59403028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客户服务电话：95055-4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网址：www.baiyingfund.com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(137) 泛华普益基金销售有限公司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注册地址：四川省成都市成华区建设路9号高地中心1101室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办公地址：成都市金牛区花照壁西顺街399号1栋1单元龙湖西宸天街B座1201号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法定代表人：于海锋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联系人：陈丹</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联系电话：15114053620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客户服务电话：400-080-3388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网址：www.puyifund.com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(138) 深圳富济基金销售有限公司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注册地址：深圳市福田区福田街道岗厦社区金田路3088号中洲大厦3203A单元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办公地址：深圳市福田区福田街道岗厦社区金田路3088号中洲大厦3203A单元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法定代表人：祝中村</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联系人：曾瑶敏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联系电话：0755-83999907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客户服务电话：0755-83999907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传真：0755-83999926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网址：www.fujifund.cn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(139) 海银基金销售有限公司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注册地址：中国（上海）自由贸易试验区银城中路8号402室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办公地址：上海市浦东新区银城中路8号海银金融中心4楼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法定代表人：巩巧丽</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联系人：毛林</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联系电话：021-80133597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客户服务电话：400-808-1016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传真：021-80133413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网址：www.fundhaiyin.com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(140) 上海好买基金销售有限公司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注册地址：上海市虹口区欧阳路196号26号楼2楼41号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办公地址：上海市浦东南路1118号鄂尔多斯国际大厦903～906室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法定代表人：杨文斌</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联系人：高源</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联系电话：021-36696312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客户服务电话：400-700-9665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传真：021-68596919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网址：www.ehowbuy.com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(141) 和讯信息科技有限公司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注册地址：北京市朝阳区朝外大街22号1002室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办公地址：北京市朝阳区朝外大街22号泛利大厦10层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联系人：陈慧慧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联系电话：010-85657353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客户服务电话：400-920-0022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传真：010-65884788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网址：http://licaike.hexun.com/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(142) 弘业期货股份有限公司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注册地址：江苏省南京市秦淮区中华路50号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办公地址：江苏省南京市秦淮区中华路50号弘业大厦9楼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法人代表：周剑秋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联系人：张苏怡</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联系电话：025-52278981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客户服务电话：400-828-1288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网址：www.ftol.com.cn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(143) 北京虹点基金销售有限公司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注册地址：北京市朝阳区东三环北路17号10层1015室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办公地址：北京市朝阳区东三环北路17号10层1015室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法定代表人：何静</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联系人：王重阳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联系电话：010-65951887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客户服务电话：400-618-0707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网址：www.hongdianfund.com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(144) 华瑞保险销售有限公司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注册地址：上海市嘉定区南翔镇众仁路399号运通星财富广场1号楼B座13、14层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办公地址：上海市浦东新区向城路288号国华人寿金融大厦8层806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法定代表人：路昊</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联系人：茆勇强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联系电话：021-68595698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客户服务电话：952303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传真：021-68595766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网址：www.huaruisales.com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(145) 上海华夏财富投资管理有限公司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注册地址：中国（上海）自由贸易试验区世纪大道8号上海国金中心办公楼二期27层2716单元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办公地址：北京市朝阳区建国门外大街21号北京国际俱乐部C座写字楼11层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法定代表人：赵学军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联系人：李雯</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联系电话：010-60842306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客户服务电话：400-021-8850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传真：010-85712195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网址：www.harvestwm.cn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(146) 徽商期货有限责任公司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注册地址：安徽省合肥市芜湖路258号3号楼6-7层，6号楼1-2层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办公地址：合肥市芜湖路258号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法人代表：吴国华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联系人：申倩倩</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联系电话：0551-62865215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客户服务电话：400-887-8707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网址：www.hsqh.net</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(147) 北京汇成基金销售有限公司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注册地址：北京市西城区西直门外大街1号院2号楼17层19C13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办公地址：北京市西城区西直门外大街1号院2号楼19层19C13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法定代表人：王伟刚</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联系人：王骁骁</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联系电话：010-56251471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客户服务电话：400-619-9059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网址：www.hcfunds.com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(148) 上海汇付基金销售有限公司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注册地址：上海市黄浦区黄河路333号201室A区056单元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办公地址：上海市徐汇区宜山路700号普天信息产业园2期C5栋 汇付天下总部大楼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法定代表人：金佶</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联系人：甄宝林</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联系电话：021-34013996-3011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客户服务电话：021-34013999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传真：021-33323837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网址：www.hotjijin.com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(149) 济安财富（北京）基金销售有限公司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注册地址：北京市朝阳区太阳宫中路16号院1号楼3层307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办公地址：北京市朝阳区太阳宫中路16号院1号楼冠捷大厦3层307单元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法定代表人：杨健</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联系人：李海燕</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联系电话：010-65309516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客户服务电话：400-673-7010（济安财富官网）  400-071-6766（腾讯财经）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传真：010-65330699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网址：www.jianfortune.com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(150) 北京加和基金销售有限公司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注册地址：北京市西城区德胜门外大街13号院1号楼5层505室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办公地址：北京市西城区德胜门外大街13号院1号楼5层505室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法定代表人：曲阳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联系人：王梓骄</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联系电话：010-80456756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客户服务电话：400-803-1188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传真：010-80456278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网址：www.bzfunds.com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(151) 嘉实财富管理有限公司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注册地址：中国（上海）自由贸易试验区世纪大道8号上海国金中心办公楼二期27层2716单元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办公地址：北京市朝阳区建国门外大街21号北京国际俱乐部C座写字楼11层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法定代表人：张峰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联系人：李雯</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联系电话：010-60842306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客户服务电话：400-021-8850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传真：010-85712195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网址：www.harvestwm.cn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(152) 江苏金百临投资咨询股份有限公司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注册地址：无锡市滨湖区锦溪路99号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办公地址：江苏省无锡市太湖新城锦溪道楝泽路9号楼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法人代表：费晓燕</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联系人：邹云</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联系电话：0510-81188088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客户服务电话：0510-9688988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网址：www.jsjbl.com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(153) 浙江金观诚基金销售有限公司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注册地址：杭州拱墅区登云路45号金诚集团（锦昌大厦）1幢10楼1001室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办公地址：杭州拱墅区登云路55号金诚集团（锦昌大厦）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法定代表人：蒋雪琦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联系人：来舒岚</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联系电话：0571-88337888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客户服务电话：4000680058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传真：0571-88337666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网址：http://www.jincheng-fund.com/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(154) 上海久富财富基金销售有限公司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注册地址：上海市浦东新区莱阳路2819号1幢109室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办公地址：上海市浦东新区民生路1403号上海信息大厦1215室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法定代表人：赵惠蓉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联系人：赵惠蓉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联系电话：021-68682279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客户服务电话：400-102-1813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传真：021-68682297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网址：www.jfcta.com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(155) 上海凯石财富基金销售有限公司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注册地址：上海市黄浦区西藏南路765号602-115室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办公地址：上海市黄浦区延安东路1号凯石大厦4楼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法定代表人：陈继武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联系人：冯强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联系电话：021-63333389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客户服务电话：4006-433-389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传真：021-63333390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网址：www.vstonewealth.com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(156) 北京肯特瑞基金销售有限公司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注册地址：北京市海淀区西三旗建材城中路12号17号平房157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办公地址：北京市大兴区亦庄经济开发区科创十一街十八号院京东集团总部A座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法定代表人：王苏宁</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联系人：娄云</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联系电话：010-89189291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客户服务电话：95118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网址：http://fund.jd.com/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(157) 上海利得基金销售有限公司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注册地址：上海市宝山区蕴川路5475号1033室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办公地址：上海市虹口区东大名路1098号浦江国际金融广场53层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法定代表人：李兴春</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联系人：陈孜明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联系电话：86-021-50583533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客户服务电话：95733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传真：86-21-61101630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网址：www.leadfund.com.cn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(158) 上海联泰基金销售有限公司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注册地址：中国（上海）自由贸易试验区富特北路277号3层310室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办公地址：上海市长宁区福泉北路518号8座3楼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法定代表人：尹彬彬</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联系人：陈东</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联系电话：021-52822063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客户服务电话：400-118-1188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传真：021-52975270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网址：www.66zichan.com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(159) 上海陆金所基金销售有限公司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注册地址：中国（上海）自由贸易试验区陆家嘴环路1333号14楼09单元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办公地址：中国（上海）自由贸易试验区陆家嘴环路1333号14楼09单元</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法定代表人：王之光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联系人：宁博宇</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联系电话：021-20665952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客户服务电话：4008219031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传真：021-22066653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网址：www.lufunds.com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(160) 蚂蚁（杭州）基金销售有限公司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注册地址：浙江省杭州市余杭区五常街道文一西路969号3幢5层599室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办公地址：浙江省杭州市西湖区万塘路18号黄龙时代广场B座6F</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法定代表人：祖国明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联系人：韩爱彬</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联系电话：0571-26888888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客户服务电话：4000-766-123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网址：http://www.fund123.cn/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(161) 民商基金销售（上海）有限公司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注册地址：上海市黄浦区北京东路666号H区（东座）6楼A31室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办公地址：上海市浦东新区张杨路707号生命人寿大厦32楼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法定代表人：贲惠琴</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联系人：林志枫</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联系电话：021-50206003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客户服务电话：021-50206003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传真：021-50206001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网址：http://www.msftec.com/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(162) 诺亚正行基金销售有限公司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注册地址：上海市虹口区飞虹路360弄9号3724室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办公地址：上海市杨浦区长阳路1687号长阳谷2号楼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法定代表人：汪静波</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联系人：李娟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联系电话：021-80358523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客户服务电话：400-821-5399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传真：021-38509777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网址：www.noah-fund.com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(163) 浦领基金销售有限公司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注册地址：北京市朝阳区望京东园四区13号楼A座9层908室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办公地址：北京市朝阳区望京浦项中心A座9层04-08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法定代表人：聂婉君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联系人：李艳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联系电话：010-59497361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客户服务电话：400-012-5899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传真：010-64788016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网址：www.zscffund.com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(164) 北京钱景基金销售有限公司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注册地址：北京市海淀区中关村东路18号1号楼11层B-1108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办公地址：北京市海淀区中关村东路18号财智国际大厦B-1108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法定代表人：王利刚</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联系人：白皓</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联系电话：010-59422766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客户服务电话：400-893-6885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传真：010-62565181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网址：www.qianjing.com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(165) 深圳市新兰德证券投资咨询有限公司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注册地址：深圳市福田区福田街道民田路178号华融大厦27层2704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办公地址：北京市西城区宣武门外大街28号富卓大厦A座7层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法定代表人：洪弘</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联系人：张燕</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联系电话：010-83363099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客户服务电话：400-166-1188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传真：010-83363010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网址：http://8.jrj.com.cn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(166) 北京晟视天下基金销售有限公司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注册地址：北京市怀柔区九渡河镇黄坎村735号03室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办公地址：北京市朝阳区朝外大街甲六号万通中心D座21层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法定代表人：蒋煜</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联系人：史俊杰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联系电话：010-58170936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客户服务电话：010-58170761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传真：010-58170800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网址：www.shengshiview.com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(167) 南京苏宁基金销售有限公司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注册地址：南京市玄武区苏宁大道1-5号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办公地址：南京市玄武区苏宁大道1-5号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法定代表人：王锋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联系人：冯鹏鹏</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联系电话：025-66996699-882796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客户服务电话：95177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网址：www.snjijin.com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(168) 上海天天基金销售有限公司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注册地址：上海市徐汇区龙田路190号2号楼2层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办公地址：上海市徐汇区宛平南路88号东方财富大厦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法定代表人：其实</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联系人：屠彦洋</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联系电话：021-54509977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客户服务电话：95021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传真：021-64385308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网址：www.1234567.com.cn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(169) 通华财富（上海）基金销售有限公司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注册地址：上海市虹口区同丰路667弄107号201室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办公地址：上海市浦东新区金沪路55号通华科技大厦2楼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法定代表人：沈丹义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联系人：杨涛、庄洁茹</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联系电话：021-60810586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客户服务电话：400-101-9301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传真：021-60810695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网址：www.tonghuafund.com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(170) 浙江同花顺基金销售有限公司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注册地址：浙江省杭州市文二西路1号903室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办公地址：杭州市余杭区五常街道同顺街18号同花顺大楼4层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法定代表人：吴强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联系人：吴强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联系电话：0571-88911818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客户服务电话：952555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传真：0571-86800423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网址：www.5ifund.com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(171) 南京途牛基金销售有限公司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注册地址：江苏省南京市玄武区玄武大道699-1号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办公地址：江苏省南京市玄武区玄武大道699-32号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法人代表：宋时琳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联系人：贺杰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联系电话：025-86853960-66727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客户服务电话：4007-999-999转3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网址：http://jr.tuniu.com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(172) 上海挖财基金销售有限公司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注册地址：中国（上海）自由贸易试验区杨高南路799号5楼04室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办公地址：上海市浦东新区杨高南路799号陆家嘴世纪金融广场3号楼5层04室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法定代表人：吕柳霞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联系人：曾芸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联系电话：021-50810687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客户服务电话：021-50810673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网址：www.wacaijijin.com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(173) 上海万得基金销售有限公司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注册地址：中国（上海）自由贸易试验区福山路33号11楼B座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办公地址：上海市浦东新区浦明路1500号万得大厦11楼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法定代表人：黄祎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联系人：徐亚丹</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联系电话：021-50712782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客户服务电话：400-799-1888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网址：www.520fund.com.cn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(174) 万家财富基金销售（天津）有限公司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注册地址：天津自贸区（中心商务区）迎宾大道1988号滨海浙商大厦公寓2-2413室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办公地址：北京市西城区丰盛胡同28号太平洋保险大厦A座5层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法定代表人：张军</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联系人：王芳芳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联系电话：010-59013828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客户服务电话：010-59013895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网址：http://www.wanjiawealth.com/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(175) 北京新浪仓石基金销售有限公司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注册地址：北京市海淀区东北旺西路中关村软件园二期（西扩）N-1、N-2地块新浪总部科研楼5层518室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办公地址：北京市海淀区西北旺东路10号院东区3号楼为明大厦C座</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法定代表人：赵芯蕊</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联系人：赵芯蕊</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联系电话：010-62625768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客户服务电话：010-62675369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传真：010-62676582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网址：www.xincai.com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(176) 厦门市鑫鼎盛控股有限公司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注册地址：厦门市思明区鹭江道2号厦门第一广场西座1501-1502室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办公地址：厦门市思明区鹭江道2号厦门第一广场西座1501-1502室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 xml:space="preserve">法定代表人：陈洪生 </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联系人：梁云波</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联系电话：0592-3122757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客户服务电话：400-6533-789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网址：www.xds.com.cn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(177) 阳光人寿保险股份有限公司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注册地址：海南省三亚市迎宾路360-1号三亚阳光金融广场16层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办公地址：北京市朝阳区朝阳门外大街乙12号院1号昆泰国际大厦12层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法定代表人：李科</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联系人：王超</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联系电话：010-85632771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客户服务电话：95510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传真：010-85632773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网址：http://fund.sinosig.com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(178) 一路财富（北京）基金销售有限公司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注册地址：北京市海淀区宝盛南路1号院20号楼9层101-14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办公地址：北京市海淀区宝盛南路奥北科技园20号楼国泰大厦9层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法定代表人：吴雪秀</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联系人：董宣</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联系电话：010-88312877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客户服务电话：400-001-1566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传真：010-88312099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网址：www.yilucaifu.com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(179) 深圳宜投基金销售有限公司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注册地址：深圳市前海深港合作区前湾一路1号A栋201室（入驻深圳市前海商务秘书有限公司）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办公地址：深圳市福田区嘉里建设广场2座15楼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法定代表人：雷凤潮</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联系人：梁菲菲</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联系电话：0755-88603874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客户服务电话：4008-955-811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网址：www.yitfund.com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(180) 宜信普泽（北京）基金销售有限公司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注册地址：北京市朝阳区西大望路1号9层公寓1008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办公地址：北京市朝阳区西大望路1号9层公寓1008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法定代表人：戎兵</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联系人：魏晨</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联系电话：010-52413385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客户服务电话：400-6099-200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传真：010-85800047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网址：www.yixinfund.com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(181) 奕丰基金销售有限公司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注册地址：深圳市前海深港合作区前湾一路1号A栋201室（入驻深圳市前海商务秘书有限公司）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办公地址：深圳市南山区海德三道航天科技广场A座17楼1704室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法定代表人：TEO WEE HOWE</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联系人：叶健</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联系电话：0755-89460507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客户服务电话：400-684-0500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传真：0755-21674453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网址：www.ifastps.com.cn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(182) 珠海盈米基金销售有限公司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注册地址：珠海市横琴新区宝华路6号105室-3491（集中办公区）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办公地址：广州市海珠区琶洲大道东路1号保利国际广场南塔1201-1203室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法定代表人：肖雯</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联系人：邱湘湘</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联系电话：020-89629099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客户服务电话：020-89629066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传真：020-89629011</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网址：www.yingmi.cn</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(183) 上海云湾基金销售有限公司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注册地址：中国（上海）自由贸易试验区新金桥路27号、明月路1257号1幢1层103-1、103-2办公区</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办公地址：上海市浦东新区新金桥路27号1号楼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法定代表人：冯轶明</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联系人：范泽杰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联系电话：021-20530186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客户服务电话：400-820-1515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传真：021-20539999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网址：http://www.zhengtongfunds.com/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(184) 北京展恒基金销售股份有限公司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注册地址：北京市朝阳区安苑路11号西楼6层604、607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办公地址：北京市朝阳区北四环中路27号盘古大观3205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法定代表人：闫振杰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联系人：武文佳</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联系电话：010-59601399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客户服务电话：400-818-8000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传真：0351-4110714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网址：www.myfund.com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(185) 北京中期时代基金销售有限公司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注册地址：北京市朝阳区建国门外光华路14号1幢11层1103号</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办公地址：北京市朝阳区建国门外光华路14号1幢4层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法定代表人：田宏莉</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联系人：尹庆</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联系电话：010-65807865</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客户服务电话：95162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传真：010-65807864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网址：www.jrtoo.com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(186) 中信建投期货有限公司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注册地址：重庆市渝中区中山三路107号上站大楼平街11-B，名义层11-A，8-B4，9-B、C</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办公地址：重庆市渝中区中山三路107号皇冠大厦11楼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法定代表人：王广学</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联系人：刘芸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联系电话：023-86769637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客户服务电话：400-8877-780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传真：023-86769629</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网址：www.cfc108.com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(187) 中信期货有限公司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注册地址：广东省深圳市福田区中心三路8号卓越时代广场（二期）北座13层1301-1305室、14层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办公地址：深圳市福田区中心三路8号卓越时代广场（二期）北座13层1301-1305室、14层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法定代表人：张皓</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联系人：刘宏莹</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联系电话：010-6083 3754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客户服务电话：400-990-8826</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传真：021-60819988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网址：www.citicsf.com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(188) 上海中正达广基金销售有限公司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注册地址：上海市徐汇区龙腾大道2815号302室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办公地址：上海市徐汇区龙腾大道2815号302室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法定代表人：黄欣</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联系人：戴珉微</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联系电话：021-33768132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客户服务电话：400-6767-523</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传真：021-33768132-802</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网址：www.zhongzhengfund.com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(189) 中证金牛（北京）投资咨询有限公司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注册地址：北京市丰台区东管头1号2号楼2-45室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办公地址：北京市西城区宣武门外大街甲1号环球财讯中心A座5层</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法定代表人：钱昊旻</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联系人：沈晨</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联系电话：010-59336544</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客户服务电话：4008-909-998</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网址：www.jnlc.com</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lastRenderedPageBreak/>
        <w:t>(190) 深圳众禄基金销售股份有限公司</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注册地址：深圳市罗湖区笋岗街道笋西社区梨园路8号HALO广场一期四层12-13室</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办公地址：深圳市罗湖区梨园路HALO广场4楼</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法定代表人：薛峰</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联系人：龚江江</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联系电话：0755-33227950</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客户服务电话：4006-788-887</w:t>
      </w:r>
    </w:p>
    <w:p w:rsidR="00F507EC" w:rsidRPr="008644BE" w:rsidRDefault="00F507EC" w:rsidP="00F507EC">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传真：0755-33227951</w:t>
      </w:r>
    </w:p>
    <w:p w:rsidR="003411CA" w:rsidRPr="008644BE" w:rsidRDefault="00F507EC" w:rsidP="008644BE">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网址：www.zlfund.cn    www.jjmmw.com</w:t>
      </w:r>
    </w:p>
    <w:p w:rsidR="00BA4B87" w:rsidRPr="008644BE" w:rsidRDefault="002E1C38" w:rsidP="006A40DE">
      <w:pPr>
        <w:snapToGrid w:val="0"/>
        <w:spacing w:line="360" w:lineRule="auto"/>
        <w:ind w:leftChars="67" w:left="141" w:firstLineChars="67" w:firstLine="141"/>
        <w:rPr>
          <w:rStyle w:val="da"/>
          <w:rFonts w:asciiTheme="minorEastAsia" w:eastAsiaTheme="minorEastAsia" w:hAnsiTheme="minorEastAsia"/>
        </w:rPr>
      </w:pPr>
      <w:bookmarkStart w:id="34" w:name="_Toc332373483"/>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二</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w:t>
      </w:r>
      <w:bookmarkEnd w:id="34"/>
      <w:r w:rsidR="006F2DCE" w:rsidRPr="008644BE">
        <w:rPr>
          <w:rStyle w:val="da"/>
          <w:rFonts w:asciiTheme="minorEastAsia" w:eastAsiaTheme="minorEastAsia" w:hAnsiTheme="minorEastAsia" w:hint="eastAsia"/>
        </w:rPr>
        <w:t>登记机构</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名称：易方达基金管理有限公司</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rPr>
        <w:t>注册地址：</w:t>
      </w:r>
      <w:r w:rsidR="00D53D6B" w:rsidRPr="008644BE">
        <w:rPr>
          <w:rStyle w:val="da"/>
          <w:rFonts w:asciiTheme="minorEastAsia" w:eastAsiaTheme="minorEastAsia" w:hAnsiTheme="minorEastAsia" w:hint="eastAsia"/>
        </w:rPr>
        <w:t>广东省珠海市横琴新区宝华路6号105室－42891（集中办公区）</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rPr>
        <w:t>办公</w:t>
      </w:r>
      <w:r w:rsidRPr="008644BE">
        <w:rPr>
          <w:rStyle w:val="da"/>
          <w:rFonts w:asciiTheme="minorEastAsia" w:eastAsiaTheme="minorEastAsia" w:hAnsiTheme="minorEastAsia" w:hint="eastAsia"/>
        </w:rPr>
        <w:t>地址：</w:t>
      </w:r>
      <w:r w:rsidR="007445A2" w:rsidRPr="008644BE">
        <w:rPr>
          <w:rFonts w:asciiTheme="minorEastAsia" w:eastAsiaTheme="minorEastAsia" w:hAnsiTheme="minorEastAsia" w:hint="eastAsia"/>
        </w:rPr>
        <w:t>广州市天河区珠江新城珠江东路30号广州银行大厦40-43楼</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法定代表人：</w:t>
      </w:r>
      <w:r w:rsidR="001145FE" w:rsidRPr="008644BE">
        <w:rPr>
          <w:rStyle w:val="da"/>
          <w:rFonts w:asciiTheme="minorEastAsia" w:eastAsiaTheme="minorEastAsia" w:hAnsiTheme="minorEastAsia" w:hint="eastAsia"/>
        </w:rPr>
        <w:t>刘晓艳</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电话：4008818088</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传真：</w:t>
      </w:r>
      <w:r w:rsidRPr="008644BE">
        <w:rPr>
          <w:rStyle w:val="da"/>
          <w:rFonts w:asciiTheme="minorEastAsia" w:eastAsiaTheme="minorEastAsia" w:hAnsiTheme="minorEastAsia"/>
        </w:rPr>
        <w:t>020</w:t>
      </w:r>
      <w:r w:rsidRPr="008644BE">
        <w:rPr>
          <w:rStyle w:val="da"/>
          <w:rFonts w:asciiTheme="minorEastAsia" w:eastAsiaTheme="minorEastAsia" w:hAnsiTheme="minorEastAsia" w:hint="eastAsia"/>
        </w:rPr>
        <w:t>-38799249</w:t>
      </w:r>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联系人：余贤高</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35" w:name="_Toc332373484"/>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三</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律师事务所和经办律师</w:t>
      </w:r>
      <w:bookmarkEnd w:id="35"/>
    </w:p>
    <w:p w:rsidR="008779FF" w:rsidRPr="008644BE" w:rsidRDefault="008779F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律师事务所：北京市中伦（广州）律师事务所</w:t>
      </w:r>
    </w:p>
    <w:p w:rsidR="008779FF" w:rsidRPr="008644BE" w:rsidRDefault="008779F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地址：广东省广州市天河区珠江新城华夏路</w:t>
      </w:r>
      <w:r w:rsidRPr="008644BE">
        <w:rPr>
          <w:rFonts w:asciiTheme="minorEastAsia" w:eastAsiaTheme="minorEastAsia" w:hAnsiTheme="minorEastAsia"/>
          <w:szCs w:val="21"/>
        </w:rPr>
        <w:t>10</w:t>
      </w:r>
      <w:r w:rsidRPr="008644BE">
        <w:rPr>
          <w:rFonts w:asciiTheme="minorEastAsia" w:eastAsiaTheme="minorEastAsia" w:hAnsiTheme="minorEastAsia" w:hint="eastAsia"/>
          <w:szCs w:val="21"/>
        </w:rPr>
        <w:t>号富力中心</w:t>
      </w:r>
      <w:r w:rsidRPr="008644BE">
        <w:rPr>
          <w:rFonts w:asciiTheme="minorEastAsia" w:eastAsiaTheme="minorEastAsia" w:hAnsiTheme="minorEastAsia"/>
          <w:szCs w:val="21"/>
        </w:rPr>
        <w:t>23</w:t>
      </w:r>
      <w:r w:rsidRPr="008644BE">
        <w:rPr>
          <w:rFonts w:asciiTheme="minorEastAsia" w:eastAsiaTheme="minorEastAsia" w:hAnsiTheme="minorEastAsia" w:hint="eastAsia"/>
          <w:szCs w:val="21"/>
        </w:rPr>
        <w:t>楼</w:t>
      </w:r>
    </w:p>
    <w:p w:rsidR="008779FF" w:rsidRPr="008644BE" w:rsidRDefault="008779F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负责人：林泽军</w:t>
      </w:r>
    </w:p>
    <w:p w:rsidR="008779FF" w:rsidRPr="008644BE" w:rsidRDefault="008779F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电话：</w:t>
      </w:r>
      <w:r w:rsidRPr="008644BE">
        <w:rPr>
          <w:rFonts w:asciiTheme="minorEastAsia" w:eastAsiaTheme="minorEastAsia" w:hAnsiTheme="minorEastAsia"/>
          <w:szCs w:val="21"/>
        </w:rPr>
        <w:t>(020)28261688</w:t>
      </w:r>
    </w:p>
    <w:p w:rsidR="008779FF" w:rsidRPr="008644BE" w:rsidRDefault="008779F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传真：</w:t>
      </w:r>
      <w:r w:rsidRPr="008644BE">
        <w:rPr>
          <w:rFonts w:asciiTheme="minorEastAsia" w:eastAsiaTheme="minorEastAsia" w:hAnsiTheme="minorEastAsia"/>
          <w:szCs w:val="21"/>
        </w:rPr>
        <w:t>(020)28261666</w:t>
      </w:r>
    </w:p>
    <w:p w:rsidR="008779FF" w:rsidRPr="008644BE" w:rsidRDefault="008779F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经办律师：林泽军、凌娜</w:t>
      </w:r>
    </w:p>
    <w:p w:rsidR="008779FF" w:rsidRPr="008644BE" w:rsidRDefault="008779F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联系人：凌娜</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36" w:name="_Toc332373485"/>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四</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会计师事务所和经办注册会计师</w:t>
      </w:r>
      <w:bookmarkEnd w:id="36"/>
    </w:p>
    <w:p w:rsidR="00412292" w:rsidRPr="008644BE" w:rsidRDefault="0041229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会计师事务所：安永华明会计师事务所（特殊普通合伙）</w:t>
      </w:r>
    </w:p>
    <w:p w:rsidR="00412292" w:rsidRPr="008644BE" w:rsidRDefault="0041229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主要经营场所：北京市东城区东长安街1号东方广场安永大楼17层01-12室</w:t>
      </w:r>
    </w:p>
    <w:p w:rsidR="00412292" w:rsidRPr="008644BE" w:rsidRDefault="0041229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执行事务合伙人：</w:t>
      </w:r>
      <w:r w:rsidR="003A1634" w:rsidRPr="008644BE">
        <w:rPr>
          <w:rFonts w:asciiTheme="minorEastAsia" w:eastAsiaTheme="minorEastAsia" w:hAnsiTheme="minorEastAsia" w:hint="eastAsia"/>
          <w:szCs w:val="21"/>
        </w:rPr>
        <w:t>TonyMao毛鞍宁</w:t>
      </w:r>
    </w:p>
    <w:p w:rsidR="00412292" w:rsidRPr="008644BE" w:rsidRDefault="0041229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电话：010-58153000</w:t>
      </w:r>
    </w:p>
    <w:p w:rsidR="00412292" w:rsidRPr="008644BE" w:rsidRDefault="0041229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传真：010-85188298</w:t>
      </w:r>
    </w:p>
    <w:p w:rsidR="00412292" w:rsidRPr="008644BE" w:rsidRDefault="0041229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经办注册会计师：</w:t>
      </w:r>
      <w:r w:rsidR="004F6A48" w:rsidRPr="004F6A48">
        <w:rPr>
          <w:rFonts w:asciiTheme="minorEastAsia" w:eastAsiaTheme="minorEastAsia" w:hAnsiTheme="minorEastAsia" w:hint="eastAsia"/>
          <w:szCs w:val="21"/>
        </w:rPr>
        <w:t>昌华</w:t>
      </w:r>
      <w:r w:rsidR="00B73952" w:rsidRPr="008644BE">
        <w:rPr>
          <w:rFonts w:asciiTheme="minorEastAsia" w:eastAsiaTheme="minorEastAsia" w:hAnsiTheme="minorEastAsia" w:hint="eastAsia"/>
          <w:szCs w:val="21"/>
        </w:rPr>
        <w:t>、马婧</w:t>
      </w:r>
    </w:p>
    <w:p w:rsidR="00412292" w:rsidRPr="008644BE" w:rsidRDefault="0041229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联系人：</w:t>
      </w:r>
      <w:r w:rsidR="004F6A48" w:rsidRPr="004F6A48">
        <w:rPr>
          <w:rFonts w:asciiTheme="minorEastAsia" w:eastAsiaTheme="minorEastAsia" w:hAnsiTheme="minorEastAsia" w:hint="eastAsia"/>
          <w:szCs w:val="21"/>
        </w:rPr>
        <w:t>昌华</w:t>
      </w:r>
    </w:p>
    <w:p w:rsidR="00BA4B87" w:rsidRPr="008644BE" w:rsidRDefault="00BA4B87" w:rsidP="00936084">
      <w:pPr>
        <w:pStyle w:val="1"/>
        <w:pageBreakBefore/>
        <w:snapToGrid w:val="0"/>
        <w:spacing w:beforeLines="0" w:afterLines="0" w:line="360" w:lineRule="auto"/>
        <w:ind w:firstLine="640"/>
        <w:rPr>
          <w:rFonts w:asciiTheme="minorEastAsia" w:eastAsiaTheme="minorEastAsia" w:hAnsiTheme="minorEastAsia"/>
          <w:bCs/>
        </w:rPr>
      </w:pPr>
      <w:bookmarkStart w:id="37" w:name="_Toc332373486"/>
      <w:bookmarkStart w:id="38" w:name="_Toc49269631"/>
      <w:r w:rsidRPr="008644BE">
        <w:rPr>
          <w:rFonts w:asciiTheme="minorEastAsia" w:eastAsiaTheme="minorEastAsia" w:hAnsiTheme="minorEastAsia" w:hint="eastAsia"/>
          <w:bCs/>
        </w:rPr>
        <w:lastRenderedPageBreak/>
        <w:t>六、基金的募集</w:t>
      </w:r>
      <w:bookmarkEnd w:id="37"/>
      <w:bookmarkEnd w:id="38"/>
    </w:p>
    <w:p w:rsidR="00BA4B87" w:rsidRPr="008644BE" w:rsidRDefault="00BA4B87"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本基金由基金管理人依照《基金法》、《运作办法》、《销售办法》、基金合同的相关规定、并</w:t>
      </w:r>
      <w:r w:rsidR="002B2AF3" w:rsidRPr="008644BE">
        <w:rPr>
          <w:rStyle w:val="da"/>
          <w:rFonts w:asciiTheme="minorEastAsia" w:eastAsiaTheme="minorEastAsia" w:hAnsiTheme="minorEastAsia" w:hint="eastAsia"/>
        </w:rPr>
        <w:t>根据</w:t>
      </w:r>
      <w:r w:rsidRPr="008644BE">
        <w:rPr>
          <w:rStyle w:val="da"/>
          <w:rFonts w:asciiTheme="minorEastAsia" w:eastAsiaTheme="minorEastAsia" w:hAnsiTheme="minorEastAsia" w:hint="eastAsia"/>
        </w:rPr>
        <w:t>中国证券监督管理委员会</w:t>
      </w:r>
      <w:r w:rsidR="00273FF1" w:rsidRPr="008644BE">
        <w:rPr>
          <w:rStyle w:val="da"/>
          <w:rFonts w:asciiTheme="minorEastAsia" w:eastAsiaTheme="minorEastAsia" w:hAnsiTheme="minorEastAsia" w:hint="eastAsia"/>
        </w:rPr>
        <w:t>2014年3月13日</w:t>
      </w:r>
      <w:r w:rsidRPr="008644BE">
        <w:rPr>
          <w:rStyle w:val="da"/>
          <w:rFonts w:asciiTheme="minorEastAsia" w:eastAsiaTheme="minorEastAsia" w:hAnsiTheme="minorEastAsia" w:hint="eastAsia"/>
        </w:rPr>
        <w:t>《关于核准</w:t>
      </w:r>
      <w:r w:rsidR="00E40637" w:rsidRPr="008644BE">
        <w:rPr>
          <w:rStyle w:val="da"/>
          <w:rFonts w:asciiTheme="minorEastAsia" w:eastAsiaTheme="minorEastAsia" w:hAnsiTheme="minorEastAsia" w:hint="eastAsia"/>
        </w:rPr>
        <w:t>易方达</w:t>
      </w:r>
      <w:r w:rsidR="009B42FE" w:rsidRPr="008644BE">
        <w:rPr>
          <w:rStyle w:val="da"/>
          <w:rFonts w:asciiTheme="minorEastAsia" w:eastAsiaTheme="minorEastAsia" w:hAnsiTheme="minorEastAsia" w:hint="eastAsia"/>
        </w:rPr>
        <w:t>创新驱动</w:t>
      </w:r>
      <w:r w:rsidR="00E40637" w:rsidRPr="008644BE">
        <w:rPr>
          <w:rStyle w:val="da"/>
          <w:rFonts w:asciiTheme="minorEastAsia" w:eastAsiaTheme="minorEastAsia" w:hAnsiTheme="minorEastAsia" w:hint="eastAsia"/>
        </w:rPr>
        <w:t>灵活配置混合型</w:t>
      </w:r>
      <w:r w:rsidR="002221EE" w:rsidRPr="008644BE">
        <w:rPr>
          <w:rStyle w:val="da"/>
          <w:rFonts w:asciiTheme="minorEastAsia" w:eastAsiaTheme="minorEastAsia" w:hAnsiTheme="minorEastAsia" w:hint="eastAsia"/>
        </w:rPr>
        <w:t>证券投资基金</w:t>
      </w:r>
      <w:r w:rsidRPr="008644BE">
        <w:rPr>
          <w:rStyle w:val="da"/>
          <w:rFonts w:asciiTheme="minorEastAsia" w:eastAsiaTheme="minorEastAsia" w:hAnsiTheme="minorEastAsia" w:hint="eastAsia"/>
        </w:rPr>
        <w:t>募集的批复》</w:t>
      </w:r>
      <w:r w:rsidR="002E1C38" w:rsidRPr="008644BE">
        <w:rPr>
          <w:rStyle w:val="da"/>
          <w:rFonts w:asciiTheme="minorEastAsia" w:eastAsiaTheme="minorEastAsia" w:hAnsiTheme="minorEastAsia" w:hint="eastAsia"/>
        </w:rPr>
        <w:t>（</w:t>
      </w:r>
      <w:r w:rsidRPr="008644BE">
        <w:rPr>
          <w:rStyle w:val="da"/>
          <w:rFonts w:asciiTheme="minorEastAsia" w:eastAsiaTheme="minorEastAsia" w:hAnsiTheme="minorEastAsia" w:hint="eastAsia"/>
        </w:rPr>
        <w:t>证监许可[</w:t>
      </w:r>
      <w:r w:rsidR="000E2150" w:rsidRPr="008644BE">
        <w:rPr>
          <w:rStyle w:val="da"/>
          <w:rFonts w:asciiTheme="minorEastAsia" w:eastAsiaTheme="minorEastAsia" w:hAnsiTheme="minorEastAsia" w:hint="eastAsia"/>
        </w:rPr>
        <w:t>2014</w:t>
      </w:r>
      <w:r w:rsidRPr="008644BE">
        <w:rPr>
          <w:rStyle w:val="da"/>
          <w:rFonts w:asciiTheme="minorEastAsia" w:eastAsiaTheme="minorEastAsia" w:hAnsiTheme="minorEastAsia" w:hint="eastAsia"/>
        </w:rPr>
        <w:t>]</w:t>
      </w:r>
      <w:r w:rsidR="00BC3D83" w:rsidRPr="008644BE">
        <w:rPr>
          <w:rStyle w:val="da"/>
          <w:rFonts w:asciiTheme="minorEastAsia" w:eastAsiaTheme="minorEastAsia" w:hAnsiTheme="minorEastAsia" w:hint="eastAsia"/>
        </w:rPr>
        <w:t>290</w:t>
      </w:r>
      <w:r w:rsidRPr="008644BE">
        <w:rPr>
          <w:rStyle w:val="da"/>
          <w:rFonts w:asciiTheme="minorEastAsia" w:eastAsiaTheme="minorEastAsia" w:hAnsiTheme="minorEastAsia" w:hint="eastAsia"/>
        </w:rPr>
        <w:t>号</w:t>
      </w:r>
      <w:r w:rsidR="002E1C38" w:rsidRPr="008644BE">
        <w:rPr>
          <w:rStyle w:val="da"/>
          <w:rFonts w:asciiTheme="minorEastAsia" w:eastAsiaTheme="minorEastAsia" w:hAnsiTheme="minorEastAsia" w:hint="eastAsia"/>
        </w:rPr>
        <w:t>）</w:t>
      </w:r>
      <w:r w:rsidR="00234376" w:rsidRPr="008644BE">
        <w:rPr>
          <w:rStyle w:val="da"/>
          <w:rFonts w:asciiTheme="minorEastAsia" w:eastAsiaTheme="minorEastAsia" w:hAnsiTheme="minorEastAsia" w:hint="eastAsia"/>
        </w:rPr>
        <w:t>、《关于易方达创新驱动灵活配置混合型证券投资基金延期募集备案的回函》（证券基金机构监管部部函[2014]1961号）</w:t>
      </w:r>
      <w:r w:rsidRPr="008644BE">
        <w:rPr>
          <w:rStyle w:val="da"/>
          <w:rFonts w:asciiTheme="minorEastAsia" w:eastAsiaTheme="minorEastAsia" w:hAnsiTheme="minorEastAsia" w:hint="eastAsia"/>
        </w:rPr>
        <w:t>募集。</w:t>
      </w:r>
    </w:p>
    <w:p w:rsidR="003F26D6" w:rsidRPr="008644BE" w:rsidRDefault="003F26D6" w:rsidP="00936084">
      <w:pPr>
        <w:snapToGrid w:val="0"/>
        <w:spacing w:line="360" w:lineRule="auto"/>
        <w:ind w:firstLineChars="200" w:firstLine="420"/>
        <w:rPr>
          <w:rStyle w:val="da"/>
          <w:rFonts w:asciiTheme="minorEastAsia" w:eastAsiaTheme="minorEastAsia" w:hAnsiTheme="minorEastAsia"/>
        </w:rPr>
      </w:pPr>
      <w:bookmarkStart w:id="39" w:name="_Toc332373491"/>
      <w:r w:rsidRPr="008644BE">
        <w:rPr>
          <w:rStyle w:val="da"/>
          <w:rFonts w:asciiTheme="minorEastAsia" w:eastAsiaTheme="minorEastAsia" w:hAnsiTheme="minorEastAsia" w:hint="eastAsia"/>
        </w:rPr>
        <w:t>本基金为契约型开放式混合型基金。基金的存续期为不定期。</w:t>
      </w:r>
    </w:p>
    <w:p w:rsidR="003F26D6" w:rsidRPr="008644BE" w:rsidRDefault="003F26D6"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本基金募集</w:t>
      </w:r>
      <w:r w:rsidRPr="008644BE">
        <w:rPr>
          <w:rFonts w:asciiTheme="minorEastAsia" w:eastAsiaTheme="minorEastAsia" w:hAnsiTheme="minorEastAsia" w:hint="eastAsia"/>
          <w:bCs/>
        </w:rPr>
        <w:t>期间</w:t>
      </w:r>
      <w:r w:rsidRPr="008644BE">
        <w:rPr>
          <w:rFonts w:asciiTheme="minorEastAsia" w:eastAsiaTheme="minorEastAsia" w:hAnsiTheme="minorEastAsia"/>
          <w:bCs/>
        </w:rPr>
        <w:t>每份基金份额的</w:t>
      </w:r>
      <w:r w:rsidRPr="008644BE">
        <w:rPr>
          <w:rFonts w:asciiTheme="minorEastAsia" w:eastAsiaTheme="minorEastAsia" w:hAnsiTheme="minorEastAsia" w:hint="eastAsia"/>
          <w:bCs/>
        </w:rPr>
        <w:t>初始</w:t>
      </w:r>
      <w:r w:rsidRPr="008644BE">
        <w:rPr>
          <w:rFonts w:asciiTheme="minorEastAsia" w:eastAsiaTheme="minorEastAsia" w:hAnsiTheme="minorEastAsia"/>
          <w:bCs/>
        </w:rPr>
        <w:t>面值为人民币1.00元</w:t>
      </w:r>
      <w:r w:rsidRPr="008644BE">
        <w:rPr>
          <w:rFonts w:asciiTheme="minorEastAsia" w:eastAsiaTheme="minorEastAsia" w:hAnsiTheme="minorEastAsia" w:hint="eastAsia"/>
          <w:bCs/>
        </w:rPr>
        <w:t>。</w:t>
      </w:r>
    </w:p>
    <w:p w:rsidR="00BA4B87" w:rsidRPr="008644BE" w:rsidRDefault="003E0C18" w:rsidP="00936084">
      <w:pPr>
        <w:snapToGrid w:val="0"/>
        <w:spacing w:line="360" w:lineRule="auto"/>
        <w:ind w:firstLineChars="200" w:firstLine="420"/>
        <w:rPr>
          <w:rStyle w:val="da"/>
          <w:rFonts w:asciiTheme="minorEastAsia" w:eastAsiaTheme="minorEastAsia" w:hAnsiTheme="minorEastAsia"/>
        </w:rPr>
      </w:pPr>
      <w:r w:rsidRPr="008644BE">
        <w:rPr>
          <w:rFonts w:asciiTheme="minorEastAsia" w:eastAsiaTheme="minorEastAsia" w:hAnsiTheme="minorEastAsia" w:hint="eastAsia"/>
          <w:bCs/>
        </w:rPr>
        <w:t>本基金募集期</w:t>
      </w:r>
      <w:r w:rsidRPr="008644BE">
        <w:rPr>
          <w:rFonts w:asciiTheme="minorEastAsia" w:eastAsiaTheme="minorEastAsia" w:hAnsiTheme="minorEastAsia"/>
          <w:bCs/>
        </w:rPr>
        <w:t>自</w:t>
      </w:r>
      <w:r w:rsidR="004C1D62" w:rsidRPr="008644BE">
        <w:rPr>
          <w:rFonts w:asciiTheme="minorEastAsia" w:eastAsiaTheme="minorEastAsia" w:hAnsiTheme="minorEastAsia"/>
          <w:bCs/>
        </w:rPr>
        <w:t>2015年1月22日</w:t>
      </w:r>
      <w:r w:rsidRPr="008644BE">
        <w:rPr>
          <w:rFonts w:asciiTheme="minorEastAsia" w:eastAsiaTheme="minorEastAsia" w:hAnsiTheme="minorEastAsia"/>
          <w:bCs/>
        </w:rPr>
        <w:t>至</w:t>
      </w:r>
      <w:r w:rsidR="004C1D62" w:rsidRPr="008644BE">
        <w:rPr>
          <w:rFonts w:asciiTheme="minorEastAsia" w:eastAsiaTheme="minorEastAsia" w:hAnsiTheme="minorEastAsia"/>
          <w:bCs/>
        </w:rPr>
        <w:t>2015年2月11日</w:t>
      </w:r>
      <w:r w:rsidRPr="008644BE">
        <w:rPr>
          <w:rFonts w:asciiTheme="minorEastAsia" w:eastAsiaTheme="minorEastAsia" w:hAnsiTheme="minorEastAsia" w:hint="eastAsia"/>
          <w:bCs/>
        </w:rPr>
        <w:t>。</w:t>
      </w:r>
      <w:r w:rsidR="00BA4B87" w:rsidRPr="008644BE">
        <w:rPr>
          <w:rStyle w:val="da"/>
          <w:rFonts w:asciiTheme="minorEastAsia" w:eastAsiaTheme="minorEastAsia" w:hAnsiTheme="minorEastAsia" w:hint="eastAsia"/>
        </w:rPr>
        <w:t>募集对象</w:t>
      </w:r>
      <w:bookmarkEnd w:id="39"/>
      <w:r w:rsidRPr="008644BE">
        <w:rPr>
          <w:rStyle w:val="da"/>
          <w:rFonts w:asciiTheme="minorEastAsia" w:eastAsiaTheme="minorEastAsia" w:hAnsiTheme="minorEastAsia" w:hint="eastAsia"/>
        </w:rPr>
        <w:t>为</w:t>
      </w:r>
      <w:r w:rsidR="00043C5D" w:rsidRPr="008644BE">
        <w:rPr>
          <w:rStyle w:val="da"/>
          <w:rFonts w:asciiTheme="minorEastAsia" w:eastAsiaTheme="minorEastAsia" w:hAnsiTheme="minorEastAsia" w:hint="eastAsia"/>
        </w:rPr>
        <w:t>符合法律法规规定的可投资于证券投资基金的个人投资者、机构投资者和合格境外机构投资者以及法律法规或中国证监会允许购买证券投资基金的其他投资人。</w:t>
      </w:r>
    </w:p>
    <w:p w:rsidR="00BA4B87" w:rsidRPr="008644BE" w:rsidRDefault="00BA4B87" w:rsidP="00936084">
      <w:pPr>
        <w:snapToGrid w:val="0"/>
        <w:spacing w:line="360" w:lineRule="auto"/>
        <w:ind w:firstLineChars="200" w:firstLine="420"/>
        <w:rPr>
          <w:rFonts w:asciiTheme="minorEastAsia" w:eastAsiaTheme="minorEastAsia" w:hAnsiTheme="minorEastAsia"/>
        </w:rPr>
      </w:pPr>
    </w:p>
    <w:p w:rsidR="005D66CE" w:rsidRPr="008644BE" w:rsidRDefault="005D66CE" w:rsidP="00936084">
      <w:pPr>
        <w:snapToGrid w:val="0"/>
        <w:spacing w:line="360" w:lineRule="auto"/>
        <w:ind w:firstLineChars="200" w:firstLine="420"/>
        <w:rPr>
          <w:rFonts w:asciiTheme="minorEastAsia" w:eastAsiaTheme="minorEastAsia" w:hAnsiTheme="minorEastAsia"/>
        </w:rPr>
      </w:pPr>
    </w:p>
    <w:p w:rsidR="00BA4B87" w:rsidRPr="008644BE" w:rsidRDefault="00BA4B87" w:rsidP="00936084">
      <w:pPr>
        <w:pStyle w:val="1"/>
        <w:pageBreakBefore/>
        <w:snapToGrid w:val="0"/>
        <w:spacing w:beforeLines="0" w:afterLines="0" w:line="360" w:lineRule="auto"/>
        <w:ind w:firstLine="640"/>
        <w:rPr>
          <w:rFonts w:asciiTheme="minorEastAsia" w:eastAsiaTheme="minorEastAsia" w:hAnsiTheme="minorEastAsia"/>
        </w:rPr>
      </w:pPr>
      <w:bookmarkStart w:id="40" w:name="_Toc332373495"/>
      <w:bookmarkStart w:id="41" w:name="_Toc49269632"/>
      <w:r w:rsidRPr="008644BE">
        <w:rPr>
          <w:rFonts w:asciiTheme="minorEastAsia" w:eastAsiaTheme="minorEastAsia" w:hAnsiTheme="minorEastAsia" w:hint="eastAsia"/>
          <w:bCs/>
        </w:rPr>
        <w:lastRenderedPageBreak/>
        <w:t>七、基金合同的生效</w:t>
      </w:r>
      <w:bookmarkEnd w:id="40"/>
      <w:bookmarkEnd w:id="41"/>
    </w:p>
    <w:p w:rsidR="004C1D62" w:rsidRPr="008644BE" w:rsidRDefault="004C1D62" w:rsidP="00936084">
      <w:pPr>
        <w:pStyle w:val="21"/>
        <w:snapToGrid w:val="0"/>
        <w:spacing w:before="0" w:beforeAutospacing="0" w:after="0" w:afterAutospacing="0"/>
        <w:ind w:firstLine="420"/>
        <w:rPr>
          <w:rFonts w:asciiTheme="minorEastAsia" w:eastAsiaTheme="minorEastAsia" w:hAnsiTheme="minorEastAsia"/>
          <w:szCs w:val="21"/>
        </w:rPr>
      </w:pPr>
      <w:bookmarkStart w:id="42" w:name="_Toc332373496"/>
      <w:r w:rsidRPr="008644BE">
        <w:rPr>
          <w:rFonts w:asciiTheme="minorEastAsia" w:eastAsiaTheme="minorEastAsia" w:hAnsiTheme="minorEastAsia" w:hint="eastAsia"/>
          <w:szCs w:val="21"/>
        </w:rPr>
        <w:t>（一）</w:t>
      </w:r>
      <w:r w:rsidRPr="008644BE">
        <w:rPr>
          <w:rFonts w:asciiTheme="minorEastAsia" w:eastAsiaTheme="minorEastAsia" w:hAnsiTheme="minorEastAsia"/>
          <w:szCs w:val="21"/>
        </w:rPr>
        <w:t>基金</w:t>
      </w:r>
      <w:r w:rsidRPr="008644BE">
        <w:rPr>
          <w:rFonts w:asciiTheme="minorEastAsia" w:eastAsiaTheme="minorEastAsia" w:hAnsiTheme="minorEastAsia" w:hint="eastAsia"/>
          <w:szCs w:val="21"/>
        </w:rPr>
        <w:t>合同的生效</w:t>
      </w:r>
    </w:p>
    <w:p w:rsidR="00DB6D30" w:rsidRPr="008644BE" w:rsidRDefault="004C1D62" w:rsidP="00936084">
      <w:pPr>
        <w:snapToGrid w:val="0"/>
        <w:spacing w:line="360" w:lineRule="auto"/>
        <w:ind w:firstLineChars="200" w:firstLine="420"/>
        <w:rPr>
          <w:rFonts w:asciiTheme="minorEastAsia" w:eastAsiaTheme="minorEastAsia" w:hAnsiTheme="minorEastAsia"/>
          <w:szCs w:val="21"/>
        </w:rPr>
      </w:pPr>
      <w:bookmarkStart w:id="43" w:name="_Toc133292585"/>
      <w:r w:rsidRPr="008644BE">
        <w:rPr>
          <w:rFonts w:asciiTheme="minorEastAsia" w:eastAsiaTheme="minorEastAsia" w:hAnsiTheme="minorEastAsia"/>
          <w:szCs w:val="21"/>
        </w:rPr>
        <w:t>本基金</w:t>
      </w:r>
      <w:r w:rsidRPr="008644BE">
        <w:rPr>
          <w:rFonts w:asciiTheme="minorEastAsia" w:eastAsiaTheme="minorEastAsia" w:hAnsiTheme="minorEastAsia" w:hint="eastAsia"/>
          <w:szCs w:val="21"/>
        </w:rPr>
        <w:t>基金合同于2015年2月13日正式生效。自基金合同生效日起，本基金管理人正式开始管理本基金。</w:t>
      </w:r>
      <w:bookmarkEnd w:id="43"/>
    </w:p>
    <w:p w:rsidR="00326CD2" w:rsidRPr="008644BE" w:rsidRDefault="00DB6D30"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二</w:t>
      </w:r>
      <w:r w:rsidRPr="008644BE">
        <w:rPr>
          <w:rFonts w:asciiTheme="minorEastAsia" w:eastAsiaTheme="minorEastAsia" w:hAnsiTheme="minorEastAsia" w:hint="eastAsia"/>
          <w:szCs w:val="21"/>
        </w:rPr>
        <w:t>）</w:t>
      </w:r>
      <w:r w:rsidR="00326CD2" w:rsidRPr="008644BE">
        <w:rPr>
          <w:rFonts w:asciiTheme="minorEastAsia" w:eastAsiaTheme="minorEastAsia" w:hAnsiTheme="minorEastAsia" w:hint="eastAsia"/>
          <w:szCs w:val="21"/>
        </w:rPr>
        <w:t>基金存续期内的基金份额持有人数量和资产规模</w:t>
      </w:r>
    </w:p>
    <w:p w:rsidR="00326CD2" w:rsidRPr="008644BE" w:rsidRDefault="00326CD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《基金合同》生效后，</w:t>
      </w:r>
      <w:r w:rsidR="008719F7" w:rsidRPr="008644BE">
        <w:rPr>
          <w:rFonts w:asciiTheme="minorEastAsia" w:eastAsiaTheme="minorEastAsia" w:hAnsiTheme="minorEastAsia" w:hint="eastAsia"/>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r w:rsidRPr="008644BE">
        <w:rPr>
          <w:rFonts w:asciiTheme="minorEastAsia" w:eastAsiaTheme="minorEastAsia" w:hAnsiTheme="minorEastAsia" w:hint="eastAsia"/>
          <w:szCs w:val="21"/>
        </w:rPr>
        <w:t>。</w:t>
      </w:r>
    </w:p>
    <w:p w:rsidR="00DB6D30" w:rsidRPr="008644BE" w:rsidRDefault="00326CD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法律法规或基金合同另有规定时，从其规定。</w:t>
      </w:r>
    </w:p>
    <w:bookmarkEnd w:id="42"/>
    <w:p w:rsidR="00BA4B87" w:rsidRPr="008644BE" w:rsidRDefault="00BA4B87" w:rsidP="00936084">
      <w:pPr>
        <w:pStyle w:val="1"/>
        <w:snapToGrid w:val="0"/>
        <w:spacing w:beforeLines="0" w:afterLines="0" w:line="360" w:lineRule="auto"/>
        <w:ind w:firstLine="480"/>
        <w:rPr>
          <w:rFonts w:asciiTheme="minorEastAsia" w:eastAsiaTheme="minorEastAsia" w:hAnsiTheme="minorEastAsia"/>
        </w:rPr>
      </w:pPr>
      <w:r w:rsidRPr="008644BE">
        <w:rPr>
          <w:rFonts w:asciiTheme="minorEastAsia" w:eastAsiaTheme="minorEastAsia" w:hAnsiTheme="minorEastAsia" w:hint="eastAsia"/>
          <w:sz w:val="24"/>
        </w:rPr>
        <w:br w:type="column"/>
      </w:r>
      <w:bookmarkStart w:id="44" w:name="_Toc332373499"/>
      <w:bookmarkStart w:id="45" w:name="_Toc49269633"/>
      <w:r w:rsidRPr="008644BE">
        <w:rPr>
          <w:rFonts w:asciiTheme="minorEastAsia" w:eastAsiaTheme="minorEastAsia" w:hAnsiTheme="minorEastAsia" w:hint="eastAsia"/>
        </w:rPr>
        <w:lastRenderedPageBreak/>
        <w:t>八、基金份额的申购、赎回</w:t>
      </w:r>
      <w:bookmarkEnd w:id="44"/>
      <w:bookmarkEnd w:id="45"/>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46" w:name="_Toc332373500"/>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一</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基金</w:t>
      </w:r>
      <w:r w:rsidR="008D4032" w:rsidRPr="008644BE">
        <w:rPr>
          <w:rStyle w:val="da"/>
          <w:rFonts w:asciiTheme="minorEastAsia" w:eastAsiaTheme="minorEastAsia" w:hAnsiTheme="minorEastAsia" w:hint="eastAsia"/>
          <w:szCs w:val="21"/>
        </w:rPr>
        <w:t>投资人</w:t>
      </w:r>
      <w:r w:rsidR="00BA4B87" w:rsidRPr="008644BE">
        <w:rPr>
          <w:rStyle w:val="da"/>
          <w:rFonts w:asciiTheme="minorEastAsia" w:eastAsiaTheme="minorEastAsia" w:hAnsiTheme="minorEastAsia" w:hint="eastAsia"/>
          <w:szCs w:val="21"/>
        </w:rPr>
        <w:t>范围</w:t>
      </w:r>
      <w:bookmarkEnd w:id="46"/>
    </w:p>
    <w:p w:rsidR="00BA4B87" w:rsidRPr="008644BE" w:rsidRDefault="0011071E" w:rsidP="00936084">
      <w:pPr>
        <w:snapToGrid w:val="0"/>
        <w:spacing w:line="360" w:lineRule="auto"/>
        <w:ind w:firstLineChars="202" w:firstLine="424"/>
        <w:rPr>
          <w:rFonts w:asciiTheme="minorEastAsia" w:eastAsiaTheme="minorEastAsia" w:hAnsiTheme="minorEastAsia"/>
          <w:szCs w:val="21"/>
        </w:rPr>
      </w:pPr>
      <w:r w:rsidRPr="008644BE">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47" w:name="_Toc332373501"/>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二</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申购与赎回的场所</w:t>
      </w:r>
      <w:bookmarkEnd w:id="47"/>
    </w:p>
    <w:p w:rsidR="00BA4B87" w:rsidRPr="008644BE" w:rsidRDefault="0011071E" w:rsidP="00936084">
      <w:pPr>
        <w:snapToGrid w:val="0"/>
        <w:spacing w:line="360" w:lineRule="auto"/>
        <w:ind w:firstLineChars="202" w:firstLine="424"/>
        <w:rPr>
          <w:rFonts w:asciiTheme="minorEastAsia" w:eastAsiaTheme="minorEastAsia" w:hAnsiTheme="minorEastAsia"/>
          <w:szCs w:val="21"/>
        </w:rPr>
      </w:pPr>
      <w:r w:rsidRPr="008644BE">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ED4153" w:rsidRPr="008644BE">
        <w:rPr>
          <w:rFonts w:asciiTheme="minorEastAsia" w:eastAsiaTheme="minorEastAsia" w:hAnsiTheme="minorEastAsia" w:hint="eastAsia"/>
          <w:bCs/>
          <w:szCs w:val="21"/>
        </w:rPr>
        <w:t>并在基金管理人网站公示</w:t>
      </w:r>
      <w:r w:rsidRPr="008644BE">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48" w:name="_Toc332373502"/>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三</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申购与赎回办理的开放日及时间</w:t>
      </w:r>
      <w:bookmarkEnd w:id="48"/>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1、开放日及开放时间</w:t>
      </w:r>
    </w:p>
    <w:p w:rsidR="003B25BA" w:rsidRPr="008644BE" w:rsidRDefault="003B25BA"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投资人在开放日办理基金份额的申购和赎回，具体办理时间为上海证券交易所、深圳证券交易所的正常</w:t>
      </w:r>
      <w:r w:rsidR="004175EE" w:rsidRPr="008644BE">
        <w:rPr>
          <w:rFonts w:asciiTheme="minorEastAsia" w:eastAsiaTheme="minorEastAsia" w:hAnsiTheme="minorEastAsia" w:hint="eastAsia"/>
          <w:bCs/>
          <w:szCs w:val="21"/>
        </w:rPr>
        <w:t>交易日的交易时间，但基金管理人根据法律法规、中国证监会的要求或</w:t>
      </w:r>
      <w:r w:rsidRPr="008644BE">
        <w:rPr>
          <w:rFonts w:asciiTheme="minorEastAsia" w:eastAsiaTheme="minorEastAsia" w:hAnsiTheme="minorEastAsia" w:hint="eastAsia"/>
          <w:bCs/>
          <w:szCs w:val="21"/>
        </w:rPr>
        <w:t>基金合同的规定公告暂停申购、赎回时除外。</w:t>
      </w:r>
    </w:p>
    <w:p w:rsidR="00EF3C55" w:rsidRPr="008644BE" w:rsidRDefault="003B25BA"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bCs/>
          <w:szCs w:val="21"/>
        </w:rPr>
        <w:t>若出现新的证券交易市场、证券交易所交易时间变更或其他特殊情况，基金管理人将视情况对前述开放日及开放时间进行相应的调整，但应在实施日前依照《信息披露办法》的有关规定在</w:t>
      </w:r>
      <w:r w:rsidR="00B02CB0" w:rsidRPr="008644BE">
        <w:rPr>
          <w:rFonts w:asciiTheme="minorEastAsia" w:eastAsiaTheme="minorEastAsia" w:hAnsiTheme="minorEastAsia" w:hint="eastAsia"/>
          <w:bCs/>
          <w:szCs w:val="21"/>
        </w:rPr>
        <w:t>指定媒介</w:t>
      </w:r>
      <w:r w:rsidRPr="008644BE">
        <w:rPr>
          <w:rFonts w:asciiTheme="minorEastAsia" w:eastAsiaTheme="minorEastAsia" w:hAnsiTheme="minorEastAsia" w:hint="eastAsia"/>
          <w:bCs/>
          <w:szCs w:val="21"/>
        </w:rPr>
        <w:t>上公告。</w:t>
      </w:r>
    </w:p>
    <w:p w:rsidR="0011071E" w:rsidRPr="008644BE" w:rsidRDefault="00EF3C55"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w:t>
      </w:r>
      <w:r w:rsidR="0011071E" w:rsidRPr="008644BE">
        <w:rPr>
          <w:rFonts w:asciiTheme="minorEastAsia" w:eastAsiaTheme="minorEastAsia" w:hAnsiTheme="minorEastAsia" w:hint="eastAsia"/>
          <w:szCs w:val="21"/>
        </w:rPr>
        <w:t>申购、赎回开始日及业务办理时间</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本基金已于</w:t>
      </w:r>
      <w:r w:rsidRPr="008644BE">
        <w:rPr>
          <w:rFonts w:asciiTheme="minorEastAsia" w:eastAsiaTheme="minorEastAsia" w:hAnsiTheme="minorEastAsia"/>
          <w:szCs w:val="21"/>
        </w:rPr>
        <w:t>2015</w:t>
      </w:r>
      <w:r w:rsidRPr="008644BE">
        <w:rPr>
          <w:rFonts w:asciiTheme="minorEastAsia" w:eastAsiaTheme="minorEastAsia" w:hAnsiTheme="minorEastAsia" w:hint="eastAsia"/>
          <w:szCs w:val="21"/>
        </w:rPr>
        <w:t>年3月10日开始办理日常申购和赎回业务。</w:t>
      </w:r>
    </w:p>
    <w:p w:rsidR="00BA4B87" w:rsidRPr="008644BE" w:rsidRDefault="003B25BA"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8644BE" w:rsidRDefault="002E1C38" w:rsidP="00936084">
      <w:pPr>
        <w:snapToGrid w:val="0"/>
        <w:spacing w:line="360" w:lineRule="auto"/>
        <w:ind w:firstLineChars="200" w:firstLine="420"/>
        <w:rPr>
          <w:rFonts w:asciiTheme="minorEastAsia" w:eastAsiaTheme="minorEastAsia" w:hAnsiTheme="minorEastAsia"/>
          <w:bCs/>
          <w:sz w:val="24"/>
        </w:rPr>
      </w:pPr>
      <w:bookmarkStart w:id="49" w:name="_Toc332373503"/>
      <w:r w:rsidRPr="008644BE">
        <w:rPr>
          <w:rStyle w:val="da"/>
          <w:rFonts w:asciiTheme="minorEastAsia" w:eastAsiaTheme="minorEastAsia" w:hAnsiTheme="minorEastAsia" w:hint="eastAsia"/>
          <w:szCs w:val="21"/>
        </w:rPr>
        <w:t>（</w:t>
      </w:r>
      <w:r w:rsidR="008D4032" w:rsidRPr="008644BE">
        <w:rPr>
          <w:rStyle w:val="da"/>
          <w:rFonts w:asciiTheme="minorEastAsia" w:eastAsiaTheme="minorEastAsia" w:hAnsiTheme="minorEastAsia" w:hint="eastAsia"/>
          <w:szCs w:val="21"/>
        </w:rPr>
        <w:t>四</w:t>
      </w:r>
      <w:r w:rsidRPr="008644BE">
        <w:rPr>
          <w:rStyle w:val="da"/>
          <w:rFonts w:asciiTheme="minorEastAsia" w:eastAsiaTheme="minorEastAsia" w:hAnsiTheme="minorEastAsia" w:hint="eastAsia"/>
          <w:szCs w:val="21"/>
        </w:rPr>
        <w:t>）</w:t>
      </w:r>
      <w:r w:rsidR="004E0625" w:rsidRPr="008644BE">
        <w:rPr>
          <w:rStyle w:val="da"/>
          <w:rFonts w:asciiTheme="minorEastAsia" w:eastAsiaTheme="minorEastAsia" w:hAnsiTheme="minorEastAsia"/>
          <w:szCs w:val="21"/>
        </w:rPr>
        <w:t>申购与赎回的原则</w:t>
      </w:r>
    </w:p>
    <w:p w:rsidR="003B25BA" w:rsidRPr="008644BE" w:rsidRDefault="003B25BA"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1、“未知价”原则，即申购、赎回价格以申请当日收市后计算的基金份额净值为基准进行计算；</w:t>
      </w:r>
    </w:p>
    <w:p w:rsidR="003B25BA" w:rsidRPr="008644BE" w:rsidRDefault="003B25BA"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2、“金额申购、份额赎回”原则，即申购以金额申请，赎回以份额申请；</w:t>
      </w:r>
    </w:p>
    <w:p w:rsidR="003B25BA" w:rsidRPr="008644BE" w:rsidRDefault="003B25BA"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3、当日的申购与赎回申请可以在基金管理人规定的时间以内撤销；</w:t>
      </w:r>
    </w:p>
    <w:p w:rsidR="003B25BA" w:rsidRPr="008644BE" w:rsidRDefault="003B25BA"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4、基金份额持有人赎回时，除指定赎回外，基金管理人按先进先出的原则，对该持有人账户在该销售机构托管的基金份额进行处理，即先确认的份额先赎回，后确认的份额后赎回，以确定所适用的赎回费率；</w:t>
      </w:r>
    </w:p>
    <w:p w:rsidR="00BA4B87" w:rsidRPr="008644BE" w:rsidRDefault="003B25BA" w:rsidP="00936084">
      <w:pPr>
        <w:snapToGrid w:val="0"/>
        <w:spacing w:line="360" w:lineRule="auto"/>
        <w:ind w:firstLineChars="200" w:firstLine="420"/>
        <w:rPr>
          <w:rFonts w:asciiTheme="minorEastAsia" w:eastAsiaTheme="minorEastAsia" w:hAnsiTheme="minorEastAsia"/>
          <w:szCs w:val="21"/>
        </w:rPr>
      </w:pPr>
      <w:r w:rsidRPr="008644BE">
        <w:rPr>
          <w:rStyle w:val="da"/>
          <w:rFonts w:asciiTheme="minorEastAsia" w:eastAsiaTheme="minorEastAsia" w:hAnsiTheme="minorEastAsia" w:hint="eastAsia"/>
          <w:szCs w:val="21"/>
        </w:rPr>
        <w:t>基金管理人可在法律法规允许的情况下，对上述原则进行调整。基金管理人必须在新规则开始实施前依照《信息披露办法》的有关规定在</w:t>
      </w:r>
      <w:r w:rsidR="00B02CB0" w:rsidRPr="008644BE">
        <w:rPr>
          <w:rStyle w:val="da"/>
          <w:rFonts w:asciiTheme="minorEastAsia" w:eastAsiaTheme="minorEastAsia" w:hAnsiTheme="minorEastAsia" w:hint="eastAsia"/>
          <w:szCs w:val="21"/>
        </w:rPr>
        <w:t>指定媒介</w:t>
      </w:r>
      <w:r w:rsidRPr="008644BE">
        <w:rPr>
          <w:rStyle w:val="da"/>
          <w:rFonts w:asciiTheme="minorEastAsia" w:eastAsiaTheme="minorEastAsia" w:hAnsiTheme="minorEastAsia" w:hint="eastAsia"/>
          <w:szCs w:val="21"/>
        </w:rPr>
        <w:t>上公告。</w:t>
      </w:r>
      <w:bookmarkEnd w:id="49"/>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50" w:name="_Toc332373504"/>
      <w:r w:rsidRPr="008644BE">
        <w:rPr>
          <w:rStyle w:val="da"/>
          <w:rFonts w:asciiTheme="minorEastAsia" w:eastAsiaTheme="minorEastAsia" w:hAnsiTheme="minorEastAsia" w:hint="eastAsia"/>
          <w:szCs w:val="21"/>
        </w:rPr>
        <w:t>（</w:t>
      </w:r>
      <w:r w:rsidR="008D4032" w:rsidRPr="008644BE">
        <w:rPr>
          <w:rStyle w:val="da"/>
          <w:rFonts w:asciiTheme="minorEastAsia" w:eastAsiaTheme="minorEastAsia" w:hAnsiTheme="minorEastAsia" w:hint="eastAsia"/>
          <w:szCs w:val="21"/>
        </w:rPr>
        <w:t>五</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申购与赎回的程序</w:t>
      </w:r>
      <w:bookmarkEnd w:id="50"/>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lastRenderedPageBreak/>
        <w:t>1</w:t>
      </w:r>
      <w:r w:rsidR="008A168E" w:rsidRPr="008644BE">
        <w:rPr>
          <w:rFonts w:asciiTheme="minorEastAsia" w:eastAsiaTheme="minorEastAsia" w:hAnsiTheme="minorEastAsia" w:hint="eastAsia"/>
          <w:szCs w:val="21"/>
        </w:rPr>
        <w:t>、</w:t>
      </w:r>
      <w:r w:rsidRPr="008644BE">
        <w:rPr>
          <w:rFonts w:asciiTheme="minorEastAsia" w:eastAsiaTheme="minorEastAsia" w:hAnsiTheme="minorEastAsia" w:hint="eastAsia"/>
          <w:szCs w:val="21"/>
        </w:rPr>
        <w:t>申购和赎回的申请方式</w:t>
      </w:r>
    </w:p>
    <w:p w:rsidR="009900DB" w:rsidRPr="008644BE" w:rsidRDefault="009900D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投资人必须根据销售机构规定的程序，在开放日的具体业务办理时间内提出申购或赎回的申请。</w:t>
      </w:r>
    </w:p>
    <w:p w:rsidR="009900DB" w:rsidRPr="008644BE" w:rsidRDefault="009900D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投资人在提交申购申请时须按销售机构规定的方式备足申购资金，投资人在提交赎回申请时须持有足够的基金份额余额，否则所提交的申购、赎回申请无效。</w:t>
      </w:r>
    </w:p>
    <w:p w:rsidR="00BA4B87" w:rsidRPr="008644BE" w:rsidRDefault="009900D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投资人办理申购、赎回等业务时应提交的文件和办理手续、办理时间、处理规则等在遵守基金合同和</w:t>
      </w:r>
      <w:r w:rsidR="00EC5B35" w:rsidRPr="008644BE">
        <w:rPr>
          <w:rFonts w:asciiTheme="minorEastAsia" w:eastAsiaTheme="minorEastAsia" w:hAnsiTheme="minorEastAsia" w:hint="eastAsia"/>
          <w:szCs w:val="21"/>
        </w:rPr>
        <w:t>本</w:t>
      </w:r>
      <w:r w:rsidRPr="008644BE">
        <w:rPr>
          <w:rFonts w:asciiTheme="minorEastAsia" w:eastAsiaTheme="minorEastAsia" w:hAnsiTheme="minorEastAsia" w:hint="eastAsia"/>
          <w:szCs w:val="21"/>
        </w:rPr>
        <w:t>招募说明书规定的前提下，以各销售机构的具体规定为准。</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w:t>
      </w:r>
      <w:r w:rsidR="008A168E" w:rsidRPr="008644BE">
        <w:rPr>
          <w:rFonts w:asciiTheme="minorEastAsia" w:eastAsiaTheme="minorEastAsia" w:hAnsiTheme="minorEastAsia" w:hint="eastAsia"/>
          <w:szCs w:val="21"/>
        </w:rPr>
        <w:t>、</w:t>
      </w:r>
      <w:r w:rsidRPr="008644BE">
        <w:rPr>
          <w:rFonts w:asciiTheme="minorEastAsia" w:eastAsiaTheme="minorEastAsia" w:hAnsiTheme="minorEastAsia" w:hint="eastAsia"/>
          <w:szCs w:val="21"/>
        </w:rPr>
        <w:t>申购和赎回申请的确认</w:t>
      </w:r>
    </w:p>
    <w:p w:rsidR="001735E3" w:rsidRPr="008644BE" w:rsidRDefault="001735E3"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本金退还给投资人。</w:t>
      </w:r>
    </w:p>
    <w:p w:rsidR="007D0E22" w:rsidRPr="008644BE" w:rsidRDefault="001735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bCs/>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8644BE" w:rsidRDefault="007D0E2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在法律法规允许的范围内，</w:t>
      </w:r>
      <w:r w:rsidR="006F2DCE" w:rsidRPr="008644BE">
        <w:rPr>
          <w:rFonts w:asciiTheme="minorEastAsia" w:eastAsiaTheme="minorEastAsia" w:hAnsiTheme="minorEastAsia" w:hint="eastAsia"/>
          <w:szCs w:val="21"/>
        </w:rPr>
        <w:t>登记机构</w:t>
      </w:r>
      <w:r w:rsidRPr="008644BE">
        <w:rPr>
          <w:rFonts w:asciiTheme="minorEastAsia" w:eastAsiaTheme="minorEastAsia" w:hAnsiTheme="minorEastAsia" w:hint="eastAsia"/>
          <w:szCs w:val="21"/>
        </w:rPr>
        <w:t>可根据《业务规则》，对上述业务办理时间进行调整，本基金管理人将于开始实施前按照有关规定予以公告。</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w:t>
      </w:r>
      <w:r w:rsidR="00F55EBC" w:rsidRPr="008644BE">
        <w:rPr>
          <w:rFonts w:asciiTheme="minorEastAsia" w:eastAsiaTheme="minorEastAsia" w:hAnsiTheme="minorEastAsia" w:hint="eastAsia"/>
          <w:szCs w:val="21"/>
        </w:rPr>
        <w:t>、</w:t>
      </w:r>
      <w:r w:rsidRPr="008644BE">
        <w:rPr>
          <w:rFonts w:asciiTheme="minorEastAsia" w:eastAsiaTheme="minorEastAsia" w:hAnsiTheme="minorEastAsia" w:hint="eastAsia"/>
          <w:szCs w:val="21"/>
        </w:rPr>
        <w:t>申购和赎回的款项支付</w:t>
      </w:r>
    </w:p>
    <w:p w:rsidR="002B115A" w:rsidRPr="008644BE" w:rsidRDefault="002B115A"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申购采用全额缴款方式，若申购资金在规定时间内未全额到账则申购不成功。若申购不成功或无效，基金管理人或基金管理人指定的</w:t>
      </w:r>
      <w:r w:rsidR="00F35431" w:rsidRPr="008644BE">
        <w:rPr>
          <w:rFonts w:asciiTheme="minorEastAsia" w:eastAsiaTheme="minorEastAsia" w:hAnsiTheme="minorEastAsia" w:hint="eastAsia"/>
          <w:szCs w:val="21"/>
        </w:rPr>
        <w:t>非直销销售机构</w:t>
      </w:r>
      <w:r w:rsidRPr="008644BE">
        <w:rPr>
          <w:rFonts w:asciiTheme="minorEastAsia" w:eastAsiaTheme="minorEastAsia" w:hAnsiTheme="minorEastAsia" w:hint="eastAsia"/>
          <w:szCs w:val="21"/>
        </w:rPr>
        <w:t>将投资人已缴付的申购款项本金退还给投资人。</w:t>
      </w:r>
    </w:p>
    <w:p w:rsidR="002E55B7" w:rsidRPr="008644BE" w:rsidRDefault="00D768E5"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cs="Calibri" w:hint="eastAsia"/>
          <w:szCs w:val="21"/>
        </w:rPr>
        <w:t>投资人赎回申请成功后，基金管理人将在T＋7日</w:t>
      </w:r>
      <w:r w:rsidR="002E1C38" w:rsidRPr="008644BE">
        <w:rPr>
          <w:rFonts w:asciiTheme="minorEastAsia" w:eastAsiaTheme="minorEastAsia" w:hAnsiTheme="minorEastAsia" w:cs="Calibri" w:hint="eastAsia"/>
          <w:szCs w:val="21"/>
        </w:rPr>
        <w:t>（</w:t>
      </w:r>
      <w:r w:rsidRPr="008644BE">
        <w:rPr>
          <w:rFonts w:asciiTheme="minorEastAsia" w:eastAsiaTheme="minorEastAsia" w:hAnsiTheme="minorEastAsia" w:cs="Calibri" w:hint="eastAsia"/>
          <w:szCs w:val="21"/>
        </w:rPr>
        <w:t>包括该日</w:t>
      </w:r>
      <w:r w:rsidR="002E1C38" w:rsidRPr="008644BE">
        <w:rPr>
          <w:rFonts w:asciiTheme="minorEastAsia" w:eastAsiaTheme="minorEastAsia" w:hAnsiTheme="minorEastAsia" w:cs="Calibri" w:hint="eastAsia"/>
          <w:szCs w:val="21"/>
        </w:rPr>
        <w:t>）</w:t>
      </w:r>
      <w:r w:rsidRPr="008644BE">
        <w:rPr>
          <w:rFonts w:asciiTheme="minorEastAsia" w:eastAsiaTheme="minorEastAsia" w:hAnsiTheme="minorEastAsia" w:cs="Calibri" w:hint="eastAsia"/>
          <w:szCs w:val="21"/>
        </w:rPr>
        <w:t>内支付赎回款项。在发生巨额赎回或基金合同载明的其他暂停赎回或延缓支付赎回款项的情形时，款项的支付办法参照基金合同有关条款处理。</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51" w:name="_Toc332373505"/>
      <w:r w:rsidRPr="008644BE">
        <w:rPr>
          <w:rStyle w:val="da"/>
          <w:rFonts w:asciiTheme="minorEastAsia" w:eastAsiaTheme="minorEastAsia" w:hAnsiTheme="minorEastAsia" w:hint="eastAsia"/>
          <w:szCs w:val="21"/>
        </w:rPr>
        <w:t>（</w:t>
      </w:r>
      <w:r w:rsidR="00214A68" w:rsidRPr="008644BE">
        <w:rPr>
          <w:rStyle w:val="da"/>
          <w:rFonts w:asciiTheme="minorEastAsia" w:eastAsiaTheme="minorEastAsia" w:hAnsiTheme="minorEastAsia" w:hint="eastAsia"/>
          <w:szCs w:val="21"/>
        </w:rPr>
        <w:t>六</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申购与赎回的数额限制</w:t>
      </w:r>
      <w:bookmarkEnd w:id="51"/>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1、申购金额的限制</w:t>
      </w:r>
    </w:p>
    <w:p w:rsidR="00214A68" w:rsidRPr="008644BE" w:rsidRDefault="00214A6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投资人通过</w:t>
      </w:r>
      <w:r w:rsidR="00F35431" w:rsidRPr="008644BE">
        <w:rPr>
          <w:rFonts w:asciiTheme="minorEastAsia" w:eastAsiaTheme="minorEastAsia" w:hAnsiTheme="minorEastAsia" w:hint="eastAsia"/>
          <w:szCs w:val="21"/>
        </w:rPr>
        <w:t>非直销销售机构</w:t>
      </w:r>
      <w:r w:rsidRPr="008644BE">
        <w:rPr>
          <w:rFonts w:asciiTheme="minorEastAsia" w:eastAsiaTheme="minorEastAsia" w:hAnsiTheme="minorEastAsia" w:hint="eastAsia"/>
          <w:szCs w:val="21"/>
        </w:rPr>
        <w:t>或本公司网上交易系统首次申购的单笔最低</w:t>
      </w:r>
      <w:r w:rsidR="0054622C" w:rsidRPr="008644BE">
        <w:rPr>
          <w:rFonts w:asciiTheme="minorEastAsia" w:eastAsiaTheme="minorEastAsia" w:hAnsiTheme="minorEastAsia"/>
          <w:szCs w:val="21"/>
        </w:rPr>
        <w:t>限额</w:t>
      </w:r>
      <w:r w:rsidRPr="008644BE">
        <w:rPr>
          <w:rFonts w:asciiTheme="minorEastAsia" w:eastAsiaTheme="minorEastAsia" w:hAnsiTheme="minorEastAsia" w:hint="eastAsia"/>
          <w:szCs w:val="21"/>
        </w:rPr>
        <w:t>为</w:t>
      </w:r>
      <w:r w:rsidR="0054622C" w:rsidRPr="008644BE">
        <w:rPr>
          <w:rFonts w:asciiTheme="minorEastAsia" w:eastAsiaTheme="minorEastAsia" w:hAnsiTheme="minorEastAsia" w:hint="eastAsia"/>
          <w:szCs w:val="21"/>
        </w:rPr>
        <w:t>人民币</w:t>
      </w:r>
      <w:r w:rsidRPr="008644BE">
        <w:rPr>
          <w:rFonts w:asciiTheme="minorEastAsia" w:eastAsiaTheme="minorEastAsia" w:hAnsiTheme="minorEastAsia" w:hint="eastAsia"/>
          <w:szCs w:val="21"/>
        </w:rPr>
        <w:t>1元</w:t>
      </w:r>
      <w:r w:rsidR="0054622C" w:rsidRPr="008644BE">
        <w:rPr>
          <w:rFonts w:asciiTheme="minorEastAsia" w:eastAsiaTheme="minorEastAsia" w:hAnsiTheme="minorEastAsia" w:hint="eastAsia"/>
          <w:szCs w:val="21"/>
        </w:rPr>
        <w:t>，</w:t>
      </w:r>
      <w:r w:rsidRPr="008644BE">
        <w:rPr>
          <w:rFonts w:asciiTheme="minorEastAsia" w:eastAsiaTheme="minorEastAsia" w:hAnsiTheme="minorEastAsia" w:hint="eastAsia"/>
          <w:szCs w:val="21"/>
        </w:rPr>
        <w:t>追加申购单笔最低</w:t>
      </w:r>
      <w:r w:rsidR="0054622C" w:rsidRPr="008644BE">
        <w:rPr>
          <w:rFonts w:asciiTheme="minorEastAsia" w:eastAsiaTheme="minorEastAsia" w:hAnsiTheme="minorEastAsia"/>
          <w:szCs w:val="21"/>
        </w:rPr>
        <w:t>限额</w:t>
      </w:r>
      <w:r w:rsidRPr="008644BE">
        <w:rPr>
          <w:rFonts w:asciiTheme="minorEastAsia" w:eastAsiaTheme="minorEastAsia" w:hAnsiTheme="minorEastAsia" w:hint="eastAsia"/>
          <w:szCs w:val="21"/>
        </w:rPr>
        <w:t>为</w:t>
      </w:r>
      <w:r w:rsidR="0054622C" w:rsidRPr="008644BE">
        <w:rPr>
          <w:rFonts w:asciiTheme="minorEastAsia" w:eastAsiaTheme="minorEastAsia" w:hAnsiTheme="minorEastAsia" w:hint="eastAsia"/>
          <w:szCs w:val="21"/>
        </w:rPr>
        <w:t>人民币</w:t>
      </w:r>
      <w:r w:rsidRPr="008644BE">
        <w:rPr>
          <w:rFonts w:asciiTheme="minorEastAsia" w:eastAsiaTheme="minorEastAsia" w:hAnsiTheme="minorEastAsia" w:hint="eastAsia"/>
          <w:szCs w:val="21"/>
        </w:rPr>
        <w:t>1元</w:t>
      </w:r>
      <w:r w:rsidR="0054622C" w:rsidRPr="008644BE">
        <w:rPr>
          <w:rFonts w:asciiTheme="minorEastAsia" w:eastAsiaTheme="minorEastAsia" w:hAnsiTheme="minorEastAsia" w:hint="eastAsia"/>
          <w:szCs w:val="21"/>
        </w:rPr>
        <w:t>；投资人通过本公司直销中心首次申购的单笔最低</w:t>
      </w:r>
      <w:r w:rsidR="0054622C" w:rsidRPr="008644BE">
        <w:rPr>
          <w:rFonts w:asciiTheme="minorEastAsia" w:eastAsiaTheme="minorEastAsia" w:hAnsiTheme="minorEastAsia"/>
          <w:szCs w:val="21"/>
        </w:rPr>
        <w:t>限额</w:t>
      </w:r>
      <w:r w:rsidR="0054622C" w:rsidRPr="008644BE">
        <w:rPr>
          <w:rFonts w:asciiTheme="minorEastAsia" w:eastAsiaTheme="minorEastAsia" w:hAnsiTheme="minorEastAsia" w:hint="eastAsia"/>
          <w:szCs w:val="21"/>
        </w:rPr>
        <w:t>为人民币50,000元，追加申购单笔最低</w:t>
      </w:r>
      <w:r w:rsidR="0054622C" w:rsidRPr="008644BE">
        <w:rPr>
          <w:rFonts w:asciiTheme="minorEastAsia" w:eastAsiaTheme="minorEastAsia" w:hAnsiTheme="minorEastAsia"/>
          <w:szCs w:val="21"/>
        </w:rPr>
        <w:t>限额</w:t>
      </w:r>
      <w:r w:rsidR="005427E7" w:rsidRPr="008644BE">
        <w:rPr>
          <w:rFonts w:asciiTheme="minorEastAsia" w:eastAsiaTheme="minorEastAsia" w:hAnsiTheme="minorEastAsia" w:hint="eastAsia"/>
          <w:szCs w:val="21"/>
        </w:rPr>
        <w:t>为</w:t>
      </w:r>
      <w:r w:rsidR="0054622C" w:rsidRPr="008644BE">
        <w:rPr>
          <w:rFonts w:asciiTheme="minorEastAsia" w:eastAsiaTheme="minorEastAsia" w:hAnsiTheme="minorEastAsia" w:hint="eastAsia"/>
          <w:szCs w:val="21"/>
        </w:rPr>
        <w:t>人民币1,000元</w:t>
      </w:r>
      <w:r w:rsidRPr="008644BE">
        <w:rPr>
          <w:rFonts w:asciiTheme="minorEastAsia" w:eastAsiaTheme="minorEastAsia" w:hAnsiTheme="minorEastAsia" w:hint="eastAsia"/>
          <w:szCs w:val="21"/>
        </w:rPr>
        <w:t>。</w:t>
      </w:r>
      <w:r w:rsidR="00E60C66" w:rsidRPr="008644BE">
        <w:rPr>
          <w:rFonts w:asciiTheme="minorEastAsia" w:eastAsiaTheme="minorEastAsia" w:hAnsiTheme="minorEastAsia" w:hint="eastAsia"/>
          <w:szCs w:val="21"/>
        </w:rPr>
        <w:t>在符合法律法规规定的前提下，</w:t>
      </w:r>
      <w:r w:rsidRPr="008644BE">
        <w:rPr>
          <w:rFonts w:asciiTheme="minorEastAsia" w:eastAsiaTheme="minorEastAsia" w:hAnsiTheme="minorEastAsia" w:hint="eastAsia"/>
          <w:szCs w:val="21"/>
        </w:rPr>
        <w:t>各销售机构对申购</w:t>
      </w:r>
      <w:r w:rsidR="00BD6496" w:rsidRPr="008644BE">
        <w:rPr>
          <w:rFonts w:asciiTheme="minorEastAsia" w:eastAsiaTheme="minorEastAsia" w:hAnsiTheme="minorEastAsia"/>
          <w:szCs w:val="21"/>
        </w:rPr>
        <w:t>限额</w:t>
      </w:r>
      <w:r w:rsidRPr="008644BE">
        <w:rPr>
          <w:rFonts w:asciiTheme="minorEastAsia" w:eastAsiaTheme="minorEastAsia" w:hAnsiTheme="minorEastAsia" w:hint="eastAsia"/>
          <w:szCs w:val="21"/>
        </w:rPr>
        <w:t>及交易级差有其他规定的，</w:t>
      </w:r>
      <w:r w:rsidR="00E055D2" w:rsidRPr="008644BE">
        <w:rPr>
          <w:rFonts w:asciiTheme="minorEastAsia" w:eastAsiaTheme="minorEastAsia" w:hAnsiTheme="minorEastAsia" w:hint="eastAsia"/>
          <w:szCs w:val="21"/>
        </w:rPr>
        <w:t>需同时遵循该销售机构的相关规定</w:t>
      </w:r>
      <w:r w:rsidRPr="008644BE">
        <w:rPr>
          <w:rFonts w:asciiTheme="minorEastAsia" w:eastAsiaTheme="minorEastAsia" w:hAnsiTheme="minorEastAsia" w:hint="eastAsia"/>
          <w:szCs w:val="21"/>
        </w:rPr>
        <w:t>。</w:t>
      </w:r>
      <w:r w:rsidR="002E1C38" w:rsidRPr="008644BE">
        <w:rPr>
          <w:rFonts w:asciiTheme="minorEastAsia" w:eastAsiaTheme="minorEastAsia" w:hAnsiTheme="minorEastAsia"/>
          <w:szCs w:val="21"/>
        </w:rPr>
        <w:t>（</w:t>
      </w:r>
      <w:r w:rsidR="0050397E" w:rsidRPr="008644BE">
        <w:rPr>
          <w:rFonts w:asciiTheme="minorEastAsia" w:eastAsiaTheme="minorEastAsia" w:hAnsiTheme="minorEastAsia"/>
          <w:szCs w:val="21"/>
        </w:rPr>
        <w:t>以上金额</w:t>
      </w:r>
      <w:r w:rsidR="00714307" w:rsidRPr="008644BE">
        <w:rPr>
          <w:rFonts w:asciiTheme="minorEastAsia" w:eastAsiaTheme="minorEastAsia" w:hAnsiTheme="minorEastAsia" w:hint="eastAsia"/>
          <w:szCs w:val="21"/>
        </w:rPr>
        <w:t>均</w:t>
      </w:r>
      <w:r w:rsidR="0050397E" w:rsidRPr="008644BE">
        <w:rPr>
          <w:rFonts w:asciiTheme="minorEastAsia" w:eastAsiaTheme="minorEastAsia" w:hAnsiTheme="minorEastAsia"/>
          <w:szCs w:val="21"/>
        </w:rPr>
        <w:t>含</w:t>
      </w:r>
      <w:r w:rsidR="0050397E" w:rsidRPr="008644BE">
        <w:rPr>
          <w:rFonts w:asciiTheme="minorEastAsia" w:eastAsiaTheme="minorEastAsia" w:hAnsiTheme="minorEastAsia" w:hint="eastAsia"/>
          <w:szCs w:val="21"/>
        </w:rPr>
        <w:t>申</w:t>
      </w:r>
      <w:r w:rsidR="0050397E" w:rsidRPr="008644BE">
        <w:rPr>
          <w:rFonts w:asciiTheme="minorEastAsia" w:eastAsiaTheme="minorEastAsia" w:hAnsiTheme="minorEastAsia"/>
          <w:szCs w:val="21"/>
        </w:rPr>
        <w:t>购费</w:t>
      </w:r>
      <w:r w:rsidR="002E1C38" w:rsidRPr="008644BE">
        <w:rPr>
          <w:rFonts w:asciiTheme="minorEastAsia" w:eastAsiaTheme="minorEastAsia" w:hAnsiTheme="minorEastAsia"/>
          <w:szCs w:val="21"/>
        </w:rPr>
        <w:t>）</w:t>
      </w:r>
    </w:p>
    <w:p w:rsidR="00214A68" w:rsidRPr="008644BE" w:rsidRDefault="00214A6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投资人将当期分配的基金收益转购基金份额或采用定期定额投资计划时，不受最低申购金额的限制。</w:t>
      </w:r>
    </w:p>
    <w:p w:rsidR="00214A68" w:rsidRPr="008644BE" w:rsidRDefault="00214A6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投资人可多次申购，对单个投资人累计持有份额不设上限限制。</w:t>
      </w:r>
      <w:r w:rsidR="002049D8" w:rsidRPr="008644BE">
        <w:rPr>
          <w:rFonts w:asciiTheme="minorEastAsia" w:eastAsiaTheme="minorEastAsia" w:hAnsiTheme="minorEastAsia" w:hint="eastAsia"/>
          <w:szCs w:val="21"/>
        </w:rPr>
        <w:t>但对于可能导致单一投</w:t>
      </w:r>
      <w:r w:rsidR="002049D8" w:rsidRPr="008644BE">
        <w:rPr>
          <w:rFonts w:asciiTheme="minorEastAsia" w:eastAsiaTheme="minorEastAsia" w:hAnsiTheme="minorEastAsia" w:hint="eastAsia"/>
          <w:szCs w:val="21"/>
        </w:rPr>
        <w:lastRenderedPageBreak/>
        <w:t>资者持有基金份额的比例达到或者超过</w:t>
      </w:r>
      <w:r w:rsidR="002049D8" w:rsidRPr="008644BE">
        <w:rPr>
          <w:rFonts w:asciiTheme="minorEastAsia" w:eastAsiaTheme="minorEastAsia" w:hAnsiTheme="minorEastAsia"/>
          <w:szCs w:val="21"/>
        </w:rPr>
        <w:t>50%，或者变相规避50%集中度的情形，基金管理人有权采取控制措施。</w:t>
      </w:r>
      <w:r w:rsidR="002049D8" w:rsidRPr="008644BE">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8644BE">
        <w:rPr>
          <w:rFonts w:asciiTheme="minorEastAsia" w:eastAsiaTheme="minorEastAsia" w:hAnsiTheme="minorEastAsia" w:hint="eastAsia"/>
          <w:szCs w:val="21"/>
        </w:rPr>
        <w:t>法律法规、中国证监会另有规定的除外。</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2、赎回份额的限制</w:t>
      </w:r>
    </w:p>
    <w:p w:rsidR="00214A68" w:rsidRPr="008644BE" w:rsidRDefault="00214A6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投资人可将其全部或部分基金份额赎回。</w:t>
      </w:r>
      <w:r w:rsidRPr="008644BE">
        <w:rPr>
          <w:rFonts w:asciiTheme="minorEastAsia" w:eastAsiaTheme="minorEastAsia" w:hAnsiTheme="minorEastAsia" w:cs="TT64E9BFA0tCID-WinCharSetFFFF-H" w:hint="eastAsia"/>
          <w:kern w:val="0"/>
          <w:szCs w:val="21"/>
        </w:rPr>
        <w:t>基金份额</w:t>
      </w:r>
      <w:r w:rsidRPr="008644BE">
        <w:rPr>
          <w:rFonts w:asciiTheme="minorEastAsia" w:eastAsiaTheme="minorEastAsia" w:hAnsiTheme="minorEastAsia" w:hint="eastAsia"/>
          <w:szCs w:val="21"/>
        </w:rPr>
        <w:t>单笔赎回或转换不得少于1份</w:t>
      </w:r>
      <w:r w:rsidR="002E1C38" w:rsidRPr="008644BE">
        <w:rPr>
          <w:rFonts w:asciiTheme="minorEastAsia" w:eastAsiaTheme="minorEastAsia" w:hAnsiTheme="minorEastAsia" w:hint="eastAsia"/>
          <w:szCs w:val="21"/>
        </w:rPr>
        <w:t>（</w:t>
      </w:r>
      <w:r w:rsidR="00792D88" w:rsidRPr="008644BE">
        <w:rPr>
          <w:rFonts w:asciiTheme="minorEastAsia" w:eastAsiaTheme="minorEastAsia" w:hAnsiTheme="minorEastAsia" w:hint="eastAsia"/>
          <w:szCs w:val="21"/>
        </w:rPr>
        <w:t>如该账户在该销售机构托管的该基金余额不足</w:t>
      </w:r>
      <w:r w:rsidRPr="008644BE">
        <w:rPr>
          <w:rFonts w:asciiTheme="minorEastAsia" w:eastAsiaTheme="minorEastAsia" w:hAnsiTheme="minorEastAsia" w:hint="eastAsia"/>
          <w:szCs w:val="21"/>
        </w:rPr>
        <w:t>1份，则必须一次性赎回或转出基金全部份额</w:t>
      </w:r>
      <w:r w:rsidR="002E1C38" w:rsidRPr="008644BE">
        <w:rPr>
          <w:rFonts w:asciiTheme="minorEastAsia" w:eastAsiaTheme="minorEastAsia" w:hAnsiTheme="minorEastAsia" w:hint="eastAsia"/>
          <w:szCs w:val="21"/>
        </w:rPr>
        <w:t>）</w:t>
      </w:r>
      <w:r w:rsidRPr="008644BE">
        <w:rPr>
          <w:rFonts w:asciiTheme="minorEastAsia" w:eastAsiaTheme="minorEastAsia" w:hAnsiTheme="minorEastAsia" w:hint="eastAsia"/>
          <w:szCs w:val="21"/>
        </w:rPr>
        <w:t>；若某笔赎回将导致投资人在</w:t>
      </w:r>
      <w:r w:rsidR="00792D88" w:rsidRPr="008644BE">
        <w:rPr>
          <w:rFonts w:asciiTheme="minorEastAsia" w:eastAsiaTheme="minorEastAsia" w:hAnsiTheme="minorEastAsia" w:hint="eastAsia"/>
          <w:szCs w:val="21"/>
        </w:rPr>
        <w:t>该</w:t>
      </w:r>
      <w:r w:rsidRPr="008644BE">
        <w:rPr>
          <w:rFonts w:asciiTheme="minorEastAsia" w:eastAsiaTheme="minorEastAsia" w:hAnsiTheme="minorEastAsia" w:hint="eastAsia"/>
          <w:szCs w:val="21"/>
        </w:rPr>
        <w:t>销售机构托管的</w:t>
      </w:r>
      <w:r w:rsidR="00792D88" w:rsidRPr="008644BE">
        <w:rPr>
          <w:rFonts w:asciiTheme="minorEastAsia" w:eastAsiaTheme="minorEastAsia" w:hAnsiTheme="minorEastAsia" w:hint="eastAsia"/>
          <w:szCs w:val="21"/>
        </w:rPr>
        <w:t>该</w:t>
      </w:r>
      <w:r w:rsidRPr="008644BE">
        <w:rPr>
          <w:rFonts w:asciiTheme="minorEastAsia" w:eastAsiaTheme="minorEastAsia" w:hAnsiTheme="minorEastAsia" w:hint="eastAsia"/>
          <w:szCs w:val="21"/>
        </w:rPr>
        <w:t>基金余额不足1份时，基金管理人有权将投资人在该销售机构托管的</w:t>
      </w:r>
      <w:r w:rsidR="00792D88" w:rsidRPr="008644BE">
        <w:rPr>
          <w:rFonts w:asciiTheme="minorEastAsia" w:eastAsiaTheme="minorEastAsia" w:hAnsiTheme="minorEastAsia" w:hint="eastAsia"/>
          <w:szCs w:val="21"/>
        </w:rPr>
        <w:t>该</w:t>
      </w:r>
      <w:r w:rsidRPr="008644BE">
        <w:rPr>
          <w:rFonts w:asciiTheme="minorEastAsia" w:eastAsiaTheme="minorEastAsia" w:hAnsiTheme="minorEastAsia" w:hint="eastAsia"/>
          <w:szCs w:val="21"/>
        </w:rPr>
        <w:t>基金剩余份额一次性全部赎回。</w:t>
      </w:r>
      <w:r w:rsidR="00E60C66" w:rsidRPr="008644BE">
        <w:rPr>
          <w:rFonts w:asciiTheme="minorEastAsia" w:eastAsiaTheme="minorEastAsia" w:hAnsiTheme="minorEastAsia" w:hint="eastAsia"/>
          <w:szCs w:val="21"/>
        </w:rPr>
        <w:t>在符合法律法规规定的前提下，</w:t>
      </w:r>
      <w:r w:rsidRPr="008644BE">
        <w:rPr>
          <w:rFonts w:asciiTheme="minorEastAsia" w:eastAsiaTheme="minorEastAsia" w:hAnsiTheme="minorEastAsia" w:hint="eastAsia"/>
          <w:szCs w:val="21"/>
        </w:rPr>
        <w:t>各销售机构对赎回份额限制有其他规定的，</w:t>
      </w:r>
      <w:r w:rsidR="00E055D2" w:rsidRPr="008644BE">
        <w:rPr>
          <w:rFonts w:asciiTheme="minorEastAsia" w:eastAsiaTheme="minorEastAsia" w:hAnsiTheme="minorEastAsia" w:hint="eastAsia"/>
          <w:szCs w:val="21"/>
        </w:rPr>
        <w:t>需同时遵循该销售机构的相关规定</w:t>
      </w:r>
      <w:r w:rsidRPr="008644BE">
        <w:rPr>
          <w:rFonts w:asciiTheme="minorEastAsia" w:eastAsiaTheme="minorEastAsia" w:hAnsiTheme="minorEastAsia" w:hint="eastAsia"/>
          <w:szCs w:val="21"/>
        </w:rPr>
        <w:t>。</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3、基金管理人可以根据市场情况，在法律法规允许的情况下，调整上述规定申购金额和赎回份额的数量限制</w:t>
      </w:r>
      <w:r w:rsidR="00CB2948" w:rsidRPr="008644BE">
        <w:rPr>
          <w:rFonts w:asciiTheme="minorEastAsia" w:eastAsiaTheme="minorEastAsia" w:hAnsiTheme="minorEastAsia" w:hint="eastAsia"/>
          <w:szCs w:val="21"/>
        </w:rPr>
        <w:t>，或者新增基金规模控制措施</w:t>
      </w:r>
      <w:r w:rsidRPr="008644BE">
        <w:rPr>
          <w:rFonts w:asciiTheme="minorEastAsia" w:eastAsiaTheme="minorEastAsia" w:hAnsiTheme="minorEastAsia" w:hint="eastAsia"/>
          <w:szCs w:val="21"/>
        </w:rPr>
        <w:t>。基金管理人必须在调整前依照《信息披露办法》的有关规定在</w:t>
      </w:r>
      <w:r w:rsidR="00B02CB0" w:rsidRPr="008644BE">
        <w:rPr>
          <w:rFonts w:asciiTheme="minorEastAsia" w:eastAsiaTheme="minorEastAsia" w:hAnsiTheme="minorEastAsia" w:hint="eastAsia"/>
          <w:szCs w:val="21"/>
        </w:rPr>
        <w:t>指定媒介</w:t>
      </w:r>
      <w:r w:rsidRPr="008644BE">
        <w:rPr>
          <w:rFonts w:asciiTheme="minorEastAsia" w:eastAsiaTheme="minorEastAsia" w:hAnsiTheme="minorEastAsia" w:hint="eastAsia"/>
          <w:szCs w:val="21"/>
        </w:rPr>
        <w:t>上公告。</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52" w:name="_Toc332373506"/>
      <w:r w:rsidRPr="008644BE">
        <w:rPr>
          <w:rStyle w:val="da"/>
          <w:rFonts w:asciiTheme="minorEastAsia" w:eastAsiaTheme="minorEastAsia" w:hAnsiTheme="minorEastAsia" w:hint="eastAsia"/>
          <w:szCs w:val="21"/>
        </w:rPr>
        <w:t>（</w:t>
      </w:r>
      <w:r w:rsidR="00214A68" w:rsidRPr="008644BE">
        <w:rPr>
          <w:rStyle w:val="da"/>
          <w:rFonts w:asciiTheme="minorEastAsia" w:eastAsiaTheme="minorEastAsia" w:hAnsiTheme="minorEastAsia" w:hint="eastAsia"/>
          <w:szCs w:val="21"/>
        </w:rPr>
        <w:t>七</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基金的申购费和赎回费</w:t>
      </w:r>
      <w:bookmarkEnd w:id="52"/>
    </w:p>
    <w:p w:rsidR="00BA4B87" w:rsidRPr="008644BE" w:rsidRDefault="00547CB9"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w:t>
      </w:r>
      <w:r w:rsidR="00A05E07" w:rsidRPr="008644BE">
        <w:rPr>
          <w:rFonts w:asciiTheme="minorEastAsia" w:eastAsiaTheme="minorEastAsia" w:hAnsiTheme="minorEastAsia" w:hint="eastAsia"/>
          <w:bCs/>
          <w:szCs w:val="21"/>
        </w:rPr>
        <w:t>本基金的</w:t>
      </w:r>
      <w:r w:rsidR="00A05E07" w:rsidRPr="008644BE">
        <w:rPr>
          <w:rFonts w:asciiTheme="minorEastAsia" w:eastAsiaTheme="minorEastAsia" w:hAnsiTheme="minorEastAsia"/>
          <w:bCs/>
          <w:szCs w:val="21"/>
        </w:rPr>
        <w:t>申购费用由</w:t>
      </w:r>
      <w:r w:rsidR="00A05E07" w:rsidRPr="008644BE">
        <w:rPr>
          <w:rFonts w:asciiTheme="minorEastAsia" w:eastAsiaTheme="minorEastAsia" w:hAnsiTheme="minorEastAsia" w:hint="eastAsia"/>
          <w:bCs/>
          <w:szCs w:val="21"/>
        </w:rPr>
        <w:t>申购基金份额的</w:t>
      </w:r>
      <w:r w:rsidR="00A05E07" w:rsidRPr="008644BE">
        <w:rPr>
          <w:rFonts w:asciiTheme="minorEastAsia" w:eastAsiaTheme="minorEastAsia" w:hAnsiTheme="minorEastAsia"/>
          <w:bCs/>
          <w:szCs w:val="21"/>
        </w:rPr>
        <w:t>投资人承担</w:t>
      </w:r>
      <w:r w:rsidR="00BA4B87" w:rsidRPr="008644BE">
        <w:rPr>
          <w:rFonts w:asciiTheme="minorEastAsia" w:eastAsiaTheme="minorEastAsia" w:hAnsiTheme="minorEastAsia" w:hint="eastAsia"/>
          <w:szCs w:val="21"/>
        </w:rPr>
        <w:t>，</w:t>
      </w:r>
      <w:r w:rsidR="00BA4B87" w:rsidRPr="008644BE">
        <w:rPr>
          <w:rFonts w:asciiTheme="minorEastAsia" w:eastAsiaTheme="minorEastAsia" w:hAnsiTheme="minorEastAsia"/>
          <w:szCs w:val="21"/>
        </w:rPr>
        <w:t>不列入基金财产，主要用于本基金的市场推广、销售、注册登记等各项费用。</w:t>
      </w:r>
      <w:r w:rsidR="00BA4B87" w:rsidRPr="008644BE">
        <w:rPr>
          <w:rFonts w:asciiTheme="minorEastAsia" w:eastAsiaTheme="minorEastAsia" w:hAnsiTheme="minorEastAsia" w:hint="eastAsia"/>
          <w:szCs w:val="21"/>
        </w:rPr>
        <w:t>赎回费用由基金赎回人承担。</w:t>
      </w:r>
    </w:p>
    <w:p w:rsidR="00BA4B87" w:rsidRPr="008644BE" w:rsidRDefault="001735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w:t>
      </w:r>
      <w:r w:rsidR="00BA4B87" w:rsidRPr="008644BE">
        <w:rPr>
          <w:rFonts w:asciiTheme="minorEastAsia" w:eastAsiaTheme="minorEastAsia" w:hAnsiTheme="minorEastAsia" w:hint="eastAsia"/>
          <w:szCs w:val="21"/>
        </w:rPr>
        <w:t>、申购费率</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本基金对通过</w:t>
      </w:r>
      <w:r w:rsidR="00A26107" w:rsidRPr="008644BE">
        <w:rPr>
          <w:rFonts w:asciiTheme="minorEastAsia" w:eastAsiaTheme="minorEastAsia" w:hAnsiTheme="minorEastAsia" w:hint="eastAsia"/>
          <w:szCs w:val="21"/>
        </w:rPr>
        <w:t>直销</w:t>
      </w:r>
      <w:r w:rsidR="009C56F4" w:rsidRPr="008644BE">
        <w:rPr>
          <w:rFonts w:asciiTheme="minorEastAsia" w:eastAsiaTheme="minorEastAsia" w:hAnsiTheme="minorEastAsia" w:hint="eastAsia"/>
          <w:szCs w:val="21"/>
        </w:rPr>
        <w:t>中心</w:t>
      </w:r>
      <w:r w:rsidRPr="008644BE">
        <w:rPr>
          <w:rFonts w:asciiTheme="minorEastAsia" w:eastAsiaTheme="minorEastAsia" w:hAnsiTheme="minorEastAsia" w:hint="eastAsia"/>
          <w:szCs w:val="21"/>
        </w:rPr>
        <w:t>申购的</w:t>
      </w:r>
      <w:r w:rsidR="001175C0" w:rsidRPr="008644BE">
        <w:rPr>
          <w:rStyle w:val="da"/>
          <w:rFonts w:asciiTheme="minorEastAsia" w:eastAsiaTheme="minorEastAsia" w:hAnsiTheme="minorEastAsia" w:hint="eastAsia"/>
        </w:rPr>
        <w:t>特定投资群体</w:t>
      </w:r>
      <w:r w:rsidRPr="008644BE">
        <w:rPr>
          <w:rFonts w:asciiTheme="minorEastAsia" w:eastAsiaTheme="minorEastAsia" w:hAnsiTheme="minorEastAsia" w:hint="eastAsia"/>
          <w:szCs w:val="21"/>
        </w:rPr>
        <w:t>与除此之外的其他投资者实施差别的申购费率。</w:t>
      </w:r>
    </w:p>
    <w:p w:rsidR="001175C0" w:rsidRPr="008644BE" w:rsidRDefault="001175C0"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8644BE" w:rsidRDefault="00792D8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特定投资群体可通过本公司直销中心申购本基金</w:t>
      </w:r>
      <w:r w:rsidR="001175C0" w:rsidRPr="008644BE">
        <w:rPr>
          <w:rFonts w:asciiTheme="minorEastAsia" w:eastAsiaTheme="minorEastAsia" w:hAnsiTheme="minorEastAsia" w:hint="eastAsia"/>
          <w:szCs w:val="21"/>
        </w:rPr>
        <w:t>。基金管理人可根据情况变更</w:t>
      </w:r>
      <w:r w:rsidR="00133009" w:rsidRPr="008644BE">
        <w:rPr>
          <w:rFonts w:asciiTheme="minorEastAsia" w:eastAsiaTheme="minorEastAsia" w:hAnsiTheme="minorEastAsia" w:hint="eastAsia"/>
          <w:bCs/>
          <w:szCs w:val="21"/>
        </w:rPr>
        <w:t>或增减</w:t>
      </w:r>
      <w:r w:rsidR="001175C0" w:rsidRPr="008644BE">
        <w:rPr>
          <w:rFonts w:asciiTheme="minorEastAsia" w:eastAsiaTheme="minorEastAsia" w:hAnsiTheme="minorEastAsia" w:hint="eastAsia"/>
          <w:szCs w:val="21"/>
        </w:rPr>
        <w:t>特定投资群体申购本基金的销售机构，</w:t>
      </w:r>
      <w:r w:rsidR="002569F2" w:rsidRPr="008644BE">
        <w:rPr>
          <w:rFonts w:asciiTheme="minorEastAsia" w:eastAsiaTheme="minorEastAsia" w:hAnsiTheme="minorEastAsia" w:hint="eastAsia"/>
          <w:bCs/>
          <w:szCs w:val="21"/>
        </w:rPr>
        <w:t>并在基金管理人网站公示</w:t>
      </w:r>
      <w:r w:rsidR="001175C0" w:rsidRPr="008644BE">
        <w:rPr>
          <w:rFonts w:asciiTheme="minorEastAsia" w:eastAsiaTheme="minorEastAsia" w:hAnsiTheme="minorEastAsia" w:hint="eastAsia"/>
          <w:szCs w:val="21"/>
        </w:rPr>
        <w:t>。</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通过基金管理人的</w:t>
      </w:r>
      <w:r w:rsidR="00A26107" w:rsidRPr="008644BE">
        <w:rPr>
          <w:rFonts w:asciiTheme="minorEastAsia" w:eastAsiaTheme="minorEastAsia" w:hAnsiTheme="minorEastAsia" w:hint="eastAsia"/>
          <w:szCs w:val="21"/>
        </w:rPr>
        <w:t>直销</w:t>
      </w:r>
      <w:r w:rsidR="009C56F4" w:rsidRPr="008644BE">
        <w:rPr>
          <w:rFonts w:asciiTheme="minorEastAsia" w:eastAsiaTheme="minorEastAsia" w:hAnsiTheme="minorEastAsia" w:hint="eastAsia"/>
          <w:szCs w:val="21"/>
        </w:rPr>
        <w:t>中心</w:t>
      </w:r>
      <w:r w:rsidRPr="008644BE">
        <w:rPr>
          <w:rFonts w:asciiTheme="minorEastAsia" w:eastAsiaTheme="minorEastAsia" w:hAnsiTheme="minorEastAsia" w:hint="eastAsia"/>
          <w:szCs w:val="21"/>
        </w:rPr>
        <w:t>申购本基金的</w:t>
      </w:r>
      <w:r w:rsidR="001175C0" w:rsidRPr="008644BE">
        <w:rPr>
          <w:rFonts w:asciiTheme="minorEastAsia" w:eastAsiaTheme="minorEastAsia" w:hAnsiTheme="minorEastAsia"/>
        </w:rPr>
        <w:t>特定投资群体</w:t>
      </w:r>
      <w:r w:rsidRPr="008644BE">
        <w:rPr>
          <w:rFonts w:asciiTheme="minorEastAsia" w:eastAsiaTheme="minorEastAsia" w:hAnsiTheme="minorEastAsia" w:hint="eastAsia"/>
          <w:szCs w:val="21"/>
        </w:rPr>
        <w:t>申购费率见下表：</w:t>
      </w:r>
    </w:p>
    <w:tbl>
      <w:tblPr>
        <w:tblW w:w="7574" w:type="dxa"/>
        <w:jc w:val="center"/>
        <w:tblLook w:val="0000" w:firstRow="0" w:lastRow="0" w:firstColumn="0" w:lastColumn="0" w:noHBand="0" w:noVBand="0"/>
      </w:tblPr>
      <w:tblGrid>
        <w:gridCol w:w="3794"/>
        <w:gridCol w:w="3780"/>
      </w:tblGrid>
      <w:tr w:rsidR="00BF54B1" w:rsidRPr="008644BE"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bCs/>
                <w:kern w:val="0"/>
                <w:szCs w:val="21"/>
              </w:rPr>
            </w:pPr>
            <w:r w:rsidRPr="008644BE">
              <w:rPr>
                <w:rFonts w:asciiTheme="minorEastAsia" w:eastAsiaTheme="minorEastAsia" w:hAnsiTheme="minorEastAsia" w:cs="宋体" w:hint="eastAsia"/>
                <w:bCs/>
                <w:kern w:val="0"/>
                <w:szCs w:val="21"/>
              </w:rPr>
              <w:t>申购金额M</w:t>
            </w:r>
            <w:r w:rsidR="002E1C38" w:rsidRPr="008644BE">
              <w:rPr>
                <w:rFonts w:asciiTheme="minorEastAsia" w:eastAsiaTheme="minorEastAsia" w:hAnsiTheme="minorEastAsia" w:cs="宋体" w:hint="eastAsia"/>
                <w:bCs/>
                <w:kern w:val="0"/>
                <w:szCs w:val="21"/>
              </w:rPr>
              <w:t>（</w:t>
            </w:r>
            <w:r w:rsidRPr="008644BE">
              <w:rPr>
                <w:rFonts w:asciiTheme="minorEastAsia" w:eastAsiaTheme="minorEastAsia" w:hAnsiTheme="minorEastAsia" w:cs="宋体" w:hint="eastAsia"/>
                <w:bCs/>
                <w:kern w:val="0"/>
                <w:szCs w:val="21"/>
              </w:rPr>
              <w:t>元</w:t>
            </w:r>
            <w:r w:rsidR="002E1C38" w:rsidRPr="008644BE">
              <w:rPr>
                <w:rFonts w:asciiTheme="minorEastAsia" w:eastAsiaTheme="minorEastAsia" w:hAnsiTheme="minorEastAsia" w:cs="宋体" w:hint="eastAsia"/>
                <w:bCs/>
                <w:kern w:val="0"/>
                <w:szCs w:val="21"/>
              </w:rPr>
              <w:t>）（</w:t>
            </w:r>
            <w:r w:rsidRPr="008644BE">
              <w:rPr>
                <w:rFonts w:asciiTheme="minorEastAsia" w:eastAsiaTheme="minorEastAsia" w:hAnsiTheme="minorEastAsia" w:cs="宋体" w:hint="eastAsia"/>
                <w:bCs/>
                <w:kern w:val="0"/>
                <w:szCs w:val="21"/>
              </w:rPr>
              <w:t>含申购费</w:t>
            </w:r>
            <w:r w:rsidR="002E1C38" w:rsidRPr="008644BE">
              <w:rPr>
                <w:rFonts w:asciiTheme="minorEastAsia" w:eastAsiaTheme="minorEastAsia" w:hAnsiTheme="minorEastAsia" w:cs="宋体" w:hint="eastAsia"/>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bCs/>
                <w:kern w:val="0"/>
                <w:szCs w:val="21"/>
              </w:rPr>
            </w:pPr>
            <w:r w:rsidRPr="008644BE">
              <w:rPr>
                <w:rFonts w:asciiTheme="minorEastAsia" w:eastAsiaTheme="minorEastAsia" w:hAnsiTheme="minorEastAsia" w:cs="宋体" w:hint="eastAsia"/>
                <w:bCs/>
                <w:kern w:val="0"/>
                <w:szCs w:val="21"/>
              </w:rPr>
              <w:t>申购费率</w:t>
            </w:r>
          </w:p>
        </w:tc>
      </w:tr>
      <w:tr w:rsidR="00BF54B1" w:rsidRPr="008644B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0.</w:t>
            </w:r>
            <w:r w:rsidR="001735E3" w:rsidRPr="008644BE">
              <w:rPr>
                <w:rFonts w:asciiTheme="minorEastAsia" w:eastAsiaTheme="minorEastAsia" w:hAnsiTheme="minorEastAsia" w:cs="宋体" w:hint="eastAsia"/>
                <w:kern w:val="0"/>
                <w:szCs w:val="21"/>
              </w:rPr>
              <w:t>15</w:t>
            </w:r>
            <w:r w:rsidRPr="008644BE">
              <w:rPr>
                <w:rFonts w:asciiTheme="minorEastAsia" w:eastAsiaTheme="minorEastAsia" w:hAnsiTheme="minorEastAsia" w:cs="宋体"/>
                <w:kern w:val="0"/>
                <w:szCs w:val="21"/>
              </w:rPr>
              <w:t>%</w:t>
            </w:r>
          </w:p>
        </w:tc>
      </w:tr>
      <w:tr w:rsidR="00BF54B1" w:rsidRPr="008644B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0.</w:t>
            </w:r>
            <w:r w:rsidR="001735E3" w:rsidRPr="008644BE">
              <w:rPr>
                <w:rFonts w:asciiTheme="minorEastAsia" w:eastAsiaTheme="minorEastAsia" w:hAnsiTheme="minorEastAsia" w:cs="宋体" w:hint="eastAsia"/>
                <w:kern w:val="0"/>
                <w:szCs w:val="21"/>
              </w:rPr>
              <w:t>12</w:t>
            </w:r>
            <w:r w:rsidRPr="008644BE">
              <w:rPr>
                <w:rFonts w:asciiTheme="minorEastAsia" w:eastAsiaTheme="minorEastAsia" w:hAnsiTheme="minorEastAsia" w:cs="宋体"/>
                <w:kern w:val="0"/>
                <w:szCs w:val="21"/>
              </w:rPr>
              <w:t>%</w:t>
            </w:r>
          </w:p>
        </w:tc>
      </w:tr>
      <w:tr w:rsidR="00BF54B1" w:rsidRPr="008644B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ind w:firstLineChars="736" w:firstLine="1546"/>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0.</w:t>
            </w:r>
            <w:r w:rsidR="004D7FB2" w:rsidRPr="008644BE">
              <w:rPr>
                <w:rFonts w:asciiTheme="minorEastAsia" w:eastAsiaTheme="minorEastAsia" w:hAnsiTheme="minorEastAsia" w:cs="宋体" w:hint="eastAsia"/>
                <w:kern w:val="0"/>
                <w:szCs w:val="21"/>
              </w:rPr>
              <w:t>03</w:t>
            </w:r>
            <w:r w:rsidRPr="008644BE">
              <w:rPr>
                <w:rFonts w:asciiTheme="minorEastAsia" w:eastAsiaTheme="minorEastAsia" w:hAnsiTheme="minorEastAsia" w:cs="宋体" w:hint="eastAsia"/>
                <w:kern w:val="0"/>
                <w:szCs w:val="21"/>
              </w:rPr>
              <w:t>%</w:t>
            </w:r>
          </w:p>
        </w:tc>
      </w:tr>
      <w:tr w:rsidR="00BF54B1" w:rsidRPr="008644B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kern w:val="0"/>
                <w:szCs w:val="21"/>
              </w:rPr>
              <w:t>100</w:t>
            </w:r>
            <w:r w:rsidR="00371919" w:rsidRPr="008644BE">
              <w:rPr>
                <w:rFonts w:asciiTheme="minorEastAsia" w:eastAsiaTheme="minorEastAsia" w:hAnsiTheme="minorEastAsia" w:cs="宋体" w:hint="eastAsia"/>
                <w:kern w:val="0"/>
                <w:szCs w:val="21"/>
              </w:rPr>
              <w:t>0</w:t>
            </w:r>
            <w:r w:rsidRPr="008644BE">
              <w:rPr>
                <w:rFonts w:asciiTheme="minorEastAsia" w:eastAsiaTheme="minorEastAsia" w:hAnsiTheme="minorEastAsia" w:cs="宋体" w:hint="eastAsia"/>
                <w:kern w:val="0"/>
                <w:szCs w:val="21"/>
              </w:rPr>
              <w:t>元</w:t>
            </w:r>
            <w:r w:rsidRPr="008644BE">
              <w:rPr>
                <w:rFonts w:asciiTheme="minorEastAsia" w:eastAsiaTheme="minorEastAsia" w:hAnsiTheme="minorEastAsia" w:cs="宋体"/>
                <w:kern w:val="0"/>
                <w:szCs w:val="21"/>
              </w:rPr>
              <w:t>/</w:t>
            </w:r>
            <w:r w:rsidRPr="008644BE">
              <w:rPr>
                <w:rFonts w:asciiTheme="minorEastAsia" w:eastAsiaTheme="minorEastAsia" w:hAnsiTheme="minorEastAsia" w:cs="宋体" w:hint="eastAsia"/>
                <w:kern w:val="0"/>
                <w:szCs w:val="21"/>
              </w:rPr>
              <w:t>笔</w:t>
            </w:r>
          </w:p>
        </w:tc>
      </w:tr>
    </w:tbl>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rPr>
        <w:lastRenderedPageBreak/>
        <w:t>其他投资者申购本基金的申购费率见下表：</w:t>
      </w:r>
    </w:p>
    <w:tbl>
      <w:tblPr>
        <w:tblW w:w="7574" w:type="dxa"/>
        <w:jc w:val="center"/>
        <w:tblLook w:val="0000" w:firstRow="0" w:lastRow="0" w:firstColumn="0" w:lastColumn="0" w:noHBand="0" w:noVBand="0"/>
      </w:tblPr>
      <w:tblGrid>
        <w:gridCol w:w="3794"/>
        <w:gridCol w:w="3780"/>
      </w:tblGrid>
      <w:tr w:rsidR="00BF54B1" w:rsidRPr="008644BE"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bCs/>
                <w:kern w:val="0"/>
                <w:szCs w:val="21"/>
              </w:rPr>
            </w:pPr>
            <w:r w:rsidRPr="008644BE">
              <w:rPr>
                <w:rFonts w:asciiTheme="minorEastAsia" w:eastAsiaTheme="minorEastAsia" w:hAnsiTheme="minorEastAsia" w:cs="宋体" w:hint="eastAsia"/>
                <w:bCs/>
                <w:kern w:val="0"/>
                <w:szCs w:val="21"/>
              </w:rPr>
              <w:t>申购金额M</w:t>
            </w:r>
            <w:r w:rsidR="002E1C38" w:rsidRPr="008644BE">
              <w:rPr>
                <w:rFonts w:asciiTheme="minorEastAsia" w:eastAsiaTheme="minorEastAsia" w:hAnsiTheme="minorEastAsia" w:cs="宋体" w:hint="eastAsia"/>
                <w:bCs/>
                <w:kern w:val="0"/>
                <w:szCs w:val="21"/>
              </w:rPr>
              <w:t>（</w:t>
            </w:r>
            <w:r w:rsidRPr="008644BE">
              <w:rPr>
                <w:rFonts w:asciiTheme="minorEastAsia" w:eastAsiaTheme="minorEastAsia" w:hAnsiTheme="minorEastAsia" w:cs="宋体" w:hint="eastAsia"/>
                <w:bCs/>
                <w:kern w:val="0"/>
                <w:szCs w:val="21"/>
              </w:rPr>
              <w:t>元</w:t>
            </w:r>
            <w:r w:rsidR="002E1C38" w:rsidRPr="008644BE">
              <w:rPr>
                <w:rFonts w:asciiTheme="minorEastAsia" w:eastAsiaTheme="minorEastAsia" w:hAnsiTheme="minorEastAsia" w:cs="宋体" w:hint="eastAsia"/>
                <w:bCs/>
                <w:kern w:val="0"/>
                <w:szCs w:val="21"/>
              </w:rPr>
              <w:t>）（</w:t>
            </w:r>
            <w:r w:rsidRPr="008644BE">
              <w:rPr>
                <w:rFonts w:asciiTheme="minorEastAsia" w:eastAsiaTheme="minorEastAsia" w:hAnsiTheme="minorEastAsia" w:cs="宋体" w:hint="eastAsia"/>
                <w:bCs/>
                <w:kern w:val="0"/>
                <w:szCs w:val="21"/>
              </w:rPr>
              <w:t>含申购费</w:t>
            </w:r>
            <w:r w:rsidR="002E1C38" w:rsidRPr="008644BE">
              <w:rPr>
                <w:rFonts w:asciiTheme="minorEastAsia" w:eastAsiaTheme="minorEastAsia" w:hAnsiTheme="minorEastAsia" w:cs="宋体" w:hint="eastAsia"/>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bCs/>
                <w:kern w:val="0"/>
                <w:szCs w:val="21"/>
              </w:rPr>
            </w:pPr>
            <w:r w:rsidRPr="008644BE">
              <w:rPr>
                <w:rFonts w:asciiTheme="minorEastAsia" w:eastAsiaTheme="minorEastAsia" w:hAnsiTheme="minorEastAsia" w:cs="宋体" w:hint="eastAsia"/>
                <w:bCs/>
                <w:kern w:val="0"/>
                <w:szCs w:val="21"/>
              </w:rPr>
              <w:t>申购费率</w:t>
            </w:r>
          </w:p>
        </w:tc>
      </w:tr>
      <w:tr w:rsidR="00BF54B1" w:rsidRPr="008644B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1.5</w:t>
            </w:r>
            <w:r w:rsidR="002E681B" w:rsidRPr="008644BE">
              <w:rPr>
                <w:rFonts w:asciiTheme="minorEastAsia" w:eastAsiaTheme="minorEastAsia" w:hAnsiTheme="minorEastAsia" w:cs="宋体"/>
                <w:kern w:val="0"/>
                <w:szCs w:val="21"/>
              </w:rPr>
              <w:t>%</w:t>
            </w:r>
          </w:p>
        </w:tc>
      </w:tr>
      <w:tr w:rsidR="00BF54B1" w:rsidRPr="008644B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1.2</w:t>
            </w:r>
            <w:r w:rsidR="002E681B" w:rsidRPr="008644BE">
              <w:rPr>
                <w:rFonts w:asciiTheme="minorEastAsia" w:eastAsiaTheme="minorEastAsia" w:hAnsiTheme="minorEastAsia" w:cs="宋体"/>
                <w:kern w:val="0"/>
                <w:szCs w:val="21"/>
              </w:rPr>
              <w:t>%</w:t>
            </w:r>
          </w:p>
        </w:tc>
      </w:tr>
      <w:tr w:rsidR="00BF54B1" w:rsidRPr="008644B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0.3%</w:t>
            </w:r>
          </w:p>
        </w:tc>
      </w:tr>
      <w:tr w:rsidR="00BF54B1" w:rsidRPr="008644B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8644BE" w:rsidRDefault="002E681B"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kern w:val="0"/>
                <w:szCs w:val="21"/>
              </w:rPr>
              <w:t>1000</w:t>
            </w:r>
            <w:r w:rsidRPr="008644BE">
              <w:rPr>
                <w:rFonts w:asciiTheme="minorEastAsia" w:eastAsiaTheme="minorEastAsia" w:hAnsiTheme="minorEastAsia" w:cs="宋体" w:hint="eastAsia"/>
                <w:kern w:val="0"/>
                <w:szCs w:val="21"/>
              </w:rPr>
              <w:t>元</w:t>
            </w:r>
            <w:r w:rsidRPr="008644BE">
              <w:rPr>
                <w:rFonts w:asciiTheme="minorEastAsia" w:eastAsiaTheme="minorEastAsia" w:hAnsiTheme="minorEastAsia" w:cs="宋体"/>
                <w:kern w:val="0"/>
                <w:szCs w:val="21"/>
              </w:rPr>
              <w:t>/</w:t>
            </w:r>
            <w:r w:rsidRPr="008644BE">
              <w:rPr>
                <w:rFonts w:asciiTheme="minorEastAsia" w:eastAsiaTheme="minorEastAsia" w:hAnsiTheme="minorEastAsia" w:cs="宋体" w:hint="eastAsia"/>
                <w:kern w:val="0"/>
                <w:szCs w:val="21"/>
              </w:rPr>
              <w:t>笔</w:t>
            </w:r>
          </w:p>
        </w:tc>
      </w:tr>
    </w:tbl>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在申购费按金额分档的情况下，如果投资者多次申购，申购费适用单笔申购金额所对应的费率。</w:t>
      </w:r>
    </w:p>
    <w:p w:rsidR="00BA4B87" w:rsidRPr="008644BE" w:rsidRDefault="001E7C8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w:t>
      </w:r>
      <w:r w:rsidR="00BA4B87" w:rsidRPr="008644BE">
        <w:rPr>
          <w:rFonts w:asciiTheme="minorEastAsia" w:eastAsiaTheme="minorEastAsia" w:hAnsiTheme="minorEastAsia" w:hint="eastAsia"/>
          <w:szCs w:val="21"/>
        </w:rPr>
        <w:t>、赎回费率</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ED193D" w:rsidRPr="008644BE" w:rsidTr="00BA4B87">
        <w:trPr>
          <w:jc w:val="center"/>
        </w:trPr>
        <w:tc>
          <w:tcPr>
            <w:tcW w:w="3870" w:type="dxa"/>
          </w:tcPr>
          <w:p w:rsidR="00BA4B87" w:rsidRPr="008644BE" w:rsidRDefault="00BA4B87"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持有时间</w:t>
            </w:r>
            <w:r w:rsidR="002E1C38" w:rsidRPr="008644BE">
              <w:rPr>
                <w:rFonts w:asciiTheme="minorEastAsia" w:eastAsiaTheme="minorEastAsia" w:hAnsiTheme="minorEastAsia" w:cs="宋体" w:hint="eastAsia"/>
                <w:kern w:val="0"/>
                <w:szCs w:val="21"/>
              </w:rPr>
              <w:t>（</w:t>
            </w:r>
            <w:r w:rsidRPr="008644BE">
              <w:rPr>
                <w:rFonts w:asciiTheme="minorEastAsia" w:eastAsiaTheme="minorEastAsia" w:hAnsiTheme="minorEastAsia" w:cs="宋体" w:hint="eastAsia"/>
                <w:kern w:val="0"/>
                <w:szCs w:val="21"/>
              </w:rPr>
              <w:t>天</w:t>
            </w:r>
            <w:r w:rsidR="002E1C38" w:rsidRPr="008644BE">
              <w:rPr>
                <w:rFonts w:asciiTheme="minorEastAsia" w:eastAsiaTheme="minorEastAsia" w:hAnsiTheme="minorEastAsia" w:cs="宋体" w:hint="eastAsia"/>
                <w:kern w:val="0"/>
                <w:szCs w:val="21"/>
              </w:rPr>
              <w:t>）</w:t>
            </w:r>
          </w:p>
        </w:tc>
        <w:tc>
          <w:tcPr>
            <w:tcW w:w="3798" w:type="dxa"/>
          </w:tcPr>
          <w:p w:rsidR="00BA4B87" w:rsidRPr="008644BE" w:rsidRDefault="00BA4B87"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赎回费率</w:t>
            </w:r>
          </w:p>
        </w:tc>
      </w:tr>
      <w:tr w:rsidR="00ED193D" w:rsidRPr="008644BE" w:rsidTr="00BA4B87">
        <w:trPr>
          <w:jc w:val="center"/>
        </w:trPr>
        <w:tc>
          <w:tcPr>
            <w:tcW w:w="3870"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0-6</w:t>
            </w:r>
          </w:p>
        </w:tc>
        <w:tc>
          <w:tcPr>
            <w:tcW w:w="3798"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1.5%</w:t>
            </w:r>
          </w:p>
        </w:tc>
      </w:tr>
      <w:tr w:rsidR="00ED193D" w:rsidRPr="008644BE" w:rsidTr="00BA4B87">
        <w:trPr>
          <w:jc w:val="center"/>
        </w:trPr>
        <w:tc>
          <w:tcPr>
            <w:tcW w:w="3870"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7-29</w:t>
            </w:r>
          </w:p>
        </w:tc>
        <w:tc>
          <w:tcPr>
            <w:tcW w:w="3798"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0.75%</w:t>
            </w:r>
          </w:p>
        </w:tc>
      </w:tr>
      <w:tr w:rsidR="00ED193D" w:rsidRPr="008644BE" w:rsidTr="00BA4B87">
        <w:trPr>
          <w:jc w:val="center"/>
        </w:trPr>
        <w:tc>
          <w:tcPr>
            <w:tcW w:w="3870"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30-89</w:t>
            </w:r>
          </w:p>
        </w:tc>
        <w:tc>
          <w:tcPr>
            <w:tcW w:w="3798"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0.5%</w:t>
            </w:r>
          </w:p>
        </w:tc>
      </w:tr>
      <w:tr w:rsidR="00ED193D" w:rsidRPr="008644BE" w:rsidTr="00BA4B87">
        <w:trPr>
          <w:jc w:val="center"/>
        </w:trPr>
        <w:tc>
          <w:tcPr>
            <w:tcW w:w="3870"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90-179</w:t>
            </w:r>
          </w:p>
        </w:tc>
        <w:tc>
          <w:tcPr>
            <w:tcW w:w="3798"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0.5%</w:t>
            </w:r>
          </w:p>
        </w:tc>
      </w:tr>
      <w:tr w:rsidR="00ED193D" w:rsidRPr="008644BE" w:rsidTr="00BA4B87">
        <w:trPr>
          <w:jc w:val="center"/>
        </w:trPr>
        <w:tc>
          <w:tcPr>
            <w:tcW w:w="3870"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180-364</w:t>
            </w:r>
          </w:p>
        </w:tc>
        <w:tc>
          <w:tcPr>
            <w:tcW w:w="3798"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0.5%</w:t>
            </w:r>
          </w:p>
        </w:tc>
      </w:tr>
      <w:tr w:rsidR="00ED193D" w:rsidRPr="008644BE" w:rsidTr="00BA4B87">
        <w:trPr>
          <w:jc w:val="center"/>
        </w:trPr>
        <w:tc>
          <w:tcPr>
            <w:tcW w:w="3870"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kern w:val="0"/>
                <w:szCs w:val="21"/>
              </w:rPr>
              <w:t>365-729</w:t>
            </w:r>
          </w:p>
        </w:tc>
        <w:tc>
          <w:tcPr>
            <w:tcW w:w="3798"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kern w:val="0"/>
                <w:szCs w:val="21"/>
              </w:rPr>
              <w:t>0.25%</w:t>
            </w:r>
          </w:p>
        </w:tc>
      </w:tr>
      <w:tr w:rsidR="00ED193D" w:rsidRPr="008644BE" w:rsidTr="00BA4B87">
        <w:trPr>
          <w:jc w:val="center"/>
        </w:trPr>
        <w:tc>
          <w:tcPr>
            <w:tcW w:w="3870"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hint="eastAsia"/>
                <w:kern w:val="0"/>
                <w:szCs w:val="21"/>
              </w:rPr>
              <w:t>730及以上</w:t>
            </w:r>
          </w:p>
        </w:tc>
        <w:tc>
          <w:tcPr>
            <w:tcW w:w="3798" w:type="dxa"/>
          </w:tcPr>
          <w:p w:rsidR="001735E3" w:rsidRPr="008644BE" w:rsidRDefault="001735E3" w:rsidP="00936084">
            <w:pPr>
              <w:widowControl/>
              <w:snapToGrid w:val="0"/>
              <w:spacing w:line="360" w:lineRule="auto"/>
              <w:jc w:val="center"/>
              <w:rPr>
                <w:rFonts w:asciiTheme="minorEastAsia" w:eastAsiaTheme="minorEastAsia" w:hAnsiTheme="minorEastAsia" w:cs="宋体"/>
                <w:kern w:val="0"/>
                <w:szCs w:val="21"/>
              </w:rPr>
            </w:pPr>
            <w:r w:rsidRPr="008644BE">
              <w:rPr>
                <w:rFonts w:asciiTheme="minorEastAsia" w:eastAsiaTheme="minorEastAsia" w:hAnsiTheme="minorEastAsia" w:cs="宋体"/>
                <w:kern w:val="0"/>
                <w:szCs w:val="21"/>
              </w:rPr>
              <w:t>0%</w:t>
            </w:r>
          </w:p>
        </w:tc>
      </w:tr>
    </w:tbl>
    <w:p w:rsidR="00E96895"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投资者可将其持有的全部或部分基金份额赎回。</w:t>
      </w:r>
      <w:r w:rsidR="00843FC8" w:rsidRPr="008644BE">
        <w:rPr>
          <w:rFonts w:asciiTheme="minorEastAsia" w:eastAsiaTheme="minorEastAsia" w:hAnsiTheme="minorEastAsia"/>
          <w:szCs w:val="21"/>
        </w:rPr>
        <w:t>赎回费用由赎回基金份额的基金份额持有人承担，</w:t>
      </w:r>
      <w:r w:rsidR="00843FC8" w:rsidRPr="008644BE">
        <w:rPr>
          <w:rFonts w:asciiTheme="minorEastAsia" w:eastAsiaTheme="minorEastAsia" w:hAnsiTheme="minorEastAsia" w:hint="eastAsia"/>
          <w:szCs w:val="21"/>
        </w:rPr>
        <w:t>在基金份额持有人赎回基金份额时收取。</w:t>
      </w:r>
      <w:r w:rsidR="00E96895" w:rsidRPr="008644BE">
        <w:rPr>
          <w:rFonts w:asciiTheme="minorEastAsia" w:eastAsiaTheme="minorEastAsia" w:hAnsiTheme="minorEastAsia" w:hint="eastAsia"/>
          <w:szCs w:val="21"/>
        </w:rPr>
        <w:t>对持有期少于30</w:t>
      </w:r>
      <w:r w:rsidR="00792D88" w:rsidRPr="008644BE">
        <w:rPr>
          <w:rFonts w:asciiTheme="minorEastAsia" w:eastAsiaTheme="minorEastAsia" w:hAnsiTheme="minorEastAsia" w:hint="eastAsia"/>
          <w:szCs w:val="21"/>
        </w:rPr>
        <w:t>天</w:t>
      </w:r>
      <w:r w:rsidR="00E96895" w:rsidRPr="008644BE">
        <w:rPr>
          <w:rFonts w:asciiTheme="minorEastAsia" w:eastAsiaTheme="minorEastAsia" w:hAnsiTheme="minorEastAsia" w:hint="eastAsia"/>
          <w:szCs w:val="21"/>
        </w:rPr>
        <w:t>（不含）的</w:t>
      </w:r>
      <w:r w:rsidR="000A579A" w:rsidRPr="008644BE">
        <w:rPr>
          <w:rFonts w:asciiTheme="minorEastAsia" w:eastAsiaTheme="minorEastAsia" w:hAnsiTheme="minorEastAsia" w:hint="eastAsia"/>
          <w:szCs w:val="21"/>
        </w:rPr>
        <w:t>基金份额持有人</w:t>
      </w:r>
      <w:r w:rsidR="00E96895" w:rsidRPr="008644BE">
        <w:rPr>
          <w:rFonts w:asciiTheme="minorEastAsia" w:eastAsiaTheme="minorEastAsia" w:hAnsiTheme="minorEastAsia" w:hint="eastAsia"/>
          <w:szCs w:val="21"/>
        </w:rPr>
        <w:t>所收取赎回费用全额计入基金财产；对持有期在30天以上（含）且少于90天（不含）的</w:t>
      </w:r>
      <w:r w:rsidR="00AB012C" w:rsidRPr="008644BE">
        <w:rPr>
          <w:rFonts w:asciiTheme="minorEastAsia" w:eastAsiaTheme="minorEastAsia" w:hAnsiTheme="minorEastAsia" w:hint="eastAsia"/>
          <w:szCs w:val="21"/>
        </w:rPr>
        <w:t>基金份额持有人</w:t>
      </w:r>
      <w:r w:rsidR="00E96895" w:rsidRPr="008644BE">
        <w:rPr>
          <w:rFonts w:asciiTheme="minorEastAsia" w:eastAsiaTheme="minorEastAsia" w:hAnsiTheme="minorEastAsia" w:hint="eastAsia"/>
          <w:szCs w:val="21"/>
        </w:rPr>
        <w:t>所收取赎回费用总额的75%计入基金财产；对持有期在90天以上（含）且少于180天（不含）的</w:t>
      </w:r>
      <w:r w:rsidR="00AB012C" w:rsidRPr="008644BE">
        <w:rPr>
          <w:rFonts w:asciiTheme="minorEastAsia" w:eastAsiaTheme="minorEastAsia" w:hAnsiTheme="minorEastAsia" w:hint="eastAsia"/>
          <w:szCs w:val="21"/>
        </w:rPr>
        <w:t>基金份额持有人</w:t>
      </w:r>
      <w:r w:rsidR="00E96895" w:rsidRPr="008644BE">
        <w:rPr>
          <w:rFonts w:asciiTheme="minorEastAsia" w:eastAsiaTheme="minorEastAsia" w:hAnsiTheme="minorEastAsia" w:hint="eastAsia"/>
          <w:szCs w:val="21"/>
        </w:rPr>
        <w:t>所收取赎回费用总额的50%计入基金财产；对持续持有期180天以上（含）的投资人所收取赎回费用总额的25%计入基金财产；其余用于支付市场推广、注册登记费和其他手续费。</w:t>
      </w:r>
    </w:p>
    <w:p w:rsidR="00BA4B87" w:rsidRPr="008644BE" w:rsidRDefault="001E7C8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4</w:t>
      </w:r>
      <w:r w:rsidR="00BA4B87" w:rsidRPr="008644BE">
        <w:rPr>
          <w:rFonts w:asciiTheme="minorEastAsia" w:eastAsiaTheme="minorEastAsia" w:hAnsiTheme="minorEastAsia" w:hint="eastAsia"/>
          <w:szCs w:val="21"/>
        </w:rPr>
        <w:t>、基金管理人可以在基金合同规定的范围内调整申购费率</w:t>
      </w:r>
      <w:r w:rsidR="00880A01" w:rsidRPr="008644BE">
        <w:rPr>
          <w:rFonts w:asciiTheme="minorEastAsia" w:eastAsiaTheme="minorEastAsia" w:hAnsiTheme="minorEastAsia" w:hint="eastAsia"/>
          <w:szCs w:val="21"/>
        </w:rPr>
        <w:t>、</w:t>
      </w:r>
      <w:r w:rsidR="00BA4B87" w:rsidRPr="008644BE">
        <w:rPr>
          <w:rFonts w:asciiTheme="minorEastAsia" w:eastAsiaTheme="minorEastAsia" w:hAnsiTheme="minorEastAsia" w:hint="eastAsia"/>
          <w:szCs w:val="21"/>
        </w:rPr>
        <w:t>赎回费率</w:t>
      </w:r>
      <w:r w:rsidR="00880A01" w:rsidRPr="008644BE">
        <w:rPr>
          <w:rFonts w:asciiTheme="minorEastAsia" w:eastAsiaTheme="minorEastAsia" w:hAnsiTheme="minorEastAsia" w:hint="eastAsia"/>
          <w:szCs w:val="21"/>
        </w:rPr>
        <w:t>或变更收费方式</w:t>
      </w:r>
      <w:r w:rsidR="00BA4B87" w:rsidRPr="008644BE">
        <w:rPr>
          <w:rFonts w:asciiTheme="minorEastAsia" w:eastAsiaTheme="minorEastAsia" w:hAnsiTheme="minorEastAsia" w:hint="eastAsia"/>
          <w:szCs w:val="21"/>
        </w:rPr>
        <w:t>，调整后的申购费率</w:t>
      </w:r>
      <w:r w:rsidR="00880A01" w:rsidRPr="008644BE">
        <w:rPr>
          <w:rFonts w:asciiTheme="minorEastAsia" w:eastAsiaTheme="minorEastAsia" w:hAnsiTheme="minorEastAsia" w:hint="eastAsia"/>
          <w:szCs w:val="21"/>
        </w:rPr>
        <w:t>、</w:t>
      </w:r>
      <w:r w:rsidR="00BA4B87" w:rsidRPr="008644BE">
        <w:rPr>
          <w:rFonts w:asciiTheme="minorEastAsia" w:eastAsiaTheme="minorEastAsia" w:hAnsiTheme="minorEastAsia" w:hint="eastAsia"/>
          <w:szCs w:val="21"/>
        </w:rPr>
        <w:t>赎回费率</w:t>
      </w:r>
      <w:r w:rsidR="009012CD" w:rsidRPr="008644BE">
        <w:rPr>
          <w:rFonts w:asciiTheme="minorEastAsia" w:eastAsiaTheme="minorEastAsia" w:hAnsiTheme="minorEastAsia" w:hint="eastAsia"/>
          <w:szCs w:val="21"/>
        </w:rPr>
        <w:t>或变更的收费方式</w:t>
      </w:r>
      <w:r w:rsidR="00BA4B87" w:rsidRPr="008644BE">
        <w:rPr>
          <w:rFonts w:asciiTheme="minorEastAsia" w:eastAsiaTheme="minorEastAsia" w:hAnsiTheme="minorEastAsia" w:hint="eastAsia"/>
          <w:szCs w:val="21"/>
        </w:rPr>
        <w:t>在《更新的招募说明书》中列示。上述费率</w:t>
      </w:r>
      <w:r w:rsidR="009012CD" w:rsidRPr="008644BE">
        <w:rPr>
          <w:rFonts w:asciiTheme="minorEastAsia" w:eastAsiaTheme="minorEastAsia" w:hAnsiTheme="minorEastAsia" w:hint="eastAsia"/>
          <w:szCs w:val="21"/>
        </w:rPr>
        <w:t>或收费方式</w:t>
      </w:r>
      <w:r w:rsidR="00BA4B87" w:rsidRPr="008644BE">
        <w:rPr>
          <w:rFonts w:asciiTheme="minorEastAsia" w:eastAsiaTheme="minorEastAsia" w:hAnsiTheme="minorEastAsia" w:hint="eastAsia"/>
          <w:szCs w:val="21"/>
        </w:rPr>
        <w:t>如发生变更，基金管理人最迟应于新的费率或收费方式实施日前依照《信息披露办法》的有关规定在</w:t>
      </w:r>
      <w:r w:rsidR="00B02CB0" w:rsidRPr="008644BE">
        <w:rPr>
          <w:rFonts w:asciiTheme="minorEastAsia" w:eastAsiaTheme="minorEastAsia" w:hAnsiTheme="minorEastAsia" w:hint="eastAsia"/>
          <w:szCs w:val="21"/>
        </w:rPr>
        <w:t>指定媒介</w:t>
      </w:r>
      <w:r w:rsidR="00BA4B87" w:rsidRPr="008644BE">
        <w:rPr>
          <w:rFonts w:asciiTheme="minorEastAsia" w:eastAsiaTheme="minorEastAsia" w:hAnsiTheme="minorEastAsia" w:hint="eastAsia"/>
          <w:szCs w:val="21"/>
        </w:rPr>
        <w:t>上公告。</w:t>
      </w:r>
    </w:p>
    <w:p w:rsidR="00BA4B87" w:rsidRPr="008644BE" w:rsidRDefault="00DF471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53" w:name="_Toc332373507"/>
      <w:r w:rsidRPr="008644BE">
        <w:rPr>
          <w:rStyle w:val="da"/>
          <w:rFonts w:asciiTheme="minorEastAsia" w:eastAsiaTheme="minorEastAsia" w:hAnsiTheme="minorEastAsia" w:hint="eastAsia"/>
        </w:rPr>
        <w:lastRenderedPageBreak/>
        <w:t>（</w:t>
      </w:r>
      <w:r w:rsidR="00214A68" w:rsidRPr="008644BE">
        <w:rPr>
          <w:rStyle w:val="da"/>
          <w:rFonts w:asciiTheme="minorEastAsia" w:eastAsiaTheme="minorEastAsia" w:hAnsiTheme="minorEastAsia" w:hint="eastAsia"/>
        </w:rPr>
        <w:t>八</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申购和赎回的数额和价格</w:t>
      </w:r>
      <w:bookmarkEnd w:id="53"/>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1、申购和赎回数额、余额的处理方式</w:t>
      </w:r>
    </w:p>
    <w:p w:rsidR="00BA4B87" w:rsidRPr="008644BE" w:rsidRDefault="002E1C3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w:t>
      </w:r>
      <w:r w:rsidR="00BA4B87" w:rsidRPr="008644BE">
        <w:rPr>
          <w:rFonts w:asciiTheme="minorEastAsia" w:eastAsiaTheme="minorEastAsia" w:hAnsiTheme="minorEastAsia"/>
          <w:szCs w:val="21"/>
        </w:rPr>
        <w:t>1</w:t>
      </w:r>
      <w:r w:rsidRPr="008644BE">
        <w:rPr>
          <w:rFonts w:asciiTheme="minorEastAsia" w:eastAsiaTheme="minorEastAsia" w:hAnsiTheme="minorEastAsia"/>
          <w:szCs w:val="21"/>
        </w:rPr>
        <w:t>）</w:t>
      </w:r>
      <w:r w:rsidR="00BA4B87" w:rsidRPr="008644BE">
        <w:rPr>
          <w:rFonts w:asciiTheme="minorEastAsia" w:eastAsiaTheme="minorEastAsia" w:hAnsiTheme="minorEastAsia"/>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8644BE" w:rsidRDefault="002E1C3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w:t>
      </w:r>
      <w:r w:rsidR="00BA4B87" w:rsidRPr="008644BE">
        <w:rPr>
          <w:rFonts w:asciiTheme="minorEastAsia" w:eastAsiaTheme="minorEastAsia" w:hAnsiTheme="minorEastAsia"/>
          <w:szCs w:val="21"/>
        </w:rPr>
        <w:t>2</w:t>
      </w:r>
      <w:r w:rsidRPr="008644BE">
        <w:rPr>
          <w:rFonts w:asciiTheme="minorEastAsia" w:eastAsiaTheme="minorEastAsia" w:hAnsiTheme="minorEastAsia"/>
          <w:szCs w:val="21"/>
        </w:rPr>
        <w:t>）</w:t>
      </w:r>
      <w:r w:rsidR="00BA4B87" w:rsidRPr="008644BE">
        <w:rPr>
          <w:rFonts w:asciiTheme="minorEastAsia" w:eastAsiaTheme="minorEastAsia" w:hAnsiTheme="minorEastAsia"/>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bookmarkStart w:id="54" w:name="_Toc332373508"/>
      <w:r w:rsidRPr="008644BE">
        <w:rPr>
          <w:rFonts w:asciiTheme="minorEastAsia" w:eastAsiaTheme="minorEastAsia" w:hAnsiTheme="minorEastAsia"/>
          <w:szCs w:val="21"/>
        </w:rPr>
        <w:t>2、申购份额的计算</w:t>
      </w:r>
      <w:bookmarkEnd w:id="54"/>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净申购金额=申购金额/</w:t>
      </w:r>
      <w:r w:rsidR="002E1C38" w:rsidRPr="008644BE">
        <w:rPr>
          <w:rFonts w:asciiTheme="minorEastAsia" w:eastAsiaTheme="minorEastAsia" w:hAnsiTheme="minorEastAsia"/>
          <w:szCs w:val="21"/>
        </w:rPr>
        <w:t>（</w:t>
      </w:r>
      <w:r w:rsidRPr="008644BE">
        <w:rPr>
          <w:rFonts w:asciiTheme="minorEastAsia" w:eastAsiaTheme="minorEastAsia" w:hAnsiTheme="minorEastAsia"/>
          <w:szCs w:val="21"/>
        </w:rPr>
        <w:t>1+申购费率</w:t>
      </w:r>
      <w:r w:rsidR="002E1C38" w:rsidRPr="008644BE">
        <w:rPr>
          <w:rFonts w:asciiTheme="minorEastAsia" w:eastAsiaTheme="minorEastAsia" w:hAnsiTheme="minorEastAsia"/>
          <w:szCs w:val="21"/>
        </w:rPr>
        <w:t>）</w:t>
      </w:r>
    </w:p>
    <w:p w:rsidR="00BA4B87" w:rsidRPr="008644BE" w:rsidRDefault="002E1C3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w:t>
      </w:r>
      <w:r w:rsidR="00BA4B87" w:rsidRPr="008644BE">
        <w:rPr>
          <w:rFonts w:asciiTheme="minorEastAsia" w:eastAsiaTheme="minorEastAsia" w:hAnsiTheme="minorEastAsia"/>
          <w:szCs w:val="21"/>
        </w:rPr>
        <w:t>注：对于</w:t>
      </w:r>
      <w:r w:rsidR="00897003" w:rsidRPr="008644BE">
        <w:rPr>
          <w:rFonts w:asciiTheme="minorEastAsia" w:eastAsiaTheme="minorEastAsia" w:hAnsiTheme="minorEastAsia"/>
          <w:szCs w:val="21"/>
        </w:rPr>
        <w:t>500</w:t>
      </w:r>
      <w:r w:rsidR="00BA4B87" w:rsidRPr="008644BE">
        <w:rPr>
          <w:rFonts w:asciiTheme="minorEastAsia" w:eastAsiaTheme="minorEastAsia" w:hAnsiTheme="minorEastAsia"/>
          <w:szCs w:val="21"/>
        </w:rPr>
        <w:t>万</w:t>
      </w:r>
      <w:r w:rsidRPr="008644BE">
        <w:rPr>
          <w:rFonts w:asciiTheme="minorEastAsia" w:eastAsiaTheme="minorEastAsia" w:hAnsiTheme="minorEastAsia"/>
          <w:szCs w:val="21"/>
        </w:rPr>
        <w:t>（</w:t>
      </w:r>
      <w:r w:rsidR="00BA4B87" w:rsidRPr="008644BE">
        <w:rPr>
          <w:rFonts w:asciiTheme="minorEastAsia" w:eastAsiaTheme="minorEastAsia" w:hAnsiTheme="minorEastAsia"/>
          <w:szCs w:val="21"/>
        </w:rPr>
        <w:t>含</w:t>
      </w:r>
      <w:r w:rsidRPr="008644BE">
        <w:rPr>
          <w:rFonts w:asciiTheme="minorEastAsia" w:eastAsiaTheme="minorEastAsia" w:hAnsiTheme="minorEastAsia"/>
          <w:szCs w:val="21"/>
        </w:rPr>
        <w:t>）</w:t>
      </w:r>
      <w:r w:rsidR="00BA4B87" w:rsidRPr="008644BE">
        <w:rPr>
          <w:rFonts w:asciiTheme="minorEastAsia" w:eastAsiaTheme="minorEastAsia" w:hAnsiTheme="minorEastAsia"/>
          <w:szCs w:val="21"/>
        </w:rPr>
        <w:t>以上适用固定金额申购费的申购，净申购金额＝申购金额－固定申购费金额</w:t>
      </w:r>
      <w:r w:rsidRPr="008644BE">
        <w:rPr>
          <w:rFonts w:asciiTheme="minorEastAsia" w:eastAsiaTheme="minorEastAsia" w:hAnsiTheme="minorEastAsia"/>
          <w:szCs w:val="21"/>
        </w:rPr>
        <w:t>）</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申购费用=申购金额-净申购金额</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申购份额=净申购金额/T日基金份额净值</w:t>
      </w:r>
    </w:p>
    <w:p w:rsidR="00BA4B87" w:rsidRPr="008644BE" w:rsidRDefault="001E7C8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例</w:t>
      </w:r>
      <w:r w:rsidR="00BA4B87" w:rsidRPr="008644BE">
        <w:rPr>
          <w:rFonts w:asciiTheme="minorEastAsia" w:eastAsiaTheme="minorEastAsia" w:hAnsiTheme="minorEastAsia"/>
          <w:szCs w:val="21"/>
        </w:rPr>
        <w:t>：某投资人</w:t>
      </w:r>
      <w:r w:rsidR="002E1C38" w:rsidRPr="008644BE">
        <w:rPr>
          <w:rFonts w:asciiTheme="minorEastAsia" w:eastAsiaTheme="minorEastAsia" w:hAnsiTheme="minorEastAsia"/>
          <w:szCs w:val="21"/>
        </w:rPr>
        <w:t>（</w:t>
      </w:r>
      <w:r w:rsidR="00BA4B87" w:rsidRPr="008644BE">
        <w:rPr>
          <w:rFonts w:asciiTheme="minorEastAsia" w:eastAsiaTheme="minorEastAsia" w:hAnsiTheme="minorEastAsia"/>
          <w:szCs w:val="21"/>
        </w:rPr>
        <w:t>非</w:t>
      </w:r>
      <w:r w:rsidR="001175C0" w:rsidRPr="008644BE">
        <w:rPr>
          <w:rFonts w:asciiTheme="minorEastAsia" w:eastAsiaTheme="minorEastAsia" w:hAnsiTheme="minorEastAsia"/>
        </w:rPr>
        <w:t>特定投资群体</w:t>
      </w:r>
      <w:r w:rsidR="002E1C38" w:rsidRPr="008644BE">
        <w:rPr>
          <w:rFonts w:asciiTheme="minorEastAsia" w:eastAsiaTheme="minorEastAsia" w:hAnsiTheme="minorEastAsia"/>
          <w:szCs w:val="21"/>
        </w:rPr>
        <w:t>）</w:t>
      </w:r>
      <w:r w:rsidR="00BA4B87" w:rsidRPr="008644BE">
        <w:rPr>
          <w:rFonts w:asciiTheme="minorEastAsia" w:eastAsiaTheme="minorEastAsia" w:hAnsiTheme="minorEastAsia"/>
          <w:szCs w:val="21"/>
        </w:rPr>
        <w:t>投资</w:t>
      </w:r>
      <w:r w:rsidR="003134A5" w:rsidRPr="008644BE">
        <w:rPr>
          <w:rFonts w:asciiTheme="minorEastAsia" w:eastAsiaTheme="minorEastAsia" w:hAnsiTheme="minorEastAsia"/>
          <w:szCs w:val="21"/>
        </w:rPr>
        <w:t>100,000</w:t>
      </w:r>
      <w:r w:rsidR="00BA4B87" w:rsidRPr="008644BE">
        <w:rPr>
          <w:rFonts w:asciiTheme="minorEastAsia" w:eastAsiaTheme="minorEastAsia" w:hAnsiTheme="minorEastAsia"/>
          <w:szCs w:val="21"/>
        </w:rPr>
        <w:t>元申购本基金，申购费率为</w:t>
      </w:r>
      <w:r w:rsidR="00A254BB" w:rsidRPr="008644BE">
        <w:rPr>
          <w:rFonts w:asciiTheme="minorEastAsia" w:eastAsiaTheme="minorEastAsia" w:hAnsiTheme="minorEastAsia" w:hint="eastAsia"/>
          <w:szCs w:val="21"/>
        </w:rPr>
        <w:t>1.5</w:t>
      </w:r>
      <w:r w:rsidR="00BA4B87" w:rsidRPr="008644BE">
        <w:rPr>
          <w:rFonts w:asciiTheme="minorEastAsia" w:eastAsiaTheme="minorEastAsia" w:hAnsiTheme="minorEastAsia"/>
          <w:szCs w:val="21"/>
        </w:rPr>
        <w:t>%，假设申购当日基金份额净值为1.040元，则其可得到的申购份额为：</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净申购金额=</w:t>
      </w:r>
      <w:r w:rsidR="003134A5" w:rsidRPr="008644BE">
        <w:rPr>
          <w:rFonts w:asciiTheme="minorEastAsia" w:eastAsiaTheme="minorEastAsia" w:hAnsiTheme="minorEastAsia"/>
          <w:szCs w:val="21"/>
        </w:rPr>
        <w:t>100,000</w:t>
      </w:r>
      <w:r w:rsidRPr="008644BE">
        <w:rPr>
          <w:rFonts w:asciiTheme="minorEastAsia" w:eastAsiaTheme="minorEastAsia" w:hAnsiTheme="minorEastAsia"/>
          <w:szCs w:val="21"/>
        </w:rPr>
        <w:t>/</w:t>
      </w:r>
      <w:r w:rsidR="002E1C38" w:rsidRPr="008644BE">
        <w:rPr>
          <w:rFonts w:asciiTheme="minorEastAsia" w:eastAsiaTheme="minorEastAsia" w:hAnsiTheme="minorEastAsia"/>
          <w:szCs w:val="21"/>
        </w:rPr>
        <w:t>（</w:t>
      </w:r>
      <w:r w:rsidRPr="008644BE">
        <w:rPr>
          <w:rFonts w:asciiTheme="minorEastAsia" w:eastAsiaTheme="minorEastAsia" w:hAnsiTheme="minorEastAsia"/>
          <w:szCs w:val="21"/>
        </w:rPr>
        <w:t>1+</w:t>
      </w:r>
      <w:r w:rsidR="00A254BB" w:rsidRPr="008644BE">
        <w:rPr>
          <w:rFonts w:asciiTheme="minorEastAsia" w:eastAsiaTheme="minorEastAsia" w:hAnsiTheme="minorEastAsia" w:hint="eastAsia"/>
          <w:szCs w:val="21"/>
        </w:rPr>
        <w:t>1.5</w:t>
      </w:r>
      <w:r w:rsidRPr="008644BE">
        <w:rPr>
          <w:rFonts w:asciiTheme="minorEastAsia" w:eastAsiaTheme="minorEastAsia" w:hAnsiTheme="minorEastAsia"/>
          <w:szCs w:val="21"/>
        </w:rPr>
        <w:t>%</w:t>
      </w:r>
      <w:r w:rsidR="002E1C38" w:rsidRPr="008644BE">
        <w:rPr>
          <w:rFonts w:asciiTheme="minorEastAsia" w:eastAsiaTheme="minorEastAsia" w:hAnsiTheme="minorEastAsia"/>
          <w:szCs w:val="21"/>
        </w:rPr>
        <w:t>）</w:t>
      </w:r>
      <w:r w:rsidRPr="008644BE">
        <w:rPr>
          <w:rFonts w:asciiTheme="minorEastAsia" w:eastAsiaTheme="minorEastAsia" w:hAnsiTheme="minorEastAsia"/>
          <w:szCs w:val="21"/>
        </w:rPr>
        <w:t>=</w:t>
      </w:r>
      <w:r w:rsidR="00A254BB" w:rsidRPr="008644BE">
        <w:rPr>
          <w:rFonts w:asciiTheme="minorEastAsia" w:eastAsiaTheme="minorEastAsia" w:hAnsiTheme="minorEastAsia" w:hint="eastAsia"/>
          <w:szCs w:val="21"/>
        </w:rPr>
        <w:t>98,522.17</w:t>
      </w:r>
      <w:r w:rsidRPr="008644BE">
        <w:rPr>
          <w:rFonts w:asciiTheme="minorEastAsia" w:eastAsiaTheme="minorEastAsia" w:hAnsiTheme="minorEastAsia"/>
          <w:szCs w:val="21"/>
        </w:rPr>
        <w:t>元</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申购费用=</w:t>
      </w:r>
      <w:r w:rsidR="003134A5" w:rsidRPr="008644BE">
        <w:rPr>
          <w:rFonts w:asciiTheme="minorEastAsia" w:eastAsiaTheme="minorEastAsia" w:hAnsiTheme="minorEastAsia"/>
          <w:szCs w:val="21"/>
        </w:rPr>
        <w:t>100,000</w:t>
      </w:r>
      <w:r w:rsidRPr="008644BE">
        <w:rPr>
          <w:rFonts w:asciiTheme="minorEastAsia" w:eastAsiaTheme="minorEastAsia" w:hAnsiTheme="minorEastAsia"/>
          <w:szCs w:val="21"/>
        </w:rPr>
        <w:t>-</w:t>
      </w:r>
      <w:r w:rsidR="00A254BB" w:rsidRPr="008644BE">
        <w:rPr>
          <w:rFonts w:asciiTheme="minorEastAsia" w:eastAsiaTheme="minorEastAsia" w:hAnsiTheme="minorEastAsia" w:hint="eastAsia"/>
          <w:szCs w:val="21"/>
        </w:rPr>
        <w:t>98,522.17</w:t>
      </w:r>
      <w:r w:rsidRPr="008644BE">
        <w:rPr>
          <w:rFonts w:asciiTheme="minorEastAsia" w:eastAsiaTheme="minorEastAsia" w:hAnsiTheme="minorEastAsia"/>
          <w:szCs w:val="21"/>
        </w:rPr>
        <w:t>=</w:t>
      </w:r>
      <w:r w:rsidR="00A254BB" w:rsidRPr="008644BE">
        <w:rPr>
          <w:rFonts w:asciiTheme="minorEastAsia" w:eastAsiaTheme="minorEastAsia" w:hAnsiTheme="minorEastAsia" w:hint="eastAsia"/>
          <w:szCs w:val="21"/>
        </w:rPr>
        <w:t>1,477.83</w:t>
      </w:r>
      <w:r w:rsidRPr="008644BE">
        <w:rPr>
          <w:rFonts w:asciiTheme="minorEastAsia" w:eastAsiaTheme="minorEastAsia" w:hAnsiTheme="minorEastAsia"/>
          <w:szCs w:val="21"/>
        </w:rPr>
        <w:t>元</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申购份额=</w:t>
      </w:r>
      <w:r w:rsidR="00A254BB" w:rsidRPr="008644BE">
        <w:rPr>
          <w:rFonts w:asciiTheme="minorEastAsia" w:eastAsiaTheme="minorEastAsia" w:hAnsiTheme="minorEastAsia" w:hint="eastAsia"/>
          <w:szCs w:val="21"/>
        </w:rPr>
        <w:t>98,522.17</w:t>
      </w:r>
      <w:r w:rsidR="003134A5" w:rsidRPr="008644BE">
        <w:rPr>
          <w:rFonts w:asciiTheme="minorEastAsia" w:eastAsiaTheme="minorEastAsia" w:hAnsiTheme="minorEastAsia"/>
          <w:szCs w:val="21"/>
        </w:rPr>
        <w:t>/1.040=</w:t>
      </w:r>
      <w:r w:rsidR="00A254BB" w:rsidRPr="008644BE">
        <w:rPr>
          <w:rFonts w:asciiTheme="minorEastAsia" w:eastAsiaTheme="minorEastAsia" w:hAnsiTheme="minorEastAsia" w:hint="eastAsia"/>
          <w:szCs w:val="21"/>
        </w:rPr>
        <w:t>94,732.86</w:t>
      </w:r>
      <w:r w:rsidRPr="008644BE">
        <w:rPr>
          <w:rFonts w:asciiTheme="minorEastAsia" w:eastAsiaTheme="minorEastAsia" w:hAnsiTheme="minorEastAsia"/>
          <w:szCs w:val="21"/>
        </w:rPr>
        <w:t>份</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例：某投资人</w:t>
      </w:r>
      <w:r w:rsidR="002E1C38" w:rsidRPr="008644BE">
        <w:rPr>
          <w:rFonts w:asciiTheme="minorEastAsia" w:eastAsiaTheme="minorEastAsia" w:hAnsiTheme="minorEastAsia"/>
          <w:szCs w:val="21"/>
        </w:rPr>
        <w:t>（</w:t>
      </w:r>
      <w:r w:rsidR="001175C0" w:rsidRPr="008644BE">
        <w:rPr>
          <w:rFonts w:asciiTheme="minorEastAsia" w:eastAsiaTheme="minorEastAsia" w:hAnsiTheme="minorEastAsia"/>
        </w:rPr>
        <w:t>特定投资群体</w:t>
      </w:r>
      <w:r w:rsidR="002E1C38" w:rsidRPr="008644BE">
        <w:rPr>
          <w:rFonts w:asciiTheme="minorEastAsia" w:eastAsiaTheme="minorEastAsia" w:hAnsiTheme="minorEastAsia"/>
          <w:szCs w:val="21"/>
        </w:rPr>
        <w:t>）</w:t>
      </w:r>
      <w:r w:rsidRPr="008644BE">
        <w:rPr>
          <w:rFonts w:asciiTheme="minorEastAsia" w:eastAsiaTheme="minorEastAsia" w:hAnsiTheme="minorEastAsia"/>
          <w:szCs w:val="21"/>
        </w:rPr>
        <w:t>通过本管理人的</w:t>
      </w:r>
      <w:r w:rsidR="00A26107" w:rsidRPr="008644BE">
        <w:rPr>
          <w:rFonts w:asciiTheme="minorEastAsia" w:eastAsiaTheme="minorEastAsia" w:hAnsiTheme="minorEastAsia"/>
          <w:szCs w:val="21"/>
        </w:rPr>
        <w:t>直销</w:t>
      </w:r>
      <w:r w:rsidR="009C56F4" w:rsidRPr="008644BE">
        <w:rPr>
          <w:rFonts w:asciiTheme="minorEastAsia" w:eastAsiaTheme="minorEastAsia" w:hAnsiTheme="minorEastAsia" w:hint="eastAsia"/>
          <w:szCs w:val="21"/>
        </w:rPr>
        <w:t>中心</w:t>
      </w:r>
      <w:r w:rsidRPr="008644BE">
        <w:rPr>
          <w:rFonts w:asciiTheme="minorEastAsia" w:eastAsiaTheme="minorEastAsia" w:hAnsiTheme="minorEastAsia"/>
          <w:szCs w:val="21"/>
        </w:rPr>
        <w:t>投资</w:t>
      </w:r>
      <w:r w:rsidR="003134A5" w:rsidRPr="008644BE">
        <w:rPr>
          <w:rFonts w:asciiTheme="minorEastAsia" w:eastAsiaTheme="minorEastAsia" w:hAnsiTheme="minorEastAsia"/>
          <w:szCs w:val="21"/>
        </w:rPr>
        <w:t>100,000</w:t>
      </w:r>
      <w:r w:rsidRPr="008644BE">
        <w:rPr>
          <w:rFonts w:asciiTheme="minorEastAsia" w:eastAsiaTheme="minorEastAsia" w:hAnsiTheme="minorEastAsia"/>
          <w:szCs w:val="21"/>
        </w:rPr>
        <w:t>元申购本基金，申购费率为0.</w:t>
      </w:r>
      <w:r w:rsidR="00A254BB" w:rsidRPr="008644BE">
        <w:rPr>
          <w:rFonts w:asciiTheme="minorEastAsia" w:eastAsiaTheme="minorEastAsia" w:hAnsiTheme="minorEastAsia" w:hint="eastAsia"/>
          <w:szCs w:val="21"/>
        </w:rPr>
        <w:t>15</w:t>
      </w:r>
      <w:r w:rsidRPr="008644BE">
        <w:rPr>
          <w:rFonts w:asciiTheme="minorEastAsia" w:eastAsiaTheme="minorEastAsia" w:hAnsiTheme="minorEastAsia"/>
          <w:szCs w:val="21"/>
        </w:rPr>
        <w:t>%，假设申购当日基金份额净值为1.040元，则其可得到的申购份额为：</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净申购金额=</w:t>
      </w:r>
      <w:r w:rsidR="003134A5" w:rsidRPr="008644BE">
        <w:rPr>
          <w:rFonts w:asciiTheme="minorEastAsia" w:eastAsiaTheme="minorEastAsia" w:hAnsiTheme="minorEastAsia"/>
          <w:szCs w:val="21"/>
        </w:rPr>
        <w:t>100,000/</w:t>
      </w:r>
      <w:r w:rsidR="002E1C38" w:rsidRPr="008644BE">
        <w:rPr>
          <w:rFonts w:asciiTheme="minorEastAsia" w:eastAsiaTheme="minorEastAsia" w:hAnsiTheme="minorEastAsia"/>
          <w:szCs w:val="21"/>
        </w:rPr>
        <w:t>（</w:t>
      </w:r>
      <w:r w:rsidR="003134A5" w:rsidRPr="008644BE">
        <w:rPr>
          <w:rFonts w:asciiTheme="minorEastAsia" w:eastAsiaTheme="minorEastAsia" w:hAnsiTheme="minorEastAsia"/>
          <w:szCs w:val="21"/>
        </w:rPr>
        <w:t>1+</w:t>
      </w:r>
      <w:r w:rsidR="00A254BB" w:rsidRPr="008644BE">
        <w:rPr>
          <w:rFonts w:asciiTheme="minorEastAsia" w:eastAsiaTheme="minorEastAsia" w:hAnsiTheme="minorEastAsia" w:hint="eastAsia"/>
          <w:szCs w:val="21"/>
        </w:rPr>
        <w:t>0.15</w:t>
      </w:r>
      <w:r w:rsidR="003134A5" w:rsidRPr="008644BE">
        <w:rPr>
          <w:rFonts w:asciiTheme="minorEastAsia" w:eastAsiaTheme="minorEastAsia" w:hAnsiTheme="minorEastAsia"/>
          <w:szCs w:val="21"/>
        </w:rPr>
        <w:t>%</w:t>
      </w:r>
      <w:r w:rsidR="002E1C38" w:rsidRPr="008644BE">
        <w:rPr>
          <w:rFonts w:asciiTheme="minorEastAsia" w:eastAsiaTheme="minorEastAsia" w:hAnsiTheme="minorEastAsia"/>
          <w:szCs w:val="21"/>
        </w:rPr>
        <w:t>）</w:t>
      </w:r>
      <w:r w:rsidR="003134A5" w:rsidRPr="008644BE">
        <w:rPr>
          <w:rFonts w:asciiTheme="minorEastAsia" w:eastAsiaTheme="minorEastAsia" w:hAnsiTheme="minorEastAsia"/>
          <w:szCs w:val="21"/>
        </w:rPr>
        <w:t>=</w:t>
      </w:r>
      <w:r w:rsidR="00A254BB" w:rsidRPr="008644BE">
        <w:rPr>
          <w:rFonts w:asciiTheme="minorEastAsia" w:eastAsiaTheme="minorEastAsia" w:hAnsiTheme="minorEastAsia" w:hint="eastAsia"/>
          <w:szCs w:val="21"/>
        </w:rPr>
        <w:t>99,850.22</w:t>
      </w:r>
      <w:r w:rsidRPr="008644BE">
        <w:rPr>
          <w:rFonts w:asciiTheme="minorEastAsia" w:eastAsiaTheme="minorEastAsia" w:hAnsiTheme="minorEastAsia"/>
          <w:szCs w:val="21"/>
        </w:rPr>
        <w:t>元</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申购费用=</w:t>
      </w:r>
      <w:r w:rsidR="003134A5" w:rsidRPr="008644BE">
        <w:rPr>
          <w:rFonts w:asciiTheme="minorEastAsia" w:eastAsiaTheme="minorEastAsia" w:hAnsiTheme="minorEastAsia"/>
          <w:szCs w:val="21"/>
        </w:rPr>
        <w:t>100,000-</w:t>
      </w:r>
      <w:r w:rsidR="00A254BB" w:rsidRPr="008644BE">
        <w:rPr>
          <w:rFonts w:asciiTheme="minorEastAsia" w:eastAsiaTheme="minorEastAsia" w:hAnsiTheme="minorEastAsia" w:hint="eastAsia"/>
          <w:szCs w:val="21"/>
        </w:rPr>
        <w:t>99,850.22</w:t>
      </w:r>
      <w:r w:rsidR="003134A5" w:rsidRPr="008644BE">
        <w:rPr>
          <w:rFonts w:asciiTheme="minorEastAsia" w:eastAsiaTheme="minorEastAsia" w:hAnsiTheme="minorEastAsia"/>
          <w:szCs w:val="21"/>
        </w:rPr>
        <w:t>=</w:t>
      </w:r>
      <w:r w:rsidR="00A254BB" w:rsidRPr="008644BE">
        <w:rPr>
          <w:rFonts w:asciiTheme="minorEastAsia" w:eastAsiaTheme="minorEastAsia" w:hAnsiTheme="minorEastAsia" w:hint="eastAsia"/>
          <w:szCs w:val="21"/>
        </w:rPr>
        <w:t>149.78</w:t>
      </w:r>
      <w:r w:rsidRPr="008644BE">
        <w:rPr>
          <w:rFonts w:asciiTheme="minorEastAsia" w:eastAsiaTheme="minorEastAsia" w:hAnsiTheme="minorEastAsia"/>
          <w:szCs w:val="21"/>
        </w:rPr>
        <w:t>元</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申购份额=</w:t>
      </w:r>
      <w:r w:rsidR="00A254BB" w:rsidRPr="008644BE">
        <w:rPr>
          <w:rFonts w:asciiTheme="minorEastAsia" w:eastAsiaTheme="minorEastAsia" w:hAnsiTheme="minorEastAsia" w:hint="eastAsia"/>
          <w:szCs w:val="21"/>
        </w:rPr>
        <w:t>99,850.22</w:t>
      </w:r>
      <w:r w:rsidR="003134A5" w:rsidRPr="008644BE">
        <w:rPr>
          <w:rFonts w:asciiTheme="minorEastAsia" w:eastAsiaTheme="minorEastAsia" w:hAnsiTheme="minorEastAsia"/>
          <w:szCs w:val="21"/>
        </w:rPr>
        <w:t>/1.040=</w:t>
      </w:r>
      <w:r w:rsidR="00A254BB" w:rsidRPr="008644BE">
        <w:rPr>
          <w:rFonts w:asciiTheme="minorEastAsia" w:eastAsiaTheme="minorEastAsia" w:hAnsiTheme="minorEastAsia" w:hint="eastAsia"/>
          <w:szCs w:val="21"/>
        </w:rPr>
        <w:t>96,009.83</w:t>
      </w:r>
      <w:r w:rsidRPr="008644BE">
        <w:rPr>
          <w:rFonts w:asciiTheme="minorEastAsia" w:eastAsiaTheme="minorEastAsia" w:hAnsiTheme="minorEastAsia"/>
          <w:szCs w:val="21"/>
        </w:rPr>
        <w:t>份</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3、赎回金额的计算</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赎回金额的计算方法如下：</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赎回费用=赎回份额×T日基金份额净值×赎回费率</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赎回金额=赎回份额×T日基金份额净值-赎回费用</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例：某投资人赎回1</w:t>
      </w:r>
      <w:r w:rsidR="003134A5" w:rsidRPr="008644BE">
        <w:rPr>
          <w:rFonts w:asciiTheme="minorEastAsia" w:eastAsiaTheme="minorEastAsia" w:hAnsiTheme="minorEastAsia"/>
          <w:szCs w:val="21"/>
        </w:rPr>
        <w:t>0,000</w:t>
      </w:r>
      <w:r w:rsidRPr="008644BE">
        <w:rPr>
          <w:rFonts w:asciiTheme="minorEastAsia" w:eastAsiaTheme="minorEastAsia" w:hAnsiTheme="minorEastAsia"/>
          <w:szCs w:val="21"/>
        </w:rPr>
        <w:t>份基金份额，假设该笔份额持有期限为100天，则对应的赎回费率为0.</w:t>
      </w:r>
      <w:r w:rsidR="00A254BB" w:rsidRPr="008644BE">
        <w:rPr>
          <w:rFonts w:asciiTheme="minorEastAsia" w:eastAsiaTheme="minorEastAsia" w:hAnsiTheme="minorEastAsia" w:hint="eastAsia"/>
          <w:szCs w:val="21"/>
        </w:rPr>
        <w:t>5</w:t>
      </w:r>
      <w:r w:rsidRPr="008644BE">
        <w:rPr>
          <w:rFonts w:asciiTheme="minorEastAsia" w:eastAsiaTheme="minorEastAsia" w:hAnsiTheme="minorEastAsia"/>
          <w:szCs w:val="21"/>
        </w:rPr>
        <w:t>%，假设赎回当日基金份额净值是1.016元，则其可得到的赎回金额为：</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赎回费用=10,000×1.016×0.</w:t>
      </w:r>
      <w:r w:rsidR="00A254BB" w:rsidRPr="008644BE">
        <w:rPr>
          <w:rFonts w:asciiTheme="minorEastAsia" w:eastAsiaTheme="minorEastAsia" w:hAnsiTheme="minorEastAsia" w:hint="eastAsia"/>
          <w:szCs w:val="21"/>
        </w:rPr>
        <w:t>5</w:t>
      </w:r>
      <w:r w:rsidRPr="008644BE">
        <w:rPr>
          <w:rFonts w:asciiTheme="minorEastAsia" w:eastAsiaTheme="minorEastAsia" w:hAnsiTheme="minorEastAsia"/>
          <w:szCs w:val="21"/>
        </w:rPr>
        <w:t>%＝</w:t>
      </w:r>
      <w:r w:rsidR="00933CDC" w:rsidRPr="008644BE">
        <w:rPr>
          <w:rFonts w:asciiTheme="minorEastAsia" w:eastAsiaTheme="minorEastAsia" w:hAnsiTheme="minorEastAsia" w:hint="eastAsia"/>
          <w:szCs w:val="21"/>
        </w:rPr>
        <w:t>50.80</w:t>
      </w:r>
      <w:r w:rsidRPr="008644BE">
        <w:rPr>
          <w:rFonts w:asciiTheme="minorEastAsia" w:eastAsiaTheme="minorEastAsia" w:hAnsiTheme="minorEastAsia"/>
          <w:szCs w:val="21"/>
        </w:rPr>
        <w:t>元</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赎回金额=10,000×1.016-</w:t>
      </w:r>
      <w:r w:rsidR="00933CDC" w:rsidRPr="008644BE">
        <w:rPr>
          <w:rFonts w:asciiTheme="minorEastAsia" w:eastAsiaTheme="minorEastAsia" w:hAnsiTheme="minorEastAsia" w:hint="eastAsia"/>
          <w:szCs w:val="21"/>
        </w:rPr>
        <w:t>50.80</w:t>
      </w:r>
      <w:r w:rsidRPr="008644BE">
        <w:rPr>
          <w:rFonts w:asciiTheme="minorEastAsia" w:eastAsiaTheme="minorEastAsia" w:hAnsiTheme="minorEastAsia"/>
          <w:szCs w:val="21"/>
        </w:rPr>
        <w:t>＝10,</w:t>
      </w:r>
      <w:r w:rsidR="00933CDC" w:rsidRPr="008644BE">
        <w:rPr>
          <w:rFonts w:asciiTheme="minorEastAsia" w:eastAsiaTheme="minorEastAsia" w:hAnsiTheme="minorEastAsia" w:hint="eastAsia"/>
          <w:szCs w:val="21"/>
        </w:rPr>
        <w:t>109</w:t>
      </w:r>
      <w:r w:rsidRPr="008644BE">
        <w:rPr>
          <w:rFonts w:asciiTheme="minorEastAsia" w:eastAsiaTheme="minorEastAsia" w:hAnsiTheme="minorEastAsia"/>
          <w:szCs w:val="21"/>
        </w:rPr>
        <w:t>.</w:t>
      </w:r>
      <w:r w:rsidR="00933CDC" w:rsidRPr="008644BE">
        <w:rPr>
          <w:rFonts w:asciiTheme="minorEastAsia" w:eastAsiaTheme="minorEastAsia" w:hAnsiTheme="minorEastAsia" w:hint="eastAsia"/>
          <w:szCs w:val="21"/>
        </w:rPr>
        <w:t>20</w:t>
      </w:r>
      <w:r w:rsidRPr="008644BE">
        <w:rPr>
          <w:rFonts w:asciiTheme="minorEastAsia" w:eastAsiaTheme="minorEastAsia" w:hAnsiTheme="minorEastAsia"/>
          <w:szCs w:val="21"/>
        </w:rPr>
        <w:t>元</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即：投资人赎回本基金1</w:t>
      </w:r>
      <w:r w:rsidR="003134A5" w:rsidRPr="008644BE">
        <w:rPr>
          <w:rFonts w:asciiTheme="minorEastAsia" w:eastAsiaTheme="minorEastAsia" w:hAnsiTheme="minorEastAsia"/>
          <w:szCs w:val="21"/>
        </w:rPr>
        <w:t>0,000</w:t>
      </w:r>
      <w:r w:rsidRPr="008644BE">
        <w:rPr>
          <w:rFonts w:asciiTheme="minorEastAsia" w:eastAsiaTheme="minorEastAsia" w:hAnsiTheme="minorEastAsia"/>
          <w:szCs w:val="21"/>
        </w:rPr>
        <w:t>份基金份额，假设赎回当日基金份额净值是1.016元，</w:t>
      </w:r>
      <w:r w:rsidRPr="008644BE">
        <w:rPr>
          <w:rFonts w:asciiTheme="minorEastAsia" w:eastAsiaTheme="minorEastAsia" w:hAnsiTheme="minorEastAsia"/>
          <w:szCs w:val="21"/>
        </w:rPr>
        <w:lastRenderedPageBreak/>
        <w:t>则其可得到的赎回金额为</w:t>
      </w:r>
      <w:r w:rsidR="00933CDC" w:rsidRPr="008644BE">
        <w:rPr>
          <w:rFonts w:asciiTheme="minorEastAsia" w:eastAsiaTheme="minorEastAsia" w:hAnsiTheme="minorEastAsia"/>
          <w:szCs w:val="21"/>
        </w:rPr>
        <w:t>10,</w:t>
      </w:r>
      <w:r w:rsidR="00933CDC" w:rsidRPr="008644BE">
        <w:rPr>
          <w:rFonts w:asciiTheme="minorEastAsia" w:eastAsiaTheme="minorEastAsia" w:hAnsiTheme="minorEastAsia" w:hint="eastAsia"/>
          <w:szCs w:val="21"/>
        </w:rPr>
        <w:t>109</w:t>
      </w:r>
      <w:r w:rsidR="00933CDC" w:rsidRPr="008644BE">
        <w:rPr>
          <w:rFonts w:asciiTheme="minorEastAsia" w:eastAsiaTheme="minorEastAsia" w:hAnsiTheme="minorEastAsia"/>
          <w:szCs w:val="21"/>
        </w:rPr>
        <w:t>.</w:t>
      </w:r>
      <w:r w:rsidR="00933CDC" w:rsidRPr="008644BE">
        <w:rPr>
          <w:rFonts w:asciiTheme="minorEastAsia" w:eastAsiaTheme="minorEastAsia" w:hAnsiTheme="minorEastAsia" w:hint="eastAsia"/>
          <w:szCs w:val="21"/>
        </w:rPr>
        <w:t>20</w:t>
      </w:r>
      <w:r w:rsidRPr="008644BE">
        <w:rPr>
          <w:rFonts w:asciiTheme="minorEastAsia" w:eastAsiaTheme="minorEastAsia" w:hAnsiTheme="minorEastAsia"/>
          <w:szCs w:val="21"/>
        </w:rPr>
        <w:t>元。</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bookmarkStart w:id="55" w:name="_Toc332373509"/>
      <w:r w:rsidRPr="008644BE">
        <w:rPr>
          <w:rFonts w:asciiTheme="minorEastAsia" w:eastAsiaTheme="minorEastAsia" w:hAnsiTheme="minorEastAsia"/>
          <w:szCs w:val="21"/>
        </w:rPr>
        <w:t>4、基金份额净值的计算公式</w:t>
      </w:r>
      <w:bookmarkEnd w:id="55"/>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计算日基金份额净值=计算日基金资产净值/计算日基金总份额。</w:t>
      </w:r>
    </w:p>
    <w:p w:rsidR="001F3F96" w:rsidRPr="008644BE" w:rsidRDefault="001F3F9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w:t>
      </w:r>
      <w:r w:rsidR="00CA008F" w:rsidRPr="008644BE">
        <w:rPr>
          <w:rFonts w:asciiTheme="minorEastAsia" w:eastAsiaTheme="minorEastAsia" w:hAnsiTheme="minorEastAsia"/>
          <w:szCs w:val="21"/>
        </w:rPr>
        <w:t>并公</w:t>
      </w:r>
      <w:r w:rsidRPr="008644BE">
        <w:rPr>
          <w:rFonts w:asciiTheme="minorEastAsia" w:eastAsiaTheme="minorEastAsia" w:hAnsiTheme="minorEastAsia"/>
          <w:szCs w:val="21"/>
        </w:rPr>
        <w:t>告。</w:t>
      </w:r>
    </w:p>
    <w:p w:rsidR="00D136C3"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56" w:name="_Toc332373510"/>
      <w:r w:rsidRPr="008644BE">
        <w:rPr>
          <w:rStyle w:val="da"/>
          <w:rFonts w:asciiTheme="minorEastAsia" w:eastAsiaTheme="minorEastAsia" w:hAnsiTheme="minorEastAsia" w:hint="eastAsia"/>
        </w:rPr>
        <w:t>（</w:t>
      </w:r>
      <w:r w:rsidR="00214A68" w:rsidRPr="008644BE">
        <w:rPr>
          <w:rStyle w:val="da"/>
          <w:rFonts w:asciiTheme="minorEastAsia" w:eastAsiaTheme="minorEastAsia" w:hAnsiTheme="minorEastAsia" w:hint="eastAsia"/>
        </w:rPr>
        <w:t>九</w:t>
      </w:r>
      <w:r w:rsidRPr="008644BE">
        <w:rPr>
          <w:rStyle w:val="da"/>
          <w:rFonts w:asciiTheme="minorEastAsia" w:eastAsiaTheme="minorEastAsia" w:hAnsiTheme="minorEastAsia" w:hint="eastAsia"/>
        </w:rPr>
        <w:t>）</w:t>
      </w:r>
      <w:r w:rsidR="00D136C3" w:rsidRPr="008644BE">
        <w:rPr>
          <w:rStyle w:val="da"/>
          <w:rFonts w:asciiTheme="minorEastAsia" w:eastAsiaTheme="minorEastAsia" w:hAnsiTheme="minorEastAsia" w:hint="eastAsia"/>
        </w:rPr>
        <w:t>申购和赎回的登记</w:t>
      </w:r>
    </w:p>
    <w:p w:rsidR="00D136C3" w:rsidRPr="008644BE" w:rsidRDefault="00D136C3"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正常情况下，投资者T日申购基金成功后，登记机构在T+1日为投资者增加权益并办理登记手续，投资人自T+2日起（含该日）有权赎回该部分基金份额。</w:t>
      </w:r>
    </w:p>
    <w:p w:rsidR="00D136C3" w:rsidRPr="008644BE" w:rsidRDefault="00D136C3"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基金份额持有人T日赎回基金成功后，正常情况下，登记机构在T+1日为其办理扣除权益的登记手续。</w:t>
      </w:r>
    </w:p>
    <w:p w:rsidR="00BA4B87" w:rsidRPr="008644BE" w:rsidRDefault="00D136C3" w:rsidP="00936084">
      <w:pPr>
        <w:snapToGrid w:val="0"/>
        <w:spacing w:line="360" w:lineRule="auto"/>
        <w:ind w:firstLineChars="200" w:firstLine="420"/>
        <w:rPr>
          <w:rFonts w:asciiTheme="minorEastAsia" w:eastAsiaTheme="minorEastAsia" w:hAnsiTheme="minorEastAsia"/>
          <w:szCs w:val="21"/>
        </w:rPr>
      </w:pPr>
      <w:r w:rsidRPr="008644BE">
        <w:rPr>
          <w:rStyle w:val="da"/>
          <w:rFonts w:asciiTheme="minorEastAsia" w:eastAsiaTheme="minorEastAsia" w:hAnsiTheme="minorEastAsia" w:hint="eastAsia"/>
        </w:rPr>
        <w:t>在法律法规允许的范围内，登记机构可以对上述登记办理时间进行调整，基金管理人最迟于开始实施日前依照《信息披露办法》的有关规定在</w:t>
      </w:r>
      <w:r w:rsidR="00B02CB0" w:rsidRPr="008644BE">
        <w:rPr>
          <w:rStyle w:val="da"/>
          <w:rFonts w:asciiTheme="minorEastAsia" w:eastAsiaTheme="minorEastAsia" w:hAnsiTheme="minorEastAsia" w:hint="eastAsia"/>
        </w:rPr>
        <w:t>指定媒介</w:t>
      </w:r>
      <w:r w:rsidRPr="008644BE">
        <w:rPr>
          <w:rStyle w:val="da"/>
          <w:rFonts w:asciiTheme="minorEastAsia" w:eastAsiaTheme="minorEastAsia" w:hAnsiTheme="minorEastAsia" w:hint="eastAsia"/>
        </w:rPr>
        <w:t>上公告。</w:t>
      </w:r>
      <w:bookmarkEnd w:id="56"/>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57" w:name="_Toc332373511"/>
      <w:r w:rsidRPr="008644BE">
        <w:rPr>
          <w:rStyle w:val="da"/>
          <w:rFonts w:asciiTheme="minorEastAsia" w:eastAsiaTheme="minorEastAsia" w:hAnsiTheme="minorEastAsia" w:hint="eastAsia"/>
          <w:szCs w:val="21"/>
        </w:rPr>
        <w:t>（</w:t>
      </w:r>
      <w:r w:rsidR="00214A68" w:rsidRPr="008644BE">
        <w:rPr>
          <w:rStyle w:val="da"/>
          <w:rFonts w:asciiTheme="minorEastAsia" w:eastAsiaTheme="minorEastAsia" w:hAnsiTheme="minorEastAsia" w:hint="eastAsia"/>
          <w:szCs w:val="21"/>
        </w:rPr>
        <w:t>十</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巨额赎回的认定及处理方式</w:t>
      </w:r>
      <w:bookmarkEnd w:id="57"/>
    </w:p>
    <w:p w:rsidR="00933CDC" w:rsidRPr="008644BE" w:rsidRDefault="00933CDC"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1、巨额赎回的认定</w:t>
      </w:r>
    </w:p>
    <w:p w:rsidR="00933CDC" w:rsidRPr="008644BE" w:rsidRDefault="00933CDC"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933CDC" w:rsidRPr="008644BE" w:rsidRDefault="00933CDC"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2、巨额赎回的处理方式</w:t>
      </w:r>
    </w:p>
    <w:p w:rsidR="00933CDC" w:rsidRPr="008644BE" w:rsidRDefault="00933CDC"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当基金出现巨额赎回时，基金管理人可以根据基金当时的资产组合状况决定全额赎回或部分延期赎回。</w:t>
      </w:r>
    </w:p>
    <w:p w:rsidR="00933CDC" w:rsidRPr="008644BE" w:rsidRDefault="00933CDC"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（1）全额赎回：当基金管理人认为有能力支付投资人的全部赎回申请时，按正常赎回程序执行。</w:t>
      </w:r>
    </w:p>
    <w:p w:rsidR="00933CDC" w:rsidRPr="008644BE" w:rsidRDefault="00933CDC"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E2A66" w:rsidRPr="008644BE" w:rsidRDefault="00C22BCD" w:rsidP="00B6083E">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若本基金发生巨额赎回且单个基金份额持有人的赎回申请超过上一开放日基金总份额</w:t>
      </w:r>
      <w:r w:rsidRPr="008644BE">
        <w:rPr>
          <w:rStyle w:val="da"/>
          <w:rFonts w:asciiTheme="minorEastAsia" w:eastAsiaTheme="minorEastAsia" w:hAnsiTheme="minorEastAsia"/>
          <w:szCs w:val="21"/>
        </w:rPr>
        <w:t>10%</w:t>
      </w:r>
      <w:r w:rsidRPr="008644BE">
        <w:rPr>
          <w:rStyle w:val="da"/>
          <w:rFonts w:asciiTheme="minorEastAsia" w:eastAsiaTheme="minorEastAsia" w:hAnsiTheme="minorEastAsia" w:hint="eastAsia"/>
          <w:szCs w:val="21"/>
        </w:rPr>
        <w:t>的，基金管理人有权对该单个基金份额持有人超出该比例的赎回申请实施延期办理，对</w:t>
      </w:r>
      <w:r w:rsidRPr="008644BE">
        <w:rPr>
          <w:rStyle w:val="da"/>
          <w:rFonts w:asciiTheme="minorEastAsia" w:eastAsiaTheme="minorEastAsia" w:hAnsiTheme="minorEastAsia" w:hint="eastAsia"/>
          <w:szCs w:val="21"/>
        </w:rPr>
        <w:lastRenderedPageBreak/>
        <w:t>该单个基金份额持有人剩余赎回申请与其他账户赎回申请按前述条款处理。</w:t>
      </w:r>
    </w:p>
    <w:p w:rsidR="00933CDC" w:rsidRPr="008644BE" w:rsidRDefault="00933CDC"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（3）暂停赎回：连续2日以上(含本数)发生巨额赎回，如基金管理人认为有必要，可暂停接受基金的赎回申请；已经接受的赎回申请可以延缓支付赎回款项，但不得超过20个工作日，并应当在</w:t>
      </w:r>
      <w:r w:rsidR="00B02CB0" w:rsidRPr="008644BE">
        <w:rPr>
          <w:rStyle w:val="da"/>
          <w:rFonts w:asciiTheme="minorEastAsia" w:eastAsiaTheme="minorEastAsia" w:hAnsiTheme="minorEastAsia" w:hint="eastAsia"/>
          <w:szCs w:val="21"/>
        </w:rPr>
        <w:t>指定媒介</w:t>
      </w:r>
      <w:r w:rsidRPr="008644BE">
        <w:rPr>
          <w:rStyle w:val="da"/>
          <w:rFonts w:asciiTheme="minorEastAsia" w:eastAsiaTheme="minorEastAsia" w:hAnsiTheme="minorEastAsia" w:hint="eastAsia"/>
          <w:szCs w:val="21"/>
        </w:rPr>
        <w:t>上进行公告。</w:t>
      </w:r>
    </w:p>
    <w:p w:rsidR="00933CDC" w:rsidRPr="008644BE" w:rsidRDefault="00933CDC"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3、巨额赎回的公告</w:t>
      </w:r>
    </w:p>
    <w:p w:rsidR="00605D0A" w:rsidRPr="008644BE" w:rsidRDefault="00933CDC"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当发生上述延期赎回并延期办理时，基金管理人应当通过邮寄、传真或者招募说明书规定的其他方式在3个交易日内通知基金份额持有人，说明有关处理方法，</w:t>
      </w:r>
      <w:r w:rsidR="00CF795F" w:rsidRPr="008644BE">
        <w:rPr>
          <w:rStyle w:val="da"/>
          <w:rFonts w:asciiTheme="minorEastAsia" w:eastAsiaTheme="minorEastAsia" w:hAnsiTheme="minorEastAsia" w:hint="eastAsia"/>
          <w:szCs w:val="21"/>
        </w:rPr>
        <w:t>并在2日内</w:t>
      </w:r>
      <w:r w:rsidRPr="008644BE">
        <w:rPr>
          <w:rStyle w:val="da"/>
          <w:rFonts w:asciiTheme="minorEastAsia" w:eastAsiaTheme="minorEastAsia" w:hAnsiTheme="minorEastAsia" w:hint="eastAsia"/>
          <w:szCs w:val="21"/>
        </w:rPr>
        <w:t>在</w:t>
      </w:r>
      <w:r w:rsidR="00B02CB0" w:rsidRPr="008644BE">
        <w:rPr>
          <w:rStyle w:val="da"/>
          <w:rFonts w:asciiTheme="minorEastAsia" w:eastAsiaTheme="minorEastAsia" w:hAnsiTheme="minorEastAsia" w:hint="eastAsia"/>
          <w:szCs w:val="21"/>
        </w:rPr>
        <w:t>指定媒介</w:t>
      </w:r>
      <w:r w:rsidRPr="008644BE">
        <w:rPr>
          <w:rStyle w:val="da"/>
          <w:rFonts w:asciiTheme="minorEastAsia" w:eastAsiaTheme="minorEastAsia" w:hAnsiTheme="minorEastAsia" w:hint="eastAsia"/>
          <w:szCs w:val="21"/>
        </w:rPr>
        <w:t>上刊登公告。</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58" w:name="_Toc332373514"/>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十</w:t>
      </w:r>
      <w:r w:rsidR="00090469" w:rsidRPr="008644BE">
        <w:rPr>
          <w:rStyle w:val="da"/>
          <w:rFonts w:asciiTheme="minorEastAsia" w:eastAsiaTheme="minorEastAsia" w:hAnsiTheme="minorEastAsia" w:hint="eastAsia"/>
          <w:szCs w:val="21"/>
        </w:rPr>
        <w:t>一</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拒绝或暂停申购、暂停赎回</w:t>
      </w:r>
      <w:r w:rsidR="000D3DAB" w:rsidRPr="008644BE">
        <w:rPr>
          <w:rFonts w:asciiTheme="minorEastAsia" w:eastAsiaTheme="minorEastAsia" w:hAnsiTheme="minorEastAsia"/>
          <w:bCs/>
          <w:szCs w:val="21"/>
        </w:rPr>
        <w:t>或延缓支付赎回款项</w:t>
      </w:r>
      <w:r w:rsidR="00BA4B87" w:rsidRPr="008644BE">
        <w:rPr>
          <w:rStyle w:val="da"/>
          <w:rFonts w:asciiTheme="minorEastAsia" w:eastAsiaTheme="minorEastAsia" w:hAnsiTheme="minorEastAsia" w:hint="eastAsia"/>
          <w:szCs w:val="21"/>
        </w:rPr>
        <w:t>的情形及处理</w:t>
      </w:r>
      <w:bookmarkEnd w:id="58"/>
    </w:p>
    <w:p w:rsidR="007B3643"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w:t>
      </w:r>
      <w:r w:rsidR="007B3643" w:rsidRPr="008644BE">
        <w:rPr>
          <w:rFonts w:asciiTheme="minorEastAsia" w:eastAsiaTheme="minorEastAsia" w:hAnsiTheme="minorEastAsia" w:hint="eastAsia"/>
          <w:szCs w:val="21"/>
        </w:rPr>
        <w:t>发生下列情况时，基金管理人可拒绝或暂停接受投资人的申购申请：</w:t>
      </w:r>
    </w:p>
    <w:p w:rsidR="009D5E4B" w:rsidRPr="008644BE" w:rsidRDefault="009D5E4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（1）因不可抗力导致基金无法正常运作。</w:t>
      </w:r>
    </w:p>
    <w:p w:rsidR="009D5E4B" w:rsidRPr="008644BE" w:rsidRDefault="009D5E4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（2）发生基金合同规定的暂停基金资产估值情况时，基金管理人可拒绝或暂停接受投资人的申购申请。</w:t>
      </w:r>
    </w:p>
    <w:p w:rsidR="009D5E4B" w:rsidRPr="008644BE" w:rsidRDefault="009D5E4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（3）证券交易场所交易时间非正常停市，导致基金管理人无法计算当日基金资产净值。</w:t>
      </w:r>
    </w:p>
    <w:p w:rsidR="009D5E4B" w:rsidRPr="008644BE" w:rsidRDefault="009D5E4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（4）基金管理人认为接受某笔或某些申购申请可能会影响或损害现有基金份额持有人利益时。</w:t>
      </w:r>
    </w:p>
    <w:p w:rsidR="009D5E4B" w:rsidRPr="008644BE" w:rsidRDefault="009D5E4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（5）基金资产规模过大，使基金管理人无法找到合适的投资品种，或其他可能对基金业绩产生负面影响，从而损害现有基金份额持有人利益的情形。</w:t>
      </w:r>
    </w:p>
    <w:p w:rsidR="00AE2A66" w:rsidRPr="008644BE" w:rsidRDefault="00C22BCD" w:rsidP="00B6083E">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6</w:t>
      </w:r>
      <w:r w:rsidRPr="008644BE">
        <w:rPr>
          <w:rFonts w:asciiTheme="minorEastAsia" w:eastAsiaTheme="minorEastAsia" w:hAnsiTheme="minorEastAsia" w:hint="eastAsia"/>
          <w:szCs w:val="21"/>
        </w:rPr>
        <w:t>）基金管理人接受某笔或者某些申购申请有可能导致单一投资者持有基金份额的比例达到或者超过</w:t>
      </w:r>
      <w:r w:rsidRPr="008644BE">
        <w:rPr>
          <w:rFonts w:asciiTheme="minorEastAsia" w:eastAsiaTheme="minorEastAsia" w:hAnsiTheme="minorEastAsia"/>
          <w:szCs w:val="21"/>
        </w:rPr>
        <w:t>50%</w:t>
      </w:r>
      <w:r w:rsidRPr="008644BE">
        <w:rPr>
          <w:rFonts w:asciiTheme="minorEastAsia" w:eastAsiaTheme="minorEastAsia" w:hAnsiTheme="minorEastAsia" w:hint="eastAsia"/>
          <w:szCs w:val="21"/>
        </w:rPr>
        <w:t>，或者变相规避</w:t>
      </w:r>
      <w:r w:rsidRPr="008644BE">
        <w:rPr>
          <w:rFonts w:asciiTheme="minorEastAsia" w:eastAsiaTheme="minorEastAsia" w:hAnsiTheme="minorEastAsia"/>
          <w:szCs w:val="21"/>
        </w:rPr>
        <w:t>50%</w:t>
      </w:r>
      <w:r w:rsidRPr="008644BE">
        <w:rPr>
          <w:rFonts w:asciiTheme="minorEastAsia" w:eastAsiaTheme="minorEastAsia" w:hAnsiTheme="minorEastAsia" w:hint="eastAsia"/>
          <w:szCs w:val="21"/>
        </w:rPr>
        <w:t>集中度的情形时。</w:t>
      </w:r>
    </w:p>
    <w:p w:rsidR="00AE2A66" w:rsidRPr="008644BE" w:rsidRDefault="00C22BCD" w:rsidP="00B6083E">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7</w:t>
      </w:r>
      <w:r w:rsidRPr="008644BE">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AE2A66" w:rsidRPr="008644BE" w:rsidRDefault="00C22BCD" w:rsidP="00B6083E">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8</w:t>
      </w:r>
      <w:r w:rsidRPr="008644BE">
        <w:rPr>
          <w:rFonts w:asciiTheme="minorEastAsia" w:eastAsiaTheme="minorEastAsia" w:hAnsiTheme="minorEastAsia" w:hint="eastAsia"/>
          <w:szCs w:val="21"/>
        </w:rPr>
        <w:t>）当前一估值日基金资产净值</w:t>
      </w:r>
      <w:r w:rsidRPr="008644BE">
        <w:rPr>
          <w:rFonts w:asciiTheme="minorEastAsia" w:eastAsiaTheme="minorEastAsia" w:hAnsiTheme="minorEastAsia"/>
          <w:szCs w:val="21"/>
        </w:rPr>
        <w:t>50%</w:t>
      </w:r>
      <w:r w:rsidRPr="008644BE">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以上的资产出现无可参考的活跃市场价格且采用估值技术仍导致公允价值存在重大不确定性时，经与基金托管人协商确认后，基金管理人应当采取暂停接受基金申购申请的措施。</w:t>
      </w:r>
    </w:p>
    <w:p w:rsidR="009D5E4B" w:rsidRPr="008644BE" w:rsidRDefault="00C22BCD" w:rsidP="00B6083E">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9</w:t>
      </w:r>
      <w:r w:rsidRPr="008644BE">
        <w:rPr>
          <w:rFonts w:asciiTheme="minorEastAsia" w:eastAsiaTheme="minorEastAsia" w:hAnsiTheme="minorEastAsia" w:hint="eastAsia"/>
          <w:szCs w:val="21"/>
        </w:rPr>
        <w:t>）</w:t>
      </w:r>
      <w:r w:rsidR="009D5E4B" w:rsidRPr="008644BE">
        <w:rPr>
          <w:rFonts w:asciiTheme="minorEastAsia" w:eastAsiaTheme="minorEastAsia" w:hAnsiTheme="minorEastAsia" w:hint="eastAsia"/>
          <w:szCs w:val="21"/>
        </w:rPr>
        <w:t>法律法规规定或中国证监会认定的其他情形。</w:t>
      </w:r>
    </w:p>
    <w:p w:rsidR="007F5996" w:rsidRPr="008644BE" w:rsidRDefault="009D5E4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发生上述第（1）、（2）、（3）、（5）、</w:t>
      </w:r>
      <w:r w:rsidR="00895881" w:rsidRPr="008644BE">
        <w:rPr>
          <w:rFonts w:asciiTheme="minorEastAsia" w:eastAsiaTheme="minorEastAsia" w:hAnsiTheme="minorEastAsia" w:hint="eastAsia"/>
          <w:szCs w:val="21"/>
        </w:rPr>
        <w:t>（</w:t>
      </w:r>
      <w:r w:rsidR="00C22BCD" w:rsidRPr="008644BE">
        <w:rPr>
          <w:rFonts w:asciiTheme="minorEastAsia" w:eastAsiaTheme="minorEastAsia" w:hAnsiTheme="minorEastAsia"/>
          <w:szCs w:val="21"/>
        </w:rPr>
        <w:t>7</w:t>
      </w:r>
      <w:r w:rsidR="00C22BCD" w:rsidRPr="008644BE">
        <w:rPr>
          <w:rFonts w:asciiTheme="minorEastAsia" w:eastAsiaTheme="minorEastAsia" w:hAnsiTheme="minorEastAsia" w:hint="eastAsia"/>
          <w:szCs w:val="21"/>
        </w:rPr>
        <w:t>）、（</w:t>
      </w:r>
      <w:r w:rsidR="00C22BCD" w:rsidRPr="008644BE">
        <w:rPr>
          <w:rFonts w:asciiTheme="minorEastAsia" w:eastAsiaTheme="minorEastAsia" w:hAnsiTheme="minorEastAsia"/>
          <w:szCs w:val="21"/>
        </w:rPr>
        <w:t>8</w:t>
      </w:r>
      <w:r w:rsidR="00C22BCD" w:rsidRPr="008644BE">
        <w:rPr>
          <w:rFonts w:asciiTheme="minorEastAsia" w:eastAsiaTheme="minorEastAsia" w:hAnsiTheme="minorEastAsia" w:hint="eastAsia"/>
          <w:szCs w:val="21"/>
        </w:rPr>
        <w:t>）、（</w:t>
      </w:r>
      <w:r w:rsidR="00C22BCD" w:rsidRPr="008644BE">
        <w:rPr>
          <w:rFonts w:asciiTheme="minorEastAsia" w:eastAsiaTheme="minorEastAsia" w:hAnsiTheme="minorEastAsia"/>
          <w:szCs w:val="21"/>
        </w:rPr>
        <w:t>9</w:t>
      </w:r>
      <w:r w:rsidR="00C22BCD" w:rsidRPr="008644BE">
        <w:rPr>
          <w:rFonts w:asciiTheme="minorEastAsia" w:eastAsiaTheme="minorEastAsia" w:hAnsiTheme="minorEastAsia" w:hint="eastAsia"/>
          <w:szCs w:val="21"/>
        </w:rPr>
        <w:t>）</w:t>
      </w:r>
      <w:r w:rsidRPr="008644BE">
        <w:rPr>
          <w:rFonts w:asciiTheme="minorEastAsia" w:eastAsiaTheme="minorEastAsia" w:hAnsiTheme="minorEastAsia" w:hint="eastAsia"/>
          <w:szCs w:val="21"/>
        </w:rPr>
        <w:t>项情形且基金管理人决定暂停申购时，基金管理人应当根据有关规定在</w:t>
      </w:r>
      <w:r w:rsidR="00B02CB0" w:rsidRPr="008644BE">
        <w:rPr>
          <w:rFonts w:asciiTheme="minorEastAsia" w:eastAsiaTheme="minorEastAsia" w:hAnsiTheme="minorEastAsia" w:hint="eastAsia"/>
          <w:szCs w:val="21"/>
        </w:rPr>
        <w:t>指定媒介</w:t>
      </w:r>
      <w:r w:rsidRPr="008644BE">
        <w:rPr>
          <w:rFonts w:asciiTheme="minorEastAsia" w:eastAsiaTheme="minorEastAsia" w:hAnsiTheme="minorEastAsia" w:hint="eastAsia"/>
          <w:szCs w:val="21"/>
        </w:rPr>
        <w:t>上刊登暂停申购公告。如果投资人的申购申请被拒绝，被拒绝的申购款项本金将退还给投资人。在暂停申购的情况消除时，基金管理人应及时恢复申购业务的办理。</w:t>
      </w:r>
    </w:p>
    <w:p w:rsidR="007B3643"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w:t>
      </w:r>
      <w:r w:rsidR="007B3643" w:rsidRPr="008644BE">
        <w:rPr>
          <w:rFonts w:asciiTheme="minorEastAsia" w:eastAsiaTheme="minorEastAsia" w:hAnsiTheme="minorEastAsia" w:hint="eastAsia"/>
          <w:szCs w:val="21"/>
        </w:rPr>
        <w:t>发生下列情形时，基金管理人可暂停接受投资人的赎回申请或延缓支付赎回款项：</w:t>
      </w:r>
    </w:p>
    <w:p w:rsidR="00D347A8" w:rsidRPr="008644BE" w:rsidRDefault="00D347A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（1）因不可抗力导致基金管理人不能支付赎回款项。</w:t>
      </w:r>
    </w:p>
    <w:p w:rsidR="00D347A8" w:rsidRPr="008644BE" w:rsidRDefault="00D347A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lastRenderedPageBreak/>
        <w:t>（2）发生基金合同规定的暂停基金资产估值情况时，基金管理人可暂停接受投资人的赎回申请或延缓支付赎回款项。</w:t>
      </w:r>
    </w:p>
    <w:p w:rsidR="00D347A8" w:rsidRPr="008644BE" w:rsidRDefault="00D347A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（3）证券交易场所交易时间非正常停市，导致基金管理人无法计算当日基金资产净值。</w:t>
      </w:r>
    </w:p>
    <w:p w:rsidR="00D347A8" w:rsidRPr="008644BE" w:rsidRDefault="00D347A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（4）连续两个或两个以上开放日发生巨额赎回。</w:t>
      </w:r>
    </w:p>
    <w:p w:rsidR="00D347A8" w:rsidRPr="008644BE" w:rsidRDefault="00D347A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（5）本基金的资产组合中的重要部分发生暂停交易或其他重大事件，继续接受赎回可能会影响或损害基金份额持有人利益时。</w:t>
      </w:r>
    </w:p>
    <w:p w:rsidR="00AE2A66" w:rsidRPr="008644BE" w:rsidRDefault="00C22BCD" w:rsidP="00B6083E">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6</w:t>
      </w:r>
      <w:r w:rsidRPr="008644BE">
        <w:rPr>
          <w:rFonts w:asciiTheme="minorEastAsia" w:eastAsiaTheme="minorEastAsia" w:hAnsiTheme="minorEastAsia" w:hint="eastAsia"/>
          <w:szCs w:val="21"/>
        </w:rPr>
        <w:t>）当前一估值日基金资产净值</w:t>
      </w:r>
      <w:r w:rsidRPr="008644BE">
        <w:rPr>
          <w:rFonts w:asciiTheme="minorEastAsia" w:eastAsiaTheme="minorEastAsia" w:hAnsiTheme="minorEastAsia"/>
          <w:szCs w:val="21"/>
        </w:rPr>
        <w:t>50%</w:t>
      </w:r>
      <w:r w:rsidRPr="008644BE">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D347A8" w:rsidRPr="008644BE" w:rsidRDefault="00D347A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92681B" w:rsidRPr="008644BE">
        <w:rPr>
          <w:rFonts w:asciiTheme="minorEastAsia" w:eastAsiaTheme="minorEastAsia" w:hAnsiTheme="minorEastAsia"/>
          <w:szCs w:val="21"/>
        </w:rPr>
        <w:t>7</w:t>
      </w:r>
      <w:r w:rsidRPr="008644BE">
        <w:rPr>
          <w:rFonts w:asciiTheme="minorEastAsia" w:eastAsiaTheme="minorEastAsia" w:hAnsiTheme="minorEastAsia" w:hint="eastAsia"/>
          <w:szCs w:val="21"/>
        </w:rPr>
        <w:t>）法律法规规定或中国证监会认定的其他情形。</w:t>
      </w:r>
    </w:p>
    <w:p w:rsidR="00D127C2" w:rsidRPr="008644BE" w:rsidRDefault="00D347A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bookmarkStart w:id="59" w:name="_Toc332373515"/>
      <w:r w:rsidRPr="008644BE">
        <w:rPr>
          <w:rFonts w:asciiTheme="minorEastAsia" w:eastAsiaTheme="minorEastAsia" w:hAnsiTheme="minorEastAsia" w:hint="eastAsia"/>
          <w:szCs w:val="21"/>
        </w:rPr>
        <w:t>3、暂停申购或赎回的公告和重新开放申购或赎回的公告</w:t>
      </w:r>
      <w:bookmarkEnd w:id="59"/>
    </w:p>
    <w:p w:rsidR="00D347A8" w:rsidRPr="008644BE" w:rsidRDefault="00D347A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（1）发生上述暂停申购或赎回情况的，基金管理人应在规定期限内在</w:t>
      </w:r>
      <w:r w:rsidR="00B02CB0" w:rsidRPr="008644BE">
        <w:rPr>
          <w:rFonts w:asciiTheme="minorEastAsia" w:eastAsiaTheme="minorEastAsia" w:hAnsiTheme="minorEastAsia" w:hint="eastAsia"/>
          <w:szCs w:val="21"/>
        </w:rPr>
        <w:t>指定媒介</w:t>
      </w:r>
      <w:r w:rsidRPr="008644BE">
        <w:rPr>
          <w:rFonts w:asciiTheme="minorEastAsia" w:eastAsiaTheme="minorEastAsia" w:hAnsiTheme="minorEastAsia" w:hint="eastAsia"/>
          <w:szCs w:val="21"/>
        </w:rPr>
        <w:t>上刊登暂停公告。</w:t>
      </w:r>
    </w:p>
    <w:p w:rsidR="004648B1" w:rsidRPr="008644BE" w:rsidRDefault="00D347A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（2）基金管理人可以根据暂停申购或赎回的时间，依照《信息披露办法》的有关规定，最迟于重新开放日在</w:t>
      </w:r>
      <w:r w:rsidR="00B02CB0" w:rsidRPr="008644BE">
        <w:rPr>
          <w:rFonts w:asciiTheme="minorEastAsia" w:eastAsiaTheme="minorEastAsia" w:hAnsiTheme="minorEastAsia" w:hint="eastAsia"/>
          <w:szCs w:val="21"/>
        </w:rPr>
        <w:t>指定媒介</w:t>
      </w:r>
      <w:r w:rsidRPr="008644BE">
        <w:rPr>
          <w:rFonts w:asciiTheme="minorEastAsia" w:eastAsiaTheme="minorEastAsia" w:hAnsiTheme="minorEastAsia" w:hint="eastAsia"/>
          <w:szCs w:val="21"/>
        </w:rPr>
        <w:t>上刊登重新开放申购或赎回的公告；也可以根据实际情况在暂停公告中明确重新开放申购或赎回的时间，届时不再另行发布重新开放的公告。</w:t>
      </w:r>
    </w:p>
    <w:p w:rsidR="00BA4B87" w:rsidRPr="008644BE" w:rsidRDefault="00BA4B87" w:rsidP="00936084">
      <w:pPr>
        <w:pStyle w:val="1"/>
        <w:snapToGrid w:val="0"/>
        <w:spacing w:beforeLines="0" w:afterLines="0" w:line="360" w:lineRule="auto"/>
        <w:ind w:firstLine="600"/>
        <w:rPr>
          <w:rFonts w:asciiTheme="minorEastAsia" w:eastAsiaTheme="minorEastAsia" w:hAnsiTheme="minorEastAsia"/>
          <w:sz w:val="30"/>
        </w:rPr>
      </w:pPr>
      <w:r w:rsidRPr="008644BE">
        <w:rPr>
          <w:rFonts w:asciiTheme="minorEastAsia" w:eastAsiaTheme="minorEastAsia" w:hAnsiTheme="minorEastAsia" w:hint="eastAsia"/>
          <w:sz w:val="30"/>
        </w:rPr>
        <w:br w:type="column"/>
      </w:r>
      <w:bookmarkStart w:id="60" w:name="_Toc332373516"/>
      <w:bookmarkStart w:id="61" w:name="_Toc49269634"/>
      <w:r w:rsidRPr="008644BE">
        <w:rPr>
          <w:rFonts w:asciiTheme="minorEastAsia" w:eastAsiaTheme="minorEastAsia" w:hAnsiTheme="minorEastAsia" w:hint="eastAsia"/>
          <w:sz w:val="30"/>
        </w:rPr>
        <w:lastRenderedPageBreak/>
        <w:t>九、</w:t>
      </w:r>
      <w:bookmarkEnd w:id="60"/>
      <w:r w:rsidR="006B5663" w:rsidRPr="008644BE">
        <w:rPr>
          <w:rFonts w:asciiTheme="minorEastAsia" w:eastAsiaTheme="minorEastAsia" w:hAnsiTheme="minorEastAsia" w:hint="eastAsia"/>
          <w:sz w:val="30"/>
        </w:rPr>
        <w:t>基金转换</w:t>
      </w:r>
      <w:r w:rsidR="00193CDF" w:rsidRPr="008644BE">
        <w:rPr>
          <w:rFonts w:asciiTheme="minorEastAsia" w:eastAsiaTheme="minorEastAsia" w:hAnsiTheme="minorEastAsia" w:hint="eastAsia"/>
          <w:sz w:val="30"/>
        </w:rPr>
        <w:t>、</w:t>
      </w:r>
      <w:r w:rsidR="006B5663" w:rsidRPr="008644BE">
        <w:rPr>
          <w:rFonts w:asciiTheme="minorEastAsia" w:eastAsiaTheme="minorEastAsia" w:hAnsiTheme="minorEastAsia" w:hint="eastAsia"/>
          <w:sz w:val="30"/>
        </w:rPr>
        <w:t>定期定额投资计划</w:t>
      </w:r>
      <w:r w:rsidR="00193CDF" w:rsidRPr="008644BE">
        <w:rPr>
          <w:rFonts w:asciiTheme="minorEastAsia" w:eastAsiaTheme="minorEastAsia" w:hAnsiTheme="minorEastAsia" w:hint="eastAsia"/>
          <w:sz w:val="30"/>
        </w:rPr>
        <w:t>和基金份额折算</w:t>
      </w:r>
      <w:bookmarkEnd w:id="61"/>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62" w:name="_Toc332373517"/>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一</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基金转换</w:t>
      </w:r>
      <w:bookmarkEnd w:id="62"/>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Style w:val="da"/>
          <w:rFonts w:asciiTheme="minorEastAsia" w:eastAsiaTheme="minorEastAsia" w:hAnsiTheme="minorEastAsia" w:hint="eastAsia"/>
          <w:szCs w:val="21"/>
        </w:rPr>
        <w:t>1、基金转换</w:t>
      </w:r>
      <w:r w:rsidRPr="008644BE">
        <w:rPr>
          <w:rFonts w:asciiTheme="minorEastAsia" w:eastAsiaTheme="minorEastAsia" w:hAnsiTheme="minorEastAsia" w:hint="eastAsia"/>
          <w:szCs w:val="21"/>
        </w:rPr>
        <w:t>开始日及时间</w:t>
      </w:r>
    </w:p>
    <w:p w:rsidR="007619E3" w:rsidRPr="008644BE" w:rsidRDefault="007619E3" w:rsidP="00936084">
      <w:pPr>
        <w:snapToGrid w:val="0"/>
        <w:spacing w:line="360" w:lineRule="auto"/>
        <w:ind w:firstLine="420"/>
        <w:rPr>
          <w:rFonts w:asciiTheme="minorEastAsia" w:eastAsiaTheme="minorEastAsia" w:hAnsiTheme="minorEastAsia" w:cs="Arial"/>
          <w:szCs w:val="21"/>
        </w:rPr>
      </w:pPr>
      <w:r w:rsidRPr="008644BE">
        <w:rPr>
          <w:rFonts w:asciiTheme="minorEastAsia" w:eastAsiaTheme="minorEastAsia" w:hAnsiTheme="minorEastAsia" w:hint="eastAsia"/>
          <w:szCs w:val="21"/>
        </w:rPr>
        <w:t>本基金已于2015年3月10日开始办理基金转换业务，</w:t>
      </w:r>
      <w:r w:rsidRPr="008644BE">
        <w:rPr>
          <w:rFonts w:asciiTheme="minorEastAsia" w:eastAsiaTheme="minorEastAsia" w:hAnsiTheme="minorEastAsia" w:cs="Arial" w:hint="eastAsia"/>
          <w:szCs w:val="21"/>
        </w:rPr>
        <w:t>具体实施办法参见相关公告。</w:t>
      </w:r>
    </w:p>
    <w:p w:rsidR="007619E3" w:rsidRPr="008644BE" w:rsidRDefault="00792D88"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cs="Arial" w:hint="eastAsia"/>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007619E3" w:rsidRPr="008644BE">
        <w:rPr>
          <w:rFonts w:asciiTheme="minorEastAsia" w:eastAsiaTheme="minorEastAsia" w:hAnsiTheme="minorEastAsia" w:hint="eastAsia"/>
          <w:bCs/>
          <w:szCs w:val="21"/>
        </w:rPr>
        <w:t>若出现新的证券交易市场、证券交易所交易时间变更或其他特殊情况，基金管理人有权视情况对前述开放日及开放时间进行相应的调整，但应在实施日前依照《信息披露办法》的有关规定在指定媒介上公告。</w:t>
      </w:r>
    </w:p>
    <w:p w:rsidR="007619E3" w:rsidRPr="008644BE" w:rsidRDefault="007619E3" w:rsidP="00936084">
      <w:pPr>
        <w:snapToGrid w:val="0"/>
        <w:spacing w:line="360" w:lineRule="auto"/>
        <w:ind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投资者需在转出基金和转入基金均有交易的当日，方可办理基金转换业务。</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Style w:val="da"/>
          <w:rFonts w:asciiTheme="minorEastAsia" w:eastAsiaTheme="minorEastAsia" w:hAnsiTheme="minorEastAsia" w:hint="eastAsia"/>
          <w:szCs w:val="21"/>
        </w:rPr>
        <w:t>2、</w:t>
      </w:r>
      <w:r w:rsidRPr="008644BE">
        <w:rPr>
          <w:rFonts w:asciiTheme="minorEastAsia" w:eastAsiaTheme="minorEastAsia" w:hAnsiTheme="minorEastAsia" w:hint="eastAsia"/>
          <w:szCs w:val="21"/>
        </w:rPr>
        <w:t>基金转换的原则</w:t>
      </w:r>
    </w:p>
    <w:p w:rsidR="007619E3" w:rsidRPr="008644BE" w:rsidRDefault="007619E3"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（1）基金转换只能在同一销售机构进行。转换的两只基金必须都是该销售机构销售的同一基金管理人管理的、在同一注册登记机构注册登记的基金。</w:t>
      </w:r>
    </w:p>
    <w:p w:rsidR="007619E3" w:rsidRPr="008644BE" w:rsidRDefault="007619E3"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（2）基金转换以份额为单位进行申请。投资者可以发起多次基金转换业务，基金转换费用按每笔申请单独计算。转换费用以人民币元为单位，计算结果按照四舍五入方法，保留小数点后两位。</w:t>
      </w:r>
    </w:p>
    <w:p w:rsidR="007619E3" w:rsidRPr="008644BE" w:rsidRDefault="007619E3"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（3）基金转换采取未知价法，即基金的转换价格以转换申请受理当日各转出、转入基金的份额净值为基准进行计算。</w:t>
      </w:r>
    </w:p>
    <w:p w:rsidR="007619E3" w:rsidRPr="008644BE" w:rsidRDefault="007619E3"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（4）基金转换后，转入的基金份额的持有期将自转入的基金份额被确认之日起重新开始计算。</w:t>
      </w:r>
    </w:p>
    <w:p w:rsidR="007619E3" w:rsidRPr="008644BE" w:rsidRDefault="007619E3"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（5）投资者办理基金转换业务时，转出方的基金必须处于可赎回状态，转入方的基金必须处于可申购状态。</w:t>
      </w:r>
    </w:p>
    <w:p w:rsidR="007619E3" w:rsidRPr="008644BE" w:rsidRDefault="007619E3"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（6）转换业务遵循“先进先出”的业务规则，即份额注册日期在前的先转换出，份额注册日期在后的后转换出，如果转换申请当日，同时有赎回申请的情况下，则遵循先赎回后转换的处理原则。</w:t>
      </w:r>
    </w:p>
    <w:p w:rsidR="007619E3" w:rsidRPr="008644BE" w:rsidRDefault="007619E3"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（7）转入本基金的份额计算结果保留到小数点后两位，小数点后两位以后的部分四舍五入，由此误差产生的损失由基金财产承担，产生的收益归基金财产所有。</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3、基金转换的程序</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cs="Arial" w:hint="eastAsia"/>
          <w:szCs w:val="21"/>
        </w:rPr>
        <w:t>（1）</w:t>
      </w:r>
      <w:r w:rsidRPr="008644BE">
        <w:rPr>
          <w:rFonts w:asciiTheme="minorEastAsia" w:eastAsiaTheme="minorEastAsia" w:hAnsiTheme="minorEastAsia" w:hint="eastAsia"/>
          <w:szCs w:val="21"/>
        </w:rPr>
        <w:t>基金转换的申请方式</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基金投资者必须根据基金管理人和基金销售机构规定的手续，在开放日的业务办理时间提出转换的申请。</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提交基金转换申请时，账户中必须有足够可用的转出基金份额余额。</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cs="Arial" w:hint="eastAsia"/>
          <w:szCs w:val="21"/>
        </w:rPr>
        <w:t>（2）</w:t>
      </w:r>
      <w:r w:rsidRPr="008644BE">
        <w:rPr>
          <w:rFonts w:asciiTheme="minorEastAsia" w:eastAsiaTheme="minorEastAsia" w:hAnsiTheme="minorEastAsia" w:hint="eastAsia"/>
          <w:szCs w:val="21"/>
        </w:rPr>
        <w:t>基金转换申请的确认</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基金管理人应以交易时间结束前受理有效基金转换申请的当天作为基金转换的申请日</w:t>
      </w:r>
      <w:r w:rsidRPr="008644BE">
        <w:rPr>
          <w:rFonts w:asciiTheme="minorEastAsia" w:eastAsiaTheme="minorEastAsia" w:hAnsiTheme="minorEastAsia" w:hint="eastAsia"/>
          <w:szCs w:val="21"/>
        </w:rPr>
        <w:lastRenderedPageBreak/>
        <w:t>(T日)，在正常情况下，本基金注册登记机构在T+1日前(含T+1日)对该交易的有效性进行确认。T日提交的有效申请，投资人应在T+2日后(包括该日)到销售网点柜台或以销售机构规定的其他方式查询申请的确认情况。</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4、基金转换的数额限制</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份额持有人可将其全部或部分基金份额转换成另一只基金，本基金单笔转出申请不得少于1份（如该账户在该销售机构托管的该基金余额不足1份，则必须一次性赎回或转出该基金全部份额）；若某笔转换导致投资者在</w:t>
      </w:r>
      <w:r w:rsidR="00792D88" w:rsidRPr="008644BE">
        <w:rPr>
          <w:rFonts w:asciiTheme="minorEastAsia" w:eastAsiaTheme="minorEastAsia" w:hAnsiTheme="minorEastAsia" w:hint="eastAsia"/>
          <w:szCs w:val="21"/>
        </w:rPr>
        <w:t>该</w:t>
      </w:r>
      <w:r w:rsidRPr="008644BE">
        <w:rPr>
          <w:rFonts w:asciiTheme="minorEastAsia" w:eastAsiaTheme="minorEastAsia" w:hAnsiTheme="minorEastAsia" w:hint="eastAsia"/>
          <w:szCs w:val="21"/>
        </w:rPr>
        <w:t>销售机构托管的该基金余额不足1份时，基金管理人有权将投资者在该销售机构托管的该基金剩余份额一次性全部赎回。</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5、基金转换费率</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基金转换费由基金份额持有人承担，由转出基金赎回费用及基金申购补差费用构成，其中赎回费用按照</w:t>
      </w:r>
      <w:r w:rsidR="00E61E0C" w:rsidRPr="008644BE">
        <w:rPr>
          <w:rFonts w:asciiTheme="minorEastAsia" w:eastAsiaTheme="minorEastAsia" w:hAnsiTheme="minorEastAsia" w:hint="eastAsia"/>
          <w:szCs w:val="21"/>
        </w:rPr>
        <w:t>各</w:t>
      </w:r>
      <w:r w:rsidR="00E61E0C" w:rsidRPr="008644BE">
        <w:rPr>
          <w:rFonts w:asciiTheme="minorEastAsia" w:eastAsiaTheme="minorEastAsia" w:hAnsiTheme="minorEastAsia"/>
          <w:szCs w:val="21"/>
        </w:rPr>
        <w:t>基金的</w:t>
      </w:r>
      <w:r w:rsidRPr="008644BE">
        <w:rPr>
          <w:rFonts w:asciiTheme="minorEastAsia" w:eastAsiaTheme="minorEastAsia" w:hAnsiTheme="minorEastAsia" w:hint="eastAsia"/>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7619E3" w:rsidRPr="008644BE" w:rsidRDefault="00DF471B"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6、基金转换份额的计算方式</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计算公式：</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A=[B</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C</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(1-D)/(1+G)+F]/E</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H=B</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C</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D</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J=[B</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C</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(1-D)/(1+G)]</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G</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其中，</w:t>
      </w:r>
      <w:r w:rsidRPr="008644BE">
        <w:rPr>
          <w:rFonts w:asciiTheme="minorEastAsia" w:eastAsiaTheme="minorEastAsia" w:hAnsiTheme="minorEastAsia"/>
          <w:szCs w:val="21"/>
        </w:rPr>
        <w:t>A</w:t>
      </w:r>
      <w:r w:rsidRPr="008644BE">
        <w:rPr>
          <w:rFonts w:asciiTheme="minorEastAsia" w:eastAsiaTheme="minorEastAsia" w:hAnsiTheme="minorEastAsia" w:hint="eastAsia"/>
          <w:szCs w:val="21"/>
        </w:rPr>
        <w:t>为转入的基金份额；</w:t>
      </w:r>
      <w:r w:rsidRPr="008644BE">
        <w:rPr>
          <w:rFonts w:asciiTheme="minorEastAsia" w:eastAsiaTheme="minorEastAsia" w:hAnsiTheme="minorEastAsia"/>
          <w:szCs w:val="21"/>
        </w:rPr>
        <w:t>B</w:t>
      </w:r>
      <w:r w:rsidRPr="008644BE">
        <w:rPr>
          <w:rFonts w:asciiTheme="minorEastAsia" w:eastAsiaTheme="minorEastAsia" w:hAnsiTheme="minorEastAsia" w:hint="eastAsia"/>
          <w:szCs w:val="21"/>
        </w:rPr>
        <w:t>为转出的基金份额；</w:t>
      </w:r>
      <w:r w:rsidRPr="008644BE">
        <w:rPr>
          <w:rFonts w:asciiTheme="minorEastAsia" w:eastAsiaTheme="minorEastAsia" w:hAnsiTheme="minorEastAsia"/>
          <w:szCs w:val="21"/>
        </w:rPr>
        <w:t>C</w:t>
      </w:r>
      <w:r w:rsidRPr="008644BE">
        <w:rPr>
          <w:rFonts w:asciiTheme="minorEastAsia" w:eastAsiaTheme="minorEastAsia" w:hAnsiTheme="minorEastAsia" w:hint="eastAsia"/>
          <w:szCs w:val="21"/>
        </w:rPr>
        <w:t>为转换申请当日转出基金的基金份额净值；</w:t>
      </w:r>
      <w:r w:rsidRPr="008644BE">
        <w:rPr>
          <w:rFonts w:asciiTheme="minorEastAsia" w:eastAsiaTheme="minorEastAsia" w:hAnsiTheme="minorEastAsia"/>
          <w:szCs w:val="21"/>
        </w:rPr>
        <w:t>D</w:t>
      </w:r>
      <w:r w:rsidRPr="008644BE">
        <w:rPr>
          <w:rFonts w:asciiTheme="minorEastAsia" w:eastAsiaTheme="minorEastAsia" w:hAnsiTheme="minorEastAsia" w:hint="eastAsia"/>
          <w:szCs w:val="21"/>
        </w:rPr>
        <w:t>为转出基金的对应赎回费率；</w:t>
      </w:r>
      <w:r w:rsidRPr="008644BE">
        <w:rPr>
          <w:rFonts w:asciiTheme="minorEastAsia" w:eastAsiaTheme="minorEastAsia" w:hAnsiTheme="minorEastAsia"/>
          <w:szCs w:val="21"/>
        </w:rPr>
        <w:t>E</w:t>
      </w:r>
      <w:r w:rsidRPr="008644BE">
        <w:rPr>
          <w:rFonts w:asciiTheme="minorEastAsia" w:eastAsiaTheme="minorEastAsia" w:hAnsiTheme="minorEastAsia" w:hint="eastAsia"/>
          <w:szCs w:val="21"/>
        </w:rPr>
        <w:t>为转换申请当日转入基金的基金份额净值；</w:t>
      </w:r>
      <w:r w:rsidR="004E4031" w:rsidRPr="008644BE">
        <w:rPr>
          <w:rFonts w:asciiTheme="minorEastAsia" w:eastAsiaTheme="minorEastAsia" w:hAnsiTheme="minorEastAsia" w:hint="eastAsia"/>
          <w:szCs w:val="21"/>
        </w:rPr>
        <w:t>F为货币市场基金全部转出时注册登记机构已支付的未付收益</w:t>
      </w:r>
      <w:r w:rsidRPr="008644BE">
        <w:rPr>
          <w:rFonts w:asciiTheme="minorEastAsia" w:eastAsiaTheme="minorEastAsia" w:hAnsiTheme="minorEastAsia" w:hint="eastAsia"/>
          <w:szCs w:val="21"/>
        </w:rPr>
        <w:t>（仅限转出基金为易方达货币市场基金、易方达天天理财货币市场基金、易方达财富快线货币市场基金、易方达天天增利货币市场基金、易方达龙宝货币市场基金、</w:t>
      </w:r>
      <w:r w:rsidR="00792D88" w:rsidRPr="008644BE">
        <w:rPr>
          <w:rFonts w:asciiTheme="minorEastAsia" w:eastAsiaTheme="minorEastAsia" w:hAnsiTheme="minorEastAsia" w:hint="eastAsia"/>
          <w:szCs w:val="21"/>
        </w:rPr>
        <w:t>易方达增金宝货币市场基金、易方达现金增利货币市场基金</w:t>
      </w:r>
      <w:r w:rsidR="00B300E0" w:rsidRPr="008644BE">
        <w:rPr>
          <w:rFonts w:asciiTheme="minorEastAsia" w:eastAsiaTheme="minorEastAsia" w:hAnsiTheme="minorEastAsia" w:hint="eastAsia"/>
          <w:szCs w:val="21"/>
        </w:rPr>
        <w:t>、</w:t>
      </w:r>
      <w:r w:rsidR="00792D88" w:rsidRPr="008644BE">
        <w:rPr>
          <w:rFonts w:asciiTheme="minorEastAsia" w:eastAsiaTheme="minorEastAsia" w:hAnsiTheme="minorEastAsia"/>
          <w:szCs w:val="21"/>
        </w:rPr>
        <w:t>易方达天天发货币市场基金</w:t>
      </w:r>
      <w:r w:rsidR="00B300E0" w:rsidRPr="008644BE">
        <w:rPr>
          <w:rFonts w:asciiTheme="minorEastAsia" w:eastAsiaTheme="minorEastAsia" w:hAnsiTheme="minorEastAsia" w:hint="eastAsia"/>
          <w:szCs w:val="21"/>
        </w:rPr>
        <w:t>和易方达易理财货币市场基金</w:t>
      </w:r>
      <w:r w:rsidRPr="008644BE">
        <w:rPr>
          <w:rFonts w:asciiTheme="minorEastAsia" w:eastAsiaTheme="minorEastAsia" w:hAnsiTheme="minorEastAsia" w:hint="eastAsia"/>
          <w:szCs w:val="21"/>
        </w:rPr>
        <w:t>）或者短期理财基金转出时对应的累计未付收益（</w:t>
      </w:r>
      <w:r w:rsidR="00792D88" w:rsidRPr="008644BE">
        <w:rPr>
          <w:rFonts w:asciiTheme="minorEastAsia" w:eastAsiaTheme="minorEastAsia" w:hAnsiTheme="minorEastAsia" w:hint="eastAsia"/>
          <w:szCs w:val="21"/>
        </w:rPr>
        <w:t>转出基金为易方达月月利理财债券型基金和易方达掌柜季季盈理财债券型基金</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G</w:t>
      </w:r>
      <w:r w:rsidRPr="008644BE">
        <w:rPr>
          <w:rFonts w:asciiTheme="minorEastAsia" w:eastAsiaTheme="minorEastAsia" w:hAnsiTheme="minorEastAsia" w:hint="eastAsia"/>
          <w:szCs w:val="21"/>
        </w:rPr>
        <w:t>为对应的申购补差费率；</w:t>
      </w:r>
      <w:r w:rsidRPr="008644BE">
        <w:rPr>
          <w:rFonts w:asciiTheme="minorEastAsia" w:eastAsiaTheme="minorEastAsia" w:hAnsiTheme="minorEastAsia"/>
          <w:szCs w:val="21"/>
        </w:rPr>
        <w:t>H</w:t>
      </w:r>
      <w:r w:rsidRPr="008644BE">
        <w:rPr>
          <w:rFonts w:asciiTheme="minorEastAsia" w:eastAsiaTheme="minorEastAsia" w:hAnsiTheme="minorEastAsia" w:hint="eastAsia"/>
          <w:szCs w:val="21"/>
        </w:rPr>
        <w:t>为转出基金赎回费；</w:t>
      </w:r>
      <w:r w:rsidRPr="008644BE">
        <w:rPr>
          <w:rFonts w:asciiTheme="minorEastAsia" w:eastAsiaTheme="minorEastAsia" w:hAnsiTheme="minorEastAsia"/>
          <w:szCs w:val="21"/>
        </w:rPr>
        <w:t>J</w:t>
      </w:r>
      <w:r w:rsidRPr="008644BE">
        <w:rPr>
          <w:rFonts w:asciiTheme="minorEastAsia" w:eastAsiaTheme="minorEastAsia" w:hAnsiTheme="minorEastAsia" w:hint="eastAsia"/>
          <w:szCs w:val="21"/>
        </w:rPr>
        <w:t>为申购补差费。</w:t>
      </w:r>
    </w:p>
    <w:p w:rsidR="004E4031" w:rsidRPr="008644BE" w:rsidRDefault="004E4031"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w:t>
      </w:r>
      <w:r w:rsidRPr="008644BE">
        <w:rPr>
          <w:rFonts w:asciiTheme="minorEastAsia" w:eastAsiaTheme="minorEastAsia" w:hAnsiTheme="minorEastAsia" w:hint="eastAsia"/>
          <w:szCs w:val="21"/>
        </w:rPr>
        <w:lastRenderedPageBreak/>
        <w:t>金。</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说明：</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（1）基金转换费用由转出基金赎回费用及基金申购补差费用两部分构成。</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（3）转出基金时，如涉及的转出基金有赎回费用，收取该基金的赎回费用。收取的赎回费按照</w:t>
      </w:r>
      <w:r w:rsidR="00792D88" w:rsidRPr="008644BE">
        <w:rPr>
          <w:rFonts w:asciiTheme="minorEastAsia" w:eastAsiaTheme="minorEastAsia" w:hAnsiTheme="minorEastAsia" w:hint="eastAsia"/>
          <w:szCs w:val="21"/>
        </w:rPr>
        <w:t>各基金</w:t>
      </w:r>
      <w:r w:rsidR="00792D88" w:rsidRPr="008644BE">
        <w:rPr>
          <w:rFonts w:asciiTheme="minorEastAsia" w:eastAsiaTheme="minorEastAsia" w:hAnsiTheme="minorEastAsia"/>
          <w:szCs w:val="21"/>
        </w:rPr>
        <w:t>的</w:t>
      </w:r>
      <w:r w:rsidRPr="008644BE">
        <w:rPr>
          <w:rFonts w:asciiTheme="minorEastAsia" w:eastAsiaTheme="minorEastAsia" w:hAnsiTheme="minorEastAsia" w:hint="eastAsia"/>
          <w:szCs w:val="21"/>
        </w:rPr>
        <w:t>基金合同、招募说明书及最新的相关公告约定的比例计入基金财产，其余部分用于支付注册登记费等相关手续费。</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例：假设某持有人（非特定投资群体）持有本基金10,000份，持有100天，现欲转换为易方达策略成长二号混合型证券投资基金；假设转出基金T日的基金份额净值为1.100元，转入基金易方达策略成长二号混合型证券投资基金T日的基金份额净值为1.020元，则转出基金的赎回费率为0.5%，申购补差费率为0.50%。转换份额计算如下：</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转换金额=转出基金申请份额×转出基金份额净值=10,000×1.100=11,000.00元</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转出基金赎回费=转换金额×转出基金赎回费率=11,000.00×0.5%=55元</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申购补差费=（转换金额-转出基金赎回费）×申购补差费率÷（1＋申购补差费率）=（11,000.00-55)×0.5%÷(1+0.5%)=54.45元</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转换费=转出基金赎回费+申购补差费=55+54.45=109.45元</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转入金额=转换金额-转换费=11,000.00-109.45=10,890.55元</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转入份额=转入金额÷转入基金份额净值=10,890.55÷1.020=10,677.01份</w:t>
      </w:r>
    </w:p>
    <w:p w:rsidR="003411CA" w:rsidRPr="008644BE" w:rsidRDefault="00B300E0" w:rsidP="003411CA">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7、基金转换的注册登记</w:t>
      </w:r>
    </w:p>
    <w:p w:rsidR="007619E3" w:rsidRPr="008644BE" w:rsidRDefault="007619E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w:t>
      </w:r>
      <w:r w:rsidRPr="008644BE">
        <w:rPr>
          <w:rFonts w:asciiTheme="minorEastAsia" w:eastAsiaTheme="minorEastAsia" w:hAnsiTheme="minorEastAsia" w:hint="eastAsia"/>
          <w:szCs w:val="21"/>
        </w:rPr>
        <w:lastRenderedPageBreak/>
        <w:t>回转入部分的基金份额。</w:t>
      </w:r>
    </w:p>
    <w:p w:rsidR="00E26DF4" w:rsidRPr="008644BE" w:rsidRDefault="00E26DF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8、基金转换与巨额赎回</w:t>
      </w:r>
    </w:p>
    <w:p w:rsidR="00E26DF4" w:rsidRPr="008644BE" w:rsidRDefault="00E26DF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8644BE">
        <w:rPr>
          <w:rFonts w:asciiTheme="minorEastAsia" w:eastAsiaTheme="minorEastAsia" w:hAnsiTheme="minorEastAsia"/>
          <w:szCs w:val="21"/>
        </w:rPr>
        <w:t>10%</w:t>
      </w:r>
      <w:r w:rsidRPr="008644BE">
        <w:rPr>
          <w:rFonts w:asciiTheme="minorEastAsia" w:eastAsiaTheme="minorEastAsia" w:hAnsiTheme="minorEastAsia" w:hint="eastAsia"/>
          <w:szCs w:val="21"/>
        </w:rPr>
        <w:t>，即认为是发生了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E26DF4" w:rsidRPr="008644BE" w:rsidRDefault="00E26DF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9、拒绝或暂停基金转换的情形</w:t>
      </w:r>
    </w:p>
    <w:p w:rsidR="00436C09" w:rsidRPr="008644BE" w:rsidRDefault="0093608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436C09" w:rsidRPr="008644BE">
        <w:rPr>
          <w:rFonts w:asciiTheme="minorEastAsia" w:eastAsiaTheme="minorEastAsia" w:hAnsiTheme="minorEastAsia" w:hint="eastAsia"/>
          <w:szCs w:val="21"/>
        </w:rPr>
        <w:t>1）因不可抗力导致基金管理人无法受理投资者的转换申请。</w:t>
      </w:r>
    </w:p>
    <w:p w:rsidR="00436C09" w:rsidRPr="008644BE" w:rsidRDefault="0093608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436C09" w:rsidRPr="008644BE">
        <w:rPr>
          <w:rFonts w:asciiTheme="minorEastAsia" w:eastAsiaTheme="minorEastAsia" w:hAnsiTheme="minorEastAsia" w:hint="eastAsia"/>
          <w:szCs w:val="21"/>
        </w:rPr>
        <w:t>2）发生基金合同规定的暂停基金资产估值情况</w:t>
      </w:r>
      <w:r w:rsidR="000A77F7" w:rsidRPr="008644BE">
        <w:rPr>
          <w:rFonts w:asciiTheme="minorEastAsia" w:eastAsiaTheme="minorEastAsia" w:hAnsiTheme="minorEastAsia" w:hint="eastAsia"/>
          <w:szCs w:val="21"/>
        </w:rPr>
        <w:t>时，基金管理人可采取拒绝或暂停接受投资者转换申请等措施。</w:t>
      </w:r>
    </w:p>
    <w:p w:rsidR="00436C09" w:rsidRPr="008644BE" w:rsidRDefault="0093608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436C09" w:rsidRPr="008644BE">
        <w:rPr>
          <w:rFonts w:asciiTheme="minorEastAsia" w:eastAsiaTheme="minorEastAsia" w:hAnsiTheme="minorEastAsia" w:hint="eastAsia"/>
          <w:szCs w:val="21"/>
        </w:rPr>
        <w:t>3）证券交易场所交易时间非正常停市。</w:t>
      </w:r>
    </w:p>
    <w:p w:rsidR="00436C09" w:rsidRPr="008644BE" w:rsidRDefault="0093608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436C09" w:rsidRPr="008644BE">
        <w:rPr>
          <w:rFonts w:asciiTheme="minorEastAsia" w:eastAsiaTheme="minorEastAsia" w:hAnsiTheme="minorEastAsia" w:hint="eastAsia"/>
          <w:szCs w:val="21"/>
        </w:rPr>
        <w:t>4）基金管理人认为接受某笔或某些转换申请可能会影响或损害现有基金份额持有人利益时。</w:t>
      </w:r>
    </w:p>
    <w:p w:rsidR="00436C09" w:rsidRPr="008644BE" w:rsidRDefault="0093608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436C09" w:rsidRPr="008644BE">
        <w:rPr>
          <w:rFonts w:asciiTheme="minorEastAsia" w:eastAsiaTheme="minorEastAsia" w:hAnsiTheme="minorEastAsia" w:hint="eastAsia"/>
          <w:szCs w:val="21"/>
        </w:rPr>
        <w:t>5）基金资产规模过大，使基金管理人无法找到合适的投资品种，或其他可能对基金业绩产生负面影响，从而损害现有基金份额持有人利益的情形。</w:t>
      </w:r>
    </w:p>
    <w:p w:rsidR="00436C09" w:rsidRPr="008644BE" w:rsidRDefault="0093608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436C09" w:rsidRPr="008644BE">
        <w:rPr>
          <w:rFonts w:asciiTheme="minorEastAsia" w:eastAsiaTheme="minorEastAsia" w:hAnsiTheme="minorEastAsia" w:hint="eastAsia"/>
          <w:szCs w:val="21"/>
        </w:rPr>
        <w:t>6）本基金的资产组合中的重要部分发生暂停交易或其他重大事件，继续接受转出可能会影响或损害基金份额持有人利益时。</w:t>
      </w:r>
    </w:p>
    <w:p w:rsidR="00436C09" w:rsidRPr="008644BE" w:rsidRDefault="0093608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436C09" w:rsidRPr="008644BE">
        <w:rPr>
          <w:rFonts w:asciiTheme="minorEastAsia" w:eastAsiaTheme="minorEastAsia" w:hAnsiTheme="minorEastAsia" w:hint="eastAsia"/>
          <w:szCs w:val="21"/>
        </w:rPr>
        <w:t>7）连续两个或两个以上开放日发生巨额赎回。</w:t>
      </w:r>
    </w:p>
    <w:p w:rsidR="00A62B3D" w:rsidRPr="008644BE" w:rsidRDefault="00A62B3D" w:rsidP="00A62B3D">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（8）基金管理人接受某笔或者某些转换转入申请有可能导致单一投资者持有基金份额的比例达到或者超过50%，或者变相规避50%集中度的情形时。</w:t>
      </w:r>
    </w:p>
    <w:p w:rsidR="00A62B3D" w:rsidRPr="008644BE" w:rsidRDefault="00A62B3D" w:rsidP="00A62B3D">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9</w:t>
      </w:r>
      <w:r w:rsidRPr="008644BE">
        <w:rPr>
          <w:rFonts w:asciiTheme="minorEastAsia" w:eastAsiaTheme="minorEastAsia" w:hAnsiTheme="minorEastAsia" w:hint="eastAsia"/>
          <w:szCs w:val="21"/>
        </w:rPr>
        <w:t>）当一笔新的转换</w:t>
      </w:r>
      <w:r w:rsidRPr="008644BE">
        <w:rPr>
          <w:rFonts w:asciiTheme="minorEastAsia" w:eastAsiaTheme="minorEastAsia" w:hAnsiTheme="minorEastAsia"/>
          <w:szCs w:val="21"/>
        </w:rPr>
        <w:t>转入</w:t>
      </w:r>
      <w:r w:rsidRPr="008644BE">
        <w:rPr>
          <w:rFonts w:asciiTheme="minorEastAsia" w:eastAsiaTheme="minorEastAsia" w:hAnsiTheme="minorEastAsia" w:hint="eastAsia"/>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A62B3D" w:rsidRPr="008644BE" w:rsidRDefault="00A62B3D" w:rsidP="00A62B3D">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10）</w:t>
      </w:r>
      <w:r w:rsidRPr="008644BE">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436C09" w:rsidRPr="008644BE" w:rsidRDefault="00A62B3D" w:rsidP="00A62B3D">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11）</w:t>
      </w:r>
      <w:r w:rsidR="00436C09" w:rsidRPr="008644BE">
        <w:rPr>
          <w:rFonts w:asciiTheme="minorEastAsia" w:eastAsiaTheme="minorEastAsia" w:hAnsiTheme="minorEastAsia" w:hint="eastAsia"/>
          <w:szCs w:val="21"/>
        </w:rPr>
        <w:t>法律法规规定或中国证监会认定的其他情形。</w:t>
      </w:r>
    </w:p>
    <w:p w:rsidR="00436C09" w:rsidRPr="008644BE" w:rsidRDefault="00436C09"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10、基金转换业务的解释权归基金管理人，基金管理人可以根据市场情况在不违背有关法律法规和《基金合同》的规定之前提下调整上述转换的收费方式、费率水平、业务规则及有关限制，但应在调整生效前依照《信息披露办法》的有关规定在指定媒介上公告。</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63" w:name="_Toc332373518"/>
      <w:r w:rsidRPr="008644BE">
        <w:rPr>
          <w:rStyle w:val="da"/>
          <w:rFonts w:asciiTheme="minorEastAsia" w:eastAsiaTheme="minorEastAsia" w:hAnsiTheme="minorEastAsia" w:hint="eastAsia"/>
          <w:szCs w:val="21"/>
        </w:rPr>
        <w:lastRenderedPageBreak/>
        <w:t>（</w:t>
      </w:r>
      <w:r w:rsidR="00BA4B87" w:rsidRPr="008644BE">
        <w:rPr>
          <w:rStyle w:val="da"/>
          <w:rFonts w:asciiTheme="minorEastAsia" w:eastAsiaTheme="minorEastAsia" w:hAnsiTheme="minorEastAsia" w:hint="eastAsia"/>
          <w:szCs w:val="21"/>
        </w:rPr>
        <w:t>二</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定期定额投资计划</w:t>
      </w:r>
      <w:bookmarkEnd w:id="63"/>
    </w:p>
    <w:p w:rsidR="00436C09" w:rsidRPr="008644BE" w:rsidRDefault="00436C09" w:rsidP="00936084">
      <w:pPr>
        <w:snapToGrid w:val="0"/>
        <w:spacing w:line="360" w:lineRule="auto"/>
        <w:ind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本基金已于2015年3月10日开始办理基金定期定额投资业务，具体实施办法参见相关公告。</w:t>
      </w:r>
    </w:p>
    <w:p w:rsidR="00193CDF" w:rsidRPr="008644BE" w:rsidRDefault="00193CDF"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（三）基金份额折算</w:t>
      </w:r>
    </w:p>
    <w:p w:rsidR="00193CDF" w:rsidRPr="008644BE" w:rsidRDefault="00193CDF"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szCs w:val="21"/>
        </w:rPr>
        <w:t>在对基金份额持有人利益无实质不利影响的前提下，基金管理人经与基金托管人协商一致，可对基金份额进行折算，不需召开基金份额持有人大会审议。</w:t>
      </w:r>
    </w:p>
    <w:p w:rsidR="00BA4B87" w:rsidRPr="008644BE" w:rsidRDefault="00BA4B87" w:rsidP="00936084">
      <w:pPr>
        <w:snapToGrid w:val="0"/>
        <w:spacing w:line="360" w:lineRule="auto"/>
        <w:ind w:firstLine="420"/>
        <w:rPr>
          <w:rFonts w:asciiTheme="minorEastAsia" w:eastAsiaTheme="minorEastAsia" w:hAnsiTheme="minorEastAsia"/>
          <w:kern w:val="0"/>
          <w:szCs w:val="21"/>
        </w:rPr>
      </w:pPr>
    </w:p>
    <w:p w:rsidR="00BA4B87" w:rsidRPr="008644BE" w:rsidRDefault="00BA4B87" w:rsidP="00936084">
      <w:pPr>
        <w:pStyle w:val="1"/>
        <w:snapToGrid w:val="0"/>
        <w:spacing w:beforeLines="0" w:afterLines="0" w:line="360" w:lineRule="auto"/>
        <w:ind w:firstLine="600"/>
        <w:rPr>
          <w:rFonts w:asciiTheme="minorEastAsia" w:eastAsiaTheme="minorEastAsia" w:hAnsiTheme="minorEastAsia"/>
          <w:bCs/>
          <w:kern w:val="44"/>
          <w:sz w:val="28"/>
          <w:szCs w:val="44"/>
        </w:rPr>
      </w:pPr>
      <w:r w:rsidRPr="008644BE">
        <w:rPr>
          <w:rFonts w:asciiTheme="minorEastAsia" w:eastAsiaTheme="minorEastAsia" w:hAnsiTheme="minorEastAsia" w:hint="eastAsia"/>
          <w:sz w:val="30"/>
        </w:rPr>
        <w:br w:type="column"/>
      </w:r>
      <w:bookmarkStart w:id="64" w:name="_Toc332373519"/>
      <w:bookmarkStart w:id="65" w:name="_Toc49269635"/>
      <w:r w:rsidRPr="008644BE">
        <w:rPr>
          <w:rFonts w:asciiTheme="minorEastAsia" w:eastAsiaTheme="minorEastAsia" w:hAnsiTheme="minorEastAsia" w:hint="eastAsia"/>
          <w:sz w:val="30"/>
        </w:rPr>
        <w:lastRenderedPageBreak/>
        <w:t>十、基金的转托管、非交易过户、冻结与解冻</w:t>
      </w:r>
      <w:bookmarkEnd w:id="64"/>
      <w:bookmarkEnd w:id="65"/>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66" w:name="_Toc332373520"/>
      <w:bookmarkStart w:id="67" w:name="_Toc79392621"/>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一</w:t>
      </w:r>
      <w:r w:rsidRPr="008644BE">
        <w:rPr>
          <w:rStyle w:val="da"/>
          <w:rFonts w:asciiTheme="minorEastAsia" w:eastAsiaTheme="minorEastAsia" w:hAnsiTheme="minorEastAsia" w:hint="eastAsia"/>
        </w:rPr>
        <w:t>）</w:t>
      </w:r>
      <w:r w:rsidR="00401F67" w:rsidRPr="008644BE">
        <w:rPr>
          <w:rStyle w:val="da"/>
          <w:rFonts w:asciiTheme="minorEastAsia" w:eastAsiaTheme="minorEastAsia" w:hAnsiTheme="minorEastAsia" w:hint="eastAsia"/>
        </w:rPr>
        <w:t>基金的</w:t>
      </w:r>
      <w:r w:rsidR="00BA4B87" w:rsidRPr="008644BE">
        <w:rPr>
          <w:rStyle w:val="da"/>
          <w:rFonts w:asciiTheme="minorEastAsia" w:eastAsiaTheme="minorEastAsia" w:hAnsiTheme="minorEastAsia" w:hint="eastAsia"/>
        </w:rPr>
        <w:t>转托管</w:t>
      </w:r>
      <w:bookmarkEnd w:id="66"/>
    </w:p>
    <w:p w:rsidR="00BA4B87" w:rsidRPr="008644BE" w:rsidRDefault="009417BA"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基金份额持有人可办理已持有基金份额在不同销售机构之间的转托管，基金销售机构可以按照规定的标准收取转托管费。</w:t>
      </w:r>
      <w:r w:rsidR="00BA4B87" w:rsidRPr="008644BE">
        <w:rPr>
          <w:rFonts w:asciiTheme="minorEastAsia" w:eastAsiaTheme="minorEastAsia" w:hAnsiTheme="minorEastAsia" w:hint="eastAsia"/>
          <w:szCs w:val="21"/>
        </w:rPr>
        <w:t>具体办理方法参照《业务规则》的有关规定以及</w:t>
      </w:r>
      <w:r w:rsidR="00546B7B" w:rsidRPr="008644BE">
        <w:rPr>
          <w:rFonts w:asciiTheme="minorEastAsia" w:eastAsiaTheme="minorEastAsia" w:hAnsiTheme="minorEastAsia" w:hint="eastAsia"/>
          <w:szCs w:val="21"/>
        </w:rPr>
        <w:t>各</w:t>
      </w:r>
      <w:r w:rsidR="00FF5DDA" w:rsidRPr="008644BE">
        <w:rPr>
          <w:rFonts w:asciiTheme="minorEastAsia" w:eastAsiaTheme="minorEastAsia" w:hAnsiTheme="minorEastAsia" w:hint="eastAsia"/>
          <w:szCs w:val="21"/>
        </w:rPr>
        <w:t>销售</w:t>
      </w:r>
      <w:r w:rsidR="00BA4B87" w:rsidRPr="008644BE">
        <w:rPr>
          <w:rFonts w:asciiTheme="minorEastAsia" w:eastAsiaTheme="minorEastAsia" w:hAnsiTheme="minorEastAsia" w:hint="eastAsia"/>
          <w:szCs w:val="21"/>
        </w:rPr>
        <w:t>机构的业务规则。</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68" w:name="_Toc332373521"/>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二</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基金的非交易过户</w:t>
      </w:r>
      <w:bookmarkEnd w:id="68"/>
    </w:p>
    <w:p w:rsidR="009417BA" w:rsidRPr="008644BE" w:rsidRDefault="009417BA"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8644BE" w:rsidRDefault="009417BA"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69" w:name="_Toc332373522"/>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三</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基金的冻结与解冻</w:t>
      </w:r>
      <w:bookmarkEnd w:id="69"/>
    </w:p>
    <w:p w:rsidR="00BA4B87" w:rsidRPr="008644BE" w:rsidRDefault="009417BA"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67"/>
    <w:p w:rsidR="00BA4B87" w:rsidRPr="008644BE" w:rsidRDefault="00BA4B87" w:rsidP="00936084">
      <w:pPr>
        <w:pStyle w:val="1"/>
        <w:snapToGrid w:val="0"/>
        <w:spacing w:beforeLines="0" w:afterLines="0" w:line="360" w:lineRule="auto"/>
        <w:ind w:firstLine="640"/>
        <w:rPr>
          <w:rFonts w:asciiTheme="minorEastAsia" w:eastAsiaTheme="minorEastAsia" w:hAnsiTheme="minorEastAsia"/>
          <w:szCs w:val="21"/>
        </w:rPr>
      </w:pPr>
      <w:r w:rsidRPr="008644BE">
        <w:rPr>
          <w:rFonts w:asciiTheme="minorEastAsia" w:eastAsiaTheme="minorEastAsia" w:hAnsiTheme="minorEastAsia" w:hint="eastAsia"/>
        </w:rPr>
        <w:br w:type="column"/>
      </w:r>
      <w:bookmarkStart w:id="70" w:name="_Toc332373523"/>
      <w:bookmarkStart w:id="71" w:name="_Toc49269636"/>
      <w:r w:rsidRPr="008644BE">
        <w:rPr>
          <w:rFonts w:asciiTheme="minorEastAsia" w:eastAsiaTheme="minorEastAsia" w:hAnsiTheme="minorEastAsia" w:hint="eastAsia"/>
          <w:sz w:val="30"/>
        </w:rPr>
        <w:lastRenderedPageBreak/>
        <w:t>十一、基金的投资</w:t>
      </w:r>
      <w:bookmarkEnd w:id="70"/>
      <w:bookmarkEnd w:id="71"/>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72" w:name="_Toc332373524"/>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一</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投资目标</w:t>
      </w:r>
      <w:bookmarkEnd w:id="72"/>
    </w:p>
    <w:p w:rsidR="002233ED" w:rsidRPr="008644BE" w:rsidRDefault="00B57999"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本基金在严格控制风险的前提下，追求超越业绩比较基准的投资回报和资产的长期稳健增值。</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73" w:name="_Toc332373525"/>
      <w:r w:rsidRPr="008644BE">
        <w:rPr>
          <w:rStyle w:val="da"/>
          <w:rFonts w:asciiTheme="minorEastAsia" w:eastAsiaTheme="minorEastAsia" w:hAnsiTheme="minorEastAsia" w:hint="eastAsia"/>
        </w:rPr>
        <w:t>（</w:t>
      </w:r>
      <w:r w:rsidR="009648D4" w:rsidRPr="008644BE">
        <w:rPr>
          <w:rStyle w:val="da"/>
          <w:rFonts w:asciiTheme="minorEastAsia" w:eastAsiaTheme="minorEastAsia" w:hAnsiTheme="minorEastAsia" w:hint="eastAsia"/>
        </w:rPr>
        <w:t>二</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投资范围</w:t>
      </w:r>
      <w:bookmarkEnd w:id="73"/>
    </w:p>
    <w:p w:rsidR="00BD2B87" w:rsidRPr="008644BE" w:rsidRDefault="00BD2B87" w:rsidP="00936084">
      <w:pPr>
        <w:snapToGrid w:val="0"/>
        <w:spacing w:line="360" w:lineRule="auto"/>
        <w:ind w:firstLineChars="200" w:firstLine="420"/>
        <w:rPr>
          <w:rFonts w:asciiTheme="minorEastAsia" w:eastAsiaTheme="minorEastAsia" w:hAnsiTheme="minorEastAsia" w:cs="Arial"/>
          <w:bCs/>
          <w:szCs w:val="21"/>
        </w:rPr>
      </w:pPr>
      <w:r w:rsidRPr="008644BE">
        <w:rPr>
          <w:rFonts w:asciiTheme="minorEastAsia" w:eastAsiaTheme="minorEastAsia" w:hAnsiTheme="minorEastAsia" w:cs="Arial" w:hint="eastAsia"/>
          <w:bCs/>
          <w:szCs w:val="21"/>
        </w:rPr>
        <w:t>本基金的投资范围包括国内依法发行、上市的股票（包括创业板、中小板以及其他经中国证监会批准上市的股票）、债券、资产支持证券、银行存款、货币市场工具、权证、股指期货及法律法规或中国证监会允许基金投资的其他金融工具。</w:t>
      </w:r>
    </w:p>
    <w:p w:rsidR="00BD2B87" w:rsidRPr="008644BE" w:rsidRDefault="00BD2B87" w:rsidP="00936084">
      <w:pPr>
        <w:snapToGrid w:val="0"/>
        <w:spacing w:line="360" w:lineRule="auto"/>
        <w:ind w:firstLineChars="200" w:firstLine="420"/>
        <w:rPr>
          <w:rFonts w:asciiTheme="minorEastAsia" w:eastAsiaTheme="minorEastAsia" w:hAnsiTheme="minorEastAsia" w:cs="Arial"/>
          <w:bCs/>
          <w:szCs w:val="21"/>
        </w:rPr>
      </w:pPr>
      <w:r w:rsidRPr="008644BE">
        <w:rPr>
          <w:rFonts w:asciiTheme="minorEastAsia" w:eastAsiaTheme="minorEastAsia" w:hAnsiTheme="minorEastAsia" w:cs="Arial"/>
          <w:bCs/>
          <w:szCs w:val="21"/>
        </w:rPr>
        <w:t>如法律法规或监管机构以后允许基金投资其他品种，</w:t>
      </w:r>
      <w:r w:rsidRPr="008644BE">
        <w:rPr>
          <w:rFonts w:asciiTheme="minorEastAsia" w:eastAsiaTheme="minorEastAsia" w:hAnsiTheme="minorEastAsia" w:cs="Arial" w:hint="eastAsia"/>
          <w:bCs/>
          <w:szCs w:val="21"/>
        </w:rPr>
        <w:t>本基金</w:t>
      </w:r>
      <w:r w:rsidRPr="008644BE">
        <w:rPr>
          <w:rFonts w:asciiTheme="minorEastAsia" w:eastAsiaTheme="minorEastAsia" w:hAnsiTheme="minorEastAsia" w:cs="Arial"/>
          <w:bCs/>
          <w:szCs w:val="21"/>
        </w:rPr>
        <w:t>可以将其纳入投资范围。</w:t>
      </w:r>
    </w:p>
    <w:p w:rsidR="00BD2B87" w:rsidRPr="008644BE" w:rsidRDefault="00BD2B87" w:rsidP="00936084">
      <w:pPr>
        <w:snapToGrid w:val="0"/>
        <w:spacing w:line="360" w:lineRule="auto"/>
        <w:ind w:firstLineChars="200" w:firstLine="420"/>
        <w:rPr>
          <w:rFonts w:asciiTheme="minorEastAsia" w:eastAsiaTheme="minorEastAsia" w:hAnsiTheme="minorEastAsia" w:cs="Arial"/>
          <w:bCs/>
          <w:szCs w:val="21"/>
        </w:rPr>
      </w:pPr>
      <w:r w:rsidRPr="008644BE">
        <w:rPr>
          <w:rFonts w:asciiTheme="minorEastAsia" w:eastAsiaTheme="minorEastAsia" w:hAnsiTheme="minorEastAsia" w:cs="Arial"/>
          <w:bCs/>
          <w:szCs w:val="21"/>
        </w:rPr>
        <w:t>基金的投资组合比例为：</w:t>
      </w:r>
    </w:p>
    <w:p w:rsidR="00BD2B87" w:rsidRPr="008644BE" w:rsidRDefault="00BD2B87" w:rsidP="00936084">
      <w:pPr>
        <w:snapToGrid w:val="0"/>
        <w:spacing w:line="360" w:lineRule="auto"/>
        <w:ind w:firstLineChars="200" w:firstLine="420"/>
        <w:rPr>
          <w:rFonts w:asciiTheme="minorEastAsia" w:eastAsiaTheme="minorEastAsia" w:hAnsiTheme="minorEastAsia" w:cs="Arial"/>
          <w:bCs/>
          <w:szCs w:val="21"/>
        </w:rPr>
      </w:pPr>
      <w:r w:rsidRPr="008644BE">
        <w:rPr>
          <w:rFonts w:asciiTheme="minorEastAsia" w:eastAsiaTheme="minorEastAsia" w:hAnsiTheme="minorEastAsia" w:cs="Arial" w:hint="eastAsia"/>
          <w:bCs/>
          <w:szCs w:val="21"/>
        </w:rPr>
        <w:t>本基金为混合型基金，股票资产占基金资产的比例为0-95%，现金</w:t>
      </w:r>
      <w:r w:rsidR="00357C09" w:rsidRPr="008644BE">
        <w:rPr>
          <w:rFonts w:asciiTheme="minorEastAsia" w:eastAsiaTheme="minorEastAsia" w:hAnsiTheme="minorEastAsia" w:cs="Arial" w:hint="eastAsia"/>
          <w:bCs/>
          <w:szCs w:val="21"/>
        </w:rPr>
        <w:t>或</w:t>
      </w:r>
      <w:r w:rsidRPr="008644BE">
        <w:rPr>
          <w:rFonts w:asciiTheme="minorEastAsia" w:eastAsiaTheme="minorEastAsia" w:hAnsiTheme="minorEastAsia" w:cs="Arial" w:hint="eastAsia"/>
          <w:bCs/>
          <w:szCs w:val="21"/>
        </w:rPr>
        <w:t>到期日在一年以内的政府债券不低于基金资产净值的5%</w:t>
      </w:r>
      <w:r w:rsidR="00C22BCD" w:rsidRPr="008644BE">
        <w:rPr>
          <w:rFonts w:asciiTheme="minorEastAsia" w:eastAsiaTheme="minorEastAsia" w:hAnsiTheme="minorEastAsia" w:cs="Arial" w:hint="eastAsia"/>
          <w:bCs/>
          <w:szCs w:val="21"/>
        </w:rPr>
        <w:t>，现金不包括结算备付金、存出保证金、应收申购款等</w:t>
      </w:r>
      <w:r w:rsidRPr="008644BE">
        <w:rPr>
          <w:rFonts w:asciiTheme="minorEastAsia" w:eastAsiaTheme="minorEastAsia" w:hAnsiTheme="minorEastAsia" w:cs="Arial" w:hint="eastAsia"/>
          <w:bCs/>
          <w:szCs w:val="21"/>
        </w:rPr>
        <w:t>，权证、股指期货及其他金融工具的投资比例依照法律法规或监管机构的规定执行。本基金非现金资产中不低于80%的资产将投资于创新驱动型公司的证券。</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74" w:name="_Toc332373526"/>
      <w:r w:rsidRPr="008644BE">
        <w:rPr>
          <w:rStyle w:val="da"/>
          <w:rFonts w:asciiTheme="minorEastAsia" w:eastAsiaTheme="minorEastAsia" w:hAnsiTheme="minorEastAsia" w:hint="eastAsia"/>
          <w:szCs w:val="21"/>
        </w:rPr>
        <w:t>（</w:t>
      </w:r>
      <w:r w:rsidR="00090469" w:rsidRPr="008644BE">
        <w:rPr>
          <w:rStyle w:val="da"/>
          <w:rFonts w:asciiTheme="minorEastAsia" w:eastAsiaTheme="minorEastAsia" w:hAnsiTheme="minorEastAsia" w:hint="eastAsia"/>
          <w:szCs w:val="21"/>
        </w:rPr>
        <w:t>三</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投资策略</w:t>
      </w:r>
      <w:bookmarkEnd w:id="74"/>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1、资产配置策略</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本基金基于定量与定性相结合的宏观及市场分析，确定组合中股票、债券、货币市场工具及其他金融工具的比例。</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在资产配置中，本基金主要考虑：（1）宏观经济走势，主要通过对GDP增速、工业增加值、物价水平、市场利率水平等宏观经济指标的分析，判断实体经济在经济周期中所处的位置；（2）中观行业盈利，主要通过对同一行业历史盈利水平的纵向比较以及不同行业之间盈利水平的横向比较，判断行业所处的景气阶段与行业未来盈利趋势；（3）市场估值与流动性，紧密跟踪国内外市场整体估值变化，货币供应量增速变化及其对市场整体资金供求的可能影响；（4）政策因素，密切关注与股票市场相关的各种政策出台对市场的影响。</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2、股票投资策略</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（1）创新驱动型公司的界定</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对国家而言，创新是持续发展的动力。对公司而言，面对日益加剧的市场竞争和复杂的外部环境，只有不断进行创新，才可能获得和保持竞争优势，从而实现生存和发展。具体来讲，本基金所指的创新包括产品创新、服务创新、技术创新、管理创新、营销创新、流程创新、组织与制度创新、商业模式创新、市场创新等。一个公司可能存在一种或多种创新形式，这些创新形式相互影响，构成公司的创新系统。本基金将对公司创新行为进行持续跟踪分析，并结合行业数据分析、竞争对手分析、上下游公司分析等对创新效果进行动态评价。</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在对公司创新行为进行分析时，本基金将重点考虑公司创新文化、公司创新战略、公司创新管理能力、公司研发能力、公司研发投入情况、公司创新项目整体推进情况等。在对创</w:t>
      </w:r>
      <w:r w:rsidRPr="008644BE">
        <w:rPr>
          <w:rFonts w:asciiTheme="minorEastAsia" w:eastAsiaTheme="minorEastAsia" w:hAnsiTheme="minorEastAsia" w:hint="eastAsia"/>
          <w:szCs w:val="21"/>
        </w:rPr>
        <w:lastRenderedPageBreak/>
        <w:t>新效果进行评价时，本基金将重点考虑创新对公司竞争优势的影响，即创新能否为公司带来先发优势、成本的降低、产品或服务质量的提升、专有知识的形成</w:t>
      </w:r>
      <w:r w:rsidR="006A2C7D" w:rsidRPr="008644BE">
        <w:rPr>
          <w:rFonts w:asciiTheme="minorEastAsia" w:eastAsiaTheme="minorEastAsia" w:hAnsiTheme="minorEastAsia" w:hint="eastAsia"/>
          <w:szCs w:val="21"/>
        </w:rPr>
        <w:t>或</w:t>
      </w:r>
      <w:r w:rsidRPr="008644BE">
        <w:rPr>
          <w:rFonts w:asciiTheme="minorEastAsia" w:eastAsiaTheme="minorEastAsia" w:hAnsiTheme="minorEastAsia" w:hint="eastAsia"/>
          <w:szCs w:val="21"/>
        </w:rPr>
        <w:t>差异化优势的建立等，并结合对公司外部环境的分析，判断创新是否已经成为或将要成为公司成长的驱动力。对于具体的创新项目，本基金还将考量项目的预期投资回报率。通过以上分析，本基金将选择创新已经成为或将要成为公司成长驱动力的公司，即创新驱动型公司。</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（2）公司基本面评价</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在创新驱动型公司中，本基金将重点投资于满足基金管理人以下分析标准的公司。</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1）公司所在行业景气度较高且具有可持续性</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本基金主要通过持续跟踪行业数据，密切关注国家相关产业政策、规划动态，深入进行上、下游产业链调研，适时对各行业景气度变化情况进行研判，重点投资于行业景气度较高且具有可持续性的公司。</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2）公司所在行业竞争格局良好</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主要通过密切跟踪当前行业进入者的数量、行业内各公司的竞争策略及各公司产品（或服务）的市场份额来判断公司所处行业竞争格局的变化，重点投资于行业竞争格局良好、处于行业龙头地位的优势公司。</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3）公司管理层素质较高</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本基金将通过对以下因素的综合分析，对公司管理层素质进行评判，从中选择管理层素质较高的公司。</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①公司治理结构</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公司已建立起完善的法人治理结构，激励与利益分配机制设置合理，内部奖惩分明，升迁有序。</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②公司长期愿景与企业文化</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公司长期愿景清晰，企业文化积极向上，能够激励公司不断向前发展。</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③公司管理团队</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公司管理团队稳定、团结、敬业、专业、诚实并充满激情，能够带领公司员工较好贯彻执行公司战略，并能够有效利用公司资源、控制成本、开拓新业务及发挥自身优势，以带领公司不断成长。</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④公司营销能力</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公司已建立起适合产品或服务特点的营销网络，销售能力较强，可以不断开拓新市场、保持或提高市场占有率。</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（3）估值水平分析</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将根据上市公司的行业特性及公司本身的特点，选择合适的股票估值方法。可供选择的估值方法包括市盈率法（P/E）、市净率法（P/B）、市盈率－长期成长法（PEG）、企业价值/销售收入(EV/SALES)、企业价值/息税折旧摊销前利润法（EV/EBITDA）、自由现金流贴</w:t>
      </w:r>
      <w:r w:rsidRPr="008644BE">
        <w:rPr>
          <w:rFonts w:asciiTheme="minorEastAsia" w:eastAsiaTheme="minorEastAsia" w:hAnsiTheme="minorEastAsia" w:hint="eastAsia"/>
          <w:szCs w:val="21"/>
        </w:rPr>
        <w:lastRenderedPageBreak/>
        <w:t>现模型（FCFF，FCFE）或股利贴现模型（DDM）等。</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通过估值水平分析，基金管理人力争发掘出价值被低估或估值合理的股票。</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（4）股票组合的构建与调整</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在估值分析的基础上，本基金将建立投资组合。当行业或公司的基本面、股票的估值水平出现较大变化时，本基金将对股票组合适时进行调整。</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3、债券投资策略</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在券种选择上，本基金以长期利率趋势分析为基础，结合经济变化趋势、货币政策及不同债券品种的收益率水平、流动性和信用风险等因素，实施积极主动的债券投资管理。</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随着国内债券市场的深入发展和结构性变迁，更多债券新品种和交易形式将增加债券投资盈利模式，本基金将密切跟踪市场动态变化，选择合适的介入机会，谋求高于市场平均水平的投资回报。</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4、衍生产品投资策略</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可以参与股指期货交易，但必须根据风险管理的原则，以套期保值为目的。本基金将根据对现货和期货市场的分析，采取多头或空头套期保值等策略进行套期保值操作。股指期货的具体投资策略包括：（1）对冲投资组合的系统性风险；（2）有效管理现金流量、降低建仓或调仓过程中的冲击成本等。</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将关注国内其他金融衍生产品的推出情况，如法律法规或监管机构允许基金投资该衍生工具，本基金将制定与本基金投资目标相适应的投资策略，在充分评估衍生产品的风险和收益的基础上，谨慎地进行投资。</w:t>
      </w:r>
    </w:p>
    <w:p w:rsidR="00BD2B87" w:rsidRPr="008644BE" w:rsidRDefault="00BD2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权证为本基金辅助性投资工具。权证的投资原则为有利于基金资产增值、控制下跌风险、实现保值和锁定收益。</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75" w:name="_Toc332373530"/>
      <w:bookmarkStart w:id="76" w:name="question3"/>
      <w:r w:rsidRPr="008644BE">
        <w:rPr>
          <w:rStyle w:val="da"/>
          <w:rFonts w:asciiTheme="minorEastAsia" w:eastAsiaTheme="minorEastAsia" w:hAnsiTheme="minorEastAsia" w:hint="eastAsia"/>
          <w:szCs w:val="21"/>
        </w:rPr>
        <w:t>（</w:t>
      </w:r>
      <w:r w:rsidR="00090469" w:rsidRPr="008644BE">
        <w:rPr>
          <w:rStyle w:val="da"/>
          <w:rFonts w:asciiTheme="minorEastAsia" w:eastAsiaTheme="minorEastAsia" w:hAnsiTheme="minorEastAsia" w:hint="eastAsia"/>
          <w:szCs w:val="21"/>
        </w:rPr>
        <w:t>四</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业绩比较基准</w:t>
      </w:r>
      <w:bookmarkEnd w:id="75"/>
    </w:p>
    <w:p w:rsidR="00010618" w:rsidRPr="008644BE" w:rsidRDefault="0001061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50%×沪深300指数收益率+50%×中债总财富指数收益率</w:t>
      </w:r>
    </w:p>
    <w:p w:rsidR="00010618" w:rsidRPr="008644BE" w:rsidRDefault="0001061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沪深300指数对股票市场具有较强的代表性，适合作为本基金股票部分的业绩比较基准。中债总财富指数能够反映债券市场总体走势，适合作为本基金固定收益部分的业绩比较基准。此外，本基金还参考预期的大类资产平均配置比例设置了业绩比较基准的权重。</w:t>
      </w:r>
    </w:p>
    <w:p w:rsidR="00010618" w:rsidRPr="008644BE" w:rsidRDefault="00010618"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如果指数编制单位停止计算编制以上指数或更改指数名称、或今后法律法规发生变化、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77" w:name="_Toc332373531"/>
      <w:bookmarkEnd w:id="76"/>
      <w:r w:rsidRPr="008644BE">
        <w:rPr>
          <w:rStyle w:val="da"/>
          <w:rFonts w:asciiTheme="minorEastAsia" w:eastAsiaTheme="minorEastAsia" w:hAnsiTheme="minorEastAsia" w:hint="eastAsia"/>
          <w:szCs w:val="21"/>
        </w:rPr>
        <w:lastRenderedPageBreak/>
        <w:t>（</w:t>
      </w:r>
      <w:r w:rsidR="00090469" w:rsidRPr="008644BE">
        <w:rPr>
          <w:rStyle w:val="da"/>
          <w:rFonts w:asciiTheme="minorEastAsia" w:eastAsiaTheme="minorEastAsia" w:hAnsiTheme="minorEastAsia" w:hint="eastAsia"/>
          <w:szCs w:val="21"/>
        </w:rPr>
        <w:t>五</w:t>
      </w:r>
      <w:r w:rsidRPr="008644BE">
        <w:rPr>
          <w:rStyle w:val="da"/>
          <w:rFonts w:asciiTheme="minorEastAsia" w:eastAsiaTheme="minorEastAsia" w:hAnsiTheme="minorEastAsia" w:hint="eastAsia"/>
          <w:szCs w:val="21"/>
        </w:rPr>
        <w:t>）</w:t>
      </w:r>
      <w:r w:rsidR="00BA4B87" w:rsidRPr="008644BE">
        <w:rPr>
          <w:rStyle w:val="da"/>
          <w:rFonts w:asciiTheme="minorEastAsia" w:eastAsiaTheme="minorEastAsia" w:hAnsiTheme="minorEastAsia" w:hint="eastAsia"/>
          <w:szCs w:val="21"/>
        </w:rPr>
        <w:t>风险收益特征</w:t>
      </w:r>
      <w:bookmarkEnd w:id="77"/>
    </w:p>
    <w:p w:rsidR="006D2B0D" w:rsidRPr="008644BE" w:rsidRDefault="006D2B0D"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本基金为混合型基金，理论上其风险收益水平低于股票型基金，高于债券型基金和货币市场基金。</w:t>
      </w:r>
    </w:p>
    <w:p w:rsidR="00BA4B87" w:rsidRPr="008644BE" w:rsidRDefault="00802FD0" w:rsidP="00936084">
      <w:pPr>
        <w:snapToGrid w:val="0"/>
        <w:spacing w:line="360" w:lineRule="auto"/>
        <w:ind w:firstLineChars="200" w:firstLine="420"/>
        <w:rPr>
          <w:rFonts w:asciiTheme="minorEastAsia" w:eastAsiaTheme="minorEastAsia" w:hAnsiTheme="minorEastAsia"/>
        </w:rPr>
      </w:pPr>
      <w:bookmarkStart w:id="78" w:name="_Toc332373533"/>
      <w:r w:rsidRPr="008644BE">
        <w:rPr>
          <w:rFonts w:asciiTheme="minorEastAsia" w:eastAsiaTheme="minorEastAsia" w:hAnsiTheme="minorEastAsia" w:hint="eastAsia"/>
        </w:rPr>
        <w:t>（</w:t>
      </w:r>
      <w:r w:rsidR="000008BD" w:rsidRPr="008644BE">
        <w:rPr>
          <w:rFonts w:asciiTheme="minorEastAsia" w:eastAsiaTheme="minorEastAsia" w:hAnsiTheme="minorEastAsia" w:hint="eastAsia"/>
        </w:rPr>
        <w:t>六</w:t>
      </w:r>
      <w:r w:rsidR="002E1C38" w:rsidRPr="008644BE">
        <w:rPr>
          <w:rFonts w:asciiTheme="minorEastAsia" w:eastAsiaTheme="minorEastAsia" w:hAnsiTheme="minorEastAsia" w:hint="eastAsia"/>
        </w:rPr>
        <w:t>）</w:t>
      </w:r>
      <w:r w:rsidR="00BA4B87" w:rsidRPr="008644BE">
        <w:rPr>
          <w:rFonts w:asciiTheme="minorEastAsia" w:eastAsiaTheme="minorEastAsia" w:hAnsiTheme="minorEastAsia" w:hint="eastAsia"/>
        </w:rPr>
        <w:t>投资禁止行为与限制</w:t>
      </w:r>
    </w:p>
    <w:bookmarkEnd w:id="78"/>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1、禁止行为</w:t>
      </w:r>
    </w:p>
    <w:p w:rsidR="00022454" w:rsidRPr="008644BE" w:rsidRDefault="0002245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为维护基金份额持有人的合法权益，基金财产不得用于下列投资或者活动：</w:t>
      </w:r>
    </w:p>
    <w:p w:rsidR="00022454" w:rsidRPr="008644BE" w:rsidRDefault="0002245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（1）承销证券；</w:t>
      </w:r>
    </w:p>
    <w:p w:rsidR="00022454" w:rsidRPr="008644BE" w:rsidRDefault="0002245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w:t>
      </w:r>
      <w:r w:rsidRPr="008644BE">
        <w:rPr>
          <w:rFonts w:asciiTheme="minorEastAsia" w:eastAsiaTheme="minorEastAsia" w:hAnsiTheme="minorEastAsia" w:hint="eastAsia"/>
          <w:szCs w:val="21"/>
        </w:rPr>
        <w:t>2</w:t>
      </w:r>
      <w:r w:rsidRPr="008644BE">
        <w:rPr>
          <w:rFonts w:asciiTheme="minorEastAsia" w:eastAsiaTheme="minorEastAsia" w:hAnsiTheme="minorEastAsia"/>
          <w:szCs w:val="21"/>
        </w:rPr>
        <w:t>）</w:t>
      </w:r>
      <w:r w:rsidRPr="008644BE">
        <w:rPr>
          <w:rFonts w:asciiTheme="minorEastAsia" w:eastAsiaTheme="minorEastAsia" w:hAnsiTheme="minorEastAsia" w:hint="eastAsia"/>
          <w:szCs w:val="21"/>
        </w:rPr>
        <w:t>违反规定</w:t>
      </w:r>
      <w:r w:rsidRPr="008644BE">
        <w:rPr>
          <w:rFonts w:asciiTheme="minorEastAsia" w:eastAsiaTheme="minorEastAsia" w:hAnsiTheme="minorEastAsia"/>
          <w:szCs w:val="21"/>
        </w:rPr>
        <w:t>向他人贷款或者提供担保；</w:t>
      </w:r>
    </w:p>
    <w:p w:rsidR="00022454" w:rsidRPr="008644BE" w:rsidRDefault="0002245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w:t>
      </w:r>
      <w:r w:rsidRPr="008644BE">
        <w:rPr>
          <w:rFonts w:asciiTheme="minorEastAsia" w:eastAsiaTheme="minorEastAsia" w:hAnsiTheme="minorEastAsia" w:hint="eastAsia"/>
          <w:szCs w:val="21"/>
        </w:rPr>
        <w:t>3</w:t>
      </w:r>
      <w:r w:rsidRPr="008644BE">
        <w:rPr>
          <w:rFonts w:asciiTheme="minorEastAsia" w:eastAsiaTheme="minorEastAsia" w:hAnsiTheme="minorEastAsia"/>
          <w:szCs w:val="21"/>
        </w:rPr>
        <w:t>）从事承担无限责任的投资；</w:t>
      </w:r>
    </w:p>
    <w:p w:rsidR="00022454" w:rsidRPr="008644BE" w:rsidRDefault="0002245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w:t>
      </w:r>
      <w:r w:rsidRPr="008644BE">
        <w:rPr>
          <w:rFonts w:asciiTheme="minorEastAsia" w:eastAsiaTheme="minorEastAsia" w:hAnsiTheme="minorEastAsia" w:hint="eastAsia"/>
          <w:szCs w:val="21"/>
        </w:rPr>
        <w:t>4</w:t>
      </w:r>
      <w:r w:rsidRPr="008644BE">
        <w:rPr>
          <w:rFonts w:asciiTheme="minorEastAsia" w:eastAsiaTheme="minorEastAsia" w:hAnsiTheme="minorEastAsia"/>
          <w:szCs w:val="21"/>
        </w:rPr>
        <w:t>）向其基金管理人、基金托管人出资；</w:t>
      </w:r>
    </w:p>
    <w:p w:rsidR="00022454" w:rsidRPr="008644BE" w:rsidRDefault="0002245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w:t>
      </w:r>
      <w:r w:rsidR="004D1DCB" w:rsidRPr="008644BE">
        <w:rPr>
          <w:rFonts w:asciiTheme="minorEastAsia" w:eastAsiaTheme="minorEastAsia" w:hAnsiTheme="minorEastAsia" w:hint="eastAsia"/>
          <w:szCs w:val="21"/>
        </w:rPr>
        <w:t>5</w:t>
      </w:r>
      <w:r w:rsidRPr="008644BE">
        <w:rPr>
          <w:rFonts w:asciiTheme="minorEastAsia" w:eastAsiaTheme="minorEastAsia" w:hAnsiTheme="minorEastAsia"/>
          <w:szCs w:val="21"/>
        </w:rPr>
        <w:t>）从事内幕交易、操纵证券交易价格及其他不正当的证券交易活动；</w:t>
      </w:r>
    </w:p>
    <w:p w:rsidR="00022454" w:rsidRPr="008644BE" w:rsidRDefault="00022454"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w:t>
      </w:r>
      <w:r w:rsidR="004D1DCB" w:rsidRPr="008644BE">
        <w:rPr>
          <w:rFonts w:asciiTheme="minorEastAsia" w:eastAsiaTheme="minorEastAsia" w:hAnsiTheme="minorEastAsia" w:hint="eastAsia"/>
          <w:szCs w:val="21"/>
        </w:rPr>
        <w:t>6</w:t>
      </w:r>
      <w:r w:rsidRPr="008644BE">
        <w:rPr>
          <w:rFonts w:asciiTheme="minorEastAsia" w:eastAsiaTheme="minorEastAsia" w:hAnsiTheme="minorEastAsia"/>
          <w:szCs w:val="21"/>
        </w:rPr>
        <w:t>）</w:t>
      </w:r>
      <w:r w:rsidRPr="008644BE">
        <w:rPr>
          <w:rFonts w:asciiTheme="minorEastAsia" w:eastAsiaTheme="minorEastAsia" w:hAnsiTheme="minorEastAsia" w:hint="eastAsia"/>
          <w:szCs w:val="21"/>
        </w:rPr>
        <w:t>法律、行政法规和</w:t>
      </w:r>
      <w:r w:rsidRPr="008644BE">
        <w:rPr>
          <w:rFonts w:asciiTheme="minorEastAsia" w:eastAsiaTheme="minorEastAsia" w:hAnsiTheme="minorEastAsia"/>
          <w:szCs w:val="21"/>
        </w:rPr>
        <w:t>中国证监会规定禁止的其他活动</w:t>
      </w:r>
      <w:r w:rsidRPr="008644BE">
        <w:rPr>
          <w:rFonts w:asciiTheme="minorEastAsia" w:eastAsiaTheme="minorEastAsia" w:hAnsiTheme="minorEastAsia" w:hint="eastAsia"/>
          <w:szCs w:val="21"/>
        </w:rPr>
        <w:t>。</w:t>
      </w:r>
    </w:p>
    <w:p w:rsidR="00BA4B87" w:rsidRPr="008644BE" w:rsidRDefault="00BA4B8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2、投资组合限制</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基金的投资组合应遵循以下限制：</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（1）</w:t>
      </w:r>
      <w:r w:rsidRPr="008644BE">
        <w:rPr>
          <w:rStyle w:val="da"/>
          <w:rFonts w:asciiTheme="minorEastAsia" w:eastAsiaTheme="minorEastAsia" w:hAnsiTheme="minorEastAsia" w:hint="eastAsia"/>
          <w:szCs w:val="21"/>
        </w:rPr>
        <w:t>本基金股票资产占基金资产的比例为0-95%；非现金资产中不低于80%的资产将投资于创新驱动型公司的证券</w:t>
      </w:r>
      <w:r w:rsidRPr="008644BE">
        <w:rPr>
          <w:rStyle w:val="da"/>
          <w:rFonts w:asciiTheme="minorEastAsia" w:eastAsiaTheme="minorEastAsia" w:hAnsiTheme="minorEastAsia"/>
          <w:szCs w:val="21"/>
        </w:rPr>
        <w:t>；</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w:t>
      </w:r>
      <w:r w:rsidRPr="008644BE">
        <w:rPr>
          <w:rStyle w:val="da"/>
          <w:rFonts w:asciiTheme="minorEastAsia" w:eastAsiaTheme="minorEastAsia" w:hAnsiTheme="minorEastAsia" w:hint="eastAsia"/>
          <w:szCs w:val="21"/>
        </w:rPr>
        <w:t>2</w:t>
      </w:r>
      <w:r w:rsidRPr="008644BE">
        <w:rPr>
          <w:rStyle w:val="da"/>
          <w:rFonts w:asciiTheme="minorEastAsia" w:eastAsiaTheme="minorEastAsia" w:hAnsiTheme="minorEastAsia"/>
          <w:szCs w:val="21"/>
        </w:rPr>
        <w:t>）保持不低于基金资产净值5％的现金或者到期日在一年以内的政府债券</w:t>
      </w:r>
      <w:r w:rsidR="00C22BCD" w:rsidRPr="008644BE">
        <w:rPr>
          <w:rStyle w:val="da"/>
          <w:rFonts w:asciiTheme="minorEastAsia" w:eastAsiaTheme="minorEastAsia" w:hAnsiTheme="minorEastAsia" w:hint="eastAsia"/>
          <w:szCs w:val="21"/>
        </w:rPr>
        <w:t>，现金不包括结算备付金、存出保证金、应收申购款等</w:t>
      </w:r>
      <w:r w:rsidRPr="008644BE">
        <w:rPr>
          <w:rStyle w:val="da"/>
          <w:rFonts w:asciiTheme="minorEastAsia" w:eastAsiaTheme="minorEastAsia" w:hAnsiTheme="minorEastAsia"/>
          <w:szCs w:val="21"/>
        </w:rPr>
        <w:t>；</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w:t>
      </w:r>
      <w:r w:rsidRPr="008644BE">
        <w:rPr>
          <w:rStyle w:val="da"/>
          <w:rFonts w:asciiTheme="minorEastAsia" w:eastAsiaTheme="minorEastAsia" w:hAnsiTheme="minorEastAsia" w:hint="eastAsia"/>
          <w:szCs w:val="21"/>
        </w:rPr>
        <w:t>3</w:t>
      </w:r>
      <w:r w:rsidRPr="008644BE">
        <w:rPr>
          <w:rStyle w:val="da"/>
          <w:rFonts w:asciiTheme="minorEastAsia" w:eastAsiaTheme="minorEastAsia" w:hAnsiTheme="minorEastAsia"/>
          <w:szCs w:val="21"/>
        </w:rPr>
        <w:t>）</w:t>
      </w:r>
      <w:r w:rsidR="000D5ABD" w:rsidRPr="008644BE">
        <w:rPr>
          <w:rStyle w:val="da"/>
          <w:rFonts w:asciiTheme="minorEastAsia" w:eastAsiaTheme="minorEastAsia" w:hAnsiTheme="minorEastAsia"/>
          <w:szCs w:val="21"/>
        </w:rPr>
        <w:t>本基金持有一家公司</w:t>
      </w:r>
      <w:r w:rsidR="000D5ABD" w:rsidRPr="008644BE">
        <w:rPr>
          <w:rStyle w:val="da"/>
          <w:rFonts w:asciiTheme="minorEastAsia" w:eastAsiaTheme="minorEastAsia" w:hAnsiTheme="minorEastAsia" w:hint="eastAsia"/>
          <w:szCs w:val="21"/>
        </w:rPr>
        <w:t>发行</w:t>
      </w:r>
      <w:r w:rsidR="000D5ABD" w:rsidRPr="008644BE">
        <w:rPr>
          <w:rStyle w:val="da"/>
          <w:rFonts w:asciiTheme="minorEastAsia" w:eastAsiaTheme="minorEastAsia" w:hAnsiTheme="minorEastAsia"/>
          <w:szCs w:val="21"/>
        </w:rPr>
        <w:t>的</w:t>
      </w:r>
      <w:r w:rsidR="000D5ABD" w:rsidRPr="008644BE">
        <w:rPr>
          <w:rStyle w:val="da"/>
          <w:rFonts w:asciiTheme="minorEastAsia" w:eastAsiaTheme="minorEastAsia" w:hAnsiTheme="minorEastAsia" w:hint="eastAsia"/>
          <w:szCs w:val="21"/>
        </w:rPr>
        <w:t>证券</w:t>
      </w:r>
      <w:r w:rsidR="000D5ABD" w:rsidRPr="008644BE">
        <w:rPr>
          <w:rStyle w:val="da"/>
          <w:rFonts w:asciiTheme="minorEastAsia" w:eastAsiaTheme="minorEastAsia" w:hAnsiTheme="minorEastAsia"/>
          <w:szCs w:val="21"/>
        </w:rPr>
        <w:t>，其市值不超过基金资产净值的10％</w:t>
      </w:r>
      <w:r w:rsidRPr="008644BE">
        <w:rPr>
          <w:rStyle w:val="da"/>
          <w:rFonts w:asciiTheme="minorEastAsia" w:eastAsiaTheme="minorEastAsia" w:hAnsiTheme="minorEastAsia"/>
          <w:szCs w:val="21"/>
        </w:rPr>
        <w:t>；</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w:t>
      </w:r>
      <w:r w:rsidRPr="008644BE">
        <w:rPr>
          <w:rStyle w:val="da"/>
          <w:rFonts w:asciiTheme="minorEastAsia" w:eastAsiaTheme="minorEastAsia" w:hAnsiTheme="minorEastAsia" w:hint="eastAsia"/>
          <w:szCs w:val="21"/>
        </w:rPr>
        <w:t>4</w:t>
      </w:r>
      <w:r w:rsidRPr="008644BE">
        <w:rPr>
          <w:rStyle w:val="da"/>
          <w:rFonts w:asciiTheme="minorEastAsia" w:eastAsiaTheme="minorEastAsia" w:hAnsiTheme="minorEastAsia"/>
          <w:szCs w:val="21"/>
        </w:rPr>
        <w:t>）本基金管理人管理的全部基金持有一家公司发行的证券，不超过该证券的10％；</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w:t>
      </w:r>
      <w:r w:rsidRPr="008644BE">
        <w:rPr>
          <w:rStyle w:val="da"/>
          <w:rFonts w:asciiTheme="minorEastAsia" w:eastAsiaTheme="minorEastAsia" w:hAnsiTheme="minorEastAsia" w:hint="eastAsia"/>
          <w:szCs w:val="21"/>
        </w:rPr>
        <w:t>5</w:t>
      </w:r>
      <w:r w:rsidRPr="008644BE">
        <w:rPr>
          <w:rStyle w:val="da"/>
          <w:rFonts w:asciiTheme="minorEastAsia" w:eastAsiaTheme="minorEastAsia" w:hAnsiTheme="minorEastAsia"/>
          <w:szCs w:val="21"/>
        </w:rPr>
        <w:t>）本基金持有的全部权证，其市值不得超过基金资产净值的3％；</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w:t>
      </w:r>
      <w:r w:rsidRPr="008644BE">
        <w:rPr>
          <w:rStyle w:val="da"/>
          <w:rFonts w:asciiTheme="minorEastAsia" w:eastAsiaTheme="minorEastAsia" w:hAnsiTheme="minorEastAsia" w:hint="eastAsia"/>
          <w:szCs w:val="21"/>
        </w:rPr>
        <w:t>6</w:t>
      </w:r>
      <w:r w:rsidRPr="008644BE">
        <w:rPr>
          <w:rStyle w:val="da"/>
          <w:rFonts w:asciiTheme="minorEastAsia" w:eastAsiaTheme="minorEastAsia" w:hAnsiTheme="minorEastAsia"/>
          <w:szCs w:val="21"/>
        </w:rPr>
        <w:t>）本基金管理人管理的全部基金持有的同一权证，不得超过该权证的10％；</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w:t>
      </w:r>
      <w:r w:rsidRPr="008644BE">
        <w:rPr>
          <w:rStyle w:val="da"/>
          <w:rFonts w:asciiTheme="minorEastAsia" w:eastAsiaTheme="minorEastAsia" w:hAnsiTheme="minorEastAsia" w:hint="eastAsia"/>
          <w:szCs w:val="21"/>
        </w:rPr>
        <w:t>7</w:t>
      </w:r>
      <w:r w:rsidRPr="008644BE">
        <w:rPr>
          <w:rStyle w:val="da"/>
          <w:rFonts w:asciiTheme="minorEastAsia" w:eastAsiaTheme="minorEastAsia" w:hAnsiTheme="minorEastAsia"/>
          <w:szCs w:val="21"/>
        </w:rPr>
        <w:t>）本基金在任何交易日买入权证的总金额，不得超过上一交易日基金资产净值的0.5％；</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w:t>
      </w:r>
      <w:r w:rsidRPr="008644BE">
        <w:rPr>
          <w:rStyle w:val="da"/>
          <w:rFonts w:asciiTheme="minorEastAsia" w:eastAsiaTheme="minorEastAsia" w:hAnsiTheme="minorEastAsia" w:hint="eastAsia"/>
          <w:szCs w:val="21"/>
        </w:rPr>
        <w:t>8</w:t>
      </w:r>
      <w:r w:rsidRPr="008644BE">
        <w:rPr>
          <w:rStyle w:val="da"/>
          <w:rFonts w:asciiTheme="minorEastAsia" w:eastAsiaTheme="minorEastAsia" w:hAnsiTheme="minorEastAsia"/>
          <w:szCs w:val="21"/>
        </w:rPr>
        <w:t>）本基金投资于同一原始权益人的各类资产支持证券的比例，不得超过基金资产净值的10％；</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w:t>
      </w:r>
      <w:r w:rsidRPr="008644BE">
        <w:rPr>
          <w:rStyle w:val="da"/>
          <w:rFonts w:asciiTheme="minorEastAsia" w:eastAsiaTheme="minorEastAsia" w:hAnsiTheme="minorEastAsia" w:hint="eastAsia"/>
          <w:szCs w:val="21"/>
        </w:rPr>
        <w:t>9</w:t>
      </w:r>
      <w:r w:rsidRPr="008644BE">
        <w:rPr>
          <w:rStyle w:val="da"/>
          <w:rFonts w:asciiTheme="minorEastAsia" w:eastAsiaTheme="minorEastAsia" w:hAnsiTheme="minorEastAsia"/>
          <w:szCs w:val="21"/>
        </w:rPr>
        <w:t>）本基金持有的全部资产支持证券，其市值不得超过基金资产净值的20％；</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（1</w:t>
      </w:r>
      <w:r w:rsidRPr="008644BE">
        <w:rPr>
          <w:rStyle w:val="da"/>
          <w:rFonts w:asciiTheme="minorEastAsia" w:eastAsiaTheme="minorEastAsia" w:hAnsiTheme="minorEastAsia" w:hint="eastAsia"/>
          <w:szCs w:val="21"/>
        </w:rPr>
        <w:t>0</w:t>
      </w:r>
      <w:r w:rsidRPr="008644BE">
        <w:rPr>
          <w:rStyle w:val="da"/>
          <w:rFonts w:asciiTheme="minorEastAsia" w:eastAsiaTheme="minorEastAsia" w:hAnsiTheme="minorEastAsia"/>
          <w:szCs w:val="21"/>
        </w:rPr>
        <w:t>）本基金持有的同一(指同一信用级别)资产支持证券的比例，不得超过该资产支持证券规模的10％；</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（1</w:t>
      </w:r>
      <w:r w:rsidRPr="008644BE">
        <w:rPr>
          <w:rStyle w:val="da"/>
          <w:rFonts w:asciiTheme="minorEastAsia" w:eastAsiaTheme="minorEastAsia" w:hAnsiTheme="minorEastAsia" w:hint="eastAsia"/>
          <w:szCs w:val="21"/>
        </w:rPr>
        <w:t>1</w:t>
      </w:r>
      <w:r w:rsidRPr="008644BE">
        <w:rPr>
          <w:rStyle w:val="da"/>
          <w:rFonts w:asciiTheme="minorEastAsia" w:eastAsiaTheme="minorEastAsia" w:hAnsiTheme="minorEastAsia"/>
          <w:szCs w:val="21"/>
        </w:rPr>
        <w:t>）本基金管理人管理的全部基金投资于同一原始权益人的各类资产支持证券，不得超过其各类资产支持证券合计规模的10％；</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（1</w:t>
      </w:r>
      <w:r w:rsidRPr="008644BE">
        <w:rPr>
          <w:rStyle w:val="da"/>
          <w:rFonts w:asciiTheme="minorEastAsia" w:eastAsiaTheme="minorEastAsia" w:hAnsiTheme="minorEastAsia" w:hint="eastAsia"/>
          <w:szCs w:val="21"/>
        </w:rPr>
        <w:t>2</w:t>
      </w:r>
      <w:r w:rsidRPr="008644BE">
        <w:rPr>
          <w:rStyle w:val="da"/>
          <w:rFonts w:asciiTheme="minorEastAsia" w:eastAsiaTheme="minorEastAsia" w:hAnsiTheme="minorEastAsia"/>
          <w:szCs w:val="21"/>
        </w:rPr>
        <w:t>）本基金应投资于信用级别评级为BBB以上(含BBB)的资产支持证券。基金持有资产支持证券期间，如果其信用等级下降、不再符合投资标准，应在评级报告发布之日起3个月内予以全部卖出；</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lastRenderedPageBreak/>
        <w:t>（1</w:t>
      </w:r>
      <w:r w:rsidRPr="008644BE">
        <w:rPr>
          <w:rStyle w:val="da"/>
          <w:rFonts w:asciiTheme="minorEastAsia" w:eastAsiaTheme="minorEastAsia" w:hAnsiTheme="minorEastAsia" w:hint="eastAsia"/>
          <w:szCs w:val="21"/>
        </w:rPr>
        <w:t>3</w:t>
      </w:r>
      <w:r w:rsidRPr="008644BE">
        <w:rPr>
          <w:rStyle w:val="da"/>
          <w:rFonts w:asciiTheme="minorEastAsia" w:eastAsiaTheme="minorEastAsia" w:hAnsiTheme="minorEastAsia"/>
          <w:szCs w:val="21"/>
        </w:rPr>
        <w:t>）基金财产参与股票发行申购，本基金所申报的金额不超过本基金的总资产，本基金所申报的股票数量不超过拟发行股票公司本次发行股票的总量；</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（1</w:t>
      </w:r>
      <w:r w:rsidRPr="008644BE">
        <w:rPr>
          <w:rStyle w:val="da"/>
          <w:rFonts w:asciiTheme="minorEastAsia" w:eastAsiaTheme="minorEastAsia" w:hAnsiTheme="minorEastAsia" w:hint="eastAsia"/>
          <w:szCs w:val="21"/>
        </w:rPr>
        <w:t>4</w:t>
      </w:r>
      <w:r w:rsidRPr="008644BE">
        <w:rPr>
          <w:rStyle w:val="da"/>
          <w:rFonts w:asciiTheme="minorEastAsia" w:eastAsiaTheme="minorEastAsia" w:hAnsiTheme="minorEastAsia"/>
          <w:szCs w:val="21"/>
        </w:rPr>
        <w:t>）本基金进入全国银行间同业市场进行债券回购的资金余额不得超过基金资产净值的40%；</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（1</w:t>
      </w:r>
      <w:r w:rsidRPr="008644BE">
        <w:rPr>
          <w:rStyle w:val="da"/>
          <w:rFonts w:asciiTheme="minorEastAsia" w:eastAsiaTheme="minorEastAsia" w:hAnsiTheme="minorEastAsia" w:hint="eastAsia"/>
          <w:szCs w:val="21"/>
        </w:rPr>
        <w:t>5</w:t>
      </w:r>
      <w:r w:rsidRPr="008644BE">
        <w:rPr>
          <w:rStyle w:val="da"/>
          <w:rFonts w:asciiTheme="minorEastAsia" w:eastAsiaTheme="minorEastAsia" w:hAnsiTheme="minorEastAsia"/>
          <w:szCs w:val="21"/>
        </w:rPr>
        <w:t>）</w:t>
      </w:r>
      <w:r w:rsidRPr="008644BE">
        <w:rPr>
          <w:rStyle w:val="da"/>
          <w:rFonts w:asciiTheme="minorEastAsia" w:eastAsiaTheme="minorEastAsia" w:hAnsiTheme="minorEastAsia" w:hint="eastAsia"/>
          <w:szCs w:val="21"/>
        </w:rPr>
        <w:t>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基金所持有的股票市值和买入、卖出股指期货合约价值，合计（轧差计算）占基金资产的比例为0—95%；在任何交易日内交易（不包括平仓）的股指期货合约的成交金额不得超过上一交易日基金资产净值的20％；每个交易日日终在扣除股指期货合约需缴纳的交易保证金后，应当保持不低于基金资产净值5%的现金或到期日在一年以内的政府债券；</w:t>
      </w:r>
    </w:p>
    <w:p w:rsidR="00B65844" w:rsidRPr="008644BE" w:rsidRDefault="00B65844"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（16）本基金基金总资产不得超过基金净资产的140%；</w:t>
      </w:r>
    </w:p>
    <w:p w:rsidR="00AE2A66" w:rsidRPr="008644BE" w:rsidRDefault="00C22BCD" w:rsidP="00B6083E">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17</w:t>
      </w:r>
      <w:r w:rsidRPr="008644BE">
        <w:rPr>
          <w:rStyle w:val="da"/>
          <w:rFonts w:asciiTheme="minorEastAsia" w:eastAsiaTheme="minorEastAsia" w:hAnsiTheme="minorEastAsia" w:hint="eastAsia"/>
          <w:szCs w:val="21"/>
        </w:rPr>
        <w:t>）本基金管理人管理的全部开放式基金持有一家上市公司发行的可流通股票，不得超过该上市公司可流通股票的</w:t>
      </w:r>
      <w:r w:rsidRPr="008644BE">
        <w:rPr>
          <w:rStyle w:val="da"/>
          <w:rFonts w:asciiTheme="minorEastAsia" w:eastAsiaTheme="minorEastAsia" w:hAnsiTheme="minorEastAsia"/>
          <w:szCs w:val="21"/>
        </w:rPr>
        <w:t>15%</w:t>
      </w:r>
      <w:r w:rsidRPr="008644BE">
        <w:rPr>
          <w:rStyle w:val="da"/>
          <w:rFonts w:asciiTheme="minorEastAsia" w:eastAsiaTheme="minorEastAsia" w:hAnsiTheme="minorEastAsia" w:hint="eastAsia"/>
          <w:szCs w:val="21"/>
        </w:rPr>
        <w:t>；本基金管理人管理的全部投资组合持有一家上市公司发行的可流通股票，不得超过该上市公司可流通股票的</w:t>
      </w:r>
      <w:r w:rsidRPr="008644BE">
        <w:rPr>
          <w:rStyle w:val="da"/>
          <w:rFonts w:asciiTheme="minorEastAsia" w:eastAsiaTheme="minorEastAsia" w:hAnsiTheme="minorEastAsia"/>
          <w:szCs w:val="21"/>
        </w:rPr>
        <w:t>30%</w:t>
      </w:r>
      <w:r w:rsidRPr="008644BE">
        <w:rPr>
          <w:rStyle w:val="da"/>
          <w:rFonts w:asciiTheme="minorEastAsia" w:eastAsiaTheme="minorEastAsia" w:hAnsiTheme="minorEastAsia" w:hint="eastAsia"/>
          <w:szCs w:val="21"/>
        </w:rPr>
        <w:t>。</w:t>
      </w:r>
    </w:p>
    <w:p w:rsidR="00AE2A66" w:rsidRPr="008644BE" w:rsidRDefault="00C22BCD" w:rsidP="00B6083E">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18</w:t>
      </w:r>
      <w:r w:rsidRPr="008644BE">
        <w:rPr>
          <w:rStyle w:val="da"/>
          <w:rFonts w:asciiTheme="minorEastAsia" w:eastAsiaTheme="minorEastAsia" w:hAnsiTheme="minorEastAsia" w:hint="eastAsia"/>
          <w:szCs w:val="21"/>
        </w:rPr>
        <w:t>）本基金主动投资于流动性受限资产的市值合计不得超过该基金资产净值的</w:t>
      </w:r>
      <w:r w:rsidRPr="008644BE">
        <w:rPr>
          <w:rStyle w:val="da"/>
          <w:rFonts w:asciiTheme="minorEastAsia" w:eastAsiaTheme="minorEastAsia" w:hAnsiTheme="minorEastAsia"/>
          <w:szCs w:val="21"/>
        </w:rPr>
        <w:t>15%</w:t>
      </w:r>
      <w:r w:rsidRPr="008644BE">
        <w:rPr>
          <w:rStyle w:val="da"/>
          <w:rFonts w:asciiTheme="minorEastAsia" w:eastAsiaTheme="minorEastAsia" w:hAnsiTheme="minorEastAsia" w:hint="eastAsia"/>
          <w:szCs w:val="21"/>
        </w:rPr>
        <w:t>。</w:t>
      </w:r>
    </w:p>
    <w:p w:rsidR="00AE2A66" w:rsidRPr="008644BE" w:rsidRDefault="00C22BCD" w:rsidP="00B6083E">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AE2A66" w:rsidRPr="008644BE" w:rsidRDefault="00C22BCD" w:rsidP="00B6083E">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19</w:t>
      </w:r>
      <w:r w:rsidRPr="008644BE">
        <w:rPr>
          <w:rStyle w:val="da"/>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AE2A66" w:rsidRPr="008644BE" w:rsidRDefault="00C22BCD" w:rsidP="00B6083E">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20</w:t>
      </w:r>
      <w:r w:rsidRPr="008644BE">
        <w:rPr>
          <w:rStyle w:val="da"/>
          <w:rFonts w:asciiTheme="minorEastAsia" w:eastAsiaTheme="minorEastAsia" w:hAnsiTheme="minorEastAsia" w:hint="eastAsia"/>
          <w:szCs w:val="21"/>
        </w:rPr>
        <w:t>）</w:t>
      </w:r>
      <w:r w:rsidR="00E01175" w:rsidRPr="008644BE">
        <w:rPr>
          <w:rStyle w:val="da"/>
          <w:rFonts w:asciiTheme="minorEastAsia" w:eastAsiaTheme="minorEastAsia" w:hAnsiTheme="minorEastAsia" w:hint="eastAsia"/>
          <w:szCs w:val="21"/>
        </w:rPr>
        <w:t>法律法规及中国证监会规定的和《基金合同》约定的其他投资限制。</w:t>
      </w:r>
    </w:p>
    <w:p w:rsidR="00E01175" w:rsidRPr="008644BE" w:rsidRDefault="00C22BCD" w:rsidP="00B6083E">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除上述（</w:t>
      </w:r>
      <w:r w:rsidRPr="008644BE">
        <w:rPr>
          <w:rStyle w:val="da"/>
          <w:rFonts w:asciiTheme="minorEastAsia" w:eastAsiaTheme="minorEastAsia" w:hAnsiTheme="minorEastAsia"/>
          <w:szCs w:val="21"/>
        </w:rPr>
        <w:t>2</w:t>
      </w: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12</w:t>
      </w: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13</w:t>
      </w: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18</w:t>
      </w: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19</w:t>
      </w:r>
      <w:r w:rsidRPr="008644BE">
        <w:rPr>
          <w:rStyle w:val="da"/>
          <w:rFonts w:asciiTheme="minorEastAsia" w:eastAsiaTheme="minorEastAsia" w:hAnsiTheme="minorEastAsia" w:hint="eastAsia"/>
          <w:szCs w:val="21"/>
        </w:rPr>
        <w:t>）以外，</w:t>
      </w:r>
      <w:r w:rsidR="00E01175" w:rsidRPr="008644BE">
        <w:rPr>
          <w:rStyle w:val="da"/>
          <w:rFonts w:asciiTheme="minorEastAsia" w:eastAsiaTheme="minorEastAsia" w:hAnsiTheme="minorEastAsia"/>
          <w:szCs w:val="21"/>
        </w:rPr>
        <w:t>因证券市场波动、</w:t>
      </w:r>
      <w:r w:rsidR="00E01175" w:rsidRPr="008644BE">
        <w:rPr>
          <w:rStyle w:val="da"/>
          <w:rFonts w:asciiTheme="minorEastAsia" w:eastAsiaTheme="minorEastAsia" w:hAnsiTheme="minorEastAsia" w:hint="eastAsia"/>
          <w:szCs w:val="21"/>
        </w:rPr>
        <w:t>证券发行人</w:t>
      </w:r>
      <w:r w:rsidR="00E01175" w:rsidRPr="008644BE">
        <w:rPr>
          <w:rStyle w:val="da"/>
          <w:rFonts w:asciiTheme="minorEastAsia" w:eastAsiaTheme="minorEastAsia" w:hAnsiTheme="minorEastAsia"/>
          <w:szCs w:val="21"/>
        </w:rPr>
        <w:t>合并、基金规模变动等基金管理人之外的因素致使基金投资比例不符合上述规定投资比例的，基金管理人应当在10个交易日内进行调整。</w:t>
      </w:r>
    </w:p>
    <w:p w:rsidR="00E01175" w:rsidRPr="008644BE" w:rsidRDefault="00E01175"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基金管理人应当自基金合同生效之日起</w:t>
      </w:r>
      <w:r w:rsidRPr="008644BE">
        <w:rPr>
          <w:rStyle w:val="da"/>
          <w:rFonts w:asciiTheme="minorEastAsia" w:eastAsiaTheme="minorEastAsia" w:hAnsiTheme="minorEastAsia" w:hint="eastAsia"/>
          <w:szCs w:val="21"/>
        </w:rPr>
        <w:t>6</w:t>
      </w:r>
      <w:r w:rsidRPr="008644BE">
        <w:rPr>
          <w:rStyle w:val="da"/>
          <w:rFonts w:asciiTheme="minorEastAsia" w:eastAsiaTheme="minorEastAsia" w:hAnsiTheme="minorEastAsia"/>
          <w:szCs w:val="21"/>
        </w:rPr>
        <w:t>个月内使基金的投资组合比例符合基金合同的有关约定。基金托管人对基金的投资的监督与检查自基金合同生效之日起开始。</w:t>
      </w:r>
    </w:p>
    <w:p w:rsidR="003F1E3F" w:rsidRPr="008644BE" w:rsidRDefault="003F1E3F" w:rsidP="00936084">
      <w:pPr>
        <w:snapToGrid w:val="0"/>
        <w:spacing w:line="360" w:lineRule="auto"/>
        <w:ind w:firstLineChars="200" w:firstLine="420"/>
        <w:rPr>
          <w:rStyle w:val="da"/>
          <w:rFonts w:asciiTheme="minorEastAsia" w:eastAsiaTheme="minorEastAsia" w:hAnsiTheme="minorEastAsia"/>
          <w:szCs w:val="21"/>
        </w:rPr>
      </w:pPr>
      <w:bookmarkStart w:id="79" w:name="_Toc332373535"/>
      <w:r w:rsidRPr="008644BE">
        <w:rPr>
          <w:rStyle w:val="da"/>
          <w:rFonts w:asciiTheme="minorEastAsia" w:eastAsiaTheme="minorEastAsia" w:hAnsiTheme="minorEastAsia" w:hint="eastAsia"/>
          <w:szCs w:val="21"/>
        </w:rPr>
        <w:t>3、</w:t>
      </w:r>
      <w:r w:rsidR="00E437B4" w:rsidRPr="008644BE">
        <w:rPr>
          <w:rStyle w:val="da"/>
          <w:rFonts w:asciiTheme="minorEastAsia" w:eastAsiaTheme="minorEastAsia" w:hAnsiTheme="minorEastAsia" w:hint="eastAsia"/>
          <w:szCs w:val="21"/>
        </w:rPr>
        <w:t>法律法规或监管部门取消上述组合限制或禁止行为规定，本基金可不受相关限制。法律法规或监管部门对上述组合限制或禁止行为规定进行变更的，本基金以变更后的规定为准。经与基金托管人协商一致，基金管理人可依据法律法规或监管部门规定直接对基金合同进行变更，该变更无须召开基金份额持有人大会审议。</w:t>
      </w:r>
    </w:p>
    <w:p w:rsidR="001634D6" w:rsidRPr="008644BE" w:rsidRDefault="002E1C38"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00DA2FD2" w:rsidRPr="008644BE">
        <w:rPr>
          <w:rStyle w:val="da"/>
          <w:rFonts w:asciiTheme="minorEastAsia" w:eastAsiaTheme="minorEastAsia" w:hAnsiTheme="minorEastAsia" w:hint="eastAsia"/>
          <w:szCs w:val="21"/>
        </w:rPr>
        <w:t>七</w:t>
      </w:r>
      <w:r w:rsidRPr="008644BE">
        <w:rPr>
          <w:rStyle w:val="da"/>
          <w:rFonts w:asciiTheme="minorEastAsia" w:eastAsiaTheme="minorEastAsia" w:hAnsiTheme="minorEastAsia" w:hint="eastAsia"/>
          <w:szCs w:val="21"/>
        </w:rPr>
        <w:t>）</w:t>
      </w:r>
      <w:r w:rsidR="001634D6" w:rsidRPr="008644BE">
        <w:rPr>
          <w:rStyle w:val="da"/>
          <w:rFonts w:asciiTheme="minorEastAsia" w:eastAsiaTheme="minorEastAsia" w:hAnsiTheme="minorEastAsia" w:hint="eastAsia"/>
          <w:szCs w:val="21"/>
        </w:rPr>
        <w:t>基金的融资融券</w:t>
      </w:r>
    </w:p>
    <w:p w:rsidR="00BA4B87" w:rsidRPr="008644BE" w:rsidRDefault="003F1E3F" w:rsidP="00936084">
      <w:pPr>
        <w:snapToGrid w:val="0"/>
        <w:spacing w:line="360" w:lineRule="auto"/>
        <w:ind w:firstLineChars="200" w:firstLine="420"/>
        <w:rPr>
          <w:rFonts w:asciiTheme="minorEastAsia" w:eastAsiaTheme="minorEastAsia" w:hAnsiTheme="minorEastAsia"/>
          <w:szCs w:val="21"/>
        </w:rPr>
      </w:pPr>
      <w:r w:rsidRPr="008644BE">
        <w:rPr>
          <w:rStyle w:val="da"/>
          <w:rFonts w:asciiTheme="minorEastAsia" w:eastAsiaTheme="minorEastAsia" w:hAnsiTheme="minorEastAsia" w:hint="eastAsia"/>
          <w:szCs w:val="21"/>
        </w:rPr>
        <w:t>本基金可以根据届时有效的有关法律法规和政策的规定进行融资融券。</w:t>
      </w:r>
      <w:bookmarkEnd w:id="79"/>
    </w:p>
    <w:p w:rsidR="00BA4B87" w:rsidRPr="008644BE" w:rsidRDefault="002E1C38" w:rsidP="00936084">
      <w:pPr>
        <w:snapToGrid w:val="0"/>
        <w:spacing w:line="360" w:lineRule="auto"/>
        <w:ind w:firstLineChars="200" w:firstLine="420"/>
        <w:rPr>
          <w:rStyle w:val="da"/>
          <w:rFonts w:asciiTheme="minorEastAsia" w:eastAsiaTheme="minorEastAsia" w:hAnsiTheme="minorEastAsia"/>
          <w:szCs w:val="21"/>
        </w:rPr>
      </w:pPr>
      <w:bookmarkStart w:id="80" w:name="_Toc332373536"/>
      <w:r w:rsidRPr="008644BE">
        <w:rPr>
          <w:rStyle w:val="da"/>
          <w:rFonts w:asciiTheme="minorEastAsia" w:eastAsiaTheme="minorEastAsia" w:hAnsiTheme="minorEastAsia" w:hint="eastAsia"/>
          <w:szCs w:val="21"/>
        </w:rPr>
        <w:lastRenderedPageBreak/>
        <w:t>（</w:t>
      </w:r>
      <w:r w:rsidR="00DA2FD2" w:rsidRPr="008644BE">
        <w:rPr>
          <w:rStyle w:val="da"/>
          <w:rFonts w:asciiTheme="minorEastAsia" w:eastAsiaTheme="minorEastAsia" w:hAnsiTheme="minorEastAsia" w:hint="eastAsia"/>
          <w:szCs w:val="21"/>
        </w:rPr>
        <w:t>八</w:t>
      </w:r>
      <w:bookmarkStart w:id="81" w:name="_Toc332373537"/>
      <w:bookmarkEnd w:id="80"/>
      <w:r w:rsidRPr="008644BE">
        <w:rPr>
          <w:rStyle w:val="da"/>
          <w:rFonts w:asciiTheme="minorEastAsia" w:eastAsiaTheme="minorEastAsia" w:hAnsiTheme="minorEastAsia" w:hint="eastAsia"/>
          <w:szCs w:val="21"/>
        </w:rPr>
        <w:t>）</w:t>
      </w:r>
      <w:r w:rsidR="006277B4" w:rsidRPr="008644BE">
        <w:rPr>
          <w:rStyle w:val="da"/>
          <w:rFonts w:asciiTheme="minorEastAsia" w:eastAsiaTheme="minorEastAsia" w:hAnsiTheme="minorEastAsia"/>
          <w:szCs w:val="21"/>
        </w:rPr>
        <w:t>基金管理人代表基金行使所投资证券产生权利的处理原则及方法</w:t>
      </w:r>
    </w:p>
    <w:bookmarkEnd w:id="81"/>
    <w:p w:rsidR="006277B4" w:rsidRPr="008644BE" w:rsidRDefault="006277B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1、有利于基金资产的安全与增值；</w:t>
      </w:r>
    </w:p>
    <w:p w:rsidR="00BA4B87" w:rsidRPr="008644BE" w:rsidRDefault="006277B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2、基金管理人按照国家有关规定代表基金独立行使债权人</w:t>
      </w:r>
      <w:r w:rsidR="003F1E3F" w:rsidRPr="008644BE">
        <w:rPr>
          <w:rFonts w:asciiTheme="minorEastAsia" w:eastAsiaTheme="minorEastAsia" w:hAnsiTheme="minorEastAsia" w:hint="eastAsia"/>
          <w:bCs/>
          <w:szCs w:val="21"/>
        </w:rPr>
        <w:t>或股东</w:t>
      </w:r>
      <w:r w:rsidRPr="008644BE">
        <w:rPr>
          <w:rFonts w:asciiTheme="minorEastAsia" w:eastAsiaTheme="minorEastAsia" w:hAnsiTheme="minorEastAsia" w:hint="eastAsia"/>
          <w:bCs/>
          <w:szCs w:val="21"/>
        </w:rPr>
        <w:t>权利，保护基金份额持有人的利益。</w:t>
      </w:r>
    </w:p>
    <w:p w:rsidR="003F1E3F" w:rsidRPr="008644BE" w:rsidRDefault="003F1E3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w:t>
      </w:r>
      <w:r w:rsidR="009242B7" w:rsidRPr="008644BE">
        <w:rPr>
          <w:rFonts w:asciiTheme="minorEastAsia" w:eastAsiaTheme="minorEastAsia" w:hAnsiTheme="minorEastAsia" w:hint="eastAsia"/>
          <w:szCs w:val="21"/>
        </w:rPr>
        <w:t>、</w:t>
      </w:r>
      <w:r w:rsidRPr="008644BE">
        <w:rPr>
          <w:rFonts w:asciiTheme="minorEastAsia" w:eastAsiaTheme="minorEastAsia" w:hAnsiTheme="minorEastAsia" w:hint="eastAsia"/>
          <w:szCs w:val="21"/>
        </w:rPr>
        <w:t>不通过关联交易为自身、雇员、授权代理人或任何存在利害关系的第三人牟取任何不当利益。</w:t>
      </w:r>
    </w:p>
    <w:p w:rsidR="004C1D62" w:rsidRPr="008644BE" w:rsidRDefault="004C1D62" w:rsidP="00936084">
      <w:pPr>
        <w:snapToGrid w:val="0"/>
        <w:spacing w:line="360" w:lineRule="auto"/>
        <w:ind w:firstLineChars="200" w:firstLine="420"/>
        <w:rPr>
          <w:rFonts w:asciiTheme="minorEastAsia" w:eastAsiaTheme="minorEastAsia" w:hAnsiTheme="minorEastAsia"/>
          <w:bCs/>
          <w:szCs w:val="21"/>
        </w:rPr>
      </w:pPr>
      <w:bookmarkStart w:id="82" w:name="_Toc390433598"/>
      <w:r w:rsidRPr="008644BE">
        <w:rPr>
          <w:rFonts w:asciiTheme="minorEastAsia" w:eastAsiaTheme="minorEastAsia" w:hAnsiTheme="minorEastAsia"/>
          <w:bCs/>
          <w:szCs w:val="21"/>
        </w:rPr>
        <w:t>（</w:t>
      </w:r>
      <w:r w:rsidRPr="008644BE">
        <w:rPr>
          <w:rFonts w:asciiTheme="minorEastAsia" w:eastAsiaTheme="minorEastAsia" w:hAnsiTheme="minorEastAsia" w:hint="eastAsia"/>
          <w:bCs/>
          <w:szCs w:val="21"/>
        </w:rPr>
        <w:t>九</w:t>
      </w:r>
      <w:r w:rsidRPr="008644BE">
        <w:rPr>
          <w:rFonts w:asciiTheme="minorEastAsia" w:eastAsiaTheme="minorEastAsia" w:hAnsiTheme="minorEastAsia"/>
          <w:bCs/>
          <w:szCs w:val="21"/>
        </w:rPr>
        <w:t>）</w:t>
      </w:r>
      <w:r w:rsidRPr="008644BE">
        <w:rPr>
          <w:rFonts w:asciiTheme="minorEastAsia" w:eastAsiaTheme="minorEastAsia" w:hAnsiTheme="minorEastAsia" w:hint="eastAsia"/>
          <w:bCs/>
          <w:szCs w:val="21"/>
        </w:rPr>
        <w:t>基金投资组合报告（未经审计）</w:t>
      </w:r>
      <w:bookmarkEnd w:id="82"/>
    </w:p>
    <w:p w:rsidR="004C1D62" w:rsidRPr="008644BE" w:rsidRDefault="004C1D6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4C1D62" w:rsidRPr="008644BE" w:rsidRDefault="004C1D6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本基金的托管人</w:t>
      </w:r>
      <w:r w:rsidRPr="008644BE">
        <w:rPr>
          <w:rStyle w:val="da"/>
          <w:rFonts w:asciiTheme="minorEastAsia" w:eastAsiaTheme="minorEastAsia" w:hAnsiTheme="minorEastAsia" w:hint="eastAsia"/>
        </w:rPr>
        <w:t>中国建设银行股份有限公司</w:t>
      </w:r>
      <w:r w:rsidRPr="008644BE">
        <w:rPr>
          <w:rFonts w:asciiTheme="minorEastAsia" w:eastAsiaTheme="minorEastAsia" w:hAnsiTheme="minorEastAsia" w:hint="eastAsia"/>
          <w:szCs w:val="21"/>
        </w:rPr>
        <w:t>根据本基金合同的规定，复核了本报告的内容，保证复核内容不存在虚假记载、误导性陈述或者重大遗漏。</w:t>
      </w:r>
    </w:p>
    <w:p w:rsidR="002B02E2" w:rsidRPr="008644BE" w:rsidRDefault="003411CA" w:rsidP="002B02E2">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rPr>
        <w:t>本投资组合报告有关数据的期间为2020年4月1日至2020年6月30日</w:t>
      </w:r>
      <w:r w:rsidR="00C16F93" w:rsidRPr="008644BE">
        <w:rPr>
          <w:rFonts w:asciiTheme="minorEastAsia" w:eastAsiaTheme="minorEastAsia" w:hAnsiTheme="minorEastAsia" w:hint="eastAsia"/>
        </w:rPr>
        <w:t>。</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1、报告期末基金资产组合情况</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3"/>
        <w:gridCol w:w="2666"/>
        <w:gridCol w:w="1661"/>
      </w:tblGrid>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占基金总资产的比例（%）</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left"/>
              <w:rPr>
                <w:rFonts w:asciiTheme="minorEastAsia" w:eastAsiaTheme="minorEastAsia" w:hAnsiTheme="minorEastAsia"/>
                <w:kern w:val="0"/>
              </w:rPr>
            </w:pPr>
            <w:r w:rsidRPr="008644BE">
              <w:rPr>
                <w:rFonts w:asciiTheme="minorEastAsia" w:eastAsiaTheme="minorEastAsia" w:hAnsiTheme="minorEastAsia" w:hint="eastAsia"/>
                <w:kern w:val="0"/>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1,656,681,452.95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89.31</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411CA" w:rsidRPr="008644BE" w:rsidRDefault="003411CA">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left"/>
              <w:rPr>
                <w:rFonts w:asciiTheme="minorEastAsia" w:eastAsiaTheme="minorEastAsia" w:hAnsiTheme="minorEastAsia"/>
                <w:kern w:val="0"/>
              </w:rPr>
            </w:pPr>
            <w:r w:rsidRPr="008644BE">
              <w:rPr>
                <w:rFonts w:asciiTheme="minorEastAsia" w:eastAsiaTheme="minorEastAsia" w:hAnsiTheme="minorEastAsia" w:hint="eastAsia"/>
                <w:kern w:val="0"/>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1,656,681,452.95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89.31</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left"/>
              <w:rPr>
                <w:rFonts w:asciiTheme="minorEastAsia" w:eastAsiaTheme="minorEastAsia" w:hAnsiTheme="minorEastAsia"/>
                <w:kern w:val="0"/>
              </w:rPr>
            </w:pPr>
            <w:r w:rsidRPr="008644BE">
              <w:rPr>
                <w:rFonts w:asciiTheme="minorEastAsia" w:eastAsiaTheme="minorEastAsia" w:hAnsiTheme="minorEastAsia" w:hint="eastAsia"/>
                <w:kern w:val="0"/>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411CA" w:rsidRPr="008644BE" w:rsidRDefault="003411CA">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left"/>
              <w:rPr>
                <w:rFonts w:asciiTheme="minorEastAsia" w:eastAsiaTheme="minorEastAsia" w:hAnsiTheme="minorEastAsia"/>
                <w:kern w:val="0"/>
              </w:rPr>
            </w:pPr>
            <w:r w:rsidRPr="008644BE">
              <w:rPr>
                <w:rFonts w:asciiTheme="minorEastAsia" w:eastAsiaTheme="minorEastAsia" w:hAnsiTheme="minorEastAsia" w:hint="eastAsia"/>
                <w:kern w:val="0"/>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411CA" w:rsidRPr="008644BE" w:rsidRDefault="003411CA">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7"/>
              <w:jc w:val="left"/>
              <w:rPr>
                <w:rFonts w:asciiTheme="minorEastAsia" w:eastAsiaTheme="minorEastAsia" w:hAnsiTheme="minorEastAsia"/>
                <w:kern w:val="0"/>
              </w:rPr>
            </w:pPr>
            <w:r w:rsidRPr="008644BE">
              <w:rPr>
                <w:rFonts w:asciiTheme="minorEastAsia" w:eastAsiaTheme="minorEastAsia" w:hAnsiTheme="minorEastAsia" w:hint="eastAsia"/>
                <w:kern w:val="0"/>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3</w:t>
            </w:r>
          </w:p>
        </w:tc>
        <w:tc>
          <w:tcPr>
            <w:tcW w:w="3357" w:type="dxa"/>
            <w:tcBorders>
              <w:top w:val="single" w:sz="4" w:space="0" w:color="auto"/>
              <w:left w:val="single" w:sz="4" w:space="0" w:color="auto"/>
              <w:bottom w:val="single" w:sz="4" w:space="0" w:color="auto"/>
              <w:right w:val="single" w:sz="4" w:space="0" w:color="auto"/>
            </w:tcBorders>
            <w:hideMark/>
          </w:tcPr>
          <w:p w:rsidR="003411CA" w:rsidRPr="008644BE" w:rsidRDefault="003411CA">
            <w:pPr>
              <w:spacing w:before="29" w:line="300" w:lineRule="auto"/>
              <w:ind w:leftChars="50" w:left="105"/>
              <w:rPr>
                <w:rFonts w:asciiTheme="minorEastAsia" w:eastAsiaTheme="minorEastAsia" w:hAnsiTheme="minorEastAsia"/>
                <w:kern w:val="0"/>
              </w:rPr>
            </w:pPr>
            <w:r w:rsidRPr="008644BE">
              <w:rPr>
                <w:rFonts w:asciiTheme="minorEastAsia" w:eastAsiaTheme="minorEastAsia" w:hAnsiTheme="minorEastAsia" w:hint="eastAsia"/>
                <w:kern w:val="0"/>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left"/>
              <w:rPr>
                <w:rFonts w:asciiTheme="minorEastAsia" w:eastAsiaTheme="minorEastAsia" w:hAnsiTheme="minorEastAsia"/>
                <w:kern w:val="0"/>
              </w:rPr>
            </w:pPr>
            <w:r w:rsidRPr="008644BE">
              <w:rPr>
                <w:rFonts w:asciiTheme="minorEastAsia" w:eastAsiaTheme="minorEastAsia" w:hAnsiTheme="minorEastAsia" w:hint="eastAsia"/>
                <w:kern w:val="0"/>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left"/>
              <w:rPr>
                <w:rFonts w:asciiTheme="minorEastAsia" w:eastAsiaTheme="minorEastAsia" w:hAnsiTheme="minorEastAsia"/>
                <w:kern w:val="0"/>
              </w:rPr>
            </w:pPr>
            <w:r w:rsidRPr="008644BE">
              <w:rPr>
                <w:rFonts w:asciiTheme="minorEastAsia" w:eastAsiaTheme="minorEastAsia" w:hAnsiTheme="minorEastAsia" w:hint="eastAsia"/>
                <w:kern w:val="0"/>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411CA" w:rsidRPr="008644BE" w:rsidRDefault="003411CA">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left"/>
              <w:rPr>
                <w:rFonts w:asciiTheme="minorEastAsia" w:eastAsiaTheme="minorEastAsia" w:hAnsiTheme="minorEastAsia"/>
                <w:kern w:val="0"/>
              </w:rPr>
            </w:pPr>
            <w:r w:rsidRPr="008644BE">
              <w:rPr>
                <w:rFonts w:asciiTheme="minorEastAsia" w:eastAsiaTheme="minorEastAsia" w:hAnsiTheme="minorEastAsia" w:hint="eastAsia"/>
                <w:kern w:val="0"/>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left"/>
              <w:rPr>
                <w:rFonts w:asciiTheme="minorEastAsia" w:eastAsiaTheme="minorEastAsia" w:hAnsiTheme="minorEastAsia"/>
                <w:kern w:val="0"/>
              </w:rPr>
            </w:pPr>
            <w:r w:rsidRPr="008644BE">
              <w:rPr>
                <w:rFonts w:asciiTheme="minorEastAsia" w:eastAsiaTheme="minorEastAsia" w:hAnsiTheme="minorEastAsia" w:hint="eastAsia"/>
                <w:kern w:val="0"/>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166,777,302.65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right"/>
              <w:rPr>
                <w:rFonts w:asciiTheme="minorEastAsia" w:eastAsiaTheme="minorEastAsia" w:hAnsiTheme="minorEastAsia"/>
                <w:kern w:val="0"/>
              </w:rPr>
            </w:pPr>
            <w:r w:rsidRPr="008644BE">
              <w:rPr>
                <w:rFonts w:asciiTheme="minorEastAsia" w:eastAsiaTheme="minorEastAsia" w:hAnsiTheme="minorEastAsia" w:hint="eastAsia"/>
                <w:kern w:val="0"/>
              </w:rPr>
              <w:t>8.99</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left"/>
              <w:rPr>
                <w:rFonts w:asciiTheme="minorEastAsia" w:eastAsiaTheme="minorEastAsia" w:hAnsiTheme="minorEastAsia"/>
                <w:kern w:val="0"/>
              </w:rPr>
            </w:pPr>
            <w:r w:rsidRPr="008644BE">
              <w:rPr>
                <w:rFonts w:asciiTheme="minorEastAsia" w:eastAsiaTheme="minorEastAsia" w:hAnsiTheme="minorEastAsia" w:hint="eastAsia"/>
                <w:kern w:val="0"/>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31,607,966.56</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1.70</w:t>
            </w:r>
          </w:p>
        </w:tc>
      </w:tr>
      <w:tr w:rsidR="003411CA" w:rsidRPr="008644BE" w:rsidTr="003411C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left"/>
              <w:rPr>
                <w:rFonts w:asciiTheme="minorEastAsia" w:eastAsiaTheme="minorEastAsia" w:hAnsiTheme="minorEastAsia"/>
                <w:kern w:val="0"/>
              </w:rPr>
            </w:pPr>
            <w:r w:rsidRPr="008644BE">
              <w:rPr>
                <w:rFonts w:asciiTheme="minorEastAsia" w:eastAsiaTheme="minorEastAsia" w:hAnsiTheme="minorEastAsia" w:hint="eastAsia"/>
                <w:kern w:val="0"/>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1,855,066,722.16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100.00</w:t>
            </w:r>
          </w:p>
        </w:tc>
      </w:tr>
    </w:tbl>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2、报告期末按行业分类的股票投资组合</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（1）报告期末按行业分类的境内股票投资组合</w:t>
      </w:r>
    </w:p>
    <w:tbl>
      <w:tblPr>
        <w:tblW w:w="79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3222"/>
        <w:gridCol w:w="2705"/>
        <w:gridCol w:w="1420"/>
      </w:tblGrid>
      <w:tr w:rsidR="003411CA" w:rsidRPr="008644BE" w:rsidTr="003411CA">
        <w:trPr>
          <w:trHeight w:val="39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代码</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行业类别</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占基金资产净值比例（％）</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A</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农、林、牧、渔业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lastRenderedPageBreak/>
              <w:t>B</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采矿业</w:t>
            </w:r>
          </w:p>
        </w:tc>
        <w:tc>
          <w:tcPr>
            <w:tcW w:w="2977" w:type="dxa"/>
            <w:tcBorders>
              <w:top w:val="single" w:sz="4" w:space="0" w:color="000000"/>
              <w:left w:val="single" w:sz="4" w:space="0" w:color="000000"/>
              <w:bottom w:val="single" w:sz="4" w:space="0" w:color="000000"/>
              <w:right w:val="single" w:sz="4" w:space="0" w:color="000000"/>
            </w:tcBorders>
            <w:vAlign w:val="center"/>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p w:rsidR="003411CA" w:rsidRPr="008644BE" w:rsidRDefault="003411CA">
            <w:pPr>
              <w:spacing w:line="300" w:lineRule="auto"/>
              <w:jc w:val="righ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p w:rsidR="003411CA" w:rsidRPr="008644BE" w:rsidRDefault="003411CA">
            <w:pPr>
              <w:spacing w:line="300" w:lineRule="auto"/>
              <w:jc w:val="right"/>
              <w:rPr>
                <w:rFonts w:asciiTheme="minorEastAsia" w:eastAsiaTheme="minorEastAsia" w:hAnsiTheme="minorEastAsia"/>
                <w:kern w:val="0"/>
              </w:rPr>
            </w:pP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C</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制造业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1,382,018,398.69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76.48</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D</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电力、热力、燃气及水生产和供应业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66,887,817.99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3.70</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E</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建筑业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F</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批发和零售业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G</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交通运输、仓储和邮政业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5,593,327.12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0.31</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H</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住宿和餐饮业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I</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信息传输、软件和信息技术服务业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157,746,453.15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8.73</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J</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金融业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44,435,456.00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2.46</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K</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房地产业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L</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租赁和商务服务业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M</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科学研究和技术服务业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N</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水利、环境和公共设施管理业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O</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居民服务、修理和其他服务业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P</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教育</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Q</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卫生和社会工作</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R</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文化、体育和娱乐业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jc w:val="center"/>
              <w:rPr>
                <w:rFonts w:asciiTheme="minorEastAsia" w:eastAsiaTheme="minorEastAsia" w:hAnsiTheme="minorEastAsia"/>
                <w:kern w:val="0"/>
              </w:rPr>
            </w:pPr>
            <w:r w:rsidRPr="008644BE">
              <w:rPr>
                <w:rFonts w:asciiTheme="minorEastAsia" w:eastAsiaTheme="minorEastAsia" w:hAnsiTheme="minorEastAsia" w:hint="eastAsia"/>
                <w:kern w:val="0"/>
              </w:rPr>
              <w:t>S</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综合</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11CA" w:rsidRPr="008644BE" w:rsidRDefault="003411CA">
            <w:pPr>
              <w:adjustRightInd w:val="0"/>
              <w:snapToGrid w:val="0"/>
              <w:spacing w:line="300" w:lineRule="auto"/>
              <w:jc w:val="center"/>
              <w:rPr>
                <w:rFonts w:asciiTheme="minorEastAsia" w:eastAsiaTheme="minorEastAsia" w:hAnsiTheme="minorEastAsia"/>
                <w:kern w:val="0"/>
              </w:rPr>
            </w:pP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adjustRightInd w:val="0"/>
              <w:snapToGrid w:val="0"/>
              <w:spacing w:line="300" w:lineRule="auto"/>
              <w:rPr>
                <w:rFonts w:asciiTheme="minorEastAsia" w:eastAsiaTheme="minorEastAsia" w:hAnsiTheme="minorEastAsia"/>
                <w:kern w:val="0"/>
              </w:rPr>
            </w:pPr>
            <w:r w:rsidRPr="008644BE">
              <w:rPr>
                <w:rFonts w:asciiTheme="minorEastAsia" w:eastAsiaTheme="minorEastAsia" w:hAnsiTheme="minorEastAsia" w:hint="eastAsia"/>
                <w:kern w:val="0"/>
              </w:rPr>
              <w:t>合计</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1,656,681,452.95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411CA" w:rsidRPr="008644BE" w:rsidRDefault="003411CA">
            <w:pPr>
              <w:spacing w:line="300" w:lineRule="auto"/>
              <w:jc w:val="right"/>
              <w:rPr>
                <w:rFonts w:asciiTheme="minorEastAsia" w:eastAsiaTheme="minorEastAsia" w:hAnsiTheme="minorEastAsia"/>
                <w:kern w:val="0"/>
              </w:rPr>
            </w:pPr>
            <w:r w:rsidRPr="008644BE">
              <w:rPr>
                <w:rFonts w:asciiTheme="minorEastAsia" w:eastAsiaTheme="minorEastAsia" w:hAnsiTheme="minorEastAsia" w:hint="eastAsia"/>
                <w:kern w:val="0"/>
              </w:rPr>
              <w:t>91.69</w:t>
            </w:r>
          </w:p>
        </w:tc>
      </w:tr>
    </w:tbl>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3、报告期末按公允价值占基金资产净值比例大小排序的前十名股票投资明细</w:t>
      </w:r>
    </w:p>
    <w:tbl>
      <w:tblPr>
        <w:tblW w:w="7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4"/>
        <w:gridCol w:w="1164"/>
        <w:gridCol w:w="1291"/>
        <w:gridCol w:w="1543"/>
        <w:gridCol w:w="1796"/>
        <w:gridCol w:w="1417"/>
      </w:tblGrid>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cstheme="minorBidi"/>
                <w:kern w:val="0"/>
              </w:rPr>
            </w:pPr>
            <w:r w:rsidRPr="008644BE">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股票代码</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股票名称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数量（股）</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占基金资产净值比例（％）</w:t>
            </w:r>
          </w:p>
        </w:tc>
      </w:tr>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szCs w:val="21"/>
              </w:rPr>
            </w:pPr>
            <w:r w:rsidRPr="008644BE">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szCs w:val="22"/>
              </w:rPr>
            </w:pPr>
            <w:r w:rsidRPr="008644BE">
              <w:rPr>
                <w:rFonts w:asciiTheme="minorEastAsia" w:eastAsiaTheme="minorEastAsia" w:hAnsiTheme="minorEastAsia" w:hint="eastAsia"/>
                <w:kern w:val="0"/>
              </w:rPr>
              <w:t>603806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福斯特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3,465,657</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172,970,940.87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9.57</w:t>
            </w:r>
          </w:p>
        </w:tc>
      </w:tr>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000333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美的集团</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2,638,627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157,763,508.33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8.73</w:t>
            </w:r>
          </w:p>
        </w:tc>
      </w:tr>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002384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东山精密</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3,587,246</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107,438,017.70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5.95</w:t>
            </w:r>
          </w:p>
        </w:tc>
      </w:tr>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300628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亿联网络</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1,411,451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96,345,645.26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5.33</w:t>
            </w:r>
          </w:p>
        </w:tc>
      </w:tr>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002402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和而泰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5,526,515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89,584,808.15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4.96</w:t>
            </w:r>
          </w:p>
        </w:tc>
      </w:tr>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600486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扬农化工</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1,048,385</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86,491,762.50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4.79</w:t>
            </w:r>
          </w:p>
        </w:tc>
      </w:tr>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601636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旗滨集团</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14,041,953</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83,128,361.76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4.60</w:t>
            </w:r>
          </w:p>
        </w:tc>
      </w:tr>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002396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星网锐捷</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2,295,750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81,108,847.50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4.49</w:t>
            </w:r>
          </w:p>
        </w:tc>
      </w:tr>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lastRenderedPageBreak/>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300033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同花顺</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568,703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75,682,995.24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4.19</w:t>
            </w:r>
          </w:p>
        </w:tc>
      </w:tr>
      <w:tr w:rsidR="003411CA" w:rsidRPr="008644BE" w:rsidTr="003411CA">
        <w:tc>
          <w:tcPr>
            <w:tcW w:w="85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000100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center"/>
              <w:rPr>
                <w:rFonts w:asciiTheme="minorEastAsia" w:eastAsiaTheme="minorEastAsia" w:hAnsiTheme="minorEastAsia"/>
              </w:rPr>
            </w:pPr>
            <w:r w:rsidRPr="008644BE">
              <w:rPr>
                <w:rFonts w:asciiTheme="minorEastAsia" w:eastAsiaTheme="minorEastAsia" w:hAnsiTheme="minorEastAsia" w:hint="eastAsia"/>
                <w:kern w:val="0"/>
              </w:rPr>
              <w:t>TCL科技</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11,895,000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73,749,000.00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spacing w:line="300" w:lineRule="auto"/>
              <w:jc w:val="right"/>
              <w:rPr>
                <w:rFonts w:asciiTheme="minorEastAsia" w:eastAsiaTheme="minorEastAsia" w:hAnsiTheme="minorEastAsia"/>
              </w:rPr>
            </w:pPr>
            <w:r w:rsidRPr="008644BE">
              <w:rPr>
                <w:rFonts w:asciiTheme="minorEastAsia" w:eastAsiaTheme="minorEastAsia" w:hAnsiTheme="minorEastAsia" w:hint="eastAsia"/>
                <w:kern w:val="0"/>
              </w:rPr>
              <w:t>4.08</w:t>
            </w:r>
          </w:p>
        </w:tc>
      </w:tr>
    </w:tbl>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4、报告期末按债券品种分类的债券投资组合</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本基金本报告期末未持有债券。</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5、报告期末按公允价值占基金资产净值比例大小排序的前五名债券投资明细</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本基金本报告期末未持有债券。</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6、报告期末按公允价值占基金资产净值比例大小排序的前十名资产支持证券投资明细</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本基金本报告期末未持有资产支持证券。</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7、报告期末按公允价值占基金资产净值比例大小排序的前五名贵金属投资明细</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本基金本报告期末未持有贵金属。</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8、报告期末按公允价值占基金资产净值比例大小排序的前五名权证投资明细</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本基金本报告期末未持有权证。</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9、报告期末本基金投资的股指期货交易情况说明</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本基金本报告期末未投资股指期货。</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10、报告期末本基金投资的国债期货交易情况说明</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本基金本报告期末未投资国债期货。</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11、投资组合报告附注</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（1）2019年9月26日，美国国际贸易委员会(ITC)根据美国Global</w:t>
      </w:r>
      <w:r w:rsidR="00C533F0" w:rsidRPr="008644BE">
        <w:rPr>
          <w:rFonts w:asciiTheme="minorEastAsia" w:eastAsiaTheme="minorEastAsia" w:hAnsiTheme="minorEastAsia"/>
        </w:rPr>
        <w:t xml:space="preserve"> </w:t>
      </w:r>
      <w:r w:rsidRPr="008644BE">
        <w:rPr>
          <w:rFonts w:asciiTheme="minorEastAsia" w:eastAsiaTheme="minorEastAsia" w:hAnsiTheme="minorEastAsia" w:hint="eastAsia"/>
        </w:rPr>
        <w:t>Foundries公司提出的申请，决定对包括TCL集团（现已更名为“TCL科技”）在内的多家公司提起337调查，指控包括该公司在内的一系列企业对美出口、在美进口和在美销售的相关产品侵犯其专利权。2019年10月29日，上述337调查的芯片制程工艺方与Global</w:t>
      </w:r>
      <w:r w:rsidR="00C533F0" w:rsidRPr="008644BE">
        <w:rPr>
          <w:rFonts w:asciiTheme="minorEastAsia" w:eastAsiaTheme="minorEastAsia" w:hAnsiTheme="minorEastAsia"/>
        </w:rPr>
        <w:t xml:space="preserve"> </w:t>
      </w:r>
      <w:r w:rsidRPr="008644BE">
        <w:rPr>
          <w:rFonts w:asciiTheme="minorEastAsia" w:eastAsiaTheme="minorEastAsia" w:hAnsiTheme="minorEastAsia" w:hint="eastAsia"/>
        </w:rPr>
        <w:t>Foundries公司联合宣布已就双方现有及未来十年将申请的半导体技术专利达成全球专利交互授权协议，并撤销双方之间及与各自客户相关的所有法律诉讼。</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本基金投资TCL科技的投资决策程序符合公司投资制度的规定。</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除TCL科技外，本基金投资的前十名证券的发行主体本期没有出现被监管部门立案调查，或在报告编制日前一年内受到公开谴责、处罚的情形。</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（2）本基金投资的前十名股票没有超出基金合同规定的备选股票库。</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7"/>
        <w:gridCol w:w="2298"/>
        <w:gridCol w:w="4535"/>
      </w:tblGrid>
      <w:tr w:rsidR="003411CA" w:rsidRPr="008644BE" w:rsidTr="003411CA">
        <w:tc>
          <w:tcPr>
            <w:tcW w:w="1235"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7"/>
              <w:jc w:val="center"/>
              <w:rPr>
                <w:rFonts w:asciiTheme="minorEastAsia" w:eastAsiaTheme="minorEastAsia" w:hAnsiTheme="minorEastAsia"/>
                <w:kern w:val="0"/>
              </w:rPr>
            </w:pPr>
            <w:r w:rsidRPr="008644BE">
              <w:rPr>
                <w:rFonts w:asciiTheme="minorEastAsia" w:eastAsiaTheme="minorEastAsia" w:hAnsiTheme="minorEastAsia" w:hint="eastAsia"/>
                <w:kern w:val="0"/>
              </w:rPr>
              <w:t>金额（元）</w:t>
            </w:r>
          </w:p>
        </w:tc>
      </w:tr>
      <w:tr w:rsidR="003411CA" w:rsidRPr="008644BE" w:rsidTr="003411CA">
        <w:tc>
          <w:tcPr>
            <w:tcW w:w="1235"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center"/>
              <w:rPr>
                <w:rFonts w:asciiTheme="minorEastAsia" w:eastAsiaTheme="minorEastAsia" w:hAnsiTheme="minorEastAsia"/>
                <w:kern w:val="0"/>
              </w:rPr>
            </w:pPr>
            <w:r w:rsidRPr="008644BE">
              <w:rPr>
                <w:rFonts w:asciiTheme="minorEastAsia" w:eastAsiaTheme="minorEastAsia" w:hAnsiTheme="minorEastAsia" w:hint="eastAsia"/>
                <w:kern w:val="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left"/>
              <w:rPr>
                <w:rFonts w:asciiTheme="minorEastAsia" w:eastAsiaTheme="minorEastAsia" w:hAnsiTheme="minorEastAsia"/>
                <w:kern w:val="0"/>
              </w:rPr>
            </w:pPr>
            <w:r w:rsidRPr="008644BE">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524,864.53</w:t>
            </w:r>
          </w:p>
        </w:tc>
      </w:tr>
      <w:tr w:rsidR="003411CA" w:rsidRPr="008644BE" w:rsidTr="003411CA">
        <w:tc>
          <w:tcPr>
            <w:tcW w:w="1235"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center"/>
              <w:rPr>
                <w:rFonts w:asciiTheme="minorEastAsia" w:eastAsiaTheme="minorEastAsia" w:hAnsiTheme="minorEastAsia"/>
                <w:kern w:val="0"/>
              </w:rPr>
            </w:pPr>
            <w:r w:rsidRPr="008644BE">
              <w:rPr>
                <w:rFonts w:asciiTheme="minorEastAsia" w:eastAsiaTheme="minorEastAsia" w:hAnsiTheme="minorEastAsia" w:hint="eastAsia"/>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left"/>
              <w:rPr>
                <w:rFonts w:asciiTheme="minorEastAsia" w:eastAsiaTheme="minorEastAsia" w:hAnsiTheme="minorEastAsia"/>
                <w:kern w:val="0"/>
              </w:rPr>
            </w:pPr>
            <w:r w:rsidRPr="008644BE">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29,312,267.98</w:t>
            </w:r>
          </w:p>
        </w:tc>
      </w:tr>
      <w:tr w:rsidR="003411CA" w:rsidRPr="008644BE" w:rsidTr="003411CA">
        <w:tc>
          <w:tcPr>
            <w:tcW w:w="1235"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center"/>
              <w:rPr>
                <w:rFonts w:asciiTheme="minorEastAsia" w:eastAsiaTheme="minorEastAsia" w:hAnsiTheme="minorEastAsia"/>
                <w:kern w:val="0"/>
              </w:rPr>
            </w:pPr>
            <w:r w:rsidRPr="008644BE">
              <w:rPr>
                <w:rFonts w:asciiTheme="minorEastAsia" w:eastAsiaTheme="minorEastAsia" w:hAnsiTheme="minorEastAsia" w:hint="eastAsia"/>
                <w:kern w:val="0"/>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left"/>
              <w:rPr>
                <w:rFonts w:asciiTheme="minorEastAsia" w:eastAsiaTheme="minorEastAsia" w:hAnsiTheme="minorEastAsia"/>
                <w:kern w:val="0"/>
              </w:rPr>
            </w:pPr>
            <w:r w:rsidRPr="008644BE">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c>
          <w:tcPr>
            <w:tcW w:w="1235"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center"/>
              <w:rPr>
                <w:rFonts w:asciiTheme="minorEastAsia" w:eastAsiaTheme="minorEastAsia" w:hAnsiTheme="minorEastAsia"/>
                <w:kern w:val="0"/>
              </w:rPr>
            </w:pPr>
            <w:r w:rsidRPr="008644BE">
              <w:rPr>
                <w:rFonts w:asciiTheme="minorEastAsia" w:eastAsiaTheme="minorEastAsia" w:hAnsiTheme="minorEastAsia" w:hint="eastAsia"/>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left"/>
              <w:rPr>
                <w:rFonts w:asciiTheme="minorEastAsia" w:eastAsiaTheme="minorEastAsia" w:hAnsiTheme="minorEastAsia"/>
                <w:kern w:val="0"/>
              </w:rPr>
            </w:pPr>
            <w:r w:rsidRPr="008644BE">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30,134.31</w:t>
            </w:r>
          </w:p>
        </w:tc>
      </w:tr>
      <w:tr w:rsidR="003411CA" w:rsidRPr="008644BE" w:rsidTr="003411CA">
        <w:tc>
          <w:tcPr>
            <w:tcW w:w="1235"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center"/>
              <w:rPr>
                <w:rFonts w:asciiTheme="minorEastAsia" w:eastAsiaTheme="minorEastAsia" w:hAnsiTheme="minorEastAsia"/>
                <w:kern w:val="0"/>
              </w:rPr>
            </w:pPr>
            <w:r w:rsidRPr="008644BE">
              <w:rPr>
                <w:rFonts w:asciiTheme="minorEastAsia" w:eastAsiaTheme="minorEastAsia" w:hAnsiTheme="minorEastAsia" w:hint="eastAsia"/>
                <w:kern w:val="0"/>
              </w:rPr>
              <w:lastRenderedPageBreak/>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left"/>
              <w:rPr>
                <w:rFonts w:asciiTheme="minorEastAsia" w:eastAsiaTheme="minorEastAsia" w:hAnsiTheme="minorEastAsia"/>
                <w:kern w:val="0"/>
              </w:rPr>
            </w:pPr>
            <w:r w:rsidRPr="008644BE">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1,740,699.74</w:t>
            </w:r>
          </w:p>
        </w:tc>
      </w:tr>
      <w:tr w:rsidR="003411CA" w:rsidRPr="008644BE" w:rsidTr="003411CA">
        <w:tc>
          <w:tcPr>
            <w:tcW w:w="1235"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center"/>
              <w:rPr>
                <w:rFonts w:asciiTheme="minorEastAsia" w:eastAsiaTheme="minorEastAsia" w:hAnsiTheme="minorEastAsia"/>
                <w:kern w:val="0"/>
              </w:rPr>
            </w:pPr>
            <w:r w:rsidRPr="008644BE">
              <w:rPr>
                <w:rFonts w:asciiTheme="minorEastAsia" w:eastAsiaTheme="minorEastAsia" w:hAnsiTheme="minorEastAsia" w:hint="eastAsia"/>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left"/>
              <w:rPr>
                <w:rFonts w:asciiTheme="minorEastAsia" w:eastAsiaTheme="minorEastAsia" w:hAnsiTheme="minorEastAsia"/>
                <w:kern w:val="0"/>
              </w:rPr>
            </w:pPr>
            <w:r w:rsidRPr="008644BE">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c>
          <w:tcPr>
            <w:tcW w:w="1235"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center"/>
              <w:rPr>
                <w:rFonts w:asciiTheme="minorEastAsia" w:eastAsiaTheme="minorEastAsia" w:hAnsiTheme="minorEastAsia"/>
                <w:kern w:val="0"/>
              </w:rPr>
            </w:pPr>
            <w:r w:rsidRPr="008644BE">
              <w:rPr>
                <w:rFonts w:asciiTheme="minorEastAsia" w:eastAsiaTheme="minorEastAsia" w:hAnsiTheme="minorEastAsia" w:hint="eastAsia"/>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left"/>
              <w:rPr>
                <w:rFonts w:asciiTheme="minorEastAsia" w:eastAsiaTheme="minorEastAsia" w:hAnsiTheme="minorEastAsia"/>
                <w:kern w:val="0"/>
              </w:rPr>
            </w:pPr>
            <w:r w:rsidRPr="008644BE">
              <w:rPr>
                <w:rFonts w:asciiTheme="minorEastAsia" w:eastAsiaTheme="minorEastAsia" w:hAnsiTheme="minorEastAsia" w:hint="eastAsia"/>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c>
          <w:tcPr>
            <w:tcW w:w="1235"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center"/>
              <w:rPr>
                <w:rFonts w:asciiTheme="minorEastAsia" w:eastAsiaTheme="minorEastAsia" w:hAnsiTheme="minorEastAsia"/>
                <w:kern w:val="0"/>
              </w:rPr>
            </w:pPr>
            <w:r w:rsidRPr="008644BE">
              <w:rPr>
                <w:rFonts w:asciiTheme="minorEastAsia" w:eastAsiaTheme="minorEastAsia" w:hAnsiTheme="minorEastAsia" w:hint="eastAsia"/>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left"/>
              <w:rPr>
                <w:rFonts w:asciiTheme="minorEastAsia" w:eastAsiaTheme="minorEastAsia" w:hAnsiTheme="minorEastAsia"/>
                <w:kern w:val="0"/>
              </w:rPr>
            </w:pPr>
            <w:r w:rsidRPr="008644BE">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w:t>
            </w:r>
          </w:p>
        </w:tc>
      </w:tr>
      <w:tr w:rsidR="003411CA" w:rsidRPr="008644BE" w:rsidTr="003411CA">
        <w:tc>
          <w:tcPr>
            <w:tcW w:w="1235"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center"/>
              <w:rPr>
                <w:rFonts w:asciiTheme="minorEastAsia" w:eastAsiaTheme="minorEastAsia" w:hAnsiTheme="minorEastAsia"/>
                <w:kern w:val="0"/>
              </w:rPr>
            </w:pPr>
            <w:r w:rsidRPr="008644BE">
              <w:rPr>
                <w:rFonts w:asciiTheme="minorEastAsia" w:eastAsiaTheme="minorEastAsia" w:hAnsiTheme="minorEastAsia" w:hint="eastAsia"/>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left"/>
              <w:rPr>
                <w:rFonts w:asciiTheme="minorEastAsia" w:eastAsiaTheme="minorEastAsia" w:hAnsiTheme="minorEastAsia"/>
                <w:kern w:val="0"/>
              </w:rPr>
            </w:pPr>
            <w:r w:rsidRPr="008644BE">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3411CA" w:rsidRPr="008644BE" w:rsidRDefault="003411CA">
            <w:pPr>
              <w:autoSpaceDE w:val="0"/>
              <w:autoSpaceDN w:val="0"/>
              <w:adjustRightInd w:val="0"/>
              <w:spacing w:before="29" w:line="300" w:lineRule="auto"/>
              <w:ind w:left="15"/>
              <w:jc w:val="right"/>
              <w:rPr>
                <w:rFonts w:asciiTheme="minorEastAsia" w:eastAsiaTheme="minorEastAsia" w:hAnsiTheme="minorEastAsia"/>
                <w:kern w:val="0"/>
              </w:rPr>
            </w:pPr>
            <w:r w:rsidRPr="008644BE">
              <w:rPr>
                <w:rFonts w:asciiTheme="minorEastAsia" w:eastAsiaTheme="minorEastAsia" w:hAnsiTheme="minorEastAsia" w:hint="eastAsia"/>
                <w:kern w:val="0"/>
              </w:rPr>
              <w:t>31,607,966.56</w:t>
            </w:r>
          </w:p>
        </w:tc>
      </w:tr>
    </w:tbl>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（4）报告期末持有的处于转股期的可转换债券明细</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本基金本报告期末未持有处于转股期的可转换债券。</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（5）报告期末前十名股票中存在流通受限情况的说明</w:t>
      </w:r>
    </w:p>
    <w:p w:rsidR="003411CA" w:rsidRPr="008644BE" w:rsidRDefault="003411CA" w:rsidP="008644BE">
      <w:pPr>
        <w:adjustRightInd w:val="0"/>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本基金本报告期末前十名股票中不存在流通受限情况。</w:t>
      </w:r>
    </w:p>
    <w:p w:rsidR="00250B3E" w:rsidRPr="008644BE" w:rsidRDefault="00250B3E">
      <w:pPr>
        <w:widowControl/>
        <w:jc w:val="left"/>
        <w:rPr>
          <w:rFonts w:asciiTheme="minorEastAsia" w:eastAsiaTheme="minorEastAsia" w:hAnsiTheme="minorEastAsia"/>
          <w:szCs w:val="22"/>
        </w:rPr>
      </w:pPr>
      <w:r w:rsidRPr="008644BE">
        <w:rPr>
          <w:rFonts w:asciiTheme="minorEastAsia" w:eastAsiaTheme="minorEastAsia" w:hAnsiTheme="minorEastAsia"/>
          <w:szCs w:val="22"/>
        </w:rPr>
        <w:br w:type="page"/>
      </w:r>
    </w:p>
    <w:p w:rsidR="003411CA" w:rsidRPr="008644BE" w:rsidRDefault="003411CA" w:rsidP="003411CA">
      <w:pPr>
        <w:spacing w:line="300" w:lineRule="auto"/>
        <w:rPr>
          <w:rFonts w:asciiTheme="minorEastAsia" w:eastAsiaTheme="minorEastAsia" w:hAnsiTheme="minorEastAsia"/>
          <w:szCs w:val="22"/>
        </w:rPr>
      </w:pPr>
    </w:p>
    <w:p w:rsidR="004C1D62" w:rsidRPr="008644BE" w:rsidRDefault="004C1D62" w:rsidP="00936084">
      <w:pPr>
        <w:pStyle w:val="1"/>
        <w:snapToGrid w:val="0"/>
        <w:spacing w:beforeLines="0" w:afterLines="0" w:line="360" w:lineRule="auto"/>
        <w:ind w:firstLine="640"/>
        <w:rPr>
          <w:rFonts w:asciiTheme="minorEastAsia" w:eastAsiaTheme="minorEastAsia" w:hAnsiTheme="minorEastAsia"/>
        </w:rPr>
      </w:pPr>
      <w:bookmarkStart w:id="83" w:name="_Toc49269637"/>
      <w:r w:rsidRPr="008644BE">
        <w:rPr>
          <w:rFonts w:asciiTheme="minorEastAsia" w:eastAsiaTheme="minorEastAsia" w:hAnsiTheme="minorEastAsia" w:hint="eastAsia"/>
        </w:rPr>
        <w:t>十二、基金的业绩</w:t>
      </w:r>
      <w:bookmarkEnd w:id="83"/>
    </w:p>
    <w:p w:rsidR="00517BC7" w:rsidRPr="008644BE" w:rsidRDefault="00517BC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8644BE">
        <w:rPr>
          <w:rFonts w:asciiTheme="minorEastAsia" w:eastAsiaTheme="minorEastAsia" w:hAnsiTheme="minorEastAsia" w:hint="eastAsia"/>
          <w:szCs w:val="21"/>
        </w:rPr>
        <w:t>作出</w:t>
      </w:r>
      <w:r w:rsidRPr="008644BE">
        <w:rPr>
          <w:rFonts w:asciiTheme="minorEastAsia" w:eastAsiaTheme="minorEastAsia" w:hAnsiTheme="minorEastAsia"/>
          <w:szCs w:val="21"/>
        </w:rPr>
        <w:t>投资决策前应仔细阅读本基金的招募说明书。</w:t>
      </w:r>
    </w:p>
    <w:p w:rsidR="001F7D86" w:rsidRPr="008644BE" w:rsidRDefault="00517BC7"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本基金合同生效日为2015年2月13日，</w:t>
      </w:r>
      <w:r w:rsidR="003411CA" w:rsidRPr="008644BE">
        <w:rPr>
          <w:rFonts w:asciiTheme="minorEastAsia" w:eastAsiaTheme="minorEastAsia" w:hAnsiTheme="minorEastAsia" w:hint="eastAsia"/>
          <w:szCs w:val="21"/>
        </w:rPr>
        <w:t>基金合同生效以来（截至2020年6月30日）的投资业绩及与同期基准的比较如下表所示</w:t>
      </w:r>
      <w:r w:rsidRPr="008644BE">
        <w:rPr>
          <w:rFonts w:asciiTheme="minorEastAsia" w:eastAsiaTheme="minorEastAsia" w:hAnsiTheme="minorEastAsia" w:hint="eastAsia"/>
          <w:szCs w:val="21"/>
        </w:rPr>
        <w:t>：</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92"/>
        <w:gridCol w:w="1096"/>
        <w:gridCol w:w="1181"/>
        <w:gridCol w:w="1188"/>
        <w:gridCol w:w="1199"/>
        <w:gridCol w:w="1204"/>
      </w:tblGrid>
      <w:tr w:rsidR="00DB72CC" w:rsidRPr="008644BE" w:rsidTr="00DB72CC">
        <w:tc>
          <w:tcPr>
            <w:tcW w:w="1560" w:type="dxa"/>
            <w:vAlign w:val="center"/>
            <w:hideMark/>
          </w:tcPr>
          <w:p w:rsidR="001F7D86" w:rsidRPr="008644BE" w:rsidRDefault="00762220" w:rsidP="00936084">
            <w:pPr>
              <w:autoSpaceDE w:val="0"/>
              <w:autoSpaceDN w:val="0"/>
              <w:adjustRightInd w:val="0"/>
              <w:snapToGrid w:val="0"/>
              <w:spacing w:line="360" w:lineRule="auto"/>
              <w:ind w:left="17"/>
              <w:jc w:val="center"/>
              <w:rPr>
                <w:rFonts w:asciiTheme="minorEastAsia" w:eastAsiaTheme="minorEastAsia" w:hAnsiTheme="minorEastAsia"/>
                <w:kern w:val="0"/>
                <w:sz w:val="24"/>
              </w:rPr>
            </w:pPr>
            <w:r w:rsidRPr="008644BE">
              <w:rPr>
                <w:rFonts w:asciiTheme="minorEastAsia" w:eastAsiaTheme="minorEastAsia" w:hAnsiTheme="minorEastAsia" w:hint="eastAsia"/>
              </w:rPr>
              <w:t>阶段</w:t>
            </w:r>
          </w:p>
        </w:tc>
        <w:tc>
          <w:tcPr>
            <w:tcW w:w="992" w:type="dxa"/>
            <w:vAlign w:val="center"/>
            <w:hideMark/>
          </w:tcPr>
          <w:p w:rsidR="001F7D86" w:rsidRPr="008644BE" w:rsidRDefault="00762220" w:rsidP="00936084">
            <w:pPr>
              <w:autoSpaceDE w:val="0"/>
              <w:autoSpaceDN w:val="0"/>
              <w:adjustRightInd w:val="0"/>
              <w:snapToGrid w:val="0"/>
              <w:spacing w:line="360" w:lineRule="auto"/>
              <w:ind w:left="17"/>
              <w:jc w:val="center"/>
              <w:rPr>
                <w:rFonts w:asciiTheme="minorEastAsia" w:eastAsiaTheme="minorEastAsia" w:hAnsiTheme="minorEastAsia"/>
                <w:kern w:val="0"/>
                <w:sz w:val="24"/>
              </w:rPr>
            </w:pPr>
            <w:r w:rsidRPr="008644BE">
              <w:rPr>
                <w:rFonts w:asciiTheme="minorEastAsia" w:eastAsiaTheme="minorEastAsia" w:hAnsiTheme="minorEastAsia" w:hint="eastAsia"/>
              </w:rPr>
              <w:t>净值增长率（</w:t>
            </w:r>
            <w:r w:rsidRPr="008644BE">
              <w:rPr>
                <w:rFonts w:asciiTheme="minorEastAsia" w:eastAsiaTheme="minorEastAsia" w:hAnsiTheme="minorEastAsia"/>
              </w:rPr>
              <w:t>1</w:t>
            </w:r>
            <w:r w:rsidRPr="008644BE">
              <w:rPr>
                <w:rFonts w:asciiTheme="minorEastAsia" w:eastAsiaTheme="minorEastAsia" w:hAnsiTheme="minorEastAsia" w:hint="eastAsia"/>
              </w:rPr>
              <w:t>）</w:t>
            </w:r>
          </w:p>
        </w:tc>
        <w:tc>
          <w:tcPr>
            <w:tcW w:w="1096" w:type="dxa"/>
            <w:vAlign w:val="center"/>
            <w:hideMark/>
          </w:tcPr>
          <w:p w:rsidR="001F7D86" w:rsidRPr="008644BE" w:rsidRDefault="00762220" w:rsidP="00936084">
            <w:pPr>
              <w:autoSpaceDE w:val="0"/>
              <w:autoSpaceDN w:val="0"/>
              <w:adjustRightInd w:val="0"/>
              <w:snapToGrid w:val="0"/>
              <w:spacing w:line="360" w:lineRule="auto"/>
              <w:ind w:left="17"/>
              <w:jc w:val="center"/>
              <w:rPr>
                <w:rFonts w:asciiTheme="minorEastAsia" w:eastAsiaTheme="minorEastAsia" w:hAnsiTheme="minorEastAsia"/>
                <w:kern w:val="0"/>
                <w:sz w:val="24"/>
              </w:rPr>
            </w:pPr>
            <w:r w:rsidRPr="008644BE">
              <w:rPr>
                <w:rFonts w:asciiTheme="minorEastAsia" w:eastAsiaTheme="minorEastAsia" w:hAnsiTheme="minorEastAsia" w:hint="eastAsia"/>
              </w:rPr>
              <w:t>净值增长率标准差（</w:t>
            </w:r>
            <w:r w:rsidRPr="008644BE">
              <w:rPr>
                <w:rFonts w:asciiTheme="minorEastAsia" w:eastAsiaTheme="minorEastAsia" w:hAnsiTheme="minorEastAsia"/>
              </w:rPr>
              <w:t>2</w:t>
            </w:r>
            <w:r w:rsidRPr="008644BE">
              <w:rPr>
                <w:rFonts w:asciiTheme="minorEastAsia" w:eastAsiaTheme="minorEastAsia" w:hAnsiTheme="minorEastAsia" w:hint="eastAsia"/>
              </w:rPr>
              <w:t>）</w:t>
            </w:r>
          </w:p>
        </w:tc>
        <w:tc>
          <w:tcPr>
            <w:tcW w:w="1181" w:type="dxa"/>
            <w:vAlign w:val="center"/>
            <w:hideMark/>
          </w:tcPr>
          <w:p w:rsidR="001F7D86" w:rsidRPr="008644BE" w:rsidRDefault="00762220" w:rsidP="00936084">
            <w:pPr>
              <w:autoSpaceDE w:val="0"/>
              <w:autoSpaceDN w:val="0"/>
              <w:adjustRightInd w:val="0"/>
              <w:snapToGrid w:val="0"/>
              <w:spacing w:line="360" w:lineRule="auto"/>
              <w:ind w:left="17"/>
              <w:jc w:val="center"/>
              <w:rPr>
                <w:rFonts w:asciiTheme="minorEastAsia" w:eastAsiaTheme="minorEastAsia" w:hAnsiTheme="minorEastAsia"/>
                <w:kern w:val="0"/>
                <w:sz w:val="24"/>
              </w:rPr>
            </w:pPr>
            <w:r w:rsidRPr="008644BE">
              <w:rPr>
                <w:rFonts w:asciiTheme="minorEastAsia" w:eastAsiaTheme="minorEastAsia" w:hAnsiTheme="minorEastAsia" w:hint="eastAsia"/>
              </w:rPr>
              <w:t>业绩比较基准收益率（</w:t>
            </w:r>
            <w:r w:rsidRPr="008644BE">
              <w:rPr>
                <w:rFonts w:asciiTheme="minorEastAsia" w:eastAsiaTheme="minorEastAsia" w:hAnsiTheme="minorEastAsia"/>
              </w:rPr>
              <w:t>3</w:t>
            </w:r>
            <w:r w:rsidRPr="008644BE">
              <w:rPr>
                <w:rFonts w:asciiTheme="minorEastAsia" w:eastAsiaTheme="minorEastAsia" w:hAnsiTheme="minorEastAsia" w:hint="eastAsia"/>
              </w:rPr>
              <w:t>）</w:t>
            </w:r>
          </w:p>
        </w:tc>
        <w:tc>
          <w:tcPr>
            <w:tcW w:w="1188" w:type="dxa"/>
            <w:vAlign w:val="center"/>
            <w:hideMark/>
          </w:tcPr>
          <w:p w:rsidR="001F7D86" w:rsidRPr="008644BE" w:rsidRDefault="00762220" w:rsidP="00936084">
            <w:pPr>
              <w:autoSpaceDE w:val="0"/>
              <w:autoSpaceDN w:val="0"/>
              <w:adjustRightInd w:val="0"/>
              <w:snapToGrid w:val="0"/>
              <w:spacing w:line="360" w:lineRule="auto"/>
              <w:ind w:left="17"/>
              <w:jc w:val="center"/>
              <w:rPr>
                <w:rFonts w:asciiTheme="minorEastAsia" w:eastAsiaTheme="minorEastAsia" w:hAnsiTheme="minorEastAsia"/>
                <w:kern w:val="0"/>
                <w:sz w:val="24"/>
              </w:rPr>
            </w:pPr>
            <w:r w:rsidRPr="008644BE">
              <w:rPr>
                <w:rFonts w:asciiTheme="minorEastAsia" w:eastAsiaTheme="minorEastAsia" w:hAnsiTheme="minorEastAsia" w:hint="eastAsia"/>
              </w:rPr>
              <w:t>业绩比较基准收益率标准差（</w:t>
            </w:r>
            <w:r w:rsidRPr="008644BE">
              <w:rPr>
                <w:rFonts w:asciiTheme="minorEastAsia" w:eastAsiaTheme="minorEastAsia" w:hAnsiTheme="minorEastAsia"/>
              </w:rPr>
              <w:t>4</w:t>
            </w:r>
            <w:r w:rsidRPr="008644BE">
              <w:rPr>
                <w:rFonts w:asciiTheme="minorEastAsia" w:eastAsiaTheme="minorEastAsia" w:hAnsiTheme="minorEastAsia" w:hint="eastAsia"/>
              </w:rPr>
              <w:t>）</w:t>
            </w:r>
          </w:p>
        </w:tc>
        <w:tc>
          <w:tcPr>
            <w:tcW w:w="1199" w:type="dxa"/>
            <w:vAlign w:val="center"/>
            <w:hideMark/>
          </w:tcPr>
          <w:p w:rsidR="001F7D86" w:rsidRPr="008644BE" w:rsidRDefault="00762220" w:rsidP="00936084">
            <w:pPr>
              <w:autoSpaceDE w:val="0"/>
              <w:autoSpaceDN w:val="0"/>
              <w:adjustRightInd w:val="0"/>
              <w:snapToGrid w:val="0"/>
              <w:spacing w:line="360" w:lineRule="auto"/>
              <w:ind w:left="17"/>
              <w:jc w:val="center"/>
              <w:rPr>
                <w:rFonts w:asciiTheme="minorEastAsia" w:eastAsiaTheme="minorEastAsia" w:hAnsiTheme="minorEastAsia"/>
                <w:kern w:val="0"/>
                <w:sz w:val="24"/>
              </w:rPr>
            </w:pPr>
            <w:r w:rsidRPr="008644BE">
              <w:rPr>
                <w:rFonts w:asciiTheme="minorEastAsia" w:eastAsiaTheme="minorEastAsia" w:hAnsiTheme="minorEastAsia"/>
              </w:rPr>
              <w:t>(1)-(3)</w:t>
            </w:r>
          </w:p>
        </w:tc>
        <w:tc>
          <w:tcPr>
            <w:tcW w:w="1204" w:type="dxa"/>
            <w:vAlign w:val="center"/>
            <w:hideMark/>
          </w:tcPr>
          <w:p w:rsidR="001F7D86" w:rsidRPr="008644BE" w:rsidRDefault="00762220" w:rsidP="00936084">
            <w:pPr>
              <w:autoSpaceDE w:val="0"/>
              <w:autoSpaceDN w:val="0"/>
              <w:adjustRightInd w:val="0"/>
              <w:snapToGrid w:val="0"/>
              <w:spacing w:line="360" w:lineRule="auto"/>
              <w:ind w:left="17"/>
              <w:jc w:val="center"/>
              <w:rPr>
                <w:rFonts w:asciiTheme="minorEastAsia" w:eastAsiaTheme="minorEastAsia" w:hAnsiTheme="minorEastAsia"/>
                <w:kern w:val="0"/>
                <w:sz w:val="24"/>
              </w:rPr>
            </w:pPr>
            <w:r w:rsidRPr="008644BE">
              <w:rPr>
                <w:rFonts w:asciiTheme="minorEastAsia" w:eastAsiaTheme="minorEastAsia" w:hAnsiTheme="minorEastAsia"/>
              </w:rPr>
              <w:t>(2)-(4)</w:t>
            </w:r>
          </w:p>
        </w:tc>
      </w:tr>
      <w:tr w:rsidR="00DB72CC" w:rsidRPr="008644BE" w:rsidTr="00DB72CC">
        <w:trPr>
          <w:trHeight w:val="1485"/>
        </w:trPr>
        <w:tc>
          <w:tcPr>
            <w:tcW w:w="1560" w:type="dxa"/>
            <w:vAlign w:val="center"/>
            <w:hideMark/>
          </w:tcPr>
          <w:p w:rsidR="003A1634" w:rsidRPr="008644BE" w:rsidRDefault="00D53D6B" w:rsidP="00E66931">
            <w:pPr>
              <w:snapToGrid w:val="0"/>
              <w:spacing w:line="360" w:lineRule="auto"/>
              <w:jc w:val="left"/>
              <w:rPr>
                <w:rFonts w:asciiTheme="minorEastAsia" w:eastAsiaTheme="minorEastAsia" w:hAnsiTheme="minorEastAsia"/>
                <w:szCs w:val="21"/>
              </w:rPr>
            </w:pPr>
            <w:r w:rsidRPr="008644BE">
              <w:rPr>
                <w:rFonts w:asciiTheme="minorEastAsia" w:eastAsiaTheme="minorEastAsia" w:hAnsiTheme="minorEastAsia" w:hint="eastAsia"/>
              </w:rPr>
              <w:t>自基金合同生效日至</w:t>
            </w:r>
            <w:r w:rsidR="003A1634" w:rsidRPr="008644BE">
              <w:rPr>
                <w:rFonts w:asciiTheme="minorEastAsia" w:eastAsiaTheme="minorEastAsia" w:hAnsiTheme="minorEastAsia"/>
              </w:rPr>
              <w:t>201</w:t>
            </w:r>
            <w:r w:rsidR="00E66931" w:rsidRPr="008644BE">
              <w:rPr>
                <w:rFonts w:asciiTheme="minorEastAsia" w:eastAsiaTheme="minorEastAsia" w:hAnsiTheme="minorEastAsia" w:hint="eastAsia"/>
              </w:rPr>
              <w:t>5</w:t>
            </w:r>
            <w:r w:rsidR="003A1634" w:rsidRPr="008644BE">
              <w:rPr>
                <w:rFonts w:asciiTheme="minorEastAsia" w:eastAsiaTheme="minorEastAsia" w:hAnsiTheme="minorEastAsia" w:hint="eastAsia"/>
              </w:rPr>
              <w:t>年</w:t>
            </w:r>
            <w:r w:rsidR="00E66931" w:rsidRPr="008644BE">
              <w:rPr>
                <w:rFonts w:asciiTheme="minorEastAsia" w:eastAsiaTheme="minorEastAsia" w:hAnsiTheme="minorEastAsia" w:hint="eastAsia"/>
              </w:rPr>
              <w:t>12</w:t>
            </w:r>
            <w:r w:rsidR="003A1634" w:rsidRPr="008644BE">
              <w:rPr>
                <w:rFonts w:asciiTheme="minorEastAsia" w:eastAsiaTheme="minorEastAsia" w:hAnsiTheme="minorEastAsia" w:hint="eastAsia"/>
              </w:rPr>
              <w:t>月</w:t>
            </w:r>
            <w:r w:rsidR="00E66931" w:rsidRPr="008644BE">
              <w:rPr>
                <w:rFonts w:asciiTheme="minorEastAsia" w:eastAsiaTheme="minorEastAsia" w:hAnsiTheme="minorEastAsia" w:hint="eastAsia"/>
              </w:rPr>
              <w:t>31</w:t>
            </w:r>
            <w:r w:rsidR="003A1634" w:rsidRPr="008644BE">
              <w:rPr>
                <w:rFonts w:asciiTheme="minorEastAsia" w:eastAsiaTheme="minorEastAsia" w:hAnsiTheme="minorEastAsia" w:hint="eastAsia"/>
              </w:rPr>
              <w:t>日</w:t>
            </w:r>
          </w:p>
        </w:tc>
        <w:tc>
          <w:tcPr>
            <w:tcW w:w="992" w:type="dxa"/>
            <w:vAlign w:val="center"/>
            <w:hideMark/>
          </w:tcPr>
          <w:p w:rsidR="003A1634" w:rsidRPr="008644BE" w:rsidRDefault="00E66931" w:rsidP="00E66931">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hint="eastAsia"/>
                <w:szCs w:val="21"/>
              </w:rPr>
              <w:t>28</w:t>
            </w:r>
            <w:r w:rsidR="00A4207E" w:rsidRPr="008644BE">
              <w:rPr>
                <w:rFonts w:asciiTheme="minorEastAsia" w:eastAsiaTheme="minorEastAsia" w:hAnsiTheme="minorEastAsia"/>
                <w:szCs w:val="21"/>
              </w:rPr>
              <w:t>.</w:t>
            </w:r>
            <w:r w:rsidRPr="008644BE">
              <w:rPr>
                <w:rFonts w:asciiTheme="minorEastAsia" w:eastAsiaTheme="minorEastAsia" w:hAnsiTheme="minorEastAsia" w:hint="eastAsia"/>
                <w:szCs w:val="21"/>
              </w:rPr>
              <w:t>9</w:t>
            </w:r>
            <w:r w:rsidR="00A4207E" w:rsidRPr="008644BE">
              <w:rPr>
                <w:rFonts w:asciiTheme="minorEastAsia" w:eastAsiaTheme="minorEastAsia" w:hAnsiTheme="minorEastAsia"/>
                <w:szCs w:val="21"/>
              </w:rPr>
              <w:t>0%</w:t>
            </w:r>
          </w:p>
        </w:tc>
        <w:tc>
          <w:tcPr>
            <w:tcW w:w="1096" w:type="dxa"/>
            <w:vAlign w:val="center"/>
            <w:hideMark/>
          </w:tcPr>
          <w:p w:rsidR="003A1634" w:rsidRPr="008644BE" w:rsidRDefault="00A4207E" w:rsidP="00E66931">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3.</w:t>
            </w:r>
            <w:r w:rsidR="00E66931" w:rsidRPr="008644BE">
              <w:rPr>
                <w:rFonts w:asciiTheme="minorEastAsia" w:eastAsiaTheme="minorEastAsia" w:hAnsiTheme="minorEastAsia" w:hint="eastAsia"/>
                <w:szCs w:val="21"/>
              </w:rPr>
              <w:t>5</w:t>
            </w:r>
            <w:r w:rsidRPr="008644BE">
              <w:rPr>
                <w:rFonts w:asciiTheme="minorEastAsia" w:eastAsiaTheme="minorEastAsia" w:hAnsiTheme="minorEastAsia"/>
                <w:szCs w:val="21"/>
              </w:rPr>
              <w:t>5%</w:t>
            </w:r>
          </w:p>
        </w:tc>
        <w:tc>
          <w:tcPr>
            <w:tcW w:w="1181" w:type="dxa"/>
            <w:vAlign w:val="center"/>
            <w:hideMark/>
          </w:tcPr>
          <w:p w:rsidR="003A1634" w:rsidRPr="008644BE" w:rsidRDefault="00E66931" w:rsidP="00E66931">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hint="eastAsia"/>
                <w:szCs w:val="21"/>
              </w:rPr>
              <w:t>7</w:t>
            </w:r>
            <w:r w:rsidR="00A4207E" w:rsidRPr="008644BE">
              <w:rPr>
                <w:rFonts w:asciiTheme="minorEastAsia" w:eastAsiaTheme="minorEastAsia" w:hAnsiTheme="minorEastAsia"/>
                <w:szCs w:val="21"/>
              </w:rPr>
              <w:t>.</w:t>
            </w:r>
            <w:r w:rsidRPr="008644BE">
              <w:rPr>
                <w:rFonts w:asciiTheme="minorEastAsia" w:eastAsiaTheme="minorEastAsia" w:hAnsiTheme="minorEastAsia" w:hint="eastAsia"/>
                <w:szCs w:val="21"/>
              </w:rPr>
              <w:t>26</w:t>
            </w:r>
            <w:r w:rsidR="00A4207E" w:rsidRPr="008644BE">
              <w:rPr>
                <w:rFonts w:asciiTheme="minorEastAsia" w:eastAsiaTheme="minorEastAsia" w:hAnsiTheme="minorEastAsia"/>
                <w:szCs w:val="21"/>
              </w:rPr>
              <w:t>%</w:t>
            </w:r>
          </w:p>
        </w:tc>
        <w:tc>
          <w:tcPr>
            <w:tcW w:w="1188" w:type="dxa"/>
            <w:vAlign w:val="center"/>
            <w:hideMark/>
          </w:tcPr>
          <w:p w:rsidR="003A1634" w:rsidRPr="008644BE" w:rsidRDefault="00A4207E" w:rsidP="00E66931">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w:t>
            </w:r>
            <w:r w:rsidR="00E66931" w:rsidRPr="008644BE">
              <w:rPr>
                <w:rFonts w:asciiTheme="minorEastAsia" w:eastAsiaTheme="minorEastAsia" w:hAnsiTheme="minorEastAsia" w:hint="eastAsia"/>
                <w:szCs w:val="21"/>
              </w:rPr>
              <w:t>26</w:t>
            </w:r>
            <w:r w:rsidRPr="008644BE">
              <w:rPr>
                <w:rFonts w:asciiTheme="minorEastAsia" w:eastAsiaTheme="minorEastAsia" w:hAnsiTheme="minorEastAsia"/>
                <w:szCs w:val="21"/>
              </w:rPr>
              <w:t>%</w:t>
            </w:r>
          </w:p>
        </w:tc>
        <w:tc>
          <w:tcPr>
            <w:tcW w:w="1199" w:type="dxa"/>
            <w:vAlign w:val="center"/>
            <w:hideMark/>
          </w:tcPr>
          <w:p w:rsidR="003A1634" w:rsidRPr="008644BE" w:rsidRDefault="00E66931" w:rsidP="00E66931">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hint="eastAsia"/>
                <w:szCs w:val="21"/>
              </w:rPr>
              <w:t>21</w:t>
            </w:r>
            <w:r w:rsidR="00A4207E" w:rsidRPr="008644BE">
              <w:rPr>
                <w:rFonts w:asciiTheme="minorEastAsia" w:eastAsiaTheme="minorEastAsia" w:hAnsiTheme="minorEastAsia"/>
                <w:szCs w:val="21"/>
              </w:rPr>
              <w:t>.</w:t>
            </w:r>
            <w:r w:rsidRPr="008644BE">
              <w:rPr>
                <w:rFonts w:asciiTheme="minorEastAsia" w:eastAsiaTheme="minorEastAsia" w:hAnsiTheme="minorEastAsia" w:hint="eastAsia"/>
                <w:szCs w:val="21"/>
              </w:rPr>
              <w:t>64</w:t>
            </w:r>
            <w:r w:rsidR="00A4207E" w:rsidRPr="008644BE">
              <w:rPr>
                <w:rFonts w:asciiTheme="minorEastAsia" w:eastAsiaTheme="minorEastAsia" w:hAnsiTheme="minorEastAsia"/>
                <w:szCs w:val="21"/>
              </w:rPr>
              <w:t>%</w:t>
            </w:r>
          </w:p>
        </w:tc>
        <w:tc>
          <w:tcPr>
            <w:tcW w:w="1204" w:type="dxa"/>
            <w:vAlign w:val="center"/>
            <w:hideMark/>
          </w:tcPr>
          <w:p w:rsidR="003A1634" w:rsidRPr="008644BE" w:rsidRDefault="00A4207E" w:rsidP="00E66931">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2.2</w:t>
            </w:r>
            <w:r w:rsidR="00E66931" w:rsidRPr="008644BE">
              <w:rPr>
                <w:rFonts w:asciiTheme="minorEastAsia" w:eastAsiaTheme="minorEastAsia" w:hAnsiTheme="minorEastAsia" w:hint="eastAsia"/>
                <w:szCs w:val="21"/>
              </w:rPr>
              <w:t>9</w:t>
            </w:r>
            <w:r w:rsidRPr="008644BE">
              <w:rPr>
                <w:rFonts w:asciiTheme="minorEastAsia" w:eastAsiaTheme="minorEastAsia" w:hAnsiTheme="minorEastAsia"/>
                <w:szCs w:val="21"/>
              </w:rPr>
              <w:t>%</w:t>
            </w:r>
          </w:p>
        </w:tc>
      </w:tr>
      <w:tr w:rsidR="00DB72CC" w:rsidRPr="008644BE" w:rsidTr="00DB72CC">
        <w:trPr>
          <w:trHeight w:val="1485"/>
        </w:trPr>
        <w:tc>
          <w:tcPr>
            <w:tcW w:w="1560" w:type="dxa"/>
            <w:vAlign w:val="center"/>
          </w:tcPr>
          <w:p w:rsidR="007C111B" w:rsidRPr="008644BE" w:rsidRDefault="007C111B" w:rsidP="007C111B">
            <w:pPr>
              <w:snapToGrid w:val="0"/>
              <w:spacing w:line="360" w:lineRule="auto"/>
              <w:jc w:val="left"/>
              <w:rPr>
                <w:rFonts w:asciiTheme="minorEastAsia" w:eastAsiaTheme="minorEastAsia" w:hAnsiTheme="minorEastAsia"/>
              </w:rPr>
            </w:pPr>
            <w:r w:rsidRPr="008644BE">
              <w:rPr>
                <w:rFonts w:asciiTheme="minorEastAsia" w:eastAsiaTheme="minorEastAsia" w:hAnsiTheme="minorEastAsia" w:hint="eastAsia"/>
              </w:rPr>
              <w:t>2016年1月1日至</w:t>
            </w:r>
            <w:r w:rsidRPr="008644BE">
              <w:rPr>
                <w:rFonts w:asciiTheme="minorEastAsia" w:eastAsiaTheme="minorEastAsia" w:hAnsiTheme="minorEastAsia"/>
              </w:rPr>
              <w:t>201</w:t>
            </w:r>
            <w:r w:rsidRPr="008644BE">
              <w:rPr>
                <w:rFonts w:asciiTheme="minorEastAsia" w:eastAsiaTheme="minorEastAsia" w:hAnsiTheme="minorEastAsia" w:hint="eastAsia"/>
              </w:rPr>
              <w:t>6年12月31日</w:t>
            </w:r>
          </w:p>
        </w:tc>
        <w:tc>
          <w:tcPr>
            <w:tcW w:w="992" w:type="dxa"/>
            <w:vAlign w:val="center"/>
          </w:tcPr>
          <w:p w:rsidR="007C111B" w:rsidRPr="008644BE" w:rsidRDefault="007C111B" w:rsidP="007C111B">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-29.25%</w:t>
            </w:r>
          </w:p>
        </w:tc>
        <w:tc>
          <w:tcPr>
            <w:tcW w:w="1096" w:type="dxa"/>
            <w:vAlign w:val="center"/>
          </w:tcPr>
          <w:p w:rsidR="007C111B" w:rsidRPr="008644BE" w:rsidRDefault="007C111B" w:rsidP="007C111B">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2.20%</w:t>
            </w:r>
          </w:p>
        </w:tc>
        <w:tc>
          <w:tcPr>
            <w:tcW w:w="1181" w:type="dxa"/>
            <w:vAlign w:val="center"/>
          </w:tcPr>
          <w:p w:rsidR="007C111B" w:rsidRPr="008644BE" w:rsidRDefault="007C111B" w:rsidP="007C111B">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-4.99%</w:t>
            </w:r>
          </w:p>
        </w:tc>
        <w:tc>
          <w:tcPr>
            <w:tcW w:w="1188" w:type="dxa"/>
            <w:vAlign w:val="center"/>
          </w:tcPr>
          <w:p w:rsidR="007C111B" w:rsidRPr="008644BE" w:rsidRDefault="007C111B" w:rsidP="007C111B">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0.71%</w:t>
            </w:r>
          </w:p>
        </w:tc>
        <w:tc>
          <w:tcPr>
            <w:tcW w:w="1199" w:type="dxa"/>
            <w:vAlign w:val="center"/>
          </w:tcPr>
          <w:p w:rsidR="007C111B" w:rsidRPr="008644BE" w:rsidRDefault="007C111B" w:rsidP="007C111B">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-24.26%</w:t>
            </w:r>
          </w:p>
        </w:tc>
        <w:tc>
          <w:tcPr>
            <w:tcW w:w="1204" w:type="dxa"/>
            <w:vAlign w:val="center"/>
          </w:tcPr>
          <w:p w:rsidR="007C111B" w:rsidRPr="008644BE" w:rsidRDefault="007C111B" w:rsidP="007C111B">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1.49%</w:t>
            </w:r>
          </w:p>
        </w:tc>
      </w:tr>
      <w:tr w:rsidR="00DB72CC" w:rsidRPr="008644BE" w:rsidTr="00DB72CC">
        <w:trPr>
          <w:trHeight w:val="1485"/>
        </w:trPr>
        <w:tc>
          <w:tcPr>
            <w:tcW w:w="1560" w:type="dxa"/>
            <w:tcBorders>
              <w:top w:val="single" w:sz="4" w:space="0" w:color="auto"/>
              <w:left w:val="single" w:sz="4" w:space="0" w:color="auto"/>
              <w:bottom w:val="single" w:sz="4" w:space="0" w:color="auto"/>
              <w:right w:val="single" w:sz="4" w:space="0" w:color="auto"/>
            </w:tcBorders>
            <w:vAlign w:val="center"/>
          </w:tcPr>
          <w:p w:rsidR="001358B7" w:rsidRPr="008644BE" w:rsidRDefault="001358B7" w:rsidP="001358B7">
            <w:pPr>
              <w:snapToGrid w:val="0"/>
              <w:spacing w:line="360" w:lineRule="auto"/>
              <w:jc w:val="left"/>
              <w:rPr>
                <w:rFonts w:asciiTheme="minorEastAsia" w:eastAsiaTheme="minorEastAsia" w:hAnsiTheme="minorEastAsia"/>
              </w:rPr>
            </w:pPr>
            <w:r w:rsidRPr="008644BE">
              <w:rPr>
                <w:rFonts w:asciiTheme="minorEastAsia" w:eastAsiaTheme="minorEastAsia" w:hAnsiTheme="minorEastAsia" w:hint="eastAsia"/>
              </w:rPr>
              <w:t>201</w:t>
            </w:r>
            <w:r w:rsidRPr="008644BE">
              <w:rPr>
                <w:rFonts w:asciiTheme="minorEastAsia" w:eastAsiaTheme="minorEastAsia" w:hAnsiTheme="minorEastAsia"/>
              </w:rPr>
              <w:t>7</w:t>
            </w:r>
            <w:r w:rsidRPr="008644BE">
              <w:rPr>
                <w:rFonts w:asciiTheme="minorEastAsia" w:eastAsiaTheme="minorEastAsia" w:hAnsiTheme="minorEastAsia" w:hint="eastAsia"/>
              </w:rPr>
              <w:t>年1月1日至</w:t>
            </w:r>
            <w:r w:rsidRPr="008644BE">
              <w:rPr>
                <w:rFonts w:asciiTheme="minorEastAsia" w:eastAsiaTheme="minorEastAsia" w:hAnsiTheme="minorEastAsia"/>
              </w:rPr>
              <w:t>2017</w:t>
            </w:r>
            <w:r w:rsidRPr="008644BE">
              <w:rPr>
                <w:rFonts w:asciiTheme="minorEastAsia" w:eastAsiaTheme="minorEastAsia" w:hAnsiTheme="minorEastAsia" w:hint="eastAsia"/>
              </w:rPr>
              <w:t>年</w:t>
            </w:r>
            <w:r w:rsidRPr="008644BE">
              <w:rPr>
                <w:rFonts w:asciiTheme="minorEastAsia" w:eastAsiaTheme="minorEastAsia" w:hAnsiTheme="minorEastAsia"/>
              </w:rPr>
              <w:t>12</w:t>
            </w:r>
            <w:r w:rsidRPr="008644BE">
              <w:rPr>
                <w:rFonts w:asciiTheme="minorEastAsia" w:eastAsiaTheme="minorEastAsia" w:hAnsiTheme="minorEastAsia" w:hint="eastAsia"/>
              </w:rPr>
              <w:t>月</w:t>
            </w:r>
            <w:r w:rsidRPr="008644BE">
              <w:rPr>
                <w:rFonts w:asciiTheme="minorEastAsia" w:eastAsiaTheme="minorEastAsia" w:hAnsiTheme="minorEastAsia"/>
              </w:rPr>
              <w:t>31</w:t>
            </w:r>
            <w:r w:rsidRPr="008644BE">
              <w:rPr>
                <w:rFonts w:asciiTheme="minorEastAsia" w:eastAsiaTheme="minorEastAsia" w:hAnsiTheme="minorEastAsia" w:hint="eastAsia"/>
              </w:rPr>
              <w:t>日</w:t>
            </w:r>
          </w:p>
        </w:tc>
        <w:tc>
          <w:tcPr>
            <w:tcW w:w="992" w:type="dxa"/>
            <w:tcBorders>
              <w:top w:val="single" w:sz="4" w:space="0" w:color="auto"/>
              <w:left w:val="single" w:sz="4" w:space="0" w:color="auto"/>
              <w:bottom w:val="single" w:sz="4" w:space="0" w:color="auto"/>
              <w:right w:val="single" w:sz="4" w:space="0" w:color="auto"/>
            </w:tcBorders>
            <w:vAlign w:val="center"/>
          </w:tcPr>
          <w:p w:rsidR="001358B7" w:rsidRPr="008644BE" w:rsidRDefault="001358B7" w:rsidP="001358B7">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-0.22%</w:t>
            </w:r>
          </w:p>
        </w:tc>
        <w:tc>
          <w:tcPr>
            <w:tcW w:w="1096" w:type="dxa"/>
            <w:tcBorders>
              <w:top w:val="single" w:sz="4" w:space="0" w:color="auto"/>
              <w:left w:val="single" w:sz="4" w:space="0" w:color="auto"/>
              <w:bottom w:val="single" w:sz="4" w:space="0" w:color="auto"/>
              <w:right w:val="single" w:sz="4" w:space="0" w:color="auto"/>
            </w:tcBorders>
            <w:vAlign w:val="center"/>
          </w:tcPr>
          <w:p w:rsidR="001358B7" w:rsidRPr="008644BE" w:rsidRDefault="001358B7" w:rsidP="001358B7">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1.12%</w:t>
            </w:r>
          </w:p>
        </w:tc>
        <w:tc>
          <w:tcPr>
            <w:tcW w:w="1181" w:type="dxa"/>
            <w:tcBorders>
              <w:top w:val="single" w:sz="4" w:space="0" w:color="auto"/>
              <w:left w:val="single" w:sz="4" w:space="0" w:color="auto"/>
              <w:bottom w:val="single" w:sz="4" w:space="0" w:color="auto"/>
              <w:right w:val="single" w:sz="4" w:space="0" w:color="auto"/>
            </w:tcBorders>
            <w:vAlign w:val="center"/>
          </w:tcPr>
          <w:p w:rsidR="001358B7" w:rsidRPr="008644BE" w:rsidRDefault="001358B7" w:rsidP="001358B7">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10.29%</w:t>
            </w:r>
          </w:p>
        </w:tc>
        <w:tc>
          <w:tcPr>
            <w:tcW w:w="1188" w:type="dxa"/>
            <w:tcBorders>
              <w:top w:val="single" w:sz="4" w:space="0" w:color="auto"/>
              <w:left w:val="single" w:sz="4" w:space="0" w:color="auto"/>
              <w:bottom w:val="single" w:sz="4" w:space="0" w:color="auto"/>
              <w:right w:val="single" w:sz="4" w:space="0" w:color="auto"/>
            </w:tcBorders>
            <w:vAlign w:val="center"/>
          </w:tcPr>
          <w:p w:rsidR="001358B7" w:rsidRPr="008644BE" w:rsidRDefault="001358B7" w:rsidP="001358B7">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0.32%</w:t>
            </w:r>
          </w:p>
        </w:tc>
        <w:tc>
          <w:tcPr>
            <w:tcW w:w="1199" w:type="dxa"/>
            <w:tcBorders>
              <w:top w:val="single" w:sz="4" w:space="0" w:color="auto"/>
              <w:left w:val="single" w:sz="4" w:space="0" w:color="auto"/>
              <w:bottom w:val="single" w:sz="4" w:space="0" w:color="auto"/>
              <w:right w:val="single" w:sz="4" w:space="0" w:color="auto"/>
            </w:tcBorders>
            <w:vAlign w:val="center"/>
          </w:tcPr>
          <w:p w:rsidR="001358B7" w:rsidRPr="008644BE" w:rsidRDefault="001358B7" w:rsidP="001358B7">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-10.51%</w:t>
            </w:r>
          </w:p>
        </w:tc>
        <w:tc>
          <w:tcPr>
            <w:tcW w:w="1204" w:type="dxa"/>
            <w:tcBorders>
              <w:top w:val="single" w:sz="4" w:space="0" w:color="auto"/>
              <w:left w:val="single" w:sz="4" w:space="0" w:color="auto"/>
              <w:bottom w:val="single" w:sz="4" w:space="0" w:color="auto"/>
              <w:right w:val="single" w:sz="4" w:space="0" w:color="auto"/>
            </w:tcBorders>
            <w:vAlign w:val="center"/>
          </w:tcPr>
          <w:p w:rsidR="001358B7" w:rsidRPr="008644BE" w:rsidRDefault="001358B7" w:rsidP="001358B7">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0.80%</w:t>
            </w:r>
          </w:p>
        </w:tc>
      </w:tr>
      <w:tr w:rsidR="00DB72CC" w:rsidRPr="008644BE" w:rsidTr="00DB72CC">
        <w:trPr>
          <w:trHeight w:val="1485"/>
        </w:trPr>
        <w:tc>
          <w:tcPr>
            <w:tcW w:w="1560" w:type="dxa"/>
            <w:tcBorders>
              <w:top w:val="single" w:sz="4" w:space="0" w:color="auto"/>
              <w:left w:val="single" w:sz="4" w:space="0" w:color="auto"/>
              <w:bottom w:val="single" w:sz="4" w:space="0" w:color="auto"/>
              <w:right w:val="single" w:sz="4" w:space="0" w:color="auto"/>
            </w:tcBorders>
            <w:vAlign w:val="center"/>
          </w:tcPr>
          <w:p w:rsidR="00FF0072" w:rsidRPr="008644BE" w:rsidRDefault="00FF0072" w:rsidP="00FF0072">
            <w:pPr>
              <w:snapToGrid w:val="0"/>
              <w:spacing w:line="360" w:lineRule="auto"/>
              <w:jc w:val="left"/>
              <w:rPr>
                <w:rFonts w:asciiTheme="minorEastAsia" w:eastAsiaTheme="minorEastAsia" w:hAnsiTheme="minorEastAsia"/>
              </w:rPr>
            </w:pPr>
            <w:r w:rsidRPr="008644BE">
              <w:rPr>
                <w:rFonts w:asciiTheme="minorEastAsia" w:eastAsiaTheme="minorEastAsia" w:hAnsiTheme="minorEastAsia" w:hint="eastAsia"/>
              </w:rPr>
              <w:t>2018年1月1日至2018年</w:t>
            </w:r>
            <w:r w:rsidRPr="008644BE">
              <w:rPr>
                <w:rFonts w:asciiTheme="minorEastAsia" w:eastAsiaTheme="minorEastAsia" w:hAnsiTheme="minorEastAsia"/>
              </w:rPr>
              <w:t>12</w:t>
            </w:r>
            <w:r w:rsidRPr="008644BE">
              <w:rPr>
                <w:rFonts w:asciiTheme="minorEastAsia" w:eastAsiaTheme="minorEastAsia" w:hAnsiTheme="minorEastAsia" w:hint="eastAsia"/>
              </w:rPr>
              <w:t>月3</w:t>
            </w:r>
            <w:r w:rsidRPr="008644BE">
              <w:rPr>
                <w:rFonts w:asciiTheme="minorEastAsia" w:eastAsiaTheme="minorEastAsia" w:hAnsiTheme="minorEastAsia"/>
              </w:rPr>
              <w:t>1</w:t>
            </w:r>
            <w:r w:rsidRPr="008644BE">
              <w:rPr>
                <w:rFonts w:asciiTheme="minorEastAsia" w:eastAsiaTheme="minorEastAsia" w:hAnsiTheme="minorEastAsia" w:hint="eastAsia"/>
              </w:rPr>
              <w:t>日</w:t>
            </w:r>
          </w:p>
        </w:tc>
        <w:tc>
          <w:tcPr>
            <w:tcW w:w="992" w:type="dxa"/>
            <w:tcBorders>
              <w:top w:val="single" w:sz="4" w:space="0" w:color="auto"/>
              <w:left w:val="single" w:sz="4" w:space="0" w:color="auto"/>
              <w:bottom w:val="single" w:sz="4" w:space="0" w:color="auto"/>
              <w:right w:val="single" w:sz="4" w:space="0" w:color="auto"/>
            </w:tcBorders>
            <w:vAlign w:val="center"/>
          </w:tcPr>
          <w:p w:rsidR="00FF0072" w:rsidRPr="008644BE" w:rsidRDefault="00FF0072" w:rsidP="00FF0072">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-24.62%</w:t>
            </w:r>
          </w:p>
        </w:tc>
        <w:tc>
          <w:tcPr>
            <w:tcW w:w="1096" w:type="dxa"/>
            <w:tcBorders>
              <w:top w:val="single" w:sz="4" w:space="0" w:color="auto"/>
              <w:left w:val="single" w:sz="4" w:space="0" w:color="auto"/>
              <w:bottom w:val="single" w:sz="4" w:space="0" w:color="auto"/>
              <w:right w:val="single" w:sz="4" w:space="0" w:color="auto"/>
            </w:tcBorders>
            <w:vAlign w:val="center"/>
          </w:tcPr>
          <w:p w:rsidR="00FF0072" w:rsidRPr="008644BE" w:rsidRDefault="00FF0072" w:rsidP="00FF0072">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1.67%</w:t>
            </w:r>
          </w:p>
        </w:tc>
        <w:tc>
          <w:tcPr>
            <w:tcW w:w="1181" w:type="dxa"/>
            <w:tcBorders>
              <w:top w:val="single" w:sz="4" w:space="0" w:color="auto"/>
              <w:left w:val="single" w:sz="4" w:space="0" w:color="auto"/>
              <w:bottom w:val="single" w:sz="4" w:space="0" w:color="auto"/>
              <w:right w:val="single" w:sz="4" w:space="0" w:color="auto"/>
            </w:tcBorders>
            <w:vAlign w:val="center"/>
          </w:tcPr>
          <w:p w:rsidR="00FF0072" w:rsidRPr="008644BE" w:rsidRDefault="00FF0072" w:rsidP="00FF0072">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-7.84%</w:t>
            </w:r>
          </w:p>
        </w:tc>
        <w:tc>
          <w:tcPr>
            <w:tcW w:w="1188" w:type="dxa"/>
            <w:tcBorders>
              <w:top w:val="single" w:sz="4" w:space="0" w:color="auto"/>
              <w:left w:val="single" w:sz="4" w:space="0" w:color="auto"/>
              <w:bottom w:val="single" w:sz="4" w:space="0" w:color="auto"/>
              <w:right w:val="single" w:sz="4" w:space="0" w:color="auto"/>
            </w:tcBorders>
            <w:vAlign w:val="center"/>
          </w:tcPr>
          <w:p w:rsidR="00FF0072" w:rsidRPr="008644BE" w:rsidRDefault="00FF0072" w:rsidP="00FF0072">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0.66%</w:t>
            </w:r>
          </w:p>
        </w:tc>
        <w:tc>
          <w:tcPr>
            <w:tcW w:w="1199" w:type="dxa"/>
            <w:tcBorders>
              <w:top w:val="single" w:sz="4" w:space="0" w:color="auto"/>
              <w:left w:val="single" w:sz="4" w:space="0" w:color="auto"/>
              <w:bottom w:val="single" w:sz="4" w:space="0" w:color="auto"/>
              <w:right w:val="single" w:sz="4" w:space="0" w:color="auto"/>
            </w:tcBorders>
            <w:vAlign w:val="center"/>
          </w:tcPr>
          <w:p w:rsidR="00FF0072" w:rsidRPr="008644BE" w:rsidRDefault="00FF0072" w:rsidP="00FF0072">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-16.78%</w:t>
            </w:r>
          </w:p>
        </w:tc>
        <w:tc>
          <w:tcPr>
            <w:tcW w:w="1204" w:type="dxa"/>
            <w:tcBorders>
              <w:top w:val="single" w:sz="4" w:space="0" w:color="auto"/>
              <w:left w:val="single" w:sz="4" w:space="0" w:color="auto"/>
              <w:bottom w:val="single" w:sz="4" w:space="0" w:color="auto"/>
              <w:right w:val="single" w:sz="4" w:space="0" w:color="auto"/>
            </w:tcBorders>
            <w:vAlign w:val="center"/>
          </w:tcPr>
          <w:p w:rsidR="00FF0072" w:rsidRPr="008644BE" w:rsidRDefault="00FF0072" w:rsidP="00FF0072">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1.01%</w:t>
            </w:r>
          </w:p>
        </w:tc>
      </w:tr>
      <w:tr w:rsidR="005315DE" w:rsidRPr="008644BE" w:rsidTr="00DB72CC">
        <w:trPr>
          <w:trHeight w:val="1485"/>
        </w:trPr>
        <w:tc>
          <w:tcPr>
            <w:tcW w:w="1560" w:type="dxa"/>
            <w:tcBorders>
              <w:top w:val="single" w:sz="4" w:space="0" w:color="auto"/>
              <w:left w:val="single" w:sz="4" w:space="0" w:color="auto"/>
              <w:bottom w:val="single" w:sz="4" w:space="0" w:color="auto"/>
              <w:right w:val="single" w:sz="4" w:space="0" w:color="auto"/>
            </w:tcBorders>
            <w:vAlign w:val="center"/>
          </w:tcPr>
          <w:p w:rsidR="005315DE" w:rsidRPr="008644BE" w:rsidRDefault="005315DE" w:rsidP="005315DE">
            <w:pPr>
              <w:snapToGrid w:val="0"/>
              <w:spacing w:line="360" w:lineRule="auto"/>
              <w:jc w:val="left"/>
              <w:rPr>
                <w:rFonts w:asciiTheme="minorEastAsia" w:eastAsiaTheme="minorEastAsia" w:hAnsiTheme="minorEastAsia"/>
              </w:rPr>
            </w:pPr>
            <w:r w:rsidRPr="008644BE">
              <w:rPr>
                <w:rFonts w:asciiTheme="minorEastAsia" w:eastAsiaTheme="minorEastAsia" w:hAnsiTheme="minorEastAsia"/>
              </w:rPr>
              <w:t>2019年1月1日至2019年12月31日</w:t>
            </w:r>
          </w:p>
        </w:tc>
        <w:tc>
          <w:tcPr>
            <w:tcW w:w="992" w:type="dxa"/>
            <w:tcBorders>
              <w:top w:val="single" w:sz="4" w:space="0" w:color="auto"/>
              <w:left w:val="single" w:sz="4" w:space="0" w:color="auto"/>
              <w:bottom w:val="single" w:sz="4" w:space="0" w:color="auto"/>
              <w:right w:val="single" w:sz="4" w:space="0" w:color="auto"/>
            </w:tcBorders>
            <w:vAlign w:val="center"/>
          </w:tcPr>
          <w:p w:rsidR="005315DE" w:rsidRPr="008644BE" w:rsidRDefault="005315DE" w:rsidP="005315DE">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41.11%</w:t>
            </w:r>
          </w:p>
        </w:tc>
        <w:tc>
          <w:tcPr>
            <w:tcW w:w="1096" w:type="dxa"/>
            <w:tcBorders>
              <w:top w:val="single" w:sz="4" w:space="0" w:color="auto"/>
              <w:left w:val="single" w:sz="4" w:space="0" w:color="auto"/>
              <w:bottom w:val="single" w:sz="4" w:space="0" w:color="auto"/>
              <w:right w:val="single" w:sz="4" w:space="0" w:color="auto"/>
            </w:tcBorders>
            <w:vAlign w:val="center"/>
          </w:tcPr>
          <w:p w:rsidR="005315DE" w:rsidRPr="008644BE" w:rsidRDefault="005315DE" w:rsidP="005315DE">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1.26%</w:t>
            </w:r>
          </w:p>
        </w:tc>
        <w:tc>
          <w:tcPr>
            <w:tcW w:w="1181" w:type="dxa"/>
            <w:tcBorders>
              <w:top w:val="single" w:sz="4" w:space="0" w:color="auto"/>
              <w:left w:val="single" w:sz="4" w:space="0" w:color="auto"/>
              <w:bottom w:val="single" w:sz="4" w:space="0" w:color="auto"/>
              <w:right w:val="single" w:sz="4" w:space="0" w:color="auto"/>
            </w:tcBorders>
            <w:vAlign w:val="center"/>
          </w:tcPr>
          <w:p w:rsidR="005315DE" w:rsidRPr="008644BE" w:rsidRDefault="005315DE" w:rsidP="005315DE">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20.21%</w:t>
            </w:r>
          </w:p>
        </w:tc>
        <w:tc>
          <w:tcPr>
            <w:tcW w:w="1188" w:type="dxa"/>
            <w:tcBorders>
              <w:top w:val="single" w:sz="4" w:space="0" w:color="auto"/>
              <w:left w:val="single" w:sz="4" w:space="0" w:color="auto"/>
              <w:bottom w:val="single" w:sz="4" w:space="0" w:color="auto"/>
              <w:right w:val="single" w:sz="4" w:space="0" w:color="auto"/>
            </w:tcBorders>
            <w:vAlign w:val="center"/>
          </w:tcPr>
          <w:p w:rsidR="005315DE" w:rsidRPr="008644BE" w:rsidRDefault="005315DE" w:rsidP="005315DE">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0.61%</w:t>
            </w:r>
          </w:p>
        </w:tc>
        <w:tc>
          <w:tcPr>
            <w:tcW w:w="1199" w:type="dxa"/>
            <w:tcBorders>
              <w:top w:val="single" w:sz="4" w:space="0" w:color="auto"/>
              <w:left w:val="single" w:sz="4" w:space="0" w:color="auto"/>
              <w:bottom w:val="single" w:sz="4" w:space="0" w:color="auto"/>
              <w:right w:val="single" w:sz="4" w:space="0" w:color="auto"/>
            </w:tcBorders>
            <w:vAlign w:val="center"/>
          </w:tcPr>
          <w:p w:rsidR="005315DE" w:rsidRPr="008644BE" w:rsidRDefault="005315DE" w:rsidP="005315DE">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20.90%</w:t>
            </w:r>
          </w:p>
        </w:tc>
        <w:tc>
          <w:tcPr>
            <w:tcW w:w="1204" w:type="dxa"/>
            <w:tcBorders>
              <w:top w:val="single" w:sz="4" w:space="0" w:color="auto"/>
              <w:left w:val="single" w:sz="4" w:space="0" w:color="auto"/>
              <w:bottom w:val="single" w:sz="4" w:space="0" w:color="auto"/>
              <w:right w:val="single" w:sz="4" w:space="0" w:color="auto"/>
            </w:tcBorders>
            <w:vAlign w:val="center"/>
          </w:tcPr>
          <w:p w:rsidR="005315DE" w:rsidRPr="008644BE" w:rsidRDefault="005315DE" w:rsidP="005315DE">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0.65%</w:t>
            </w:r>
          </w:p>
        </w:tc>
      </w:tr>
      <w:tr w:rsidR="007D5F34" w:rsidRPr="008644BE" w:rsidTr="00DB72CC">
        <w:trPr>
          <w:trHeight w:val="1485"/>
        </w:trPr>
        <w:tc>
          <w:tcPr>
            <w:tcW w:w="1560"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left"/>
              <w:rPr>
                <w:rFonts w:asciiTheme="minorEastAsia" w:eastAsiaTheme="minorEastAsia" w:hAnsiTheme="minorEastAsia"/>
              </w:rPr>
            </w:pPr>
            <w:r w:rsidRPr="008644BE">
              <w:rPr>
                <w:rFonts w:asciiTheme="minorEastAsia" w:eastAsiaTheme="minorEastAsia" w:hAnsiTheme="minorEastAsia"/>
              </w:rPr>
              <w:t>2020年1月1日至2020年6月30日</w:t>
            </w:r>
          </w:p>
        </w:tc>
        <w:tc>
          <w:tcPr>
            <w:tcW w:w="992"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18.29%</w:t>
            </w:r>
          </w:p>
        </w:tc>
        <w:tc>
          <w:tcPr>
            <w:tcW w:w="1096"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1.72%</w:t>
            </w:r>
          </w:p>
        </w:tc>
        <w:tc>
          <w:tcPr>
            <w:tcW w:w="1181"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2.15%</w:t>
            </w:r>
          </w:p>
        </w:tc>
        <w:tc>
          <w:tcPr>
            <w:tcW w:w="1188"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0.73%</w:t>
            </w:r>
          </w:p>
        </w:tc>
        <w:tc>
          <w:tcPr>
            <w:tcW w:w="1199"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16.14%</w:t>
            </w:r>
          </w:p>
        </w:tc>
        <w:tc>
          <w:tcPr>
            <w:tcW w:w="1204"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0.99%</w:t>
            </w:r>
          </w:p>
        </w:tc>
      </w:tr>
      <w:tr w:rsidR="007D5F34" w:rsidRPr="008644BE" w:rsidTr="00DB72CC">
        <w:trPr>
          <w:trHeight w:val="1485"/>
        </w:trPr>
        <w:tc>
          <w:tcPr>
            <w:tcW w:w="1560"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left"/>
              <w:rPr>
                <w:rFonts w:asciiTheme="minorEastAsia" w:eastAsiaTheme="minorEastAsia" w:hAnsiTheme="minorEastAsia"/>
              </w:rPr>
            </w:pPr>
            <w:r w:rsidRPr="008644BE">
              <w:rPr>
                <w:rFonts w:asciiTheme="minorEastAsia" w:eastAsiaTheme="minorEastAsia" w:hAnsiTheme="minorEastAsia" w:hint="eastAsia"/>
              </w:rPr>
              <w:lastRenderedPageBreak/>
              <w:t>自基金合同生效日至</w:t>
            </w:r>
            <w:r w:rsidRPr="008644BE">
              <w:rPr>
                <w:rFonts w:asciiTheme="minorEastAsia" w:eastAsiaTheme="minorEastAsia" w:hAnsiTheme="minorEastAsia"/>
              </w:rPr>
              <w:t>2020年6月30日</w:t>
            </w:r>
          </w:p>
        </w:tc>
        <w:tc>
          <w:tcPr>
            <w:tcW w:w="992"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14.50%</w:t>
            </w:r>
          </w:p>
        </w:tc>
        <w:tc>
          <w:tcPr>
            <w:tcW w:w="1096"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2.07%</w:t>
            </w:r>
          </w:p>
        </w:tc>
        <w:tc>
          <w:tcPr>
            <w:tcW w:w="1181"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22.87%</w:t>
            </w:r>
          </w:p>
        </w:tc>
        <w:tc>
          <w:tcPr>
            <w:tcW w:w="1188"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0.76%</w:t>
            </w:r>
          </w:p>
        </w:tc>
        <w:tc>
          <w:tcPr>
            <w:tcW w:w="1199"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-8.37%</w:t>
            </w:r>
          </w:p>
        </w:tc>
        <w:tc>
          <w:tcPr>
            <w:tcW w:w="1204" w:type="dxa"/>
            <w:tcBorders>
              <w:top w:val="single" w:sz="4" w:space="0" w:color="auto"/>
              <w:left w:val="single" w:sz="4" w:space="0" w:color="auto"/>
              <w:bottom w:val="single" w:sz="4" w:space="0" w:color="auto"/>
              <w:right w:val="single" w:sz="4" w:space="0" w:color="auto"/>
            </w:tcBorders>
            <w:vAlign w:val="center"/>
          </w:tcPr>
          <w:p w:rsidR="007D5F34" w:rsidRPr="008644BE" w:rsidRDefault="007D5F34" w:rsidP="007D5F34">
            <w:pPr>
              <w:snapToGrid w:val="0"/>
              <w:spacing w:line="360" w:lineRule="auto"/>
              <w:jc w:val="center"/>
              <w:rPr>
                <w:rFonts w:asciiTheme="minorEastAsia" w:eastAsiaTheme="minorEastAsia" w:hAnsiTheme="minorEastAsia"/>
                <w:szCs w:val="21"/>
              </w:rPr>
            </w:pPr>
            <w:r w:rsidRPr="008644BE">
              <w:rPr>
                <w:rFonts w:asciiTheme="minorEastAsia" w:eastAsiaTheme="minorEastAsia" w:hAnsiTheme="minorEastAsia"/>
                <w:szCs w:val="21"/>
              </w:rPr>
              <w:t>1.31%</w:t>
            </w:r>
          </w:p>
        </w:tc>
      </w:tr>
    </w:tbl>
    <w:p w:rsidR="008E3160" w:rsidRPr="008644BE" w:rsidRDefault="008E3160" w:rsidP="00936084">
      <w:pPr>
        <w:snapToGrid w:val="0"/>
        <w:spacing w:line="360" w:lineRule="auto"/>
        <w:ind w:firstLineChars="200" w:firstLine="420"/>
        <w:rPr>
          <w:rFonts w:asciiTheme="minorEastAsia" w:eastAsiaTheme="minorEastAsia" w:hAnsiTheme="minorEastAsia"/>
          <w:szCs w:val="21"/>
        </w:rPr>
        <w:sectPr w:rsidR="008E3160" w:rsidRPr="008644BE" w:rsidSect="00DB72CC">
          <w:footerReference w:type="default" r:id="rId17"/>
          <w:pgSz w:w="11906" w:h="16838" w:code="9"/>
          <w:pgMar w:top="1440" w:right="1803" w:bottom="1440" w:left="1803" w:header="851" w:footer="992" w:gutter="0"/>
          <w:pgNumType w:start="1"/>
          <w:cols w:space="720"/>
          <w:docGrid w:type="lines" w:linePitch="317"/>
        </w:sectPr>
      </w:pPr>
    </w:p>
    <w:p w:rsidR="00BA4B87" w:rsidRPr="008644BE" w:rsidRDefault="004C1D62" w:rsidP="00936084">
      <w:pPr>
        <w:pStyle w:val="1"/>
        <w:snapToGrid w:val="0"/>
        <w:spacing w:beforeLines="0" w:afterLines="0" w:line="360" w:lineRule="auto"/>
        <w:ind w:firstLine="600"/>
        <w:rPr>
          <w:rFonts w:asciiTheme="minorEastAsia" w:eastAsiaTheme="minorEastAsia" w:hAnsiTheme="minorEastAsia"/>
          <w:szCs w:val="21"/>
        </w:rPr>
      </w:pPr>
      <w:bookmarkStart w:id="84" w:name="_Toc49269638"/>
      <w:bookmarkStart w:id="85" w:name="_Toc332373538"/>
      <w:r w:rsidRPr="008644BE">
        <w:rPr>
          <w:rFonts w:asciiTheme="minorEastAsia" w:eastAsiaTheme="minorEastAsia" w:hAnsiTheme="minorEastAsia" w:hint="eastAsia"/>
          <w:sz w:val="30"/>
        </w:rPr>
        <w:lastRenderedPageBreak/>
        <w:t>十三</w:t>
      </w:r>
      <w:r w:rsidR="00BA4B87" w:rsidRPr="008644BE">
        <w:rPr>
          <w:rFonts w:asciiTheme="minorEastAsia" w:eastAsiaTheme="minorEastAsia" w:hAnsiTheme="minorEastAsia" w:hint="eastAsia"/>
          <w:sz w:val="30"/>
        </w:rPr>
        <w:t>、基金的财产</w:t>
      </w:r>
      <w:bookmarkEnd w:id="84"/>
    </w:p>
    <w:bookmarkEnd w:id="85"/>
    <w:p w:rsidR="00335663" w:rsidRPr="008644BE" w:rsidRDefault="00335663"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一</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基金资产总值</w:t>
      </w:r>
    </w:p>
    <w:p w:rsidR="00335663" w:rsidRPr="008644BE" w:rsidRDefault="00335663"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基金资产总值是指购买的各类证券及票据价值、银行存款本息和基金应收的申购基金款以及其他投资所形成的价值总和。</w:t>
      </w:r>
    </w:p>
    <w:p w:rsidR="00335663" w:rsidRPr="008644BE" w:rsidRDefault="00335663"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二</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基金资产净值</w:t>
      </w:r>
    </w:p>
    <w:p w:rsidR="00335663" w:rsidRPr="008644BE" w:rsidRDefault="00335663"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基金资产净值是指基金资产总值减去基金负债后的价值。</w:t>
      </w:r>
    </w:p>
    <w:p w:rsidR="00335663" w:rsidRPr="008644BE" w:rsidRDefault="00335663"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三</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基金财产的账户</w:t>
      </w:r>
    </w:p>
    <w:p w:rsidR="00335663" w:rsidRPr="008644BE" w:rsidRDefault="00335663"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基金托管人根据相关法律法规、规范性文件为本基金开立资金</w:t>
      </w:r>
      <w:r w:rsidRPr="008644BE">
        <w:rPr>
          <w:rFonts w:asciiTheme="minorEastAsia" w:eastAsiaTheme="minorEastAsia" w:hAnsiTheme="minorEastAsia" w:hint="eastAsia"/>
          <w:bCs/>
          <w:szCs w:val="21"/>
        </w:rPr>
        <w:t>账户</w:t>
      </w:r>
      <w:r w:rsidRPr="008644BE">
        <w:rPr>
          <w:rFonts w:asciiTheme="minorEastAsia" w:eastAsiaTheme="minorEastAsia" w:hAnsiTheme="minorEastAsia"/>
          <w:bCs/>
          <w:szCs w:val="21"/>
        </w:rPr>
        <w:t>、证券</w:t>
      </w:r>
      <w:r w:rsidRPr="008644BE">
        <w:rPr>
          <w:rFonts w:asciiTheme="minorEastAsia" w:eastAsiaTheme="minorEastAsia" w:hAnsiTheme="minorEastAsia" w:hint="eastAsia"/>
          <w:bCs/>
          <w:szCs w:val="21"/>
        </w:rPr>
        <w:t>账户</w:t>
      </w:r>
      <w:r w:rsidRPr="008644BE">
        <w:rPr>
          <w:rFonts w:asciiTheme="minorEastAsia" w:eastAsiaTheme="minorEastAsia" w:hAnsiTheme="minorEastAsia"/>
          <w:bCs/>
          <w:szCs w:val="21"/>
        </w:rPr>
        <w:t>以及投资所需的其他专用</w:t>
      </w:r>
      <w:r w:rsidRPr="008644BE">
        <w:rPr>
          <w:rFonts w:asciiTheme="minorEastAsia" w:eastAsiaTheme="minorEastAsia" w:hAnsiTheme="minorEastAsia" w:hint="eastAsia"/>
          <w:bCs/>
          <w:szCs w:val="21"/>
        </w:rPr>
        <w:t>账户</w:t>
      </w:r>
      <w:r w:rsidRPr="008644BE">
        <w:rPr>
          <w:rFonts w:asciiTheme="minorEastAsia" w:eastAsiaTheme="minorEastAsia" w:hAnsiTheme="minorEastAsia"/>
          <w:bCs/>
          <w:szCs w:val="21"/>
        </w:rPr>
        <w:t>。开立的基金专用账户与基金管理人、基金托管人、基金销售机构和基金登记机构自有的财产账户以及其他基金财产账户相独立。</w:t>
      </w:r>
    </w:p>
    <w:p w:rsidR="00335663" w:rsidRPr="008644BE" w:rsidRDefault="00335663"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四</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基金财产的保管和处分</w:t>
      </w:r>
    </w:p>
    <w:p w:rsidR="00335663" w:rsidRPr="008644BE" w:rsidRDefault="00335663"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本基金财产独立于基金管理人、基金托管人和基金</w:t>
      </w:r>
      <w:r w:rsidRPr="008644BE">
        <w:rPr>
          <w:rFonts w:asciiTheme="minorEastAsia" w:eastAsiaTheme="minorEastAsia" w:hAnsiTheme="minorEastAsia" w:hint="eastAsia"/>
          <w:bCs/>
          <w:szCs w:val="21"/>
        </w:rPr>
        <w:t>销售</w:t>
      </w:r>
      <w:r w:rsidRPr="008644BE">
        <w:rPr>
          <w:rFonts w:asciiTheme="minorEastAsia" w:eastAsiaTheme="minorEastAsia" w:hAnsiTheme="minorEastAsia"/>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8644BE" w:rsidRDefault="00335663"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8644BE" w:rsidRDefault="00BA4B87" w:rsidP="00936084">
      <w:pPr>
        <w:pStyle w:val="1"/>
        <w:snapToGrid w:val="0"/>
        <w:spacing w:beforeLines="0" w:afterLines="0" w:line="360" w:lineRule="auto"/>
        <w:ind w:firstLine="600"/>
        <w:rPr>
          <w:rFonts w:asciiTheme="minorEastAsia" w:eastAsiaTheme="minorEastAsia" w:hAnsiTheme="minorEastAsia"/>
          <w:bCs/>
        </w:rPr>
      </w:pPr>
      <w:r w:rsidRPr="008644BE">
        <w:rPr>
          <w:rFonts w:asciiTheme="minorEastAsia" w:eastAsiaTheme="minorEastAsia" w:hAnsiTheme="minorEastAsia" w:hint="eastAsia"/>
          <w:sz w:val="30"/>
        </w:rPr>
        <w:br w:type="column"/>
      </w:r>
      <w:bookmarkStart w:id="86" w:name="_Toc49269639"/>
      <w:bookmarkStart w:id="87" w:name="_Toc332373543"/>
      <w:r w:rsidR="004C1D62" w:rsidRPr="008644BE">
        <w:rPr>
          <w:rFonts w:asciiTheme="minorEastAsia" w:eastAsiaTheme="minorEastAsia" w:hAnsiTheme="minorEastAsia" w:hint="eastAsia"/>
          <w:sz w:val="30"/>
        </w:rPr>
        <w:lastRenderedPageBreak/>
        <w:t>十四</w:t>
      </w:r>
      <w:r w:rsidRPr="008644BE">
        <w:rPr>
          <w:rFonts w:asciiTheme="minorEastAsia" w:eastAsiaTheme="minorEastAsia" w:hAnsiTheme="minorEastAsia" w:hint="eastAsia"/>
          <w:sz w:val="30"/>
        </w:rPr>
        <w:t>、基金资产的估值</w:t>
      </w:r>
      <w:bookmarkEnd w:id="86"/>
    </w:p>
    <w:bookmarkEnd w:id="87"/>
    <w:p w:rsidR="006872D3" w:rsidRPr="008644BE" w:rsidRDefault="005627CF"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一</w:t>
      </w: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估值日</w:t>
      </w:r>
    </w:p>
    <w:p w:rsidR="006872D3" w:rsidRPr="008644BE" w:rsidRDefault="006872D3"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本基金的估值日为本基金相关的证券交易场所的交易日以及国家法律法规规定需要对外披露基金净值的非交易日。</w:t>
      </w:r>
    </w:p>
    <w:p w:rsidR="006872D3" w:rsidRPr="008644BE" w:rsidRDefault="005627CF"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二</w:t>
      </w: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估值对象</w:t>
      </w:r>
    </w:p>
    <w:p w:rsidR="006872D3"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基金所拥有的股票、权证、债券和银行存款本息、应收款项、其它投资等资产及负债。</w:t>
      </w:r>
    </w:p>
    <w:p w:rsidR="006872D3" w:rsidRPr="008644BE" w:rsidRDefault="005627CF"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三</w:t>
      </w: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估值方法</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1、证券交易所上市的有价证券的估值</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B1A14" w:rsidRPr="008644BE">
        <w:rPr>
          <w:rStyle w:val="da"/>
          <w:rFonts w:asciiTheme="minorEastAsia" w:eastAsiaTheme="minorEastAsia" w:hAnsiTheme="minorEastAsia" w:hint="eastAsia"/>
          <w:szCs w:val="21"/>
        </w:rPr>
        <w:t>；</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2、处于未上市期间的有价证券应区分如下情况处理：</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（1）送股、转增股、配股和公开增发的新股，按估值日在证券交易所挂牌的同一股票的估值方法估值；该日无交易的，以最近一日的市价（收盘价）估值；</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（2）首次公开发行未上市的股票、债券和权证，采用估值技术确定公允价值，在估值技术难以可靠计量公允价值的情况下，按成本估值</w:t>
      </w:r>
      <w:r w:rsidR="002B1A14" w:rsidRPr="008644BE">
        <w:rPr>
          <w:rStyle w:val="da"/>
          <w:rFonts w:asciiTheme="minorEastAsia" w:eastAsiaTheme="minorEastAsia" w:hAnsiTheme="minorEastAsia" w:hint="eastAsia"/>
          <w:szCs w:val="21"/>
        </w:rPr>
        <w:t>；</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（3）首次公开发行有明确锁定期的股票，同一股票在交易所上市后，按交易所上市的同一股票的估值方法估值；非公开发行有明确锁定期的股票，按监管机构或行业协会有关规定确定公允价值。</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3、全国银行间债券市场交易的债券、资产支持证券等固定收益品种，采用估值技术确</w:t>
      </w:r>
      <w:r w:rsidRPr="008644BE">
        <w:rPr>
          <w:rStyle w:val="da"/>
          <w:rFonts w:asciiTheme="minorEastAsia" w:eastAsiaTheme="minorEastAsia" w:hAnsiTheme="minorEastAsia" w:hint="eastAsia"/>
          <w:szCs w:val="21"/>
        </w:rPr>
        <w:lastRenderedPageBreak/>
        <w:t>定公允价值。</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4、股指期货合约按照估值当日的结算价进行估值。估值当日无结算价，且最近交易日后经济环境未发生重大变化的，采用最近交易日结算价估值。</w:t>
      </w:r>
    </w:p>
    <w:p w:rsidR="00F5463B" w:rsidRPr="008644BE" w:rsidRDefault="00F5463B"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5、同一债券同时在两个或两个以上市场交易的，按债券所处的市场分别估值。</w:t>
      </w:r>
    </w:p>
    <w:p w:rsidR="00F5463B" w:rsidRPr="008644BE" w:rsidRDefault="00F5463B"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6、</w:t>
      </w:r>
      <w:r w:rsidRPr="008644BE">
        <w:rPr>
          <w:rStyle w:val="da"/>
          <w:rFonts w:asciiTheme="minorEastAsia" w:eastAsiaTheme="minorEastAsia" w:hAnsiTheme="minorEastAsia"/>
          <w:szCs w:val="21"/>
        </w:rPr>
        <w:t>如有</w:t>
      </w:r>
      <w:r w:rsidRPr="008644BE">
        <w:rPr>
          <w:rStyle w:val="da"/>
          <w:rFonts w:asciiTheme="minorEastAsia" w:eastAsiaTheme="minorEastAsia" w:hAnsiTheme="minorEastAsia" w:hint="eastAsia"/>
          <w:szCs w:val="21"/>
        </w:rPr>
        <w:t>充足理由认为</w:t>
      </w:r>
      <w:r w:rsidRPr="008644BE">
        <w:rPr>
          <w:rStyle w:val="da"/>
          <w:rFonts w:asciiTheme="minorEastAsia" w:eastAsiaTheme="minorEastAsia" w:hAnsiTheme="minorEastAsia"/>
          <w:szCs w:val="21"/>
        </w:rPr>
        <w:t>按上述方法进行估值不能客观反映其公允价值的，基金管理人可根据具体情况与基金托管人商定后，按最能反映公允价值的价格估值。</w:t>
      </w:r>
    </w:p>
    <w:p w:rsidR="00F5463B" w:rsidRPr="008644BE" w:rsidRDefault="00F5463B"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7</w:t>
      </w:r>
      <w:r w:rsidRPr="008644BE">
        <w:rPr>
          <w:rStyle w:val="da"/>
          <w:rFonts w:asciiTheme="minorEastAsia" w:eastAsiaTheme="minorEastAsia" w:hAnsiTheme="minorEastAsia"/>
          <w:szCs w:val="21"/>
        </w:rPr>
        <w:t>、相关法律法规以及监管部门有强制规定的，从其规定。如有新增事项，按国家最新规定估值。</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872D3"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8644BE" w:rsidRDefault="005627CF"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四</w:t>
      </w: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估值程序</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1、基金份额净值是按照每个工作日闭市后，基金资产净值除以当日基金份额的余额数量计算，精确到0.001元，小数点后第4位四舍五入。国家另有规定的，从其规定。</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每个工作日计算基金资产净值及基金份额净值，并按规定公告。</w:t>
      </w:r>
    </w:p>
    <w:p w:rsidR="006872D3"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2、基</w:t>
      </w:r>
      <w:r w:rsidR="004175EE" w:rsidRPr="008644BE">
        <w:rPr>
          <w:rStyle w:val="da"/>
          <w:rFonts w:asciiTheme="minorEastAsia" w:eastAsiaTheme="minorEastAsia" w:hAnsiTheme="minorEastAsia" w:hint="eastAsia"/>
          <w:szCs w:val="21"/>
        </w:rPr>
        <w:t>金管理人应每个工作日对基金资产估值。但基金管理人根据法律法规或</w:t>
      </w:r>
      <w:r w:rsidRPr="008644BE">
        <w:rPr>
          <w:rStyle w:val="da"/>
          <w:rFonts w:asciiTheme="minorEastAsia" w:eastAsiaTheme="minorEastAsia" w:hAnsiTheme="minorEastAsia" w:hint="eastAsia"/>
          <w:szCs w:val="21"/>
        </w:rPr>
        <w:t>基金合同的规定暂停估值时除外。基金管理人每个工作日对基金资产估值后，将基金份额净值结果发送基金托管人，经基金托管人复核无误后，由基金管理人对外公布。</w:t>
      </w:r>
    </w:p>
    <w:p w:rsidR="006872D3" w:rsidRPr="008644BE" w:rsidRDefault="005627CF"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五</w:t>
      </w: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估值错误的处理</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基金管理人和基金托管人将采取必要、适当、合理的措施确保基金资产估值的准确性、及时性。当基金份额净值小数点后3位以内(含第3位)发生估值错误时，视为基金份额净值错误。</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基金合同的当事人应按照以下约定处理：</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1、估值错误类型</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上述估值错误的主要类型包括但不限于：资料申报差错、数据传输差错、数据计算差错、系统故障差错、下达指令差错等。</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lastRenderedPageBreak/>
        <w:t>2、估值错误处理原则</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（2）估值错误的责任方对有关当事人的直接损失负责，不对间接损失负责，并且仅对估值错误的有关直接当事人负责，不对第三方负责。</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（4）估值错误调整采用尽量恢复至假设未发生估值错误的正确情形的方式。</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3、估值错误处理程序</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估值错误被发现后，有关的当事人应当及时进行处理，处理的程序如下：</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（1）查明估值错误发生的原因，列明所有的当事人，并根据估值错误发生的原因确定估值错误的责任方；</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（2）根据估值错误处理原则或当事人协商的方法对因估值错误造成的损失进行评估；</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（3）根据估值错误处理原则或当事人协商的方法由估值错误的责任方进行更正和赔偿损失；</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（4）根据估值错误处理的方法，需要修改基金登记机构交易数据的，由基金登记机构进行更正，并就估值错误的更正向有关当事人进行确认。</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4、基金份额净值估值错误处理的方法如下：</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（1）基金份额净值计算出现错误时，基金管理人应当立即予以纠正，通报基金托管人，并采取合理的措施防止损失进一步扩大。</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（2）错误偏差达到基金份额净值的0.25%时，基金管理人应当通报基金托管人并报中国证监会备案；错误偏差达到基金份额净值的0.5%时，基金管理人应当公告。</w:t>
      </w:r>
    </w:p>
    <w:p w:rsidR="006872D3"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（3）前述内容如法律法规或监管机关另有规定的，从其规定处理。</w:t>
      </w:r>
    </w:p>
    <w:p w:rsidR="006872D3" w:rsidRPr="008644BE" w:rsidRDefault="005627CF"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六</w:t>
      </w: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暂停估值的情形</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1、基金投资所涉及的证券交易市场遇法定节假日或因其他原因暂停营业时；</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2、因不可抗力致使基金管理人、基金托管人无法准确评估基金资产价值时；</w:t>
      </w:r>
    </w:p>
    <w:p w:rsidR="00AE2A66" w:rsidRPr="008644BE" w:rsidRDefault="00C22BCD" w:rsidP="00B6083E">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lastRenderedPageBreak/>
        <w:t>3</w:t>
      </w:r>
      <w:r w:rsidRPr="008644BE">
        <w:rPr>
          <w:rStyle w:val="da"/>
          <w:rFonts w:asciiTheme="minorEastAsia" w:eastAsiaTheme="minorEastAsia" w:hAnsiTheme="minorEastAsia" w:hint="eastAsia"/>
          <w:szCs w:val="21"/>
        </w:rPr>
        <w:t>、当前一估值日基金资产净值</w:t>
      </w:r>
      <w:r w:rsidRPr="008644BE">
        <w:rPr>
          <w:rStyle w:val="da"/>
          <w:rFonts w:asciiTheme="minorEastAsia" w:eastAsiaTheme="minorEastAsia" w:hAnsiTheme="minorEastAsia"/>
          <w:szCs w:val="21"/>
        </w:rPr>
        <w:t>50%</w:t>
      </w:r>
      <w:r w:rsidRPr="008644BE">
        <w:rPr>
          <w:rStyle w:val="da"/>
          <w:rFonts w:asciiTheme="minorEastAsia" w:eastAsiaTheme="minorEastAsia" w:hAnsiTheme="minorEastAsia" w:hint="eastAsia"/>
          <w:szCs w:val="21"/>
        </w:rPr>
        <w:t>以上的资产出现无可参考的活跃市场价格且采用估值技术仍导致公允价值存在重大不确定性时，经与基金托管人协商一致的；</w:t>
      </w:r>
    </w:p>
    <w:p w:rsidR="006872D3" w:rsidRPr="008644BE" w:rsidRDefault="00296A39"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4</w:t>
      </w:r>
      <w:r w:rsidR="00027992" w:rsidRPr="008644BE">
        <w:rPr>
          <w:rStyle w:val="da"/>
          <w:rFonts w:asciiTheme="minorEastAsia" w:eastAsiaTheme="minorEastAsia" w:hAnsiTheme="minorEastAsia" w:hint="eastAsia"/>
          <w:szCs w:val="21"/>
        </w:rPr>
        <w:t>、中国证监会和基金合同认定的其它情形。</w:t>
      </w:r>
    </w:p>
    <w:p w:rsidR="006872D3" w:rsidRPr="008644BE" w:rsidRDefault="005627CF"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七</w:t>
      </w: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szCs w:val="21"/>
        </w:rPr>
        <w:t>基金净值的确认</w:t>
      </w:r>
    </w:p>
    <w:p w:rsidR="006872D3"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8644BE" w:rsidRDefault="005627CF"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hint="eastAsia"/>
          <w:szCs w:val="21"/>
        </w:rPr>
        <w:t>八</w:t>
      </w:r>
      <w:r w:rsidRPr="008644BE">
        <w:rPr>
          <w:rStyle w:val="da"/>
          <w:rFonts w:asciiTheme="minorEastAsia" w:eastAsiaTheme="minorEastAsia" w:hAnsiTheme="minorEastAsia" w:hint="eastAsia"/>
          <w:szCs w:val="21"/>
        </w:rPr>
        <w:t>）</w:t>
      </w:r>
      <w:r w:rsidR="006872D3" w:rsidRPr="008644BE">
        <w:rPr>
          <w:rStyle w:val="da"/>
          <w:rFonts w:asciiTheme="minorEastAsia" w:eastAsiaTheme="minorEastAsia" w:hAnsiTheme="minorEastAsia" w:hint="eastAsia"/>
          <w:szCs w:val="21"/>
        </w:rPr>
        <w:t>特殊情况的处理</w:t>
      </w:r>
    </w:p>
    <w:p w:rsidR="00027992" w:rsidRPr="008644BE" w:rsidRDefault="00027992"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1、基金管理人或基金托管人按估值方法的第</w:t>
      </w:r>
      <w:r w:rsidR="001979DE" w:rsidRPr="008644BE">
        <w:rPr>
          <w:rStyle w:val="da"/>
          <w:rFonts w:asciiTheme="minorEastAsia" w:eastAsiaTheme="minorEastAsia" w:hAnsiTheme="minorEastAsia" w:hint="eastAsia"/>
          <w:szCs w:val="21"/>
        </w:rPr>
        <w:t>6</w:t>
      </w:r>
      <w:r w:rsidRPr="008644BE">
        <w:rPr>
          <w:rStyle w:val="da"/>
          <w:rFonts w:asciiTheme="minorEastAsia" w:eastAsiaTheme="minorEastAsia" w:hAnsiTheme="minorEastAsia" w:hint="eastAsia"/>
          <w:szCs w:val="21"/>
        </w:rPr>
        <w:t>项进行估值时，所造成的误差不作为基金资产估值错误处理。</w:t>
      </w:r>
    </w:p>
    <w:p w:rsidR="00DD6813" w:rsidRPr="008644BE" w:rsidRDefault="00027992" w:rsidP="00936084">
      <w:pPr>
        <w:snapToGrid w:val="0"/>
        <w:spacing w:line="360" w:lineRule="auto"/>
        <w:ind w:firstLineChars="200" w:firstLine="420"/>
        <w:rPr>
          <w:rFonts w:asciiTheme="minorEastAsia" w:eastAsiaTheme="minorEastAsia" w:hAnsiTheme="minorEastAsia"/>
          <w:szCs w:val="21"/>
        </w:rPr>
      </w:pPr>
      <w:r w:rsidRPr="008644BE">
        <w:rPr>
          <w:rStyle w:val="da"/>
          <w:rFonts w:asciiTheme="minorEastAsia" w:eastAsiaTheme="minorEastAsia" w:hAnsiTheme="minorEastAsia" w:hint="eastAsia"/>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A4B87" w:rsidRPr="008644BE" w:rsidRDefault="00BA4B87" w:rsidP="00936084">
      <w:pPr>
        <w:pStyle w:val="1"/>
        <w:snapToGrid w:val="0"/>
        <w:spacing w:beforeLines="0" w:afterLines="0" w:line="360" w:lineRule="auto"/>
        <w:ind w:firstLine="600"/>
        <w:rPr>
          <w:rFonts w:asciiTheme="minorEastAsia" w:eastAsiaTheme="minorEastAsia" w:hAnsiTheme="minorEastAsia"/>
          <w:bCs/>
        </w:rPr>
      </w:pPr>
      <w:r w:rsidRPr="008644BE">
        <w:rPr>
          <w:rFonts w:asciiTheme="minorEastAsia" w:eastAsiaTheme="minorEastAsia" w:hAnsiTheme="minorEastAsia" w:hint="eastAsia"/>
          <w:sz w:val="30"/>
        </w:rPr>
        <w:br w:type="column"/>
      </w:r>
      <w:bookmarkStart w:id="88" w:name="_Toc49269640"/>
      <w:bookmarkStart w:id="89" w:name="_Toc332373553"/>
      <w:r w:rsidR="004C1D62" w:rsidRPr="008644BE">
        <w:rPr>
          <w:rFonts w:asciiTheme="minorEastAsia" w:eastAsiaTheme="minorEastAsia" w:hAnsiTheme="minorEastAsia" w:hint="eastAsia"/>
          <w:sz w:val="30"/>
        </w:rPr>
        <w:lastRenderedPageBreak/>
        <w:t>十五</w:t>
      </w:r>
      <w:r w:rsidRPr="008644BE">
        <w:rPr>
          <w:rFonts w:asciiTheme="minorEastAsia" w:eastAsiaTheme="minorEastAsia" w:hAnsiTheme="minorEastAsia" w:hint="eastAsia"/>
          <w:sz w:val="30"/>
        </w:rPr>
        <w:t>、基金的收益分配</w:t>
      </w:r>
      <w:bookmarkEnd w:id="88"/>
    </w:p>
    <w:bookmarkEnd w:id="89"/>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一</w:t>
      </w: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基金利润的构成</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基金利润指基金利息收入、投资收益、公允价值变动收益和其他收入扣除相关费用后的余额，基金已实现收益指基金利润减去公允价值变动收益后的余额。</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二</w:t>
      </w: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基金可供分配利润</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基金可供分配利润指截至收益分配基准日基金未分配利润与未分配利润中已实现收益的孰低数。</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三</w:t>
      </w: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基金收益分配原则</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1、在符合有关基金分红条件的前提下，本基金每年收益分配次数最多为</w:t>
      </w:r>
      <w:r w:rsidRPr="008644BE">
        <w:rPr>
          <w:rStyle w:val="da"/>
          <w:rFonts w:asciiTheme="minorEastAsia" w:eastAsiaTheme="minorEastAsia" w:hAnsiTheme="minorEastAsia" w:hint="eastAsia"/>
          <w:szCs w:val="21"/>
        </w:rPr>
        <w:t>12</w:t>
      </w:r>
      <w:r w:rsidRPr="008644BE">
        <w:rPr>
          <w:rStyle w:val="da"/>
          <w:rFonts w:asciiTheme="minorEastAsia" w:eastAsiaTheme="minorEastAsia" w:hAnsiTheme="minorEastAsia"/>
          <w:szCs w:val="21"/>
        </w:rPr>
        <w:t>次，</w:t>
      </w:r>
      <w:r w:rsidRPr="008644BE">
        <w:rPr>
          <w:rStyle w:val="da"/>
          <w:rFonts w:asciiTheme="minorEastAsia" w:eastAsiaTheme="minorEastAsia" w:hAnsiTheme="minorEastAsia" w:hint="eastAsia"/>
          <w:szCs w:val="21"/>
        </w:rPr>
        <w:t>每份基金份额</w:t>
      </w:r>
      <w:r w:rsidRPr="008644BE">
        <w:rPr>
          <w:rStyle w:val="da"/>
          <w:rFonts w:asciiTheme="minorEastAsia" w:eastAsiaTheme="minorEastAsia" w:hAnsiTheme="minorEastAsia"/>
          <w:szCs w:val="21"/>
        </w:rPr>
        <w:t>每次分配比例不得低于</w:t>
      </w:r>
      <w:r w:rsidRPr="008644BE">
        <w:rPr>
          <w:rStyle w:val="da"/>
          <w:rFonts w:asciiTheme="minorEastAsia" w:eastAsiaTheme="minorEastAsia" w:hAnsiTheme="minorEastAsia" w:hint="eastAsia"/>
          <w:szCs w:val="21"/>
        </w:rPr>
        <w:t>收益分配基准日每份基金份额</w:t>
      </w:r>
      <w:r w:rsidRPr="008644BE">
        <w:rPr>
          <w:rStyle w:val="da"/>
          <w:rFonts w:asciiTheme="minorEastAsia" w:eastAsiaTheme="minorEastAsia" w:hAnsiTheme="minorEastAsia"/>
          <w:szCs w:val="21"/>
        </w:rPr>
        <w:t>可供分配利润的</w:t>
      </w:r>
      <w:r w:rsidRPr="008644BE">
        <w:rPr>
          <w:rStyle w:val="da"/>
          <w:rFonts w:asciiTheme="minorEastAsia" w:eastAsiaTheme="minorEastAsia" w:hAnsiTheme="minorEastAsia" w:hint="eastAsia"/>
          <w:szCs w:val="21"/>
        </w:rPr>
        <w:t>10</w:t>
      </w:r>
      <w:r w:rsidRPr="008644BE">
        <w:rPr>
          <w:rStyle w:val="da"/>
          <w:rFonts w:asciiTheme="minorEastAsia" w:eastAsiaTheme="minorEastAsia" w:hAnsiTheme="minorEastAsia"/>
          <w:szCs w:val="21"/>
        </w:rPr>
        <w:t>%，若《基金合同》生效不满3个月可不进行收益分配；</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2、本基金收益分配方式分两种：现金分红与红利再投资，投资者可选择现金红利或将现金红利自动转为基金份额进行再投资；若投资者不选择，本基金默认的收益分配方式是现金分红；</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3、基金收益分配后基金份额净值不能低于面值；即基金收益分配基准日的基金份额净值减去每单位基金份额收益分配金额后不能低于面值</w:t>
      </w:r>
      <w:r w:rsidR="008A68AA" w:rsidRPr="008644BE">
        <w:rPr>
          <w:rStyle w:val="da"/>
          <w:rFonts w:asciiTheme="minorEastAsia" w:eastAsiaTheme="minorEastAsia" w:hAnsiTheme="minorEastAsia" w:hint="eastAsia"/>
          <w:szCs w:val="21"/>
        </w:rPr>
        <w:t>；</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4、每一基金份额享有同等分配权；</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5、</w:t>
      </w:r>
      <w:r w:rsidR="00BA3E7F" w:rsidRPr="008644BE">
        <w:rPr>
          <w:rStyle w:val="da"/>
          <w:rFonts w:asciiTheme="minorEastAsia" w:eastAsiaTheme="minorEastAsia" w:hAnsiTheme="minorEastAsia" w:hint="eastAsia"/>
          <w:szCs w:val="21"/>
        </w:rPr>
        <w:t>在对基金份额持有人利益无实质不利影响的情况下，基金管理人可调整基金收益的分配原则和支付方式，不需召开基金份额持有人大会审议</w:t>
      </w:r>
      <w:r w:rsidR="00F27306" w:rsidRPr="008644BE">
        <w:rPr>
          <w:rStyle w:val="da"/>
          <w:rFonts w:asciiTheme="minorEastAsia" w:eastAsiaTheme="minorEastAsia" w:hAnsiTheme="minorEastAsia" w:hint="eastAsia"/>
          <w:szCs w:val="21"/>
        </w:rPr>
        <w:t>；</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6、</w:t>
      </w:r>
      <w:r w:rsidRPr="008644BE">
        <w:rPr>
          <w:rStyle w:val="da"/>
          <w:rFonts w:asciiTheme="minorEastAsia" w:eastAsiaTheme="minorEastAsia" w:hAnsiTheme="minorEastAsia"/>
          <w:szCs w:val="21"/>
        </w:rPr>
        <w:t>法律法规或监管机关另有规定的，从其规定。</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四</w:t>
      </w: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收益分配方案</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基金收益分配方案中应载明截止收益分配基准日的可供分配利润、基金收益分配对象、分配时间、分配数额及比例、分配方式等内容。</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五</w:t>
      </w: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收益分配方案的确定、公告与实施</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本基金收益分配方案由基金管理人拟定，并由基金托管人复核，</w:t>
      </w:r>
      <w:r w:rsidR="00CF795F" w:rsidRPr="008644BE">
        <w:rPr>
          <w:rStyle w:val="da"/>
          <w:rFonts w:asciiTheme="minorEastAsia" w:eastAsiaTheme="minorEastAsia" w:hAnsiTheme="minorEastAsia" w:hint="eastAsia"/>
          <w:szCs w:val="21"/>
        </w:rPr>
        <w:t>在2日内在指定媒介公告</w:t>
      </w:r>
      <w:r w:rsidRPr="008644BE">
        <w:rPr>
          <w:rStyle w:val="da"/>
          <w:rFonts w:asciiTheme="minorEastAsia" w:eastAsiaTheme="minorEastAsia" w:hAnsiTheme="minorEastAsia"/>
          <w:szCs w:val="21"/>
        </w:rPr>
        <w:t>。</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基金红利发放日距离收益分配基准日（即可供分配利润计算截止日）的时间不得超过15个工作日。</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六</w:t>
      </w:r>
      <w:r w:rsidRPr="008644BE">
        <w:rPr>
          <w:rStyle w:val="da"/>
          <w:rFonts w:asciiTheme="minorEastAsia" w:eastAsiaTheme="minorEastAsia" w:hAnsiTheme="minorEastAsia" w:hint="eastAsia"/>
          <w:szCs w:val="21"/>
        </w:rPr>
        <w:t>）</w:t>
      </w:r>
      <w:r w:rsidRPr="008644BE">
        <w:rPr>
          <w:rStyle w:val="da"/>
          <w:rFonts w:asciiTheme="minorEastAsia" w:eastAsiaTheme="minorEastAsia" w:hAnsiTheme="minorEastAsia"/>
          <w:szCs w:val="21"/>
        </w:rPr>
        <w:t>基金收益分配中发生的费用</w:t>
      </w:r>
    </w:p>
    <w:p w:rsidR="004D4777" w:rsidRPr="008644BE" w:rsidRDefault="004D4777" w:rsidP="00936084">
      <w:pPr>
        <w:snapToGrid w:val="0"/>
        <w:spacing w:line="360" w:lineRule="auto"/>
        <w:ind w:firstLineChars="200" w:firstLine="420"/>
        <w:rPr>
          <w:rStyle w:val="da"/>
          <w:rFonts w:asciiTheme="minorEastAsia" w:eastAsiaTheme="minorEastAsia" w:hAnsiTheme="minorEastAsia"/>
          <w:szCs w:val="21"/>
        </w:rPr>
      </w:pPr>
      <w:r w:rsidRPr="008644BE">
        <w:rPr>
          <w:rStyle w:val="da"/>
          <w:rFonts w:asciiTheme="minorEastAsia" w:eastAsiaTheme="minorEastAsia" w:hAnsiTheme="minor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BA4B87" w:rsidRPr="008644BE" w:rsidRDefault="00BA4B87" w:rsidP="00936084">
      <w:pPr>
        <w:pStyle w:val="1"/>
        <w:snapToGrid w:val="0"/>
        <w:spacing w:beforeLines="0" w:afterLines="0" w:line="360" w:lineRule="auto"/>
        <w:ind w:firstLine="640"/>
        <w:rPr>
          <w:rFonts w:asciiTheme="minorEastAsia" w:eastAsiaTheme="minorEastAsia" w:hAnsiTheme="minorEastAsia"/>
          <w:bCs/>
        </w:rPr>
      </w:pPr>
      <w:r w:rsidRPr="008644BE">
        <w:rPr>
          <w:rFonts w:asciiTheme="minorEastAsia" w:eastAsiaTheme="minorEastAsia" w:hAnsiTheme="minorEastAsia" w:hint="eastAsia"/>
          <w:szCs w:val="21"/>
        </w:rPr>
        <w:br w:type="column"/>
      </w:r>
      <w:bookmarkStart w:id="90" w:name="_Toc49269641"/>
      <w:bookmarkStart w:id="91" w:name="_Toc332373560"/>
      <w:r w:rsidR="004C1D62" w:rsidRPr="008644BE">
        <w:rPr>
          <w:rFonts w:asciiTheme="minorEastAsia" w:eastAsiaTheme="minorEastAsia" w:hAnsiTheme="minorEastAsia" w:hint="eastAsia"/>
          <w:sz w:val="30"/>
        </w:rPr>
        <w:lastRenderedPageBreak/>
        <w:t>十六</w:t>
      </w:r>
      <w:r w:rsidRPr="008644BE">
        <w:rPr>
          <w:rFonts w:asciiTheme="minorEastAsia" w:eastAsiaTheme="minorEastAsia" w:hAnsiTheme="minorEastAsia" w:hint="eastAsia"/>
          <w:sz w:val="30"/>
        </w:rPr>
        <w:t>、基金的费用与税收</w:t>
      </w:r>
      <w:bookmarkEnd w:id="90"/>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92" w:name="_Toc332373561"/>
      <w:bookmarkEnd w:id="91"/>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一</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基金费用的种类</w:t>
      </w:r>
    </w:p>
    <w:bookmarkEnd w:id="92"/>
    <w:p w:rsidR="00F74612" w:rsidRPr="008644BE" w:rsidRDefault="00F7461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1、基金管理人的管理费；</w:t>
      </w:r>
    </w:p>
    <w:p w:rsidR="00F74612" w:rsidRPr="008644BE" w:rsidRDefault="00F7461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2、基金托管人的托管费；</w:t>
      </w:r>
    </w:p>
    <w:p w:rsidR="00F74612" w:rsidRPr="008644BE" w:rsidRDefault="00F7461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3、《基金合同》生效后与基金相关的信息披露费用；</w:t>
      </w:r>
    </w:p>
    <w:p w:rsidR="00F74612" w:rsidRPr="008644BE" w:rsidRDefault="00F7461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4、《基金合同》生效后与基金相关的会计师费、律师费</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诉讼费</w:t>
      </w:r>
      <w:r w:rsidRPr="008644BE">
        <w:rPr>
          <w:rFonts w:asciiTheme="minorEastAsia" w:eastAsiaTheme="minorEastAsia" w:hAnsiTheme="minorEastAsia" w:hint="eastAsia"/>
          <w:szCs w:val="21"/>
        </w:rPr>
        <w:t>和仲裁费</w:t>
      </w:r>
      <w:r w:rsidRPr="008644BE">
        <w:rPr>
          <w:rFonts w:asciiTheme="minorEastAsia" w:eastAsiaTheme="minorEastAsia" w:hAnsiTheme="minorEastAsia"/>
          <w:szCs w:val="21"/>
        </w:rPr>
        <w:t>；</w:t>
      </w:r>
    </w:p>
    <w:p w:rsidR="00F74612" w:rsidRPr="008644BE" w:rsidRDefault="00F7461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5、基金份额持有人大会费用；</w:t>
      </w:r>
    </w:p>
    <w:p w:rsidR="00F74612" w:rsidRPr="008644BE" w:rsidRDefault="00F7461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6、基金的证券交易费用；</w:t>
      </w:r>
    </w:p>
    <w:p w:rsidR="00F74612" w:rsidRPr="008644BE" w:rsidRDefault="00F7461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7、基金的银行汇划费用；</w:t>
      </w:r>
    </w:p>
    <w:p w:rsidR="00F74612" w:rsidRPr="008644BE" w:rsidRDefault="00F7461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8、</w:t>
      </w:r>
      <w:r w:rsidRPr="008644BE">
        <w:rPr>
          <w:rFonts w:asciiTheme="minorEastAsia" w:eastAsiaTheme="minorEastAsia" w:hAnsiTheme="minorEastAsia" w:hint="eastAsia"/>
          <w:szCs w:val="21"/>
        </w:rPr>
        <w:t>证券账户开户费用、银行账户维护费用；</w:t>
      </w:r>
    </w:p>
    <w:p w:rsidR="00F74612" w:rsidRPr="008644BE" w:rsidRDefault="00F74612"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9</w:t>
      </w:r>
      <w:r w:rsidRPr="008644BE">
        <w:rPr>
          <w:rFonts w:asciiTheme="minorEastAsia" w:eastAsiaTheme="minorEastAsia" w:hAnsiTheme="minorEastAsia"/>
          <w:szCs w:val="21"/>
        </w:rPr>
        <w:t>、按照国家有关规定和《基金合同》约定，可以在基金财产中列支的其他费用。</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93" w:name="_Toc332373562"/>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二</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基金费用计提方法、计提标准和支付方式</w:t>
      </w:r>
    </w:p>
    <w:bookmarkEnd w:id="93"/>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1、基金管理人的管理费</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本基金的管理费按前一日基金资产净值的</w:t>
      </w:r>
      <w:r w:rsidRPr="008644BE">
        <w:rPr>
          <w:rFonts w:asciiTheme="minorEastAsia" w:eastAsiaTheme="minorEastAsia" w:hAnsiTheme="minorEastAsia" w:hint="eastAsia"/>
          <w:szCs w:val="21"/>
        </w:rPr>
        <w:t>1.50</w:t>
      </w:r>
      <w:r w:rsidRPr="008644BE">
        <w:rPr>
          <w:rFonts w:asciiTheme="minorEastAsia" w:eastAsiaTheme="minorEastAsia" w:hAnsiTheme="minorEastAsia"/>
          <w:szCs w:val="21"/>
        </w:rPr>
        <w:t>%年费率计提。管理费的计算方法如下：</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H＝E×</w:t>
      </w:r>
      <w:r w:rsidRPr="008644BE">
        <w:rPr>
          <w:rFonts w:asciiTheme="minorEastAsia" w:eastAsiaTheme="minorEastAsia" w:hAnsiTheme="minorEastAsia" w:hint="eastAsia"/>
          <w:szCs w:val="21"/>
        </w:rPr>
        <w:t>1.50</w:t>
      </w:r>
      <w:r w:rsidRPr="008644BE">
        <w:rPr>
          <w:rFonts w:asciiTheme="minorEastAsia" w:eastAsiaTheme="minorEastAsia" w:hAnsiTheme="minorEastAsia"/>
          <w:szCs w:val="21"/>
        </w:rPr>
        <w:t>%÷当年天数</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H为每日应计提的基金管理费</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E为前一日的基金资产净值</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基金管理费每日计提，按月支付。由基金托管人根据与基金管理人核对一致的财务数据，自动在月初5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2、基金托管人的托管费</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本基金的托管费按前一日基金资产净值的</w:t>
      </w:r>
      <w:r w:rsidRPr="008644BE">
        <w:rPr>
          <w:rFonts w:asciiTheme="minorEastAsia" w:eastAsiaTheme="minorEastAsia" w:hAnsiTheme="minorEastAsia" w:hint="eastAsia"/>
          <w:szCs w:val="21"/>
        </w:rPr>
        <w:t>0.25</w:t>
      </w:r>
      <w:r w:rsidRPr="008644BE">
        <w:rPr>
          <w:rFonts w:asciiTheme="minorEastAsia" w:eastAsiaTheme="minorEastAsia" w:hAnsiTheme="minorEastAsia"/>
          <w:szCs w:val="21"/>
        </w:rPr>
        <w:t>%的年费率计提。托管费的计算方法如下：</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H＝E×</w:t>
      </w:r>
      <w:r w:rsidRPr="008644BE">
        <w:rPr>
          <w:rFonts w:asciiTheme="minorEastAsia" w:eastAsiaTheme="minorEastAsia" w:hAnsiTheme="minorEastAsia" w:hint="eastAsia"/>
          <w:szCs w:val="21"/>
        </w:rPr>
        <w:t>0.25</w:t>
      </w:r>
      <w:r w:rsidRPr="008644BE">
        <w:rPr>
          <w:rFonts w:asciiTheme="minorEastAsia" w:eastAsiaTheme="minorEastAsia" w:hAnsiTheme="minorEastAsia"/>
          <w:szCs w:val="21"/>
        </w:rPr>
        <w:t>%÷当年天数</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H为每日应计提的基金托管费</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E为前一日的基金资产净值</w:t>
      </w:r>
    </w:p>
    <w:p w:rsidR="006D455E" w:rsidRPr="008644BE" w:rsidRDefault="006D455E"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基金托管费每日计提，按月支付。由基金托管人根据与基金管理人核对一致的财务数据，自动在月初5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rsidR="006D455E" w:rsidRPr="008644BE" w:rsidRDefault="006D455E" w:rsidP="00936084">
      <w:pPr>
        <w:snapToGrid w:val="0"/>
        <w:spacing w:line="360" w:lineRule="auto"/>
        <w:ind w:firstLineChars="200" w:firstLine="420"/>
        <w:rPr>
          <w:rFonts w:asciiTheme="minorEastAsia" w:eastAsiaTheme="minorEastAsia" w:hAnsiTheme="minorEastAsia"/>
          <w:bCs/>
          <w:sz w:val="24"/>
        </w:rPr>
      </w:pPr>
      <w:r w:rsidRPr="008644BE">
        <w:rPr>
          <w:rFonts w:asciiTheme="minorEastAsia" w:eastAsiaTheme="minorEastAsia" w:hAnsiTheme="minorEastAsia"/>
          <w:szCs w:val="21"/>
        </w:rPr>
        <w:t>上述“一、基金费用的种类中第3－</w:t>
      </w:r>
      <w:r w:rsidRPr="008644BE">
        <w:rPr>
          <w:rFonts w:asciiTheme="minorEastAsia" w:eastAsiaTheme="minorEastAsia" w:hAnsiTheme="minorEastAsia" w:hint="eastAsia"/>
          <w:szCs w:val="21"/>
        </w:rPr>
        <w:t>9</w:t>
      </w:r>
      <w:r w:rsidRPr="008644BE">
        <w:rPr>
          <w:rFonts w:asciiTheme="minorEastAsia" w:eastAsiaTheme="minorEastAsia" w:hAnsiTheme="minorEastAsia"/>
          <w:szCs w:val="21"/>
        </w:rPr>
        <w:t>项费用”，根据有关法规及相应协议规定，按费用实际支出金额列入当期费用，由基金托管人从基金财产中支付。</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94" w:name="_Toc332373563"/>
      <w:r w:rsidRPr="008644BE">
        <w:rPr>
          <w:rStyle w:val="da"/>
          <w:rFonts w:asciiTheme="minorEastAsia" w:eastAsiaTheme="minorEastAsia" w:hAnsiTheme="minorEastAsia" w:hint="eastAsia"/>
        </w:rPr>
        <w:t>（</w:t>
      </w:r>
      <w:r w:rsidR="00090469" w:rsidRPr="008644BE">
        <w:rPr>
          <w:rStyle w:val="da"/>
          <w:rFonts w:asciiTheme="minorEastAsia" w:eastAsiaTheme="minorEastAsia" w:hAnsiTheme="minorEastAsia" w:hint="eastAsia"/>
        </w:rPr>
        <w:t>三</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不列入基金费用的项目</w:t>
      </w:r>
    </w:p>
    <w:bookmarkEnd w:id="94"/>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下列费用不列入基金费用：</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lastRenderedPageBreak/>
        <w:t>1、基金管理人和基金托管人因未履行或未完全履行义务导致的费用支出或基金财产的损失；</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2、基金管理人和基金托管人处理与基金运作无关的事项发生的费用；</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3、《基金合同》生效前的相关费用；</w:t>
      </w:r>
    </w:p>
    <w:p w:rsidR="00E438A9"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4、其他根据相关法律法规及中国证监会的有关规定不得列入基金费用的项目。</w:t>
      </w:r>
    </w:p>
    <w:p w:rsidR="00762961" w:rsidRPr="008644BE" w:rsidRDefault="002E1C38" w:rsidP="00936084">
      <w:pPr>
        <w:snapToGrid w:val="0"/>
        <w:spacing w:line="360" w:lineRule="auto"/>
        <w:ind w:firstLineChars="200" w:firstLine="420"/>
        <w:rPr>
          <w:rFonts w:asciiTheme="minorEastAsia" w:eastAsiaTheme="minorEastAsia" w:hAnsiTheme="minorEastAsia"/>
          <w:bCs/>
          <w:szCs w:val="21"/>
        </w:rPr>
      </w:pPr>
      <w:bookmarkStart w:id="95" w:name="_Toc332373564"/>
      <w:r w:rsidRPr="008644BE">
        <w:rPr>
          <w:rFonts w:asciiTheme="minorEastAsia" w:eastAsiaTheme="minorEastAsia" w:hAnsiTheme="minorEastAsia" w:hint="eastAsia"/>
          <w:bCs/>
          <w:szCs w:val="21"/>
        </w:rPr>
        <w:t>（</w:t>
      </w:r>
      <w:r w:rsidR="00762961" w:rsidRPr="008644BE">
        <w:rPr>
          <w:rFonts w:asciiTheme="minorEastAsia" w:eastAsiaTheme="minorEastAsia" w:hAnsiTheme="minorEastAsia" w:hint="eastAsia"/>
          <w:bCs/>
          <w:szCs w:val="21"/>
        </w:rPr>
        <w:t>四</w:t>
      </w:r>
      <w:r w:rsidRPr="008644BE">
        <w:rPr>
          <w:rFonts w:asciiTheme="minorEastAsia" w:eastAsiaTheme="minorEastAsia" w:hAnsiTheme="minorEastAsia" w:hint="eastAsia"/>
          <w:bCs/>
          <w:szCs w:val="21"/>
        </w:rPr>
        <w:t>）</w:t>
      </w:r>
      <w:r w:rsidR="00762961" w:rsidRPr="008644BE">
        <w:rPr>
          <w:rFonts w:asciiTheme="minorEastAsia" w:eastAsiaTheme="minorEastAsia" w:hAnsiTheme="minorEastAsia" w:hint="eastAsia"/>
          <w:bCs/>
          <w:szCs w:val="21"/>
        </w:rPr>
        <w:t>与基金销售有关的费用</w:t>
      </w:r>
    </w:p>
    <w:p w:rsidR="00762961" w:rsidRPr="008644BE" w:rsidRDefault="00513AB5"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w:t>
      </w:r>
      <w:r w:rsidR="00762961" w:rsidRPr="008644BE">
        <w:rPr>
          <w:rFonts w:asciiTheme="minorEastAsia" w:eastAsiaTheme="minorEastAsia" w:hAnsiTheme="minorEastAsia" w:hint="eastAsia"/>
          <w:szCs w:val="21"/>
        </w:rPr>
        <w:t>本基金申购费、赎回费</w:t>
      </w:r>
      <w:r w:rsidR="00E21E9A" w:rsidRPr="008644BE">
        <w:rPr>
          <w:rFonts w:asciiTheme="minorEastAsia" w:eastAsiaTheme="minorEastAsia" w:hAnsiTheme="minorEastAsia" w:hint="eastAsia"/>
          <w:szCs w:val="21"/>
        </w:rPr>
        <w:t>、转换</w:t>
      </w:r>
      <w:r w:rsidRPr="008644BE">
        <w:rPr>
          <w:rFonts w:asciiTheme="minorEastAsia" w:eastAsiaTheme="minorEastAsia" w:hAnsiTheme="minorEastAsia" w:hint="eastAsia"/>
          <w:szCs w:val="21"/>
        </w:rPr>
        <w:t>费</w:t>
      </w:r>
      <w:r w:rsidR="00762961" w:rsidRPr="008644BE">
        <w:rPr>
          <w:rFonts w:asciiTheme="minorEastAsia" w:eastAsiaTheme="minorEastAsia" w:hAnsiTheme="minorEastAsia" w:hint="eastAsia"/>
          <w:szCs w:val="21"/>
        </w:rPr>
        <w:t>的费率水平、计算公式、收取方式和使用方式请详见本招募说明书“</w:t>
      </w:r>
      <w:r w:rsidR="008F289D" w:rsidRPr="008644BE">
        <w:rPr>
          <w:rFonts w:asciiTheme="minorEastAsia" w:eastAsiaTheme="minorEastAsia" w:hAnsiTheme="minorEastAsia" w:hint="eastAsia"/>
          <w:szCs w:val="21"/>
        </w:rPr>
        <w:t>八</w:t>
      </w:r>
      <w:r w:rsidR="00762961" w:rsidRPr="008644BE">
        <w:rPr>
          <w:rFonts w:asciiTheme="minorEastAsia" w:eastAsiaTheme="minorEastAsia" w:hAnsiTheme="minorEastAsia" w:hint="eastAsia"/>
          <w:szCs w:val="21"/>
        </w:rPr>
        <w:t>、基金份额的申购、赎回”中的“</w:t>
      </w:r>
      <w:r w:rsidR="002E1C38" w:rsidRPr="008644BE">
        <w:rPr>
          <w:rStyle w:val="da"/>
          <w:rFonts w:asciiTheme="minorEastAsia" w:eastAsiaTheme="minorEastAsia" w:hAnsiTheme="minorEastAsia" w:hint="eastAsia"/>
          <w:szCs w:val="21"/>
        </w:rPr>
        <w:t>（</w:t>
      </w:r>
      <w:r w:rsidR="008F289D" w:rsidRPr="008644BE">
        <w:rPr>
          <w:rStyle w:val="da"/>
          <w:rFonts w:asciiTheme="minorEastAsia" w:eastAsiaTheme="minorEastAsia" w:hAnsiTheme="minorEastAsia" w:hint="eastAsia"/>
          <w:szCs w:val="21"/>
        </w:rPr>
        <w:t>七</w:t>
      </w:r>
      <w:r w:rsidR="002E1C38" w:rsidRPr="008644BE">
        <w:rPr>
          <w:rStyle w:val="da"/>
          <w:rFonts w:asciiTheme="minorEastAsia" w:eastAsiaTheme="minorEastAsia" w:hAnsiTheme="minorEastAsia" w:hint="eastAsia"/>
          <w:szCs w:val="21"/>
        </w:rPr>
        <w:t>）</w:t>
      </w:r>
      <w:r w:rsidR="008F289D" w:rsidRPr="008644BE">
        <w:rPr>
          <w:rStyle w:val="da"/>
          <w:rFonts w:asciiTheme="minorEastAsia" w:eastAsiaTheme="minorEastAsia" w:hAnsiTheme="minorEastAsia" w:hint="eastAsia"/>
          <w:szCs w:val="21"/>
        </w:rPr>
        <w:t>基金的申购费和赎回费</w:t>
      </w:r>
      <w:r w:rsidR="00762961" w:rsidRPr="008644BE">
        <w:rPr>
          <w:rFonts w:asciiTheme="minorEastAsia" w:eastAsiaTheme="minorEastAsia" w:hAnsiTheme="minorEastAsia" w:hint="eastAsia"/>
          <w:szCs w:val="21"/>
        </w:rPr>
        <w:t>”</w:t>
      </w:r>
      <w:r w:rsidRPr="008644BE">
        <w:rPr>
          <w:rFonts w:asciiTheme="minorEastAsia" w:eastAsiaTheme="minorEastAsia" w:hAnsiTheme="minorEastAsia" w:hint="eastAsia"/>
          <w:szCs w:val="21"/>
        </w:rPr>
        <w:t>、</w:t>
      </w:r>
      <w:r w:rsidR="00762961" w:rsidRPr="008644BE">
        <w:rPr>
          <w:rFonts w:asciiTheme="minorEastAsia" w:eastAsiaTheme="minorEastAsia" w:hAnsiTheme="minorEastAsia" w:hint="eastAsia"/>
          <w:szCs w:val="21"/>
        </w:rPr>
        <w:t>“</w:t>
      </w:r>
      <w:r w:rsidR="002E1C38" w:rsidRPr="008644BE">
        <w:rPr>
          <w:rStyle w:val="da"/>
          <w:rFonts w:asciiTheme="minorEastAsia" w:eastAsiaTheme="minorEastAsia" w:hAnsiTheme="minorEastAsia" w:hint="eastAsia"/>
        </w:rPr>
        <w:t>（</w:t>
      </w:r>
      <w:r w:rsidR="008F289D" w:rsidRPr="008644BE">
        <w:rPr>
          <w:rStyle w:val="da"/>
          <w:rFonts w:asciiTheme="minorEastAsia" w:eastAsiaTheme="minorEastAsia" w:hAnsiTheme="minorEastAsia" w:hint="eastAsia"/>
        </w:rPr>
        <w:t>八</w:t>
      </w:r>
      <w:r w:rsidR="002E1C38" w:rsidRPr="008644BE">
        <w:rPr>
          <w:rStyle w:val="da"/>
          <w:rFonts w:asciiTheme="minorEastAsia" w:eastAsiaTheme="minorEastAsia" w:hAnsiTheme="minorEastAsia" w:hint="eastAsia"/>
        </w:rPr>
        <w:t>）</w:t>
      </w:r>
      <w:r w:rsidR="008F289D" w:rsidRPr="008644BE">
        <w:rPr>
          <w:rStyle w:val="da"/>
          <w:rFonts w:asciiTheme="minorEastAsia" w:eastAsiaTheme="minorEastAsia" w:hAnsiTheme="minorEastAsia" w:hint="eastAsia"/>
        </w:rPr>
        <w:t>申购和赎回的数额和价格</w:t>
      </w:r>
      <w:r w:rsidR="00762961" w:rsidRPr="008644BE">
        <w:rPr>
          <w:rFonts w:asciiTheme="minorEastAsia" w:eastAsiaTheme="minorEastAsia" w:hAnsiTheme="minorEastAsia" w:hint="eastAsia"/>
          <w:szCs w:val="21"/>
        </w:rPr>
        <w:t>”</w:t>
      </w:r>
      <w:r w:rsidRPr="008644BE">
        <w:rPr>
          <w:rFonts w:asciiTheme="minorEastAsia" w:eastAsiaTheme="minorEastAsia" w:hAnsiTheme="minorEastAsia" w:hint="eastAsia"/>
          <w:szCs w:val="21"/>
        </w:rPr>
        <w:t>和“九、基金转换、定期定额投资计划和基金份额折算”</w:t>
      </w:r>
      <w:r w:rsidR="00762961" w:rsidRPr="008644BE">
        <w:rPr>
          <w:rFonts w:asciiTheme="minorEastAsia" w:eastAsiaTheme="minorEastAsia" w:hAnsiTheme="minorEastAsia" w:hint="eastAsia"/>
          <w:szCs w:val="21"/>
        </w:rPr>
        <w:t>中</w:t>
      </w:r>
      <w:r w:rsidRPr="008644BE">
        <w:rPr>
          <w:rFonts w:asciiTheme="minorEastAsia" w:eastAsiaTheme="minorEastAsia" w:hAnsiTheme="minorEastAsia" w:hint="eastAsia"/>
          <w:szCs w:val="21"/>
        </w:rPr>
        <w:t>“5、基金转换费率”、“6、基金转换份额的计算方式”</w:t>
      </w:r>
      <w:r w:rsidR="00762961" w:rsidRPr="008644BE">
        <w:rPr>
          <w:rFonts w:asciiTheme="minorEastAsia" w:eastAsiaTheme="minorEastAsia" w:hAnsiTheme="minorEastAsia" w:hint="eastAsia"/>
          <w:szCs w:val="21"/>
        </w:rPr>
        <w:t>的相关规定。</w:t>
      </w:r>
    </w:p>
    <w:p w:rsidR="00513AB5" w:rsidRPr="008644BE" w:rsidRDefault="00513AB5"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2、投资者通过本公司网上交易系统（www.efunds.com.cn）进行申购、赎回和转换的交易费率，请具体参照我公司网站上的相关说明。</w:t>
      </w:r>
    </w:p>
    <w:p w:rsidR="00513AB5" w:rsidRPr="008644BE" w:rsidRDefault="00513AB5"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基金管理人可以在基金合同规定的范围内调整申购费率、赎回费率和转换费率或变更收费方式。上述费率或收费方式如发生变更，基金管理人最迟应于新的费率或收费方式实施日前依照《信息披露办法》的有关规定在指定</w:t>
      </w:r>
      <w:r w:rsidR="00CF795F" w:rsidRPr="008644BE">
        <w:rPr>
          <w:rFonts w:asciiTheme="minorEastAsia" w:eastAsiaTheme="minorEastAsia" w:hAnsiTheme="minorEastAsia" w:hint="eastAsia"/>
          <w:szCs w:val="21"/>
        </w:rPr>
        <w:t>媒介</w:t>
      </w:r>
      <w:r w:rsidRPr="008644BE">
        <w:rPr>
          <w:rFonts w:asciiTheme="minorEastAsia" w:eastAsiaTheme="minorEastAsia" w:hAnsiTheme="minorEastAsia" w:hint="eastAsia"/>
          <w:szCs w:val="21"/>
        </w:rPr>
        <w:t>上公告。</w:t>
      </w:r>
    </w:p>
    <w:p w:rsidR="00E21E9A" w:rsidRPr="008644BE" w:rsidRDefault="00DF471B" w:rsidP="00936084">
      <w:pPr>
        <w:snapToGrid w:val="0"/>
        <w:spacing w:line="360" w:lineRule="auto"/>
        <w:ind w:firstLineChars="200" w:firstLine="420"/>
        <w:rPr>
          <w:rStyle w:val="da"/>
          <w:rFonts w:asciiTheme="minorEastAsia" w:eastAsiaTheme="minorEastAsia" w:hAnsiTheme="minorEastAsia"/>
        </w:rPr>
      </w:pPr>
      <w:r w:rsidRPr="008644BE">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762961" w:rsidRPr="008644BE">
        <w:rPr>
          <w:rStyle w:val="da"/>
          <w:rFonts w:asciiTheme="minorEastAsia" w:eastAsiaTheme="minorEastAsia" w:hAnsiTheme="minorEastAsia" w:hint="eastAsia"/>
        </w:rPr>
        <w:t>五</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费用调整</w:t>
      </w:r>
    </w:p>
    <w:bookmarkEnd w:id="95"/>
    <w:p w:rsidR="00E438A9"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基金管理人和基金托管人协商一致后，可按照基金发展情况，并根据法律法规规定和基金合同约定针对全部或部分份额类别调整基金管理费率、基金托管费率或基金销售服务费率等相关费率。</w:t>
      </w:r>
    </w:p>
    <w:p w:rsidR="00BA4B87" w:rsidRPr="008644BE" w:rsidRDefault="002E1C38" w:rsidP="00936084">
      <w:pPr>
        <w:snapToGrid w:val="0"/>
        <w:spacing w:line="360" w:lineRule="auto"/>
        <w:ind w:firstLineChars="200" w:firstLine="420"/>
        <w:rPr>
          <w:rFonts w:asciiTheme="minorEastAsia" w:eastAsiaTheme="minorEastAsia" w:hAnsiTheme="minorEastAsia"/>
          <w:szCs w:val="21"/>
        </w:rPr>
      </w:pPr>
      <w:bookmarkStart w:id="96" w:name="_Toc332373565"/>
      <w:r w:rsidRPr="008644BE">
        <w:rPr>
          <w:rFonts w:asciiTheme="minorEastAsia" w:eastAsiaTheme="minorEastAsia" w:hAnsiTheme="minorEastAsia" w:hint="eastAsia"/>
          <w:szCs w:val="21"/>
        </w:rPr>
        <w:t>（</w:t>
      </w:r>
      <w:r w:rsidR="00762961" w:rsidRPr="008644BE">
        <w:rPr>
          <w:rFonts w:asciiTheme="minorEastAsia" w:eastAsiaTheme="minorEastAsia" w:hAnsiTheme="minorEastAsia" w:hint="eastAsia"/>
          <w:szCs w:val="21"/>
        </w:rPr>
        <w:t>六</w:t>
      </w:r>
      <w:r w:rsidRPr="008644BE">
        <w:rPr>
          <w:rFonts w:asciiTheme="minorEastAsia" w:eastAsiaTheme="minorEastAsia" w:hAnsiTheme="minorEastAsia" w:hint="eastAsia"/>
          <w:szCs w:val="21"/>
        </w:rPr>
        <w:t>）</w:t>
      </w:r>
      <w:r w:rsidR="00BA4B87" w:rsidRPr="008644BE">
        <w:rPr>
          <w:rFonts w:asciiTheme="minorEastAsia" w:eastAsiaTheme="minorEastAsia" w:hAnsiTheme="minorEastAsia" w:hint="eastAsia"/>
          <w:szCs w:val="21"/>
        </w:rPr>
        <w:t>税收</w:t>
      </w:r>
    </w:p>
    <w:bookmarkEnd w:id="96"/>
    <w:p w:rsidR="00E438A9" w:rsidRPr="008644BE" w:rsidRDefault="00E438A9"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本基金运作过程中涉及的各纳税主体，其纳税义务按国家税收法律、法规执行。</w:t>
      </w:r>
    </w:p>
    <w:p w:rsidR="00BA4B87" w:rsidRPr="008644BE" w:rsidRDefault="00BA4B87" w:rsidP="00936084">
      <w:pPr>
        <w:pStyle w:val="1"/>
        <w:snapToGrid w:val="0"/>
        <w:spacing w:beforeLines="0" w:afterLines="0" w:line="360" w:lineRule="auto"/>
        <w:ind w:firstLine="420"/>
        <w:rPr>
          <w:rFonts w:asciiTheme="minorEastAsia" w:eastAsiaTheme="minorEastAsia" w:hAnsiTheme="minorEastAsia"/>
          <w:bCs/>
        </w:rPr>
      </w:pPr>
      <w:r w:rsidRPr="008644BE">
        <w:rPr>
          <w:rFonts w:asciiTheme="minorEastAsia" w:eastAsiaTheme="minorEastAsia" w:hAnsiTheme="minorEastAsia" w:hint="eastAsia"/>
          <w:sz w:val="21"/>
          <w:szCs w:val="21"/>
        </w:rPr>
        <w:br w:type="page"/>
      </w:r>
      <w:bookmarkStart w:id="97" w:name="_Toc49269642"/>
      <w:bookmarkStart w:id="98" w:name="_Toc332373566"/>
      <w:r w:rsidR="004C1D62" w:rsidRPr="008644BE">
        <w:rPr>
          <w:rFonts w:asciiTheme="minorEastAsia" w:eastAsiaTheme="minorEastAsia" w:hAnsiTheme="minorEastAsia" w:hint="eastAsia"/>
          <w:sz w:val="30"/>
        </w:rPr>
        <w:lastRenderedPageBreak/>
        <w:t>十七</w:t>
      </w:r>
      <w:r w:rsidRPr="008644BE">
        <w:rPr>
          <w:rFonts w:asciiTheme="minorEastAsia" w:eastAsiaTheme="minorEastAsia" w:hAnsiTheme="minorEastAsia" w:hint="eastAsia"/>
          <w:sz w:val="30"/>
        </w:rPr>
        <w:t>、基金的会计与审计</w:t>
      </w:r>
      <w:bookmarkEnd w:id="97"/>
    </w:p>
    <w:bookmarkEnd w:id="98"/>
    <w:p w:rsidR="000E6D1C" w:rsidRPr="008644BE" w:rsidRDefault="000E6D1C"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一</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基金会计政策</w:t>
      </w:r>
    </w:p>
    <w:p w:rsidR="000E6D1C" w:rsidRPr="008644BE" w:rsidRDefault="000E6D1C"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1、基金管理人为本基金的基金会计责任方；</w:t>
      </w:r>
    </w:p>
    <w:p w:rsidR="000E6D1C" w:rsidRPr="008644BE" w:rsidRDefault="000E6D1C"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2、基金的会计年度为公历年度的1月1日至12月31日；基金首次募集的会计年度按如下原则：如果《基金合同》生效少于2个月，可以并入下一个会计年度；</w:t>
      </w:r>
    </w:p>
    <w:p w:rsidR="000E6D1C" w:rsidRPr="008644BE" w:rsidRDefault="000E6D1C"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3、基金核算以人民币为记账本位币，以人民币元为记账单位；</w:t>
      </w:r>
    </w:p>
    <w:p w:rsidR="000E6D1C" w:rsidRPr="008644BE" w:rsidRDefault="000E6D1C"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4、会计制度执行国家有关会计制度；</w:t>
      </w:r>
    </w:p>
    <w:p w:rsidR="000E6D1C" w:rsidRPr="008644BE" w:rsidRDefault="000E6D1C"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5、本基金独立建账、独立核算；</w:t>
      </w:r>
    </w:p>
    <w:p w:rsidR="000E6D1C" w:rsidRPr="008644BE" w:rsidRDefault="000E6D1C"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6、基金管理人及基金托管人各自保留完整的会计账目、凭证并进行日常的会计核算，按照有关规定编制基金会计报表；</w:t>
      </w:r>
    </w:p>
    <w:p w:rsidR="000E6D1C" w:rsidRPr="008644BE" w:rsidRDefault="000E6D1C"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7、基金托管人每月与基金管理人就基金的会计核算、报表编制等进行核对并以书面方式确认。</w:t>
      </w:r>
    </w:p>
    <w:p w:rsidR="000E6D1C" w:rsidRPr="008644BE" w:rsidRDefault="000E6D1C"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二</w:t>
      </w: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基金的年度审计</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1、基金管理人聘请与基金管理人、基金托管人相互独立的具有证券、期货相关业务资格的会计师事务所及其注册会计师对本基金的年度财务报表进行审计。</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2、会计师事务所更换经办注册会计师，应事先征得基金管理人同意。</w:t>
      </w:r>
    </w:p>
    <w:p w:rsidR="000E6D1C" w:rsidRPr="008644BE" w:rsidRDefault="00CF795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3、基金管理人认为有充足理由更换会计师事务所，须通报基金托管人。更换会计师事务所需在2日内在指定媒介公告。</w:t>
      </w:r>
    </w:p>
    <w:p w:rsidR="00BA4B87" w:rsidRPr="008644BE" w:rsidRDefault="00BA4B87" w:rsidP="00936084">
      <w:pPr>
        <w:snapToGrid w:val="0"/>
        <w:spacing w:line="360" w:lineRule="auto"/>
        <w:ind w:firstLine="480"/>
        <w:rPr>
          <w:rFonts w:asciiTheme="minorEastAsia" w:eastAsiaTheme="minorEastAsia" w:hAnsiTheme="minorEastAsia"/>
        </w:rPr>
      </w:pPr>
    </w:p>
    <w:p w:rsidR="00BA4B87" w:rsidRPr="008644BE" w:rsidRDefault="00BA4B87" w:rsidP="00936084">
      <w:pPr>
        <w:pStyle w:val="1"/>
        <w:snapToGrid w:val="0"/>
        <w:spacing w:beforeLines="0" w:afterLines="0" w:line="360" w:lineRule="auto"/>
        <w:ind w:firstLine="600"/>
        <w:rPr>
          <w:rFonts w:asciiTheme="minorEastAsia" w:eastAsiaTheme="minorEastAsia" w:hAnsiTheme="minorEastAsia"/>
        </w:rPr>
      </w:pPr>
      <w:r w:rsidRPr="008644BE">
        <w:rPr>
          <w:rFonts w:asciiTheme="minorEastAsia" w:eastAsiaTheme="minorEastAsia" w:hAnsiTheme="minorEastAsia" w:hint="eastAsia"/>
          <w:sz w:val="30"/>
        </w:rPr>
        <w:br w:type="column"/>
      </w:r>
      <w:bookmarkStart w:id="99" w:name="_Toc49269643"/>
      <w:bookmarkStart w:id="100" w:name="_Toc332373569"/>
      <w:r w:rsidR="004C1D62" w:rsidRPr="008644BE">
        <w:rPr>
          <w:rFonts w:asciiTheme="minorEastAsia" w:eastAsiaTheme="minorEastAsia" w:hAnsiTheme="minorEastAsia" w:hint="eastAsia"/>
          <w:sz w:val="30"/>
        </w:rPr>
        <w:lastRenderedPageBreak/>
        <w:t>十八</w:t>
      </w:r>
      <w:r w:rsidRPr="008644BE">
        <w:rPr>
          <w:rFonts w:asciiTheme="minorEastAsia" w:eastAsiaTheme="minorEastAsia" w:hAnsiTheme="minorEastAsia" w:hint="eastAsia"/>
          <w:sz w:val="30"/>
        </w:rPr>
        <w:t>、基金的信息披露</w:t>
      </w:r>
      <w:bookmarkEnd w:id="99"/>
    </w:p>
    <w:bookmarkEnd w:id="100"/>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一</w:t>
      </w: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本基金的信息披露应符合《基金法》、《运作办法》、《信息披露办法》、《基金合同》及其他有关规定。</w:t>
      </w:r>
      <w:r w:rsidR="00B95706" w:rsidRPr="008644BE">
        <w:rPr>
          <w:rFonts w:asciiTheme="minorEastAsia" w:eastAsiaTheme="minorEastAsia" w:hAnsiTheme="minorEastAsia" w:hint="eastAsia"/>
          <w:szCs w:val="21"/>
        </w:rPr>
        <w:t>相关法律法规关于信息披露的披露方式、登载</w:t>
      </w:r>
      <w:r w:rsidR="00B02CB0" w:rsidRPr="008644BE">
        <w:rPr>
          <w:rFonts w:asciiTheme="minorEastAsia" w:eastAsiaTheme="minorEastAsia" w:hAnsiTheme="minorEastAsia" w:hint="eastAsia"/>
          <w:szCs w:val="21"/>
        </w:rPr>
        <w:t>媒介</w:t>
      </w:r>
      <w:r w:rsidR="00B95706" w:rsidRPr="008644BE">
        <w:rPr>
          <w:rFonts w:asciiTheme="minorEastAsia" w:eastAsiaTheme="minorEastAsia" w:hAnsiTheme="minorEastAsia" w:hint="eastAsia"/>
          <w:szCs w:val="21"/>
        </w:rPr>
        <w:t>、报备方式等规定发生变化时，本基金从其最新规定。</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二</w:t>
      </w: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信息披露义务人</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本基金信息披露义务人包括基金管理人、基金托管人、召集基金份额持有人大会的基金份额持有人等法律、行政法规和中国证监会规定的自然人、法人和非法人组织。</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B95706" w:rsidRPr="008644BE" w:rsidRDefault="00CF795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三</w:t>
      </w: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本基金信息披露义务人承诺公开披露的基金信息，不得有下列行为：</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1、虚假记载、误导性陈述或者重大遗漏；</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2、对证券投资业绩进行预测；</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3、违规承诺收益或者承担损失；</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4、诋毁其他基金管理人、基金托管人或者基金销售机构；</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5、</w:t>
      </w:r>
      <w:r w:rsidR="00CF795F" w:rsidRPr="008644BE">
        <w:rPr>
          <w:rFonts w:asciiTheme="minorEastAsia" w:eastAsiaTheme="minorEastAsia" w:hAnsiTheme="minorEastAsia" w:hint="eastAsia"/>
          <w:szCs w:val="21"/>
        </w:rPr>
        <w:t>登载任何自然人、法人和非法人组织的祝贺性、恭维性或推荐性的文字；</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6、中国证监会禁止的其他行为。</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四</w:t>
      </w: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本基金公开披露的信息应采用中文文本。如同时采用外文文本的，</w:t>
      </w:r>
      <w:r w:rsidR="00CF795F" w:rsidRPr="008644BE">
        <w:rPr>
          <w:rFonts w:asciiTheme="minorEastAsia" w:eastAsiaTheme="minorEastAsia" w:hAnsiTheme="minorEastAsia" w:hint="eastAsia"/>
          <w:szCs w:val="21"/>
        </w:rPr>
        <w:t>基金信息披露义务人应保证不同文本的内容一致。不同文本之间发生歧义的</w:t>
      </w:r>
      <w:r w:rsidR="00B95706" w:rsidRPr="008644BE">
        <w:rPr>
          <w:rFonts w:asciiTheme="minorEastAsia" w:eastAsiaTheme="minorEastAsia" w:hAnsiTheme="minorEastAsia"/>
          <w:szCs w:val="21"/>
        </w:rPr>
        <w:t>，以中文文本为准。</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本基金公开披露的信息采用阿拉伯数字；除特别说明外，货币单位为人民币元。</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五</w:t>
      </w: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公开披露的基金信息</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公开披露的基金信息包括：</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w:t>
      </w:r>
      <w:r w:rsidR="00B95706" w:rsidRPr="008644BE">
        <w:rPr>
          <w:rFonts w:asciiTheme="minorEastAsia" w:eastAsiaTheme="minorEastAsia" w:hAnsiTheme="minorEastAsia"/>
          <w:szCs w:val="21"/>
        </w:rPr>
        <w:t>基金招募说明书、《基金合同》、基金托管协议</w:t>
      </w:r>
      <w:r w:rsidR="00CF795F" w:rsidRPr="008644BE">
        <w:rPr>
          <w:rFonts w:asciiTheme="minorEastAsia" w:eastAsiaTheme="minorEastAsia" w:hAnsiTheme="minorEastAsia" w:hint="eastAsia"/>
          <w:szCs w:val="21"/>
        </w:rPr>
        <w:t>、基金产品资料概要</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1</w:t>
      </w: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《基金合同》是界定《基金合同》当事人的各项权利、义务关系，明确基金份额持有人大会召开的规则及具体程序，说明基金产品的特性等涉及基金投资者重大利益的事项的法律文件。</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2</w:t>
      </w: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基金招募说明书应当最大限度地披露影响基金投资者决策的全部事项，说明基金认购、申购和赎回安排、基金投资、基金产品特性、风险揭示、信息披露及基金份额持有人服务等内容。</w:t>
      </w:r>
      <w:r w:rsidR="00CF795F" w:rsidRPr="008644BE">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w:t>
      </w:r>
      <w:r w:rsidR="00CF795F" w:rsidRPr="008644BE">
        <w:rPr>
          <w:rFonts w:asciiTheme="minorEastAsia" w:eastAsiaTheme="minorEastAsia" w:hAnsiTheme="minorEastAsia" w:hint="eastAsia"/>
          <w:szCs w:val="21"/>
        </w:rPr>
        <w:lastRenderedPageBreak/>
        <w:t>书。</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3</w:t>
      </w: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基金托管协议是界定基金托管人和基金管理人在基金财产保管及基金运作监督等活动中的权利、义务关系的法律文件。</w:t>
      </w:r>
    </w:p>
    <w:p w:rsidR="00CF795F" w:rsidRPr="008644BE" w:rsidRDefault="00CF795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基金募集申请经中国证监会</w:t>
      </w:r>
      <w:r w:rsidRPr="008644BE">
        <w:rPr>
          <w:rFonts w:asciiTheme="minorEastAsia" w:eastAsiaTheme="minorEastAsia" w:hAnsiTheme="minorEastAsia" w:hint="eastAsia"/>
          <w:szCs w:val="21"/>
        </w:rPr>
        <w:t>注册</w:t>
      </w:r>
      <w:r w:rsidRPr="008644BE">
        <w:rPr>
          <w:rFonts w:asciiTheme="minorEastAsia" w:eastAsiaTheme="minorEastAsia" w:hAnsiTheme="minorEastAsia"/>
          <w:szCs w:val="21"/>
        </w:rPr>
        <w:t>后，基金管理人在基金份额发售的3日前，将基金招募说明书、《基金合同》摘要登载在</w:t>
      </w:r>
      <w:r w:rsidR="00B02CB0" w:rsidRPr="008644BE">
        <w:rPr>
          <w:rFonts w:asciiTheme="minorEastAsia" w:eastAsiaTheme="minorEastAsia" w:hAnsiTheme="minorEastAsia"/>
          <w:szCs w:val="21"/>
        </w:rPr>
        <w:t>指定媒介</w:t>
      </w:r>
      <w:r w:rsidRPr="008644BE">
        <w:rPr>
          <w:rFonts w:asciiTheme="minorEastAsia" w:eastAsiaTheme="minorEastAsia" w:hAnsiTheme="minorEastAsia"/>
          <w:szCs w:val="21"/>
        </w:rPr>
        <w:t>上；基金管理人、基金托管人应当将《基金合同》、基金托管协议登载在网站上。</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2、</w:t>
      </w:r>
      <w:r w:rsidR="00B95706" w:rsidRPr="008644BE">
        <w:rPr>
          <w:rFonts w:asciiTheme="minorEastAsia" w:eastAsiaTheme="minorEastAsia" w:hAnsiTheme="minorEastAsia"/>
          <w:szCs w:val="21"/>
        </w:rPr>
        <w:t>基金份额发售公告</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基金管理人应当就基金份额发售的具体事宜编制基金份额发售公告，并在披露招募说明书的当日登载于</w:t>
      </w:r>
      <w:r w:rsidR="00B02CB0" w:rsidRPr="008644BE">
        <w:rPr>
          <w:rFonts w:asciiTheme="minorEastAsia" w:eastAsiaTheme="minorEastAsia" w:hAnsiTheme="minorEastAsia"/>
          <w:szCs w:val="21"/>
        </w:rPr>
        <w:t>指定媒介</w:t>
      </w:r>
      <w:r w:rsidRPr="008644BE">
        <w:rPr>
          <w:rFonts w:asciiTheme="minorEastAsia" w:eastAsiaTheme="minorEastAsia" w:hAnsiTheme="minorEastAsia"/>
          <w:szCs w:val="21"/>
        </w:rPr>
        <w:t>上。</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3、</w:t>
      </w:r>
      <w:r w:rsidR="00B95706" w:rsidRPr="008644BE">
        <w:rPr>
          <w:rFonts w:asciiTheme="minorEastAsia" w:eastAsiaTheme="minorEastAsia" w:hAnsiTheme="minorEastAsia"/>
          <w:szCs w:val="21"/>
        </w:rPr>
        <w:t>《基金合同》生效公告</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基金管理人应当在收到中国证监会确认文件的次日在</w:t>
      </w:r>
      <w:r w:rsidR="00B02CB0" w:rsidRPr="008644BE">
        <w:rPr>
          <w:rFonts w:asciiTheme="minorEastAsia" w:eastAsiaTheme="minorEastAsia" w:hAnsiTheme="minorEastAsia"/>
          <w:szCs w:val="21"/>
        </w:rPr>
        <w:t>指定媒介</w:t>
      </w:r>
      <w:r w:rsidRPr="008644BE">
        <w:rPr>
          <w:rFonts w:asciiTheme="minorEastAsia" w:eastAsiaTheme="minorEastAsia" w:hAnsiTheme="minorEastAsia"/>
          <w:szCs w:val="21"/>
        </w:rPr>
        <w:t>上登载《基金合同》生效公告。</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4、基金净值信息</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《基金合同》生效后，在开始办理基金份额申购或者赎回前，基金管理人应当至少每周在指定网站披露一次基金份额净值和基金份额累计净值。</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在开始办理基金份额申购或者赎回后，基金管理人应当在不晚于每个开放日的次日，通过指定网站、基金销售机构网站或者营业网点披露开放日的基金份额净值和基金份额累计净值。</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5、基金份额申购、赎回价格</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6、基金定期报告，包括基金年度报告、基金中期报告和基金季度报告</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基金管理人应当在上半年结束之日起两个月内，编制完成基金中期报告，将中期报告登</w:t>
      </w:r>
      <w:r w:rsidRPr="008644BE">
        <w:rPr>
          <w:rFonts w:asciiTheme="minorEastAsia" w:eastAsiaTheme="minorEastAsia" w:hAnsiTheme="minorEastAsia" w:hint="eastAsia"/>
          <w:szCs w:val="21"/>
        </w:rPr>
        <w:lastRenderedPageBreak/>
        <w:t>载在指定网站上，并将中期报告提示性公告登载在指定报刊上。</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基金管理人应当在季度结束之日起15个工作日内，编制完成基金季度报告，将季度报告登载在指定网站上，并将季度报告提示性公告登载在指定报刊上。</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《基金合同》生效不足2个月的，基金管理人可以不编制当期季度报告、中期报告或者年度报告。</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基金管理人应当在基金年度报告和中期报告中披露基金组合资产情况及其流动性风险分析等。</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7、临时报告</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本基金发生重大事件，有关信息披露义务人应当在2日内编制临时报告书，并登载在指定报刊和指定网站上。</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前款所称重大事件，是指可能对基金份额持有人权益或者基金份额的价格产生重大影响的下列事件：</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基金份额持有人大会的召开及决定的事项；</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基金合同终止、基金清算；</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转换基金运作方式、基金合并；</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更换基金管理人、基金托管人、基金份额登记机构，基金改聘会计师事务所；</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基金管理人委托基金服务机构代为办理基金的份额登记、核算、估值等事项，基金托管人委托基金服务机构代为办理基金的核算、估值、复核等事项；</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基金管理人、基金托管人的法定名称、住所发生变更；</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基金管理公司变更持有百分之五以上股权的股东、基金管理人的实际控制人变更；</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基金募集期延长或提前结束募集；</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基金管理人的高级管理人员、基金经理和基金托管人专门基金托管部门负责人发生变动；</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基金管理人的董事在最近</w:t>
      </w:r>
      <w:r w:rsidRPr="008644BE">
        <w:rPr>
          <w:rFonts w:asciiTheme="minorEastAsia" w:eastAsiaTheme="minorEastAsia" w:hAnsiTheme="minorEastAsia"/>
        </w:rPr>
        <w:t>12</w:t>
      </w:r>
      <w:r w:rsidRPr="008644BE">
        <w:rPr>
          <w:rFonts w:asciiTheme="minorEastAsia" w:eastAsiaTheme="minorEastAsia" w:hAnsiTheme="minorEastAsia" w:hint="eastAsia"/>
        </w:rPr>
        <w:t>个月内变更超过百分之五十，基金管理人、基金托管人专门基金托管部门的主要业务人员在最近</w:t>
      </w:r>
      <w:r w:rsidRPr="008644BE">
        <w:rPr>
          <w:rFonts w:asciiTheme="minorEastAsia" w:eastAsiaTheme="minorEastAsia" w:hAnsiTheme="minorEastAsia"/>
        </w:rPr>
        <w:t>12</w:t>
      </w:r>
      <w:r w:rsidRPr="008644BE">
        <w:rPr>
          <w:rFonts w:asciiTheme="minorEastAsia" w:eastAsiaTheme="minorEastAsia" w:hAnsiTheme="minorEastAsia" w:hint="eastAsia"/>
        </w:rPr>
        <w:t>个月内变动超过百分之三十；</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涉及基金财产、基金管理业务、基金托管业务的诉讼或仲裁；</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基金管理人或其高级管理人员、基金经理因基金管理业务相关行为受到重大行政处罚、刑事处罚，基金托管人或其专门基金托管部门负责人因基金托管业务相关行为受到重大行政处罚、刑事处罚；</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基金管理人运用基金财产买卖基金管理人、基金托管人及其控股股东、实际控制人</w:t>
      </w:r>
      <w:r w:rsidRPr="008644BE">
        <w:rPr>
          <w:rFonts w:asciiTheme="minorEastAsia" w:eastAsiaTheme="minorEastAsia" w:hAnsiTheme="minorEastAsia" w:hint="eastAsia"/>
        </w:rPr>
        <w:lastRenderedPageBreak/>
        <w:t>或者与其有重大利害关系的公司发行的证券或者承销期内承销的证券，或者从事其他重大关联交易事项，中国证监会另有规定的情形除外；</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基金收益分配事项；</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管理费、托管费、申购费、赎回费等费用计提标准、计提方式和费率发生变更；</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基金份额净值计价错误达基金份额净值百分之零点五；</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本基金开始办理申购、赎回；</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本基金暂停接受申购、赎回申请或重新接受申购、赎回申请；</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调整基金份额类别的设置；</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基金推出新业务或服务；</w:t>
      </w:r>
    </w:p>
    <w:p w:rsidR="00CF795F" w:rsidRPr="008644BE" w:rsidRDefault="00CF795F" w:rsidP="004E2A21">
      <w:pPr>
        <w:pStyle w:val="af5"/>
        <w:numPr>
          <w:ilvl w:val="0"/>
          <w:numId w:val="10"/>
        </w:numPr>
        <w:snapToGrid w:val="0"/>
        <w:spacing w:line="360" w:lineRule="auto"/>
        <w:ind w:firstLineChars="0"/>
        <w:rPr>
          <w:rFonts w:asciiTheme="minorEastAsia" w:eastAsiaTheme="minorEastAsia" w:hAnsiTheme="minorEastAsia"/>
        </w:rPr>
      </w:pPr>
      <w:r w:rsidRPr="008644BE">
        <w:rPr>
          <w:rFonts w:asciiTheme="minorEastAsia" w:eastAsiaTheme="minorEastAsia" w:hAnsiTheme="minorEastAsia" w:hint="eastAsia"/>
        </w:rPr>
        <w:t>基金信息披露义务人认为可能对基金份额持有人权益或者基金份额的价格产生重大影响的其他事项或中国证监会规定的其他事项。</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8、澄清公告</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9、清算报告</w:t>
      </w:r>
    </w:p>
    <w:p w:rsidR="00B95706" w:rsidRPr="008644BE" w:rsidRDefault="00CF795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95706" w:rsidRPr="008644BE" w:rsidRDefault="00CF795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10</w:t>
      </w:r>
      <w:r w:rsidR="00903553"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基金份额持有人大会决议</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szCs w:val="21"/>
        </w:rPr>
        <w:t>基金份额持有人大会决定的事项，应当依法报国务院证券监督管理机构备案，并予以公告。</w:t>
      </w:r>
    </w:p>
    <w:p w:rsidR="00B95706" w:rsidRPr="008644BE" w:rsidRDefault="00CF795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w:t>
      </w:r>
      <w:r w:rsidRPr="008644BE">
        <w:rPr>
          <w:rFonts w:asciiTheme="minorEastAsia" w:eastAsiaTheme="minorEastAsia" w:hAnsiTheme="minorEastAsia"/>
          <w:szCs w:val="21"/>
        </w:rPr>
        <w:t>1</w:t>
      </w:r>
      <w:r w:rsidR="00903553"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中国证监会规定的其他信息。</w:t>
      </w:r>
    </w:p>
    <w:p w:rsidR="00B95706" w:rsidRPr="008644BE" w:rsidRDefault="00B95706"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若本基金投资股指期货，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六</w:t>
      </w: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信息披露事务管理</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基金信息披露义务人公开披露基金信息，应当符合中国证监会相关基金信息披露内容与格式准则等法规的规定。</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基金托管人应当按照相关法律法规、中国证监会的规定和《基金合同》的约定，对基金管理人编制的基金资产净值、基金份额净值、基金份额申购赎回价格、基金定期报告、更新</w:t>
      </w:r>
      <w:r w:rsidRPr="008644BE">
        <w:rPr>
          <w:rFonts w:asciiTheme="minorEastAsia" w:eastAsiaTheme="minorEastAsia" w:hAnsiTheme="minorEastAsia" w:hint="eastAsia"/>
          <w:szCs w:val="21"/>
        </w:rPr>
        <w:lastRenderedPageBreak/>
        <w:t>的招募说明书、基金产品资料概要、基金清算报告等公开披露的相关基金信息进行复核、审查，并向基金管理人进行书面或电子确认。</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CF795F" w:rsidRPr="008644BE" w:rsidRDefault="00CF795F" w:rsidP="00CF795F">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95706" w:rsidRPr="008644BE" w:rsidRDefault="00CF795F"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95706" w:rsidRPr="008644BE" w:rsidRDefault="0090355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w:t>
      </w:r>
      <w:r w:rsidRPr="008644BE">
        <w:rPr>
          <w:rFonts w:asciiTheme="minorEastAsia" w:eastAsiaTheme="minorEastAsia" w:hAnsiTheme="minorEastAsia"/>
          <w:szCs w:val="21"/>
        </w:rPr>
        <w:t>七</w:t>
      </w:r>
      <w:r w:rsidRPr="008644BE">
        <w:rPr>
          <w:rFonts w:asciiTheme="minorEastAsia" w:eastAsiaTheme="minorEastAsia" w:hAnsiTheme="minorEastAsia" w:hint="eastAsia"/>
          <w:szCs w:val="21"/>
        </w:rPr>
        <w:t>）</w:t>
      </w:r>
      <w:r w:rsidR="00B95706" w:rsidRPr="008644BE">
        <w:rPr>
          <w:rFonts w:asciiTheme="minorEastAsia" w:eastAsiaTheme="minorEastAsia" w:hAnsiTheme="minorEastAsia"/>
          <w:szCs w:val="21"/>
        </w:rPr>
        <w:t>信息披露文件的存放与查阅</w:t>
      </w:r>
    </w:p>
    <w:p w:rsidR="00AB5081" w:rsidRPr="008644BE" w:rsidRDefault="00CF795F" w:rsidP="00936084">
      <w:pPr>
        <w:snapToGrid w:val="0"/>
        <w:spacing w:line="360" w:lineRule="auto"/>
        <w:ind w:firstLineChars="200" w:firstLine="420"/>
        <w:rPr>
          <w:rFonts w:asciiTheme="minorEastAsia" w:eastAsiaTheme="minorEastAsia" w:hAnsiTheme="minorEastAsia"/>
          <w:szCs w:val="21"/>
        </w:rPr>
        <w:sectPr w:rsidR="00AB5081" w:rsidRPr="008644BE" w:rsidSect="00B16DD1">
          <w:pgSz w:w="11906" w:h="16838" w:code="9"/>
          <w:pgMar w:top="1440" w:right="1803" w:bottom="1440" w:left="1803" w:header="851" w:footer="992" w:gutter="0"/>
          <w:cols w:space="720"/>
          <w:docGrid w:type="lines" w:linePitch="317"/>
        </w:sectPr>
      </w:pPr>
      <w:r w:rsidRPr="008644BE">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r w:rsidR="00B95706" w:rsidRPr="008644BE">
        <w:rPr>
          <w:rFonts w:asciiTheme="minorEastAsia" w:eastAsiaTheme="minorEastAsia" w:hAnsiTheme="minorEastAsia"/>
          <w:szCs w:val="21"/>
        </w:rPr>
        <w:t>。</w:t>
      </w:r>
    </w:p>
    <w:p w:rsidR="00BA4B87" w:rsidRPr="008644BE" w:rsidRDefault="004C1D62" w:rsidP="00936084">
      <w:pPr>
        <w:pStyle w:val="1"/>
        <w:snapToGrid w:val="0"/>
        <w:spacing w:beforeLines="0" w:afterLines="0" w:line="360" w:lineRule="auto"/>
        <w:ind w:firstLineChars="0" w:firstLine="0"/>
        <w:rPr>
          <w:rFonts w:asciiTheme="minorEastAsia" w:eastAsiaTheme="minorEastAsia" w:hAnsiTheme="minorEastAsia"/>
        </w:rPr>
      </w:pPr>
      <w:bookmarkStart w:id="101" w:name="_Toc49269644"/>
      <w:bookmarkStart w:id="102" w:name="_Toc332373573"/>
      <w:r w:rsidRPr="008644BE">
        <w:rPr>
          <w:rFonts w:asciiTheme="minorEastAsia" w:eastAsiaTheme="minorEastAsia" w:hAnsiTheme="minorEastAsia" w:hint="eastAsia"/>
          <w:sz w:val="30"/>
        </w:rPr>
        <w:lastRenderedPageBreak/>
        <w:t>十九</w:t>
      </w:r>
      <w:r w:rsidR="00BA4B87" w:rsidRPr="008644BE">
        <w:rPr>
          <w:rFonts w:asciiTheme="minorEastAsia" w:eastAsiaTheme="minorEastAsia" w:hAnsiTheme="minorEastAsia" w:hint="eastAsia"/>
          <w:sz w:val="30"/>
        </w:rPr>
        <w:t>、风险揭示</w:t>
      </w:r>
      <w:bookmarkEnd w:id="101"/>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103" w:name="_Toc332373574"/>
      <w:bookmarkEnd w:id="102"/>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一</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市场风险</w:t>
      </w:r>
    </w:p>
    <w:bookmarkEnd w:id="103"/>
    <w:p w:rsidR="00BA4B87" w:rsidRPr="008644BE" w:rsidRDefault="00BA4B87"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A4B87" w:rsidRPr="008644BE" w:rsidRDefault="00BA4B87"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kern w:val="0"/>
          <w:szCs w:val="21"/>
        </w:rPr>
        <w:t>1</w:t>
      </w:r>
      <w:r w:rsidR="008A168E" w:rsidRPr="008644BE">
        <w:rPr>
          <w:rFonts w:asciiTheme="minorEastAsia" w:eastAsiaTheme="minorEastAsia" w:hAnsiTheme="minorEastAsia"/>
          <w:kern w:val="0"/>
          <w:szCs w:val="21"/>
        </w:rPr>
        <w:t>、</w:t>
      </w:r>
      <w:r w:rsidRPr="008644BE">
        <w:rPr>
          <w:rFonts w:asciiTheme="minorEastAsia" w:eastAsiaTheme="minorEastAsia" w:hAnsiTheme="minorEastAsia"/>
          <w:kern w:val="0"/>
          <w:szCs w:val="21"/>
        </w:rPr>
        <w:t>政策风险</w:t>
      </w:r>
    </w:p>
    <w:p w:rsidR="00BA4B87" w:rsidRPr="008644BE" w:rsidRDefault="00BA4B87"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kern w:val="0"/>
          <w:szCs w:val="21"/>
        </w:rPr>
        <w:t>因国家宏观政策</w:t>
      </w:r>
      <w:r w:rsidR="002E1C38" w:rsidRPr="008644BE">
        <w:rPr>
          <w:rFonts w:asciiTheme="minorEastAsia" w:eastAsiaTheme="minorEastAsia" w:hAnsiTheme="minorEastAsia"/>
          <w:kern w:val="0"/>
          <w:szCs w:val="21"/>
        </w:rPr>
        <w:t>（</w:t>
      </w:r>
      <w:r w:rsidRPr="008644BE">
        <w:rPr>
          <w:rFonts w:asciiTheme="minorEastAsia" w:eastAsiaTheme="minorEastAsia" w:hAnsiTheme="minorEastAsia"/>
          <w:kern w:val="0"/>
          <w:szCs w:val="21"/>
        </w:rPr>
        <w:t>如货币政策、财政政策、行业政策、地区发展政策等</w:t>
      </w:r>
      <w:r w:rsidR="002E1C38" w:rsidRPr="008644BE">
        <w:rPr>
          <w:rFonts w:asciiTheme="minorEastAsia" w:eastAsiaTheme="minorEastAsia" w:hAnsiTheme="minorEastAsia"/>
          <w:kern w:val="0"/>
          <w:szCs w:val="21"/>
        </w:rPr>
        <w:t>）</w:t>
      </w:r>
      <w:r w:rsidRPr="008644BE">
        <w:rPr>
          <w:rFonts w:asciiTheme="minorEastAsia" w:eastAsiaTheme="minorEastAsia" w:hAnsiTheme="minorEastAsia"/>
          <w:kern w:val="0"/>
          <w:szCs w:val="21"/>
        </w:rPr>
        <w:t>发生变化，导致市场价格波动而产生风险。</w:t>
      </w:r>
    </w:p>
    <w:p w:rsidR="00BA4B87" w:rsidRPr="008644BE" w:rsidRDefault="00BA4B87"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kern w:val="0"/>
          <w:szCs w:val="21"/>
        </w:rPr>
        <w:t>2</w:t>
      </w:r>
      <w:r w:rsidR="008A168E" w:rsidRPr="008644BE">
        <w:rPr>
          <w:rFonts w:asciiTheme="minorEastAsia" w:eastAsiaTheme="minorEastAsia" w:hAnsiTheme="minorEastAsia"/>
          <w:kern w:val="0"/>
          <w:szCs w:val="21"/>
        </w:rPr>
        <w:t>、</w:t>
      </w:r>
      <w:r w:rsidRPr="008644BE">
        <w:rPr>
          <w:rFonts w:asciiTheme="minorEastAsia" w:eastAsiaTheme="minorEastAsia" w:hAnsiTheme="minorEastAsia"/>
          <w:kern w:val="0"/>
          <w:szCs w:val="21"/>
        </w:rPr>
        <w:t>利率风险</w:t>
      </w:r>
    </w:p>
    <w:p w:rsidR="00BA4B87" w:rsidRPr="008644BE" w:rsidRDefault="00BA4B87"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kern w:val="0"/>
          <w:szCs w:val="21"/>
        </w:rPr>
        <w:t>利率风险主要是指因金融市场利率的波动而导致证券市场价格和收益率变动的风险。利率直接影响着债券的价格和收益率，影响着企业的融资成本和利润。</w:t>
      </w:r>
      <w:r w:rsidR="0055340E" w:rsidRPr="008644BE">
        <w:rPr>
          <w:rFonts w:asciiTheme="minorEastAsia" w:eastAsiaTheme="minorEastAsia" w:hAnsiTheme="minorEastAsia" w:hint="eastAsia"/>
          <w:kern w:val="0"/>
          <w:szCs w:val="21"/>
        </w:rPr>
        <w:t>本</w:t>
      </w:r>
      <w:r w:rsidR="0055340E" w:rsidRPr="008644BE">
        <w:rPr>
          <w:rFonts w:asciiTheme="minorEastAsia" w:eastAsiaTheme="minorEastAsia" w:hAnsiTheme="minorEastAsia" w:hint="eastAsia"/>
        </w:rPr>
        <w:t>基金为混合型基金，</w:t>
      </w:r>
      <w:r w:rsidR="0066115D" w:rsidRPr="008644BE">
        <w:rPr>
          <w:rFonts w:asciiTheme="minorEastAsia" w:eastAsiaTheme="minorEastAsia" w:hAnsiTheme="minorEastAsia" w:hint="eastAsia"/>
        </w:rPr>
        <w:t>可</w:t>
      </w:r>
      <w:r w:rsidR="0055340E" w:rsidRPr="008644BE">
        <w:rPr>
          <w:rFonts w:asciiTheme="minorEastAsia" w:eastAsiaTheme="minorEastAsia" w:hAnsiTheme="minorEastAsia" w:hint="eastAsia"/>
        </w:rPr>
        <w:t>投资于股票和债券，其收益水平可能会受到利率变化的影响。</w:t>
      </w:r>
    </w:p>
    <w:p w:rsidR="00630D82" w:rsidRPr="008644BE" w:rsidRDefault="0055340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w:t>
      </w:r>
      <w:r w:rsidR="008A168E" w:rsidRPr="008644BE">
        <w:rPr>
          <w:rFonts w:asciiTheme="minorEastAsia" w:eastAsiaTheme="minorEastAsia" w:hAnsiTheme="minorEastAsia"/>
          <w:kern w:val="0"/>
          <w:szCs w:val="21"/>
        </w:rPr>
        <w:t>、</w:t>
      </w:r>
      <w:r w:rsidR="00630D82" w:rsidRPr="008644BE">
        <w:rPr>
          <w:rFonts w:asciiTheme="minorEastAsia" w:eastAsiaTheme="minorEastAsia" w:hAnsiTheme="minorEastAsia"/>
          <w:kern w:val="0"/>
          <w:szCs w:val="21"/>
        </w:rPr>
        <w:t>购买力风险</w:t>
      </w:r>
    </w:p>
    <w:p w:rsidR="00630D82" w:rsidRPr="008644BE" w:rsidRDefault="00630D82"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kern w:val="0"/>
          <w:szCs w:val="21"/>
        </w:rPr>
        <w:t>如果发生通货膨胀，基金投资于证券所获得的收益可能会被通货膨胀抵消，从而影响基金资产的实际收益率。</w:t>
      </w:r>
    </w:p>
    <w:p w:rsidR="00F70B23" w:rsidRPr="008644BE" w:rsidRDefault="0055340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w:t>
      </w:r>
      <w:r w:rsidR="00F70B23" w:rsidRPr="008644BE">
        <w:rPr>
          <w:rFonts w:asciiTheme="minorEastAsia" w:eastAsiaTheme="minorEastAsia" w:hAnsiTheme="minorEastAsia" w:hint="eastAsia"/>
          <w:kern w:val="0"/>
          <w:szCs w:val="21"/>
        </w:rPr>
        <w:t>、信用风险</w:t>
      </w:r>
    </w:p>
    <w:p w:rsidR="00F70B23" w:rsidRPr="008644BE" w:rsidRDefault="00F70B23"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信用风险主要指债券、票据发行主体信用状况可能恶化而可能产生的到期不能兑付的风险。</w:t>
      </w:r>
    </w:p>
    <w:p w:rsidR="00BA4B87" w:rsidRPr="008644BE" w:rsidRDefault="0055340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5</w:t>
      </w:r>
      <w:r w:rsidR="00630D82" w:rsidRPr="008644BE">
        <w:rPr>
          <w:rFonts w:asciiTheme="minorEastAsia" w:eastAsiaTheme="minorEastAsia" w:hAnsiTheme="minorEastAsia"/>
          <w:kern w:val="0"/>
          <w:szCs w:val="21"/>
        </w:rPr>
        <w:t>、</w:t>
      </w:r>
      <w:r w:rsidR="005C015B" w:rsidRPr="008644BE">
        <w:rPr>
          <w:rFonts w:asciiTheme="minorEastAsia" w:eastAsiaTheme="minorEastAsia" w:hAnsiTheme="minorEastAsia"/>
          <w:kern w:val="0"/>
          <w:szCs w:val="21"/>
        </w:rPr>
        <w:t>公司</w:t>
      </w:r>
      <w:r w:rsidR="00BA4B87" w:rsidRPr="008644BE">
        <w:rPr>
          <w:rFonts w:asciiTheme="minorEastAsia" w:eastAsiaTheme="minorEastAsia" w:hAnsiTheme="minorEastAsia"/>
          <w:kern w:val="0"/>
          <w:szCs w:val="21"/>
        </w:rPr>
        <w:t>经营风险</w:t>
      </w:r>
    </w:p>
    <w:p w:rsidR="00311E99" w:rsidRPr="008644BE" w:rsidRDefault="00311E99"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55340E" w:rsidRPr="008644BE" w:rsidRDefault="0055340E"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kern w:val="0"/>
          <w:szCs w:val="21"/>
        </w:rPr>
        <w:t>6、</w:t>
      </w:r>
      <w:r w:rsidRPr="008644BE">
        <w:rPr>
          <w:rFonts w:asciiTheme="minorEastAsia" w:eastAsiaTheme="minorEastAsia" w:hAnsiTheme="minorEastAsia" w:hint="eastAsia"/>
        </w:rPr>
        <w:t>经济周期风险</w:t>
      </w:r>
    </w:p>
    <w:p w:rsidR="0055340E" w:rsidRPr="008644BE" w:rsidRDefault="0055340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rPr>
        <w:t>随着经济运行的周期性变化，证券市场的收益水平也呈周期性变化，基金投资的收益水平也会随之变化，从而产生风险。</w:t>
      </w:r>
    </w:p>
    <w:p w:rsidR="00AE536E"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104" w:name="_Toc332373575"/>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二</w:t>
      </w:r>
      <w:r w:rsidRPr="008644BE">
        <w:rPr>
          <w:rStyle w:val="da"/>
          <w:rFonts w:asciiTheme="minorEastAsia" w:eastAsiaTheme="minorEastAsia" w:hAnsiTheme="minorEastAsia" w:hint="eastAsia"/>
        </w:rPr>
        <w:t>）</w:t>
      </w:r>
      <w:r w:rsidR="00AE536E" w:rsidRPr="008644BE">
        <w:rPr>
          <w:rStyle w:val="da"/>
          <w:rFonts w:asciiTheme="minorEastAsia" w:eastAsiaTheme="minorEastAsia" w:hAnsiTheme="minorEastAsia" w:hint="eastAsia"/>
        </w:rPr>
        <w:t>流动性风险</w:t>
      </w:r>
    </w:p>
    <w:bookmarkEnd w:id="104"/>
    <w:p w:rsidR="00F11CFA" w:rsidRPr="008644BE" w:rsidRDefault="00F11CFA" w:rsidP="00F11CFA">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1、流动性风险评估</w:t>
      </w:r>
    </w:p>
    <w:p w:rsidR="00F11CFA" w:rsidRPr="008644BE" w:rsidRDefault="00F11CFA" w:rsidP="00F11CFA">
      <w:pPr>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本基金为混合基金，可投资于股票、债券、货币市场工具等，一般情况下，这些资产市场流动性较好。</w:t>
      </w:r>
    </w:p>
    <w:p w:rsidR="00AE536E" w:rsidRPr="008644BE" w:rsidRDefault="00F11CFA" w:rsidP="00F11CFA">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rPr>
        <w:t>但本基金投资于上述资产时，仍存在以下流动性风险</w:t>
      </w:r>
      <w:r w:rsidR="00890A8B" w:rsidRPr="008644BE">
        <w:rPr>
          <w:rFonts w:asciiTheme="minorEastAsia" w:eastAsiaTheme="minorEastAsia" w:hAnsiTheme="minorEastAsia"/>
        </w:rPr>
        <w:t>：一是基金管理人建仓时或为实现收益而进行组合调整时，可能由于</w:t>
      </w:r>
      <w:r w:rsidRPr="008644BE">
        <w:rPr>
          <w:rFonts w:asciiTheme="minorEastAsia" w:eastAsiaTheme="minorEastAsia" w:hAnsiTheme="minorEastAsia" w:hint="eastAsia"/>
        </w:rPr>
        <w:t>特定投资标的</w:t>
      </w:r>
      <w:r w:rsidR="00890A8B" w:rsidRPr="008644BE">
        <w:rPr>
          <w:rFonts w:asciiTheme="minorEastAsia" w:eastAsiaTheme="minorEastAsia" w:hAnsiTheme="minorEastAsia"/>
        </w:rPr>
        <w:t>市场流动性相对不足而无法按预期的价格买进或卖出；二是为应付投资者的赎回，基金管理人的现金支付出现困难，被迫在不适当的价</w:t>
      </w:r>
      <w:r w:rsidR="00890A8B" w:rsidRPr="008644BE">
        <w:rPr>
          <w:rFonts w:asciiTheme="minorEastAsia" w:eastAsiaTheme="minorEastAsia" w:hAnsiTheme="minorEastAsia"/>
        </w:rPr>
        <w:lastRenderedPageBreak/>
        <w:t>格大量抛售股票</w:t>
      </w:r>
      <w:r w:rsidR="00E51FC8" w:rsidRPr="008644BE">
        <w:rPr>
          <w:rFonts w:asciiTheme="minorEastAsia" w:eastAsiaTheme="minorEastAsia" w:hAnsiTheme="minorEastAsia" w:hint="eastAsia"/>
        </w:rPr>
        <w:t>、</w:t>
      </w:r>
      <w:r w:rsidR="00890A8B" w:rsidRPr="008644BE">
        <w:rPr>
          <w:rFonts w:asciiTheme="minorEastAsia" w:eastAsiaTheme="minorEastAsia" w:hAnsiTheme="minorEastAsia"/>
        </w:rPr>
        <w:t>债券</w:t>
      </w:r>
      <w:r w:rsidR="00E51FC8" w:rsidRPr="008644BE">
        <w:rPr>
          <w:rFonts w:asciiTheme="minorEastAsia" w:eastAsiaTheme="minorEastAsia" w:hAnsiTheme="minorEastAsia" w:hint="eastAsia"/>
        </w:rPr>
        <w:t>或其他资产</w:t>
      </w:r>
      <w:r w:rsidR="00890A8B" w:rsidRPr="008644BE">
        <w:rPr>
          <w:rFonts w:asciiTheme="minorEastAsia" w:eastAsiaTheme="minorEastAsia" w:hAnsiTheme="minorEastAsia"/>
        </w:rPr>
        <w:t>。两者均可能使基金净值受到不利影响。</w:t>
      </w:r>
    </w:p>
    <w:p w:rsidR="008720B1" w:rsidRPr="008644BE" w:rsidRDefault="008720B1" w:rsidP="008720B1">
      <w:pPr>
        <w:spacing w:line="360" w:lineRule="auto"/>
        <w:ind w:firstLineChars="200" w:firstLine="420"/>
        <w:rPr>
          <w:rFonts w:asciiTheme="minorEastAsia" w:eastAsiaTheme="minorEastAsia" w:hAnsiTheme="minorEastAsia"/>
        </w:rPr>
      </w:pPr>
      <w:bookmarkStart w:id="105" w:name="_Toc332373576"/>
      <w:r w:rsidRPr="008644BE">
        <w:rPr>
          <w:rFonts w:asciiTheme="minorEastAsia" w:eastAsiaTheme="minorEastAsia" w:hAnsiTheme="minorEastAsia" w:hint="eastAsia"/>
        </w:rPr>
        <w:t>2、巨额赎回情形下的流动性风险管理措施</w:t>
      </w:r>
    </w:p>
    <w:p w:rsidR="008720B1" w:rsidRPr="008644BE" w:rsidRDefault="008720B1" w:rsidP="008720B1">
      <w:pPr>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十）巨额赎回的认定及处理方式”。</w:t>
      </w:r>
    </w:p>
    <w:p w:rsidR="008720B1" w:rsidRPr="008644BE" w:rsidRDefault="008720B1" w:rsidP="008720B1">
      <w:pPr>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8720B1" w:rsidRPr="008644BE" w:rsidRDefault="008720B1" w:rsidP="008720B1">
      <w:pPr>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3、除巨额赎回情形外实施备用的流动性风险管理工具的情形、程序及对投资者的潜在影响</w:t>
      </w:r>
    </w:p>
    <w:p w:rsidR="008720B1" w:rsidRPr="008644BE" w:rsidRDefault="008720B1" w:rsidP="008720B1">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8720B1" w:rsidRPr="008644BE" w:rsidRDefault="008720B1" w:rsidP="008720B1">
      <w:pPr>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szCs w:val="21"/>
        </w:rPr>
        <w:t>暂停接受赎回申请、延缓支付赎回款项等工具的情形、程序见招募说明书“八、基金份额的申购、赎回”之“</w:t>
      </w:r>
      <w:r w:rsidRPr="008644BE">
        <w:rPr>
          <w:rFonts w:asciiTheme="minorEastAsia" w:eastAsiaTheme="minorEastAsia" w:hAnsiTheme="minorEastAsia" w:hint="eastAsia"/>
        </w:rPr>
        <w:t>（十一）拒绝或暂停申购、暂停赎回</w:t>
      </w:r>
      <w:r w:rsidRPr="008644BE">
        <w:rPr>
          <w:rFonts w:asciiTheme="minorEastAsia" w:eastAsiaTheme="minorEastAsia" w:hAnsiTheme="minorEastAsia" w:hint="eastAsia"/>
          <w:szCs w:val="21"/>
        </w:rPr>
        <w:t>或延缓支付赎回款项</w:t>
      </w:r>
      <w:r w:rsidRPr="008644BE">
        <w:rPr>
          <w:rFonts w:asciiTheme="minorEastAsia" w:eastAsiaTheme="minorEastAsia" w:hAnsiTheme="minorEastAsia" w:hint="eastAsia"/>
        </w:rPr>
        <w:t>的情形及处理”的相关规定。</w:t>
      </w:r>
      <w:r w:rsidRPr="008644BE">
        <w:rPr>
          <w:rFonts w:asciiTheme="minorEastAsia" w:eastAsiaTheme="minorEastAsia" w:hAnsiTheme="minorEastAsia" w:hint="eastAsia"/>
          <w:szCs w:val="21"/>
        </w:rPr>
        <w:t>若本基金暂停赎回申请，投</w:t>
      </w:r>
      <w:r w:rsidRPr="008644BE">
        <w:rPr>
          <w:rFonts w:asciiTheme="minorEastAsia" w:eastAsiaTheme="minorEastAsia" w:hAnsiTheme="minorEastAsia" w:hint="eastAsia"/>
        </w:rPr>
        <w:t>资者在暂停赎回期间将无法赎回其持有的基金份额。若</w:t>
      </w:r>
      <w:r w:rsidRPr="008644BE">
        <w:rPr>
          <w:rFonts w:asciiTheme="minorEastAsia" w:eastAsiaTheme="minorEastAsia" w:hAnsiTheme="minorEastAsia" w:hint="eastAsia"/>
          <w:szCs w:val="21"/>
        </w:rPr>
        <w:t>本基金延缓支付赎回款项，赎回款支付时间将后延，可能对投资者的资金安排带来不利影响。</w:t>
      </w:r>
    </w:p>
    <w:p w:rsidR="008720B1" w:rsidRPr="008644BE" w:rsidRDefault="008720B1" w:rsidP="008720B1">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8720B1" w:rsidRPr="008644BE" w:rsidRDefault="008720B1" w:rsidP="008720B1">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暂停基金估值的情形、程序见招募说明书“十四、基金资产的估值”之“（六）暂停估值的情形”的相关规定。若本基金暂停基金估值，一方面投资者将无法知晓本基金的基金份额净值，</w:t>
      </w:r>
      <w:r w:rsidR="00DE03F4" w:rsidRPr="008644BE">
        <w:rPr>
          <w:rFonts w:asciiTheme="minorEastAsia" w:eastAsiaTheme="minorEastAsia" w:hAnsiTheme="minorEastAsia" w:hint="eastAsia"/>
          <w:szCs w:val="21"/>
        </w:rPr>
        <w:t>另一方面基金将</w:t>
      </w:r>
      <w:r w:rsidR="00DE03F4" w:rsidRPr="008644BE">
        <w:rPr>
          <w:rFonts w:asciiTheme="minorEastAsia" w:eastAsiaTheme="minorEastAsia" w:hAnsiTheme="minorEastAsia" w:hint="eastAsia"/>
        </w:rPr>
        <w:t>延缓支付赎回款项或</w:t>
      </w:r>
      <w:r w:rsidR="00DE03F4" w:rsidRPr="008644BE">
        <w:rPr>
          <w:rFonts w:asciiTheme="minorEastAsia" w:eastAsiaTheme="minorEastAsia" w:hAnsiTheme="minorEastAsia" w:hint="eastAsia"/>
          <w:szCs w:val="21"/>
        </w:rPr>
        <w:t>暂停接受申购赎回申请，</w:t>
      </w:r>
      <w:r w:rsidR="00DE03F4" w:rsidRPr="008644BE">
        <w:rPr>
          <w:rFonts w:asciiTheme="minorEastAsia" w:eastAsiaTheme="minorEastAsia" w:hAnsiTheme="minorEastAsia" w:hint="eastAsia"/>
        </w:rPr>
        <w:t>延缓支付赎回款项可能影响投资者的资金安排，</w:t>
      </w:r>
      <w:r w:rsidR="00DE03F4" w:rsidRPr="008644BE">
        <w:rPr>
          <w:rFonts w:asciiTheme="minorEastAsia" w:eastAsiaTheme="minorEastAsia" w:hAnsiTheme="minorEastAsia" w:hint="eastAsia"/>
          <w:szCs w:val="21"/>
        </w:rPr>
        <w:t>暂停接受申购赎回申请将导致投资者无法申购或赎回本基金</w:t>
      </w:r>
      <w:r w:rsidRPr="008644BE">
        <w:rPr>
          <w:rFonts w:asciiTheme="minorEastAsia" w:eastAsiaTheme="minorEastAsia" w:hAnsiTheme="minorEastAsia" w:hint="eastAsia"/>
          <w:szCs w:val="21"/>
        </w:rPr>
        <w:t>。</w:t>
      </w:r>
    </w:p>
    <w:p w:rsidR="00CF795F" w:rsidRPr="008644BE" w:rsidRDefault="00CF795F" w:rsidP="00CF795F">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（三）本基金法律文件中涉及基金风险特征的表述与销售机构对基金的风险评级可能不一致的风险</w:t>
      </w:r>
    </w:p>
    <w:p w:rsidR="00CF795F" w:rsidRPr="008644BE" w:rsidRDefault="00CF795F" w:rsidP="00CF795F">
      <w:pPr>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lastRenderedPageBreak/>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r w:rsidRPr="008644BE">
        <w:rPr>
          <w:rStyle w:val="da"/>
          <w:rFonts w:asciiTheme="minorEastAsia" w:eastAsiaTheme="minorEastAsia" w:hAnsiTheme="minorEastAsia" w:hint="eastAsia"/>
        </w:rPr>
        <w:t>（</w:t>
      </w:r>
      <w:r w:rsidR="00CF795F" w:rsidRPr="008644BE">
        <w:rPr>
          <w:rStyle w:val="da"/>
          <w:rFonts w:asciiTheme="minorEastAsia" w:eastAsiaTheme="minorEastAsia" w:hAnsiTheme="minorEastAsia" w:hint="eastAsia"/>
        </w:rPr>
        <w:t>四</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管理风险</w:t>
      </w:r>
    </w:p>
    <w:bookmarkEnd w:id="105"/>
    <w:p w:rsidR="00BA4B87" w:rsidRPr="008644BE" w:rsidRDefault="00BA4B87"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8A168E" w:rsidRPr="008644BE">
        <w:rPr>
          <w:rFonts w:asciiTheme="minorEastAsia" w:eastAsiaTheme="minorEastAsia" w:hAnsiTheme="minorEastAsia" w:hint="eastAsia"/>
          <w:kern w:val="0"/>
          <w:szCs w:val="21"/>
        </w:rPr>
        <w:t>、</w:t>
      </w:r>
      <w:r w:rsidRPr="008644BE">
        <w:rPr>
          <w:rFonts w:asciiTheme="minorEastAsia" w:eastAsiaTheme="minorEastAsia" w:hAnsiTheme="minorEastAsia" w:hint="eastAsia"/>
          <w:kern w:val="0"/>
          <w:szCs w:val="21"/>
        </w:rPr>
        <w:t>在基金管理运作过程中，基金管理人的知识、经验、判断、决策、技能等，会影响其对信息的占有以及对经济形势、证券价格走势的判断，从而影响基金收益水平；</w:t>
      </w:r>
    </w:p>
    <w:p w:rsidR="009D1FBD" w:rsidRPr="008644BE" w:rsidRDefault="00BA4B87"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kern w:val="0"/>
          <w:szCs w:val="21"/>
        </w:rPr>
        <w:t>2</w:t>
      </w:r>
      <w:r w:rsidR="008A168E" w:rsidRPr="008644BE">
        <w:rPr>
          <w:rFonts w:asciiTheme="minorEastAsia" w:eastAsiaTheme="minorEastAsia" w:hAnsiTheme="minorEastAsia" w:hint="eastAsia"/>
          <w:kern w:val="0"/>
          <w:szCs w:val="21"/>
        </w:rPr>
        <w:t>、</w:t>
      </w:r>
      <w:r w:rsidRPr="008644BE">
        <w:rPr>
          <w:rFonts w:asciiTheme="minorEastAsia" w:eastAsiaTheme="minorEastAsia" w:hAnsiTheme="minorEastAsia" w:hint="eastAsia"/>
          <w:kern w:val="0"/>
          <w:szCs w:val="21"/>
        </w:rPr>
        <w:t>基金管理人的管理手段和管理技术等因素的变化也会影响基金收益水平。</w:t>
      </w:r>
    </w:p>
    <w:p w:rsidR="009D1FBD"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106" w:name="_Toc332373577"/>
      <w:r w:rsidRPr="008644BE">
        <w:rPr>
          <w:rStyle w:val="da"/>
          <w:rFonts w:asciiTheme="minorEastAsia" w:eastAsiaTheme="minorEastAsia" w:hAnsiTheme="minorEastAsia" w:hint="eastAsia"/>
        </w:rPr>
        <w:t>（</w:t>
      </w:r>
      <w:r w:rsidR="00CF795F" w:rsidRPr="008644BE">
        <w:rPr>
          <w:rStyle w:val="da"/>
          <w:rFonts w:asciiTheme="minorEastAsia" w:eastAsiaTheme="minorEastAsia" w:hAnsiTheme="minorEastAsia" w:hint="eastAsia"/>
        </w:rPr>
        <w:t>五</w:t>
      </w:r>
      <w:r w:rsidRPr="008644BE">
        <w:rPr>
          <w:rStyle w:val="da"/>
          <w:rFonts w:asciiTheme="minorEastAsia" w:eastAsiaTheme="minorEastAsia" w:hAnsiTheme="minorEastAsia" w:hint="eastAsia"/>
        </w:rPr>
        <w:t>）</w:t>
      </w:r>
      <w:r w:rsidR="009D1FBD" w:rsidRPr="008644BE">
        <w:rPr>
          <w:rStyle w:val="da"/>
          <w:rFonts w:asciiTheme="minorEastAsia" w:eastAsiaTheme="minorEastAsia" w:hAnsiTheme="minorEastAsia" w:hint="eastAsia"/>
        </w:rPr>
        <w:t>本基金的</w:t>
      </w:r>
      <w:r w:rsidR="00E96BD6" w:rsidRPr="008644BE">
        <w:rPr>
          <w:rStyle w:val="da"/>
          <w:rFonts w:asciiTheme="minorEastAsia" w:eastAsiaTheme="minorEastAsia" w:hAnsiTheme="minorEastAsia" w:hint="eastAsia"/>
        </w:rPr>
        <w:t>特有</w:t>
      </w:r>
      <w:r w:rsidR="009D1FBD" w:rsidRPr="008644BE">
        <w:rPr>
          <w:rStyle w:val="da"/>
          <w:rFonts w:asciiTheme="minorEastAsia" w:eastAsiaTheme="minorEastAsia" w:hAnsiTheme="minorEastAsia" w:hint="eastAsia"/>
        </w:rPr>
        <w:t>风险</w:t>
      </w:r>
    </w:p>
    <w:bookmarkEnd w:id="106"/>
    <w:p w:rsidR="00F25E02" w:rsidRPr="008644BE" w:rsidRDefault="00F25E02"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本基金特有的风险包括：</w:t>
      </w:r>
    </w:p>
    <w:p w:rsidR="00F25E02" w:rsidRPr="008644BE" w:rsidRDefault="00F25E02"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1、本基金</w:t>
      </w:r>
      <w:r w:rsidR="00AC122C" w:rsidRPr="008644BE">
        <w:rPr>
          <w:rFonts w:asciiTheme="minorEastAsia" w:eastAsiaTheme="minorEastAsia" w:hAnsiTheme="minorEastAsia" w:hint="eastAsia"/>
          <w:kern w:val="0"/>
          <w:szCs w:val="21"/>
        </w:rPr>
        <w:t>非现金资产</w:t>
      </w:r>
      <w:r w:rsidRPr="008644BE">
        <w:rPr>
          <w:rFonts w:asciiTheme="minorEastAsia" w:eastAsiaTheme="minorEastAsia" w:hAnsiTheme="minorEastAsia" w:hint="eastAsia"/>
          <w:kern w:val="0"/>
          <w:szCs w:val="21"/>
        </w:rPr>
        <w:t>主要投资</w:t>
      </w:r>
      <w:r w:rsidR="00AC122C" w:rsidRPr="008644BE">
        <w:rPr>
          <w:rFonts w:asciiTheme="minorEastAsia" w:eastAsiaTheme="minorEastAsia" w:hAnsiTheme="minorEastAsia" w:hint="eastAsia"/>
          <w:kern w:val="0"/>
          <w:szCs w:val="21"/>
        </w:rPr>
        <w:t>于</w:t>
      </w:r>
      <w:r w:rsidR="002872A2" w:rsidRPr="008644BE">
        <w:rPr>
          <w:rFonts w:asciiTheme="minorEastAsia" w:eastAsiaTheme="minorEastAsia" w:hAnsiTheme="minorEastAsia" w:hint="eastAsia"/>
          <w:kern w:val="0"/>
          <w:szCs w:val="21"/>
        </w:rPr>
        <w:t>创新驱动型公司</w:t>
      </w:r>
      <w:r w:rsidR="00AC122C" w:rsidRPr="008644BE">
        <w:rPr>
          <w:rFonts w:asciiTheme="minorEastAsia" w:eastAsiaTheme="minorEastAsia" w:hAnsiTheme="minorEastAsia" w:hint="eastAsia"/>
          <w:kern w:val="0"/>
          <w:szCs w:val="21"/>
        </w:rPr>
        <w:t>证券</w:t>
      </w:r>
      <w:r w:rsidRPr="008644BE">
        <w:rPr>
          <w:rFonts w:asciiTheme="minorEastAsia" w:eastAsiaTheme="minorEastAsia" w:hAnsiTheme="minorEastAsia" w:hint="eastAsia"/>
          <w:kern w:val="0"/>
          <w:szCs w:val="21"/>
        </w:rPr>
        <w:t>。当</w:t>
      </w:r>
      <w:r w:rsidR="002872A2" w:rsidRPr="008644BE">
        <w:rPr>
          <w:rFonts w:asciiTheme="minorEastAsia" w:eastAsiaTheme="minorEastAsia" w:hAnsiTheme="minorEastAsia" w:hint="eastAsia"/>
          <w:kern w:val="0"/>
          <w:szCs w:val="21"/>
        </w:rPr>
        <w:t>创新驱动型公司</w:t>
      </w:r>
      <w:r w:rsidR="00AC122C" w:rsidRPr="008644BE">
        <w:rPr>
          <w:rFonts w:asciiTheme="minorEastAsia" w:eastAsiaTheme="minorEastAsia" w:hAnsiTheme="minorEastAsia" w:hint="eastAsia"/>
          <w:kern w:val="0"/>
          <w:szCs w:val="21"/>
        </w:rPr>
        <w:t>证券</w:t>
      </w:r>
      <w:r w:rsidRPr="008644BE">
        <w:rPr>
          <w:rFonts w:asciiTheme="minorEastAsia" w:eastAsiaTheme="minorEastAsia" w:hAnsiTheme="minorEastAsia" w:hint="eastAsia"/>
          <w:kern w:val="0"/>
          <w:szCs w:val="21"/>
        </w:rPr>
        <w:t>整体表现较差时，本基金的净值增长率将受影响；此外，</w:t>
      </w:r>
      <w:r w:rsidR="002872A2" w:rsidRPr="008644BE">
        <w:rPr>
          <w:rFonts w:asciiTheme="minorEastAsia" w:eastAsiaTheme="minorEastAsia" w:hAnsiTheme="minorEastAsia" w:hint="eastAsia"/>
          <w:kern w:val="0"/>
          <w:szCs w:val="21"/>
        </w:rPr>
        <w:t>创新驱动型公司</w:t>
      </w:r>
      <w:r w:rsidRPr="008644BE">
        <w:rPr>
          <w:rFonts w:asciiTheme="minorEastAsia" w:eastAsiaTheme="minorEastAsia" w:hAnsiTheme="minorEastAsia" w:hint="eastAsia"/>
          <w:kern w:val="0"/>
          <w:szCs w:val="21"/>
        </w:rPr>
        <w:t>股票价格波动性</w:t>
      </w:r>
      <w:r w:rsidR="00743435" w:rsidRPr="008644BE">
        <w:rPr>
          <w:rFonts w:asciiTheme="minorEastAsia" w:eastAsiaTheme="minorEastAsia" w:hAnsiTheme="minorEastAsia" w:hint="eastAsia"/>
          <w:kern w:val="0"/>
          <w:szCs w:val="21"/>
        </w:rPr>
        <w:t>可能</w:t>
      </w:r>
      <w:r w:rsidRPr="008644BE">
        <w:rPr>
          <w:rFonts w:asciiTheme="minorEastAsia" w:eastAsiaTheme="minorEastAsia" w:hAnsiTheme="minorEastAsia" w:hint="eastAsia"/>
          <w:kern w:val="0"/>
          <w:szCs w:val="21"/>
        </w:rPr>
        <w:t>较高，由此可能导致本基金的波动率增加。</w:t>
      </w:r>
    </w:p>
    <w:p w:rsidR="00F25E02" w:rsidRPr="008644BE" w:rsidRDefault="00F25E02"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2、如果基金管理人判断失误，本基金资产配置或个券选择不合理，本基金投资回报可能低于业绩比较基准。</w:t>
      </w:r>
    </w:p>
    <w:p w:rsidR="00D53F70" w:rsidRPr="008644BE" w:rsidRDefault="00F25E02"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3、如果本基金投资股指期货，股指期货投资可能给本基金带来额外风险，包括杠杆风险、股指期货价格与基金投资品种价格的相关度降低带来的风险等，由此可能增加本基金净值的波动性。</w:t>
      </w:r>
    </w:p>
    <w:p w:rsidR="007632A0" w:rsidRPr="008644BE" w:rsidRDefault="007632A0" w:rsidP="00DB72CC">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kern w:val="0"/>
          <w:szCs w:val="21"/>
        </w:rPr>
        <w:t>4、</w:t>
      </w:r>
      <w:r w:rsidRPr="008644BE">
        <w:rPr>
          <w:rFonts w:asciiTheme="minorEastAsia" w:eastAsiaTheme="minorEastAsia" w:hAnsiTheme="minorEastAsia" w:hint="eastAsia"/>
          <w:kern w:val="0"/>
          <w:szCs w:val="21"/>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7632A0" w:rsidRPr="008644BE" w:rsidRDefault="007632A0" w:rsidP="00DB72CC">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科创板股票在发行、上市、交易、退市等方面的规则与其他板块存在差异，基金投资科创板股票的风险包括但不限于：</w:t>
      </w:r>
    </w:p>
    <w:p w:rsidR="007632A0" w:rsidRPr="008644BE" w:rsidRDefault="007632A0" w:rsidP="00DB72CC">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1</w:t>
      </w:r>
      <w:r w:rsidRPr="008644BE">
        <w:rPr>
          <w:rFonts w:asciiTheme="minorEastAsia" w:eastAsiaTheme="minorEastAsia" w:hAnsiTheme="minorEastAsia" w:hint="eastAsia"/>
          <w:kern w:val="0"/>
          <w:szCs w:val="21"/>
        </w:rPr>
        <w:t>）科创板企业退市风险</w:t>
      </w:r>
    </w:p>
    <w:p w:rsidR="007632A0" w:rsidRPr="008644BE" w:rsidRDefault="007632A0" w:rsidP="00DB72CC">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科创板退市制度较主板更为严格，退市时间更短，退市速度更快，退市情形更多，且不</w:t>
      </w:r>
      <w:r w:rsidRPr="008644BE">
        <w:rPr>
          <w:rFonts w:asciiTheme="minorEastAsia" w:eastAsiaTheme="minorEastAsia" w:hAnsiTheme="minorEastAsia" w:hint="eastAsia"/>
          <w:kern w:val="0"/>
          <w:szCs w:val="21"/>
        </w:rPr>
        <w:lastRenderedPageBreak/>
        <w:t>再设置暂停上市、恢复上市和重新上市环节。一旦所投资的科创板股票进入退市流程，将面临退出难度较大、成本较高的风险。</w:t>
      </w:r>
    </w:p>
    <w:p w:rsidR="007632A0" w:rsidRPr="008644BE" w:rsidRDefault="007632A0" w:rsidP="00DB72CC">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2</w:t>
      </w:r>
      <w:r w:rsidRPr="008644BE">
        <w:rPr>
          <w:rFonts w:asciiTheme="minorEastAsia" w:eastAsiaTheme="minorEastAsia" w:hAnsiTheme="minorEastAsia" w:hint="eastAsia"/>
          <w:kern w:val="0"/>
          <w:szCs w:val="21"/>
        </w:rPr>
        <w:t>）市场风险</w:t>
      </w:r>
    </w:p>
    <w:p w:rsidR="007632A0" w:rsidRPr="008644BE" w:rsidRDefault="007632A0" w:rsidP="00DB72CC">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科创板企业相对集中于新一代信息技术、高端装备、新材料、新能源、节能环保及生物医药等高新技术和战略新兴产业领域，大多数企业为初创型公司，上市门槛略低于</w:t>
      </w:r>
      <w:r w:rsidRPr="008644BE">
        <w:rPr>
          <w:rFonts w:asciiTheme="minorEastAsia" w:eastAsiaTheme="minorEastAsia" w:hAnsiTheme="minorEastAsia"/>
          <w:kern w:val="0"/>
          <w:szCs w:val="21"/>
        </w:rPr>
        <w:t>A</w:t>
      </w:r>
      <w:r w:rsidRPr="008644BE">
        <w:rPr>
          <w:rFonts w:asciiTheme="minorEastAsia" w:eastAsiaTheme="minorEastAsia" w:hAnsiTheme="minorEastAsia" w:hint="eastAsia"/>
          <w:kern w:val="0"/>
          <w:szCs w:val="21"/>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8644BE">
        <w:rPr>
          <w:rFonts w:asciiTheme="minorEastAsia" w:eastAsiaTheme="minorEastAsia" w:hAnsiTheme="minorEastAsia"/>
          <w:kern w:val="0"/>
          <w:szCs w:val="21"/>
        </w:rPr>
        <w:t>5</w:t>
      </w:r>
      <w:r w:rsidRPr="008644BE">
        <w:rPr>
          <w:rFonts w:asciiTheme="minorEastAsia" w:eastAsiaTheme="minorEastAsia" w:hAnsiTheme="minorEastAsia" w:hint="eastAsia"/>
          <w:kern w:val="0"/>
          <w:szCs w:val="21"/>
        </w:rPr>
        <w:t>个交易日不设涨跌幅限制，其后涨跌幅限制为</w:t>
      </w:r>
      <w:r w:rsidRPr="008644BE">
        <w:rPr>
          <w:rFonts w:asciiTheme="minorEastAsia" w:eastAsiaTheme="minorEastAsia" w:hAnsiTheme="minorEastAsia"/>
          <w:kern w:val="0"/>
          <w:szCs w:val="21"/>
        </w:rPr>
        <w:t>20%</w:t>
      </w:r>
      <w:r w:rsidRPr="008644BE">
        <w:rPr>
          <w:rFonts w:asciiTheme="minorEastAsia" w:eastAsiaTheme="minorEastAsia" w:hAnsiTheme="minorEastAsia" w:hint="eastAsia"/>
          <w:kern w:val="0"/>
          <w:szCs w:val="21"/>
        </w:rPr>
        <w:t>）、科创板股票上市首日即可作为融资融券标的，可能导致较大的股票价格波动。</w:t>
      </w:r>
    </w:p>
    <w:p w:rsidR="007632A0" w:rsidRPr="008644BE" w:rsidRDefault="007632A0" w:rsidP="00DB72CC">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3</w:t>
      </w:r>
      <w:r w:rsidRPr="008644BE">
        <w:rPr>
          <w:rFonts w:asciiTheme="minorEastAsia" w:eastAsiaTheme="minorEastAsia" w:hAnsiTheme="minorEastAsia" w:hint="eastAsia"/>
          <w:kern w:val="0"/>
          <w:szCs w:val="21"/>
        </w:rPr>
        <w:t>）流动性风险</w:t>
      </w:r>
    </w:p>
    <w:p w:rsidR="007632A0" w:rsidRPr="008644BE" w:rsidRDefault="007632A0" w:rsidP="00DB72CC">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7632A0" w:rsidRPr="008644BE" w:rsidRDefault="007632A0" w:rsidP="00DB72CC">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4</w:t>
      </w:r>
      <w:r w:rsidRPr="008644BE">
        <w:rPr>
          <w:rFonts w:asciiTheme="minorEastAsia" w:eastAsiaTheme="minorEastAsia" w:hAnsiTheme="minorEastAsia" w:hint="eastAsia"/>
          <w:kern w:val="0"/>
          <w:szCs w:val="21"/>
        </w:rPr>
        <w:t>）监管规则变化的风险</w:t>
      </w:r>
    </w:p>
    <w:p w:rsidR="007632A0" w:rsidRPr="008644BE" w:rsidRDefault="007632A0" w:rsidP="00DB72CC">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科创板股票相关法律、行政法规、部门规章、规范性文件和交易所业务规则，可能根据市场情况进行修改完善，或者补充制定新的法律法规和业务规则，导致基金投资运作产生相应调整变化。</w:t>
      </w:r>
    </w:p>
    <w:p w:rsidR="00BA4B87" w:rsidRPr="008644BE" w:rsidRDefault="002E1C38" w:rsidP="00936084">
      <w:pPr>
        <w:snapToGrid w:val="0"/>
        <w:spacing w:line="360" w:lineRule="auto"/>
        <w:ind w:firstLineChars="200" w:firstLine="420"/>
        <w:rPr>
          <w:rStyle w:val="da"/>
          <w:rFonts w:asciiTheme="minorEastAsia" w:eastAsiaTheme="minorEastAsia" w:hAnsiTheme="minorEastAsia"/>
        </w:rPr>
      </w:pPr>
      <w:bookmarkStart w:id="107" w:name="_Toc332373578"/>
      <w:r w:rsidRPr="008644BE">
        <w:rPr>
          <w:rStyle w:val="da"/>
          <w:rFonts w:asciiTheme="minorEastAsia" w:eastAsiaTheme="minorEastAsia" w:hAnsiTheme="minorEastAsia" w:hint="eastAsia"/>
        </w:rPr>
        <w:t>（</w:t>
      </w:r>
      <w:r w:rsidR="00CF795F" w:rsidRPr="008644BE">
        <w:rPr>
          <w:rStyle w:val="da"/>
          <w:rFonts w:asciiTheme="minorEastAsia" w:eastAsiaTheme="minorEastAsia" w:hAnsiTheme="minorEastAsia" w:hint="eastAsia"/>
        </w:rPr>
        <w:t>六</w:t>
      </w:r>
      <w:r w:rsidRPr="008644BE">
        <w:rPr>
          <w:rStyle w:val="da"/>
          <w:rFonts w:asciiTheme="minorEastAsia" w:eastAsiaTheme="minorEastAsia" w:hAnsiTheme="minorEastAsia" w:hint="eastAsia"/>
        </w:rPr>
        <w:t>）</w:t>
      </w:r>
      <w:r w:rsidR="00BA4B87" w:rsidRPr="008644BE">
        <w:rPr>
          <w:rStyle w:val="da"/>
          <w:rFonts w:asciiTheme="minorEastAsia" w:eastAsiaTheme="minorEastAsia" w:hAnsiTheme="minorEastAsia" w:hint="eastAsia"/>
        </w:rPr>
        <w:t>其他风险</w:t>
      </w:r>
    </w:p>
    <w:bookmarkEnd w:id="107"/>
    <w:p w:rsidR="00D75FB9" w:rsidRPr="008644BE" w:rsidRDefault="00D75FB9"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kern w:val="0"/>
          <w:szCs w:val="21"/>
        </w:rPr>
        <w:t>1</w:t>
      </w:r>
      <w:r w:rsidRPr="008644BE">
        <w:rPr>
          <w:rFonts w:asciiTheme="minorEastAsia" w:eastAsiaTheme="minorEastAsia" w:hAnsiTheme="minorEastAsia" w:hint="eastAsia"/>
          <w:kern w:val="0"/>
          <w:szCs w:val="21"/>
        </w:rPr>
        <w:t>、因技术因素而产生的风险，如电脑等技术系统的故障或差错产生的风险</w:t>
      </w:r>
      <w:r w:rsidR="00D66D65" w:rsidRPr="008644BE">
        <w:rPr>
          <w:rFonts w:asciiTheme="minorEastAsia" w:eastAsiaTheme="minorEastAsia" w:hAnsiTheme="minorEastAsia" w:hint="eastAsia"/>
          <w:kern w:val="0"/>
          <w:szCs w:val="21"/>
        </w:rPr>
        <w:t>。</w:t>
      </w:r>
    </w:p>
    <w:p w:rsidR="00D75FB9" w:rsidRPr="008644BE" w:rsidRDefault="00D75FB9"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2、因战争、自然灾害等不可抗力导致的基金管理人、基金托管人、基金</w:t>
      </w:r>
      <w:r w:rsidR="001977D2" w:rsidRPr="008644BE">
        <w:rPr>
          <w:rFonts w:asciiTheme="minorEastAsia" w:eastAsiaTheme="minorEastAsia" w:hAnsiTheme="minorEastAsia" w:hint="eastAsia"/>
          <w:kern w:val="0"/>
          <w:szCs w:val="21"/>
        </w:rPr>
        <w:t>服务</w:t>
      </w:r>
      <w:r w:rsidRPr="008644BE">
        <w:rPr>
          <w:rFonts w:asciiTheme="minorEastAsia" w:eastAsiaTheme="minorEastAsia" w:hAnsiTheme="minorEastAsia" w:hint="eastAsia"/>
          <w:kern w:val="0"/>
          <w:szCs w:val="21"/>
        </w:rPr>
        <w:t>机构等机构无法正常工作，从而影响基金运作的风险</w:t>
      </w:r>
      <w:r w:rsidR="00D66D65" w:rsidRPr="008644BE">
        <w:rPr>
          <w:rFonts w:asciiTheme="minorEastAsia" w:eastAsiaTheme="minorEastAsia" w:hAnsiTheme="minorEastAsia" w:hint="eastAsia"/>
          <w:kern w:val="0"/>
          <w:szCs w:val="21"/>
        </w:rPr>
        <w:t>。</w:t>
      </w:r>
    </w:p>
    <w:p w:rsidR="00D75FB9" w:rsidRPr="008644BE" w:rsidRDefault="00D75FB9"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3、因金融市场危机、代理商违约、基金托管人违约等超出基金管理人自身控制能力的因素出现，可能导致基金或者基金份额持有人利益受损的风险。</w:t>
      </w:r>
    </w:p>
    <w:p w:rsidR="00070309" w:rsidRPr="008644BE" w:rsidRDefault="00070309"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4、因</w:t>
      </w:r>
      <w:r w:rsidRPr="008644BE">
        <w:rPr>
          <w:rFonts w:asciiTheme="minorEastAsia" w:eastAsiaTheme="minorEastAsia" w:hAnsiTheme="minorEastAsia" w:hint="eastAsia"/>
          <w:bCs/>
          <w:szCs w:val="21"/>
        </w:rPr>
        <w:t>固定收益类</w:t>
      </w:r>
      <w:r w:rsidRPr="008644BE">
        <w:rPr>
          <w:rFonts w:asciiTheme="minorEastAsia" w:eastAsiaTheme="minorEastAsia" w:hAnsiTheme="minorEastAsia" w:hint="eastAsia"/>
          <w:szCs w:val="21"/>
        </w:rPr>
        <w:t>金融工具主要在场外市场进行交易，场外市场交易现阶段自动化程度较场内市场低，本基金在投资运作过程中可能面临操作风险。</w:t>
      </w:r>
    </w:p>
    <w:p w:rsidR="00BA4B87" w:rsidRPr="008644BE" w:rsidRDefault="00BA4B87" w:rsidP="00936084">
      <w:pPr>
        <w:snapToGrid w:val="0"/>
        <w:spacing w:line="360" w:lineRule="auto"/>
        <w:ind w:firstLine="200"/>
        <w:rPr>
          <w:rFonts w:asciiTheme="minorEastAsia" w:eastAsiaTheme="minorEastAsia" w:hAnsiTheme="minorEastAsia"/>
        </w:rPr>
      </w:pPr>
    </w:p>
    <w:p w:rsidR="00BA4B87" w:rsidRPr="008644BE" w:rsidRDefault="00BA4B87" w:rsidP="00936084">
      <w:pPr>
        <w:pStyle w:val="1"/>
        <w:snapToGrid w:val="0"/>
        <w:spacing w:beforeLines="0" w:afterLines="0" w:line="360" w:lineRule="auto"/>
        <w:ind w:firstLine="600"/>
        <w:rPr>
          <w:rFonts w:asciiTheme="minorEastAsia" w:eastAsiaTheme="minorEastAsia" w:hAnsiTheme="minorEastAsia"/>
        </w:rPr>
      </w:pPr>
      <w:r w:rsidRPr="008644BE">
        <w:rPr>
          <w:rFonts w:asciiTheme="minorEastAsia" w:eastAsiaTheme="minorEastAsia" w:hAnsiTheme="minorEastAsia" w:hint="eastAsia"/>
          <w:sz w:val="30"/>
        </w:rPr>
        <w:br w:type="column"/>
      </w:r>
      <w:bookmarkStart w:id="108" w:name="_Toc49269645"/>
      <w:bookmarkStart w:id="109" w:name="_Toc332373579"/>
      <w:r w:rsidR="004C1D62" w:rsidRPr="008644BE">
        <w:rPr>
          <w:rFonts w:asciiTheme="minorEastAsia" w:eastAsiaTheme="minorEastAsia" w:hAnsiTheme="minorEastAsia" w:hint="eastAsia"/>
          <w:sz w:val="30"/>
        </w:rPr>
        <w:lastRenderedPageBreak/>
        <w:t>二十</w:t>
      </w:r>
      <w:r w:rsidRPr="008644BE">
        <w:rPr>
          <w:rFonts w:asciiTheme="minorEastAsia" w:eastAsiaTheme="minorEastAsia" w:hAnsiTheme="minorEastAsia" w:hint="eastAsia"/>
          <w:sz w:val="30"/>
        </w:rPr>
        <w:t>、基金合同的变更、终止与基金财产的清算</w:t>
      </w:r>
      <w:bookmarkEnd w:id="108"/>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bookmarkStart w:id="110" w:name="_Toc79392639"/>
      <w:bookmarkEnd w:id="109"/>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一</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《基金合同》的变更</w:t>
      </w:r>
    </w:p>
    <w:p w:rsidR="00FE1510" w:rsidRPr="008644BE" w:rsidRDefault="00FE1510" w:rsidP="00936084">
      <w:pPr>
        <w:autoSpaceDE w:val="0"/>
        <w:autoSpaceDN w:val="0"/>
        <w:adjustRightInd w:val="0"/>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1、变更基金合同</w:t>
      </w:r>
      <w:r w:rsidRPr="008644BE">
        <w:rPr>
          <w:rFonts w:asciiTheme="minorEastAsia" w:eastAsiaTheme="minorEastAsia" w:hAnsiTheme="minorEastAsia" w:hint="eastAsia"/>
          <w:bCs/>
          <w:szCs w:val="21"/>
        </w:rPr>
        <w:t>涉及</w:t>
      </w:r>
      <w:r w:rsidR="004175EE" w:rsidRPr="008644BE">
        <w:rPr>
          <w:rFonts w:asciiTheme="minorEastAsia" w:eastAsiaTheme="minorEastAsia" w:hAnsiTheme="minorEastAsia"/>
          <w:bCs/>
          <w:szCs w:val="21"/>
        </w:rPr>
        <w:t>法律法规规定或</w:t>
      </w:r>
      <w:r w:rsidR="004175EE" w:rsidRPr="008644BE">
        <w:rPr>
          <w:rFonts w:asciiTheme="minorEastAsia" w:eastAsiaTheme="minorEastAsia" w:hAnsiTheme="minorEastAsia" w:hint="eastAsia"/>
          <w:bCs/>
          <w:szCs w:val="21"/>
        </w:rPr>
        <w:t>基金</w:t>
      </w:r>
      <w:r w:rsidRPr="008644BE">
        <w:rPr>
          <w:rFonts w:asciiTheme="minorEastAsia" w:eastAsiaTheme="minorEastAsia" w:hAnsiTheme="minorEastAsia"/>
          <w:bCs/>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E1510" w:rsidRPr="008644BE" w:rsidRDefault="00FE1510" w:rsidP="00936084">
      <w:pPr>
        <w:autoSpaceDE w:val="0"/>
        <w:autoSpaceDN w:val="0"/>
        <w:adjustRightInd w:val="0"/>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w:t>
      </w:r>
      <w:r w:rsidR="00BF1BD6" w:rsidRPr="008644BE">
        <w:rPr>
          <w:rFonts w:asciiTheme="minorEastAsia" w:eastAsiaTheme="minorEastAsia" w:hAnsiTheme="minorEastAsia"/>
          <w:bCs/>
          <w:szCs w:val="21"/>
        </w:rPr>
        <w:t>关于《基金合同》变更的基金份额持有人大会决议</w:t>
      </w:r>
      <w:r w:rsidR="00BF1BD6" w:rsidRPr="008644BE">
        <w:rPr>
          <w:rFonts w:asciiTheme="minorEastAsia" w:eastAsiaTheme="minorEastAsia" w:hAnsiTheme="minorEastAsia" w:hint="eastAsia"/>
          <w:bCs/>
          <w:szCs w:val="21"/>
        </w:rPr>
        <w:t>自表决通过之日起生效</w:t>
      </w:r>
      <w:r w:rsidR="00BF1BD6" w:rsidRPr="008644BE">
        <w:rPr>
          <w:rFonts w:asciiTheme="minorEastAsia" w:eastAsiaTheme="minorEastAsia" w:hAnsiTheme="minorEastAsia"/>
          <w:bCs/>
          <w:szCs w:val="21"/>
        </w:rPr>
        <w:t>，</w:t>
      </w:r>
      <w:r w:rsidR="00BF1BD6" w:rsidRPr="008644BE">
        <w:rPr>
          <w:rFonts w:asciiTheme="minorEastAsia" w:eastAsiaTheme="minorEastAsia" w:hAnsiTheme="minorEastAsia" w:hint="eastAsia"/>
          <w:bCs/>
          <w:szCs w:val="21"/>
        </w:rPr>
        <w:t>自决议生效之日起2日内在指定媒介公告</w:t>
      </w:r>
      <w:r w:rsidRPr="008644BE">
        <w:rPr>
          <w:rFonts w:asciiTheme="minorEastAsia" w:eastAsiaTheme="minorEastAsia" w:hAnsiTheme="minorEastAsia"/>
          <w:bCs/>
          <w:szCs w:val="21"/>
        </w:rPr>
        <w:t>。</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二</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《基金合同》的终止事由</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有下列情形之一的，《基金合同》应当终止：</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1、基金份额持有人大会决定终止的；</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2、基金管理人、基金托管人职责终止，在6个月内没有新基金管理人、新基金托管人承接的；</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3、</w:t>
      </w:r>
      <w:r w:rsidRPr="008644BE">
        <w:rPr>
          <w:rFonts w:asciiTheme="minorEastAsia" w:eastAsiaTheme="minorEastAsia" w:hAnsiTheme="minorEastAsia"/>
          <w:bCs/>
          <w:szCs w:val="21"/>
        </w:rPr>
        <w:t>《基金合同》约定的其他情形；</w:t>
      </w:r>
    </w:p>
    <w:p w:rsidR="00FE1510" w:rsidRPr="008644BE" w:rsidRDefault="00EE56D9"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4</w:t>
      </w:r>
      <w:r w:rsidR="00FE1510" w:rsidRPr="008644BE">
        <w:rPr>
          <w:rFonts w:asciiTheme="minorEastAsia" w:eastAsiaTheme="minorEastAsia" w:hAnsiTheme="minorEastAsia"/>
          <w:bCs/>
          <w:szCs w:val="21"/>
        </w:rPr>
        <w:t>、相关法律法规和中国证监会规定的其他情况。</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三</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基金财产的清算</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1、基金财产清算小组：自出现《基金合同》终止事由之日起30个工作日内成立清算小组，基金管理人组织基金财产清算小组并在中国证监会的监督下进行基金清算。</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4、基金财产清算程序：</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（1）《基金合同》终止情形出现时，由基金财产清算小组统一接管基金；</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（2）对基金财产和债权债务进行清理和确认；</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（3）对基金财产进行估值和变现；</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（4）制作清算报告；</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（5）聘请会计师事务所对清算报告进行外部审计，聘请律师事务所对清算报告出具法律意见书；</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（6）将清算报告报中国证监会备案并公告</w:t>
      </w:r>
      <w:r w:rsidRPr="008644BE">
        <w:rPr>
          <w:rFonts w:asciiTheme="minorEastAsia" w:eastAsiaTheme="minorEastAsia" w:hAnsiTheme="minorEastAsia" w:hint="eastAsia"/>
          <w:bCs/>
          <w:szCs w:val="21"/>
        </w:rPr>
        <w:t>；</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（7）对基金财产进行分配</w:t>
      </w:r>
      <w:r w:rsidRPr="008644BE">
        <w:rPr>
          <w:rFonts w:asciiTheme="minorEastAsia" w:eastAsiaTheme="minorEastAsia" w:hAnsiTheme="minorEastAsia" w:hint="eastAsia"/>
          <w:bCs/>
          <w:szCs w:val="21"/>
        </w:rPr>
        <w:t>。</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四</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清算费用</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清算费用是指基金财产清算小组在进行基金清算过程中发生的所有合理费用，清算费用由基金财产清算小组优先从基金财产中支付。</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lastRenderedPageBreak/>
        <w:t>（</w:t>
      </w:r>
      <w:r w:rsidRPr="008644BE">
        <w:rPr>
          <w:rFonts w:asciiTheme="minorEastAsia" w:eastAsiaTheme="minorEastAsia" w:hAnsiTheme="minorEastAsia"/>
          <w:bCs/>
          <w:szCs w:val="21"/>
        </w:rPr>
        <w:t>五</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基金财产清算剩余资产的分配</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六</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基金财产清算的公告</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644BE">
        <w:rPr>
          <w:rFonts w:asciiTheme="minorEastAsia" w:eastAsiaTheme="minorEastAsia" w:hAnsiTheme="minorEastAsia" w:hint="eastAsia"/>
          <w:bCs/>
          <w:szCs w:val="21"/>
        </w:rPr>
        <w:t>5</w:t>
      </w:r>
      <w:r w:rsidRPr="008644BE">
        <w:rPr>
          <w:rFonts w:asciiTheme="minorEastAsia" w:eastAsiaTheme="minorEastAsia" w:hAnsiTheme="minorEastAsia"/>
          <w:bCs/>
          <w:szCs w:val="21"/>
        </w:rPr>
        <w:t>个工作日内由基金财产清算小组进行公告。</w:t>
      </w:r>
    </w:p>
    <w:p w:rsidR="00FE1510" w:rsidRPr="008644BE" w:rsidRDefault="00FE1510"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七</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基金财产清算账册及文件的保存</w:t>
      </w:r>
    </w:p>
    <w:p w:rsidR="00BA4B87" w:rsidRPr="008644BE" w:rsidRDefault="00FE1510" w:rsidP="00644A02">
      <w:pPr>
        <w:snapToGrid w:val="0"/>
        <w:spacing w:line="360" w:lineRule="auto"/>
        <w:ind w:firstLineChars="200" w:firstLine="420"/>
        <w:rPr>
          <w:rFonts w:asciiTheme="minorEastAsia" w:eastAsiaTheme="minorEastAsia" w:hAnsiTheme="minorEastAsia"/>
          <w:bCs/>
          <w:sz w:val="24"/>
        </w:rPr>
      </w:pPr>
      <w:r w:rsidRPr="008644BE">
        <w:rPr>
          <w:rFonts w:asciiTheme="minorEastAsia" w:eastAsiaTheme="minorEastAsia" w:hAnsiTheme="minorEastAsia"/>
          <w:bCs/>
          <w:szCs w:val="21"/>
        </w:rPr>
        <w:t>基金财产清算账册及有关文件由基金托管人保存</w:t>
      </w:r>
      <w:r w:rsidRPr="008644BE">
        <w:rPr>
          <w:rFonts w:asciiTheme="minorEastAsia" w:eastAsiaTheme="minorEastAsia" w:hAnsiTheme="minorEastAsia" w:hint="eastAsia"/>
          <w:bCs/>
          <w:szCs w:val="21"/>
        </w:rPr>
        <w:t>15</w:t>
      </w:r>
      <w:r w:rsidRPr="008644BE">
        <w:rPr>
          <w:rFonts w:asciiTheme="minorEastAsia" w:eastAsiaTheme="minorEastAsia" w:hAnsiTheme="minorEastAsia"/>
          <w:bCs/>
          <w:szCs w:val="21"/>
        </w:rPr>
        <w:t>年以上。</w:t>
      </w:r>
      <w:bookmarkEnd w:id="110"/>
    </w:p>
    <w:p w:rsidR="00BA4B87" w:rsidRPr="008644BE" w:rsidRDefault="00BA4B87" w:rsidP="00936084">
      <w:pPr>
        <w:pStyle w:val="1"/>
        <w:snapToGrid w:val="0"/>
        <w:spacing w:beforeLines="0" w:afterLines="0" w:line="360" w:lineRule="auto"/>
        <w:ind w:firstLine="600"/>
        <w:rPr>
          <w:rFonts w:asciiTheme="minorEastAsia" w:eastAsiaTheme="minorEastAsia" w:hAnsiTheme="minorEastAsia"/>
          <w:kern w:val="44"/>
          <w:sz w:val="28"/>
          <w:szCs w:val="44"/>
        </w:rPr>
      </w:pPr>
      <w:r w:rsidRPr="008644BE">
        <w:rPr>
          <w:rFonts w:asciiTheme="minorEastAsia" w:eastAsiaTheme="minorEastAsia" w:hAnsiTheme="minorEastAsia" w:hint="eastAsia"/>
          <w:sz w:val="30"/>
        </w:rPr>
        <w:br w:type="column"/>
      </w:r>
      <w:bookmarkStart w:id="111" w:name="_Toc49269646"/>
      <w:r w:rsidRPr="008644BE">
        <w:rPr>
          <w:rFonts w:asciiTheme="minorEastAsia" w:eastAsiaTheme="minorEastAsia" w:hAnsiTheme="minorEastAsia" w:hint="eastAsia"/>
          <w:sz w:val="30"/>
        </w:rPr>
        <w:lastRenderedPageBreak/>
        <w:t>二</w:t>
      </w:r>
      <w:bookmarkStart w:id="112" w:name="_Toc332373588"/>
      <w:r w:rsidRPr="008644BE">
        <w:rPr>
          <w:rFonts w:asciiTheme="minorEastAsia" w:eastAsiaTheme="minorEastAsia" w:hAnsiTheme="minorEastAsia" w:hint="eastAsia"/>
          <w:sz w:val="30"/>
        </w:rPr>
        <w:t>十</w:t>
      </w:r>
      <w:r w:rsidR="004C1D62" w:rsidRPr="008644BE">
        <w:rPr>
          <w:rFonts w:asciiTheme="minorEastAsia" w:eastAsiaTheme="minorEastAsia" w:hAnsiTheme="minorEastAsia" w:hint="eastAsia"/>
          <w:sz w:val="30"/>
        </w:rPr>
        <w:t>一</w:t>
      </w:r>
      <w:r w:rsidRPr="008644BE">
        <w:rPr>
          <w:rFonts w:asciiTheme="minorEastAsia" w:eastAsiaTheme="minorEastAsia" w:hAnsiTheme="minorEastAsia" w:hint="eastAsia"/>
          <w:sz w:val="30"/>
        </w:rPr>
        <w:t>、基金合同的内容摘要</w:t>
      </w:r>
      <w:bookmarkEnd w:id="111"/>
    </w:p>
    <w:bookmarkEnd w:id="112"/>
    <w:p w:rsidR="003F0109" w:rsidRPr="008644BE" w:rsidRDefault="003F0109"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一、基金份额持有人、基金管理人和基金托管人的权利、义务</w:t>
      </w:r>
    </w:p>
    <w:p w:rsidR="00674A1C" w:rsidRPr="008644BE" w:rsidRDefault="00674A1C"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（一）基金份额持有人的权利、义务</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1、根据《基金法》、《运作办法》及其他有关规定，基金份额持有人的权利包括但不限于：</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（1）分享基金财产收益；</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（2）参与分配清算后的剩余基金财产；</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（3）依法申请赎回其持有的基金份额；</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（4）按照规定要求召开基金份额持有人大会</w:t>
      </w:r>
      <w:r w:rsidRPr="008644BE">
        <w:rPr>
          <w:rFonts w:asciiTheme="minorEastAsia" w:eastAsiaTheme="minorEastAsia" w:hAnsiTheme="minorEastAsia" w:hint="eastAsia"/>
          <w:bCs/>
          <w:szCs w:val="21"/>
        </w:rPr>
        <w:t>或者召集基金份额持有人大会</w:t>
      </w:r>
      <w:r w:rsidRPr="008644BE">
        <w:rPr>
          <w:rFonts w:asciiTheme="minorEastAsia" w:eastAsiaTheme="minorEastAsia" w:hAnsiTheme="minorEastAsia"/>
          <w:bCs/>
          <w:szCs w:val="21"/>
        </w:rPr>
        <w:t>；</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（5）出席或者委派代表出席基金份额持有人大会，对基金份额持有人大会审议事项行使表决权；</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（6）查阅或者复制公开披露的基金信息资料；</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（7）监督基金管理人的投资运作；</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（8）对基金管理人、基金托管人、基金</w:t>
      </w:r>
      <w:r w:rsidRPr="008644BE">
        <w:rPr>
          <w:rFonts w:asciiTheme="minorEastAsia" w:eastAsiaTheme="minorEastAsia" w:hAnsiTheme="minorEastAsia" w:hint="eastAsia"/>
          <w:bCs/>
          <w:szCs w:val="21"/>
        </w:rPr>
        <w:t>服务</w:t>
      </w:r>
      <w:r w:rsidRPr="008644BE">
        <w:rPr>
          <w:rFonts w:asciiTheme="minorEastAsia" w:eastAsiaTheme="minorEastAsia" w:hAnsiTheme="minorEastAsia"/>
          <w:bCs/>
          <w:szCs w:val="21"/>
        </w:rPr>
        <w:t>机构损害其合法权益的行为依法提起诉讼或仲裁；</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（9）法律法规及中国证监会规定的和《基金合同》约定的其他权利。</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2、根据《基金法》、《运作办法》及其他有关规定，基金份额持有人的义务包括但不限于：</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（1）认真阅读并遵守《基金合同》；</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（2）了解所投资基金产品，了解自身风险承受能力，自行承担投资风险；</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（3）关注基金信息披露，及时行使权利和履行义务；</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（4）缴纳基金认购、申购款项及法律法规和《基金合同》所规定的费用；</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（5）在其持有的基金份额范围内，承担基金亏损或者《基金合同》终止的有限责任；</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（6）不从事任何有损基金及其他《基金合同》当事人合法权益的活动；</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（7）执行生效的基金份额持有人大会的决定；</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（8）返还在基金交易过程中因任何原因获得的不当得利；</w:t>
      </w:r>
    </w:p>
    <w:p w:rsidR="00FB2F54" w:rsidRPr="008644BE" w:rsidRDefault="00FB2F54"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（9）法律法规及中国证监会规定的和《基金合同》约定的其他义务。</w:t>
      </w:r>
    </w:p>
    <w:p w:rsidR="00674A1C" w:rsidRPr="008644BE" w:rsidRDefault="00674A1C"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（二）基金管理人的权利与义务</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1、根据《基金法》、《运作办法》及其他有关规定，基金管理人的权利包括但不限于：</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（1）依法募集</w:t>
      </w:r>
      <w:r w:rsidRPr="008644BE">
        <w:rPr>
          <w:rFonts w:asciiTheme="minorEastAsia" w:eastAsiaTheme="minorEastAsia" w:hAnsiTheme="minorEastAsia" w:hint="eastAsia"/>
          <w:bCs/>
          <w:szCs w:val="21"/>
        </w:rPr>
        <w:t>资金</w:t>
      </w:r>
      <w:r w:rsidRPr="008644BE">
        <w:rPr>
          <w:rFonts w:asciiTheme="minorEastAsia" w:eastAsiaTheme="minorEastAsia" w:hAnsiTheme="minorEastAsia"/>
          <w:bCs/>
          <w:szCs w:val="21"/>
        </w:rPr>
        <w:t>；</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（2）自《基金合同》生效之日起，根据法律法规和《基金合同》独立运用并管理基金财产；</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（3）依照《基金合同》收取基金管理费以及法律法规规定或中国证监会批准的其他费用；</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lastRenderedPageBreak/>
        <w:t>（4）销售基金份额；</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w:t>
      </w:r>
      <w:bookmarkStart w:id="113" w:name="_Hlt88896155"/>
      <w:r w:rsidRPr="008644BE">
        <w:rPr>
          <w:rFonts w:asciiTheme="minorEastAsia" w:eastAsiaTheme="minorEastAsia" w:hAnsiTheme="minorEastAsia"/>
          <w:bCs/>
          <w:szCs w:val="21"/>
        </w:rPr>
        <w:t>召集</w:t>
      </w:r>
      <w:bookmarkEnd w:id="113"/>
      <w:r w:rsidRPr="008644BE">
        <w:rPr>
          <w:rFonts w:asciiTheme="minorEastAsia" w:eastAsiaTheme="minorEastAsia" w:hAnsiTheme="minorEastAsia"/>
          <w:bCs/>
          <w:szCs w:val="21"/>
        </w:rPr>
        <w:t>基金份额持有人大会；</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（6）依据《基金合同》及有关法律规定监督基金托管人，如认为基金托管人违反了《基金合同》及国家有关法律规定，应呈报中国证监会和其他监管部门，并采取必要措施保护基金投资者的利益；</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（7）在基金托管人更换时，提名新的基金托管人；</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（8）选择、更换基金销售机构，对基金销售机构的相关行为进行监督和处理；</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（9）担任或委托其他符合条件的机构担任基金登记机构办理基金登记业务并获得《基金合同》规定的费用；</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（10）依据《基金合同》及有关法律规定决定基金收益的分配方案；</w:t>
      </w:r>
      <w:r w:rsidRPr="008644BE">
        <w:rPr>
          <w:rFonts w:asciiTheme="minorEastAsia" w:eastAsiaTheme="minorEastAsia" w:hAnsiTheme="minorEastAsia"/>
          <w:bCs/>
          <w:szCs w:val="21"/>
        </w:rPr>
        <w:tab/>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（11）在《基金合同》约定的范围内，拒绝或暂停受理申购与赎回申请；</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（12）依照法律法规为基金的利益对被投资公司行使股东权利，为基金的利益行使因基金财产投资于证券所产生的权利；</w:t>
      </w:r>
      <w:r w:rsidRPr="008644BE">
        <w:rPr>
          <w:rFonts w:asciiTheme="minorEastAsia" w:eastAsiaTheme="minorEastAsia" w:hAnsiTheme="minorEastAsia"/>
          <w:bCs/>
          <w:szCs w:val="21"/>
        </w:rPr>
        <w:tab/>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（13）在法律法规允许的前提下，为基金的利益依法为基金进行融资</w:t>
      </w:r>
      <w:r w:rsidRPr="008644BE">
        <w:rPr>
          <w:rFonts w:asciiTheme="minorEastAsia" w:eastAsiaTheme="minorEastAsia" w:hAnsiTheme="minorEastAsia" w:hint="eastAsia"/>
          <w:bCs/>
          <w:szCs w:val="21"/>
        </w:rPr>
        <w:t>、融券</w:t>
      </w:r>
      <w:r w:rsidRPr="008644BE">
        <w:rPr>
          <w:rFonts w:asciiTheme="minorEastAsia" w:eastAsiaTheme="minorEastAsia" w:hAnsiTheme="minorEastAsia"/>
          <w:bCs/>
          <w:szCs w:val="21"/>
        </w:rPr>
        <w:t>；</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（14）以基金管理人的名义，代表基金份额持有人的利益行使诉讼权利或者实施其他法律行为；</w:t>
      </w:r>
      <w:r w:rsidRPr="008644BE">
        <w:rPr>
          <w:rFonts w:asciiTheme="minorEastAsia" w:eastAsiaTheme="minorEastAsia" w:hAnsiTheme="minorEastAsia"/>
          <w:bCs/>
          <w:szCs w:val="21"/>
        </w:rPr>
        <w:tab/>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（15）选择、更换律师事务所、会计师事务所、证券经纪商或其他为基金提供服务的外部机构；</w:t>
      </w:r>
      <w:r w:rsidRPr="008644BE">
        <w:rPr>
          <w:rFonts w:asciiTheme="minorEastAsia" w:eastAsiaTheme="minorEastAsia" w:hAnsiTheme="minorEastAsia"/>
          <w:bCs/>
          <w:szCs w:val="21"/>
        </w:rPr>
        <w:tab/>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（16）在符合有关法律、法规的前提下，制订和调整有关基金认购、申购、赎回、转换和非交易过户的业务规则；</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（17）法律法规及中国证监会规定的和《基金合同》约定的其他权利。</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2、根据《基金法》、《运作办法》及其他有关规定，基金管理人的义务包括但不限于：</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（1）依法募集</w:t>
      </w:r>
      <w:r w:rsidRPr="008644BE">
        <w:rPr>
          <w:rFonts w:asciiTheme="minorEastAsia" w:eastAsiaTheme="minorEastAsia" w:hAnsiTheme="minorEastAsia" w:hint="eastAsia"/>
          <w:bCs/>
          <w:szCs w:val="21"/>
        </w:rPr>
        <w:t>资金</w:t>
      </w:r>
      <w:r w:rsidRPr="008644BE">
        <w:rPr>
          <w:rFonts w:asciiTheme="minorEastAsia" w:eastAsiaTheme="minorEastAsia" w:hAnsiTheme="minorEastAsia"/>
          <w:bCs/>
          <w:szCs w:val="21"/>
        </w:rPr>
        <w:t>，办理或者委托经中国证监会认定的其他机构办理基金份额的发售、申购、赎回和登记事宜；</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（2）办理基金备案手续；</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（3）自《基金合同》生效之日起,以诚实信用、谨慎勤勉的原则管理和运用基金财产；</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（4）配备足够的具有专业资格的人员进行基金投资分析、决策，以专业化的经营方式管理和运作基金财产；</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（5）建立健全内部风险控制、监察与稽核、财务管理及人事管理等制度，保证所管理的基金财产和基金管理人的财产相互独立,对所管理的不同基金分别管理，分别记账，进行证券投资；</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（6）除依据《基金法》、《基金合同》及其他有关规定外,不得利用基金财产为自己及任何第三人谋取利益，不得委托第三人运作基金财产；</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（7）依法接受基金托管人的监督；</w:t>
      </w:r>
    </w:p>
    <w:p w:rsidR="00CF795F" w:rsidRPr="008644BE" w:rsidRDefault="00CF795F" w:rsidP="00CF795F">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lastRenderedPageBreak/>
        <w:t>（8）采取适当合理的措施使计算基金份额认购、申购、赎回和注销价格的方法符合《基金合同》等法律文件的规定，按有关规定计算并公告基金净值信息，确定基金份额申购、赎回的价格；</w:t>
      </w:r>
    </w:p>
    <w:p w:rsidR="00CF795F" w:rsidRPr="008644BE" w:rsidRDefault="00CF795F" w:rsidP="00CF795F">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（9）进行基金会计核算并编制基金财务会计报告；</w:t>
      </w:r>
    </w:p>
    <w:p w:rsidR="00F80417" w:rsidRPr="008644BE" w:rsidRDefault="00CF795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（10）编制季度报告、中期报告和年度报告；</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（11）严格按照《基金法》、《基金合同》及其他有关规定，履行信息披露及报告义务；</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（12）保守基金商业秘密，不泄露基金投资计划、投资意向等。除《基金法》、《基金合同》及其他有关规定另有规定外，在基金信息公开披露前应予保密，不向他人泄露；</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（13）按《基金合同》的约定确定基金收益分配方案，及时向基金份额持有人分配基金收益；</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（14）按规定受理申购与赎回申请，及时、足额支付赎回款项；</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（15）依据《基金法》、《基金合同》及其他有关规定召集基金份额持有人大会或配合基金托管人、基金份额持有人依法召集基金份额持有人大会；</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（16）按规定保存基金财产管理业务活动的会计账册、报表、记录和其他相关资料</w:t>
      </w:r>
      <w:r w:rsidRPr="008644BE">
        <w:rPr>
          <w:rFonts w:asciiTheme="minorEastAsia" w:eastAsiaTheme="minorEastAsia" w:hAnsiTheme="minorEastAsia" w:hint="eastAsia"/>
          <w:bCs/>
          <w:szCs w:val="21"/>
        </w:rPr>
        <w:t>15</w:t>
      </w:r>
      <w:r w:rsidRPr="008644BE">
        <w:rPr>
          <w:rFonts w:asciiTheme="minorEastAsia" w:eastAsiaTheme="minorEastAsia" w:hAnsiTheme="minorEastAsia"/>
          <w:bCs/>
          <w:szCs w:val="21"/>
        </w:rPr>
        <w:t>年以上；</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（18）组织并参加基金财产清算小组,参与基金财产的保管、清理、估价、变现和分配；</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（19）面临解散、依法被撤销或者被依法宣告破产时，及时报告中国证监会并通知基金托管人；</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（20）因违反《基金合同》导致基金财产的损失或损害基金份额持有人合法权益时，应当承担赔偿责任，其赔偿责任不因其退任而免除；</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（21）监督基金托管人按法律法规和《基金合同》规定履行自己的义务，基金托管人违反《基金合同》造成基金财产损失时，基金管理人应为基金份额持有人利益向基金托管人追偿；</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（22）当基金管理人将其义务委托第三方处理时，应当对第三方处理有关基金事务的行为承担责任；</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（23）以基金管理人名义，代表基金份额持有人利益行使诉讼权利或实施其他法律行为；</w:t>
      </w:r>
      <w:r w:rsidRPr="008644BE">
        <w:rPr>
          <w:rFonts w:asciiTheme="minorEastAsia" w:eastAsiaTheme="minorEastAsia" w:hAnsiTheme="minorEastAsia"/>
          <w:bCs/>
          <w:szCs w:val="21"/>
        </w:rPr>
        <w:tab/>
        <w:t>（24）基金管理人在募集期间未能达到基金</w:t>
      </w:r>
      <w:bookmarkStart w:id="114" w:name="_Hlt88823209"/>
      <w:bookmarkEnd w:id="114"/>
      <w:r w:rsidRPr="008644BE">
        <w:rPr>
          <w:rFonts w:asciiTheme="minorEastAsia" w:eastAsiaTheme="minorEastAsia" w:hAnsiTheme="minorEastAsia"/>
          <w:bCs/>
          <w:szCs w:val="21"/>
        </w:rPr>
        <w:t>的备案条件，《基金合同》不能生效，基金管理人承担全部募集费用，将已募集资金并加计银行同期存款利息在基金募集期结束后</w:t>
      </w:r>
      <w:r w:rsidRPr="008644BE">
        <w:rPr>
          <w:rFonts w:asciiTheme="minorEastAsia" w:eastAsiaTheme="minorEastAsia" w:hAnsiTheme="minorEastAsia" w:hint="eastAsia"/>
          <w:bCs/>
          <w:szCs w:val="21"/>
        </w:rPr>
        <w:t>30</w:t>
      </w:r>
      <w:r w:rsidRPr="008644BE">
        <w:rPr>
          <w:rFonts w:asciiTheme="minorEastAsia" w:eastAsiaTheme="minorEastAsia" w:hAnsiTheme="minorEastAsia"/>
          <w:bCs/>
          <w:szCs w:val="21"/>
        </w:rPr>
        <w:t>日内退还基金认购人；</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（25）执行生效的基金份额持有人大会的</w:t>
      </w:r>
      <w:r w:rsidRPr="008644BE">
        <w:rPr>
          <w:rFonts w:asciiTheme="minorEastAsia" w:eastAsiaTheme="minorEastAsia" w:hAnsiTheme="minorEastAsia" w:hint="eastAsia"/>
          <w:bCs/>
          <w:szCs w:val="21"/>
        </w:rPr>
        <w:t>决议</w:t>
      </w:r>
      <w:r w:rsidRPr="008644BE">
        <w:rPr>
          <w:rFonts w:asciiTheme="minorEastAsia" w:eastAsiaTheme="minorEastAsia" w:hAnsiTheme="minorEastAsia"/>
          <w:bCs/>
          <w:szCs w:val="21"/>
        </w:rPr>
        <w:t>；</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（26）建立并保存基金份额持有人名册；</w:t>
      </w:r>
    </w:p>
    <w:p w:rsidR="00F80417" w:rsidRPr="008644BE" w:rsidRDefault="00F8041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lastRenderedPageBreak/>
        <w:t>（27）法律法规及中国证监会规定的和《基金合同》约定的其他义务。</w:t>
      </w:r>
    </w:p>
    <w:p w:rsidR="00674A1C" w:rsidRPr="008644BE" w:rsidRDefault="00674A1C"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（三）基金托管人的权利与义务</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1、根据《基金法》、《运作办法》及其他有关规定，基金托管人的权利包括但不限于：</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（1）自《基金合同》生效之日起，依法律法规和《基金合同》的规定安全保管基金财产；</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（2）依《基金合同》约定获得基金托管费以及法律法规规定或监管部门批准的其他费用；</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（4）根据相关市场规则，为基金开设证券</w:t>
      </w:r>
      <w:r w:rsidRPr="008644BE">
        <w:rPr>
          <w:rFonts w:asciiTheme="minorEastAsia" w:eastAsiaTheme="minorEastAsia" w:hAnsiTheme="minorEastAsia" w:hint="eastAsia"/>
          <w:bCs/>
          <w:szCs w:val="21"/>
        </w:rPr>
        <w:t>账户</w:t>
      </w:r>
      <w:r w:rsidRPr="008644BE">
        <w:rPr>
          <w:rFonts w:asciiTheme="minorEastAsia" w:eastAsiaTheme="minorEastAsia" w:hAnsiTheme="minorEastAsia"/>
          <w:bCs/>
          <w:szCs w:val="21"/>
        </w:rPr>
        <w:t>、为基金办理证券交易资金清算。</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（5）提议召开或召集基金份额持有人大会；</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（6）在基金管理人更换时，提名新的基金管理人；</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（7）法律法规及中国证监会规定的和《基金合同》约定的其他权利。</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2、根据《基金法》、《运作办法》及其他有关规定，基金托管人的义务包括但不限于：</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（1）以诚实信用、勤勉尽责的原则持有并安全保管基金财产；</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（2）设立专门的基金托管部门，具有符合要求的营业场所，配备足够的、合格的熟悉基金托管业务的专职人员，负责基金财产托管事宜；</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（4）除依据《基金法》、《基金合同》及其他有关规定外，不得利用基金财产为自己及任何第三人谋取利益，不得委托第三人托管基金财产；</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（5）保管由基金管理人代表基金签订的与基金有关的重大合同及有关凭证；</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（6）按规定开设基金财产的资金账户和证券账户,按照《基金合同》的约定，根据基金管理人的投资指令，及时办理清算、交割事宜；</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（7）保守基金商业秘密，除《基金法》、《基金合同》及其他有关规定另有规定外，在基金信息公开披露前予以保密，不得向他人泄露；</w:t>
      </w:r>
    </w:p>
    <w:p w:rsidR="00CF795F" w:rsidRPr="008644BE" w:rsidRDefault="00CF795F" w:rsidP="00CF795F">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（8）复核、审查基金管理人计算的基金资产净值、基金份额净值、基金份额申购、赎回价格；</w:t>
      </w:r>
    </w:p>
    <w:p w:rsidR="00CF795F" w:rsidRPr="008644BE" w:rsidRDefault="00CF795F" w:rsidP="00CF795F">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（9）办理与基金托管业务活动有关的信息披露事项；</w:t>
      </w:r>
    </w:p>
    <w:p w:rsidR="0026269B" w:rsidRPr="008644BE" w:rsidRDefault="00CF795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（10）对基金财务会计报告、季度报告、中期报告和年度报告出具意见，说明基金管理人在各重要方面的运作是否严格按照《基金合同》的规定进行；如果基金管理人有未执行《基</w:t>
      </w:r>
      <w:r w:rsidRPr="008644BE">
        <w:rPr>
          <w:rFonts w:asciiTheme="minorEastAsia" w:eastAsiaTheme="minorEastAsia" w:hAnsiTheme="minorEastAsia" w:hint="eastAsia"/>
          <w:bCs/>
          <w:szCs w:val="21"/>
        </w:rPr>
        <w:lastRenderedPageBreak/>
        <w:t>金合同》规定的行为，还应当说明基金托管人是否采取了适当的措施；</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（11）保存基金托管业务活动的记录、账册、报表和其他相关资料</w:t>
      </w:r>
      <w:r w:rsidRPr="008644BE">
        <w:rPr>
          <w:rFonts w:asciiTheme="minorEastAsia" w:eastAsiaTheme="minorEastAsia" w:hAnsiTheme="minorEastAsia" w:hint="eastAsia"/>
          <w:bCs/>
          <w:szCs w:val="21"/>
        </w:rPr>
        <w:t>15</w:t>
      </w:r>
      <w:r w:rsidRPr="008644BE">
        <w:rPr>
          <w:rFonts w:asciiTheme="minorEastAsia" w:eastAsiaTheme="minorEastAsia" w:hAnsiTheme="minorEastAsia"/>
          <w:bCs/>
          <w:szCs w:val="21"/>
        </w:rPr>
        <w:t>年以上；</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（12）建立并保存基金份额持有人名册；</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（13）按规定制作相关账册并与基金管理人核对；</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（14）依据基金管理人的指令或有关规定向基金份额持有人支付基金收益和赎回款项；</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（15）依据《基金法》、《基金合同》及其他有关规定，召集基金份额持有人大会或配合基金份额持有人依法召集基金份额持有人大会；</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（16）按照法律法规和《基金合同》的规定监督基金管理人的投资运作；</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（17）参加基金财产清算小组，参与基金财产的保管、清理、估价、变现和分配；</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（18）面临解散、依法被撤销或者被依法宣告破产时，及时报告中国证监会和银行监管机构，并通知基金管理人；</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（19）因违反《基金合同》导致基金财产损失时，应承担赔偿责任，其赔偿责任不因其退任而免除；</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（20）按规定监督基金管理人按法律法规和《基金合同》规定履行自己的义务，基金管理人因违反《基金合同》造成基金财产损失时，应为基金份额持有人利益向基金管理人追偿；</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（21）执行生效的基金份额持有人大会的决定；</w:t>
      </w:r>
    </w:p>
    <w:p w:rsidR="0026269B" w:rsidRPr="008644BE" w:rsidRDefault="0026269B"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（22）</w:t>
      </w:r>
      <w:bookmarkStart w:id="115" w:name="_Toc523711670"/>
      <w:r w:rsidRPr="008644BE">
        <w:rPr>
          <w:rFonts w:asciiTheme="minorEastAsia" w:eastAsiaTheme="minorEastAsia" w:hAnsiTheme="minorEastAsia"/>
          <w:bCs/>
          <w:szCs w:val="21"/>
        </w:rPr>
        <w:t>法律法规及中国证监会规定的和《基金合同》约定的其他义务。</w:t>
      </w:r>
    </w:p>
    <w:bookmarkEnd w:id="115"/>
    <w:p w:rsidR="003F0109" w:rsidRPr="008644BE" w:rsidRDefault="003F0109"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二、基金份额持有人大会召集、议事及表决的程序和规则</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基金份额持有人大会由基金份额持有人组成，基金份额持有人的合法授权代表有权代表基金份额持有人出席会议并表决。基金份额持有人持有的每一基金份额拥有平等的投票权。</w:t>
      </w:r>
    </w:p>
    <w:p w:rsidR="00120CD5" w:rsidRPr="008644BE" w:rsidRDefault="00120CD5" w:rsidP="00936084">
      <w:pPr>
        <w:autoSpaceDE w:val="0"/>
        <w:autoSpaceDN w:val="0"/>
        <w:adjustRightInd w:val="0"/>
        <w:snapToGrid w:val="0"/>
        <w:spacing w:line="360" w:lineRule="auto"/>
        <w:ind w:firstLineChars="300" w:firstLine="63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一</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召开事由</w:t>
      </w:r>
    </w:p>
    <w:p w:rsidR="00120CD5" w:rsidRPr="008644BE" w:rsidRDefault="00120CD5" w:rsidP="00936084">
      <w:pPr>
        <w:autoSpaceDE w:val="0"/>
        <w:autoSpaceDN w:val="0"/>
        <w:adjustRightInd w:val="0"/>
        <w:snapToGrid w:val="0"/>
        <w:spacing w:line="360" w:lineRule="auto"/>
        <w:ind w:firstLineChars="300" w:firstLine="630"/>
        <w:rPr>
          <w:rFonts w:asciiTheme="minorEastAsia" w:eastAsiaTheme="minorEastAsia" w:hAnsiTheme="minorEastAsia"/>
          <w:bCs/>
          <w:szCs w:val="21"/>
        </w:rPr>
      </w:pPr>
      <w:r w:rsidRPr="008644BE">
        <w:rPr>
          <w:rFonts w:asciiTheme="minorEastAsia" w:eastAsiaTheme="minorEastAsia" w:hAnsiTheme="minorEastAsia"/>
          <w:bCs/>
          <w:szCs w:val="21"/>
        </w:rPr>
        <w:t>1、当出现或需要决定下列事由之一的，应当召开基金份额持有人大会：</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（1）终止《基金合同》</w:t>
      </w:r>
      <w:r w:rsidRPr="008644BE">
        <w:rPr>
          <w:rFonts w:asciiTheme="minorEastAsia" w:eastAsiaTheme="minorEastAsia" w:hAnsiTheme="minorEastAsia" w:hint="eastAsia"/>
          <w:bCs/>
          <w:szCs w:val="21"/>
        </w:rPr>
        <w:t>，但依据基金合同约定终止基金合同的情形除外</w:t>
      </w:r>
      <w:r w:rsidRPr="008644BE">
        <w:rPr>
          <w:rFonts w:asciiTheme="minorEastAsia" w:eastAsiaTheme="minorEastAsia" w:hAnsiTheme="minorEastAsia"/>
          <w:bCs/>
          <w:szCs w:val="21"/>
        </w:rPr>
        <w:t>；</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（2）更换基金管理人；</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（3）更换基金托管人；</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（4）转换基金运作方式；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（5）提高基金管理人、基金托管人的报酬标准；</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（6）变更基金类别；</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（7）本基金与其他基金的合并；</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（8）变更基金投资目标、范围或策略；</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（9）变更基金份额持有人大会程序；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（10）基金管理人或基金托管人要求召开基金份额持有人大会；</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（11）单独或合计持有本基金总份额10%以上（含10%）基金份额的基金份额持有人（以基金管理人收到提议当日的基金份额计算，下同）就同一事项书面要求召开基金份额持有人</w:t>
      </w:r>
      <w:r w:rsidRPr="008644BE">
        <w:rPr>
          <w:rFonts w:asciiTheme="minorEastAsia" w:eastAsiaTheme="minorEastAsia" w:hAnsiTheme="minorEastAsia"/>
          <w:bCs/>
          <w:szCs w:val="21"/>
        </w:rPr>
        <w:lastRenderedPageBreak/>
        <w:t>大会；</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（12）对基金当事人权利和义务产生重大影响的其他事项；</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（13）法律法规、《基金合同》或中国证监会规定的其他应当召开基金份额持有人大会的事项。</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2、以下情况可由基金管理人和基金托管人协商后修改，不需召开基金份额持有人大会：</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（1）调低基金管理费、基金托管费</w:t>
      </w:r>
      <w:r w:rsidRPr="008644BE">
        <w:rPr>
          <w:rFonts w:asciiTheme="minorEastAsia" w:eastAsiaTheme="minorEastAsia" w:hAnsiTheme="minorEastAsia" w:hint="eastAsia"/>
          <w:bCs/>
          <w:szCs w:val="21"/>
        </w:rPr>
        <w:t>和其他应由基金承担的费用</w:t>
      </w:r>
      <w:r w:rsidRPr="008644BE">
        <w:rPr>
          <w:rFonts w:asciiTheme="minorEastAsia" w:eastAsiaTheme="minorEastAsia" w:hAnsiTheme="minorEastAsia"/>
          <w:bCs/>
          <w:szCs w:val="21"/>
        </w:rPr>
        <w:t>；</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（2）法律法规要求增加的基金费用的收取；</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（3）在法律法规和《基金合同》规定的范围内调整本基金的申购费率、调低赎回费率</w:t>
      </w:r>
      <w:r w:rsidRPr="008644BE">
        <w:rPr>
          <w:rFonts w:asciiTheme="minorEastAsia" w:eastAsiaTheme="minorEastAsia" w:hAnsiTheme="minorEastAsia" w:hint="eastAsia"/>
          <w:bCs/>
          <w:szCs w:val="21"/>
        </w:rPr>
        <w:t>或变更收费方式</w:t>
      </w:r>
      <w:r w:rsidRPr="008644BE">
        <w:rPr>
          <w:rFonts w:asciiTheme="minorEastAsia" w:eastAsiaTheme="minorEastAsia" w:hAnsiTheme="minorEastAsia"/>
          <w:bCs/>
          <w:szCs w:val="21"/>
        </w:rPr>
        <w:t>；</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（4）因相应的法律法规发生变动而应当对《基金合同》进行修改；</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（5）对《基金合同》的修改对基金份额持有人利益无实质性不利影响或修改不涉及《基金合同》当事人权利义务关系发生</w:t>
      </w:r>
      <w:r w:rsidRPr="008644BE">
        <w:rPr>
          <w:rFonts w:asciiTheme="minorEastAsia" w:eastAsiaTheme="minorEastAsia" w:hAnsiTheme="minorEastAsia" w:hint="eastAsia"/>
          <w:bCs/>
          <w:szCs w:val="21"/>
        </w:rPr>
        <w:t>重大</w:t>
      </w:r>
      <w:r w:rsidRPr="008644BE">
        <w:rPr>
          <w:rFonts w:asciiTheme="minorEastAsia" w:eastAsiaTheme="minorEastAsia" w:hAnsiTheme="minorEastAsia"/>
          <w:bCs/>
          <w:szCs w:val="21"/>
        </w:rPr>
        <w:t>变化；</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w:t>
      </w:r>
      <w:r w:rsidRPr="008644BE">
        <w:rPr>
          <w:rFonts w:asciiTheme="minorEastAsia" w:eastAsiaTheme="minorEastAsia" w:hAnsiTheme="minorEastAsia" w:hint="eastAsia"/>
          <w:bCs/>
          <w:szCs w:val="21"/>
        </w:rPr>
        <w:t>基金管理人、基金登记机构、基金销售机构，在法律法规规定或中国证监会许可的范围内调整有关认购、申购、赎回、转换、基金交易、非交易过户、转托管等业务规则；</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（7）在法律法规规定或中国证监会许可的范围内基金推出新业务或服务；</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（8）在对基金份额持有人利益无实质不利影响的情况下，增加或减少份额类别，或调整基金份额分类办法及规则；</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（9）按照基金合同的约定，变更业绩比较基准；</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（10）在对基金份额持有人利益无实质不利影响的情况下，基金管理人经与基金托管人协商一致，调整基金收益的分配原则和支付方式；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（11）在对基金份额持有人利益无实质不利影响的前提下，基金管理人经与基金托管人协商一致，对基金份额进行折算；</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002E32ED" w:rsidRPr="008644BE">
        <w:rPr>
          <w:rFonts w:asciiTheme="minorEastAsia" w:eastAsiaTheme="minorEastAsia" w:hAnsiTheme="minorEastAsia" w:hint="eastAsia"/>
          <w:bCs/>
          <w:szCs w:val="21"/>
        </w:rPr>
        <w:t>12</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按照法律法规和《基金合同》规定不需召开基金份额持有人大会的其他情形。</w:t>
      </w:r>
    </w:p>
    <w:p w:rsidR="00120CD5" w:rsidRPr="008644BE" w:rsidRDefault="00120CD5" w:rsidP="00936084">
      <w:pPr>
        <w:autoSpaceDE w:val="0"/>
        <w:autoSpaceDN w:val="0"/>
        <w:adjustRightInd w:val="0"/>
        <w:snapToGrid w:val="0"/>
        <w:spacing w:line="360" w:lineRule="auto"/>
        <w:ind w:firstLineChars="300" w:firstLine="63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二</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会议召集人及召集方式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1、除法律法规规定或《基金合同》另有约定外，基金份额持有人大会由基金管理人召集；</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2、基金管理人未按规定召集或不能召集时，由基金托管人召集；</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3、基金托管人认为有必要召开基金份额持有人大会的，应当向基金管理人提出书面提议。基金管理人应当自收到书面提议之日起</w:t>
      </w:r>
      <w:r w:rsidRPr="008644BE">
        <w:rPr>
          <w:rFonts w:asciiTheme="minorEastAsia" w:eastAsiaTheme="minorEastAsia" w:hAnsiTheme="minorEastAsia" w:hint="eastAsia"/>
          <w:bCs/>
          <w:szCs w:val="21"/>
        </w:rPr>
        <w:t>10</w:t>
      </w:r>
      <w:r w:rsidRPr="008644BE">
        <w:rPr>
          <w:rFonts w:asciiTheme="minorEastAsia" w:eastAsiaTheme="minorEastAsia" w:hAnsiTheme="minorEastAsia"/>
          <w:bCs/>
          <w:szCs w:val="21"/>
        </w:rPr>
        <w:t>日内决定是否召集，并书面告知基金托管人。基金管理人决定召集的，应当自出具书面决定之日起</w:t>
      </w:r>
      <w:r w:rsidRPr="008644BE">
        <w:rPr>
          <w:rFonts w:asciiTheme="minorEastAsia" w:eastAsiaTheme="minorEastAsia" w:hAnsiTheme="minorEastAsia" w:hint="eastAsia"/>
          <w:bCs/>
          <w:szCs w:val="21"/>
        </w:rPr>
        <w:t>60</w:t>
      </w:r>
      <w:r w:rsidRPr="008644BE">
        <w:rPr>
          <w:rFonts w:asciiTheme="minorEastAsia" w:eastAsiaTheme="minorEastAsia" w:hAnsiTheme="minorEastAsia"/>
          <w:bCs/>
          <w:szCs w:val="21"/>
        </w:rPr>
        <w:t>日内召开；基金管理人决定不召集，基金托管人仍认为有必要召开的，应当由基金托管人自行召集</w:t>
      </w:r>
      <w:r w:rsidR="00183172" w:rsidRPr="008644BE">
        <w:rPr>
          <w:rFonts w:asciiTheme="minorEastAsia" w:eastAsiaTheme="minorEastAsia" w:hAnsiTheme="minorEastAsia" w:hint="eastAsia"/>
          <w:bCs/>
          <w:szCs w:val="21"/>
        </w:rPr>
        <w:t>，并自出具书面决定之日起60日内召开并告知基金管理人，基金管理人应当配合</w:t>
      </w:r>
      <w:r w:rsidRPr="008644BE">
        <w:rPr>
          <w:rFonts w:asciiTheme="minorEastAsia" w:eastAsiaTheme="minorEastAsia" w:hAnsiTheme="minorEastAsia"/>
          <w:bCs/>
          <w:szCs w:val="21"/>
        </w:rPr>
        <w:t>。</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4、代表基金份额</w:t>
      </w:r>
      <w:r w:rsidRPr="008644BE">
        <w:rPr>
          <w:rFonts w:asciiTheme="minorEastAsia" w:eastAsiaTheme="minorEastAsia" w:hAnsiTheme="minorEastAsia" w:hint="eastAsia"/>
          <w:bCs/>
          <w:szCs w:val="21"/>
        </w:rPr>
        <w:t>10%</w:t>
      </w:r>
      <w:r w:rsidRPr="008644BE">
        <w:rPr>
          <w:rFonts w:asciiTheme="minorEastAsia" w:eastAsiaTheme="minorEastAsia" w:hAnsiTheme="minorEastAsia"/>
          <w:bCs/>
          <w:szCs w:val="21"/>
        </w:rPr>
        <w:t>以上（含</w:t>
      </w:r>
      <w:r w:rsidRPr="008644BE">
        <w:rPr>
          <w:rFonts w:asciiTheme="minorEastAsia" w:eastAsiaTheme="minorEastAsia" w:hAnsiTheme="minorEastAsia" w:hint="eastAsia"/>
          <w:bCs/>
          <w:szCs w:val="21"/>
        </w:rPr>
        <w:t>10%</w:t>
      </w:r>
      <w:r w:rsidRPr="008644BE">
        <w:rPr>
          <w:rFonts w:asciiTheme="minorEastAsia" w:eastAsiaTheme="minorEastAsia" w:hAnsiTheme="minorEastAsia"/>
          <w:bCs/>
          <w:szCs w:val="21"/>
        </w:rPr>
        <w:t>）的基金份额持有人就同一事项书面要求召开基金份额持有人大会，应当向基金管理人提出书面提议。基金管理人应当自收到书面提议之日起</w:t>
      </w:r>
      <w:r w:rsidRPr="008644BE">
        <w:rPr>
          <w:rFonts w:asciiTheme="minorEastAsia" w:eastAsiaTheme="minorEastAsia" w:hAnsiTheme="minorEastAsia" w:hint="eastAsia"/>
          <w:bCs/>
          <w:szCs w:val="21"/>
        </w:rPr>
        <w:lastRenderedPageBreak/>
        <w:t>10</w:t>
      </w:r>
      <w:r w:rsidRPr="008644BE">
        <w:rPr>
          <w:rFonts w:asciiTheme="minorEastAsia" w:eastAsiaTheme="minorEastAsia" w:hAnsiTheme="minorEastAsia"/>
          <w:bCs/>
          <w:szCs w:val="21"/>
        </w:rPr>
        <w:t>日内决定是否召集，并书面告知提出提议的基金份额持有人代表和基金托管人。基金管理人决定召集的，应当自出具书面决定之日起</w:t>
      </w:r>
      <w:r w:rsidRPr="008644BE">
        <w:rPr>
          <w:rFonts w:asciiTheme="minorEastAsia" w:eastAsiaTheme="minorEastAsia" w:hAnsiTheme="minorEastAsia" w:hint="eastAsia"/>
          <w:bCs/>
          <w:szCs w:val="21"/>
        </w:rPr>
        <w:t>60</w:t>
      </w:r>
      <w:r w:rsidRPr="008644BE">
        <w:rPr>
          <w:rFonts w:asciiTheme="minorEastAsia" w:eastAsiaTheme="minorEastAsia" w:hAnsiTheme="minorEastAsia"/>
          <w:bCs/>
          <w:szCs w:val="21"/>
        </w:rPr>
        <w:t>日内召开；基金管理人决定不召集，代表基金份额</w:t>
      </w:r>
      <w:r w:rsidRPr="008644BE">
        <w:rPr>
          <w:rFonts w:asciiTheme="minorEastAsia" w:eastAsiaTheme="minorEastAsia" w:hAnsiTheme="minorEastAsia" w:hint="eastAsia"/>
          <w:bCs/>
          <w:szCs w:val="21"/>
        </w:rPr>
        <w:t>10%</w:t>
      </w:r>
      <w:r w:rsidRPr="008644BE">
        <w:rPr>
          <w:rFonts w:asciiTheme="minorEastAsia" w:eastAsiaTheme="minorEastAsia" w:hAnsiTheme="minorEastAsia"/>
          <w:bCs/>
          <w:szCs w:val="21"/>
        </w:rPr>
        <w:t>以上（含</w:t>
      </w:r>
      <w:r w:rsidRPr="008644BE">
        <w:rPr>
          <w:rFonts w:asciiTheme="minorEastAsia" w:eastAsiaTheme="minorEastAsia" w:hAnsiTheme="minorEastAsia" w:hint="eastAsia"/>
          <w:bCs/>
          <w:szCs w:val="21"/>
        </w:rPr>
        <w:t>10%</w:t>
      </w:r>
      <w:r w:rsidRPr="008644BE">
        <w:rPr>
          <w:rFonts w:asciiTheme="minorEastAsia" w:eastAsiaTheme="minorEastAsia" w:hAnsiTheme="minorEastAsia"/>
          <w:bCs/>
          <w:szCs w:val="21"/>
        </w:rPr>
        <w:t>）的基金份额持有人仍认为有必要召开的，应当向基金托管人提出书面提议。基金托管人应当自收到书面提议之日起</w:t>
      </w:r>
      <w:r w:rsidRPr="008644BE">
        <w:rPr>
          <w:rFonts w:asciiTheme="minorEastAsia" w:eastAsiaTheme="minorEastAsia" w:hAnsiTheme="minorEastAsia" w:hint="eastAsia"/>
          <w:bCs/>
          <w:szCs w:val="21"/>
        </w:rPr>
        <w:t>10</w:t>
      </w:r>
      <w:r w:rsidRPr="008644BE">
        <w:rPr>
          <w:rFonts w:asciiTheme="minorEastAsia" w:eastAsiaTheme="minorEastAsia" w:hAnsiTheme="minorEastAsia"/>
          <w:bCs/>
          <w:szCs w:val="21"/>
        </w:rPr>
        <w:t>日内决定是否召集，并书面告知提出提议的基金份额持有人代表和基金管理人；基金托管人决定召集的，应当自出具书面决定之日起60日内召开。</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5、代表基金份额</w:t>
      </w:r>
      <w:r w:rsidRPr="008644BE">
        <w:rPr>
          <w:rFonts w:asciiTheme="minorEastAsia" w:eastAsiaTheme="minorEastAsia" w:hAnsiTheme="minorEastAsia" w:hint="eastAsia"/>
          <w:bCs/>
          <w:szCs w:val="21"/>
        </w:rPr>
        <w:t>10%</w:t>
      </w:r>
      <w:r w:rsidRPr="008644BE">
        <w:rPr>
          <w:rFonts w:asciiTheme="minorEastAsia" w:eastAsiaTheme="minorEastAsia" w:hAnsiTheme="minorEastAsia"/>
          <w:bCs/>
          <w:szCs w:val="21"/>
        </w:rPr>
        <w:t>以上（含</w:t>
      </w:r>
      <w:r w:rsidRPr="008644BE">
        <w:rPr>
          <w:rFonts w:asciiTheme="minorEastAsia" w:eastAsiaTheme="minorEastAsia" w:hAnsiTheme="minorEastAsia" w:hint="eastAsia"/>
          <w:bCs/>
          <w:szCs w:val="21"/>
        </w:rPr>
        <w:t>10%</w:t>
      </w:r>
      <w:r w:rsidRPr="008644BE">
        <w:rPr>
          <w:rFonts w:asciiTheme="minorEastAsia" w:eastAsiaTheme="minorEastAsia" w:hAnsiTheme="minorEastAsia"/>
          <w:bCs/>
          <w:szCs w:val="21"/>
        </w:rPr>
        <w:t>）的基金份额持有人就同一事项要求召开基金份额持有人大会，而基金管理人、基金托管人都不召集的，单独或合计代表基金份额</w:t>
      </w:r>
      <w:r w:rsidRPr="008644BE">
        <w:rPr>
          <w:rFonts w:asciiTheme="minorEastAsia" w:eastAsiaTheme="minorEastAsia" w:hAnsiTheme="minorEastAsia" w:hint="eastAsia"/>
          <w:bCs/>
          <w:szCs w:val="21"/>
        </w:rPr>
        <w:t>10%</w:t>
      </w:r>
      <w:r w:rsidRPr="008644BE">
        <w:rPr>
          <w:rFonts w:asciiTheme="minorEastAsia" w:eastAsiaTheme="minorEastAsia" w:hAnsiTheme="minorEastAsia"/>
          <w:bCs/>
          <w:szCs w:val="21"/>
        </w:rPr>
        <w:t>以上（含</w:t>
      </w:r>
      <w:r w:rsidRPr="008644BE">
        <w:rPr>
          <w:rFonts w:asciiTheme="minorEastAsia" w:eastAsiaTheme="minorEastAsia" w:hAnsiTheme="minorEastAsia" w:hint="eastAsia"/>
          <w:bCs/>
          <w:szCs w:val="21"/>
        </w:rPr>
        <w:t>10%</w:t>
      </w:r>
      <w:r w:rsidRPr="008644BE">
        <w:rPr>
          <w:rFonts w:asciiTheme="minorEastAsia" w:eastAsiaTheme="minorEastAsia" w:hAnsiTheme="minorEastAsia"/>
          <w:bCs/>
          <w:szCs w:val="21"/>
        </w:rPr>
        <w:t>）的基金份额持有人有权自行召集，并至少提前30日报中国证监会备案。基金份额持有人依法自行召集基金份额持有人大会的，基金管理人、基金托管人应当配合，不得阻碍、干扰。</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6、基金份额持有人会议的召集人负责选择确定开会时间、地点、方式和权益登记日。</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三</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召开基金份额持有人大会的通知时间、通知内容、通知方式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1、召开基金份额持有人大会，召集人应于会议召开前</w:t>
      </w:r>
      <w:r w:rsidRPr="008644BE">
        <w:rPr>
          <w:rFonts w:asciiTheme="minorEastAsia" w:eastAsiaTheme="minorEastAsia" w:hAnsiTheme="minorEastAsia" w:hint="eastAsia"/>
          <w:bCs/>
          <w:szCs w:val="21"/>
        </w:rPr>
        <w:t>30</w:t>
      </w:r>
      <w:r w:rsidRPr="008644BE">
        <w:rPr>
          <w:rFonts w:asciiTheme="minorEastAsia" w:eastAsiaTheme="minorEastAsia" w:hAnsiTheme="minorEastAsia"/>
          <w:bCs/>
          <w:szCs w:val="21"/>
        </w:rPr>
        <w:t>日，在</w:t>
      </w:r>
      <w:r w:rsidR="00B02CB0" w:rsidRPr="008644BE">
        <w:rPr>
          <w:rFonts w:asciiTheme="minorEastAsia" w:eastAsiaTheme="minorEastAsia" w:hAnsiTheme="minorEastAsia"/>
          <w:bCs/>
          <w:szCs w:val="21"/>
        </w:rPr>
        <w:t>指定媒介</w:t>
      </w:r>
      <w:r w:rsidRPr="008644BE">
        <w:rPr>
          <w:rFonts w:asciiTheme="minorEastAsia" w:eastAsiaTheme="minorEastAsia" w:hAnsiTheme="minorEastAsia"/>
          <w:bCs/>
          <w:szCs w:val="21"/>
        </w:rPr>
        <w:t>公告。基金份额持有人大会通知应至少载明以下内容：</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（1）会议召开的时间、地点和会议形式；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（2）会议拟审议的事项、议事程序和表决方式；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（3）有权出席基金份额持有人大会的基金份额持有人的权益登记日；</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（4）授权委托证明的内容要求（包括但不限于代理人身份，代理权限和代理有效期限等）、送达时间和地点;</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（5）会务常设联系人姓名及联系电话；</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（6）出席会议者必须准备的文件和必须履行的手续；</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（7）召集人需要通知的其他事项。</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四</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基金份额持有人出席会议的方式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基金份额持有人大会可通过现场开会方式</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通讯开会方式</w:t>
      </w:r>
      <w:r w:rsidRPr="008644BE">
        <w:rPr>
          <w:rFonts w:asciiTheme="minorEastAsia" w:eastAsiaTheme="minorEastAsia" w:hAnsiTheme="minorEastAsia" w:hint="eastAsia"/>
          <w:bCs/>
          <w:szCs w:val="21"/>
        </w:rPr>
        <w:t>及法律法规、中国证监会允许的其他方式</w:t>
      </w:r>
      <w:r w:rsidRPr="008644BE">
        <w:rPr>
          <w:rFonts w:asciiTheme="minorEastAsia" w:eastAsiaTheme="minorEastAsia" w:hAnsiTheme="minorEastAsia"/>
          <w:bCs/>
          <w:szCs w:val="21"/>
        </w:rPr>
        <w:t>召开，会议的召开方式由会议召集人确定。</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lastRenderedPageBreak/>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（1）亲自出席会议者持有</w:t>
      </w:r>
      <w:r w:rsidRPr="008644BE">
        <w:rPr>
          <w:rFonts w:asciiTheme="minorEastAsia" w:eastAsiaTheme="minorEastAsia" w:hAnsiTheme="minorEastAsia" w:hint="eastAsia"/>
          <w:bCs/>
          <w:szCs w:val="21"/>
        </w:rPr>
        <w:t>的有关证明文件</w:t>
      </w:r>
      <w:r w:rsidRPr="008644BE">
        <w:rPr>
          <w:rFonts w:asciiTheme="minorEastAsia" w:eastAsiaTheme="minorEastAsia" w:hAnsiTheme="minorEastAsia"/>
          <w:bCs/>
          <w:szCs w:val="21"/>
        </w:rPr>
        <w:t>、受托出席会议者</w:t>
      </w:r>
      <w:r w:rsidRPr="008644BE">
        <w:rPr>
          <w:rFonts w:asciiTheme="minorEastAsia" w:eastAsiaTheme="minorEastAsia" w:hAnsiTheme="minorEastAsia" w:hint="eastAsia"/>
          <w:bCs/>
          <w:szCs w:val="21"/>
        </w:rPr>
        <w:t>出示的委托人的代理投票授权委托证明及有关证明文件</w:t>
      </w:r>
      <w:r w:rsidRPr="008644BE">
        <w:rPr>
          <w:rFonts w:asciiTheme="minorEastAsia" w:eastAsiaTheme="minorEastAsia" w:hAnsiTheme="minorEastAsia"/>
          <w:bCs/>
          <w:szCs w:val="21"/>
        </w:rPr>
        <w:t>符合法律法规、《基金合同》和会议通知的规定；</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（2）经核对，</w:t>
      </w:r>
      <w:r w:rsidRPr="008644BE">
        <w:rPr>
          <w:rFonts w:asciiTheme="minorEastAsia" w:eastAsiaTheme="minorEastAsia" w:hAnsiTheme="minorEastAsia" w:hint="eastAsia"/>
          <w:bCs/>
          <w:szCs w:val="21"/>
        </w:rPr>
        <w:t>到会者在权益登记日代表的</w:t>
      </w:r>
      <w:r w:rsidRPr="008644BE">
        <w:rPr>
          <w:rFonts w:asciiTheme="minorEastAsia" w:eastAsiaTheme="minorEastAsia" w:hAnsiTheme="minorEastAsia"/>
          <w:bCs/>
          <w:szCs w:val="21"/>
        </w:rPr>
        <w:t>有效的基金份额不少于本基金在权益登记日基金总份额的</w:t>
      </w:r>
      <w:r w:rsidRPr="008644BE">
        <w:rPr>
          <w:rFonts w:asciiTheme="minorEastAsia" w:eastAsiaTheme="minorEastAsia" w:hAnsiTheme="minorEastAsia" w:hint="eastAsia"/>
          <w:bCs/>
          <w:szCs w:val="21"/>
        </w:rPr>
        <w:t>50%</w:t>
      </w:r>
      <w:r w:rsidRPr="008644BE">
        <w:rPr>
          <w:rFonts w:asciiTheme="minorEastAsia" w:eastAsiaTheme="minorEastAsia" w:hAnsiTheme="minorEastAsia"/>
          <w:bCs/>
          <w:szCs w:val="21"/>
        </w:rPr>
        <w:t>（含</w:t>
      </w:r>
      <w:r w:rsidRPr="008644BE">
        <w:rPr>
          <w:rFonts w:asciiTheme="minorEastAsia" w:eastAsiaTheme="minorEastAsia" w:hAnsiTheme="minorEastAsia" w:hint="eastAsia"/>
          <w:bCs/>
          <w:szCs w:val="21"/>
        </w:rPr>
        <w:t>50%</w:t>
      </w:r>
      <w:r w:rsidRPr="008644BE">
        <w:rPr>
          <w:rFonts w:asciiTheme="minorEastAsia" w:eastAsiaTheme="minorEastAsia" w:hAnsiTheme="minorEastAsia"/>
          <w:bCs/>
          <w:szCs w:val="21"/>
        </w:rPr>
        <w:t>）。</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2、通讯开会。通讯开会系指基金份额持有人将其对表决事项的投票以书面形式在表决截至日以前送达至召集人指定的地址。通讯开会应以书面方式进行表决。</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在同时符合以下条件时，通讯开会的方式视为有效：</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（1）会议召集人按《基金合同》约定公布会议通知后，在</w:t>
      </w:r>
      <w:r w:rsidRPr="008644BE">
        <w:rPr>
          <w:rFonts w:asciiTheme="minorEastAsia" w:eastAsiaTheme="minorEastAsia" w:hAnsiTheme="minorEastAsia" w:hint="eastAsia"/>
          <w:bCs/>
          <w:szCs w:val="21"/>
        </w:rPr>
        <w:t>2</w:t>
      </w:r>
      <w:r w:rsidRPr="008644BE">
        <w:rPr>
          <w:rFonts w:asciiTheme="minorEastAsia" w:eastAsiaTheme="minorEastAsia" w:hAnsiTheme="minorEastAsia"/>
          <w:bCs/>
          <w:szCs w:val="21"/>
        </w:rPr>
        <w:t>个工作日内连续公布相关提示性公告；</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（2）召集人按基金合同</w:t>
      </w:r>
      <w:r w:rsidRPr="008644BE">
        <w:rPr>
          <w:rFonts w:asciiTheme="minorEastAsia" w:eastAsiaTheme="minorEastAsia" w:hAnsiTheme="minorEastAsia" w:hint="eastAsia"/>
          <w:bCs/>
          <w:szCs w:val="21"/>
        </w:rPr>
        <w:t>约</w:t>
      </w:r>
      <w:r w:rsidRPr="008644BE">
        <w:rPr>
          <w:rFonts w:asciiTheme="minorEastAsia" w:eastAsiaTheme="minorEastAsia" w:hAnsiTheme="minorEastAsia"/>
          <w:bCs/>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（3）本人直接出具书面意见或授权他人代表出具书面意见的，基金份额持有人所持有的基金份额不小于在权益登记日基金总份额的</w:t>
      </w:r>
      <w:r w:rsidRPr="008644BE">
        <w:rPr>
          <w:rFonts w:asciiTheme="minorEastAsia" w:eastAsiaTheme="minorEastAsia" w:hAnsiTheme="minorEastAsia" w:hint="eastAsia"/>
          <w:bCs/>
          <w:szCs w:val="21"/>
        </w:rPr>
        <w:t>50%</w:t>
      </w:r>
      <w:r w:rsidRPr="008644BE">
        <w:rPr>
          <w:rFonts w:asciiTheme="minorEastAsia" w:eastAsiaTheme="minorEastAsia" w:hAnsiTheme="minorEastAsia"/>
          <w:bCs/>
          <w:szCs w:val="21"/>
        </w:rPr>
        <w:t>（含</w:t>
      </w:r>
      <w:r w:rsidRPr="008644BE">
        <w:rPr>
          <w:rFonts w:asciiTheme="minorEastAsia" w:eastAsiaTheme="minorEastAsia" w:hAnsiTheme="minorEastAsia" w:hint="eastAsia"/>
          <w:bCs/>
          <w:szCs w:val="21"/>
        </w:rPr>
        <w:t>50%</w:t>
      </w:r>
      <w:r w:rsidRPr="008644BE">
        <w:rPr>
          <w:rFonts w:asciiTheme="minorEastAsia" w:eastAsiaTheme="minorEastAsia" w:hAnsiTheme="minorEastAsia"/>
          <w:bCs/>
          <w:szCs w:val="21"/>
        </w:rPr>
        <w:t>）；</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（4）上述第（3）项中直接出具书面意见的基金份额持有人或受托代表他人出具书面意见的代理人，同时提交的</w:t>
      </w:r>
      <w:r w:rsidRPr="008644BE">
        <w:rPr>
          <w:rFonts w:asciiTheme="minorEastAsia" w:eastAsiaTheme="minorEastAsia" w:hAnsiTheme="minorEastAsia" w:hint="eastAsia"/>
          <w:bCs/>
          <w:szCs w:val="21"/>
        </w:rPr>
        <w:t>有关证明文件</w:t>
      </w:r>
      <w:r w:rsidRPr="008644BE">
        <w:rPr>
          <w:rFonts w:asciiTheme="minorEastAsia" w:eastAsiaTheme="minorEastAsia" w:hAnsiTheme="minorEastAsia"/>
          <w:bCs/>
          <w:szCs w:val="21"/>
        </w:rPr>
        <w:t>、受托出具书面意见的代理人</w:t>
      </w:r>
      <w:r w:rsidRPr="008644BE">
        <w:rPr>
          <w:rFonts w:asciiTheme="minorEastAsia" w:eastAsiaTheme="minorEastAsia" w:hAnsiTheme="minorEastAsia" w:hint="eastAsia"/>
          <w:bCs/>
          <w:szCs w:val="21"/>
        </w:rPr>
        <w:t>出示的委托人的代理投票授权委托证明及有关证明文件</w:t>
      </w:r>
      <w:r w:rsidRPr="008644BE">
        <w:rPr>
          <w:rFonts w:asciiTheme="minorEastAsia" w:eastAsiaTheme="minorEastAsia" w:hAnsiTheme="minorEastAsia"/>
          <w:bCs/>
          <w:szCs w:val="21"/>
        </w:rPr>
        <w:t>符合法律法规、《基金合同》和会议通知的规定，并与基金登记注册机构记录相符；</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3、重新召集基金份额持有人大会的条件</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基金份额持有人大会应当有代表二分之一以上基金份额的持有人参加，方可召开。</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5、基金份额持有人授权他人代为出席会议并表决的，授权方式可以采用书面、网络、</w:t>
      </w:r>
      <w:r w:rsidRPr="008644BE">
        <w:rPr>
          <w:rFonts w:asciiTheme="minorEastAsia" w:eastAsiaTheme="minorEastAsia" w:hAnsiTheme="minorEastAsia" w:hint="eastAsia"/>
          <w:bCs/>
          <w:szCs w:val="21"/>
        </w:rPr>
        <w:lastRenderedPageBreak/>
        <w:t>电话、短信或其他方式，具体方式由会议召集人确定并在会议通知中列明。</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五</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议事内容与程序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1、议事内容及提案权</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基金份额持有人大会的召集人发出召集会议的通知后，对原有提案的修改应当在基金份额持有人大会召开前及时公告。</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基金份额持有人大会不得对未事先公告的议事内容进行表决。</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2、议事程序</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（1）现场开会</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644BE">
        <w:rPr>
          <w:rFonts w:asciiTheme="minorEastAsia" w:eastAsiaTheme="minorEastAsia" w:hAnsiTheme="minorEastAsia" w:hint="eastAsia"/>
          <w:bCs/>
          <w:szCs w:val="21"/>
        </w:rPr>
        <w:t>50%</w:t>
      </w:r>
      <w:r w:rsidRPr="008644BE">
        <w:rPr>
          <w:rFonts w:asciiTheme="minorEastAsia" w:eastAsiaTheme="minorEastAsia" w:hAnsiTheme="minorEastAsia"/>
          <w:bCs/>
          <w:szCs w:val="21"/>
        </w:rPr>
        <w:t>以上（含</w:t>
      </w:r>
      <w:r w:rsidRPr="008644BE">
        <w:rPr>
          <w:rFonts w:asciiTheme="minorEastAsia" w:eastAsiaTheme="minorEastAsia" w:hAnsiTheme="minorEastAsia" w:hint="eastAsia"/>
          <w:bCs/>
          <w:szCs w:val="21"/>
        </w:rPr>
        <w:t>50%</w:t>
      </w:r>
      <w:r w:rsidRPr="008644BE">
        <w:rPr>
          <w:rFonts w:asciiTheme="minorEastAsia" w:eastAsiaTheme="minorEastAsia" w:hAnsi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（2）通讯开会</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在通讯开会的情况下，首先由召集人提前</w:t>
      </w:r>
      <w:r w:rsidRPr="008644BE">
        <w:rPr>
          <w:rFonts w:asciiTheme="minorEastAsia" w:eastAsiaTheme="minorEastAsia" w:hAnsiTheme="minorEastAsia" w:hint="eastAsia"/>
          <w:bCs/>
          <w:szCs w:val="21"/>
        </w:rPr>
        <w:t>30</w:t>
      </w:r>
      <w:r w:rsidRPr="008644BE">
        <w:rPr>
          <w:rFonts w:asciiTheme="minorEastAsia" w:eastAsiaTheme="minorEastAsia" w:hAnsiTheme="minorEastAsia"/>
          <w:bCs/>
          <w:szCs w:val="21"/>
        </w:rPr>
        <w:t>日公布提案，在所通知的表决截止日期后</w:t>
      </w:r>
      <w:r w:rsidRPr="008644BE">
        <w:rPr>
          <w:rFonts w:asciiTheme="minorEastAsia" w:eastAsiaTheme="minorEastAsia" w:hAnsiTheme="minorEastAsia" w:hint="eastAsia"/>
          <w:bCs/>
          <w:szCs w:val="21"/>
        </w:rPr>
        <w:t>2</w:t>
      </w:r>
      <w:r w:rsidRPr="008644BE">
        <w:rPr>
          <w:rFonts w:asciiTheme="minorEastAsia" w:eastAsiaTheme="minorEastAsia" w:hAnsiTheme="minorEastAsia"/>
          <w:bCs/>
          <w:szCs w:val="21"/>
        </w:rPr>
        <w:t>个工作日内在公证机关监督下由召集人统计全部有效表决，在公证机关监督下形成决议。</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六</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表决</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基金份额持有人所持每份基金份额有一票表决权。</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基金份额持有人大会决议分为一般决议和特别决议：</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1、一般决议，一般决议须经参加大会的基金份额持有人或其代理人所持表决权的</w:t>
      </w:r>
      <w:r w:rsidRPr="008644BE">
        <w:rPr>
          <w:rFonts w:asciiTheme="minorEastAsia" w:eastAsiaTheme="minorEastAsia" w:hAnsiTheme="minorEastAsia" w:hint="eastAsia"/>
          <w:bCs/>
          <w:szCs w:val="21"/>
        </w:rPr>
        <w:t>50%</w:t>
      </w:r>
      <w:r w:rsidRPr="008644BE">
        <w:rPr>
          <w:rFonts w:asciiTheme="minorEastAsia" w:eastAsiaTheme="minorEastAsia" w:hAnsiTheme="minorEastAsia"/>
          <w:bCs/>
          <w:szCs w:val="21"/>
        </w:rPr>
        <w:t>以上（含</w:t>
      </w:r>
      <w:r w:rsidRPr="008644BE">
        <w:rPr>
          <w:rFonts w:asciiTheme="minorEastAsia" w:eastAsiaTheme="minorEastAsia" w:hAnsiTheme="minorEastAsia" w:hint="eastAsia"/>
          <w:bCs/>
          <w:szCs w:val="21"/>
        </w:rPr>
        <w:t>50%</w:t>
      </w:r>
      <w:r w:rsidRPr="008644BE">
        <w:rPr>
          <w:rFonts w:asciiTheme="minorEastAsia" w:eastAsiaTheme="minorEastAsia" w:hAnsiTheme="minorEastAsia"/>
          <w:bCs/>
          <w:szCs w:val="21"/>
        </w:rPr>
        <w:t>）通过方为有效；除下列第2项所规定的须以特别决议通过事项以外的其他事项均以一般决议的方式通过。</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2、特别决议，特别决议应当经参加大会的基金份额持有人或其代理人所持表决权的</w:t>
      </w:r>
      <w:r w:rsidRPr="008644BE">
        <w:rPr>
          <w:rFonts w:asciiTheme="minorEastAsia" w:eastAsiaTheme="minorEastAsia" w:hAnsiTheme="minorEastAsia" w:hint="eastAsia"/>
          <w:bCs/>
          <w:szCs w:val="21"/>
        </w:rPr>
        <w:t>三分之二</w:t>
      </w:r>
      <w:r w:rsidRPr="008644BE">
        <w:rPr>
          <w:rFonts w:asciiTheme="minorEastAsia" w:eastAsiaTheme="minorEastAsia" w:hAnsiTheme="minorEastAsia"/>
          <w:bCs/>
          <w:szCs w:val="21"/>
        </w:rPr>
        <w:t>以上（含</w:t>
      </w:r>
      <w:r w:rsidRPr="008644BE">
        <w:rPr>
          <w:rFonts w:asciiTheme="minorEastAsia" w:eastAsiaTheme="minorEastAsia" w:hAnsiTheme="minorEastAsia" w:hint="eastAsia"/>
          <w:bCs/>
          <w:szCs w:val="21"/>
        </w:rPr>
        <w:t>三分之二</w:t>
      </w:r>
      <w:r w:rsidRPr="008644BE">
        <w:rPr>
          <w:rFonts w:asciiTheme="minorEastAsia" w:eastAsiaTheme="minorEastAsia" w:hAnsiTheme="minorEastAsia"/>
          <w:bCs/>
          <w:szCs w:val="21"/>
        </w:rPr>
        <w:t>）通过方可做出。转换基金运作方式、更换基金管理人或者基金托管人、终止《基金合同》</w:t>
      </w:r>
      <w:r w:rsidRPr="008644BE">
        <w:rPr>
          <w:rFonts w:asciiTheme="minorEastAsia" w:eastAsiaTheme="minorEastAsia" w:hAnsiTheme="minorEastAsia" w:hint="eastAsia"/>
          <w:bCs/>
          <w:szCs w:val="21"/>
        </w:rPr>
        <w:t>、与其他基金合并</w:t>
      </w:r>
      <w:r w:rsidRPr="008644BE">
        <w:rPr>
          <w:rFonts w:asciiTheme="minorEastAsia" w:eastAsiaTheme="minorEastAsia" w:hAnsiTheme="minorEastAsia"/>
          <w:bCs/>
          <w:szCs w:val="21"/>
        </w:rPr>
        <w:t>以特别决议通过方为有效。</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基金份额持有人大会采取记名方式进行投票表决。</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基金份额持有人大会的各项提案或同一项提案内并列的各项议题应当分开审议、逐项表决。</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七</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计票</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1、现场开会</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（2）监票人应当在基金份额持有人表决后立即进行清点并由大会主持人当场公布计票结果。</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（4）计票过程应由公证机关予以公证,基金管理人或基金托管人拒不出席大会的，不影响计票的效力。</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2、通讯开会</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八</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生效与公告</w:t>
      </w:r>
    </w:p>
    <w:p w:rsidR="00E5373A" w:rsidRPr="008644BE" w:rsidRDefault="00E5373A"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基金份额持有人大会的决议，自表决通过之日起生效。</w:t>
      </w:r>
    </w:p>
    <w:p w:rsidR="00E5373A" w:rsidRPr="008644BE" w:rsidRDefault="00E5373A"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基金份额持有人大会的决议，召集人应当自通过之日起</w:t>
      </w:r>
      <w:r w:rsidRPr="008644BE">
        <w:rPr>
          <w:rFonts w:asciiTheme="minorEastAsia" w:eastAsiaTheme="minorEastAsia" w:hAnsiTheme="minorEastAsia" w:hint="eastAsia"/>
          <w:bCs/>
          <w:szCs w:val="21"/>
        </w:rPr>
        <w:t>5</w:t>
      </w:r>
      <w:r w:rsidRPr="008644BE">
        <w:rPr>
          <w:rFonts w:asciiTheme="minorEastAsia" w:eastAsiaTheme="minorEastAsia" w:hAnsiTheme="minorEastAsia"/>
          <w:bCs/>
          <w:szCs w:val="21"/>
        </w:rPr>
        <w:t>日内报中国证监会备案。</w:t>
      </w:r>
    </w:p>
    <w:p w:rsidR="00E5373A" w:rsidRPr="008644BE" w:rsidRDefault="00E5373A"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基金份额持有人大会决议自生效之日起</w:t>
      </w:r>
      <w:r w:rsidRPr="008644BE">
        <w:rPr>
          <w:rFonts w:asciiTheme="minorEastAsia" w:eastAsiaTheme="minorEastAsia" w:hAnsiTheme="minorEastAsia" w:hint="eastAsia"/>
          <w:bCs/>
          <w:szCs w:val="21"/>
        </w:rPr>
        <w:t>2</w:t>
      </w:r>
      <w:r w:rsidRPr="008644BE">
        <w:rPr>
          <w:rFonts w:asciiTheme="minorEastAsia" w:eastAsiaTheme="minorEastAsia" w:hAnsiTheme="minorEastAsia"/>
          <w:bCs/>
          <w:szCs w:val="21"/>
        </w:rPr>
        <w:t>日内在</w:t>
      </w:r>
      <w:r w:rsidRPr="008644BE">
        <w:rPr>
          <w:rFonts w:asciiTheme="minorEastAsia" w:eastAsiaTheme="minorEastAsia" w:hAnsiTheme="minorEastAsia" w:hint="eastAsia"/>
          <w:bCs/>
          <w:szCs w:val="21"/>
        </w:rPr>
        <w:t>指定媒介</w:t>
      </w:r>
      <w:r w:rsidRPr="008644BE">
        <w:rPr>
          <w:rFonts w:asciiTheme="minorEastAsia" w:eastAsiaTheme="minorEastAsia" w:hAnsiTheme="minorEastAsia"/>
          <w:bCs/>
          <w:szCs w:val="21"/>
        </w:rPr>
        <w:t>上公告。</w:t>
      </w:r>
    </w:p>
    <w:p w:rsidR="00E5373A" w:rsidRPr="008644BE" w:rsidRDefault="00E5373A"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120CD5" w:rsidRPr="008644BE" w:rsidRDefault="00120CD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（九）本部分关于基金份额持有人大会召开事由、召开条件、议事程序、表决条件等规</w:t>
      </w:r>
      <w:r w:rsidRPr="008644BE">
        <w:rPr>
          <w:rFonts w:asciiTheme="minorEastAsia" w:eastAsiaTheme="minorEastAsia" w:hAnsiTheme="minorEastAsia" w:hint="eastAsia"/>
          <w:bCs/>
          <w:szCs w:val="21"/>
        </w:rPr>
        <w:lastRenderedPageBreak/>
        <w:t>定，凡是直接引用法律法规的部分，如将来法律法规修改导致相关内容被取消或变更的，基金管理人提前公告后，可直接对本部分内容进行修改和调整，无需召开基金份额持有人大会审议。</w:t>
      </w:r>
    </w:p>
    <w:p w:rsidR="003F0109" w:rsidRPr="008644BE" w:rsidRDefault="003F0109" w:rsidP="00936084">
      <w:pPr>
        <w:snapToGrid w:val="0"/>
        <w:spacing w:line="360" w:lineRule="auto"/>
        <w:ind w:firstLineChars="200" w:firstLine="420"/>
        <w:rPr>
          <w:rFonts w:asciiTheme="minorEastAsia" w:eastAsiaTheme="minorEastAsia" w:hAnsiTheme="minorEastAsia"/>
          <w:bCs/>
          <w:szCs w:val="21"/>
        </w:rPr>
      </w:pPr>
      <w:bookmarkStart w:id="116" w:name="_Hlt88820702"/>
      <w:bookmarkEnd w:id="116"/>
      <w:r w:rsidRPr="008644BE">
        <w:rPr>
          <w:rFonts w:asciiTheme="minorEastAsia" w:eastAsiaTheme="minorEastAsia" w:hAnsiTheme="minorEastAsia" w:hint="eastAsia"/>
          <w:bCs/>
          <w:szCs w:val="21"/>
        </w:rPr>
        <w:t>三、基金合同解除和终止的事由、程序</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一</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《基金合同》的变更</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1、变更基金合同</w:t>
      </w:r>
      <w:r w:rsidRPr="008644BE">
        <w:rPr>
          <w:rFonts w:asciiTheme="minorEastAsia" w:eastAsiaTheme="minorEastAsia" w:hAnsiTheme="minorEastAsia" w:hint="eastAsia"/>
          <w:bCs/>
          <w:szCs w:val="21"/>
        </w:rPr>
        <w:t>涉及</w:t>
      </w:r>
      <w:r w:rsidRPr="008644BE">
        <w:rPr>
          <w:rFonts w:asciiTheme="minorEastAsia" w:eastAsiaTheme="minorEastAsia" w:hAnsiTheme="minorEastAsia"/>
          <w:bCs/>
          <w:szCs w:val="2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w:t>
      </w:r>
      <w:r w:rsidR="007840CD" w:rsidRPr="008644BE">
        <w:rPr>
          <w:rFonts w:asciiTheme="minorEastAsia" w:eastAsiaTheme="minorEastAsia" w:hAnsiTheme="minorEastAsia"/>
          <w:bCs/>
          <w:szCs w:val="21"/>
        </w:rPr>
        <w:t>关于《基金合同》变更的基金份额持有人大会决议</w:t>
      </w:r>
      <w:r w:rsidR="007840CD" w:rsidRPr="008644BE">
        <w:rPr>
          <w:rFonts w:asciiTheme="minorEastAsia" w:eastAsiaTheme="minorEastAsia" w:hAnsiTheme="minorEastAsia" w:hint="eastAsia"/>
          <w:bCs/>
          <w:szCs w:val="21"/>
        </w:rPr>
        <w:t>自表决通过之日起生效</w:t>
      </w:r>
      <w:r w:rsidR="007840CD" w:rsidRPr="008644BE">
        <w:rPr>
          <w:rFonts w:asciiTheme="minorEastAsia" w:eastAsiaTheme="minorEastAsia" w:hAnsiTheme="minorEastAsia"/>
          <w:bCs/>
          <w:szCs w:val="21"/>
        </w:rPr>
        <w:t>，</w:t>
      </w:r>
      <w:r w:rsidR="007840CD" w:rsidRPr="008644BE">
        <w:rPr>
          <w:rFonts w:asciiTheme="minorEastAsia" w:eastAsiaTheme="minorEastAsia" w:hAnsiTheme="minorEastAsia" w:hint="eastAsia"/>
          <w:bCs/>
          <w:szCs w:val="21"/>
        </w:rPr>
        <w:t>自决议生效之日起2日内在指定媒介公告</w:t>
      </w:r>
      <w:r w:rsidRPr="008644BE">
        <w:rPr>
          <w:rFonts w:asciiTheme="minorEastAsia" w:eastAsiaTheme="minorEastAsia" w:hAnsiTheme="minorEastAsia"/>
          <w:bCs/>
          <w:szCs w:val="21"/>
        </w:rPr>
        <w:t>。</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二</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《基金合同》的终止事由</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有下列情形之一的，《基金合同》应当终止：</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1、基金份额持有人大会决定终止的；</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2、基金管理人、基金托管人职责终止，在6个月内没有新基金管理人、新基金托管人承接的；</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3、</w:t>
      </w:r>
      <w:r w:rsidRPr="008644BE">
        <w:rPr>
          <w:rFonts w:asciiTheme="minorEastAsia" w:eastAsiaTheme="minorEastAsia" w:hAnsiTheme="minorEastAsia"/>
          <w:bCs/>
          <w:szCs w:val="21"/>
        </w:rPr>
        <w:t>《基金合同》约定的其他情形；</w:t>
      </w:r>
    </w:p>
    <w:p w:rsidR="00303397" w:rsidRPr="008644BE" w:rsidRDefault="00D64145"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4</w:t>
      </w:r>
      <w:r w:rsidR="00303397" w:rsidRPr="008644BE">
        <w:rPr>
          <w:rFonts w:asciiTheme="minorEastAsia" w:eastAsiaTheme="minorEastAsia" w:hAnsiTheme="minorEastAsia"/>
          <w:bCs/>
          <w:szCs w:val="21"/>
        </w:rPr>
        <w:t>、相关法律法规和中国证监会规定的其他情况。</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三</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基金财产的清算</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1、基金财产清算小组：自出现《基金合同》终止事由之日起30个工作日内成立清算小组，基金管理人组织基金财产清算小组并在中国证监会的监督下进行基金清算。</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4、基金财产清算程序：</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（1）《基金合同》终止情形出现时，由基金财产清算小组统一接管基金；</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（2）对基金财产和债权债务进行清理和确认；</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（3）对基金财产进行估值和变现；</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（4）制作清算报告；</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（5）聘请会计师事务所对清算报告进行外部审计，聘请律师事务所对清算报告出具法律意见书；</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（6）将清算报告报中国证监会备案并公告；</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（7）对基金财产进行分配。</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lastRenderedPageBreak/>
        <w:t>（</w:t>
      </w:r>
      <w:r w:rsidRPr="008644BE">
        <w:rPr>
          <w:rFonts w:asciiTheme="minorEastAsia" w:eastAsiaTheme="minorEastAsia" w:hAnsiTheme="minorEastAsia"/>
          <w:bCs/>
          <w:szCs w:val="21"/>
        </w:rPr>
        <w:t>四</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清算费用</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清算费用是指基金财产清算小组在进行基金清算过程中发生的所有合理费用，清算费用由基金财产清算小组优先从基金财产中支付。</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五</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基金财产清算剩余资产的分配</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六</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基金财产清算的公告</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644BE">
        <w:rPr>
          <w:rFonts w:asciiTheme="minorEastAsia" w:eastAsiaTheme="minorEastAsia" w:hAnsiTheme="minorEastAsia" w:hint="eastAsia"/>
          <w:bCs/>
          <w:szCs w:val="21"/>
        </w:rPr>
        <w:t>5</w:t>
      </w:r>
      <w:r w:rsidRPr="008644BE">
        <w:rPr>
          <w:rFonts w:asciiTheme="minorEastAsia" w:eastAsiaTheme="minorEastAsia" w:hAnsiTheme="minorEastAsia"/>
          <w:bCs/>
          <w:szCs w:val="21"/>
        </w:rPr>
        <w:t>个工作日内由基金财产清算小组进行公告。</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七</w:t>
      </w:r>
      <w:r w:rsidRPr="008644BE">
        <w:rPr>
          <w:rFonts w:asciiTheme="minorEastAsia" w:eastAsiaTheme="minorEastAsia" w:hAnsiTheme="minorEastAsia" w:hint="eastAsia"/>
          <w:bCs/>
          <w:szCs w:val="21"/>
        </w:rPr>
        <w:t>）</w:t>
      </w:r>
      <w:r w:rsidRPr="008644BE">
        <w:rPr>
          <w:rFonts w:asciiTheme="minorEastAsia" w:eastAsiaTheme="minorEastAsia" w:hAnsiTheme="minorEastAsia"/>
          <w:bCs/>
          <w:szCs w:val="21"/>
        </w:rPr>
        <w:t>基金财产清算账册及文件的保存</w:t>
      </w:r>
    </w:p>
    <w:p w:rsidR="00303397" w:rsidRPr="008644BE" w:rsidRDefault="00303397"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基金财产清算账册及有关文件由基金托管人保存</w:t>
      </w:r>
      <w:r w:rsidRPr="008644BE">
        <w:rPr>
          <w:rFonts w:asciiTheme="minorEastAsia" w:eastAsiaTheme="minorEastAsia" w:hAnsiTheme="minorEastAsia" w:hint="eastAsia"/>
          <w:bCs/>
          <w:szCs w:val="21"/>
        </w:rPr>
        <w:t>15</w:t>
      </w:r>
      <w:r w:rsidRPr="008644BE">
        <w:rPr>
          <w:rFonts w:asciiTheme="minorEastAsia" w:eastAsiaTheme="minorEastAsia" w:hAnsiTheme="minorEastAsia"/>
          <w:bCs/>
          <w:szCs w:val="21"/>
        </w:rPr>
        <w:t>年以上。</w:t>
      </w:r>
    </w:p>
    <w:p w:rsidR="003F0109" w:rsidRPr="008644BE" w:rsidRDefault="003F0109"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四、争议解决方式</w:t>
      </w:r>
    </w:p>
    <w:p w:rsidR="00873F4F" w:rsidRPr="008644BE" w:rsidRDefault="00873F4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873F4F" w:rsidRPr="008644BE" w:rsidRDefault="00873F4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rsidR="00873F4F" w:rsidRPr="008644BE" w:rsidRDefault="00873F4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《基金合同》受中国法律管辖。</w:t>
      </w:r>
    </w:p>
    <w:p w:rsidR="008727F1" w:rsidRPr="008644BE" w:rsidRDefault="003F0109"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hint="eastAsia"/>
          <w:bCs/>
          <w:szCs w:val="21"/>
        </w:rPr>
        <w:t>五、基金合同存放地和投资者取得基金合同的方式</w:t>
      </w:r>
    </w:p>
    <w:p w:rsidR="00873F4F" w:rsidRPr="008644BE" w:rsidRDefault="00873F4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《基金合同》是约定基金当事人之间、基金与基金当事人之间权利义务关系的法律文件。</w:t>
      </w:r>
    </w:p>
    <w:p w:rsidR="00873F4F" w:rsidRPr="008644BE" w:rsidRDefault="00873F4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1、《基金合同》经基金管理人、基金托管人双方盖章以及双方法定代表人或授权代表签字</w:t>
      </w:r>
      <w:r w:rsidRPr="008644BE">
        <w:rPr>
          <w:rFonts w:asciiTheme="minorEastAsia" w:eastAsiaTheme="minorEastAsia" w:hAnsiTheme="minorEastAsia" w:hint="eastAsia"/>
          <w:bCs/>
          <w:szCs w:val="21"/>
        </w:rPr>
        <w:t>或盖章</w:t>
      </w:r>
      <w:r w:rsidRPr="008644BE">
        <w:rPr>
          <w:rFonts w:asciiTheme="minorEastAsia" w:eastAsiaTheme="minorEastAsia" w:hAnsiTheme="minorEastAsia"/>
          <w:bCs/>
          <w:szCs w:val="21"/>
        </w:rPr>
        <w:t>并在募集结束后经基金管理人向中国证监会办理基金备案手续，并经中国证监会书面确认后生效。</w:t>
      </w:r>
    </w:p>
    <w:p w:rsidR="00873F4F" w:rsidRPr="008644BE" w:rsidRDefault="00873F4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2、《基金合同》的有效期自其生效之日起至基金财产清算结果报中国证监会</w:t>
      </w:r>
      <w:r w:rsidRPr="008644BE">
        <w:rPr>
          <w:rFonts w:asciiTheme="minorEastAsia" w:eastAsiaTheme="minorEastAsia" w:hAnsiTheme="minorEastAsia" w:hint="eastAsia"/>
          <w:bCs/>
          <w:szCs w:val="21"/>
        </w:rPr>
        <w:t>备案</w:t>
      </w:r>
      <w:r w:rsidRPr="008644BE">
        <w:rPr>
          <w:rFonts w:asciiTheme="minorEastAsia" w:eastAsiaTheme="minorEastAsia" w:hAnsiTheme="minorEastAsia"/>
          <w:bCs/>
          <w:szCs w:val="21"/>
        </w:rPr>
        <w:t>并公告之日止。</w:t>
      </w:r>
    </w:p>
    <w:p w:rsidR="00873F4F" w:rsidRPr="008644BE" w:rsidRDefault="00873F4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3、《基金合同》自生效之日起对包括基金管理人、基金托管人和基金份额持有人在内的《基金合同》各方当事人具有同等的法律约束力。</w:t>
      </w:r>
    </w:p>
    <w:p w:rsidR="00873F4F" w:rsidRPr="008644BE" w:rsidRDefault="00873F4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4、《基金合同》正本一式六份，除上报有关监管机构一式二份外，基金管理人、基金托管人各持有二份，每份具有同等的法律效力。</w:t>
      </w:r>
    </w:p>
    <w:p w:rsidR="00873F4F" w:rsidRPr="008644BE" w:rsidRDefault="00873F4F" w:rsidP="00936084">
      <w:pPr>
        <w:snapToGrid w:val="0"/>
        <w:spacing w:line="360" w:lineRule="auto"/>
        <w:ind w:firstLineChars="200" w:firstLine="420"/>
        <w:rPr>
          <w:rFonts w:asciiTheme="minorEastAsia" w:eastAsiaTheme="minorEastAsia" w:hAnsiTheme="minorEastAsia"/>
          <w:bCs/>
          <w:szCs w:val="21"/>
        </w:rPr>
      </w:pPr>
      <w:r w:rsidRPr="008644BE">
        <w:rPr>
          <w:rFonts w:asciiTheme="minorEastAsia" w:eastAsiaTheme="minorEastAsia" w:hAnsiTheme="minorEastAsia"/>
          <w:bCs/>
          <w:szCs w:val="21"/>
        </w:rPr>
        <w:t>5、《基金合同》可印制成册，供投资者在基金管理人、基金托管人、销售机构的办公场所和营业场所查阅。</w:t>
      </w:r>
    </w:p>
    <w:p w:rsidR="00BA4B87" w:rsidRPr="008644BE" w:rsidRDefault="004C1D62" w:rsidP="00936084">
      <w:pPr>
        <w:pStyle w:val="1"/>
        <w:snapToGrid w:val="0"/>
        <w:spacing w:beforeLines="0" w:afterLines="0" w:line="360" w:lineRule="auto"/>
        <w:ind w:firstLine="600"/>
        <w:rPr>
          <w:rFonts w:asciiTheme="minorEastAsia" w:eastAsiaTheme="minorEastAsia" w:hAnsiTheme="minorEastAsia"/>
          <w:sz w:val="30"/>
        </w:rPr>
      </w:pPr>
      <w:bookmarkStart w:id="117" w:name="_Toc49269647"/>
      <w:bookmarkStart w:id="118" w:name="_Toc332373590"/>
      <w:bookmarkStart w:id="119" w:name="_Toc332374170"/>
      <w:r w:rsidRPr="008644BE">
        <w:rPr>
          <w:rFonts w:asciiTheme="minorEastAsia" w:eastAsiaTheme="minorEastAsia" w:hAnsiTheme="minorEastAsia" w:hint="eastAsia"/>
          <w:sz w:val="30"/>
        </w:rPr>
        <w:lastRenderedPageBreak/>
        <w:t>二十二</w:t>
      </w:r>
      <w:r w:rsidR="00BA4B87" w:rsidRPr="008644BE">
        <w:rPr>
          <w:rFonts w:asciiTheme="minorEastAsia" w:eastAsiaTheme="minorEastAsia" w:hAnsiTheme="minorEastAsia" w:hint="eastAsia"/>
          <w:sz w:val="30"/>
        </w:rPr>
        <w:t>、基金托管协议的内容摘要</w:t>
      </w:r>
      <w:bookmarkEnd w:id="117"/>
    </w:p>
    <w:bookmarkEnd w:id="118"/>
    <w:bookmarkEnd w:id="119"/>
    <w:p w:rsidR="009B6E94" w:rsidRPr="008644BE" w:rsidRDefault="009B6E94"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一、托管协议当事人</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（一）基金管理人</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名称：易方达基金管理有限公司</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注册地址：</w:t>
      </w:r>
      <w:r w:rsidR="00D53D6B" w:rsidRPr="008644BE">
        <w:rPr>
          <w:rFonts w:asciiTheme="minorEastAsia" w:eastAsiaTheme="minorEastAsia" w:hAnsiTheme="minorEastAsia" w:cs="Arial" w:hint="eastAsia"/>
          <w:szCs w:val="21"/>
        </w:rPr>
        <w:t>广东省珠海市横琴新区宝华路6号105室－42891（集中办公区）</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办公地址：广东省广州市</w:t>
      </w:r>
      <w:r w:rsidR="00F60912" w:rsidRPr="008644BE">
        <w:rPr>
          <w:rFonts w:asciiTheme="minorEastAsia" w:eastAsiaTheme="minorEastAsia" w:hAnsiTheme="minorEastAsia" w:cs="Arial" w:hint="eastAsia"/>
          <w:szCs w:val="21"/>
        </w:rPr>
        <w:t>天河区</w:t>
      </w:r>
      <w:r w:rsidRPr="008644BE">
        <w:rPr>
          <w:rFonts w:asciiTheme="minorEastAsia" w:eastAsiaTheme="minorEastAsia" w:hAnsiTheme="minorEastAsia" w:cs="Arial" w:hint="eastAsia"/>
          <w:szCs w:val="21"/>
        </w:rPr>
        <w:t>珠江新城珠江东路30号广州银行大厦40-43楼</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邮政编码：510620</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法定代表人：</w:t>
      </w:r>
      <w:r w:rsidR="00AE3490" w:rsidRPr="008644BE">
        <w:rPr>
          <w:rFonts w:asciiTheme="minorEastAsia" w:eastAsiaTheme="minorEastAsia" w:hAnsiTheme="minorEastAsia" w:cs="Arial" w:hint="eastAsia"/>
          <w:szCs w:val="21"/>
        </w:rPr>
        <w:t>刘晓艳</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成立日期：2001年4月17日</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批准设立机关及批准设立文号：</w:t>
      </w:r>
      <w:r w:rsidR="00161181" w:rsidRPr="008644BE">
        <w:rPr>
          <w:rFonts w:asciiTheme="minorEastAsia" w:eastAsiaTheme="minorEastAsia" w:hAnsiTheme="minorEastAsia" w:cs="Arial" w:hint="eastAsia"/>
          <w:szCs w:val="21"/>
        </w:rPr>
        <w:t>中国证券监督管理委员会，</w:t>
      </w:r>
      <w:r w:rsidRPr="008644BE">
        <w:rPr>
          <w:rFonts w:asciiTheme="minorEastAsia" w:eastAsiaTheme="minorEastAsia" w:hAnsiTheme="minorEastAsia" w:cs="Arial" w:hint="eastAsia"/>
          <w:szCs w:val="21"/>
        </w:rPr>
        <w:t>证监基</w:t>
      </w:r>
      <w:r w:rsidR="00161181" w:rsidRPr="008644BE">
        <w:rPr>
          <w:rFonts w:asciiTheme="minorEastAsia" w:eastAsiaTheme="minorEastAsia" w:hAnsiTheme="minorEastAsia" w:cs="Arial" w:hint="eastAsia"/>
          <w:szCs w:val="21"/>
        </w:rPr>
        <w:t>金</w:t>
      </w:r>
      <w:r w:rsidRPr="008644BE">
        <w:rPr>
          <w:rFonts w:asciiTheme="minorEastAsia" w:eastAsiaTheme="minorEastAsia" w:hAnsiTheme="minorEastAsia" w:cs="Arial" w:hint="eastAsia"/>
          <w:szCs w:val="21"/>
        </w:rPr>
        <w:t>字［2001］4号</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组织形式：有限责任公司</w:t>
      </w:r>
    </w:p>
    <w:p w:rsidR="00161181" w:rsidRPr="008644BE" w:rsidRDefault="001B6207"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注册资本：13,244.2万元人民币</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存续期间：持续经营</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经营范围：</w:t>
      </w:r>
      <w:r w:rsidR="00B16DD1" w:rsidRPr="008644BE">
        <w:rPr>
          <w:rFonts w:asciiTheme="minorEastAsia" w:eastAsiaTheme="minorEastAsia" w:hAnsiTheme="minorEastAsia" w:cs="Arial" w:hint="eastAsia"/>
          <w:szCs w:val="21"/>
        </w:rPr>
        <w:t>公开募集证券投资基金管理、基金销售、特定客户资产管理</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（二）基金托管人</w:t>
      </w:r>
    </w:p>
    <w:p w:rsidR="00794A76" w:rsidRPr="008644BE" w:rsidRDefault="00794A76" w:rsidP="00794A76">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名称：中国建设银行股份有限公司</w:t>
      </w:r>
    </w:p>
    <w:p w:rsidR="00794A76" w:rsidRPr="008644BE" w:rsidRDefault="00794A76" w:rsidP="00794A76">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住所：北京市西城区金融大街25号</w:t>
      </w:r>
      <w:r w:rsidR="00591526" w:rsidRPr="008644BE">
        <w:rPr>
          <w:rFonts w:asciiTheme="minorEastAsia" w:eastAsiaTheme="minorEastAsia" w:hAnsiTheme="minorEastAsia" w:cs="Arial" w:hint="eastAsia"/>
          <w:szCs w:val="21"/>
        </w:rPr>
        <w:t>(简称：中国建设银行)</w:t>
      </w:r>
    </w:p>
    <w:p w:rsidR="00794A76" w:rsidRPr="008644BE" w:rsidRDefault="00794A76" w:rsidP="00794A76">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办公地址：北京市西城区闹市口大街1号院1号楼</w:t>
      </w:r>
    </w:p>
    <w:p w:rsidR="00794A76" w:rsidRPr="008644BE" w:rsidRDefault="00794A76" w:rsidP="00794A76">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邮政编码：100033</w:t>
      </w:r>
    </w:p>
    <w:p w:rsidR="00794A76" w:rsidRPr="008644BE" w:rsidRDefault="00794A76" w:rsidP="00794A76">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法定代表人：田国立</w:t>
      </w:r>
    </w:p>
    <w:p w:rsidR="00794A76" w:rsidRPr="008644BE" w:rsidRDefault="00794A76" w:rsidP="00794A76">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成立日期：</w:t>
      </w:r>
      <w:r w:rsidR="00591526" w:rsidRPr="008644BE">
        <w:rPr>
          <w:rFonts w:asciiTheme="minorEastAsia" w:eastAsiaTheme="minorEastAsia" w:hAnsiTheme="minorEastAsia" w:cs="Arial" w:hint="eastAsia"/>
          <w:szCs w:val="21"/>
        </w:rPr>
        <w:t>2004年09月17日</w:t>
      </w:r>
    </w:p>
    <w:p w:rsidR="00794A76" w:rsidRPr="008644BE" w:rsidRDefault="00794A76" w:rsidP="00794A76">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基金托管业务批准文号：中国证监会证监基字[1998]12号</w:t>
      </w:r>
    </w:p>
    <w:p w:rsidR="00794A76" w:rsidRPr="008644BE" w:rsidRDefault="00794A76" w:rsidP="00794A76">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组织形式：股份有限公司</w:t>
      </w:r>
    </w:p>
    <w:p w:rsidR="00794A76" w:rsidRPr="008644BE" w:rsidRDefault="00794A76" w:rsidP="00794A76">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注册资本：贰仟伍佰亿壹仟零玖拾柒万柒仟肆佰捌拾陆元整</w:t>
      </w:r>
    </w:p>
    <w:p w:rsidR="00794A76" w:rsidRPr="008644BE" w:rsidRDefault="00794A76"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存续期间：持续经营</w:t>
      </w:r>
    </w:p>
    <w:p w:rsidR="00E13605" w:rsidRPr="008644BE" w:rsidRDefault="00E13605" w:rsidP="00936084">
      <w:pPr>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9363C" w:rsidRPr="008644BE" w:rsidRDefault="0009363C"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二、</w:t>
      </w:r>
      <w:r w:rsidR="001C049E" w:rsidRPr="008644BE">
        <w:rPr>
          <w:rFonts w:asciiTheme="minorEastAsia" w:eastAsiaTheme="minorEastAsia" w:hAnsiTheme="minorEastAsia" w:hint="eastAsia"/>
          <w:kern w:val="0"/>
          <w:szCs w:val="21"/>
        </w:rPr>
        <w:t>基金托管人对基金管理人的业务监督和核查</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w:t>
      </w:r>
      <w:r w:rsidRPr="008644BE">
        <w:rPr>
          <w:rFonts w:asciiTheme="minorEastAsia" w:eastAsiaTheme="minorEastAsia" w:hAnsiTheme="minorEastAsia" w:hint="eastAsia"/>
          <w:kern w:val="0"/>
          <w:szCs w:val="21"/>
        </w:rPr>
        <w:lastRenderedPageBreak/>
        <w:t>际投资是否符合《基金合同》关于证券选择标准的约定进行监督，对存在疑义的事项进行核查。</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本基金的投资范围包括国内依法发行、上市的股票（包括创业板、中小板以及其他经中国证监会批准上市的股票）、债券、资产支持证券、银行存款、货币市场工具、权证、股指期货及法律法规或中国证监会允许基金投资的其他金融工具。</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如法律法规或监管机构以后允许基金投资其他品种，本基金可以将其纳入投资范围。</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（二）基金托管人根据有关法律法规的规定及《基金合同》的约定，对基金投资、融资比例进行监督。基金托管人按下述比例和调整期限进行监督：</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（1）本基金股票资产占基金资产的比例为0-95%；非现金资产中不低于80%的资产将投资于创新驱动型公司的证券；</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（2）保持不低于基金资产净值5％的现金或者到期日在一年以内的政府债券</w:t>
      </w:r>
      <w:r w:rsidR="00C22BCD" w:rsidRPr="008644BE">
        <w:rPr>
          <w:rFonts w:asciiTheme="minorEastAsia" w:eastAsiaTheme="minorEastAsia" w:hAnsiTheme="minorEastAsia" w:hint="eastAsia"/>
          <w:kern w:val="0"/>
          <w:szCs w:val="21"/>
        </w:rPr>
        <w:t>，现金不包括结算备付金、存出保证金、应收申购款等</w:t>
      </w:r>
      <w:r w:rsidRPr="008644BE">
        <w:rPr>
          <w:rFonts w:asciiTheme="minorEastAsia" w:eastAsiaTheme="minorEastAsia" w:hAnsiTheme="minorEastAsia" w:hint="eastAsia"/>
          <w:kern w:val="0"/>
          <w:szCs w:val="21"/>
        </w:rPr>
        <w:t>；</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（3）本基金持有一家</w:t>
      </w:r>
      <w:r w:rsidR="00CD6699" w:rsidRPr="008644BE">
        <w:rPr>
          <w:rFonts w:asciiTheme="minorEastAsia" w:eastAsiaTheme="minorEastAsia" w:hAnsiTheme="minorEastAsia" w:hint="eastAsia"/>
          <w:kern w:val="0"/>
          <w:szCs w:val="21"/>
        </w:rPr>
        <w:t>公司发行的证券</w:t>
      </w:r>
      <w:r w:rsidRPr="008644BE">
        <w:rPr>
          <w:rFonts w:asciiTheme="minorEastAsia" w:eastAsiaTheme="minorEastAsia" w:hAnsiTheme="minorEastAsia" w:hint="eastAsia"/>
          <w:kern w:val="0"/>
          <w:szCs w:val="21"/>
        </w:rPr>
        <w:t>，其市值不超过基金资产净值的10％；</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（4）本基金管理人管理的且本基金托管人托管的全部基金持有一家公司发行的证券，不超过该证券的10％；</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（5）本基金持有的全部权证，其市值不得超过基金资产净值的3％；</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（6）本基金管理人管理的且本基金托管人托管的全部基金持有的同一权证，不得超过该权证的10％；</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（7）本基金在任何交易日买入权证的总金额，不得超过上一交易日基金资产净值的0.5％；</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（8）本基金投资于同一原始权益人的各类资产支持证券的比例，不得超过基金资产净值的10％；</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（9）本基金持有的全部资产支持证券，其市值不得超过基金资产净值的20％；</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（10）本基金持有的同一(指同一信用级别)资产支持证券的比例，不得超过该资产支持证券规模的10％；</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（11）本基金管理人管理的且本基金托管人托管的全部基金投资于同一原始权益人的各类资产支持证券，不得超过其各类资产支持证券合计规模的10％；</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（12）本基金应投资于信用级别评级为BBB以上(含BBB)的资产支持证券。基金持有资产支持证券期间，如果其信用等级下降、不再符合投资标准，应在评级报告发布之日起3个月内予以全部卖出；</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（13）基金财产参与股票发行申购，本基金所申报的金额不超过本基金的总资产，本基金所申报的股票数量不超过拟发行股票公司本次发行股票的总量；</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（14）本基金进入全国银行间同业市场进行债券回购的资金余额不得超过基金资产净值的40%；</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lastRenderedPageBreak/>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基金所持有的股票市值和买入、卖出股指期货合约价值，合计（轧差计算）占基金资产的比例为0—95%；在任何交易日内交易（不包括平仓）的股指期货合约的成交金额不得超过上一交易日基金资产净值的20％；每个交易日日终在扣除股指期货合约需缴纳的交易保证金后，应当保持不低于基金资产净值5%的现金或到期日在一年以内的政府债券；</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（16）本基金投资</w:t>
      </w:r>
      <w:r w:rsidR="00531682" w:rsidRPr="008644BE">
        <w:rPr>
          <w:rFonts w:asciiTheme="minorEastAsia" w:eastAsiaTheme="minorEastAsia" w:hAnsiTheme="minorEastAsia" w:hint="eastAsia"/>
          <w:kern w:val="0"/>
          <w:szCs w:val="21"/>
        </w:rPr>
        <w:t>的所有</w:t>
      </w:r>
      <w:r w:rsidRPr="008644BE">
        <w:rPr>
          <w:rFonts w:asciiTheme="minorEastAsia" w:eastAsiaTheme="minorEastAsia" w:hAnsiTheme="minorEastAsia" w:hint="eastAsia"/>
          <w:kern w:val="0"/>
          <w:szCs w:val="21"/>
        </w:rPr>
        <w:t>流通受限证券，其公允价值</w:t>
      </w:r>
      <w:r w:rsidR="00531682" w:rsidRPr="008644BE">
        <w:rPr>
          <w:rFonts w:asciiTheme="minorEastAsia" w:eastAsiaTheme="minorEastAsia" w:hAnsiTheme="minorEastAsia" w:hint="eastAsia"/>
          <w:kern w:val="0"/>
          <w:szCs w:val="21"/>
        </w:rPr>
        <w:t>合计</w:t>
      </w:r>
      <w:r w:rsidRPr="008644BE">
        <w:rPr>
          <w:rFonts w:asciiTheme="minorEastAsia" w:eastAsiaTheme="minorEastAsia" w:hAnsiTheme="minorEastAsia" w:hint="eastAsia"/>
          <w:kern w:val="0"/>
          <w:szCs w:val="21"/>
        </w:rPr>
        <w:t>不得超过本基金资产净值的10%；本基金持有的</w:t>
      </w:r>
      <w:r w:rsidR="009765BF" w:rsidRPr="008644BE">
        <w:rPr>
          <w:rFonts w:asciiTheme="minorEastAsia" w:eastAsiaTheme="minorEastAsia" w:hAnsiTheme="minorEastAsia" w:hint="eastAsia"/>
          <w:kern w:val="0"/>
          <w:szCs w:val="21"/>
        </w:rPr>
        <w:t>单个</w:t>
      </w:r>
      <w:r w:rsidRPr="008644BE">
        <w:rPr>
          <w:rFonts w:asciiTheme="minorEastAsia" w:eastAsiaTheme="minorEastAsia" w:hAnsiTheme="minorEastAsia" w:hint="eastAsia"/>
          <w:kern w:val="0"/>
          <w:szCs w:val="21"/>
        </w:rPr>
        <w:t>流通受限证券，其公允价值不得超过本基金资产净值的3%；基金管理人与基金托管人协商一致，可以对以上比例限制进行修改。因流通受限证券价格波动、基金规模变动、新股申购等基金管理人无法控制的因素导致上述比例被动超标的，基金管理人应当停止主动买入流通受限证券并在流通受限期结束后卖出流通受限证券；</w:t>
      </w:r>
    </w:p>
    <w:p w:rsidR="00FF1D2E" w:rsidRPr="008644BE" w:rsidRDefault="00FF1D2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（17）本基金基金总资产不得超过基金净资产的140%；</w:t>
      </w:r>
    </w:p>
    <w:p w:rsidR="00AE2A66" w:rsidRPr="008644BE" w:rsidRDefault="00C22BCD" w:rsidP="00B6083E">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18</w:t>
      </w:r>
      <w:r w:rsidRPr="008644BE">
        <w:rPr>
          <w:rFonts w:asciiTheme="minorEastAsia" w:eastAsiaTheme="minorEastAsia" w:hAnsiTheme="minorEastAsia" w:hint="eastAsia"/>
          <w:kern w:val="0"/>
          <w:szCs w:val="21"/>
        </w:rPr>
        <w:t>）本基金管理人管理且由基金托管人托管的全部开放式基金持有一家上市公司发行的可流通股票，不得超过该上市公司可流通股票的</w:t>
      </w:r>
      <w:r w:rsidRPr="008644BE">
        <w:rPr>
          <w:rFonts w:asciiTheme="minorEastAsia" w:eastAsiaTheme="minorEastAsia" w:hAnsiTheme="minorEastAsia"/>
          <w:kern w:val="0"/>
          <w:szCs w:val="21"/>
        </w:rPr>
        <w:t>15%</w:t>
      </w:r>
      <w:r w:rsidRPr="008644BE">
        <w:rPr>
          <w:rFonts w:asciiTheme="minorEastAsia" w:eastAsiaTheme="minorEastAsia" w:hAnsiTheme="minorEastAsia" w:hint="eastAsia"/>
          <w:kern w:val="0"/>
          <w:szCs w:val="21"/>
        </w:rPr>
        <w:t>；本基金管理人管理且由基金托管人托管的全部投资组合持有一家上市公司发行的可流通股票，不得超过该上市公司可流通股票的</w:t>
      </w:r>
      <w:r w:rsidRPr="008644BE">
        <w:rPr>
          <w:rFonts w:asciiTheme="minorEastAsia" w:eastAsiaTheme="minorEastAsia" w:hAnsiTheme="minorEastAsia"/>
          <w:kern w:val="0"/>
          <w:szCs w:val="21"/>
        </w:rPr>
        <w:t>30%</w:t>
      </w:r>
      <w:r w:rsidRPr="008644BE">
        <w:rPr>
          <w:rFonts w:asciiTheme="minorEastAsia" w:eastAsiaTheme="minorEastAsia" w:hAnsiTheme="minorEastAsia" w:hint="eastAsia"/>
          <w:kern w:val="0"/>
          <w:szCs w:val="21"/>
        </w:rPr>
        <w:t>；</w:t>
      </w:r>
    </w:p>
    <w:p w:rsidR="00AE2A66" w:rsidRPr="008644BE" w:rsidRDefault="00C22BCD" w:rsidP="00B6083E">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19</w:t>
      </w:r>
      <w:r w:rsidRPr="008644BE">
        <w:rPr>
          <w:rFonts w:asciiTheme="minorEastAsia" w:eastAsiaTheme="minorEastAsia" w:hAnsiTheme="minorEastAsia" w:hint="eastAsia"/>
          <w:kern w:val="0"/>
          <w:szCs w:val="21"/>
        </w:rPr>
        <w:t>）本基金主动投资于流动性受限资产的市值合计不得超过该基金资产净值的</w:t>
      </w:r>
      <w:r w:rsidRPr="008644BE">
        <w:rPr>
          <w:rFonts w:asciiTheme="minorEastAsia" w:eastAsiaTheme="minorEastAsia" w:hAnsiTheme="minorEastAsia"/>
          <w:kern w:val="0"/>
          <w:szCs w:val="21"/>
        </w:rPr>
        <w:t>15%</w:t>
      </w:r>
      <w:r w:rsidRPr="008644BE">
        <w:rPr>
          <w:rFonts w:asciiTheme="minorEastAsia" w:eastAsiaTheme="minorEastAsia" w:hAnsiTheme="minorEastAsia" w:hint="eastAsia"/>
          <w:kern w:val="0"/>
          <w:szCs w:val="21"/>
        </w:rPr>
        <w:t>。</w:t>
      </w:r>
    </w:p>
    <w:p w:rsidR="00AE2A66" w:rsidRPr="008644BE" w:rsidRDefault="00C22BCD" w:rsidP="00B6083E">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因证券市场波动、上市公司股票停牌、基金规模变动等基金管理人之外的因素致使基金不符合前款所规定比例限制的，基金管理人不得主动新增流动性受限资产的投资。</w:t>
      </w:r>
    </w:p>
    <w:p w:rsidR="00AE2A66" w:rsidRPr="008644BE" w:rsidRDefault="00C22BCD" w:rsidP="00B6083E">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20</w:t>
      </w:r>
      <w:r w:rsidRPr="008644BE">
        <w:rPr>
          <w:rFonts w:asciiTheme="minorEastAsia" w:eastAsiaTheme="minorEastAsia" w:hAnsiTheme="minorEastAsia" w:hint="eastAsia"/>
          <w:kern w:val="0"/>
          <w:szCs w:val="21"/>
        </w:rPr>
        <w:t>）本基金与私募类证券资管产品及中国证监会认定的其他主体为交易对手开展逆回购交易的，可接受质押品的资质要求应当与基金合同约定的投资范围保持一致。</w:t>
      </w:r>
    </w:p>
    <w:p w:rsidR="00AE2A66" w:rsidRPr="008644BE" w:rsidRDefault="00C22BCD" w:rsidP="00B6083E">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21</w:t>
      </w:r>
      <w:r w:rsidRPr="008644BE">
        <w:rPr>
          <w:rFonts w:asciiTheme="minorEastAsia" w:eastAsiaTheme="minorEastAsia" w:hAnsiTheme="minorEastAsia" w:hint="eastAsia"/>
          <w:kern w:val="0"/>
          <w:szCs w:val="21"/>
        </w:rPr>
        <w:t>）</w:t>
      </w:r>
      <w:r w:rsidR="009B6E94" w:rsidRPr="008644BE">
        <w:rPr>
          <w:rFonts w:asciiTheme="minorEastAsia" w:eastAsiaTheme="minorEastAsia" w:hAnsiTheme="minorEastAsia" w:hint="eastAsia"/>
          <w:kern w:val="0"/>
          <w:szCs w:val="21"/>
        </w:rPr>
        <w:t>法律法规及中国证监会规定的和《基金合同》约定的其他投资限制。</w:t>
      </w:r>
    </w:p>
    <w:p w:rsidR="009B6E94" w:rsidRPr="008644BE" w:rsidRDefault="00C22BCD"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除</w:t>
      </w:r>
      <w:r w:rsidRPr="008644BE">
        <w:rPr>
          <w:rFonts w:asciiTheme="minorEastAsia" w:eastAsiaTheme="minorEastAsia" w:hAnsiTheme="minorEastAsia"/>
          <w:kern w:val="0"/>
          <w:szCs w:val="21"/>
        </w:rPr>
        <w:t>上述（2）</w:t>
      </w: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12</w:t>
      </w: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13</w:t>
      </w: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（19）</w:t>
      </w: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（20）</w:t>
      </w:r>
      <w:r w:rsidRPr="008644BE">
        <w:rPr>
          <w:rFonts w:asciiTheme="minorEastAsia" w:eastAsiaTheme="minorEastAsia" w:hAnsiTheme="minorEastAsia" w:hint="eastAsia"/>
          <w:kern w:val="0"/>
          <w:szCs w:val="21"/>
        </w:rPr>
        <w:t>以外</w:t>
      </w:r>
      <w:r w:rsidRPr="008644BE">
        <w:rPr>
          <w:rFonts w:asciiTheme="minorEastAsia" w:eastAsiaTheme="minorEastAsia" w:hAnsiTheme="minorEastAsia"/>
          <w:kern w:val="0"/>
          <w:szCs w:val="21"/>
        </w:rPr>
        <w:t>，</w:t>
      </w:r>
      <w:r w:rsidR="009B6E94" w:rsidRPr="008644BE">
        <w:rPr>
          <w:rFonts w:asciiTheme="minorEastAsia" w:eastAsiaTheme="minorEastAsia" w:hAnsiTheme="minorEastAsia" w:hint="eastAsia"/>
          <w:kern w:val="0"/>
          <w:szCs w:val="21"/>
        </w:rPr>
        <w:t>因证券市场波动、证券发行人合并、基金规模变动等基金管理人之外的因素致使基金投资比例不符合上述规定投资比例的，基金管理人应当在10个交易日内进行调整。</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基金管理人应当自基金合同生效之日起6个月内使基金的投资组合比例符合基金合同的有关约定。基金托管人对基金的投资的监督与检查自基金合同生效之日起开始。</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如果法律法规对上述投资比例限制进行变更的，以变更后的规定为准。法律法规或监管部门取消上述限制，本基金投资不再受相关限制。</w:t>
      </w:r>
    </w:p>
    <w:p w:rsidR="00B81037"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（三）</w:t>
      </w:r>
      <w:r w:rsidR="00B81037" w:rsidRPr="008644BE">
        <w:rPr>
          <w:rFonts w:asciiTheme="minorEastAsia" w:eastAsiaTheme="minorEastAsia" w:hAnsiTheme="minorEastAsia" w:hint="eastAsia"/>
          <w:kern w:val="0"/>
          <w:szCs w:val="21"/>
        </w:rPr>
        <w:t>基金托管人根据有关法律法规的规定及《基金合同》的约定，对本托管协议第十五条第九款基金投资禁止行为进行监督。基金托管人通过事后监督方式对基金管理人基金投</w:t>
      </w:r>
      <w:r w:rsidR="00B81037" w:rsidRPr="008644BE">
        <w:rPr>
          <w:rFonts w:asciiTheme="minorEastAsia" w:eastAsiaTheme="minorEastAsia" w:hAnsiTheme="minorEastAsia" w:hint="eastAsia"/>
          <w:kern w:val="0"/>
          <w:szCs w:val="21"/>
        </w:rPr>
        <w:lastRenderedPageBreak/>
        <w:t>资禁止行为进行监督。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相关交易必须事先得到基金托管人的同意，并按法律法规予以披露。</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（五）基金托管人根据有关法律法规的规定及《基金合同》的约定，对基金管理人投资流通受限证券进行监督。</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9B6E94"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9B6E94" w:rsidRPr="008644BE">
        <w:rPr>
          <w:rFonts w:asciiTheme="minorEastAsia" w:eastAsiaTheme="minorEastAsia" w:hAnsiTheme="minorEastAsia" w:hint="eastAsia"/>
          <w:kern w:val="0"/>
          <w:szCs w:val="21"/>
        </w:rPr>
        <w:t>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本基金投资的受限证券限于可由中国证券登记结算有限责任公司或中央国债登记结算有限责任公司负责登记和存管，并可在证券交易所或全国银行间债券市场交易的证券。</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本基金投资的受限证券应保证登记存管在本基金名下，基金管理人负责相关工作的落实</w:t>
      </w:r>
      <w:r w:rsidRPr="008644BE">
        <w:rPr>
          <w:rFonts w:asciiTheme="minorEastAsia" w:eastAsiaTheme="minorEastAsia" w:hAnsiTheme="minorEastAsia" w:hint="eastAsia"/>
          <w:kern w:val="0"/>
          <w:szCs w:val="21"/>
        </w:rPr>
        <w:lastRenderedPageBreak/>
        <w:t>和协调。因基金管理人原因产生的受限证券登记存管问题，造成基金托管人无法安全保管本基金资产的责任与损失，及因基金管理人原因受限证券存管直接影响本基金安全的责任及损失，由基金管理人承担。</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本基金投资非公开发行证券，不得预付任何形式的保证金。</w:t>
      </w:r>
    </w:p>
    <w:p w:rsidR="009B6E94"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9B6E94" w:rsidRPr="008644BE">
        <w:rPr>
          <w:rFonts w:asciiTheme="minorEastAsia" w:eastAsiaTheme="minorEastAsia" w:hAnsiTheme="minorEastAsia" w:hint="eastAsia"/>
          <w:kern w:val="0"/>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基金合同的规定处理并承担相应责任。对本基金因投资受限证券导致的流动性风险且基金托管人已尽职监督核查的，基金托管人不承担任何责任。</w:t>
      </w:r>
    </w:p>
    <w:p w:rsidR="009B6E94"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w:t>
      </w:r>
      <w:r w:rsidR="009B6E94" w:rsidRPr="008644BE">
        <w:rPr>
          <w:rFonts w:asciiTheme="minorEastAsia" w:eastAsiaTheme="minorEastAsia" w:hAnsiTheme="minorEastAsia" w:hint="eastAsia"/>
          <w:kern w:val="0"/>
          <w:szCs w:val="21"/>
        </w:rPr>
        <w:t>本基金投资非公开发行股票，基金管理人应至少于投资前一个工作日向基金托管人提交有关书面资料，并保证向基金托管人提供的有关资料真实、准确、完整。有关资料如有调整，基金管理人应及时提供调整后的资料。上述书面资料包括但不限于：</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（1）中国证监会批准发行非公开发行股票的批准文件。</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（2）非公开发行股票有关发行数量、发行价格、锁定期等发行资料。</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（3）非公开发行股票发行人与中国证券登记结算有限责任公司或中央国债登记结算有限责任公司签订的证券登记及服务协议。</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（4）基金拟认购的数量、价格、总成本、账面价值。</w:t>
      </w:r>
    </w:p>
    <w:p w:rsidR="009B6E94"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w:t>
      </w:r>
      <w:r w:rsidR="009B6E94" w:rsidRPr="008644BE">
        <w:rPr>
          <w:rFonts w:asciiTheme="minorEastAsia" w:eastAsiaTheme="minorEastAsia" w:hAnsiTheme="minorEastAsia" w:hint="eastAsia"/>
          <w:kern w:val="0"/>
          <w:szCs w:val="21"/>
        </w:rPr>
        <w:t>基金管理人应在本基金投资非公开发行股票后两个交易日内，在中国证监会</w:t>
      </w:r>
      <w:r w:rsidR="00B02CB0" w:rsidRPr="008644BE">
        <w:rPr>
          <w:rFonts w:asciiTheme="minorEastAsia" w:eastAsiaTheme="minorEastAsia" w:hAnsiTheme="minorEastAsia" w:hint="eastAsia"/>
          <w:kern w:val="0"/>
          <w:szCs w:val="21"/>
        </w:rPr>
        <w:t>指定媒介</w:t>
      </w:r>
      <w:r w:rsidR="009B6E94" w:rsidRPr="008644BE">
        <w:rPr>
          <w:rFonts w:asciiTheme="minorEastAsia" w:eastAsiaTheme="minorEastAsia" w:hAnsiTheme="minorEastAsia" w:hint="eastAsia"/>
          <w:kern w:val="0"/>
          <w:szCs w:val="21"/>
        </w:rPr>
        <w:t>披露所投资非公开发行股票的名称、数量、总成本、账面价值，以及总成本和账面价值占基金资产净值的比例、锁定期等信息。</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本基金有关投资受限证券比例如违反有关限制规定，在合理期限内未能进行及时调整，基金管理人应在两日内编制临时报告书，予以公告。</w:t>
      </w:r>
    </w:p>
    <w:p w:rsidR="009B6E94"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5、</w:t>
      </w:r>
      <w:r w:rsidR="009B6E94" w:rsidRPr="008644BE">
        <w:rPr>
          <w:rFonts w:asciiTheme="minorEastAsia" w:eastAsiaTheme="minorEastAsia" w:hAnsiTheme="minorEastAsia" w:hint="eastAsia"/>
          <w:kern w:val="0"/>
          <w:szCs w:val="21"/>
        </w:rPr>
        <w:t>基金托管人根据有关规定有权对基金管理人进行以下事项监督：</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（1）本基金投资受限证券时的法律法规遵守情况。</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（2）在基金投资受限证券管理工作方面有关制度、流动性风险处置预案的建立与完善情况。</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（3）有关比例限制的执行情况。</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（4）信息披露情况。</w:t>
      </w:r>
    </w:p>
    <w:p w:rsidR="009B6E94"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6、</w:t>
      </w:r>
      <w:r w:rsidR="009B6E94" w:rsidRPr="008644BE">
        <w:rPr>
          <w:rFonts w:asciiTheme="minorEastAsia" w:eastAsiaTheme="minorEastAsia" w:hAnsiTheme="minorEastAsia" w:hint="eastAsia"/>
          <w:kern w:val="0"/>
          <w:szCs w:val="21"/>
        </w:rPr>
        <w:t>相关法律法规对基金投资受限证券有新规定的，从其规定。</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（六）基金托管人根据有关法律法规的规定及《基金合同》的约定，对基金资产净值计</w:t>
      </w:r>
      <w:r w:rsidRPr="008644BE">
        <w:rPr>
          <w:rFonts w:asciiTheme="minorEastAsia" w:eastAsiaTheme="minorEastAsia" w:hAnsiTheme="minorEastAsia" w:hint="eastAsia"/>
          <w:kern w:val="0"/>
          <w:szCs w:val="21"/>
        </w:rPr>
        <w:lastRenderedPageBreak/>
        <w:t>算、基金份额净值计算、应收资金到账、基金费用开支及收入确定、基金收益分配、相关信息披露、基金宣传推介材料中登载基金业绩表现数据等进行监督和核查。</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（九）若基金托管人发现基金管理人依据交易程序已经生效的指令违反法律、行政法规和其他有关规定，或者违反《基金合同》约定的，应当立即通知基金管理人，由此造成的损失由基金管理人承担。</w:t>
      </w:r>
    </w:p>
    <w:p w:rsidR="009B6E94" w:rsidRPr="008644BE" w:rsidRDefault="009B6E9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C049E" w:rsidRPr="008644BE" w:rsidRDefault="0009363C"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三、</w:t>
      </w:r>
      <w:r w:rsidR="00DE1D45" w:rsidRPr="008644BE">
        <w:rPr>
          <w:rFonts w:asciiTheme="minorEastAsia" w:eastAsiaTheme="minorEastAsia" w:hAnsiTheme="minorEastAsia" w:hint="eastAsia"/>
          <w:kern w:val="0"/>
          <w:szCs w:val="21"/>
        </w:rPr>
        <w:t>基金管理人对基金托管人的业务核查</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9363C" w:rsidRPr="008644BE" w:rsidRDefault="00DE1D45"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四、</w:t>
      </w:r>
      <w:r w:rsidR="0009363C" w:rsidRPr="008644BE">
        <w:rPr>
          <w:rFonts w:asciiTheme="minorEastAsia" w:eastAsiaTheme="minorEastAsia" w:hAnsiTheme="minorEastAsia" w:cs="Arial" w:hint="eastAsia"/>
          <w:szCs w:val="21"/>
        </w:rPr>
        <w:t>基金财产的保管</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（一）基金财产保管的原则</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FE486E" w:rsidRPr="008644BE">
        <w:rPr>
          <w:rFonts w:asciiTheme="minorEastAsia" w:eastAsiaTheme="minorEastAsia" w:hAnsiTheme="minorEastAsia" w:hint="eastAsia"/>
          <w:kern w:val="0"/>
          <w:szCs w:val="21"/>
        </w:rPr>
        <w:t>基金财产应独立于基金管理人、基金托管人的固有财产。</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FE486E" w:rsidRPr="008644BE">
        <w:rPr>
          <w:rFonts w:asciiTheme="minorEastAsia" w:eastAsiaTheme="minorEastAsia" w:hAnsiTheme="minorEastAsia" w:hint="eastAsia"/>
          <w:kern w:val="0"/>
          <w:szCs w:val="21"/>
        </w:rPr>
        <w:t>基金托管人应安全保管基金财产。</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w:t>
      </w:r>
      <w:r w:rsidR="00FE486E" w:rsidRPr="008644BE">
        <w:rPr>
          <w:rFonts w:asciiTheme="minorEastAsia" w:eastAsiaTheme="minorEastAsia" w:hAnsiTheme="minorEastAsia" w:hint="eastAsia"/>
          <w:kern w:val="0"/>
          <w:szCs w:val="21"/>
        </w:rPr>
        <w:t>基金托管人按照规定开设基金财产的资金账户和证券账户。</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w:t>
      </w:r>
      <w:r w:rsidR="00FE486E" w:rsidRPr="008644BE">
        <w:rPr>
          <w:rFonts w:asciiTheme="minorEastAsia" w:eastAsiaTheme="minorEastAsia" w:hAnsiTheme="minorEastAsia" w:hint="eastAsia"/>
          <w:kern w:val="0"/>
          <w:szCs w:val="21"/>
        </w:rPr>
        <w:t>基金托管人对所托管的不同基金财产分别设置账户，确保基金财产的完整与独立。</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5、</w:t>
      </w:r>
      <w:r w:rsidR="00FE486E" w:rsidRPr="008644BE">
        <w:rPr>
          <w:rFonts w:asciiTheme="minorEastAsia" w:eastAsiaTheme="minorEastAsia" w:hAnsiTheme="minorEastAsia" w:hint="eastAsia"/>
          <w:kern w:val="0"/>
          <w:szCs w:val="21"/>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6、</w:t>
      </w:r>
      <w:r w:rsidR="00FE486E" w:rsidRPr="008644BE">
        <w:rPr>
          <w:rFonts w:asciiTheme="minorEastAsia" w:eastAsiaTheme="minorEastAsia" w:hAnsiTheme="minorEastAsia" w:hint="eastAsia"/>
          <w:kern w:val="0"/>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7、</w:t>
      </w:r>
      <w:r w:rsidR="00FE486E" w:rsidRPr="008644BE">
        <w:rPr>
          <w:rFonts w:asciiTheme="minorEastAsia" w:eastAsiaTheme="minorEastAsia" w:hAnsiTheme="minorEastAsia" w:hint="eastAsia"/>
          <w:kern w:val="0"/>
          <w:szCs w:val="21"/>
        </w:rPr>
        <w:t>除依据法律法规和《基金合同》的规定外，基金托管人不得委托第三人托管基金财产。</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（二）基金募集期间及募集资金的验资</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FE486E" w:rsidRPr="008644BE">
        <w:rPr>
          <w:rFonts w:asciiTheme="minorEastAsia" w:eastAsiaTheme="minorEastAsia" w:hAnsiTheme="minorEastAsia" w:hint="eastAsia"/>
          <w:kern w:val="0"/>
          <w:szCs w:val="21"/>
        </w:rPr>
        <w:t>基金募集期间募集的资金应存于基金管理人开设的基金募集专户，在基金募集行为结束前，任何人不得动用。</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FE486E" w:rsidRPr="008644BE">
        <w:rPr>
          <w:rFonts w:asciiTheme="minorEastAsia" w:eastAsiaTheme="minorEastAsia" w:hAnsiTheme="minorEastAsia" w:hint="eastAsia"/>
          <w:kern w:val="0"/>
          <w:szCs w:val="21"/>
        </w:rPr>
        <w:t>基金募集期满或基金停止募集时，募集的基金份额总额、基金募集金额、基金份额持有人人数符合《基金法》、《运作办法》等有关规定后，基金管理人应将属于基金财产的全部资金划入基金托管人以本基金的名义开立的基金银行账户，由基金管理人同时在规定时间内，聘请具有从事证券相关业务资格的会计师事务所进行验资，出具验资报告，验资报告中需对基金募集的资金进行确认。出具的验资报告由参加验资的2名或2名以上中国注册会计师签字方为有效。</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w:t>
      </w:r>
      <w:r w:rsidR="00FE486E" w:rsidRPr="008644BE">
        <w:rPr>
          <w:rFonts w:asciiTheme="minorEastAsia" w:eastAsiaTheme="minorEastAsia" w:hAnsiTheme="minorEastAsia" w:hint="eastAsia"/>
          <w:kern w:val="0"/>
          <w:szCs w:val="21"/>
        </w:rPr>
        <w:t>若基金募集期限届满，未能达到《基金合同》生效的条件，由基金管理人按规定办理退款等事宜，基金托管人应提供必要协助。</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（三）基金银行账户的开立和管理</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FE486E" w:rsidRPr="008644BE">
        <w:rPr>
          <w:rFonts w:asciiTheme="minorEastAsia" w:eastAsiaTheme="minorEastAsia" w:hAnsiTheme="minorEastAsia" w:hint="eastAsia"/>
          <w:kern w:val="0"/>
          <w:szCs w:val="21"/>
        </w:rPr>
        <w:t>基金托管人应以本基金的名义在其营业机构开立基金的银行账户，并根据基金管理</w:t>
      </w:r>
      <w:r w:rsidR="00FE486E" w:rsidRPr="008644BE">
        <w:rPr>
          <w:rFonts w:asciiTheme="minorEastAsia" w:eastAsiaTheme="minorEastAsia" w:hAnsiTheme="minorEastAsia" w:hint="eastAsia"/>
          <w:kern w:val="0"/>
          <w:szCs w:val="21"/>
        </w:rPr>
        <w:lastRenderedPageBreak/>
        <w:t>人合法合规的指令办理资金收付。本基金的银行预留印鉴由基金托管人保管和使用。</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FE486E" w:rsidRPr="008644BE">
        <w:rPr>
          <w:rFonts w:asciiTheme="minorEastAsia" w:eastAsiaTheme="minorEastAsia" w:hAnsiTheme="minorEastAsia" w:hint="eastAsia"/>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w:t>
      </w:r>
      <w:r w:rsidR="00FE486E" w:rsidRPr="008644BE">
        <w:rPr>
          <w:rFonts w:asciiTheme="minorEastAsia" w:eastAsiaTheme="minorEastAsia" w:hAnsiTheme="minorEastAsia" w:hint="eastAsia"/>
          <w:kern w:val="0"/>
          <w:szCs w:val="21"/>
        </w:rPr>
        <w:t>基金银行账户的开立和管理应符合银行业监督管理机构的有关规定。</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w:t>
      </w:r>
      <w:r w:rsidR="00FE486E" w:rsidRPr="008644BE">
        <w:rPr>
          <w:rFonts w:asciiTheme="minorEastAsia" w:eastAsiaTheme="minorEastAsia" w:hAnsiTheme="minorEastAsia" w:hint="eastAsia"/>
          <w:kern w:val="0"/>
          <w:szCs w:val="21"/>
        </w:rPr>
        <w:t>在符合法律法规规定的条件下，基金托管人可以通过基金托管人专用账户办理基金资产的支付。</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（四）基金证券账户和结算备付金账户的开立和管理</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FE486E" w:rsidRPr="008644BE">
        <w:rPr>
          <w:rFonts w:asciiTheme="minorEastAsia" w:eastAsiaTheme="minorEastAsia" w:hAnsiTheme="minorEastAsia" w:hint="eastAsia"/>
          <w:kern w:val="0"/>
          <w:szCs w:val="21"/>
        </w:rPr>
        <w:t>基金托管人在中国证券登记结算有限责任公司上海分公司、深圳分公司为基金开立基金托管人与基金联名的证券账户。</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FE486E" w:rsidRPr="008644BE">
        <w:rPr>
          <w:rFonts w:asciiTheme="minorEastAsia" w:eastAsiaTheme="minorEastAsia" w:hAnsiTheme="minorEastAsia" w:hint="eastAsia"/>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w:t>
      </w:r>
      <w:r w:rsidR="00FE486E" w:rsidRPr="008644BE">
        <w:rPr>
          <w:rFonts w:asciiTheme="minorEastAsia" w:eastAsiaTheme="minorEastAsia" w:hAnsiTheme="minorEastAsia" w:hint="eastAsia"/>
          <w:kern w:val="0"/>
          <w:szCs w:val="21"/>
        </w:rPr>
        <w:t>基金证券账户的开立和证券账户卡的保管由基金托管人负责，账户资产的管理和运用由基金管理人负责。</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w:t>
      </w:r>
      <w:r w:rsidR="00FE486E" w:rsidRPr="008644BE">
        <w:rPr>
          <w:rFonts w:asciiTheme="minorEastAsia" w:eastAsiaTheme="minorEastAsia" w:hAnsiTheme="minorEastAsia" w:hint="eastAsia"/>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5、</w:t>
      </w:r>
      <w:r w:rsidR="00FE486E" w:rsidRPr="008644BE">
        <w:rPr>
          <w:rFonts w:asciiTheme="minorEastAsia" w:eastAsiaTheme="minorEastAsia" w:hAnsiTheme="minorEastAsia" w:hint="eastAsia"/>
          <w:kern w:val="0"/>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（五）债券托管专户的开设和管理</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（六）其他账户的开立和管理</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FE486E" w:rsidRPr="008644BE">
        <w:rPr>
          <w:rFonts w:asciiTheme="minorEastAsia" w:eastAsiaTheme="minorEastAsia" w:hAnsiTheme="minorEastAsia" w:hint="eastAsia"/>
          <w:kern w:val="0"/>
          <w:szCs w:val="21"/>
        </w:rPr>
        <w:t>因业务发展需要而开立的其他账户，可以根据法律法规和《基金合同》的规定，由基金托管人负责开立。新账户按有关规定使用并管理。</w:t>
      </w:r>
    </w:p>
    <w:p w:rsidR="00FE486E" w:rsidRPr="008644BE" w:rsidRDefault="00936084"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FE486E" w:rsidRPr="008644BE">
        <w:rPr>
          <w:rFonts w:asciiTheme="minorEastAsia" w:eastAsiaTheme="minorEastAsia" w:hAnsiTheme="minorEastAsia" w:hint="eastAsia"/>
          <w:kern w:val="0"/>
          <w:szCs w:val="21"/>
        </w:rPr>
        <w:t>法律法规等有关规定对相关账户的开立和管理另有规定的，从其规定办理。</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（七）基金财产投资的有关有价凭证等的保管</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基金财产投资的有关实物证券、银行定期存款证实书等有价凭证由基金托管人存放于基金托管人的保管库，也可存入中央国债登记结算有限责任公司、中国证券登记结算有限责任</w:t>
      </w:r>
      <w:r w:rsidRPr="008644BE">
        <w:rPr>
          <w:rFonts w:asciiTheme="minorEastAsia" w:eastAsiaTheme="minorEastAsia" w:hAnsiTheme="minorEastAsia" w:hint="eastAsia"/>
          <w:kern w:val="0"/>
          <w:szCs w:val="21"/>
        </w:rPr>
        <w:lastRenderedPageBreak/>
        <w:t>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FE486E" w:rsidRPr="008644BE" w:rsidRDefault="00FE486E" w:rsidP="00936084">
      <w:pPr>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（八）与基金财产有关的重大合同的保管</w:t>
      </w:r>
    </w:p>
    <w:p w:rsidR="00FE486E" w:rsidRPr="008644BE" w:rsidRDefault="00FE486E"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09363C" w:rsidRPr="008644BE" w:rsidRDefault="00DE1D45"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五</w:t>
      </w:r>
      <w:r w:rsidR="0009363C" w:rsidRPr="008644BE">
        <w:rPr>
          <w:rFonts w:asciiTheme="minorEastAsia" w:eastAsiaTheme="minorEastAsia" w:hAnsiTheme="minorEastAsia" w:cs="Arial" w:hint="eastAsia"/>
          <w:szCs w:val="21"/>
        </w:rPr>
        <w:t>、基金资产净值计算与复核</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（一）基金资产净值的计算、复核与完成的时间及程序</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6D5F6F" w:rsidRPr="008644BE">
        <w:rPr>
          <w:rFonts w:asciiTheme="minorEastAsia" w:eastAsiaTheme="minorEastAsia" w:hAnsiTheme="minorEastAsia" w:hint="eastAsia"/>
          <w:kern w:val="0"/>
          <w:szCs w:val="21"/>
        </w:rPr>
        <w:t>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每个交易日计算基金资产净值及基金份额净值，并按规定公告。</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6D5F6F" w:rsidRPr="008644BE">
        <w:rPr>
          <w:rFonts w:asciiTheme="minorEastAsia" w:eastAsiaTheme="minorEastAsia" w:hAnsiTheme="minorEastAsia" w:hint="eastAsia"/>
          <w:kern w:val="0"/>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（二）基金资产估值方法和特殊情形的处理</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6D5F6F" w:rsidRPr="008644BE">
        <w:rPr>
          <w:rFonts w:asciiTheme="minorEastAsia" w:eastAsiaTheme="minorEastAsia" w:hAnsiTheme="minorEastAsia" w:hint="eastAsia"/>
          <w:kern w:val="0"/>
          <w:szCs w:val="21"/>
        </w:rPr>
        <w:t>估值对象</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基金所拥有的股票、权证、债券和银行存款本息、应收款项、其它投资等资产。</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6D5F6F" w:rsidRPr="008644BE">
        <w:rPr>
          <w:rFonts w:asciiTheme="minorEastAsia" w:eastAsiaTheme="minorEastAsia" w:hAnsiTheme="minorEastAsia" w:hint="eastAsia"/>
          <w:kern w:val="0"/>
          <w:szCs w:val="21"/>
        </w:rPr>
        <w:t>估值方法</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（1）证券交易所上市的有价证券的估值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A5A0B" w:rsidRPr="008644BE">
        <w:rPr>
          <w:rFonts w:asciiTheme="minorEastAsia" w:eastAsiaTheme="minorEastAsia" w:hAnsiTheme="minorEastAsia" w:hint="eastAsia"/>
          <w:kern w:val="0"/>
          <w:szCs w:val="21"/>
        </w:rPr>
        <w:t>；</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lastRenderedPageBreak/>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4）交易所上市不存在活跃市场的有价证券，采用估值技术确定公允价值。交易所上市的资产支持证券，采用估值技术确定公允价值，在估值技术难以可靠计量公允价值的情况下，按成本估值。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（2）处于未上市期间的有价证券应区分如下情况处理：</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1）送股、转增股、配股和公开增发的新股，按估值日在证券交易所挂牌的同一股票的估值方法估值；该日无交易的，以最近一日的市价（收盘价）估值；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2）首次公开发行未上市的股票、债券和权证，采用估值技术确定公允价值，在估值技术难以可靠计量公允价值的情况下，按成本估值</w:t>
      </w:r>
      <w:r w:rsidR="0049267A" w:rsidRPr="008644BE">
        <w:rPr>
          <w:rFonts w:asciiTheme="minorEastAsia" w:eastAsiaTheme="minorEastAsia" w:hAnsiTheme="minorEastAsia" w:hint="eastAsia"/>
          <w:kern w:val="0"/>
          <w:szCs w:val="21"/>
        </w:rPr>
        <w:t>；</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3）首次公开发行有明确锁定期的股票，同一股票在交易所上市后，按交易所上市的同一股票的估值方法估值；非公开发行有明确锁定期的股票，按监管机构或行业协会有关规定确定公允价值。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（3）全国银行间债券市场交易的债券、资产支持证券等固定收益品种，采用估值技术确定公允价值。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（4）股指期货合约按照估值当日的结算价进行估值。估值当日无结算价，且最近交易日后经济环境未发生重大变化的，采用最近交易日结算价估值。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（5）同一债券同时在两个或两个以上市场交易的，按债券所处的市场分别估值。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（6）如有充足理由认为按上述方法进行估值不能客观反映其公允价值的，基金管理人可根据具体情况与基金托管人商定后，按最能反映公允价值的价格估值。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（7）相关法律法规以及监管部门有强制规定的，从其规定。如有新增事项，按国家最新规定估值。</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w:t>
      </w:r>
      <w:r w:rsidR="006D5F6F" w:rsidRPr="008644BE">
        <w:rPr>
          <w:rFonts w:asciiTheme="minorEastAsia" w:eastAsiaTheme="minorEastAsia" w:hAnsiTheme="minorEastAsia" w:hint="eastAsia"/>
          <w:kern w:val="0"/>
          <w:szCs w:val="21"/>
        </w:rPr>
        <w:t>特殊情形的处理</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基金管理人、基金托管人按估值方法的第(6)项进行估值时，所造成的误差不作为基金</w:t>
      </w:r>
      <w:r w:rsidRPr="008644BE">
        <w:rPr>
          <w:rFonts w:asciiTheme="minorEastAsia" w:eastAsiaTheme="minorEastAsia" w:hAnsiTheme="minorEastAsia" w:hint="eastAsia"/>
          <w:kern w:val="0"/>
          <w:szCs w:val="21"/>
        </w:rPr>
        <w:lastRenderedPageBreak/>
        <w:t>份额净值错误处理。</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（三）基金份额净值错误的处理方式</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6D5F6F" w:rsidRPr="008644BE">
        <w:rPr>
          <w:rFonts w:asciiTheme="minorEastAsia" w:eastAsiaTheme="minorEastAsia" w:hAnsiTheme="minorEastAsia" w:hint="eastAsia"/>
          <w:kern w:val="0"/>
          <w:szCs w:val="21"/>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6D5F6F" w:rsidRPr="008644BE">
        <w:rPr>
          <w:rFonts w:asciiTheme="minorEastAsia" w:eastAsiaTheme="minorEastAsia" w:hAnsiTheme="minorEastAsia" w:hint="eastAsia"/>
          <w:kern w:val="0"/>
          <w:szCs w:val="21"/>
        </w:rPr>
        <w:t>当因基金管理人和基金托管人原因基金份额净值计算差错给基金和基金份额持有人造成损失需要进行赔偿时，基金管理人和基金托管人应根据实际情况界定双方承担的责任，经确认后按以下条款进行赔偿：</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Pr="008644BE">
        <w:rPr>
          <w:rFonts w:asciiTheme="minorEastAsia" w:eastAsiaTheme="minorEastAsia" w:hAnsiTheme="minorEastAsia"/>
          <w:kern w:val="0"/>
          <w:szCs w:val="21"/>
        </w:rPr>
        <w:t>本基金的基金会计责任方由基金管理人担任</w:t>
      </w:r>
      <w:r w:rsidRPr="008644BE">
        <w:rPr>
          <w:rFonts w:asciiTheme="minorEastAsia" w:eastAsiaTheme="minorEastAsia" w:hAnsiTheme="minorEastAsia" w:hint="eastAsia"/>
          <w:kern w:val="0"/>
          <w:szCs w:val="21"/>
        </w:rPr>
        <w:t>，</w:t>
      </w:r>
      <w:r w:rsidRPr="008644BE">
        <w:rPr>
          <w:rFonts w:asciiTheme="minorEastAsia" w:eastAsiaTheme="minorEastAsia" w:hAnsiTheme="minorEastAsia"/>
          <w:kern w:val="0"/>
          <w:szCs w:val="21"/>
        </w:rPr>
        <w:t>与本基金有关的会计问题，如经双方在平等基础上充分讨论后，</w:t>
      </w:r>
      <w:r w:rsidRPr="008644BE">
        <w:rPr>
          <w:rFonts w:asciiTheme="minorEastAsia" w:eastAsiaTheme="minorEastAsia" w:hAnsiTheme="minorEastAsia" w:hint="eastAsia"/>
          <w:kern w:val="0"/>
          <w:szCs w:val="21"/>
        </w:rPr>
        <w:t>尚不能达成一致时，</w:t>
      </w:r>
      <w:r w:rsidRPr="008644BE">
        <w:rPr>
          <w:rFonts w:asciiTheme="minorEastAsia" w:eastAsiaTheme="minorEastAsia" w:hAnsiTheme="minorEastAsia"/>
          <w:kern w:val="0"/>
          <w:szCs w:val="21"/>
        </w:rPr>
        <w:t>按基金</w:t>
      </w:r>
      <w:r w:rsidRPr="008644BE">
        <w:rPr>
          <w:rFonts w:asciiTheme="minorEastAsia" w:eastAsiaTheme="minorEastAsia" w:hAnsiTheme="minorEastAsia" w:hint="eastAsia"/>
          <w:kern w:val="0"/>
          <w:szCs w:val="21"/>
        </w:rPr>
        <w:t>管理人</w:t>
      </w:r>
      <w:r w:rsidRPr="008644BE">
        <w:rPr>
          <w:rFonts w:asciiTheme="minorEastAsia" w:eastAsiaTheme="minorEastAsia" w:hAnsiTheme="minorEastAsia"/>
          <w:kern w:val="0"/>
          <w:szCs w:val="21"/>
        </w:rPr>
        <w:t>的建议执行</w:t>
      </w:r>
      <w:r w:rsidRPr="008644BE">
        <w:rPr>
          <w:rFonts w:asciiTheme="minorEastAsia" w:eastAsiaTheme="minorEastAsia" w:hAnsiTheme="minorEastAsia" w:hint="eastAsia"/>
          <w:kern w:val="0"/>
          <w:szCs w:val="21"/>
        </w:rPr>
        <w:t>，若基金托管人已提出合理意见而基金管理人未采纳的，由此给基金份额持有人和基金财产造成的直接损失，由基金管理人负责赔付。</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若基金管理人计算的基金份额净值已由基金托管人复核确认后公告，而且基金托管人未对计算过程提出疑义或要求基金管理人书面说明，基金份额净值出错且造成基金份额持有人直接损失的，应根据法律法规的规定对投资者或基金支付赔偿金，就实际向投资者或基金支付的赔偿金额，基金管理人与基金托管人按照管理费和托管费的比例各自承担相应的责任。</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直接损失，由基金管理人负责赔付。</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(4)由于基金管理人提供的信息错误（包括但不限于基金申购或赎回金额等），进而导致基金份额净值计算错误而引起的基金份额持有人和基金财产的损失，由基金管理人负责赔付。</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w:t>
      </w:r>
      <w:r w:rsidR="006D5F6F" w:rsidRPr="008644BE">
        <w:rPr>
          <w:rFonts w:asciiTheme="minorEastAsia" w:eastAsiaTheme="minorEastAsia" w:hAnsiTheme="minorEastAsia" w:hint="eastAsia"/>
          <w:kern w:val="0"/>
          <w:szCs w:val="21"/>
        </w:rPr>
        <w:t>由于证券交易所、登记结算公司、存款银行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4、</w:t>
      </w:r>
      <w:r w:rsidR="006D5F6F" w:rsidRPr="008644BE">
        <w:rPr>
          <w:rFonts w:asciiTheme="minorEastAsia" w:eastAsiaTheme="minorEastAsia" w:hAnsiTheme="minorEastAsia" w:hint="eastAsia"/>
          <w:kern w:val="0"/>
          <w:szCs w:val="21"/>
        </w:rPr>
        <w:t>基金管理人和基金托管人由于各自技术系统设置而产生的净值计算尾差，以基金管理人计算结果为准。</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5、</w:t>
      </w:r>
      <w:r w:rsidR="006D5F6F" w:rsidRPr="008644BE">
        <w:rPr>
          <w:rFonts w:asciiTheme="minorEastAsia" w:eastAsiaTheme="minorEastAsia" w:hAnsiTheme="minorEastAsia" w:hint="eastAsia"/>
          <w:kern w:val="0"/>
          <w:szCs w:val="21"/>
        </w:rPr>
        <w:t>前述内容如法律法规或者监管部门另有规定的，从其规定。如果行业另有通行做法，</w:t>
      </w:r>
      <w:r w:rsidR="006D5F6F" w:rsidRPr="008644BE">
        <w:rPr>
          <w:rFonts w:asciiTheme="minorEastAsia" w:eastAsiaTheme="minorEastAsia" w:hAnsiTheme="minorEastAsia" w:hint="eastAsia"/>
          <w:kern w:val="0"/>
          <w:szCs w:val="21"/>
        </w:rPr>
        <w:lastRenderedPageBreak/>
        <w:t>双方当事人应本着平等和保护基金份额持有人利益的原则进行协商。</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（四）暂停估值与公告基金份额净值的情形</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6D5F6F" w:rsidRPr="008644BE">
        <w:rPr>
          <w:rFonts w:asciiTheme="minorEastAsia" w:eastAsiaTheme="minorEastAsia" w:hAnsiTheme="minorEastAsia" w:hint="eastAsia"/>
          <w:kern w:val="0"/>
          <w:szCs w:val="21"/>
        </w:rPr>
        <w:t>基金投资所涉及的证券交易市场遇法定节假日或因其他原因暂停营业时；</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6D5F6F" w:rsidRPr="008644BE">
        <w:rPr>
          <w:rFonts w:asciiTheme="minorEastAsia" w:eastAsiaTheme="minorEastAsia" w:hAnsiTheme="minorEastAsia" w:hint="eastAsia"/>
          <w:kern w:val="0"/>
          <w:szCs w:val="21"/>
        </w:rPr>
        <w:t>因不可抗力致使基金管理人、基金托管人无法准确评估基金资产价值时；</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w:t>
      </w:r>
      <w:r w:rsidR="006D5F6F" w:rsidRPr="008644BE">
        <w:rPr>
          <w:rFonts w:asciiTheme="minorEastAsia" w:eastAsiaTheme="minorEastAsia" w:hAnsiTheme="minorEastAsia" w:hint="eastAsia"/>
          <w:kern w:val="0"/>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AE2A66" w:rsidRPr="008644BE" w:rsidRDefault="00C22BCD" w:rsidP="00B6083E">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kern w:val="0"/>
          <w:szCs w:val="21"/>
        </w:rPr>
        <w:t>4</w:t>
      </w:r>
      <w:r w:rsidR="003324D6" w:rsidRPr="008644BE">
        <w:rPr>
          <w:rFonts w:asciiTheme="minorEastAsia" w:eastAsiaTheme="minorEastAsia" w:hAnsiTheme="minorEastAsia" w:hint="eastAsia"/>
          <w:kern w:val="0"/>
          <w:szCs w:val="21"/>
        </w:rPr>
        <w:t>、</w:t>
      </w:r>
      <w:r w:rsidRPr="008644BE">
        <w:rPr>
          <w:rFonts w:asciiTheme="minorEastAsia" w:eastAsiaTheme="minorEastAsia" w:hAnsiTheme="minorEastAsia" w:hint="eastAsia"/>
          <w:kern w:val="0"/>
          <w:szCs w:val="21"/>
        </w:rPr>
        <w:t>当前一估值日基金资产净值</w:t>
      </w:r>
      <w:r w:rsidRPr="008644BE">
        <w:rPr>
          <w:rFonts w:asciiTheme="minorEastAsia" w:eastAsiaTheme="minorEastAsia" w:hAnsiTheme="minorEastAsia"/>
          <w:kern w:val="0"/>
          <w:szCs w:val="21"/>
        </w:rPr>
        <w:t>50%</w:t>
      </w:r>
      <w:r w:rsidRPr="008644BE">
        <w:rPr>
          <w:rFonts w:asciiTheme="minorEastAsia" w:eastAsiaTheme="minorEastAsia" w:hAnsiTheme="minorEastAsia" w:hint="eastAsia"/>
          <w:kern w:val="0"/>
          <w:szCs w:val="21"/>
        </w:rPr>
        <w:t>以上的资产出现无可参考的活跃市场价格且采用估值技术仍导致公允价值存在重大不确定性时，经与基金托管人协商一致的；</w:t>
      </w:r>
    </w:p>
    <w:p w:rsidR="00AE2A66" w:rsidRPr="008644BE" w:rsidRDefault="00C22BCD" w:rsidP="00B6083E">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kern w:val="0"/>
          <w:szCs w:val="21"/>
        </w:rPr>
        <w:t>5</w:t>
      </w:r>
      <w:r w:rsidR="00936084" w:rsidRPr="008644BE">
        <w:rPr>
          <w:rFonts w:asciiTheme="minorEastAsia" w:eastAsiaTheme="minorEastAsia" w:hAnsiTheme="minorEastAsia" w:hint="eastAsia"/>
          <w:kern w:val="0"/>
          <w:szCs w:val="21"/>
        </w:rPr>
        <w:t>、</w:t>
      </w:r>
      <w:r w:rsidR="006D5F6F" w:rsidRPr="008644BE">
        <w:rPr>
          <w:rFonts w:asciiTheme="minorEastAsia" w:eastAsiaTheme="minorEastAsia" w:hAnsiTheme="minorEastAsia" w:hint="eastAsia"/>
          <w:kern w:val="0"/>
          <w:szCs w:val="21"/>
        </w:rPr>
        <w:t>中国证监会和《基金合同》认定的其他情形。</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（五）基金会计制度</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按国家有关部门规定的会计制度执行。</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（六）基金账册的建立</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（七）基金财务报表与报告的编制和复核</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w:t>
      </w:r>
      <w:r w:rsidR="006D5F6F" w:rsidRPr="008644BE">
        <w:rPr>
          <w:rFonts w:asciiTheme="minorEastAsia" w:eastAsiaTheme="minorEastAsia" w:hAnsiTheme="minorEastAsia" w:hint="eastAsia"/>
          <w:kern w:val="0"/>
          <w:szCs w:val="21"/>
        </w:rPr>
        <w:t>财务报表的编制</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基金财务报表由基金管理人编制，基金托管人复核。</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w:t>
      </w:r>
      <w:r w:rsidR="006D5F6F" w:rsidRPr="008644BE">
        <w:rPr>
          <w:rFonts w:asciiTheme="minorEastAsia" w:eastAsiaTheme="minorEastAsia" w:hAnsiTheme="minorEastAsia" w:hint="eastAsia"/>
          <w:kern w:val="0"/>
          <w:szCs w:val="21"/>
        </w:rPr>
        <w:t>报表复核</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基金托管人在收到基金管理人编制的基金财务报表后，进行独立的复核。核对不符时，应及时通知基金管理人共同查出原因，进行调整，直至双方数据完全一致。</w:t>
      </w:r>
    </w:p>
    <w:p w:rsidR="006D5F6F" w:rsidRPr="008644BE" w:rsidRDefault="00936084"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3、</w:t>
      </w:r>
      <w:r w:rsidR="006D5F6F" w:rsidRPr="008644BE">
        <w:rPr>
          <w:rFonts w:asciiTheme="minorEastAsia" w:eastAsiaTheme="minorEastAsia" w:hAnsiTheme="minorEastAsia" w:hint="eastAsia"/>
          <w:kern w:val="0"/>
          <w:szCs w:val="21"/>
        </w:rPr>
        <w:t>财务报表的编制与复核时间安排</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(1)报表的编制</w:t>
      </w:r>
    </w:p>
    <w:p w:rsidR="006D5F6F" w:rsidRPr="008644BE" w:rsidRDefault="00CF795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(2)报表的复核</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lastRenderedPageBreak/>
        <w:t>基金管理人应留足充分的时间，便于基金托管人复核相关报表及报告。</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（八）</w:t>
      </w:r>
      <w:r w:rsidR="00D91765" w:rsidRPr="008644BE">
        <w:rPr>
          <w:rFonts w:asciiTheme="minorEastAsia" w:eastAsiaTheme="minorEastAsia" w:hAnsiTheme="minorEastAsia" w:hint="eastAsia"/>
          <w:kern w:val="0"/>
          <w:szCs w:val="21"/>
        </w:rPr>
        <w:t>基金管理人应在编制季度报告、中期报告或者年度报告之前及时向基金托管人提供基金业绩比较基准的基础数据和编制结果。</w:t>
      </w:r>
    </w:p>
    <w:p w:rsidR="0009363C" w:rsidRPr="008644BE" w:rsidRDefault="00DE1D45"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六</w:t>
      </w:r>
      <w:r w:rsidR="0009363C" w:rsidRPr="008644BE">
        <w:rPr>
          <w:rFonts w:asciiTheme="minorEastAsia" w:eastAsiaTheme="minorEastAsia" w:hAnsiTheme="minorEastAsia" w:cs="Arial" w:hint="eastAsia"/>
          <w:szCs w:val="21"/>
        </w:rPr>
        <w:t>、基金份额持有人名册的登记与保管</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FE081C" w:rsidRPr="008644BE">
        <w:rPr>
          <w:rFonts w:asciiTheme="minorEastAsia" w:eastAsiaTheme="minorEastAsia" w:hAnsiTheme="minorEastAsia" w:hint="eastAsia"/>
          <w:kern w:val="0"/>
          <w:szCs w:val="21"/>
        </w:rPr>
        <w:t>20</w:t>
      </w:r>
      <w:r w:rsidRPr="008644BE">
        <w:rPr>
          <w:rFonts w:asciiTheme="minorEastAsia" w:eastAsiaTheme="minorEastAsia" w:hAnsiTheme="minorEastAsia" w:hint="eastAsia"/>
          <w:kern w:val="0"/>
          <w:szCs w:val="21"/>
        </w:rPr>
        <w:t>年。如不能妥善保管，则按相关法规承担责任。</w:t>
      </w:r>
    </w:p>
    <w:p w:rsidR="006D5F6F" w:rsidRPr="008644BE" w:rsidRDefault="00D91765" w:rsidP="00936084">
      <w:pPr>
        <w:adjustRightInd w:val="0"/>
        <w:snapToGrid w:val="0"/>
        <w:spacing w:line="360" w:lineRule="auto"/>
        <w:ind w:firstLineChars="200" w:firstLine="420"/>
        <w:rPr>
          <w:rFonts w:asciiTheme="minorEastAsia" w:eastAsiaTheme="minorEastAsia" w:hAnsiTheme="minorEastAsia"/>
          <w:kern w:val="0"/>
          <w:szCs w:val="21"/>
        </w:rPr>
      </w:pPr>
      <w:r w:rsidRPr="008644BE">
        <w:rPr>
          <w:rFonts w:asciiTheme="minorEastAsia" w:eastAsiaTheme="minorEastAsia" w:hAnsiTheme="minorEastAsia" w:hint="eastAsia"/>
          <w:kern w:val="0"/>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09363C" w:rsidRPr="008644BE" w:rsidRDefault="00DE1D45"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七</w:t>
      </w:r>
      <w:r w:rsidR="0009363C" w:rsidRPr="008644BE">
        <w:rPr>
          <w:rFonts w:asciiTheme="minorEastAsia" w:eastAsiaTheme="minorEastAsia" w:hAnsiTheme="minorEastAsia" w:cs="Arial" w:hint="eastAsia"/>
          <w:szCs w:val="21"/>
        </w:rPr>
        <w:t>、争议解决方式</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rsidR="006D5F6F" w:rsidRPr="008644BE" w:rsidRDefault="006D5F6F"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本协议受中国法律管辖。</w:t>
      </w:r>
    </w:p>
    <w:p w:rsidR="00F3517A" w:rsidRPr="008644BE" w:rsidRDefault="00DE1D45"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八</w:t>
      </w:r>
      <w:r w:rsidR="0009363C" w:rsidRPr="008644BE">
        <w:rPr>
          <w:rFonts w:asciiTheme="minorEastAsia" w:eastAsiaTheme="minorEastAsia" w:hAnsiTheme="minorEastAsia" w:cs="Arial" w:hint="eastAsia"/>
          <w:szCs w:val="21"/>
        </w:rPr>
        <w:t>、托管协议的修改与终止</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（一）托管协议的变更程序</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本协议双方当事人经协商一致，可以对协议进行修改。修改后的新协议，其内容不得与《基金合同》的规定有任何冲突。</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（二）基金托管协议终止出现的情形</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1、</w:t>
      </w:r>
      <w:r w:rsidR="001B3887" w:rsidRPr="008644BE">
        <w:rPr>
          <w:rFonts w:asciiTheme="minorEastAsia" w:eastAsiaTheme="minorEastAsia" w:hAnsiTheme="minorEastAsia" w:cs="Arial" w:hint="eastAsia"/>
          <w:szCs w:val="21"/>
        </w:rPr>
        <w:t>《基金合同》终止；</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2、</w:t>
      </w:r>
      <w:r w:rsidR="001B3887" w:rsidRPr="008644BE">
        <w:rPr>
          <w:rFonts w:asciiTheme="minorEastAsia" w:eastAsiaTheme="minorEastAsia" w:hAnsiTheme="minorEastAsia" w:cs="Arial" w:hint="eastAsia"/>
          <w:szCs w:val="21"/>
        </w:rPr>
        <w:t>基金托管人解散、依法被撤销、破产或由其他基金托管人接管基金资产；</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3、</w:t>
      </w:r>
      <w:r w:rsidR="001B3887" w:rsidRPr="008644BE">
        <w:rPr>
          <w:rFonts w:asciiTheme="minorEastAsia" w:eastAsiaTheme="minorEastAsia" w:hAnsiTheme="minorEastAsia" w:cs="Arial" w:hint="eastAsia"/>
          <w:szCs w:val="21"/>
        </w:rPr>
        <w:t>基金管理人解散、依法被撤销、破产或由其他基金管理人接管基金管理权；</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4、</w:t>
      </w:r>
      <w:r w:rsidR="001B3887" w:rsidRPr="008644BE">
        <w:rPr>
          <w:rFonts w:asciiTheme="minorEastAsia" w:eastAsiaTheme="minorEastAsia" w:hAnsiTheme="minorEastAsia" w:cs="Arial" w:hint="eastAsia"/>
          <w:szCs w:val="21"/>
        </w:rPr>
        <w:t>发生法律法规或《基金合同》规定的终止事项。</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（三）基金财产的清算</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1、</w:t>
      </w:r>
      <w:r w:rsidR="001B3887" w:rsidRPr="008644BE">
        <w:rPr>
          <w:rFonts w:asciiTheme="minorEastAsia" w:eastAsiaTheme="minorEastAsia" w:hAnsiTheme="minorEastAsia" w:cs="Arial" w:hint="eastAsia"/>
          <w:szCs w:val="21"/>
        </w:rPr>
        <w:t>基金财产清算小组：自出现《基金合同》终止事由之日起30个工作日内成立清算小组，基金管理人组织基金财产清算小组并在中国证监会的监督下进行基金清算。</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2、</w:t>
      </w:r>
      <w:r w:rsidR="001B3887" w:rsidRPr="008644BE">
        <w:rPr>
          <w:rFonts w:asciiTheme="minorEastAsia" w:eastAsiaTheme="minorEastAsia" w:hAnsiTheme="minorEastAsia" w:cs="Arial"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lastRenderedPageBreak/>
        <w:t>3、</w:t>
      </w:r>
      <w:r w:rsidR="001B3887" w:rsidRPr="008644BE">
        <w:rPr>
          <w:rFonts w:asciiTheme="minorEastAsia" w:eastAsiaTheme="minorEastAsia" w:hAnsiTheme="minorEastAsia" w:cs="Arial" w:hint="eastAsia"/>
          <w:szCs w:val="21"/>
        </w:rPr>
        <w:t>基金财产清算小组职责：基金财产清算小组负责基金财产的保管、清理、估价、变现和分配。基金财产清算小组可以依法进行必要的民事活动。</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4、</w:t>
      </w:r>
      <w:r w:rsidR="001B3887" w:rsidRPr="008644BE">
        <w:rPr>
          <w:rFonts w:asciiTheme="minorEastAsia" w:eastAsiaTheme="minorEastAsia" w:hAnsiTheme="minorEastAsia" w:cs="Arial" w:hint="eastAsia"/>
          <w:szCs w:val="21"/>
        </w:rPr>
        <w:t>基金财产清算程序：</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(1)《基金合同》终止情形出现时，由基金财产清算小组统一接管基金；</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(2)对基金财产和债权债务进行清理和确认；</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(3)对基金财产进行估值和变现；</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(4)制作清算报告；</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(5)</w:t>
      </w:r>
      <w:r w:rsidRPr="008644BE">
        <w:rPr>
          <w:rFonts w:asciiTheme="minorEastAsia" w:eastAsiaTheme="minorEastAsia" w:hAnsiTheme="minorEastAsia" w:cs="Arial"/>
          <w:szCs w:val="21"/>
        </w:rPr>
        <w:t>聘请会计师事务所对清算报告进行</w:t>
      </w:r>
      <w:r w:rsidRPr="008644BE">
        <w:rPr>
          <w:rFonts w:asciiTheme="minorEastAsia" w:eastAsiaTheme="minorEastAsia" w:hAnsiTheme="minorEastAsia" w:cs="Arial" w:hint="eastAsia"/>
          <w:szCs w:val="21"/>
        </w:rPr>
        <w:t>外部</w:t>
      </w:r>
      <w:r w:rsidRPr="008644BE">
        <w:rPr>
          <w:rFonts w:asciiTheme="minorEastAsia" w:eastAsiaTheme="minorEastAsia" w:hAnsiTheme="minorEastAsia" w:cs="Arial"/>
          <w:szCs w:val="21"/>
        </w:rPr>
        <w:t>审计</w:t>
      </w:r>
      <w:r w:rsidRPr="008644BE">
        <w:rPr>
          <w:rFonts w:asciiTheme="minorEastAsia" w:eastAsiaTheme="minorEastAsia" w:hAnsiTheme="minorEastAsia" w:cs="Arial" w:hint="eastAsia"/>
          <w:szCs w:val="21"/>
        </w:rPr>
        <w:t>，</w:t>
      </w:r>
      <w:r w:rsidRPr="008644BE">
        <w:rPr>
          <w:rFonts w:asciiTheme="minorEastAsia" w:eastAsiaTheme="minorEastAsia" w:hAnsiTheme="minorEastAsia" w:cs="Arial"/>
          <w:szCs w:val="21"/>
        </w:rPr>
        <w:t>聘请律师事务所</w:t>
      </w:r>
      <w:r w:rsidRPr="008644BE">
        <w:rPr>
          <w:rFonts w:asciiTheme="minorEastAsia" w:eastAsiaTheme="minorEastAsia" w:hAnsiTheme="minorEastAsia" w:cs="Arial" w:hint="eastAsia"/>
          <w:szCs w:val="21"/>
        </w:rPr>
        <w:t>对清算报告</w:t>
      </w:r>
      <w:r w:rsidRPr="008644BE">
        <w:rPr>
          <w:rFonts w:asciiTheme="minorEastAsia" w:eastAsiaTheme="minorEastAsia" w:hAnsiTheme="minorEastAsia" w:cs="Arial"/>
          <w:szCs w:val="21"/>
        </w:rPr>
        <w:t>出具法律意见书</w:t>
      </w:r>
      <w:r w:rsidRPr="008644BE">
        <w:rPr>
          <w:rFonts w:asciiTheme="minorEastAsia" w:eastAsiaTheme="minorEastAsia" w:hAnsiTheme="minorEastAsia" w:cs="Arial" w:hint="eastAsia"/>
          <w:szCs w:val="21"/>
        </w:rPr>
        <w:t>；</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(6)将清算结果报中国证监会备案并公告；</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(7)对基金财产进行分配。</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5、</w:t>
      </w:r>
      <w:r w:rsidR="001B3887" w:rsidRPr="008644BE">
        <w:rPr>
          <w:rFonts w:asciiTheme="minorEastAsia" w:eastAsiaTheme="minorEastAsia" w:hAnsiTheme="minorEastAsia" w:cs="Arial" w:hint="eastAsia"/>
          <w:szCs w:val="21"/>
        </w:rPr>
        <w:t>清算费用</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清算费用是指基金财产清算小组在进行基金清算过程中发生的所有合理费用，清算费用由基金财产清算小组优先从基金财产中支付。</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6、</w:t>
      </w:r>
      <w:r w:rsidR="001B3887" w:rsidRPr="008644BE">
        <w:rPr>
          <w:rFonts w:asciiTheme="minorEastAsia" w:eastAsiaTheme="minorEastAsia" w:hAnsiTheme="minorEastAsia" w:cs="Arial" w:hint="eastAsia"/>
          <w:szCs w:val="21"/>
        </w:rPr>
        <w:t>基金财产清算剩余资产的分配：</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szCs w:val="21"/>
        </w:rPr>
        <w:t>依据基金财产清算的分配方案，将基金财产清算后的全部剩余资产扣除基金财产清算费用、交纳所欠税款并清偿基金债务后，按基金份额持有人持有的基金份额比例进行分配。</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7、</w:t>
      </w:r>
      <w:r w:rsidR="001B3887" w:rsidRPr="008644BE">
        <w:rPr>
          <w:rFonts w:asciiTheme="minorEastAsia" w:eastAsiaTheme="minorEastAsia" w:hAnsiTheme="minorEastAsia" w:cs="Arial" w:hint="eastAsia"/>
          <w:szCs w:val="21"/>
        </w:rPr>
        <w:t>基金财产清算的公告</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清算过程中的有关重大事项须及时公告；基金财产清算报告经会计师事务所审计、并由律师事务所出具法律意见书后，报中国证监会备案并公告。</w:t>
      </w:r>
      <w:r w:rsidRPr="008644BE">
        <w:rPr>
          <w:rFonts w:asciiTheme="minorEastAsia" w:eastAsiaTheme="minorEastAsia" w:hAnsiTheme="minorEastAsia" w:cs="Arial"/>
          <w:szCs w:val="21"/>
        </w:rPr>
        <w:t>基金财产清算公告于基金财产清算报告报中国证监会备案后</w:t>
      </w:r>
      <w:r w:rsidRPr="008644BE">
        <w:rPr>
          <w:rFonts w:asciiTheme="minorEastAsia" w:eastAsiaTheme="minorEastAsia" w:hAnsiTheme="minorEastAsia" w:cs="Arial" w:hint="eastAsia"/>
          <w:szCs w:val="21"/>
        </w:rPr>
        <w:t>5</w:t>
      </w:r>
      <w:r w:rsidRPr="008644BE">
        <w:rPr>
          <w:rFonts w:asciiTheme="minorEastAsia" w:eastAsiaTheme="minorEastAsia" w:hAnsiTheme="minorEastAsia" w:cs="Arial"/>
          <w:szCs w:val="21"/>
        </w:rPr>
        <w:t>个工作日内由基金财产清算小组进行公告。</w:t>
      </w:r>
    </w:p>
    <w:p w:rsidR="001B3887" w:rsidRPr="008644BE" w:rsidRDefault="00936084"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8、</w:t>
      </w:r>
      <w:r w:rsidR="001B3887" w:rsidRPr="008644BE">
        <w:rPr>
          <w:rFonts w:asciiTheme="minorEastAsia" w:eastAsiaTheme="minorEastAsia" w:hAnsiTheme="minorEastAsia" w:cs="Arial" w:hint="eastAsia"/>
          <w:szCs w:val="21"/>
        </w:rPr>
        <w:t>基金财产清算账册及文件的保存</w:t>
      </w:r>
    </w:p>
    <w:p w:rsidR="001B3887" w:rsidRPr="008644BE" w:rsidRDefault="001B3887" w:rsidP="00936084">
      <w:pPr>
        <w:adjustRightInd w:val="0"/>
        <w:snapToGrid w:val="0"/>
        <w:spacing w:line="360" w:lineRule="auto"/>
        <w:ind w:firstLineChars="200" w:firstLine="420"/>
        <w:rPr>
          <w:rFonts w:asciiTheme="minorEastAsia" w:eastAsiaTheme="minorEastAsia" w:hAnsiTheme="minorEastAsia" w:cs="Arial"/>
          <w:szCs w:val="21"/>
        </w:rPr>
      </w:pPr>
      <w:r w:rsidRPr="008644BE">
        <w:rPr>
          <w:rFonts w:asciiTheme="minorEastAsia" w:eastAsiaTheme="minorEastAsia" w:hAnsiTheme="minorEastAsia" w:cs="Arial" w:hint="eastAsia"/>
          <w:szCs w:val="21"/>
        </w:rPr>
        <w:t>基金财产清算账册及有关文件由基金托管人保存</w:t>
      </w:r>
      <w:r w:rsidRPr="008644BE">
        <w:rPr>
          <w:rFonts w:asciiTheme="minorEastAsia" w:eastAsiaTheme="minorEastAsia" w:hAnsiTheme="minorEastAsia" w:cs="Arial"/>
          <w:szCs w:val="21"/>
        </w:rPr>
        <w:t>15</w:t>
      </w:r>
      <w:r w:rsidRPr="008644BE">
        <w:rPr>
          <w:rFonts w:asciiTheme="minorEastAsia" w:eastAsiaTheme="minorEastAsia" w:hAnsiTheme="minorEastAsia" w:cs="Arial" w:hint="eastAsia"/>
          <w:szCs w:val="21"/>
        </w:rPr>
        <w:t>年以上。</w:t>
      </w:r>
    </w:p>
    <w:p w:rsidR="00BA4B87" w:rsidRPr="008644BE" w:rsidRDefault="004C1D62" w:rsidP="00936084">
      <w:pPr>
        <w:pStyle w:val="1"/>
        <w:pageBreakBefore/>
        <w:snapToGrid w:val="0"/>
        <w:spacing w:beforeLines="0" w:afterLines="0" w:line="360" w:lineRule="auto"/>
        <w:ind w:firstLine="600"/>
        <w:rPr>
          <w:rFonts w:asciiTheme="minorEastAsia" w:eastAsiaTheme="minorEastAsia" w:hAnsiTheme="minorEastAsia"/>
          <w:bCs/>
        </w:rPr>
      </w:pPr>
      <w:bookmarkStart w:id="120" w:name="_Toc49269648"/>
      <w:bookmarkStart w:id="121" w:name="_Toc332373591"/>
      <w:r w:rsidRPr="008644BE">
        <w:rPr>
          <w:rFonts w:asciiTheme="minorEastAsia" w:eastAsiaTheme="minorEastAsia" w:hAnsiTheme="minorEastAsia" w:hint="eastAsia"/>
          <w:sz w:val="30"/>
        </w:rPr>
        <w:lastRenderedPageBreak/>
        <w:t>二十三</w:t>
      </w:r>
      <w:r w:rsidR="00BA4B87" w:rsidRPr="008644BE">
        <w:rPr>
          <w:rFonts w:asciiTheme="minorEastAsia" w:eastAsiaTheme="minorEastAsia" w:hAnsiTheme="minorEastAsia" w:hint="eastAsia"/>
          <w:sz w:val="30"/>
        </w:rPr>
        <w:t>、对基金份额持有人的服务</w:t>
      </w:r>
      <w:bookmarkEnd w:id="120"/>
    </w:p>
    <w:bookmarkEnd w:id="121"/>
    <w:p w:rsidR="002A1A17" w:rsidRPr="008644BE" w:rsidRDefault="002A1A17"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2A1A17" w:rsidRPr="008644BE" w:rsidRDefault="002E1C38"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w:t>
      </w:r>
      <w:r w:rsidR="002A1A17" w:rsidRPr="008644BE">
        <w:rPr>
          <w:rFonts w:asciiTheme="minorEastAsia" w:eastAsiaTheme="minorEastAsia" w:hAnsiTheme="minorEastAsia" w:hint="eastAsia"/>
        </w:rPr>
        <w:t>一</w:t>
      </w:r>
      <w:r w:rsidRPr="008644BE">
        <w:rPr>
          <w:rFonts w:asciiTheme="minorEastAsia" w:eastAsiaTheme="minorEastAsia" w:hAnsiTheme="minorEastAsia" w:hint="eastAsia"/>
        </w:rPr>
        <w:t>）</w:t>
      </w:r>
      <w:r w:rsidR="002A1A17" w:rsidRPr="008644BE">
        <w:rPr>
          <w:rFonts w:asciiTheme="minorEastAsia" w:eastAsiaTheme="minorEastAsia" w:hAnsiTheme="minorEastAsia" w:hint="eastAsia"/>
        </w:rPr>
        <w:t>基金份额持有人投资交易确认服务</w:t>
      </w:r>
    </w:p>
    <w:p w:rsidR="00B377F1" w:rsidRPr="008644BE" w:rsidRDefault="002A1A17"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基金</w:t>
      </w:r>
      <w:r w:rsidR="006F2DCE" w:rsidRPr="008644BE">
        <w:rPr>
          <w:rFonts w:asciiTheme="minorEastAsia" w:eastAsiaTheme="minorEastAsia" w:hAnsiTheme="minorEastAsia" w:hint="eastAsia"/>
        </w:rPr>
        <w:t>登记机构</w:t>
      </w:r>
      <w:r w:rsidRPr="008644BE">
        <w:rPr>
          <w:rFonts w:asciiTheme="minorEastAsia" w:eastAsiaTheme="minorEastAsia" w:hAnsiTheme="minorEastAsia" w:hint="eastAsia"/>
        </w:rPr>
        <w:t>保留基金份额持有人名册上列明的所有基金份额持有人的基金交易记录。</w:t>
      </w:r>
    </w:p>
    <w:p w:rsidR="002A1A17" w:rsidRPr="008644BE" w:rsidRDefault="002A1A17"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基金管理人</w:t>
      </w:r>
      <w:r w:rsidR="00A26107" w:rsidRPr="008644BE">
        <w:rPr>
          <w:rFonts w:asciiTheme="minorEastAsia" w:eastAsiaTheme="minorEastAsia" w:hAnsiTheme="minorEastAsia" w:hint="eastAsia"/>
        </w:rPr>
        <w:t>直销网点</w:t>
      </w:r>
      <w:r w:rsidRPr="008644BE">
        <w:rPr>
          <w:rFonts w:asciiTheme="minorEastAsia" w:eastAsiaTheme="minorEastAsia" w:hAnsiTheme="minorEastAsia" w:hint="eastAsia"/>
        </w:rPr>
        <w:t>应根据在基金管理人</w:t>
      </w:r>
      <w:r w:rsidR="00A26107" w:rsidRPr="008644BE">
        <w:rPr>
          <w:rFonts w:asciiTheme="minorEastAsia" w:eastAsiaTheme="minorEastAsia" w:hAnsiTheme="minorEastAsia" w:hint="eastAsia"/>
        </w:rPr>
        <w:t>直销网点</w:t>
      </w:r>
      <w:r w:rsidRPr="008644BE">
        <w:rPr>
          <w:rFonts w:asciiTheme="minorEastAsia" w:eastAsiaTheme="minorEastAsia" w:hAnsiTheme="minorEastAsia" w:hint="eastAsia"/>
        </w:rPr>
        <w:t>进行交易的投资者的要求</w:t>
      </w:r>
      <w:r w:rsidR="000064C6" w:rsidRPr="008644BE">
        <w:rPr>
          <w:rFonts w:asciiTheme="minorEastAsia" w:eastAsiaTheme="minorEastAsia" w:hAnsiTheme="minorEastAsia" w:hint="eastAsia"/>
        </w:rPr>
        <w:t>提供</w:t>
      </w:r>
      <w:r w:rsidRPr="008644BE">
        <w:rPr>
          <w:rFonts w:asciiTheme="minorEastAsia" w:eastAsiaTheme="minorEastAsia" w:hAnsiTheme="minorEastAsia" w:hint="eastAsia"/>
        </w:rPr>
        <w:t>成交确认单。</w:t>
      </w:r>
      <w:r w:rsidR="00F35431" w:rsidRPr="008644BE">
        <w:rPr>
          <w:rFonts w:asciiTheme="minorEastAsia" w:eastAsiaTheme="minorEastAsia" w:hAnsiTheme="minorEastAsia" w:hint="eastAsia"/>
        </w:rPr>
        <w:t>非直销销售机构</w:t>
      </w:r>
      <w:r w:rsidRPr="008644BE">
        <w:rPr>
          <w:rFonts w:asciiTheme="minorEastAsia" w:eastAsiaTheme="minorEastAsia" w:hAnsiTheme="minorEastAsia" w:hint="eastAsia"/>
        </w:rPr>
        <w:t>应根据在</w:t>
      </w:r>
      <w:r w:rsidR="00546B7B" w:rsidRPr="008644BE">
        <w:rPr>
          <w:rFonts w:asciiTheme="minorEastAsia" w:eastAsiaTheme="minorEastAsia" w:hAnsiTheme="minorEastAsia" w:hint="eastAsia"/>
        </w:rPr>
        <w:t>其</w:t>
      </w:r>
      <w:r w:rsidR="00FF5DDA" w:rsidRPr="008644BE">
        <w:rPr>
          <w:rFonts w:asciiTheme="minorEastAsia" w:eastAsiaTheme="minorEastAsia" w:hAnsiTheme="minorEastAsia" w:hint="eastAsia"/>
        </w:rPr>
        <w:t>销售</w:t>
      </w:r>
      <w:r w:rsidRPr="008644BE">
        <w:rPr>
          <w:rFonts w:asciiTheme="minorEastAsia" w:eastAsiaTheme="minorEastAsia" w:hAnsiTheme="minorEastAsia" w:hint="eastAsia"/>
        </w:rPr>
        <w:t>网点进行交易的投资者的要求</w:t>
      </w:r>
      <w:r w:rsidR="000064C6" w:rsidRPr="008644BE">
        <w:rPr>
          <w:rFonts w:asciiTheme="minorEastAsia" w:eastAsiaTheme="minorEastAsia" w:hAnsiTheme="minorEastAsia" w:hint="eastAsia"/>
        </w:rPr>
        <w:t>提供</w:t>
      </w:r>
      <w:r w:rsidRPr="008644BE">
        <w:rPr>
          <w:rFonts w:asciiTheme="minorEastAsia" w:eastAsiaTheme="minorEastAsia" w:hAnsiTheme="minorEastAsia" w:hint="eastAsia"/>
        </w:rPr>
        <w:t>成交确认单。</w:t>
      </w:r>
    </w:p>
    <w:p w:rsidR="002A1A17" w:rsidRPr="008644BE" w:rsidRDefault="002E1C38"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w:t>
      </w:r>
      <w:r w:rsidR="002A1A17" w:rsidRPr="008644BE">
        <w:rPr>
          <w:rFonts w:asciiTheme="minorEastAsia" w:eastAsiaTheme="minorEastAsia" w:hAnsiTheme="minorEastAsia" w:hint="eastAsia"/>
        </w:rPr>
        <w:t>二</w:t>
      </w:r>
      <w:r w:rsidRPr="008644BE">
        <w:rPr>
          <w:rFonts w:asciiTheme="minorEastAsia" w:eastAsiaTheme="minorEastAsia" w:hAnsiTheme="minorEastAsia" w:hint="eastAsia"/>
        </w:rPr>
        <w:t>）</w:t>
      </w:r>
      <w:r w:rsidR="002A1A17" w:rsidRPr="008644BE">
        <w:rPr>
          <w:rFonts w:asciiTheme="minorEastAsia" w:eastAsiaTheme="minorEastAsia" w:hAnsiTheme="minorEastAsia" w:hint="eastAsia"/>
        </w:rPr>
        <w:t>基金份额持有人交易记录查询服务</w:t>
      </w:r>
    </w:p>
    <w:p w:rsidR="002A1A17" w:rsidRPr="008644BE" w:rsidRDefault="002A1A17"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本基金份额持有人可通过基金管理人的客户服务中心查询历史交易记录。</w:t>
      </w:r>
    </w:p>
    <w:p w:rsidR="002A1A17" w:rsidRPr="008644BE" w:rsidRDefault="002E1C38"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w:t>
      </w:r>
      <w:r w:rsidR="002A1A17" w:rsidRPr="008644BE">
        <w:rPr>
          <w:rFonts w:asciiTheme="minorEastAsia" w:eastAsiaTheme="minorEastAsia" w:hAnsiTheme="minorEastAsia" w:hint="eastAsia"/>
        </w:rPr>
        <w:t>三</w:t>
      </w:r>
      <w:r w:rsidRPr="008644BE">
        <w:rPr>
          <w:rFonts w:asciiTheme="minorEastAsia" w:eastAsiaTheme="minorEastAsia" w:hAnsiTheme="minorEastAsia" w:hint="eastAsia"/>
        </w:rPr>
        <w:t>）</w:t>
      </w:r>
      <w:r w:rsidR="002A1A17" w:rsidRPr="008644BE">
        <w:rPr>
          <w:rFonts w:asciiTheme="minorEastAsia" w:eastAsiaTheme="minorEastAsia" w:hAnsiTheme="minorEastAsia" w:hint="eastAsia"/>
        </w:rPr>
        <w:t>基金份额持有人的对账单服务</w:t>
      </w:r>
    </w:p>
    <w:p w:rsidR="002A1A17" w:rsidRPr="008644BE" w:rsidRDefault="002A1A17"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1、基金份额持有人可登录本公司网站</w:t>
      </w:r>
      <w:r w:rsidR="002E1C38" w:rsidRPr="008644BE">
        <w:rPr>
          <w:rFonts w:asciiTheme="minorEastAsia" w:eastAsiaTheme="minorEastAsia" w:hAnsiTheme="minorEastAsia" w:hint="eastAsia"/>
          <w:kern w:val="0"/>
          <w:szCs w:val="21"/>
        </w:rPr>
        <w:t>（</w:t>
      </w:r>
      <w:r w:rsidR="00D757B2" w:rsidRPr="008644BE">
        <w:rPr>
          <w:rFonts w:asciiTheme="minorEastAsia" w:eastAsiaTheme="minorEastAsia" w:hAnsiTheme="minorEastAsia" w:hint="eastAsia"/>
          <w:kern w:val="0"/>
          <w:szCs w:val="21"/>
        </w:rPr>
        <w:t>http://www.efunds.com.cn</w:t>
      </w:r>
      <w:r w:rsidR="002E1C38" w:rsidRPr="008644BE">
        <w:rPr>
          <w:rFonts w:asciiTheme="minorEastAsia" w:eastAsiaTheme="minorEastAsia" w:hAnsiTheme="minorEastAsia" w:hint="eastAsia"/>
          <w:kern w:val="0"/>
          <w:szCs w:val="21"/>
        </w:rPr>
        <w:t>）</w:t>
      </w:r>
      <w:r w:rsidRPr="008644BE">
        <w:rPr>
          <w:rFonts w:asciiTheme="minorEastAsia" w:eastAsiaTheme="minorEastAsia" w:hAnsiTheme="minorEastAsia" w:hint="eastAsia"/>
        </w:rPr>
        <w:t>查阅对账单。</w:t>
      </w:r>
    </w:p>
    <w:p w:rsidR="002A1A17" w:rsidRPr="008644BE" w:rsidRDefault="002A1A17"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2、基金份额持有人也可向本公司定制电子对账单。</w:t>
      </w:r>
    </w:p>
    <w:p w:rsidR="002A1A17" w:rsidRPr="008644BE" w:rsidRDefault="002A1A17"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具体查阅和定制账单的方法可参见本公司网站或拨打客服热线咨询。</w:t>
      </w:r>
    </w:p>
    <w:p w:rsidR="002A1A17" w:rsidRPr="008644BE" w:rsidRDefault="002E1C38"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w:t>
      </w:r>
      <w:r w:rsidR="00546B7B" w:rsidRPr="008644BE">
        <w:rPr>
          <w:rFonts w:asciiTheme="minorEastAsia" w:eastAsiaTheme="minorEastAsia" w:hAnsiTheme="minorEastAsia" w:hint="eastAsia"/>
        </w:rPr>
        <w:t>四</w:t>
      </w:r>
      <w:r w:rsidRPr="008644BE">
        <w:rPr>
          <w:rFonts w:asciiTheme="minorEastAsia" w:eastAsiaTheme="minorEastAsia" w:hAnsiTheme="minorEastAsia" w:hint="eastAsia"/>
        </w:rPr>
        <w:t>）</w:t>
      </w:r>
      <w:r w:rsidR="002A1A17" w:rsidRPr="008644BE">
        <w:rPr>
          <w:rFonts w:asciiTheme="minorEastAsia" w:eastAsiaTheme="minorEastAsia" w:hAnsiTheme="minorEastAsia" w:hint="eastAsia"/>
        </w:rPr>
        <w:t>定期定额投资计划</w:t>
      </w:r>
    </w:p>
    <w:p w:rsidR="002A1A17" w:rsidRPr="008644BE" w:rsidRDefault="00961271"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kern w:val="0"/>
        </w:rPr>
        <w:t>基金管理人可利用</w:t>
      </w:r>
      <w:r w:rsidR="00F35431" w:rsidRPr="008644BE">
        <w:rPr>
          <w:rFonts w:asciiTheme="minorEastAsia" w:eastAsiaTheme="minorEastAsia" w:hAnsiTheme="minorEastAsia" w:hint="eastAsia"/>
          <w:kern w:val="0"/>
        </w:rPr>
        <w:t>非直销销售机构</w:t>
      </w:r>
      <w:r w:rsidRPr="008644BE">
        <w:rPr>
          <w:rFonts w:asciiTheme="minorEastAsia" w:eastAsiaTheme="minorEastAsia" w:hAnsiTheme="minorEastAsia" w:hint="eastAsia"/>
          <w:kern w:val="0"/>
        </w:rPr>
        <w:t>网点和本公司网上交易系统为投资者提供定期定额投资的</w:t>
      </w:r>
      <w:r w:rsidRPr="008644BE">
        <w:rPr>
          <w:rFonts w:asciiTheme="minorEastAsia" w:eastAsiaTheme="minorEastAsia" w:hAnsiTheme="minorEastAsia" w:hint="eastAsia"/>
          <w:kern w:val="0"/>
          <w:szCs w:val="21"/>
        </w:rPr>
        <w:t>服务</w:t>
      </w:r>
      <w:r w:rsidR="002E1C38" w:rsidRPr="008644BE">
        <w:rPr>
          <w:rFonts w:asciiTheme="minorEastAsia" w:eastAsiaTheme="minorEastAsia" w:hAnsiTheme="minorEastAsia" w:hint="eastAsia"/>
          <w:kern w:val="0"/>
          <w:szCs w:val="21"/>
        </w:rPr>
        <w:t>（</w:t>
      </w:r>
      <w:r w:rsidRPr="008644BE">
        <w:rPr>
          <w:rFonts w:asciiTheme="minorEastAsia" w:eastAsiaTheme="minorEastAsia" w:hAnsiTheme="minorEastAsia" w:hint="eastAsia"/>
          <w:kern w:val="0"/>
          <w:szCs w:val="21"/>
        </w:rPr>
        <w:t>本公司网上交易系统的定期定额投资服务目前仅对个人投资者开通</w:t>
      </w:r>
      <w:r w:rsidR="002E1C38" w:rsidRPr="008644BE">
        <w:rPr>
          <w:rFonts w:asciiTheme="minorEastAsia" w:eastAsiaTheme="minorEastAsia" w:hAnsiTheme="minorEastAsia" w:hint="eastAsia"/>
          <w:kern w:val="0"/>
          <w:szCs w:val="21"/>
        </w:rPr>
        <w:t>）</w:t>
      </w:r>
      <w:r w:rsidRPr="008644BE">
        <w:rPr>
          <w:rFonts w:asciiTheme="minorEastAsia" w:eastAsiaTheme="minorEastAsia" w:hAnsiTheme="minorEastAsia" w:hint="eastAsia"/>
          <w:kern w:val="0"/>
          <w:szCs w:val="21"/>
        </w:rPr>
        <w:t>。</w:t>
      </w:r>
      <w:r w:rsidR="002A1A17" w:rsidRPr="008644BE">
        <w:rPr>
          <w:rFonts w:asciiTheme="minorEastAsia" w:eastAsiaTheme="minorEastAsia" w:hAnsiTheme="minorEastAsia" w:hint="eastAsia"/>
        </w:rPr>
        <w:t>通过定期定额投资计划，投资者可以通过固定的渠道，定期定额申购基金份额，具体实施方法见有关公告。</w:t>
      </w:r>
    </w:p>
    <w:p w:rsidR="002A1A17" w:rsidRPr="008644BE" w:rsidRDefault="002E1C38"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w:t>
      </w:r>
      <w:r w:rsidR="00546B7B" w:rsidRPr="008644BE">
        <w:rPr>
          <w:rFonts w:asciiTheme="minorEastAsia" w:eastAsiaTheme="minorEastAsia" w:hAnsiTheme="minorEastAsia" w:hint="eastAsia"/>
        </w:rPr>
        <w:t>五</w:t>
      </w:r>
      <w:r w:rsidRPr="008644BE">
        <w:rPr>
          <w:rFonts w:asciiTheme="minorEastAsia" w:eastAsiaTheme="minorEastAsia" w:hAnsiTheme="minorEastAsia" w:hint="eastAsia"/>
        </w:rPr>
        <w:t>）</w:t>
      </w:r>
      <w:r w:rsidR="002A1A17" w:rsidRPr="008644BE">
        <w:rPr>
          <w:rFonts w:asciiTheme="minorEastAsia" w:eastAsiaTheme="minorEastAsia" w:hAnsiTheme="minorEastAsia" w:hint="eastAsia"/>
        </w:rPr>
        <w:t>资讯服务</w:t>
      </w:r>
    </w:p>
    <w:p w:rsidR="002A1A17" w:rsidRPr="008644BE" w:rsidRDefault="002A1A17"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1、</w:t>
      </w:r>
      <w:r w:rsidR="000239CE" w:rsidRPr="008644BE">
        <w:rPr>
          <w:rFonts w:asciiTheme="minorEastAsia" w:eastAsiaTheme="minorEastAsia" w:hAnsiTheme="minorEastAsia" w:hint="eastAsia"/>
          <w:szCs w:val="21"/>
        </w:rPr>
        <w:t>客户服务电话</w:t>
      </w:r>
    </w:p>
    <w:p w:rsidR="008A5DA3" w:rsidRPr="008644BE" w:rsidRDefault="008A5DA3"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投资者如果想了解申购与赎回的交易情况、基金账户余额、基金产品与服务等信息，</w:t>
      </w:r>
      <w:r w:rsidRPr="008644BE">
        <w:rPr>
          <w:rFonts w:asciiTheme="minorEastAsia" w:eastAsiaTheme="minorEastAsia" w:hAnsiTheme="minorEastAsia" w:hint="eastAsia"/>
          <w:kern w:val="0"/>
        </w:rPr>
        <w:t>或反馈投资过程中需要投诉与建议的情况，</w:t>
      </w:r>
      <w:r w:rsidRPr="008644BE">
        <w:rPr>
          <w:rFonts w:asciiTheme="minorEastAsia" w:eastAsiaTheme="minorEastAsia" w:hAnsiTheme="minorEastAsia" w:hint="eastAsia"/>
          <w:szCs w:val="21"/>
        </w:rPr>
        <w:t>可拨打如下电话：4008818088（免长途话费）。</w:t>
      </w:r>
      <w:r w:rsidRPr="008644BE">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2A1A17" w:rsidRPr="008644BE" w:rsidRDefault="002A1A17"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rPr>
        <w:t>2、互联网站及电子信箱</w:t>
      </w:r>
    </w:p>
    <w:p w:rsidR="00961271" w:rsidRPr="008644BE" w:rsidRDefault="00961271" w:rsidP="00936084">
      <w:pPr>
        <w:snapToGrid w:val="0"/>
        <w:spacing w:line="360" w:lineRule="auto"/>
        <w:ind w:firstLineChars="200" w:firstLine="420"/>
        <w:rPr>
          <w:rFonts w:asciiTheme="minorEastAsia" w:eastAsiaTheme="minorEastAsia" w:hAnsiTheme="minorEastAsia"/>
          <w:szCs w:val="21"/>
        </w:rPr>
      </w:pPr>
      <w:r w:rsidRPr="008644BE">
        <w:rPr>
          <w:rFonts w:asciiTheme="minorEastAsia" w:eastAsiaTheme="minorEastAsia" w:hAnsiTheme="minorEastAsia" w:hint="eastAsia"/>
          <w:szCs w:val="21"/>
        </w:rPr>
        <w:t>网址：http://www.efunds.com.cn</w:t>
      </w:r>
    </w:p>
    <w:p w:rsidR="002A1A17" w:rsidRPr="008644BE" w:rsidRDefault="00961271" w:rsidP="00936084">
      <w:pPr>
        <w:pStyle w:val="ac"/>
        <w:autoSpaceDE w:val="0"/>
        <w:autoSpaceDN w:val="0"/>
        <w:adjustRightInd w:val="0"/>
        <w:snapToGrid w:val="0"/>
        <w:spacing w:after="0" w:line="360" w:lineRule="auto"/>
        <w:ind w:firstLineChars="200"/>
        <w:rPr>
          <w:rFonts w:asciiTheme="minorEastAsia" w:eastAsiaTheme="minorEastAsia" w:hAnsiTheme="minorEastAsia"/>
        </w:rPr>
      </w:pPr>
      <w:r w:rsidRPr="008644BE">
        <w:rPr>
          <w:rFonts w:asciiTheme="minorEastAsia" w:eastAsiaTheme="minorEastAsia" w:hAnsiTheme="minorEastAsia" w:hint="eastAsia"/>
          <w:szCs w:val="21"/>
        </w:rPr>
        <w:t>电子信箱：service@efunds.com.cn</w:t>
      </w:r>
    </w:p>
    <w:p w:rsidR="004D37EE" w:rsidRPr="008644BE" w:rsidRDefault="004C1D62" w:rsidP="00936084">
      <w:pPr>
        <w:pStyle w:val="1"/>
        <w:pageBreakBefore/>
        <w:snapToGrid w:val="0"/>
        <w:spacing w:beforeLines="0" w:afterLines="0" w:line="360" w:lineRule="auto"/>
        <w:ind w:firstLineChars="850" w:firstLine="2550"/>
        <w:jc w:val="both"/>
        <w:rPr>
          <w:rFonts w:asciiTheme="minorEastAsia" w:eastAsiaTheme="minorEastAsia" w:hAnsiTheme="minorEastAsia"/>
        </w:rPr>
      </w:pPr>
      <w:bookmarkStart w:id="122" w:name="_Toc332373592"/>
      <w:bookmarkStart w:id="123" w:name="_Toc49269649"/>
      <w:r w:rsidRPr="008644BE">
        <w:rPr>
          <w:rFonts w:asciiTheme="minorEastAsia" w:eastAsiaTheme="minorEastAsia" w:hAnsiTheme="minorEastAsia" w:hint="eastAsia"/>
          <w:sz w:val="30"/>
        </w:rPr>
        <w:lastRenderedPageBreak/>
        <w:t>二十四</w:t>
      </w:r>
      <w:r w:rsidR="00BA4B87" w:rsidRPr="008644BE">
        <w:rPr>
          <w:rFonts w:asciiTheme="minorEastAsia" w:eastAsiaTheme="minorEastAsia" w:hAnsiTheme="minorEastAsia" w:hint="eastAsia"/>
          <w:sz w:val="30"/>
        </w:rPr>
        <w:t>、其他应披露事项</w:t>
      </w:r>
      <w:bookmarkEnd w:id="122"/>
      <w:bookmarkEnd w:id="123"/>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843"/>
      </w:tblGrid>
      <w:tr w:rsidR="00DB72CC" w:rsidRPr="008644BE" w:rsidTr="00BA6A4B">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794A76" w:rsidRPr="008644BE" w:rsidRDefault="00B73952" w:rsidP="00C305DF">
            <w:pPr>
              <w:spacing w:line="360" w:lineRule="auto"/>
              <w:ind w:firstLineChars="200" w:firstLine="420"/>
              <w:jc w:val="center"/>
              <w:rPr>
                <w:rFonts w:asciiTheme="minorEastAsia" w:eastAsiaTheme="minorEastAsia" w:hAnsiTheme="minorEastAsia"/>
              </w:rPr>
            </w:pPr>
            <w:r w:rsidRPr="008644BE">
              <w:rPr>
                <w:rFonts w:asciiTheme="minorEastAsia" w:eastAsiaTheme="minorEastAsia" w:hAnsiTheme="minorEastAsia" w:hint="eastAsia"/>
              </w:rPr>
              <w:t>公告事项</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4A76" w:rsidRPr="008644BE" w:rsidRDefault="00B73952" w:rsidP="006A40DE">
            <w:pPr>
              <w:spacing w:line="360" w:lineRule="auto"/>
              <w:jc w:val="center"/>
              <w:rPr>
                <w:rFonts w:asciiTheme="minorEastAsia" w:eastAsiaTheme="minorEastAsia" w:hAnsiTheme="minorEastAsia"/>
              </w:rPr>
            </w:pPr>
            <w:r w:rsidRPr="008644BE">
              <w:rPr>
                <w:rFonts w:asciiTheme="minorEastAsia" w:eastAsiaTheme="minorEastAsia" w:hAnsiTheme="minorEastAsia" w:hint="eastAsia"/>
              </w:rPr>
              <w:t>披露日期</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易方达基金管理有限公司关于暂停北京加和基金销售有限公司办理旗下基金相关销售业务的公告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2019-08-14</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易方达基金管理有限公司关于暂停上海凯石财富基金销售有限公司办理旗下基金相关销售业务的公告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2019-08-14</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易方达基金管理有限公司关于暂停深圳宜投基金销售有限公司办理旗下基金相关销售业务的公告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2019-08-14</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易方达基金管理有限公司关于暂停厦门市鑫鼎盛控股有限公司办理旗下基金相关销售业务的公告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2019-08-14</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易方达基金管理有限公司关于旗下部分开放式基金参加潍坊银行费率优惠活动的公告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2019-08-26</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易方达基金管理有限公司旗下基金季度报告提示性公告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2019-10-24</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易方达基金管理有限公司旗下部分开放式基金增加中邮证券为销售机构的公告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2019-11-20</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易方达基金管理有限公司旗下部分开放式基金参加中信银行费率优惠活动的公告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2019-12-16</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易方达基金管理有限公司旗下部分开放式基金参加中国邮政储蓄银行个人网上银行和手机银行申购费率优惠活动的公告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2019-12-30</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易方达基金管理有限公司关于公司股权变更的公告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2019-12-31</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易方达基金管理有限公司关于易方达创新驱动灵活配置混合型证券投资基金根据《公开募集证券投资基金信息披露管理办法》修订基金合同、托管协议部分条款的公告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2019-12-31</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易方达基金管理有限公司旗下部分开放式基金参加交通银行手机银行费率优惠活动的公告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2019-12-31</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易方达基金管理有限公司旗下部分开放式基金参加昆仑银行费率优惠活动的公告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2019-12-31</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易方达基金管理有限公司旗下部分开放式基金参加苏州银行费率优惠活动的公告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2019-12-31</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易方达基金管理有限公司旗下部分开放式基金参加中国工商银行“2020倾心回馈”基金定期定额投资费率优惠活动的公告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2019-12-31</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易方达基金管理有限公司旗下部分开放式基金参加中国工商银行个人电子银行渠道申购费率优惠活动的公告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2019-12-31</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易方达基金管理有限公司旗下基金2019年第4季度报告提示性公告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2020-01-18</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易方达基金管理有限公司旗下部分开放式基金参加泉州银行费率优惠活动的公告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2020-01-23</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易方达基金管理有限公司关于旗下基金2020年1月31日不开放申购、赎回、转换、定期定额投资等业务的提示性公告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2020-01-30</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易方达基金管理有限公司及全资子公司投资旗下基金相关事宜的公告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2020-02-04</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易方达基金管理有限公司旗下部分开放式基金参加中金公司费率优惠</w:t>
            </w:r>
            <w:r w:rsidRPr="008644BE">
              <w:rPr>
                <w:rFonts w:asciiTheme="minorEastAsia" w:eastAsiaTheme="minorEastAsia" w:hAnsiTheme="minorEastAsia"/>
              </w:rPr>
              <w:lastRenderedPageBreak/>
              <w:t>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lastRenderedPageBreak/>
              <w:t>2020-03-05</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易方达基金管理有限公司旗下部分开放式基金参加百度百盈费率优惠活动的公告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2020-03-10</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易方达基金管理有限公司旗下部分开放式基金增加华瑞保险销售为销售机构、参加华瑞保险销售费率优惠活动的公告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2020-03-23</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易方达基金管理有限公司旗下基金2019年年度报告提示性公告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2020-03-31</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易方达基金管理有限公司关于提醒投资者及时提供或更新身份信息资料的公告</w:t>
            </w:r>
          </w:p>
        </w:tc>
        <w:tc>
          <w:tcPr>
            <w:tcW w:w="1843"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2020-04-10</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易方达基金管理有限公司旗下部分开放式基金参加诺亚正行费率优惠活动的公告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2020-04-17</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易方达基金管理有限公司旗下基金2020年第1季度报告提示性公告</w:t>
            </w:r>
          </w:p>
        </w:tc>
        <w:tc>
          <w:tcPr>
            <w:tcW w:w="1843"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2020-04-21</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易方达基金管理有限公司旗下部分开放式基金参加国联证券费率优惠活动的公告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2020-04-22</w:t>
            </w:r>
          </w:p>
        </w:tc>
      </w:tr>
      <w:tr w:rsidR="008644BE" w:rsidRPr="008644BE" w:rsidTr="008644BE">
        <w:trPr>
          <w:trHeight w:val="396"/>
        </w:trPr>
        <w:tc>
          <w:tcPr>
            <w:tcW w:w="6536"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FA4D0A">
            <w:pPr>
              <w:jc w:val="left"/>
              <w:rPr>
                <w:rFonts w:asciiTheme="minorEastAsia" w:eastAsiaTheme="minorEastAsia" w:hAnsiTheme="minorEastAsia"/>
                <w:szCs w:val="21"/>
              </w:rPr>
            </w:pPr>
            <w:r w:rsidRPr="008644BE">
              <w:rPr>
                <w:rFonts w:asciiTheme="minorEastAsia" w:eastAsiaTheme="minorEastAsia" w:hAnsiTheme="minorEastAsia"/>
              </w:rPr>
              <w:t>易方达基金管理有限公司旗下部分开放式基金参加中金公司申购费率优惠活动的公告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FA4D0A">
            <w:pPr>
              <w:jc w:val="center"/>
              <w:rPr>
                <w:rFonts w:asciiTheme="minorEastAsia" w:eastAsiaTheme="minorEastAsia" w:hAnsiTheme="minorEastAsia"/>
                <w:szCs w:val="21"/>
              </w:rPr>
            </w:pPr>
            <w:r w:rsidRPr="008644BE">
              <w:rPr>
                <w:rFonts w:asciiTheme="minorEastAsia" w:eastAsiaTheme="minorEastAsia" w:hAnsiTheme="minorEastAsia"/>
              </w:rPr>
              <w:t>2020-05-14</w:t>
            </w:r>
          </w:p>
        </w:tc>
      </w:tr>
      <w:tr w:rsidR="00FA4D0A" w:rsidRPr="008644BE" w:rsidTr="00FA4D0A">
        <w:trPr>
          <w:trHeight w:val="396"/>
        </w:trPr>
        <w:tc>
          <w:tcPr>
            <w:tcW w:w="6536"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46556D">
            <w:pPr>
              <w:jc w:val="left"/>
              <w:rPr>
                <w:rFonts w:asciiTheme="minorEastAsia" w:eastAsiaTheme="minorEastAsia" w:hAnsiTheme="minorEastAsia"/>
              </w:rPr>
            </w:pPr>
            <w:r w:rsidRPr="008644BE">
              <w:rPr>
                <w:rFonts w:asciiTheme="minorEastAsia" w:eastAsiaTheme="minorEastAsia" w:hAnsiTheme="minorEastAsia"/>
              </w:rPr>
              <w:t>易方达基金管理有限公司旗下部分开放式基金参加华夏财富费率优惠活动的公告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46556D">
            <w:pPr>
              <w:jc w:val="center"/>
              <w:rPr>
                <w:rFonts w:asciiTheme="minorEastAsia" w:eastAsiaTheme="minorEastAsia" w:hAnsiTheme="minorEastAsia"/>
              </w:rPr>
            </w:pPr>
            <w:r w:rsidRPr="008644BE">
              <w:rPr>
                <w:rFonts w:asciiTheme="minorEastAsia" w:eastAsiaTheme="minorEastAsia" w:hAnsiTheme="minorEastAsia"/>
              </w:rPr>
              <w:t>2020-05-23</w:t>
            </w:r>
          </w:p>
        </w:tc>
      </w:tr>
      <w:tr w:rsidR="00FA4D0A" w:rsidRPr="008644BE" w:rsidTr="00FA4D0A">
        <w:trPr>
          <w:trHeight w:val="396"/>
        </w:trPr>
        <w:tc>
          <w:tcPr>
            <w:tcW w:w="6536"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46556D">
            <w:pPr>
              <w:jc w:val="left"/>
              <w:rPr>
                <w:rFonts w:asciiTheme="minorEastAsia" w:eastAsiaTheme="minorEastAsia" w:hAnsiTheme="minorEastAsia"/>
              </w:rPr>
            </w:pPr>
            <w:r w:rsidRPr="008644BE">
              <w:rPr>
                <w:rFonts w:asciiTheme="minorEastAsia" w:eastAsiaTheme="minorEastAsia" w:hAnsiTheme="minorEastAsia"/>
              </w:rPr>
              <w:t>易方达基金管理有限公司关于暂停上海朝阳永续基金销售有限公司办理旗下基金相关销售业务的公告</w:t>
            </w:r>
          </w:p>
        </w:tc>
        <w:tc>
          <w:tcPr>
            <w:tcW w:w="1843"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46556D">
            <w:pPr>
              <w:jc w:val="center"/>
              <w:rPr>
                <w:rFonts w:asciiTheme="minorEastAsia" w:eastAsiaTheme="minorEastAsia" w:hAnsiTheme="minorEastAsia"/>
              </w:rPr>
            </w:pPr>
            <w:r w:rsidRPr="008644BE">
              <w:rPr>
                <w:rFonts w:asciiTheme="minorEastAsia" w:eastAsiaTheme="minorEastAsia" w:hAnsiTheme="minorEastAsia"/>
              </w:rPr>
              <w:t>2020-06-03</w:t>
            </w:r>
          </w:p>
        </w:tc>
      </w:tr>
      <w:tr w:rsidR="00FA4D0A" w:rsidRPr="008644BE" w:rsidTr="00FA4D0A">
        <w:trPr>
          <w:trHeight w:val="396"/>
        </w:trPr>
        <w:tc>
          <w:tcPr>
            <w:tcW w:w="6536"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46556D">
            <w:pPr>
              <w:jc w:val="left"/>
              <w:rPr>
                <w:rFonts w:asciiTheme="minorEastAsia" w:eastAsiaTheme="minorEastAsia" w:hAnsiTheme="minorEastAsia"/>
              </w:rPr>
            </w:pPr>
            <w:r w:rsidRPr="008644BE">
              <w:rPr>
                <w:rFonts w:asciiTheme="minorEastAsia" w:eastAsiaTheme="minorEastAsia" w:hAnsiTheme="minorEastAsia"/>
              </w:rPr>
              <w:t>易方达基金管理有限公司关于调整旗下部分开放式基金在招商银行最低定期定额投资金额限制的公告</w:t>
            </w:r>
          </w:p>
        </w:tc>
        <w:tc>
          <w:tcPr>
            <w:tcW w:w="1843"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46556D">
            <w:pPr>
              <w:jc w:val="center"/>
              <w:rPr>
                <w:rFonts w:asciiTheme="minorEastAsia" w:eastAsiaTheme="minorEastAsia" w:hAnsiTheme="minorEastAsia"/>
              </w:rPr>
            </w:pPr>
            <w:r w:rsidRPr="008644BE">
              <w:rPr>
                <w:rFonts w:asciiTheme="minorEastAsia" w:eastAsiaTheme="minorEastAsia" w:hAnsiTheme="minorEastAsia"/>
              </w:rPr>
              <w:t>2020-06-04</w:t>
            </w:r>
          </w:p>
        </w:tc>
      </w:tr>
      <w:tr w:rsidR="00FA4D0A" w:rsidRPr="008644BE" w:rsidTr="00FA4D0A">
        <w:trPr>
          <w:trHeight w:val="396"/>
        </w:trPr>
        <w:tc>
          <w:tcPr>
            <w:tcW w:w="6536"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46556D">
            <w:pPr>
              <w:jc w:val="left"/>
              <w:rPr>
                <w:rFonts w:asciiTheme="minorEastAsia" w:eastAsiaTheme="minorEastAsia" w:hAnsiTheme="minorEastAsia"/>
              </w:rPr>
            </w:pPr>
            <w:r w:rsidRPr="008644BE">
              <w:rPr>
                <w:rFonts w:asciiTheme="minorEastAsia" w:eastAsiaTheme="minorEastAsia" w:hAnsiTheme="minorEastAsia"/>
              </w:rPr>
              <w:t>易方达基金管理有限公司高级管理人员变更公告</w:t>
            </w:r>
          </w:p>
        </w:tc>
        <w:tc>
          <w:tcPr>
            <w:tcW w:w="1843" w:type="dxa"/>
            <w:tcBorders>
              <w:top w:val="single" w:sz="4" w:space="0" w:color="auto"/>
              <w:left w:val="single" w:sz="4" w:space="0" w:color="auto"/>
              <w:bottom w:val="single" w:sz="4" w:space="0" w:color="auto"/>
              <w:right w:val="single" w:sz="4" w:space="0" w:color="auto"/>
            </w:tcBorders>
            <w:vAlign w:val="center"/>
          </w:tcPr>
          <w:p w:rsidR="00FA4D0A" w:rsidRPr="008644BE" w:rsidRDefault="00FA4D0A" w:rsidP="0046556D">
            <w:pPr>
              <w:jc w:val="center"/>
              <w:rPr>
                <w:rFonts w:asciiTheme="minorEastAsia" w:eastAsiaTheme="minorEastAsia" w:hAnsiTheme="minorEastAsia"/>
              </w:rPr>
            </w:pPr>
            <w:r w:rsidRPr="008644BE">
              <w:rPr>
                <w:rFonts w:asciiTheme="minorEastAsia" w:eastAsiaTheme="minorEastAsia" w:hAnsiTheme="minorEastAsia"/>
              </w:rPr>
              <w:t>2020-06-22</w:t>
            </w:r>
          </w:p>
        </w:tc>
      </w:tr>
    </w:tbl>
    <w:p w:rsidR="001F7D86" w:rsidRPr="008644BE" w:rsidRDefault="00C91D75" w:rsidP="00936084">
      <w:pPr>
        <w:snapToGrid w:val="0"/>
        <w:spacing w:line="360" w:lineRule="auto"/>
        <w:rPr>
          <w:rFonts w:asciiTheme="minorEastAsia" w:eastAsiaTheme="minorEastAsia" w:hAnsiTheme="minorEastAsia"/>
          <w:sz w:val="30"/>
        </w:rPr>
      </w:pPr>
      <w:r w:rsidRPr="008644BE">
        <w:rPr>
          <w:rFonts w:asciiTheme="minorEastAsia" w:eastAsiaTheme="minorEastAsia" w:hAnsiTheme="minorEastAsia" w:hint="eastAsia"/>
          <w:szCs w:val="21"/>
        </w:rPr>
        <w:t>注：</w:t>
      </w:r>
      <w:r w:rsidR="008E7871" w:rsidRPr="008644BE">
        <w:rPr>
          <w:rFonts w:asciiTheme="minorEastAsia" w:eastAsiaTheme="minorEastAsia" w:hAnsiTheme="minorEastAsia" w:hint="eastAsia"/>
          <w:szCs w:val="21"/>
        </w:rPr>
        <w:t>以上公告事项披露在指定媒介及基金管理人网站上。</w:t>
      </w:r>
    </w:p>
    <w:p w:rsidR="00BA4B87" w:rsidRPr="008644BE" w:rsidRDefault="00BA4B87" w:rsidP="00936084">
      <w:pPr>
        <w:snapToGrid w:val="0"/>
        <w:spacing w:line="360" w:lineRule="auto"/>
        <w:rPr>
          <w:rFonts w:asciiTheme="minorEastAsia" w:eastAsiaTheme="minorEastAsia" w:hAnsiTheme="minorEastAsia"/>
        </w:rPr>
      </w:pPr>
    </w:p>
    <w:p w:rsidR="00BA4B87" w:rsidRPr="008644BE" w:rsidRDefault="00BA4B87" w:rsidP="00936084">
      <w:pPr>
        <w:snapToGrid w:val="0"/>
        <w:spacing w:line="360" w:lineRule="auto"/>
        <w:rPr>
          <w:rFonts w:asciiTheme="minorEastAsia" w:eastAsiaTheme="minorEastAsia" w:hAnsiTheme="minorEastAsia"/>
        </w:rPr>
      </w:pPr>
    </w:p>
    <w:p w:rsidR="00201C8F" w:rsidRPr="008644BE" w:rsidRDefault="00201C8F" w:rsidP="00936084">
      <w:pPr>
        <w:snapToGrid w:val="0"/>
        <w:spacing w:line="360" w:lineRule="auto"/>
        <w:rPr>
          <w:rFonts w:asciiTheme="minorEastAsia" w:eastAsiaTheme="minorEastAsia" w:hAnsiTheme="minorEastAsia"/>
        </w:rPr>
        <w:sectPr w:rsidR="00201C8F" w:rsidRPr="008644BE" w:rsidSect="00B16DD1">
          <w:pgSz w:w="11906" w:h="16838" w:code="9"/>
          <w:pgMar w:top="1440" w:right="1803" w:bottom="1440" w:left="1803" w:header="851" w:footer="992" w:gutter="0"/>
          <w:cols w:space="720"/>
          <w:docGrid w:type="lines" w:linePitch="317"/>
        </w:sectPr>
      </w:pPr>
    </w:p>
    <w:p w:rsidR="00BA4B87" w:rsidRPr="008644BE" w:rsidRDefault="00BA4B87" w:rsidP="00936084">
      <w:pPr>
        <w:snapToGrid w:val="0"/>
        <w:spacing w:line="360" w:lineRule="auto"/>
        <w:rPr>
          <w:rFonts w:asciiTheme="minorEastAsia" w:eastAsiaTheme="minorEastAsia" w:hAnsiTheme="minorEastAsia"/>
        </w:rPr>
      </w:pPr>
    </w:p>
    <w:p w:rsidR="00BA4B87" w:rsidRPr="008644BE" w:rsidRDefault="004C1D62" w:rsidP="00936084">
      <w:pPr>
        <w:pStyle w:val="1"/>
        <w:snapToGrid w:val="0"/>
        <w:spacing w:beforeLines="0" w:afterLines="0" w:line="360" w:lineRule="auto"/>
        <w:ind w:firstLine="600"/>
        <w:rPr>
          <w:rFonts w:asciiTheme="minorEastAsia" w:eastAsiaTheme="minorEastAsia" w:hAnsiTheme="minorEastAsia"/>
          <w:bCs/>
          <w:szCs w:val="20"/>
        </w:rPr>
      </w:pPr>
      <w:bookmarkStart w:id="124" w:name="_Toc49269650"/>
      <w:bookmarkStart w:id="125" w:name="_Toc332373593"/>
      <w:r w:rsidRPr="008644BE">
        <w:rPr>
          <w:rFonts w:asciiTheme="minorEastAsia" w:eastAsiaTheme="minorEastAsia" w:hAnsiTheme="minorEastAsia" w:hint="eastAsia"/>
          <w:sz w:val="30"/>
        </w:rPr>
        <w:t>二十五</w:t>
      </w:r>
      <w:r w:rsidR="00BA4B87" w:rsidRPr="008644BE">
        <w:rPr>
          <w:rFonts w:asciiTheme="minorEastAsia" w:eastAsiaTheme="minorEastAsia" w:hAnsiTheme="minorEastAsia" w:hint="eastAsia"/>
          <w:sz w:val="30"/>
        </w:rPr>
        <w:t>、招募说明书的存放及查阅方式</w:t>
      </w:r>
      <w:bookmarkEnd w:id="124"/>
    </w:p>
    <w:bookmarkEnd w:id="125"/>
    <w:p w:rsidR="00BA4B87" w:rsidRPr="008644BE" w:rsidRDefault="00BA4B87"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本招募说明书存放在基金管理人、基金托管人及</w:t>
      </w:r>
      <w:r w:rsidR="00FF5DDA" w:rsidRPr="008644BE">
        <w:rPr>
          <w:rFonts w:asciiTheme="minorEastAsia" w:eastAsiaTheme="minorEastAsia" w:hAnsiTheme="minorEastAsia" w:hint="eastAsia"/>
        </w:rPr>
        <w:t>其他</w:t>
      </w:r>
      <w:r w:rsidRPr="008644BE">
        <w:rPr>
          <w:rFonts w:asciiTheme="minorEastAsia" w:eastAsiaTheme="minorEastAsia" w:hAnsiTheme="minorEastAsia" w:hint="eastAsia"/>
        </w:rPr>
        <w:t>基金</w:t>
      </w:r>
      <w:r w:rsidR="00FF5DDA" w:rsidRPr="008644BE">
        <w:rPr>
          <w:rFonts w:asciiTheme="minorEastAsia" w:eastAsiaTheme="minorEastAsia" w:hAnsiTheme="minorEastAsia" w:hint="eastAsia"/>
        </w:rPr>
        <w:t>销售</w:t>
      </w:r>
      <w:r w:rsidRPr="008644BE">
        <w:rPr>
          <w:rFonts w:asciiTheme="minorEastAsia" w:eastAsiaTheme="minorEastAsia" w:hAnsiTheme="minorEastAsia" w:hint="eastAsia"/>
        </w:rPr>
        <w:t>机构处，投资者可在营业时间免费查阅，也可按工本费购买复印件。</w:t>
      </w:r>
    </w:p>
    <w:p w:rsidR="00BA4B87" w:rsidRPr="008644BE" w:rsidRDefault="00BA4B87"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基金管理人和基金托管人保证文本的内容与公告的内容完全一致。</w:t>
      </w:r>
    </w:p>
    <w:p w:rsidR="00BA4B87" w:rsidRPr="008644BE" w:rsidRDefault="00BA4B87" w:rsidP="00936084">
      <w:pPr>
        <w:pStyle w:val="1"/>
        <w:snapToGrid w:val="0"/>
        <w:spacing w:beforeLines="0" w:afterLines="0" w:line="360" w:lineRule="auto"/>
        <w:ind w:firstLine="600"/>
        <w:rPr>
          <w:rFonts w:asciiTheme="minorEastAsia" w:eastAsiaTheme="minorEastAsia" w:hAnsiTheme="minorEastAsia"/>
          <w:bCs/>
          <w:szCs w:val="20"/>
        </w:rPr>
      </w:pPr>
      <w:r w:rsidRPr="008644BE">
        <w:rPr>
          <w:rFonts w:asciiTheme="minorEastAsia" w:eastAsiaTheme="minorEastAsia" w:hAnsiTheme="minorEastAsia"/>
          <w:sz w:val="30"/>
        </w:rPr>
        <w:br w:type="column"/>
      </w:r>
      <w:bookmarkStart w:id="126" w:name="_Toc49269651"/>
      <w:bookmarkStart w:id="127" w:name="_Toc332373594"/>
      <w:r w:rsidR="004C1D62" w:rsidRPr="008644BE">
        <w:rPr>
          <w:rFonts w:asciiTheme="minorEastAsia" w:eastAsiaTheme="minorEastAsia" w:hAnsiTheme="minorEastAsia" w:hint="eastAsia"/>
          <w:sz w:val="30"/>
        </w:rPr>
        <w:lastRenderedPageBreak/>
        <w:t>二十六</w:t>
      </w:r>
      <w:r w:rsidRPr="008644BE">
        <w:rPr>
          <w:rFonts w:asciiTheme="minorEastAsia" w:eastAsiaTheme="minorEastAsia" w:hAnsiTheme="minorEastAsia" w:hint="eastAsia"/>
          <w:sz w:val="30"/>
        </w:rPr>
        <w:t>、备查文件</w:t>
      </w:r>
      <w:bookmarkEnd w:id="126"/>
    </w:p>
    <w:bookmarkEnd w:id="127"/>
    <w:p w:rsidR="00BA4B87" w:rsidRPr="008644BE" w:rsidRDefault="003B592E"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1、</w:t>
      </w:r>
      <w:r w:rsidR="00BA4B87" w:rsidRPr="008644BE">
        <w:rPr>
          <w:rFonts w:asciiTheme="minorEastAsia" w:eastAsiaTheme="minorEastAsia" w:hAnsiTheme="minorEastAsia" w:hint="eastAsia"/>
        </w:rPr>
        <w:t>中国证监会</w:t>
      </w:r>
      <w:r w:rsidR="00B115F4" w:rsidRPr="008644BE">
        <w:rPr>
          <w:rFonts w:asciiTheme="minorEastAsia" w:eastAsiaTheme="minorEastAsia" w:hAnsiTheme="minorEastAsia" w:hint="eastAsia"/>
        </w:rPr>
        <w:t>注册</w:t>
      </w:r>
      <w:r w:rsidR="00E40637" w:rsidRPr="008644BE">
        <w:rPr>
          <w:rFonts w:asciiTheme="minorEastAsia" w:eastAsiaTheme="minorEastAsia" w:hAnsiTheme="minorEastAsia" w:hint="eastAsia"/>
        </w:rPr>
        <w:t>易方达</w:t>
      </w:r>
      <w:r w:rsidR="009B42FE" w:rsidRPr="008644BE">
        <w:rPr>
          <w:rFonts w:asciiTheme="minorEastAsia" w:eastAsiaTheme="minorEastAsia" w:hAnsiTheme="minorEastAsia" w:hint="eastAsia"/>
        </w:rPr>
        <w:t>创新驱动</w:t>
      </w:r>
      <w:r w:rsidR="00E40637" w:rsidRPr="008644BE">
        <w:rPr>
          <w:rFonts w:asciiTheme="minorEastAsia" w:eastAsiaTheme="minorEastAsia" w:hAnsiTheme="minorEastAsia" w:hint="eastAsia"/>
        </w:rPr>
        <w:t>灵活配置混合型</w:t>
      </w:r>
      <w:r w:rsidR="002221EE" w:rsidRPr="008644BE">
        <w:rPr>
          <w:rFonts w:asciiTheme="minorEastAsia" w:eastAsiaTheme="minorEastAsia" w:hAnsiTheme="minorEastAsia" w:hint="eastAsia"/>
        </w:rPr>
        <w:t>证券投资基金</w:t>
      </w:r>
      <w:r w:rsidR="00BA4B87" w:rsidRPr="008644BE">
        <w:rPr>
          <w:rFonts w:asciiTheme="minorEastAsia" w:eastAsiaTheme="minorEastAsia" w:hAnsiTheme="minorEastAsia" w:hint="eastAsia"/>
        </w:rPr>
        <w:t>募集的文件；</w:t>
      </w:r>
    </w:p>
    <w:p w:rsidR="00BA4B87" w:rsidRPr="008644BE" w:rsidRDefault="003B592E"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2、</w:t>
      </w:r>
      <w:r w:rsidR="00BA4B87" w:rsidRPr="008644BE">
        <w:rPr>
          <w:rFonts w:asciiTheme="minorEastAsia" w:eastAsiaTheme="minorEastAsia" w:hAnsiTheme="minorEastAsia" w:hint="eastAsia"/>
        </w:rPr>
        <w:t>《</w:t>
      </w:r>
      <w:r w:rsidR="00E40637" w:rsidRPr="008644BE">
        <w:rPr>
          <w:rFonts w:asciiTheme="minorEastAsia" w:eastAsiaTheme="minorEastAsia" w:hAnsiTheme="minorEastAsia" w:hint="eastAsia"/>
        </w:rPr>
        <w:t>易方达</w:t>
      </w:r>
      <w:r w:rsidR="009B42FE" w:rsidRPr="008644BE">
        <w:rPr>
          <w:rFonts w:asciiTheme="minorEastAsia" w:eastAsiaTheme="minorEastAsia" w:hAnsiTheme="minorEastAsia" w:hint="eastAsia"/>
        </w:rPr>
        <w:t>创新驱动</w:t>
      </w:r>
      <w:r w:rsidR="00E40637" w:rsidRPr="008644BE">
        <w:rPr>
          <w:rFonts w:asciiTheme="minorEastAsia" w:eastAsiaTheme="minorEastAsia" w:hAnsiTheme="minorEastAsia" w:hint="eastAsia"/>
        </w:rPr>
        <w:t>灵活配置混合型</w:t>
      </w:r>
      <w:r w:rsidR="002221EE" w:rsidRPr="008644BE">
        <w:rPr>
          <w:rFonts w:asciiTheme="minorEastAsia" w:eastAsiaTheme="minorEastAsia" w:hAnsiTheme="minorEastAsia" w:hint="eastAsia"/>
        </w:rPr>
        <w:t>证券投资基金</w:t>
      </w:r>
      <w:r w:rsidR="00BA4B87" w:rsidRPr="008644BE">
        <w:rPr>
          <w:rFonts w:asciiTheme="minorEastAsia" w:eastAsiaTheme="minorEastAsia" w:hAnsiTheme="minorEastAsia" w:hint="eastAsia"/>
        </w:rPr>
        <w:t>基金合同》；</w:t>
      </w:r>
    </w:p>
    <w:p w:rsidR="00BA4B87" w:rsidRPr="008644BE" w:rsidRDefault="003B592E"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3、</w:t>
      </w:r>
      <w:r w:rsidR="00BA4B87" w:rsidRPr="008644BE">
        <w:rPr>
          <w:rFonts w:asciiTheme="minorEastAsia" w:eastAsiaTheme="minorEastAsia" w:hAnsiTheme="minorEastAsia" w:hint="eastAsia"/>
        </w:rPr>
        <w:t>《</w:t>
      </w:r>
      <w:r w:rsidR="00E40637" w:rsidRPr="008644BE">
        <w:rPr>
          <w:rFonts w:asciiTheme="minorEastAsia" w:eastAsiaTheme="minorEastAsia" w:hAnsiTheme="minorEastAsia" w:hint="eastAsia"/>
        </w:rPr>
        <w:t>易方达</w:t>
      </w:r>
      <w:r w:rsidR="009B42FE" w:rsidRPr="008644BE">
        <w:rPr>
          <w:rFonts w:asciiTheme="minorEastAsia" w:eastAsiaTheme="minorEastAsia" w:hAnsiTheme="minorEastAsia" w:hint="eastAsia"/>
        </w:rPr>
        <w:t>创新驱动</w:t>
      </w:r>
      <w:r w:rsidR="00E40637" w:rsidRPr="008644BE">
        <w:rPr>
          <w:rFonts w:asciiTheme="minorEastAsia" w:eastAsiaTheme="minorEastAsia" w:hAnsiTheme="minorEastAsia" w:hint="eastAsia"/>
        </w:rPr>
        <w:t>灵活配置混合型</w:t>
      </w:r>
      <w:r w:rsidR="002221EE" w:rsidRPr="008644BE">
        <w:rPr>
          <w:rFonts w:asciiTheme="minorEastAsia" w:eastAsiaTheme="minorEastAsia" w:hAnsiTheme="minorEastAsia" w:hint="eastAsia"/>
        </w:rPr>
        <w:t>证券投资基金</w:t>
      </w:r>
      <w:r w:rsidR="00BA4B87" w:rsidRPr="008644BE">
        <w:rPr>
          <w:rFonts w:asciiTheme="minorEastAsia" w:eastAsiaTheme="minorEastAsia" w:hAnsiTheme="minorEastAsia" w:hint="eastAsia"/>
        </w:rPr>
        <w:t>托管协议》；</w:t>
      </w:r>
    </w:p>
    <w:p w:rsidR="00BA4B87" w:rsidRPr="008644BE" w:rsidRDefault="003B592E"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4、</w:t>
      </w:r>
      <w:r w:rsidR="00BA4B87" w:rsidRPr="008644BE">
        <w:rPr>
          <w:rFonts w:asciiTheme="minorEastAsia" w:eastAsiaTheme="minorEastAsia" w:hAnsiTheme="minorEastAsia" w:hint="eastAsia"/>
        </w:rPr>
        <w:t>《易方达基金管理有限公司开放式基金业务规则》；</w:t>
      </w:r>
    </w:p>
    <w:p w:rsidR="00BA4B87" w:rsidRPr="008644BE" w:rsidRDefault="003B592E"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5、</w:t>
      </w:r>
      <w:r w:rsidR="00BA4B87" w:rsidRPr="008644BE">
        <w:rPr>
          <w:rFonts w:asciiTheme="minorEastAsia" w:eastAsiaTheme="minorEastAsia" w:hAnsiTheme="minorEastAsia" w:hint="eastAsia"/>
        </w:rPr>
        <w:t>法律意见书；</w:t>
      </w:r>
    </w:p>
    <w:p w:rsidR="00BA4B87" w:rsidRPr="008644BE" w:rsidRDefault="003B592E"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6、</w:t>
      </w:r>
      <w:r w:rsidR="00BA4B87" w:rsidRPr="008644BE">
        <w:rPr>
          <w:rFonts w:asciiTheme="minorEastAsia" w:eastAsiaTheme="minorEastAsia" w:hAnsiTheme="minorEastAsia" w:hint="eastAsia"/>
        </w:rPr>
        <w:t>基金管理人业务资格批件、营业执照；</w:t>
      </w:r>
    </w:p>
    <w:p w:rsidR="00BA4B87" w:rsidRPr="008644BE" w:rsidRDefault="003B592E"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7、</w:t>
      </w:r>
      <w:r w:rsidR="00BA4B87" w:rsidRPr="008644BE">
        <w:rPr>
          <w:rFonts w:asciiTheme="minorEastAsia" w:eastAsiaTheme="minorEastAsia" w:hAnsiTheme="minorEastAsia" w:hint="eastAsia"/>
        </w:rPr>
        <w:t>基金托管人业务资格批件、营业执照</w:t>
      </w:r>
      <w:r w:rsidR="00A70F49">
        <w:rPr>
          <w:rFonts w:asciiTheme="minorEastAsia" w:eastAsiaTheme="minorEastAsia" w:hAnsiTheme="minorEastAsia" w:hint="eastAsia"/>
        </w:rPr>
        <w:t>。</w:t>
      </w:r>
    </w:p>
    <w:p w:rsidR="00BA4B87" w:rsidRPr="008644BE" w:rsidRDefault="00BA4B87" w:rsidP="00936084">
      <w:pPr>
        <w:snapToGrid w:val="0"/>
        <w:spacing w:line="360" w:lineRule="auto"/>
        <w:ind w:firstLineChars="200" w:firstLine="420"/>
        <w:rPr>
          <w:rFonts w:asciiTheme="minorEastAsia" w:eastAsiaTheme="minorEastAsia" w:hAnsiTheme="minorEastAsia"/>
        </w:rPr>
      </w:pPr>
      <w:r w:rsidRPr="008644BE">
        <w:rPr>
          <w:rFonts w:asciiTheme="minorEastAsia" w:eastAsiaTheme="minorEastAsia" w:hAnsiTheme="minorEastAsia" w:hint="eastAsia"/>
        </w:rPr>
        <w:t>存放地点：基金管理人、基金托管人处</w:t>
      </w:r>
      <w:r w:rsidR="007E335D" w:rsidRPr="008644BE">
        <w:rPr>
          <w:rFonts w:asciiTheme="minorEastAsia" w:eastAsiaTheme="minorEastAsia" w:hAnsiTheme="minorEastAsia" w:hint="eastAsia"/>
        </w:rPr>
        <w:t>；</w:t>
      </w:r>
    </w:p>
    <w:p w:rsidR="00BA4B87" w:rsidRPr="008644BE" w:rsidRDefault="00BA4B87" w:rsidP="00936084">
      <w:pPr>
        <w:pStyle w:val="a6"/>
        <w:snapToGrid w:val="0"/>
        <w:spacing w:line="360" w:lineRule="auto"/>
        <w:ind w:firstLine="420"/>
        <w:rPr>
          <w:rFonts w:asciiTheme="minorEastAsia" w:eastAsiaTheme="minorEastAsia" w:hAnsiTheme="minorEastAsia"/>
          <w:sz w:val="21"/>
        </w:rPr>
      </w:pPr>
      <w:r w:rsidRPr="008644BE">
        <w:rPr>
          <w:rFonts w:asciiTheme="minorEastAsia" w:eastAsiaTheme="minorEastAsia" w:hAnsiTheme="minorEastAsia" w:hint="eastAsia"/>
          <w:sz w:val="21"/>
        </w:rPr>
        <w:t>查阅方式：投资者可在营业时</w:t>
      </w:r>
      <w:bookmarkStart w:id="128" w:name="_GoBack"/>
      <w:bookmarkEnd w:id="128"/>
      <w:r w:rsidRPr="008644BE">
        <w:rPr>
          <w:rFonts w:asciiTheme="minorEastAsia" w:eastAsiaTheme="minorEastAsia" w:hAnsiTheme="minorEastAsia" w:hint="eastAsia"/>
          <w:sz w:val="21"/>
        </w:rPr>
        <w:t>间免费查阅，也可按工本费购买复印件。</w:t>
      </w:r>
    </w:p>
    <w:p w:rsidR="00BA4B87" w:rsidRPr="008644BE" w:rsidRDefault="00BA4B87" w:rsidP="00936084">
      <w:pPr>
        <w:pStyle w:val="a6"/>
        <w:snapToGrid w:val="0"/>
        <w:spacing w:line="360" w:lineRule="auto"/>
        <w:ind w:firstLine="420"/>
        <w:rPr>
          <w:rFonts w:asciiTheme="minorEastAsia" w:eastAsiaTheme="minorEastAsia" w:hAnsiTheme="minorEastAsia"/>
          <w:sz w:val="21"/>
        </w:rPr>
      </w:pPr>
    </w:p>
    <w:p w:rsidR="00BA4B87" w:rsidRPr="008644BE" w:rsidRDefault="00BA4B87" w:rsidP="00936084">
      <w:pPr>
        <w:pStyle w:val="a6"/>
        <w:snapToGrid w:val="0"/>
        <w:spacing w:line="360" w:lineRule="auto"/>
        <w:ind w:firstLine="420"/>
        <w:rPr>
          <w:rFonts w:asciiTheme="minorEastAsia" w:eastAsiaTheme="minorEastAsia" w:hAnsiTheme="minorEastAsia"/>
          <w:sz w:val="21"/>
        </w:rPr>
      </w:pPr>
    </w:p>
    <w:p w:rsidR="001F7D86" w:rsidRPr="008644BE" w:rsidRDefault="00762220" w:rsidP="00936084">
      <w:pPr>
        <w:pStyle w:val="a6"/>
        <w:snapToGrid w:val="0"/>
        <w:spacing w:line="360" w:lineRule="auto"/>
        <w:ind w:firstLine="420"/>
        <w:jc w:val="right"/>
        <w:rPr>
          <w:rFonts w:asciiTheme="minorEastAsia" w:eastAsiaTheme="minorEastAsia" w:hAnsiTheme="minorEastAsia"/>
          <w:sz w:val="21"/>
        </w:rPr>
      </w:pPr>
      <w:r w:rsidRPr="008644BE">
        <w:rPr>
          <w:rFonts w:asciiTheme="minorEastAsia" w:eastAsiaTheme="minorEastAsia" w:hAnsiTheme="minorEastAsia" w:hint="eastAsia"/>
          <w:sz w:val="21"/>
        </w:rPr>
        <w:t>易方达基金管理有限公司</w:t>
      </w:r>
    </w:p>
    <w:p w:rsidR="00BA4B87" w:rsidRPr="008644BE" w:rsidRDefault="003411CA" w:rsidP="00BA6A4B">
      <w:pPr>
        <w:snapToGrid w:val="0"/>
        <w:spacing w:line="360" w:lineRule="auto"/>
        <w:jc w:val="right"/>
        <w:rPr>
          <w:rFonts w:asciiTheme="minorEastAsia" w:eastAsiaTheme="minorEastAsia" w:hAnsiTheme="minorEastAsia"/>
        </w:rPr>
      </w:pPr>
      <w:r w:rsidRPr="008644BE">
        <w:rPr>
          <w:rFonts w:asciiTheme="minorEastAsia" w:eastAsiaTheme="minorEastAsia" w:hAnsiTheme="minorEastAsia"/>
        </w:rPr>
        <w:t>2020年8月</w:t>
      </w:r>
      <w:r w:rsidR="008644BE" w:rsidRPr="008644BE">
        <w:rPr>
          <w:rFonts w:asciiTheme="minorEastAsia" w:eastAsiaTheme="minorEastAsia" w:hAnsiTheme="minorEastAsia"/>
        </w:rPr>
        <w:t>26</w:t>
      </w:r>
      <w:r w:rsidRPr="008644BE">
        <w:rPr>
          <w:rFonts w:asciiTheme="minorEastAsia" w:eastAsiaTheme="minorEastAsia" w:hAnsiTheme="minorEastAsia"/>
        </w:rPr>
        <w:t>日</w:t>
      </w:r>
      <w:bookmarkStart w:id="129" w:name="_Toc38438350"/>
      <w:bookmarkStart w:id="130" w:name="_Toc38438687"/>
      <w:bookmarkStart w:id="131" w:name="_Toc38439024"/>
      <w:bookmarkStart w:id="132" w:name="_Toc38439361"/>
      <w:bookmarkStart w:id="133" w:name="_Toc38439698"/>
      <w:bookmarkStart w:id="134" w:name="_Toc38440035"/>
      <w:bookmarkStart w:id="135" w:name="_Toc38440372"/>
      <w:bookmarkStart w:id="136" w:name="_Toc38440904"/>
      <w:bookmarkStart w:id="137" w:name="_Toc38441236"/>
      <w:bookmarkStart w:id="138" w:name="_Toc38441568"/>
      <w:bookmarkStart w:id="139" w:name="_Toc38441896"/>
      <w:bookmarkStart w:id="140" w:name="_Toc38442228"/>
      <w:bookmarkStart w:id="141" w:name="_Toc38442560"/>
      <w:bookmarkStart w:id="142" w:name="_Toc38442891"/>
      <w:bookmarkStart w:id="143" w:name="_Toc38443222"/>
      <w:bookmarkStart w:id="144" w:name="_Toc38443553"/>
      <w:bookmarkStart w:id="145" w:name="_Toc38443883"/>
      <w:bookmarkStart w:id="146" w:name="_Toc38438351"/>
      <w:bookmarkStart w:id="147" w:name="_Toc38438688"/>
      <w:bookmarkStart w:id="148" w:name="_Toc38439025"/>
      <w:bookmarkStart w:id="149" w:name="_Toc38439362"/>
      <w:bookmarkStart w:id="150" w:name="_Toc38439699"/>
      <w:bookmarkStart w:id="151" w:name="_Toc38440036"/>
      <w:bookmarkStart w:id="152" w:name="_Toc38440373"/>
      <w:bookmarkStart w:id="153" w:name="_Toc38440905"/>
      <w:bookmarkStart w:id="154" w:name="_Toc38441237"/>
      <w:bookmarkStart w:id="155" w:name="_Toc38441569"/>
      <w:bookmarkStart w:id="156" w:name="_Toc38441897"/>
      <w:bookmarkStart w:id="157" w:name="_Toc38442229"/>
      <w:bookmarkStart w:id="158" w:name="_Toc38442561"/>
      <w:bookmarkStart w:id="159" w:name="_Toc38442892"/>
      <w:bookmarkStart w:id="160" w:name="_Toc38443223"/>
      <w:bookmarkStart w:id="161" w:name="_Toc38443554"/>
      <w:bookmarkStart w:id="162" w:name="_Toc38443884"/>
      <w:bookmarkStart w:id="163" w:name="_Toc38438352"/>
      <w:bookmarkStart w:id="164" w:name="_Toc38438689"/>
      <w:bookmarkStart w:id="165" w:name="_Toc38439026"/>
      <w:bookmarkStart w:id="166" w:name="_Toc38439363"/>
      <w:bookmarkStart w:id="167" w:name="_Toc38439700"/>
      <w:bookmarkStart w:id="168" w:name="_Toc38440037"/>
      <w:bookmarkStart w:id="169" w:name="_Toc38440374"/>
      <w:bookmarkStart w:id="170" w:name="_Toc38440906"/>
      <w:bookmarkStart w:id="171" w:name="_Toc38441238"/>
      <w:bookmarkStart w:id="172" w:name="_Toc38441570"/>
      <w:bookmarkStart w:id="173" w:name="_Toc38441898"/>
      <w:bookmarkStart w:id="174" w:name="_Toc38442230"/>
      <w:bookmarkStart w:id="175" w:name="_Toc38442562"/>
      <w:bookmarkStart w:id="176" w:name="_Toc38442893"/>
      <w:bookmarkStart w:id="177" w:name="_Toc38443224"/>
      <w:bookmarkStart w:id="178" w:name="_Toc38443555"/>
      <w:bookmarkStart w:id="179" w:name="_Toc38443885"/>
      <w:bookmarkStart w:id="180" w:name="_Toc38438353"/>
      <w:bookmarkStart w:id="181" w:name="_Toc38438690"/>
      <w:bookmarkStart w:id="182" w:name="_Toc38439027"/>
      <w:bookmarkStart w:id="183" w:name="_Toc38439364"/>
      <w:bookmarkStart w:id="184" w:name="_Toc38439701"/>
      <w:bookmarkStart w:id="185" w:name="_Toc38440038"/>
      <w:bookmarkStart w:id="186" w:name="_Toc38440375"/>
      <w:bookmarkStart w:id="187" w:name="_Toc38440907"/>
      <w:bookmarkStart w:id="188" w:name="_Toc38441239"/>
      <w:bookmarkStart w:id="189" w:name="_Toc38441571"/>
      <w:bookmarkStart w:id="190" w:name="_Toc38441899"/>
      <w:bookmarkStart w:id="191" w:name="_Toc38442231"/>
      <w:bookmarkStart w:id="192" w:name="_Toc38442563"/>
      <w:bookmarkStart w:id="193" w:name="_Toc38442894"/>
      <w:bookmarkStart w:id="194" w:name="_Toc38443225"/>
      <w:bookmarkStart w:id="195" w:name="_Toc38443556"/>
      <w:bookmarkStart w:id="196" w:name="_Toc38443886"/>
      <w:bookmarkStart w:id="197" w:name="_Toc38438354"/>
      <w:bookmarkStart w:id="198" w:name="_Toc38438691"/>
      <w:bookmarkStart w:id="199" w:name="_Toc38439028"/>
      <w:bookmarkStart w:id="200" w:name="_Toc38439365"/>
      <w:bookmarkStart w:id="201" w:name="_Toc38439702"/>
      <w:bookmarkStart w:id="202" w:name="_Toc38440039"/>
      <w:bookmarkStart w:id="203" w:name="_Toc38440376"/>
      <w:bookmarkStart w:id="204" w:name="_Toc38440908"/>
      <w:bookmarkStart w:id="205" w:name="_Toc38441240"/>
      <w:bookmarkStart w:id="206" w:name="_Toc38441572"/>
      <w:bookmarkStart w:id="207" w:name="_Toc38441900"/>
      <w:bookmarkStart w:id="208" w:name="_Toc38442232"/>
      <w:bookmarkStart w:id="209" w:name="_Toc38442564"/>
      <w:bookmarkStart w:id="210" w:name="_Toc38442895"/>
      <w:bookmarkStart w:id="211" w:name="_Toc38443226"/>
      <w:bookmarkStart w:id="212" w:name="_Toc38443557"/>
      <w:bookmarkStart w:id="213" w:name="_Toc38443887"/>
      <w:bookmarkStart w:id="214" w:name="_Toc38438355"/>
      <w:bookmarkStart w:id="215" w:name="_Toc38438692"/>
      <w:bookmarkStart w:id="216" w:name="_Toc38439029"/>
      <w:bookmarkStart w:id="217" w:name="_Toc38439366"/>
      <w:bookmarkStart w:id="218" w:name="_Toc38439703"/>
      <w:bookmarkStart w:id="219" w:name="_Toc38440040"/>
      <w:bookmarkStart w:id="220" w:name="_Toc38440377"/>
      <w:bookmarkStart w:id="221" w:name="_Toc38440909"/>
      <w:bookmarkStart w:id="222" w:name="_Toc38441241"/>
      <w:bookmarkStart w:id="223" w:name="_Toc38441573"/>
      <w:bookmarkStart w:id="224" w:name="_Toc38441901"/>
      <w:bookmarkStart w:id="225" w:name="_Toc38442233"/>
      <w:bookmarkStart w:id="226" w:name="_Toc38442565"/>
      <w:bookmarkStart w:id="227" w:name="_Toc38442896"/>
      <w:bookmarkStart w:id="228" w:name="_Toc38443227"/>
      <w:bookmarkStart w:id="229" w:name="_Toc38443558"/>
      <w:bookmarkStart w:id="230" w:name="_Toc38443888"/>
      <w:bookmarkStart w:id="231" w:name="_Toc38438356"/>
      <w:bookmarkStart w:id="232" w:name="_Toc38438693"/>
      <w:bookmarkStart w:id="233" w:name="_Toc38439030"/>
      <w:bookmarkStart w:id="234" w:name="_Toc38439367"/>
      <w:bookmarkStart w:id="235" w:name="_Toc38439704"/>
      <w:bookmarkStart w:id="236" w:name="_Toc38440041"/>
      <w:bookmarkStart w:id="237" w:name="_Toc38440378"/>
      <w:bookmarkStart w:id="238" w:name="_Toc38440910"/>
      <w:bookmarkStart w:id="239" w:name="_Toc38441242"/>
      <w:bookmarkStart w:id="240" w:name="_Toc38441574"/>
      <w:bookmarkStart w:id="241" w:name="_Toc38441902"/>
      <w:bookmarkStart w:id="242" w:name="_Toc38442234"/>
      <w:bookmarkStart w:id="243" w:name="_Toc38442566"/>
      <w:bookmarkStart w:id="244" w:name="_Toc38442897"/>
      <w:bookmarkStart w:id="245" w:name="_Toc38443228"/>
      <w:bookmarkStart w:id="246" w:name="_Toc38443559"/>
      <w:bookmarkStart w:id="247" w:name="_Toc38443889"/>
      <w:bookmarkStart w:id="248" w:name="_Toc38438357"/>
      <w:bookmarkStart w:id="249" w:name="_Toc38438694"/>
      <w:bookmarkStart w:id="250" w:name="_Toc38439031"/>
      <w:bookmarkStart w:id="251" w:name="_Toc38439368"/>
      <w:bookmarkStart w:id="252" w:name="_Toc38439705"/>
      <w:bookmarkStart w:id="253" w:name="_Toc38440042"/>
      <w:bookmarkStart w:id="254" w:name="_Toc38440379"/>
      <w:bookmarkStart w:id="255" w:name="_Toc38440911"/>
      <w:bookmarkStart w:id="256" w:name="_Toc38441243"/>
      <w:bookmarkStart w:id="257" w:name="_Toc38441575"/>
      <w:bookmarkStart w:id="258" w:name="_Toc38441903"/>
      <w:bookmarkStart w:id="259" w:name="_Toc38442235"/>
      <w:bookmarkStart w:id="260" w:name="_Toc38442567"/>
      <w:bookmarkStart w:id="261" w:name="_Toc38442898"/>
      <w:bookmarkStart w:id="262" w:name="_Toc38443229"/>
      <w:bookmarkStart w:id="263" w:name="_Toc38443560"/>
      <w:bookmarkStart w:id="264" w:name="_Toc38443890"/>
      <w:bookmarkStart w:id="265" w:name="_Toc38438358"/>
      <w:bookmarkStart w:id="266" w:name="_Toc38438695"/>
      <w:bookmarkStart w:id="267" w:name="_Toc38439032"/>
      <w:bookmarkStart w:id="268" w:name="_Toc38439369"/>
      <w:bookmarkStart w:id="269" w:name="_Toc38439706"/>
      <w:bookmarkStart w:id="270" w:name="_Toc38440043"/>
      <w:bookmarkStart w:id="271" w:name="_Toc38440380"/>
      <w:bookmarkStart w:id="272" w:name="_Toc38440912"/>
      <w:bookmarkStart w:id="273" w:name="_Toc38441244"/>
      <w:bookmarkStart w:id="274" w:name="_Toc38441576"/>
      <w:bookmarkStart w:id="275" w:name="_Toc38441904"/>
      <w:bookmarkStart w:id="276" w:name="_Toc38442236"/>
      <w:bookmarkStart w:id="277" w:name="_Toc38442568"/>
      <w:bookmarkStart w:id="278" w:name="_Toc38442899"/>
      <w:bookmarkStart w:id="279" w:name="_Toc38443230"/>
      <w:bookmarkStart w:id="280" w:name="_Toc38443561"/>
      <w:bookmarkStart w:id="281" w:name="_Toc38443891"/>
      <w:bookmarkStart w:id="282" w:name="_Toc38438359"/>
      <w:bookmarkStart w:id="283" w:name="_Toc38438696"/>
      <w:bookmarkStart w:id="284" w:name="_Toc38439033"/>
      <w:bookmarkStart w:id="285" w:name="_Toc38439370"/>
      <w:bookmarkStart w:id="286" w:name="_Toc38439707"/>
      <w:bookmarkStart w:id="287" w:name="_Toc38440044"/>
      <w:bookmarkStart w:id="288" w:name="_Toc38440381"/>
      <w:bookmarkStart w:id="289" w:name="_Toc38440913"/>
      <w:bookmarkStart w:id="290" w:name="_Toc38441245"/>
      <w:bookmarkStart w:id="291" w:name="_Toc38441577"/>
      <w:bookmarkStart w:id="292" w:name="_Toc38441905"/>
      <w:bookmarkStart w:id="293" w:name="_Toc38442237"/>
      <w:bookmarkStart w:id="294" w:name="_Toc38442569"/>
      <w:bookmarkStart w:id="295" w:name="_Toc38442900"/>
      <w:bookmarkStart w:id="296" w:name="_Toc38443231"/>
      <w:bookmarkStart w:id="297" w:name="_Toc38443562"/>
      <w:bookmarkStart w:id="298" w:name="_Toc38443892"/>
      <w:bookmarkStart w:id="299" w:name="_Toc38438360"/>
      <w:bookmarkStart w:id="300" w:name="_Toc38438697"/>
      <w:bookmarkStart w:id="301" w:name="_Toc38439034"/>
      <w:bookmarkStart w:id="302" w:name="_Toc38439371"/>
      <w:bookmarkStart w:id="303" w:name="_Toc38439708"/>
      <w:bookmarkStart w:id="304" w:name="_Toc38440045"/>
      <w:bookmarkStart w:id="305" w:name="_Toc38440382"/>
      <w:bookmarkStart w:id="306" w:name="_Toc38440914"/>
      <w:bookmarkStart w:id="307" w:name="_Toc38441246"/>
      <w:bookmarkStart w:id="308" w:name="_Toc38441578"/>
      <w:bookmarkStart w:id="309" w:name="_Toc38441906"/>
      <w:bookmarkStart w:id="310" w:name="_Toc38442238"/>
      <w:bookmarkStart w:id="311" w:name="_Toc38442570"/>
      <w:bookmarkStart w:id="312" w:name="_Toc38442901"/>
      <w:bookmarkStart w:id="313" w:name="_Toc38443232"/>
      <w:bookmarkStart w:id="314" w:name="_Toc38443563"/>
      <w:bookmarkStart w:id="315" w:name="_Toc38443893"/>
      <w:bookmarkStart w:id="316" w:name="_Toc38438361"/>
      <w:bookmarkStart w:id="317" w:name="_Toc38438698"/>
      <w:bookmarkStart w:id="318" w:name="_Toc38439035"/>
      <w:bookmarkStart w:id="319" w:name="_Toc38439372"/>
      <w:bookmarkStart w:id="320" w:name="_Toc38439709"/>
      <w:bookmarkStart w:id="321" w:name="_Toc38440046"/>
      <w:bookmarkStart w:id="322" w:name="_Toc38440383"/>
      <w:bookmarkStart w:id="323" w:name="_Toc38440915"/>
      <w:bookmarkStart w:id="324" w:name="_Toc38441247"/>
      <w:bookmarkStart w:id="325" w:name="_Toc38441579"/>
      <w:bookmarkStart w:id="326" w:name="_Toc38441907"/>
      <w:bookmarkStart w:id="327" w:name="_Toc38442239"/>
      <w:bookmarkStart w:id="328" w:name="_Toc38442571"/>
      <w:bookmarkStart w:id="329" w:name="_Toc38442902"/>
      <w:bookmarkStart w:id="330" w:name="_Toc38443233"/>
      <w:bookmarkStart w:id="331" w:name="_Toc38443564"/>
      <w:bookmarkStart w:id="332" w:name="_Toc38443894"/>
      <w:bookmarkStart w:id="333" w:name="_Toc38438362"/>
      <w:bookmarkStart w:id="334" w:name="_Toc38438699"/>
      <w:bookmarkStart w:id="335" w:name="_Toc38439036"/>
      <w:bookmarkStart w:id="336" w:name="_Toc38439373"/>
      <w:bookmarkStart w:id="337" w:name="_Toc38439710"/>
      <w:bookmarkStart w:id="338" w:name="_Toc38440047"/>
      <w:bookmarkStart w:id="339" w:name="_Toc38440384"/>
      <w:bookmarkStart w:id="340" w:name="_Toc38440916"/>
      <w:bookmarkStart w:id="341" w:name="_Toc38441248"/>
      <w:bookmarkStart w:id="342" w:name="_Toc38441580"/>
      <w:bookmarkStart w:id="343" w:name="_Toc38441908"/>
      <w:bookmarkStart w:id="344" w:name="_Toc38442240"/>
      <w:bookmarkStart w:id="345" w:name="_Toc38442572"/>
      <w:bookmarkStart w:id="346" w:name="_Toc38442903"/>
      <w:bookmarkStart w:id="347" w:name="_Toc38443234"/>
      <w:bookmarkStart w:id="348" w:name="_Toc38443565"/>
      <w:bookmarkStart w:id="349" w:name="_Toc38443895"/>
      <w:bookmarkStart w:id="350" w:name="_Toc38438363"/>
      <w:bookmarkStart w:id="351" w:name="_Toc38438700"/>
      <w:bookmarkStart w:id="352" w:name="_Toc38439037"/>
      <w:bookmarkStart w:id="353" w:name="_Toc38439374"/>
      <w:bookmarkStart w:id="354" w:name="_Toc38439711"/>
      <w:bookmarkStart w:id="355" w:name="_Toc38440048"/>
      <w:bookmarkStart w:id="356" w:name="_Toc38440385"/>
      <w:bookmarkStart w:id="357" w:name="_Toc38440917"/>
      <w:bookmarkStart w:id="358" w:name="_Toc38441249"/>
      <w:bookmarkStart w:id="359" w:name="_Toc38441581"/>
      <w:bookmarkStart w:id="360" w:name="_Toc38441909"/>
      <w:bookmarkStart w:id="361" w:name="_Toc38442241"/>
      <w:bookmarkStart w:id="362" w:name="_Toc38442573"/>
      <w:bookmarkStart w:id="363" w:name="_Toc38442904"/>
      <w:bookmarkStart w:id="364" w:name="_Toc38443235"/>
      <w:bookmarkStart w:id="365" w:name="_Toc38443566"/>
      <w:bookmarkStart w:id="366" w:name="_Toc38443896"/>
      <w:bookmarkStart w:id="367" w:name="_Toc38438364"/>
      <w:bookmarkStart w:id="368" w:name="_Toc38438701"/>
      <w:bookmarkStart w:id="369" w:name="_Toc38439038"/>
      <w:bookmarkStart w:id="370" w:name="_Toc38439375"/>
      <w:bookmarkStart w:id="371" w:name="_Toc38439712"/>
      <w:bookmarkStart w:id="372" w:name="_Toc38440049"/>
      <w:bookmarkStart w:id="373" w:name="_Toc38440386"/>
      <w:bookmarkStart w:id="374" w:name="_Toc38440918"/>
      <w:bookmarkStart w:id="375" w:name="_Toc38441250"/>
      <w:bookmarkStart w:id="376" w:name="_Toc38441582"/>
      <w:bookmarkStart w:id="377" w:name="_Toc38441910"/>
      <w:bookmarkStart w:id="378" w:name="_Toc38442242"/>
      <w:bookmarkStart w:id="379" w:name="_Toc38442574"/>
      <w:bookmarkStart w:id="380" w:name="_Toc38442905"/>
      <w:bookmarkStart w:id="381" w:name="_Toc38443236"/>
      <w:bookmarkStart w:id="382" w:name="_Toc38443567"/>
      <w:bookmarkStart w:id="383" w:name="_Toc38443897"/>
      <w:bookmarkStart w:id="384" w:name="_Toc38438365"/>
      <w:bookmarkStart w:id="385" w:name="_Toc38438702"/>
      <w:bookmarkStart w:id="386" w:name="_Toc38439039"/>
      <w:bookmarkStart w:id="387" w:name="_Toc38439376"/>
      <w:bookmarkStart w:id="388" w:name="_Toc38439713"/>
      <w:bookmarkStart w:id="389" w:name="_Toc38440050"/>
      <w:bookmarkStart w:id="390" w:name="_Toc38440387"/>
      <w:bookmarkStart w:id="391" w:name="_Toc38440919"/>
      <w:bookmarkStart w:id="392" w:name="_Toc38441251"/>
      <w:bookmarkStart w:id="393" w:name="_Toc38441583"/>
      <w:bookmarkStart w:id="394" w:name="_Toc38441911"/>
      <w:bookmarkStart w:id="395" w:name="_Toc38442243"/>
      <w:bookmarkStart w:id="396" w:name="_Toc38442575"/>
      <w:bookmarkStart w:id="397" w:name="_Toc38442906"/>
      <w:bookmarkStart w:id="398" w:name="_Toc38443237"/>
      <w:bookmarkStart w:id="399" w:name="_Toc38443568"/>
      <w:bookmarkStart w:id="400" w:name="_Toc38443898"/>
      <w:bookmarkStart w:id="401" w:name="_Toc38438366"/>
      <w:bookmarkStart w:id="402" w:name="_Toc38438703"/>
      <w:bookmarkStart w:id="403" w:name="_Toc38439040"/>
      <w:bookmarkStart w:id="404" w:name="_Toc38439377"/>
      <w:bookmarkStart w:id="405" w:name="_Toc38439714"/>
      <w:bookmarkStart w:id="406" w:name="_Toc38440051"/>
      <w:bookmarkStart w:id="407" w:name="_Toc38440388"/>
      <w:bookmarkStart w:id="408" w:name="_Toc38440920"/>
      <w:bookmarkStart w:id="409" w:name="_Toc38441252"/>
      <w:bookmarkStart w:id="410" w:name="_Toc38441584"/>
      <w:bookmarkStart w:id="411" w:name="_Toc38441912"/>
      <w:bookmarkStart w:id="412" w:name="_Toc38442244"/>
      <w:bookmarkStart w:id="413" w:name="_Toc38442576"/>
      <w:bookmarkStart w:id="414" w:name="_Toc38442907"/>
      <w:bookmarkStart w:id="415" w:name="_Toc38443238"/>
      <w:bookmarkStart w:id="416" w:name="_Toc38443569"/>
      <w:bookmarkStart w:id="417" w:name="_Toc38443899"/>
      <w:bookmarkStart w:id="418" w:name="_Toc38438367"/>
      <w:bookmarkStart w:id="419" w:name="_Toc38438704"/>
      <w:bookmarkStart w:id="420" w:name="_Toc38439041"/>
      <w:bookmarkStart w:id="421" w:name="_Toc38439378"/>
      <w:bookmarkStart w:id="422" w:name="_Toc38439715"/>
      <w:bookmarkStart w:id="423" w:name="_Toc38440052"/>
      <w:bookmarkStart w:id="424" w:name="_Toc38440389"/>
      <w:bookmarkStart w:id="425" w:name="_Toc38440921"/>
      <w:bookmarkStart w:id="426" w:name="_Toc38441253"/>
      <w:bookmarkStart w:id="427" w:name="_Toc38441585"/>
      <w:bookmarkStart w:id="428" w:name="_Toc38441913"/>
      <w:bookmarkStart w:id="429" w:name="_Toc38442245"/>
      <w:bookmarkStart w:id="430" w:name="_Toc38442577"/>
      <w:bookmarkStart w:id="431" w:name="_Toc38442908"/>
      <w:bookmarkStart w:id="432" w:name="_Toc38443239"/>
      <w:bookmarkStart w:id="433" w:name="_Toc38443570"/>
      <w:bookmarkStart w:id="434" w:name="_Toc38443900"/>
      <w:bookmarkStart w:id="435" w:name="_Toc38438368"/>
      <w:bookmarkStart w:id="436" w:name="_Toc38438705"/>
      <w:bookmarkStart w:id="437" w:name="_Toc38439042"/>
      <w:bookmarkStart w:id="438" w:name="_Toc38439379"/>
      <w:bookmarkStart w:id="439" w:name="_Toc38439716"/>
      <w:bookmarkStart w:id="440" w:name="_Toc38440053"/>
      <w:bookmarkStart w:id="441" w:name="_Toc38440390"/>
      <w:bookmarkStart w:id="442" w:name="_Toc38440922"/>
      <w:bookmarkStart w:id="443" w:name="_Toc38441254"/>
      <w:bookmarkStart w:id="444" w:name="_Toc38441586"/>
      <w:bookmarkStart w:id="445" w:name="_Toc38441914"/>
      <w:bookmarkStart w:id="446" w:name="_Toc38442246"/>
      <w:bookmarkStart w:id="447" w:name="_Toc38442578"/>
      <w:bookmarkStart w:id="448" w:name="_Toc38442909"/>
      <w:bookmarkStart w:id="449" w:name="_Toc38443240"/>
      <w:bookmarkStart w:id="450" w:name="_Toc38443571"/>
      <w:bookmarkStart w:id="451" w:name="_Toc38443901"/>
      <w:bookmarkStart w:id="452" w:name="_Toc38438369"/>
      <w:bookmarkStart w:id="453" w:name="_Toc38438706"/>
      <w:bookmarkStart w:id="454" w:name="_Toc38439043"/>
      <w:bookmarkStart w:id="455" w:name="_Toc38439380"/>
      <w:bookmarkStart w:id="456" w:name="_Toc38439717"/>
      <w:bookmarkStart w:id="457" w:name="_Toc38440054"/>
      <w:bookmarkStart w:id="458" w:name="_Toc38440391"/>
      <w:bookmarkStart w:id="459" w:name="_Toc38440923"/>
      <w:bookmarkStart w:id="460" w:name="_Toc38441255"/>
      <w:bookmarkStart w:id="461" w:name="_Toc38441587"/>
      <w:bookmarkStart w:id="462" w:name="_Toc38441915"/>
      <w:bookmarkStart w:id="463" w:name="_Toc38442247"/>
      <w:bookmarkStart w:id="464" w:name="_Toc38442579"/>
      <w:bookmarkStart w:id="465" w:name="_Toc38442910"/>
      <w:bookmarkStart w:id="466" w:name="_Toc38443241"/>
      <w:bookmarkStart w:id="467" w:name="_Toc38443572"/>
      <w:bookmarkStart w:id="468" w:name="_Toc38443902"/>
      <w:bookmarkStart w:id="469" w:name="_Toc38438371"/>
      <w:bookmarkStart w:id="470" w:name="_Toc38438708"/>
      <w:bookmarkStart w:id="471" w:name="_Toc38439045"/>
      <w:bookmarkStart w:id="472" w:name="_Toc38439382"/>
      <w:bookmarkStart w:id="473" w:name="_Toc38439719"/>
      <w:bookmarkStart w:id="474" w:name="_Toc38440056"/>
      <w:bookmarkStart w:id="475" w:name="_Toc38440393"/>
      <w:bookmarkStart w:id="476" w:name="_Toc38440925"/>
      <w:bookmarkStart w:id="477" w:name="_Toc38441257"/>
      <w:bookmarkStart w:id="478" w:name="_Toc38441589"/>
      <w:bookmarkStart w:id="479" w:name="_Toc38441917"/>
      <w:bookmarkStart w:id="480" w:name="_Toc38442249"/>
      <w:bookmarkStart w:id="481" w:name="_Toc38442581"/>
      <w:bookmarkStart w:id="482" w:name="_Toc38442912"/>
      <w:bookmarkStart w:id="483" w:name="_Toc38443243"/>
      <w:bookmarkStart w:id="484" w:name="_Toc38443574"/>
      <w:bookmarkStart w:id="485" w:name="_Toc38443904"/>
      <w:bookmarkStart w:id="486" w:name="_Toc38438372"/>
      <w:bookmarkStart w:id="487" w:name="_Toc38438709"/>
      <w:bookmarkStart w:id="488" w:name="_Toc38439046"/>
      <w:bookmarkStart w:id="489" w:name="_Toc38439383"/>
      <w:bookmarkStart w:id="490" w:name="_Toc38439720"/>
      <w:bookmarkStart w:id="491" w:name="_Toc38440057"/>
      <w:bookmarkStart w:id="492" w:name="_Toc38440394"/>
      <w:bookmarkStart w:id="493" w:name="_Toc38440926"/>
      <w:bookmarkStart w:id="494" w:name="_Toc38441258"/>
      <w:bookmarkStart w:id="495" w:name="_Toc38441590"/>
      <w:bookmarkStart w:id="496" w:name="_Toc38441918"/>
      <w:bookmarkStart w:id="497" w:name="_Toc38442250"/>
      <w:bookmarkStart w:id="498" w:name="_Toc38442582"/>
      <w:bookmarkStart w:id="499" w:name="_Toc38442913"/>
      <w:bookmarkStart w:id="500" w:name="_Toc38443244"/>
      <w:bookmarkStart w:id="501" w:name="_Toc38443575"/>
      <w:bookmarkStart w:id="502" w:name="_Toc38443905"/>
      <w:bookmarkStart w:id="503" w:name="_Toc38438373"/>
      <w:bookmarkStart w:id="504" w:name="_Toc38438710"/>
      <w:bookmarkStart w:id="505" w:name="_Toc38439047"/>
      <w:bookmarkStart w:id="506" w:name="_Toc38439384"/>
      <w:bookmarkStart w:id="507" w:name="_Toc38439721"/>
      <w:bookmarkStart w:id="508" w:name="_Toc38440058"/>
      <w:bookmarkStart w:id="509" w:name="_Toc38440395"/>
      <w:bookmarkStart w:id="510" w:name="_Toc38440927"/>
      <w:bookmarkStart w:id="511" w:name="_Toc38441259"/>
      <w:bookmarkStart w:id="512" w:name="_Toc38441591"/>
      <w:bookmarkStart w:id="513" w:name="_Toc38441919"/>
      <w:bookmarkStart w:id="514" w:name="_Toc38442251"/>
      <w:bookmarkStart w:id="515" w:name="_Toc38442583"/>
      <w:bookmarkStart w:id="516" w:name="_Toc38442914"/>
      <w:bookmarkStart w:id="517" w:name="_Toc38443245"/>
      <w:bookmarkStart w:id="518" w:name="_Toc38443576"/>
      <w:bookmarkStart w:id="519" w:name="_Toc38443906"/>
      <w:bookmarkStart w:id="520" w:name="_Toc38438374"/>
      <w:bookmarkStart w:id="521" w:name="_Toc38438711"/>
      <w:bookmarkStart w:id="522" w:name="_Toc38439048"/>
      <w:bookmarkStart w:id="523" w:name="_Toc38439385"/>
      <w:bookmarkStart w:id="524" w:name="_Toc38439722"/>
      <w:bookmarkStart w:id="525" w:name="_Toc38440059"/>
      <w:bookmarkStart w:id="526" w:name="_Toc38440396"/>
      <w:bookmarkStart w:id="527" w:name="_Toc38440928"/>
      <w:bookmarkStart w:id="528" w:name="_Toc38441260"/>
      <w:bookmarkStart w:id="529" w:name="_Toc38441592"/>
      <w:bookmarkStart w:id="530" w:name="_Toc38441920"/>
      <w:bookmarkStart w:id="531" w:name="_Toc38442252"/>
      <w:bookmarkStart w:id="532" w:name="_Toc38442584"/>
      <w:bookmarkStart w:id="533" w:name="_Toc38442915"/>
      <w:bookmarkStart w:id="534" w:name="_Toc38443246"/>
      <w:bookmarkStart w:id="535" w:name="_Toc38443577"/>
      <w:bookmarkStart w:id="536" w:name="_Toc38443907"/>
      <w:bookmarkStart w:id="537" w:name="_Toc38438375"/>
      <w:bookmarkStart w:id="538" w:name="_Toc38438712"/>
      <w:bookmarkStart w:id="539" w:name="_Toc38439049"/>
      <w:bookmarkStart w:id="540" w:name="_Toc38439386"/>
      <w:bookmarkStart w:id="541" w:name="_Toc38439723"/>
      <w:bookmarkStart w:id="542" w:name="_Toc38440060"/>
      <w:bookmarkStart w:id="543" w:name="_Toc38440397"/>
      <w:bookmarkStart w:id="544" w:name="_Toc38440929"/>
      <w:bookmarkStart w:id="545" w:name="_Toc38441261"/>
      <w:bookmarkStart w:id="546" w:name="_Toc38441593"/>
      <w:bookmarkStart w:id="547" w:name="_Toc38441921"/>
      <w:bookmarkStart w:id="548" w:name="_Toc38442253"/>
      <w:bookmarkStart w:id="549" w:name="_Toc38442585"/>
      <w:bookmarkStart w:id="550" w:name="_Toc38442916"/>
      <w:bookmarkStart w:id="551" w:name="_Toc38443247"/>
      <w:bookmarkStart w:id="552" w:name="_Toc38443578"/>
      <w:bookmarkStart w:id="553" w:name="_Toc38443908"/>
      <w:bookmarkStart w:id="554" w:name="_Toc38438376"/>
      <w:bookmarkStart w:id="555" w:name="_Toc38438713"/>
      <w:bookmarkStart w:id="556" w:name="_Toc38439050"/>
      <w:bookmarkStart w:id="557" w:name="_Toc38439387"/>
      <w:bookmarkStart w:id="558" w:name="_Toc38439724"/>
      <w:bookmarkStart w:id="559" w:name="_Toc38440061"/>
      <w:bookmarkStart w:id="560" w:name="_Toc38440398"/>
      <w:bookmarkStart w:id="561" w:name="_Toc38440930"/>
      <w:bookmarkStart w:id="562" w:name="_Toc38441262"/>
      <w:bookmarkStart w:id="563" w:name="_Toc38441594"/>
      <w:bookmarkStart w:id="564" w:name="_Toc38441922"/>
      <w:bookmarkStart w:id="565" w:name="_Toc38442254"/>
      <w:bookmarkStart w:id="566" w:name="_Toc38442586"/>
      <w:bookmarkStart w:id="567" w:name="_Toc38442917"/>
      <w:bookmarkStart w:id="568" w:name="_Toc38443248"/>
      <w:bookmarkStart w:id="569" w:name="_Toc38443579"/>
      <w:bookmarkStart w:id="570" w:name="_Toc38443909"/>
      <w:bookmarkStart w:id="571" w:name="_Toc38438377"/>
      <w:bookmarkStart w:id="572" w:name="_Toc38438714"/>
      <w:bookmarkStart w:id="573" w:name="_Toc38439051"/>
      <w:bookmarkStart w:id="574" w:name="_Toc38439388"/>
      <w:bookmarkStart w:id="575" w:name="_Toc38439725"/>
      <w:bookmarkStart w:id="576" w:name="_Toc38440062"/>
      <w:bookmarkStart w:id="577" w:name="_Toc38440399"/>
      <w:bookmarkStart w:id="578" w:name="_Toc38440931"/>
      <w:bookmarkStart w:id="579" w:name="_Toc38441263"/>
      <w:bookmarkStart w:id="580" w:name="_Toc38441595"/>
      <w:bookmarkStart w:id="581" w:name="_Toc38441923"/>
      <w:bookmarkStart w:id="582" w:name="_Toc38442255"/>
      <w:bookmarkStart w:id="583" w:name="_Toc38442587"/>
      <w:bookmarkStart w:id="584" w:name="_Toc38442918"/>
      <w:bookmarkStart w:id="585" w:name="_Toc38443249"/>
      <w:bookmarkStart w:id="586" w:name="_Toc38443580"/>
      <w:bookmarkStart w:id="587" w:name="_Toc38443910"/>
      <w:bookmarkStart w:id="588" w:name="_Toc38438378"/>
      <w:bookmarkStart w:id="589" w:name="_Toc38438715"/>
      <w:bookmarkStart w:id="590" w:name="_Toc38439052"/>
      <w:bookmarkStart w:id="591" w:name="_Toc38439389"/>
      <w:bookmarkStart w:id="592" w:name="_Toc38439726"/>
      <w:bookmarkStart w:id="593" w:name="_Toc38440063"/>
      <w:bookmarkStart w:id="594" w:name="_Toc38440400"/>
      <w:bookmarkStart w:id="595" w:name="_Toc38440932"/>
      <w:bookmarkStart w:id="596" w:name="_Toc38441264"/>
      <w:bookmarkStart w:id="597" w:name="_Toc38441596"/>
      <w:bookmarkStart w:id="598" w:name="_Toc38441924"/>
      <w:bookmarkStart w:id="599" w:name="_Toc38442256"/>
      <w:bookmarkStart w:id="600" w:name="_Toc38442588"/>
      <w:bookmarkStart w:id="601" w:name="_Toc38442919"/>
      <w:bookmarkStart w:id="602" w:name="_Toc38443250"/>
      <w:bookmarkStart w:id="603" w:name="_Toc38443581"/>
      <w:bookmarkStart w:id="604" w:name="_Toc38443911"/>
      <w:bookmarkStart w:id="605" w:name="_Toc38438379"/>
      <w:bookmarkStart w:id="606" w:name="_Toc38438716"/>
      <w:bookmarkStart w:id="607" w:name="_Toc38439053"/>
      <w:bookmarkStart w:id="608" w:name="_Toc38439390"/>
      <w:bookmarkStart w:id="609" w:name="_Toc38439727"/>
      <w:bookmarkStart w:id="610" w:name="_Toc38440064"/>
      <w:bookmarkStart w:id="611" w:name="_Toc38440401"/>
      <w:bookmarkStart w:id="612" w:name="_Toc38440933"/>
      <w:bookmarkStart w:id="613" w:name="_Toc38441265"/>
      <w:bookmarkStart w:id="614" w:name="_Toc38441597"/>
      <w:bookmarkStart w:id="615" w:name="_Toc38441925"/>
      <w:bookmarkStart w:id="616" w:name="_Toc38442257"/>
      <w:bookmarkStart w:id="617" w:name="_Toc38442589"/>
      <w:bookmarkStart w:id="618" w:name="_Toc38442920"/>
      <w:bookmarkStart w:id="619" w:name="_Toc38443251"/>
      <w:bookmarkStart w:id="620" w:name="_Toc38443582"/>
      <w:bookmarkStart w:id="621" w:name="_Toc38443912"/>
      <w:bookmarkStart w:id="622" w:name="_Toc38438380"/>
      <w:bookmarkStart w:id="623" w:name="_Toc38438717"/>
      <w:bookmarkStart w:id="624" w:name="_Toc38439054"/>
      <w:bookmarkStart w:id="625" w:name="_Toc38439391"/>
      <w:bookmarkStart w:id="626" w:name="_Toc38439728"/>
      <w:bookmarkStart w:id="627" w:name="_Toc38440065"/>
      <w:bookmarkStart w:id="628" w:name="_Toc38440402"/>
      <w:bookmarkStart w:id="629" w:name="_Toc38440934"/>
      <w:bookmarkStart w:id="630" w:name="_Toc38441266"/>
      <w:bookmarkStart w:id="631" w:name="_Toc38441598"/>
      <w:bookmarkStart w:id="632" w:name="_Toc38441926"/>
      <w:bookmarkStart w:id="633" w:name="_Toc38442258"/>
      <w:bookmarkStart w:id="634" w:name="_Toc38442590"/>
      <w:bookmarkStart w:id="635" w:name="_Toc38442921"/>
      <w:bookmarkStart w:id="636" w:name="_Toc38443252"/>
      <w:bookmarkStart w:id="637" w:name="_Toc38443583"/>
      <w:bookmarkStart w:id="638" w:name="_Toc38443913"/>
      <w:bookmarkStart w:id="639" w:name="_Toc38438381"/>
      <w:bookmarkStart w:id="640" w:name="_Toc38438718"/>
      <w:bookmarkStart w:id="641" w:name="_Toc38439055"/>
      <w:bookmarkStart w:id="642" w:name="_Toc38439392"/>
      <w:bookmarkStart w:id="643" w:name="_Toc38439729"/>
      <w:bookmarkStart w:id="644" w:name="_Toc38440066"/>
      <w:bookmarkStart w:id="645" w:name="_Toc38440403"/>
      <w:bookmarkStart w:id="646" w:name="_Toc38440935"/>
      <w:bookmarkStart w:id="647" w:name="_Toc38441267"/>
      <w:bookmarkStart w:id="648" w:name="_Toc38441599"/>
      <w:bookmarkStart w:id="649" w:name="_Toc38441927"/>
      <w:bookmarkStart w:id="650" w:name="_Toc38442259"/>
      <w:bookmarkStart w:id="651" w:name="_Toc38442591"/>
      <w:bookmarkStart w:id="652" w:name="_Toc38442922"/>
      <w:bookmarkStart w:id="653" w:name="_Toc38443253"/>
      <w:bookmarkStart w:id="654" w:name="_Toc38443584"/>
      <w:bookmarkStart w:id="655" w:name="_Toc38443914"/>
      <w:bookmarkStart w:id="656" w:name="_Toc38438382"/>
      <w:bookmarkStart w:id="657" w:name="_Toc38438719"/>
      <w:bookmarkStart w:id="658" w:name="_Toc38439056"/>
      <w:bookmarkStart w:id="659" w:name="_Toc38439393"/>
      <w:bookmarkStart w:id="660" w:name="_Toc38439730"/>
      <w:bookmarkStart w:id="661" w:name="_Toc38440067"/>
      <w:bookmarkStart w:id="662" w:name="_Toc38440404"/>
      <w:bookmarkStart w:id="663" w:name="_Toc38440936"/>
      <w:bookmarkStart w:id="664" w:name="_Toc38441268"/>
      <w:bookmarkStart w:id="665" w:name="_Toc38441600"/>
      <w:bookmarkStart w:id="666" w:name="_Toc38441928"/>
      <w:bookmarkStart w:id="667" w:name="_Toc38442260"/>
      <w:bookmarkStart w:id="668" w:name="_Toc38442592"/>
      <w:bookmarkStart w:id="669" w:name="_Toc38442923"/>
      <w:bookmarkStart w:id="670" w:name="_Toc38443254"/>
      <w:bookmarkStart w:id="671" w:name="_Toc38443585"/>
      <w:bookmarkStart w:id="672" w:name="_Toc38443915"/>
      <w:bookmarkStart w:id="673" w:name="_Toc38438383"/>
      <w:bookmarkStart w:id="674" w:name="_Toc38438720"/>
      <w:bookmarkStart w:id="675" w:name="_Toc38439057"/>
      <w:bookmarkStart w:id="676" w:name="_Toc38439394"/>
      <w:bookmarkStart w:id="677" w:name="_Toc38439731"/>
      <w:bookmarkStart w:id="678" w:name="_Toc38440068"/>
      <w:bookmarkStart w:id="679" w:name="_Toc38440405"/>
      <w:bookmarkStart w:id="680" w:name="_Toc38440937"/>
      <w:bookmarkStart w:id="681" w:name="_Toc38441269"/>
      <w:bookmarkStart w:id="682" w:name="_Toc38441601"/>
      <w:bookmarkStart w:id="683" w:name="_Toc38441929"/>
      <w:bookmarkStart w:id="684" w:name="_Toc38442261"/>
      <w:bookmarkStart w:id="685" w:name="_Toc38442593"/>
      <w:bookmarkStart w:id="686" w:name="_Toc38442924"/>
      <w:bookmarkStart w:id="687" w:name="_Toc38443255"/>
      <w:bookmarkStart w:id="688" w:name="_Toc38443586"/>
      <w:bookmarkStart w:id="689" w:name="_Toc38443916"/>
      <w:bookmarkStart w:id="690" w:name="_Toc38438384"/>
      <w:bookmarkStart w:id="691" w:name="_Toc38438721"/>
      <w:bookmarkStart w:id="692" w:name="_Toc38439058"/>
      <w:bookmarkStart w:id="693" w:name="_Toc38439395"/>
      <w:bookmarkStart w:id="694" w:name="_Toc38439732"/>
      <w:bookmarkStart w:id="695" w:name="_Toc38440069"/>
      <w:bookmarkStart w:id="696" w:name="_Toc38440406"/>
      <w:bookmarkStart w:id="697" w:name="_Toc38440938"/>
      <w:bookmarkStart w:id="698" w:name="_Toc38441270"/>
      <w:bookmarkStart w:id="699" w:name="_Toc38441602"/>
      <w:bookmarkStart w:id="700" w:name="_Toc38441930"/>
      <w:bookmarkStart w:id="701" w:name="_Toc38442262"/>
      <w:bookmarkStart w:id="702" w:name="_Toc38442594"/>
      <w:bookmarkStart w:id="703" w:name="_Toc38442925"/>
      <w:bookmarkStart w:id="704" w:name="_Toc38443256"/>
      <w:bookmarkStart w:id="705" w:name="_Toc38443587"/>
      <w:bookmarkStart w:id="706" w:name="_Toc38443917"/>
      <w:bookmarkStart w:id="707" w:name="_Toc38438385"/>
      <w:bookmarkStart w:id="708" w:name="_Toc38438722"/>
      <w:bookmarkStart w:id="709" w:name="_Toc38439059"/>
      <w:bookmarkStart w:id="710" w:name="_Toc38439396"/>
      <w:bookmarkStart w:id="711" w:name="_Toc38439733"/>
      <w:bookmarkStart w:id="712" w:name="_Toc38440070"/>
      <w:bookmarkStart w:id="713" w:name="_Toc38440407"/>
      <w:bookmarkStart w:id="714" w:name="_Toc38440939"/>
      <w:bookmarkStart w:id="715" w:name="_Toc38441271"/>
      <w:bookmarkStart w:id="716" w:name="_Toc38441603"/>
      <w:bookmarkStart w:id="717" w:name="_Toc38441931"/>
      <w:bookmarkStart w:id="718" w:name="_Toc38442263"/>
      <w:bookmarkStart w:id="719" w:name="_Toc38442595"/>
      <w:bookmarkStart w:id="720" w:name="_Toc38442926"/>
      <w:bookmarkStart w:id="721" w:name="_Toc38443257"/>
      <w:bookmarkStart w:id="722" w:name="_Toc38443588"/>
      <w:bookmarkStart w:id="723" w:name="_Toc38443918"/>
      <w:bookmarkStart w:id="724" w:name="_Toc38438386"/>
      <w:bookmarkStart w:id="725" w:name="_Toc38438723"/>
      <w:bookmarkStart w:id="726" w:name="_Toc38439060"/>
      <w:bookmarkStart w:id="727" w:name="_Toc38439397"/>
      <w:bookmarkStart w:id="728" w:name="_Toc38439734"/>
      <w:bookmarkStart w:id="729" w:name="_Toc38440071"/>
      <w:bookmarkStart w:id="730" w:name="_Toc38440408"/>
      <w:bookmarkStart w:id="731" w:name="_Toc38440940"/>
      <w:bookmarkStart w:id="732" w:name="_Toc38441272"/>
      <w:bookmarkStart w:id="733" w:name="_Toc38441604"/>
      <w:bookmarkStart w:id="734" w:name="_Toc38441932"/>
      <w:bookmarkStart w:id="735" w:name="_Toc38442264"/>
      <w:bookmarkStart w:id="736" w:name="_Toc38442596"/>
      <w:bookmarkStart w:id="737" w:name="_Toc38442927"/>
      <w:bookmarkStart w:id="738" w:name="_Toc38443258"/>
      <w:bookmarkStart w:id="739" w:name="_Toc38443589"/>
      <w:bookmarkStart w:id="740" w:name="_Toc38443919"/>
      <w:bookmarkStart w:id="741" w:name="_Toc38438387"/>
      <w:bookmarkStart w:id="742" w:name="_Toc38438724"/>
      <w:bookmarkStart w:id="743" w:name="_Toc38439061"/>
      <w:bookmarkStart w:id="744" w:name="_Toc38439398"/>
      <w:bookmarkStart w:id="745" w:name="_Toc38439735"/>
      <w:bookmarkStart w:id="746" w:name="_Toc38440072"/>
      <w:bookmarkStart w:id="747" w:name="_Toc38440409"/>
      <w:bookmarkStart w:id="748" w:name="_Toc38440941"/>
      <w:bookmarkStart w:id="749" w:name="_Toc38441273"/>
      <w:bookmarkStart w:id="750" w:name="_Toc38441605"/>
      <w:bookmarkStart w:id="751" w:name="_Toc38441933"/>
      <w:bookmarkStart w:id="752" w:name="_Toc38442265"/>
      <w:bookmarkStart w:id="753" w:name="_Toc38442597"/>
      <w:bookmarkStart w:id="754" w:name="_Toc38442928"/>
      <w:bookmarkStart w:id="755" w:name="_Toc38443259"/>
      <w:bookmarkStart w:id="756" w:name="_Toc38443590"/>
      <w:bookmarkStart w:id="757" w:name="_Toc38443920"/>
      <w:bookmarkStart w:id="758" w:name="_Toc38438388"/>
      <w:bookmarkStart w:id="759" w:name="_Toc38438725"/>
      <w:bookmarkStart w:id="760" w:name="_Toc38439062"/>
      <w:bookmarkStart w:id="761" w:name="_Toc38439399"/>
      <w:bookmarkStart w:id="762" w:name="_Toc38439736"/>
      <w:bookmarkStart w:id="763" w:name="_Toc38440073"/>
      <w:bookmarkStart w:id="764" w:name="_Toc38440410"/>
      <w:bookmarkStart w:id="765" w:name="_Toc38440942"/>
      <w:bookmarkStart w:id="766" w:name="_Toc38441274"/>
      <w:bookmarkStart w:id="767" w:name="_Toc38441606"/>
      <w:bookmarkStart w:id="768" w:name="_Toc38441934"/>
      <w:bookmarkStart w:id="769" w:name="_Toc38442266"/>
      <w:bookmarkStart w:id="770" w:name="_Toc38442598"/>
      <w:bookmarkStart w:id="771" w:name="_Toc38442929"/>
      <w:bookmarkStart w:id="772" w:name="_Toc38443260"/>
      <w:bookmarkStart w:id="773" w:name="_Toc38443591"/>
      <w:bookmarkStart w:id="774" w:name="_Toc38443921"/>
      <w:bookmarkStart w:id="775" w:name="_Toc38438389"/>
      <w:bookmarkStart w:id="776" w:name="_Toc38438726"/>
      <w:bookmarkStart w:id="777" w:name="_Toc38439063"/>
      <w:bookmarkStart w:id="778" w:name="_Toc38439400"/>
      <w:bookmarkStart w:id="779" w:name="_Toc38439737"/>
      <w:bookmarkStart w:id="780" w:name="_Toc38440074"/>
      <w:bookmarkStart w:id="781" w:name="_Toc38440411"/>
      <w:bookmarkStart w:id="782" w:name="_Toc38440943"/>
      <w:bookmarkStart w:id="783" w:name="_Toc38441275"/>
      <w:bookmarkStart w:id="784" w:name="_Toc38441607"/>
      <w:bookmarkStart w:id="785" w:name="_Toc38441935"/>
      <w:bookmarkStart w:id="786" w:name="_Toc38442267"/>
      <w:bookmarkStart w:id="787" w:name="_Toc38442599"/>
      <w:bookmarkStart w:id="788" w:name="_Toc38442930"/>
      <w:bookmarkStart w:id="789" w:name="_Toc38443261"/>
      <w:bookmarkStart w:id="790" w:name="_Toc38443592"/>
      <w:bookmarkStart w:id="791" w:name="_Toc38443922"/>
      <w:bookmarkStart w:id="792" w:name="_Toc38438390"/>
      <w:bookmarkStart w:id="793" w:name="_Toc38438727"/>
      <w:bookmarkStart w:id="794" w:name="_Toc38439064"/>
      <w:bookmarkStart w:id="795" w:name="_Toc38439401"/>
      <w:bookmarkStart w:id="796" w:name="_Toc38439738"/>
      <w:bookmarkStart w:id="797" w:name="_Toc38440075"/>
      <w:bookmarkStart w:id="798" w:name="_Toc38440412"/>
      <w:bookmarkStart w:id="799" w:name="_Toc38440944"/>
      <w:bookmarkStart w:id="800" w:name="_Toc38441276"/>
      <w:bookmarkStart w:id="801" w:name="_Toc38441608"/>
      <w:bookmarkStart w:id="802" w:name="_Toc38441936"/>
      <w:bookmarkStart w:id="803" w:name="_Toc38442268"/>
      <w:bookmarkStart w:id="804" w:name="_Toc38442600"/>
      <w:bookmarkStart w:id="805" w:name="_Toc38442931"/>
      <w:bookmarkStart w:id="806" w:name="_Toc38443262"/>
      <w:bookmarkStart w:id="807" w:name="_Toc38443593"/>
      <w:bookmarkStart w:id="808" w:name="_Toc38443923"/>
      <w:bookmarkStart w:id="809" w:name="_Toc38438391"/>
      <w:bookmarkStart w:id="810" w:name="_Toc38438728"/>
      <w:bookmarkStart w:id="811" w:name="_Toc38439065"/>
      <w:bookmarkStart w:id="812" w:name="_Toc38439402"/>
      <w:bookmarkStart w:id="813" w:name="_Toc38439739"/>
      <w:bookmarkStart w:id="814" w:name="_Toc38440076"/>
      <w:bookmarkStart w:id="815" w:name="_Toc38440413"/>
      <w:bookmarkStart w:id="816" w:name="_Toc38440945"/>
      <w:bookmarkStart w:id="817" w:name="_Toc38441277"/>
      <w:bookmarkStart w:id="818" w:name="_Toc38441609"/>
      <w:bookmarkStart w:id="819" w:name="_Toc38441937"/>
      <w:bookmarkStart w:id="820" w:name="_Toc38442269"/>
      <w:bookmarkStart w:id="821" w:name="_Toc38442601"/>
      <w:bookmarkStart w:id="822" w:name="_Toc38442932"/>
      <w:bookmarkStart w:id="823" w:name="_Toc38443263"/>
      <w:bookmarkStart w:id="824" w:name="_Toc38443594"/>
      <w:bookmarkStart w:id="825" w:name="_Toc38443924"/>
      <w:bookmarkStart w:id="826" w:name="_Toc38438392"/>
      <w:bookmarkStart w:id="827" w:name="_Toc38438729"/>
      <w:bookmarkStart w:id="828" w:name="_Toc38439066"/>
      <w:bookmarkStart w:id="829" w:name="_Toc38439403"/>
      <w:bookmarkStart w:id="830" w:name="_Toc38439740"/>
      <w:bookmarkStart w:id="831" w:name="_Toc38440077"/>
      <w:bookmarkStart w:id="832" w:name="_Toc38440414"/>
      <w:bookmarkStart w:id="833" w:name="_Toc38440946"/>
      <w:bookmarkStart w:id="834" w:name="_Toc38441278"/>
      <w:bookmarkStart w:id="835" w:name="_Toc38441610"/>
      <w:bookmarkStart w:id="836" w:name="_Toc38441938"/>
      <w:bookmarkStart w:id="837" w:name="_Toc38442270"/>
      <w:bookmarkStart w:id="838" w:name="_Toc38442602"/>
      <w:bookmarkStart w:id="839" w:name="_Toc38442933"/>
      <w:bookmarkStart w:id="840" w:name="_Toc38443264"/>
      <w:bookmarkStart w:id="841" w:name="_Toc38443595"/>
      <w:bookmarkStart w:id="842" w:name="_Toc38443925"/>
      <w:bookmarkStart w:id="843" w:name="_Toc38438393"/>
      <w:bookmarkStart w:id="844" w:name="_Toc38438730"/>
      <w:bookmarkStart w:id="845" w:name="_Toc38439067"/>
      <w:bookmarkStart w:id="846" w:name="_Toc38439404"/>
      <w:bookmarkStart w:id="847" w:name="_Toc38439741"/>
      <w:bookmarkStart w:id="848" w:name="_Toc38440078"/>
      <w:bookmarkStart w:id="849" w:name="_Toc38440415"/>
      <w:bookmarkStart w:id="850" w:name="_Toc38440947"/>
      <w:bookmarkStart w:id="851" w:name="_Toc38441279"/>
      <w:bookmarkStart w:id="852" w:name="_Toc38441611"/>
      <w:bookmarkStart w:id="853" w:name="_Toc38441939"/>
      <w:bookmarkStart w:id="854" w:name="_Toc38442271"/>
      <w:bookmarkStart w:id="855" w:name="_Toc38442603"/>
      <w:bookmarkStart w:id="856" w:name="_Toc38442934"/>
      <w:bookmarkStart w:id="857" w:name="_Toc38443265"/>
      <w:bookmarkStart w:id="858" w:name="_Toc38443596"/>
      <w:bookmarkStart w:id="859" w:name="_Toc38443926"/>
      <w:bookmarkStart w:id="860" w:name="_Toc38438394"/>
      <w:bookmarkStart w:id="861" w:name="_Toc38438731"/>
      <w:bookmarkStart w:id="862" w:name="_Toc38439068"/>
      <w:bookmarkStart w:id="863" w:name="_Toc38439405"/>
      <w:bookmarkStart w:id="864" w:name="_Toc38439742"/>
      <w:bookmarkStart w:id="865" w:name="_Toc38440079"/>
      <w:bookmarkStart w:id="866" w:name="_Toc38440416"/>
      <w:bookmarkStart w:id="867" w:name="_Toc38440948"/>
      <w:bookmarkStart w:id="868" w:name="_Toc38441280"/>
      <w:bookmarkStart w:id="869" w:name="_Toc38441612"/>
      <w:bookmarkStart w:id="870" w:name="_Toc38441940"/>
      <w:bookmarkStart w:id="871" w:name="_Toc38442272"/>
      <w:bookmarkStart w:id="872" w:name="_Toc38442604"/>
      <w:bookmarkStart w:id="873" w:name="_Toc38442935"/>
      <w:bookmarkStart w:id="874" w:name="_Toc38443266"/>
      <w:bookmarkStart w:id="875" w:name="_Toc38443597"/>
      <w:bookmarkStart w:id="876" w:name="_Toc38443927"/>
      <w:bookmarkStart w:id="877" w:name="_Toc38438395"/>
      <w:bookmarkStart w:id="878" w:name="_Toc38438732"/>
      <w:bookmarkStart w:id="879" w:name="_Toc38439069"/>
      <w:bookmarkStart w:id="880" w:name="_Toc38439406"/>
      <w:bookmarkStart w:id="881" w:name="_Toc38439743"/>
      <w:bookmarkStart w:id="882" w:name="_Toc38440080"/>
      <w:bookmarkStart w:id="883" w:name="_Toc38440417"/>
      <w:bookmarkStart w:id="884" w:name="_Toc38440949"/>
      <w:bookmarkStart w:id="885" w:name="_Toc38441281"/>
      <w:bookmarkStart w:id="886" w:name="_Toc38441613"/>
      <w:bookmarkStart w:id="887" w:name="_Toc38441941"/>
      <w:bookmarkStart w:id="888" w:name="_Toc38442273"/>
      <w:bookmarkStart w:id="889" w:name="_Toc38442605"/>
      <w:bookmarkStart w:id="890" w:name="_Toc38442936"/>
      <w:bookmarkStart w:id="891" w:name="_Toc38443267"/>
      <w:bookmarkStart w:id="892" w:name="_Toc38443598"/>
      <w:bookmarkStart w:id="893" w:name="_Toc38443928"/>
      <w:bookmarkStart w:id="894" w:name="_Toc38438396"/>
      <w:bookmarkStart w:id="895" w:name="_Toc38438733"/>
      <w:bookmarkStart w:id="896" w:name="_Toc38439070"/>
      <w:bookmarkStart w:id="897" w:name="_Toc38439407"/>
      <w:bookmarkStart w:id="898" w:name="_Toc38439744"/>
      <w:bookmarkStart w:id="899" w:name="_Toc38440081"/>
      <w:bookmarkStart w:id="900" w:name="_Toc38440418"/>
      <w:bookmarkStart w:id="901" w:name="_Toc38440950"/>
      <w:bookmarkStart w:id="902" w:name="_Toc38441282"/>
      <w:bookmarkStart w:id="903" w:name="_Toc38441614"/>
      <w:bookmarkStart w:id="904" w:name="_Toc38441942"/>
      <w:bookmarkStart w:id="905" w:name="_Toc38442274"/>
      <w:bookmarkStart w:id="906" w:name="_Toc38442606"/>
      <w:bookmarkStart w:id="907" w:name="_Toc38442937"/>
      <w:bookmarkStart w:id="908" w:name="_Toc38443268"/>
      <w:bookmarkStart w:id="909" w:name="_Toc38443599"/>
      <w:bookmarkStart w:id="910" w:name="_Toc38443929"/>
      <w:bookmarkStart w:id="911" w:name="_Toc38438397"/>
      <w:bookmarkStart w:id="912" w:name="_Toc38438734"/>
      <w:bookmarkStart w:id="913" w:name="_Toc38439071"/>
      <w:bookmarkStart w:id="914" w:name="_Toc38439408"/>
      <w:bookmarkStart w:id="915" w:name="_Toc38439745"/>
      <w:bookmarkStart w:id="916" w:name="_Toc38440082"/>
      <w:bookmarkStart w:id="917" w:name="_Toc38440419"/>
      <w:bookmarkStart w:id="918" w:name="_Toc38440951"/>
      <w:bookmarkStart w:id="919" w:name="_Toc38441283"/>
      <w:bookmarkStart w:id="920" w:name="_Toc38441615"/>
      <w:bookmarkStart w:id="921" w:name="_Toc38441943"/>
      <w:bookmarkStart w:id="922" w:name="_Toc38442275"/>
      <w:bookmarkStart w:id="923" w:name="_Toc38442607"/>
      <w:bookmarkStart w:id="924" w:name="_Toc38442938"/>
      <w:bookmarkStart w:id="925" w:name="_Toc38443269"/>
      <w:bookmarkStart w:id="926" w:name="_Toc38443600"/>
      <w:bookmarkStart w:id="927" w:name="_Toc38443930"/>
      <w:bookmarkStart w:id="928" w:name="_Toc38438398"/>
      <w:bookmarkStart w:id="929" w:name="_Toc38438735"/>
      <w:bookmarkStart w:id="930" w:name="_Toc38439072"/>
      <w:bookmarkStart w:id="931" w:name="_Toc38439409"/>
      <w:bookmarkStart w:id="932" w:name="_Toc38439746"/>
      <w:bookmarkStart w:id="933" w:name="_Toc38440083"/>
      <w:bookmarkStart w:id="934" w:name="_Toc38440420"/>
      <w:bookmarkStart w:id="935" w:name="_Toc38440952"/>
      <w:bookmarkStart w:id="936" w:name="_Toc38441284"/>
      <w:bookmarkStart w:id="937" w:name="_Toc38441616"/>
      <w:bookmarkStart w:id="938" w:name="_Toc38441944"/>
      <w:bookmarkStart w:id="939" w:name="_Toc38442276"/>
      <w:bookmarkStart w:id="940" w:name="_Toc38442608"/>
      <w:bookmarkStart w:id="941" w:name="_Toc38442939"/>
      <w:bookmarkStart w:id="942" w:name="_Toc38443270"/>
      <w:bookmarkStart w:id="943" w:name="_Toc38443601"/>
      <w:bookmarkStart w:id="944" w:name="_Toc38443931"/>
      <w:bookmarkStart w:id="945" w:name="_Toc38438400"/>
      <w:bookmarkStart w:id="946" w:name="_Toc38438737"/>
      <w:bookmarkStart w:id="947" w:name="_Toc38439074"/>
      <w:bookmarkStart w:id="948" w:name="_Toc38439411"/>
      <w:bookmarkStart w:id="949" w:name="_Toc38439748"/>
      <w:bookmarkStart w:id="950" w:name="_Toc38440085"/>
      <w:bookmarkStart w:id="951" w:name="_Toc38440422"/>
      <w:bookmarkStart w:id="952" w:name="_Toc38440954"/>
      <w:bookmarkStart w:id="953" w:name="_Toc38441286"/>
      <w:bookmarkStart w:id="954" w:name="_Toc38441618"/>
      <w:bookmarkStart w:id="955" w:name="_Toc38441946"/>
      <w:bookmarkStart w:id="956" w:name="_Toc38442278"/>
      <w:bookmarkStart w:id="957" w:name="_Toc38442610"/>
      <w:bookmarkStart w:id="958" w:name="_Toc38442941"/>
      <w:bookmarkStart w:id="959" w:name="_Toc38443272"/>
      <w:bookmarkStart w:id="960" w:name="_Toc38443603"/>
      <w:bookmarkStart w:id="961" w:name="_Toc38443933"/>
      <w:bookmarkStart w:id="962" w:name="_Toc38438401"/>
      <w:bookmarkStart w:id="963" w:name="_Toc38438738"/>
      <w:bookmarkStart w:id="964" w:name="_Toc38439075"/>
      <w:bookmarkStart w:id="965" w:name="_Toc38439412"/>
      <w:bookmarkStart w:id="966" w:name="_Toc38439749"/>
      <w:bookmarkStart w:id="967" w:name="_Toc38440086"/>
      <w:bookmarkStart w:id="968" w:name="_Toc38440423"/>
      <w:bookmarkStart w:id="969" w:name="_Toc38440955"/>
      <w:bookmarkStart w:id="970" w:name="_Toc38441287"/>
      <w:bookmarkStart w:id="971" w:name="_Toc38441619"/>
      <w:bookmarkStart w:id="972" w:name="_Toc38441947"/>
      <w:bookmarkStart w:id="973" w:name="_Toc38442279"/>
      <w:bookmarkStart w:id="974" w:name="_Toc38442611"/>
      <w:bookmarkStart w:id="975" w:name="_Toc38442942"/>
      <w:bookmarkStart w:id="976" w:name="_Toc38443273"/>
      <w:bookmarkStart w:id="977" w:name="_Toc38443604"/>
      <w:bookmarkStart w:id="978" w:name="_Toc38443934"/>
      <w:bookmarkStart w:id="979" w:name="_Toc38438402"/>
      <w:bookmarkStart w:id="980" w:name="_Toc38438739"/>
      <w:bookmarkStart w:id="981" w:name="_Toc38439076"/>
      <w:bookmarkStart w:id="982" w:name="_Toc38439413"/>
      <w:bookmarkStart w:id="983" w:name="_Toc38439750"/>
      <w:bookmarkStart w:id="984" w:name="_Toc38440087"/>
      <w:bookmarkStart w:id="985" w:name="_Toc38440424"/>
      <w:bookmarkStart w:id="986" w:name="_Toc38440956"/>
      <w:bookmarkStart w:id="987" w:name="_Toc38441288"/>
      <w:bookmarkStart w:id="988" w:name="_Toc38441620"/>
      <w:bookmarkStart w:id="989" w:name="_Toc38441948"/>
      <w:bookmarkStart w:id="990" w:name="_Toc38442280"/>
      <w:bookmarkStart w:id="991" w:name="_Toc38442612"/>
      <w:bookmarkStart w:id="992" w:name="_Toc38442943"/>
      <w:bookmarkStart w:id="993" w:name="_Toc38443274"/>
      <w:bookmarkStart w:id="994" w:name="_Toc38443605"/>
      <w:bookmarkStart w:id="995" w:name="_Toc38443935"/>
      <w:bookmarkStart w:id="996" w:name="_Toc38438404"/>
      <w:bookmarkStart w:id="997" w:name="_Toc38438741"/>
      <w:bookmarkStart w:id="998" w:name="_Toc38439078"/>
      <w:bookmarkStart w:id="999" w:name="_Toc38439415"/>
      <w:bookmarkStart w:id="1000" w:name="_Toc38439752"/>
      <w:bookmarkStart w:id="1001" w:name="_Toc38440089"/>
      <w:bookmarkStart w:id="1002" w:name="_Toc38440426"/>
      <w:bookmarkStart w:id="1003" w:name="_Toc38440958"/>
      <w:bookmarkStart w:id="1004" w:name="_Toc38441290"/>
      <w:bookmarkStart w:id="1005" w:name="_Toc38441622"/>
      <w:bookmarkStart w:id="1006" w:name="_Toc38441950"/>
      <w:bookmarkStart w:id="1007" w:name="_Toc38442282"/>
      <w:bookmarkStart w:id="1008" w:name="_Toc38442614"/>
      <w:bookmarkStart w:id="1009" w:name="_Toc38442945"/>
      <w:bookmarkStart w:id="1010" w:name="_Toc38443276"/>
      <w:bookmarkStart w:id="1011" w:name="_Toc38443607"/>
      <w:bookmarkStart w:id="1012" w:name="_Toc38443937"/>
      <w:bookmarkStart w:id="1013" w:name="_Toc38438405"/>
      <w:bookmarkStart w:id="1014" w:name="_Toc38438742"/>
      <w:bookmarkStart w:id="1015" w:name="_Toc38439079"/>
      <w:bookmarkStart w:id="1016" w:name="_Toc38439416"/>
      <w:bookmarkStart w:id="1017" w:name="_Toc38439753"/>
      <w:bookmarkStart w:id="1018" w:name="_Toc38440090"/>
      <w:bookmarkStart w:id="1019" w:name="_Toc38440427"/>
      <w:bookmarkStart w:id="1020" w:name="_Toc38440959"/>
      <w:bookmarkStart w:id="1021" w:name="_Toc38441291"/>
      <w:bookmarkStart w:id="1022" w:name="_Toc38441623"/>
      <w:bookmarkStart w:id="1023" w:name="_Toc38441951"/>
      <w:bookmarkStart w:id="1024" w:name="_Toc38442283"/>
      <w:bookmarkStart w:id="1025" w:name="_Toc38442615"/>
      <w:bookmarkStart w:id="1026" w:name="_Toc38442946"/>
      <w:bookmarkStart w:id="1027" w:name="_Toc38443277"/>
      <w:bookmarkStart w:id="1028" w:name="_Toc38443608"/>
      <w:bookmarkStart w:id="1029" w:name="_Toc38443938"/>
      <w:bookmarkStart w:id="1030" w:name="_Toc38438406"/>
      <w:bookmarkStart w:id="1031" w:name="_Toc38438743"/>
      <w:bookmarkStart w:id="1032" w:name="_Toc38439080"/>
      <w:bookmarkStart w:id="1033" w:name="_Toc38439417"/>
      <w:bookmarkStart w:id="1034" w:name="_Toc38439754"/>
      <w:bookmarkStart w:id="1035" w:name="_Toc38440091"/>
      <w:bookmarkStart w:id="1036" w:name="_Toc38440428"/>
      <w:bookmarkStart w:id="1037" w:name="_Toc38440960"/>
      <w:bookmarkStart w:id="1038" w:name="_Toc38441292"/>
      <w:bookmarkStart w:id="1039" w:name="_Toc38441624"/>
      <w:bookmarkStart w:id="1040" w:name="_Toc38441952"/>
      <w:bookmarkStart w:id="1041" w:name="_Toc38442284"/>
      <w:bookmarkStart w:id="1042" w:name="_Toc38442616"/>
      <w:bookmarkStart w:id="1043" w:name="_Toc38442947"/>
      <w:bookmarkStart w:id="1044" w:name="_Toc38443278"/>
      <w:bookmarkStart w:id="1045" w:name="_Toc38443609"/>
      <w:bookmarkStart w:id="1046" w:name="_Toc38443939"/>
      <w:bookmarkStart w:id="1047" w:name="_Toc38438407"/>
      <w:bookmarkStart w:id="1048" w:name="_Toc38438744"/>
      <w:bookmarkStart w:id="1049" w:name="_Toc38439081"/>
      <w:bookmarkStart w:id="1050" w:name="_Toc38439418"/>
      <w:bookmarkStart w:id="1051" w:name="_Toc38439755"/>
      <w:bookmarkStart w:id="1052" w:name="_Toc38440092"/>
      <w:bookmarkStart w:id="1053" w:name="_Toc38440429"/>
      <w:bookmarkStart w:id="1054" w:name="_Toc38440961"/>
      <w:bookmarkStart w:id="1055" w:name="_Toc38441293"/>
      <w:bookmarkStart w:id="1056" w:name="_Toc38441625"/>
      <w:bookmarkStart w:id="1057" w:name="_Toc38441953"/>
      <w:bookmarkStart w:id="1058" w:name="_Toc38442285"/>
      <w:bookmarkStart w:id="1059" w:name="_Toc38442617"/>
      <w:bookmarkStart w:id="1060" w:name="_Toc38442948"/>
      <w:bookmarkStart w:id="1061" w:name="_Toc38443279"/>
      <w:bookmarkStart w:id="1062" w:name="_Toc38443610"/>
      <w:bookmarkStart w:id="1063" w:name="_Toc38443940"/>
      <w:bookmarkStart w:id="1064" w:name="_Toc38438408"/>
      <w:bookmarkStart w:id="1065" w:name="_Toc38438745"/>
      <w:bookmarkStart w:id="1066" w:name="_Toc38439082"/>
      <w:bookmarkStart w:id="1067" w:name="_Toc38439419"/>
      <w:bookmarkStart w:id="1068" w:name="_Toc38439756"/>
      <w:bookmarkStart w:id="1069" w:name="_Toc38440093"/>
      <w:bookmarkStart w:id="1070" w:name="_Toc38440430"/>
      <w:bookmarkStart w:id="1071" w:name="_Toc38440962"/>
      <w:bookmarkStart w:id="1072" w:name="_Toc38441294"/>
      <w:bookmarkStart w:id="1073" w:name="_Toc38441626"/>
      <w:bookmarkStart w:id="1074" w:name="_Toc38441954"/>
      <w:bookmarkStart w:id="1075" w:name="_Toc38442286"/>
      <w:bookmarkStart w:id="1076" w:name="_Toc38442618"/>
      <w:bookmarkStart w:id="1077" w:name="_Toc38442949"/>
      <w:bookmarkStart w:id="1078" w:name="_Toc38443280"/>
      <w:bookmarkStart w:id="1079" w:name="_Toc38443611"/>
      <w:bookmarkStart w:id="1080" w:name="_Toc38443941"/>
      <w:bookmarkStart w:id="1081" w:name="_Toc38438409"/>
      <w:bookmarkStart w:id="1082" w:name="_Toc38438746"/>
      <w:bookmarkStart w:id="1083" w:name="_Toc38439083"/>
      <w:bookmarkStart w:id="1084" w:name="_Toc38439420"/>
      <w:bookmarkStart w:id="1085" w:name="_Toc38439757"/>
      <w:bookmarkStart w:id="1086" w:name="_Toc38440094"/>
      <w:bookmarkStart w:id="1087" w:name="_Toc38440431"/>
      <w:bookmarkStart w:id="1088" w:name="_Toc38440963"/>
      <w:bookmarkStart w:id="1089" w:name="_Toc38441295"/>
      <w:bookmarkStart w:id="1090" w:name="_Toc38441627"/>
      <w:bookmarkStart w:id="1091" w:name="_Toc38441955"/>
      <w:bookmarkStart w:id="1092" w:name="_Toc38442287"/>
      <w:bookmarkStart w:id="1093" w:name="_Toc38442619"/>
      <w:bookmarkStart w:id="1094" w:name="_Toc38442950"/>
      <w:bookmarkStart w:id="1095" w:name="_Toc38443281"/>
      <w:bookmarkStart w:id="1096" w:name="_Toc38443612"/>
      <w:bookmarkStart w:id="1097" w:name="_Toc38443942"/>
      <w:bookmarkStart w:id="1098" w:name="_Toc38438410"/>
      <w:bookmarkStart w:id="1099" w:name="_Toc38438747"/>
      <w:bookmarkStart w:id="1100" w:name="_Toc38439084"/>
      <w:bookmarkStart w:id="1101" w:name="_Toc38439421"/>
      <w:bookmarkStart w:id="1102" w:name="_Toc38439758"/>
      <w:bookmarkStart w:id="1103" w:name="_Toc38440095"/>
      <w:bookmarkStart w:id="1104" w:name="_Toc38440432"/>
      <w:bookmarkStart w:id="1105" w:name="_Toc38440964"/>
      <w:bookmarkStart w:id="1106" w:name="_Toc38441296"/>
      <w:bookmarkStart w:id="1107" w:name="_Toc38441628"/>
      <w:bookmarkStart w:id="1108" w:name="_Toc38441956"/>
      <w:bookmarkStart w:id="1109" w:name="_Toc38442288"/>
      <w:bookmarkStart w:id="1110" w:name="_Toc38442620"/>
      <w:bookmarkStart w:id="1111" w:name="_Toc38442951"/>
      <w:bookmarkStart w:id="1112" w:name="_Toc38443282"/>
      <w:bookmarkStart w:id="1113" w:name="_Toc38443613"/>
      <w:bookmarkStart w:id="1114" w:name="_Toc38443943"/>
      <w:bookmarkStart w:id="1115" w:name="_Toc38438411"/>
      <w:bookmarkStart w:id="1116" w:name="_Toc38438748"/>
      <w:bookmarkStart w:id="1117" w:name="_Toc38439085"/>
      <w:bookmarkStart w:id="1118" w:name="_Toc38439422"/>
      <w:bookmarkStart w:id="1119" w:name="_Toc38439759"/>
      <w:bookmarkStart w:id="1120" w:name="_Toc38440096"/>
      <w:bookmarkStart w:id="1121" w:name="_Toc38440433"/>
      <w:bookmarkStart w:id="1122" w:name="_Toc38440965"/>
      <w:bookmarkStart w:id="1123" w:name="_Toc38441297"/>
      <w:bookmarkStart w:id="1124" w:name="_Toc38441629"/>
      <w:bookmarkStart w:id="1125" w:name="_Toc38441957"/>
      <w:bookmarkStart w:id="1126" w:name="_Toc38442289"/>
      <w:bookmarkStart w:id="1127" w:name="_Toc38442621"/>
      <w:bookmarkStart w:id="1128" w:name="_Toc38442952"/>
      <w:bookmarkStart w:id="1129" w:name="_Toc38443283"/>
      <w:bookmarkStart w:id="1130" w:name="_Toc38443614"/>
      <w:bookmarkStart w:id="1131" w:name="_Toc38443944"/>
      <w:bookmarkStart w:id="1132" w:name="_Toc38438412"/>
      <w:bookmarkStart w:id="1133" w:name="_Toc38438749"/>
      <w:bookmarkStart w:id="1134" w:name="_Toc38439086"/>
      <w:bookmarkStart w:id="1135" w:name="_Toc38439423"/>
      <w:bookmarkStart w:id="1136" w:name="_Toc38439760"/>
      <w:bookmarkStart w:id="1137" w:name="_Toc38440097"/>
      <w:bookmarkStart w:id="1138" w:name="_Toc38440434"/>
      <w:bookmarkStart w:id="1139" w:name="_Toc38440966"/>
      <w:bookmarkStart w:id="1140" w:name="_Toc38441298"/>
      <w:bookmarkStart w:id="1141" w:name="_Toc38441630"/>
      <w:bookmarkStart w:id="1142" w:name="_Toc38441958"/>
      <w:bookmarkStart w:id="1143" w:name="_Toc38442290"/>
      <w:bookmarkStart w:id="1144" w:name="_Toc38442622"/>
      <w:bookmarkStart w:id="1145" w:name="_Toc38442953"/>
      <w:bookmarkStart w:id="1146" w:name="_Toc38443284"/>
      <w:bookmarkStart w:id="1147" w:name="_Toc38443615"/>
      <w:bookmarkStart w:id="1148" w:name="_Toc38443945"/>
      <w:bookmarkStart w:id="1149" w:name="_Toc38438413"/>
      <w:bookmarkStart w:id="1150" w:name="_Toc38438750"/>
      <w:bookmarkStart w:id="1151" w:name="_Toc38439087"/>
      <w:bookmarkStart w:id="1152" w:name="_Toc38439424"/>
      <w:bookmarkStart w:id="1153" w:name="_Toc38439761"/>
      <w:bookmarkStart w:id="1154" w:name="_Toc38440098"/>
      <w:bookmarkStart w:id="1155" w:name="_Toc38440435"/>
      <w:bookmarkStart w:id="1156" w:name="_Toc38440967"/>
      <w:bookmarkStart w:id="1157" w:name="_Toc38441299"/>
      <w:bookmarkStart w:id="1158" w:name="_Toc38441631"/>
      <w:bookmarkStart w:id="1159" w:name="_Toc38441959"/>
      <w:bookmarkStart w:id="1160" w:name="_Toc38442291"/>
      <w:bookmarkStart w:id="1161" w:name="_Toc38442623"/>
      <w:bookmarkStart w:id="1162" w:name="_Toc38442954"/>
      <w:bookmarkStart w:id="1163" w:name="_Toc38443285"/>
      <w:bookmarkStart w:id="1164" w:name="_Toc38443616"/>
      <w:bookmarkStart w:id="1165" w:name="_Toc38443946"/>
      <w:bookmarkStart w:id="1166" w:name="_Toc38438414"/>
      <w:bookmarkStart w:id="1167" w:name="_Toc38438751"/>
      <w:bookmarkStart w:id="1168" w:name="_Toc38439088"/>
      <w:bookmarkStart w:id="1169" w:name="_Toc38439425"/>
      <w:bookmarkStart w:id="1170" w:name="_Toc38439762"/>
      <w:bookmarkStart w:id="1171" w:name="_Toc38440099"/>
      <w:bookmarkStart w:id="1172" w:name="_Toc38440436"/>
      <w:bookmarkStart w:id="1173" w:name="_Toc38440968"/>
      <w:bookmarkStart w:id="1174" w:name="_Toc38441300"/>
      <w:bookmarkStart w:id="1175" w:name="_Toc38441632"/>
      <w:bookmarkStart w:id="1176" w:name="_Toc38441960"/>
      <w:bookmarkStart w:id="1177" w:name="_Toc38442292"/>
      <w:bookmarkStart w:id="1178" w:name="_Toc38442624"/>
      <w:bookmarkStart w:id="1179" w:name="_Toc38442955"/>
      <w:bookmarkStart w:id="1180" w:name="_Toc38443286"/>
      <w:bookmarkStart w:id="1181" w:name="_Toc38443617"/>
      <w:bookmarkStart w:id="1182" w:name="_Toc38443947"/>
      <w:bookmarkStart w:id="1183" w:name="_Toc38438415"/>
      <w:bookmarkStart w:id="1184" w:name="_Toc38438752"/>
      <w:bookmarkStart w:id="1185" w:name="_Toc38439089"/>
      <w:bookmarkStart w:id="1186" w:name="_Toc38439426"/>
      <w:bookmarkStart w:id="1187" w:name="_Toc38439763"/>
      <w:bookmarkStart w:id="1188" w:name="_Toc38440100"/>
      <w:bookmarkStart w:id="1189" w:name="_Toc38440437"/>
      <w:bookmarkStart w:id="1190" w:name="_Toc38440969"/>
      <w:bookmarkStart w:id="1191" w:name="_Toc38441301"/>
      <w:bookmarkStart w:id="1192" w:name="_Toc38441633"/>
      <w:bookmarkStart w:id="1193" w:name="_Toc38441961"/>
      <w:bookmarkStart w:id="1194" w:name="_Toc38442293"/>
      <w:bookmarkStart w:id="1195" w:name="_Toc38442625"/>
      <w:bookmarkStart w:id="1196" w:name="_Toc38442956"/>
      <w:bookmarkStart w:id="1197" w:name="_Toc38443287"/>
      <w:bookmarkStart w:id="1198" w:name="_Toc38443618"/>
      <w:bookmarkStart w:id="1199" w:name="_Toc38443948"/>
      <w:bookmarkStart w:id="1200" w:name="_Toc38438416"/>
      <w:bookmarkStart w:id="1201" w:name="_Toc38438753"/>
      <w:bookmarkStart w:id="1202" w:name="_Toc38439090"/>
      <w:bookmarkStart w:id="1203" w:name="_Toc38439427"/>
      <w:bookmarkStart w:id="1204" w:name="_Toc38439764"/>
      <w:bookmarkStart w:id="1205" w:name="_Toc38440101"/>
      <w:bookmarkStart w:id="1206" w:name="_Toc38440438"/>
      <w:bookmarkStart w:id="1207" w:name="_Toc38440970"/>
      <w:bookmarkStart w:id="1208" w:name="_Toc38441302"/>
      <w:bookmarkStart w:id="1209" w:name="_Toc38441634"/>
      <w:bookmarkStart w:id="1210" w:name="_Toc38441962"/>
      <w:bookmarkStart w:id="1211" w:name="_Toc38442294"/>
      <w:bookmarkStart w:id="1212" w:name="_Toc38442626"/>
      <w:bookmarkStart w:id="1213" w:name="_Toc38442957"/>
      <w:bookmarkStart w:id="1214" w:name="_Toc38443288"/>
      <w:bookmarkStart w:id="1215" w:name="_Toc38443619"/>
      <w:bookmarkStart w:id="1216" w:name="_Toc38443949"/>
      <w:bookmarkStart w:id="1217" w:name="_Toc38438417"/>
      <w:bookmarkStart w:id="1218" w:name="_Toc38438754"/>
      <w:bookmarkStart w:id="1219" w:name="_Toc38439091"/>
      <w:bookmarkStart w:id="1220" w:name="_Toc38439428"/>
      <w:bookmarkStart w:id="1221" w:name="_Toc38439765"/>
      <w:bookmarkStart w:id="1222" w:name="_Toc38440102"/>
      <w:bookmarkStart w:id="1223" w:name="_Toc38440439"/>
      <w:bookmarkStart w:id="1224" w:name="_Toc38440971"/>
      <w:bookmarkStart w:id="1225" w:name="_Toc38441303"/>
      <w:bookmarkStart w:id="1226" w:name="_Toc38441635"/>
      <w:bookmarkStart w:id="1227" w:name="_Toc38441963"/>
      <w:bookmarkStart w:id="1228" w:name="_Toc38442295"/>
      <w:bookmarkStart w:id="1229" w:name="_Toc38442627"/>
      <w:bookmarkStart w:id="1230" w:name="_Toc38442958"/>
      <w:bookmarkStart w:id="1231" w:name="_Toc38443289"/>
      <w:bookmarkStart w:id="1232" w:name="_Toc38443620"/>
      <w:bookmarkStart w:id="1233" w:name="_Toc38443950"/>
      <w:bookmarkStart w:id="1234" w:name="_Toc38438418"/>
      <w:bookmarkStart w:id="1235" w:name="_Toc38438755"/>
      <w:bookmarkStart w:id="1236" w:name="_Toc38439092"/>
      <w:bookmarkStart w:id="1237" w:name="_Toc38439429"/>
      <w:bookmarkStart w:id="1238" w:name="_Toc38439766"/>
      <w:bookmarkStart w:id="1239" w:name="_Toc38440103"/>
      <w:bookmarkStart w:id="1240" w:name="_Toc38440440"/>
      <w:bookmarkStart w:id="1241" w:name="_Toc38440972"/>
      <w:bookmarkStart w:id="1242" w:name="_Toc38441304"/>
      <w:bookmarkStart w:id="1243" w:name="_Toc38441636"/>
      <w:bookmarkStart w:id="1244" w:name="_Toc38441964"/>
      <w:bookmarkStart w:id="1245" w:name="_Toc38442296"/>
      <w:bookmarkStart w:id="1246" w:name="_Toc38442628"/>
      <w:bookmarkStart w:id="1247" w:name="_Toc38442959"/>
      <w:bookmarkStart w:id="1248" w:name="_Toc38443290"/>
      <w:bookmarkStart w:id="1249" w:name="_Toc38443621"/>
      <w:bookmarkStart w:id="1250" w:name="_Toc38443951"/>
      <w:bookmarkStart w:id="1251" w:name="_Toc38438419"/>
      <w:bookmarkStart w:id="1252" w:name="_Toc38438756"/>
      <w:bookmarkStart w:id="1253" w:name="_Toc38439093"/>
      <w:bookmarkStart w:id="1254" w:name="_Toc38439430"/>
      <w:bookmarkStart w:id="1255" w:name="_Toc38439767"/>
      <w:bookmarkStart w:id="1256" w:name="_Toc38440104"/>
      <w:bookmarkStart w:id="1257" w:name="_Toc38440441"/>
      <w:bookmarkStart w:id="1258" w:name="_Toc38440973"/>
      <w:bookmarkStart w:id="1259" w:name="_Toc38441305"/>
      <w:bookmarkStart w:id="1260" w:name="_Toc38441637"/>
      <w:bookmarkStart w:id="1261" w:name="_Toc38441965"/>
      <w:bookmarkStart w:id="1262" w:name="_Toc38442297"/>
      <w:bookmarkStart w:id="1263" w:name="_Toc38442629"/>
      <w:bookmarkStart w:id="1264" w:name="_Toc38442960"/>
      <w:bookmarkStart w:id="1265" w:name="_Toc38443291"/>
      <w:bookmarkStart w:id="1266" w:name="_Toc38443622"/>
      <w:bookmarkStart w:id="1267" w:name="_Toc38443952"/>
      <w:bookmarkStart w:id="1268" w:name="_Toc38438420"/>
      <w:bookmarkStart w:id="1269" w:name="_Toc38438757"/>
      <w:bookmarkStart w:id="1270" w:name="_Toc38439094"/>
      <w:bookmarkStart w:id="1271" w:name="_Toc38439431"/>
      <w:bookmarkStart w:id="1272" w:name="_Toc38439768"/>
      <w:bookmarkStart w:id="1273" w:name="_Toc38440105"/>
      <w:bookmarkStart w:id="1274" w:name="_Toc38440442"/>
      <w:bookmarkStart w:id="1275" w:name="_Toc38440974"/>
      <w:bookmarkStart w:id="1276" w:name="_Toc38441306"/>
      <w:bookmarkStart w:id="1277" w:name="_Toc38441638"/>
      <w:bookmarkStart w:id="1278" w:name="_Toc38441966"/>
      <w:bookmarkStart w:id="1279" w:name="_Toc38442298"/>
      <w:bookmarkStart w:id="1280" w:name="_Toc38442630"/>
      <w:bookmarkStart w:id="1281" w:name="_Toc38442961"/>
      <w:bookmarkStart w:id="1282" w:name="_Toc38443292"/>
      <w:bookmarkStart w:id="1283" w:name="_Toc38443623"/>
      <w:bookmarkStart w:id="1284" w:name="_Toc38443953"/>
      <w:bookmarkStart w:id="1285" w:name="_Toc38438421"/>
      <w:bookmarkStart w:id="1286" w:name="_Toc38438758"/>
      <w:bookmarkStart w:id="1287" w:name="_Toc38439095"/>
      <w:bookmarkStart w:id="1288" w:name="_Toc38439432"/>
      <w:bookmarkStart w:id="1289" w:name="_Toc38439769"/>
      <w:bookmarkStart w:id="1290" w:name="_Toc38440106"/>
      <w:bookmarkStart w:id="1291" w:name="_Toc38440443"/>
      <w:bookmarkStart w:id="1292" w:name="_Toc38440975"/>
      <w:bookmarkStart w:id="1293" w:name="_Toc38441307"/>
      <w:bookmarkStart w:id="1294" w:name="_Toc38441639"/>
      <w:bookmarkStart w:id="1295" w:name="_Toc38441967"/>
      <w:bookmarkStart w:id="1296" w:name="_Toc38442299"/>
      <w:bookmarkStart w:id="1297" w:name="_Toc38442631"/>
      <w:bookmarkStart w:id="1298" w:name="_Toc38442962"/>
      <w:bookmarkStart w:id="1299" w:name="_Toc38443293"/>
      <w:bookmarkStart w:id="1300" w:name="_Toc38443624"/>
      <w:bookmarkStart w:id="1301" w:name="_Toc38443954"/>
      <w:bookmarkStart w:id="1302" w:name="_Toc38438422"/>
      <w:bookmarkStart w:id="1303" w:name="_Toc38438759"/>
      <w:bookmarkStart w:id="1304" w:name="_Toc38439096"/>
      <w:bookmarkStart w:id="1305" w:name="_Toc38439433"/>
      <w:bookmarkStart w:id="1306" w:name="_Toc38439770"/>
      <w:bookmarkStart w:id="1307" w:name="_Toc38440107"/>
      <w:bookmarkStart w:id="1308" w:name="_Toc38440444"/>
      <w:bookmarkStart w:id="1309" w:name="_Toc38440976"/>
      <w:bookmarkStart w:id="1310" w:name="_Toc38441308"/>
      <w:bookmarkStart w:id="1311" w:name="_Toc38441640"/>
      <w:bookmarkStart w:id="1312" w:name="_Toc38441968"/>
      <w:bookmarkStart w:id="1313" w:name="_Toc38442300"/>
      <w:bookmarkStart w:id="1314" w:name="_Toc38442632"/>
      <w:bookmarkStart w:id="1315" w:name="_Toc38442963"/>
      <w:bookmarkStart w:id="1316" w:name="_Toc38443294"/>
      <w:bookmarkStart w:id="1317" w:name="_Toc38443625"/>
      <w:bookmarkStart w:id="1318" w:name="_Toc38443955"/>
      <w:bookmarkStart w:id="1319" w:name="_Toc38438423"/>
      <w:bookmarkStart w:id="1320" w:name="_Toc38438760"/>
      <w:bookmarkStart w:id="1321" w:name="_Toc38439097"/>
      <w:bookmarkStart w:id="1322" w:name="_Toc38439434"/>
      <w:bookmarkStart w:id="1323" w:name="_Toc38439771"/>
      <w:bookmarkStart w:id="1324" w:name="_Toc38440108"/>
      <w:bookmarkStart w:id="1325" w:name="_Toc38440445"/>
      <w:bookmarkStart w:id="1326" w:name="_Toc38440977"/>
      <w:bookmarkStart w:id="1327" w:name="_Toc38441309"/>
      <w:bookmarkStart w:id="1328" w:name="_Toc38441641"/>
      <w:bookmarkStart w:id="1329" w:name="_Toc38441969"/>
      <w:bookmarkStart w:id="1330" w:name="_Toc38442301"/>
      <w:bookmarkStart w:id="1331" w:name="_Toc38442633"/>
      <w:bookmarkStart w:id="1332" w:name="_Toc38442964"/>
      <w:bookmarkStart w:id="1333" w:name="_Toc38443295"/>
      <w:bookmarkStart w:id="1334" w:name="_Toc38443626"/>
      <w:bookmarkStart w:id="1335" w:name="_Toc38443956"/>
      <w:bookmarkStart w:id="1336" w:name="_Toc38438424"/>
      <w:bookmarkStart w:id="1337" w:name="_Toc38438761"/>
      <w:bookmarkStart w:id="1338" w:name="_Toc38439098"/>
      <w:bookmarkStart w:id="1339" w:name="_Toc38439435"/>
      <w:bookmarkStart w:id="1340" w:name="_Toc38439772"/>
      <w:bookmarkStart w:id="1341" w:name="_Toc38440109"/>
      <w:bookmarkStart w:id="1342" w:name="_Toc38440446"/>
      <w:bookmarkStart w:id="1343" w:name="_Toc38440978"/>
      <w:bookmarkStart w:id="1344" w:name="_Toc38441310"/>
      <w:bookmarkStart w:id="1345" w:name="_Toc38441642"/>
      <w:bookmarkStart w:id="1346" w:name="_Toc38441970"/>
      <w:bookmarkStart w:id="1347" w:name="_Toc38442302"/>
      <w:bookmarkStart w:id="1348" w:name="_Toc38442634"/>
      <w:bookmarkStart w:id="1349" w:name="_Toc38442965"/>
      <w:bookmarkStart w:id="1350" w:name="_Toc38443296"/>
      <w:bookmarkStart w:id="1351" w:name="_Toc38443627"/>
      <w:bookmarkStart w:id="1352" w:name="_Toc38443957"/>
      <w:bookmarkStart w:id="1353" w:name="_Toc38438425"/>
      <w:bookmarkStart w:id="1354" w:name="_Toc38438762"/>
      <w:bookmarkStart w:id="1355" w:name="_Toc38439099"/>
      <w:bookmarkStart w:id="1356" w:name="_Toc38439436"/>
      <w:bookmarkStart w:id="1357" w:name="_Toc38439773"/>
      <w:bookmarkStart w:id="1358" w:name="_Toc38440110"/>
      <w:bookmarkStart w:id="1359" w:name="_Toc38440447"/>
      <w:bookmarkStart w:id="1360" w:name="_Toc38440979"/>
      <w:bookmarkStart w:id="1361" w:name="_Toc38441311"/>
      <w:bookmarkStart w:id="1362" w:name="_Toc38441643"/>
      <w:bookmarkStart w:id="1363" w:name="_Toc38441971"/>
      <w:bookmarkStart w:id="1364" w:name="_Toc38442303"/>
      <w:bookmarkStart w:id="1365" w:name="_Toc38442635"/>
      <w:bookmarkStart w:id="1366" w:name="_Toc38442966"/>
      <w:bookmarkStart w:id="1367" w:name="_Toc38443297"/>
      <w:bookmarkStart w:id="1368" w:name="_Toc38443628"/>
      <w:bookmarkStart w:id="1369" w:name="_Toc38443958"/>
      <w:bookmarkStart w:id="1370" w:name="_Toc38438426"/>
      <w:bookmarkStart w:id="1371" w:name="_Toc38438763"/>
      <w:bookmarkStart w:id="1372" w:name="_Toc38439100"/>
      <w:bookmarkStart w:id="1373" w:name="_Toc38439437"/>
      <w:bookmarkStart w:id="1374" w:name="_Toc38439774"/>
      <w:bookmarkStart w:id="1375" w:name="_Toc38440111"/>
      <w:bookmarkStart w:id="1376" w:name="_Toc38440448"/>
      <w:bookmarkStart w:id="1377" w:name="_Toc38440980"/>
      <w:bookmarkStart w:id="1378" w:name="_Toc38441312"/>
      <w:bookmarkStart w:id="1379" w:name="_Toc38441644"/>
      <w:bookmarkStart w:id="1380" w:name="_Toc38441972"/>
      <w:bookmarkStart w:id="1381" w:name="_Toc38442304"/>
      <w:bookmarkStart w:id="1382" w:name="_Toc38442636"/>
      <w:bookmarkStart w:id="1383" w:name="_Toc38442967"/>
      <w:bookmarkStart w:id="1384" w:name="_Toc38443298"/>
      <w:bookmarkStart w:id="1385" w:name="_Toc38443629"/>
      <w:bookmarkStart w:id="1386" w:name="_Toc38443959"/>
      <w:bookmarkStart w:id="1387" w:name="_Toc38438427"/>
      <w:bookmarkStart w:id="1388" w:name="_Toc38438764"/>
      <w:bookmarkStart w:id="1389" w:name="_Toc38439101"/>
      <w:bookmarkStart w:id="1390" w:name="_Toc38439438"/>
      <w:bookmarkStart w:id="1391" w:name="_Toc38439775"/>
      <w:bookmarkStart w:id="1392" w:name="_Toc38440112"/>
      <w:bookmarkStart w:id="1393" w:name="_Toc38440449"/>
      <w:bookmarkStart w:id="1394" w:name="_Toc38440981"/>
      <w:bookmarkStart w:id="1395" w:name="_Toc38441313"/>
      <w:bookmarkStart w:id="1396" w:name="_Toc38441645"/>
      <w:bookmarkStart w:id="1397" w:name="_Toc38441973"/>
      <w:bookmarkStart w:id="1398" w:name="_Toc38442305"/>
      <w:bookmarkStart w:id="1399" w:name="_Toc38442637"/>
      <w:bookmarkStart w:id="1400" w:name="_Toc38442968"/>
      <w:bookmarkStart w:id="1401" w:name="_Toc38443299"/>
      <w:bookmarkStart w:id="1402" w:name="_Toc38443630"/>
      <w:bookmarkStart w:id="1403" w:name="_Toc38443960"/>
      <w:bookmarkStart w:id="1404" w:name="_Toc38438428"/>
      <w:bookmarkStart w:id="1405" w:name="_Toc38438765"/>
      <w:bookmarkStart w:id="1406" w:name="_Toc38439102"/>
      <w:bookmarkStart w:id="1407" w:name="_Toc38439439"/>
      <w:bookmarkStart w:id="1408" w:name="_Toc38439776"/>
      <w:bookmarkStart w:id="1409" w:name="_Toc38440113"/>
      <w:bookmarkStart w:id="1410" w:name="_Toc38440450"/>
      <w:bookmarkStart w:id="1411" w:name="_Toc38440982"/>
      <w:bookmarkStart w:id="1412" w:name="_Toc38441314"/>
      <w:bookmarkStart w:id="1413" w:name="_Toc38441646"/>
      <w:bookmarkStart w:id="1414" w:name="_Toc38441974"/>
      <w:bookmarkStart w:id="1415" w:name="_Toc38442306"/>
      <w:bookmarkStart w:id="1416" w:name="_Toc38442638"/>
      <w:bookmarkStart w:id="1417" w:name="_Toc38442969"/>
      <w:bookmarkStart w:id="1418" w:name="_Toc38443300"/>
      <w:bookmarkStart w:id="1419" w:name="_Toc38443631"/>
      <w:bookmarkStart w:id="1420" w:name="_Toc38443961"/>
      <w:bookmarkStart w:id="1421" w:name="_Toc38438429"/>
      <w:bookmarkStart w:id="1422" w:name="_Toc38438766"/>
      <w:bookmarkStart w:id="1423" w:name="_Toc38439103"/>
      <w:bookmarkStart w:id="1424" w:name="_Toc38439440"/>
      <w:bookmarkStart w:id="1425" w:name="_Toc38439777"/>
      <w:bookmarkStart w:id="1426" w:name="_Toc38440114"/>
      <w:bookmarkStart w:id="1427" w:name="_Toc38440451"/>
      <w:bookmarkStart w:id="1428" w:name="_Toc38440983"/>
      <w:bookmarkStart w:id="1429" w:name="_Toc38441315"/>
      <w:bookmarkStart w:id="1430" w:name="_Toc38441647"/>
      <w:bookmarkStart w:id="1431" w:name="_Toc38441975"/>
      <w:bookmarkStart w:id="1432" w:name="_Toc38442307"/>
      <w:bookmarkStart w:id="1433" w:name="_Toc38442639"/>
      <w:bookmarkStart w:id="1434" w:name="_Toc38442970"/>
      <w:bookmarkStart w:id="1435" w:name="_Toc38443301"/>
      <w:bookmarkStart w:id="1436" w:name="_Toc38443632"/>
      <w:bookmarkStart w:id="1437" w:name="_Toc38443962"/>
      <w:bookmarkStart w:id="1438" w:name="_Toc38438430"/>
      <w:bookmarkStart w:id="1439" w:name="_Toc38438767"/>
      <w:bookmarkStart w:id="1440" w:name="_Toc38439104"/>
      <w:bookmarkStart w:id="1441" w:name="_Toc38439441"/>
      <w:bookmarkStart w:id="1442" w:name="_Toc38439778"/>
      <w:bookmarkStart w:id="1443" w:name="_Toc38440115"/>
      <w:bookmarkStart w:id="1444" w:name="_Toc38440452"/>
      <w:bookmarkStart w:id="1445" w:name="_Toc38440984"/>
      <w:bookmarkStart w:id="1446" w:name="_Toc38441316"/>
      <w:bookmarkStart w:id="1447" w:name="_Toc38441648"/>
      <w:bookmarkStart w:id="1448" w:name="_Toc38441976"/>
      <w:bookmarkStart w:id="1449" w:name="_Toc38442308"/>
      <w:bookmarkStart w:id="1450" w:name="_Toc38442640"/>
      <w:bookmarkStart w:id="1451" w:name="_Toc38442971"/>
      <w:bookmarkStart w:id="1452" w:name="_Toc38443302"/>
      <w:bookmarkStart w:id="1453" w:name="_Toc38443633"/>
      <w:bookmarkStart w:id="1454" w:name="_Toc38443963"/>
      <w:bookmarkStart w:id="1455" w:name="_Toc38438431"/>
      <w:bookmarkStart w:id="1456" w:name="_Toc38438768"/>
      <w:bookmarkStart w:id="1457" w:name="_Toc38439105"/>
      <w:bookmarkStart w:id="1458" w:name="_Toc38439442"/>
      <w:bookmarkStart w:id="1459" w:name="_Toc38439779"/>
      <w:bookmarkStart w:id="1460" w:name="_Toc38440116"/>
      <w:bookmarkStart w:id="1461" w:name="_Toc38440453"/>
      <w:bookmarkStart w:id="1462" w:name="_Toc38440985"/>
      <w:bookmarkStart w:id="1463" w:name="_Toc38441317"/>
      <w:bookmarkStart w:id="1464" w:name="_Toc38441649"/>
      <w:bookmarkStart w:id="1465" w:name="_Toc38441977"/>
      <w:bookmarkStart w:id="1466" w:name="_Toc38442309"/>
      <w:bookmarkStart w:id="1467" w:name="_Toc38442641"/>
      <w:bookmarkStart w:id="1468" w:name="_Toc38442972"/>
      <w:bookmarkStart w:id="1469" w:name="_Toc38443303"/>
      <w:bookmarkStart w:id="1470" w:name="_Toc38443634"/>
      <w:bookmarkStart w:id="1471" w:name="_Toc38443964"/>
      <w:bookmarkStart w:id="1472" w:name="_Toc38438432"/>
      <w:bookmarkStart w:id="1473" w:name="_Toc38438769"/>
      <w:bookmarkStart w:id="1474" w:name="_Toc38439106"/>
      <w:bookmarkStart w:id="1475" w:name="_Toc38439443"/>
      <w:bookmarkStart w:id="1476" w:name="_Toc38439780"/>
      <w:bookmarkStart w:id="1477" w:name="_Toc38440117"/>
      <w:bookmarkStart w:id="1478" w:name="_Toc38440454"/>
      <w:bookmarkStart w:id="1479" w:name="_Toc38440986"/>
      <w:bookmarkStart w:id="1480" w:name="_Toc38441318"/>
      <w:bookmarkStart w:id="1481" w:name="_Toc38441650"/>
      <w:bookmarkStart w:id="1482" w:name="_Toc38441978"/>
      <w:bookmarkStart w:id="1483" w:name="_Toc38442310"/>
      <w:bookmarkStart w:id="1484" w:name="_Toc38442642"/>
      <w:bookmarkStart w:id="1485" w:name="_Toc38442973"/>
      <w:bookmarkStart w:id="1486" w:name="_Toc38443304"/>
      <w:bookmarkStart w:id="1487" w:name="_Toc38443635"/>
      <w:bookmarkStart w:id="1488" w:name="_Toc38443965"/>
      <w:bookmarkStart w:id="1489" w:name="_Toc38438433"/>
      <w:bookmarkStart w:id="1490" w:name="_Toc38438770"/>
      <w:bookmarkStart w:id="1491" w:name="_Toc38439107"/>
      <w:bookmarkStart w:id="1492" w:name="_Toc38439444"/>
      <w:bookmarkStart w:id="1493" w:name="_Toc38439781"/>
      <w:bookmarkStart w:id="1494" w:name="_Toc38440118"/>
      <w:bookmarkStart w:id="1495" w:name="_Toc38440455"/>
      <w:bookmarkStart w:id="1496" w:name="_Toc38440987"/>
      <w:bookmarkStart w:id="1497" w:name="_Toc38441319"/>
      <w:bookmarkStart w:id="1498" w:name="_Toc38441651"/>
      <w:bookmarkStart w:id="1499" w:name="_Toc38441979"/>
      <w:bookmarkStart w:id="1500" w:name="_Toc38442311"/>
      <w:bookmarkStart w:id="1501" w:name="_Toc38442643"/>
      <w:bookmarkStart w:id="1502" w:name="_Toc38442974"/>
      <w:bookmarkStart w:id="1503" w:name="_Toc38443305"/>
      <w:bookmarkStart w:id="1504" w:name="_Toc38443636"/>
      <w:bookmarkStart w:id="1505" w:name="_Toc38443966"/>
      <w:bookmarkStart w:id="1506" w:name="_Toc38438434"/>
      <w:bookmarkStart w:id="1507" w:name="_Toc38438771"/>
      <w:bookmarkStart w:id="1508" w:name="_Toc38439108"/>
      <w:bookmarkStart w:id="1509" w:name="_Toc38439445"/>
      <w:bookmarkStart w:id="1510" w:name="_Toc38439782"/>
      <w:bookmarkStart w:id="1511" w:name="_Toc38440119"/>
      <w:bookmarkStart w:id="1512" w:name="_Toc38440456"/>
      <w:bookmarkStart w:id="1513" w:name="_Toc38440988"/>
      <w:bookmarkStart w:id="1514" w:name="_Toc38441320"/>
      <w:bookmarkStart w:id="1515" w:name="_Toc38441652"/>
      <w:bookmarkStart w:id="1516" w:name="_Toc38441980"/>
      <w:bookmarkStart w:id="1517" w:name="_Toc38442312"/>
      <w:bookmarkStart w:id="1518" w:name="_Toc38442644"/>
      <w:bookmarkStart w:id="1519" w:name="_Toc38442975"/>
      <w:bookmarkStart w:id="1520" w:name="_Toc38443306"/>
      <w:bookmarkStart w:id="1521" w:name="_Toc38443637"/>
      <w:bookmarkStart w:id="1522" w:name="_Toc38443967"/>
      <w:bookmarkStart w:id="1523" w:name="_Toc38438435"/>
      <w:bookmarkStart w:id="1524" w:name="_Toc38438772"/>
      <w:bookmarkStart w:id="1525" w:name="_Toc38439109"/>
      <w:bookmarkStart w:id="1526" w:name="_Toc38439446"/>
      <w:bookmarkStart w:id="1527" w:name="_Toc38439783"/>
      <w:bookmarkStart w:id="1528" w:name="_Toc38440120"/>
      <w:bookmarkStart w:id="1529" w:name="_Toc38440457"/>
      <w:bookmarkStart w:id="1530" w:name="_Toc38440989"/>
      <w:bookmarkStart w:id="1531" w:name="_Toc38441321"/>
      <w:bookmarkStart w:id="1532" w:name="_Toc38441653"/>
      <w:bookmarkStart w:id="1533" w:name="_Toc38441981"/>
      <w:bookmarkStart w:id="1534" w:name="_Toc38442313"/>
      <w:bookmarkStart w:id="1535" w:name="_Toc38442645"/>
      <w:bookmarkStart w:id="1536" w:name="_Toc38442976"/>
      <w:bookmarkStart w:id="1537" w:name="_Toc38443307"/>
      <w:bookmarkStart w:id="1538" w:name="_Toc38443638"/>
      <w:bookmarkStart w:id="1539" w:name="_Toc38443968"/>
      <w:bookmarkStart w:id="1540" w:name="_Toc38438436"/>
      <w:bookmarkStart w:id="1541" w:name="_Toc38438773"/>
      <w:bookmarkStart w:id="1542" w:name="_Toc38439110"/>
      <w:bookmarkStart w:id="1543" w:name="_Toc38439447"/>
      <w:bookmarkStart w:id="1544" w:name="_Toc38439784"/>
      <w:bookmarkStart w:id="1545" w:name="_Toc38440121"/>
      <w:bookmarkStart w:id="1546" w:name="_Toc38440458"/>
      <w:bookmarkStart w:id="1547" w:name="_Toc38440990"/>
      <w:bookmarkStart w:id="1548" w:name="_Toc38441322"/>
      <w:bookmarkStart w:id="1549" w:name="_Toc38441654"/>
      <w:bookmarkStart w:id="1550" w:name="_Toc38441982"/>
      <w:bookmarkStart w:id="1551" w:name="_Toc38442314"/>
      <w:bookmarkStart w:id="1552" w:name="_Toc38442646"/>
      <w:bookmarkStart w:id="1553" w:name="_Toc38442977"/>
      <w:bookmarkStart w:id="1554" w:name="_Toc38443308"/>
      <w:bookmarkStart w:id="1555" w:name="_Toc38443639"/>
      <w:bookmarkStart w:id="1556" w:name="_Toc38443969"/>
      <w:bookmarkStart w:id="1557" w:name="_Toc38438437"/>
      <w:bookmarkStart w:id="1558" w:name="_Toc38438774"/>
      <w:bookmarkStart w:id="1559" w:name="_Toc38439111"/>
      <w:bookmarkStart w:id="1560" w:name="_Toc38439448"/>
      <w:bookmarkStart w:id="1561" w:name="_Toc38439785"/>
      <w:bookmarkStart w:id="1562" w:name="_Toc38440122"/>
      <w:bookmarkStart w:id="1563" w:name="_Toc38440459"/>
      <w:bookmarkStart w:id="1564" w:name="_Toc38440991"/>
      <w:bookmarkStart w:id="1565" w:name="_Toc38441323"/>
      <w:bookmarkStart w:id="1566" w:name="_Toc38441655"/>
      <w:bookmarkStart w:id="1567" w:name="_Toc38441983"/>
      <w:bookmarkStart w:id="1568" w:name="_Toc38442315"/>
      <w:bookmarkStart w:id="1569" w:name="_Toc38442647"/>
      <w:bookmarkStart w:id="1570" w:name="_Toc38442978"/>
      <w:bookmarkStart w:id="1571" w:name="_Toc38443309"/>
      <w:bookmarkStart w:id="1572" w:name="_Toc38443640"/>
      <w:bookmarkStart w:id="1573" w:name="_Toc38443970"/>
      <w:bookmarkStart w:id="1574" w:name="_Toc38438438"/>
      <w:bookmarkStart w:id="1575" w:name="_Toc38438775"/>
      <w:bookmarkStart w:id="1576" w:name="_Toc38439112"/>
      <w:bookmarkStart w:id="1577" w:name="_Toc38439449"/>
      <w:bookmarkStart w:id="1578" w:name="_Toc38439786"/>
      <w:bookmarkStart w:id="1579" w:name="_Toc38440123"/>
      <w:bookmarkStart w:id="1580" w:name="_Toc38440460"/>
      <w:bookmarkStart w:id="1581" w:name="_Toc38440992"/>
      <w:bookmarkStart w:id="1582" w:name="_Toc38441324"/>
      <w:bookmarkStart w:id="1583" w:name="_Toc38441656"/>
      <w:bookmarkStart w:id="1584" w:name="_Toc38441984"/>
      <w:bookmarkStart w:id="1585" w:name="_Toc38442316"/>
      <w:bookmarkStart w:id="1586" w:name="_Toc38442648"/>
      <w:bookmarkStart w:id="1587" w:name="_Toc38442979"/>
      <w:bookmarkStart w:id="1588" w:name="_Toc38443310"/>
      <w:bookmarkStart w:id="1589" w:name="_Toc38443641"/>
      <w:bookmarkStart w:id="1590" w:name="_Toc38443971"/>
      <w:bookmarkStart w:id="1591" w:name="_Toc38438439"/>
      <w:bookmarkStart w:id="1592" w:name="_Toc38438776"/>
      <w:bookmarkStart w:id="1593" w:name="_Toc38439113"/>
      <w:bookmarkStart w:id="1594" w:name="_Toc38439450"/>
      <w:bookmarkStart w:id="1595" w:name="_Toc38439787"/>
      <w:bookmarkStart w:id="1596" w:name="_Toc38440124"/>
      <w:bookmarkStart w:id="1597" w:name="_Toc38440461"/>
      <w:bookmarkStart w:id="1598" w:name="_Toc38440993"/>
      <w:bookmarkStart w:id="1599" w:name="_Toc38441325"/>
      <w:bookmarkStart w:id="1600" w:name="_Toc38441657"/>
      <w:bookmarkStart w:id="1601" w:name="_Toc38441985"/>
      <w:bookmarkStart w:id="1602" w:name="_Toc38442317"/>
      <w:bookmarkStart w:id="1603" w:name="_Toc38442649"/>
      <w:bookmarkStart w:id="1604" w:name="_Toc38442980"/>
      <w:bookmarkStart w:id="1605" w:name="_Toc38443311"/>
      <w:bookmarkStart w:id="1606" w:name="_Toc38443642"/>
      <w:bookmarkStart w:id="1607" w:name="_Toc38443972"/>
      <w:bookmarkStart w:id="1608" w:name="_Toc38438440"/>
      <w:bookmarkStart w:id="1609" w:name="_Toc38438777"/>
      <w:bookmarkStart w:id="1610" w:name="_Toc38439114"/>
      <w:bookmarkStart w:id="1611" w:name="_Toc38439451"/>
      <w:bookmarkStart w:id="1612" w:name="_Toc38439788"/>
      <w:bookmarkStart w:id="1613" w:name="_Toc38440125"/>
      <w:bookmarkStart w:id="1614" w:name="_Toc38440462"/>
      <w:bookmarkStart w:id="1615" w:name="_Toc38440994"/>
      <w:bookmarkStart w:id="1616" w:name="_Toc38441326"/>
      <w:bookmarkStart w:id="1617" w:name="_Toc38441658"/>
      <w:bookmarkStart w:id="1618" w:name="_Toc38441986"/>
      <w:bookmarkStart w:id="1619" w:name="_Toc38442318"/>
      <w:bookmarkStart w:id="1620" w:name="_Toc38442650"/>
      <w:bookmarkStart w:id="1621" w:name="_Toc38442981"/>
      <w:bookmarkStart w:id="1622" w:name="_Toc38443312"/>
      <w:bookmarkStart w:id="1623" w:name="_Toc38443643"/>
      <w:bookmarkStart w:id="1624" w:name="_Toc38443973"/>
      <w:bookmarkStart w:id="1625" w:name="_Toc38438441"/>
      <w:bookmarkStart w:id="1626" w:name="_Toc38438778"/>
      <w:bookmarkStart w:id="1627" w:name="_Toc38439115"/>
      <w:bookmarkStart w:id="1628" w:name="_Toc38439452"/>
      <w:bookmarkStart w:id="1629" w:name="_Toc38439789"/>
      <w:bookmarkStart w:id="1630" w:name="_Toc38440126"/>
      <w:bookmarkStart w:id="1631" w:name="_Toc38440463"/>
      <w:bookmarkStart w:id="1632" w:name="_Toc38440995"/>
      <w:bookmarkStart w:id="1633" w:name="_Toc38441327"/>
      <w:bookmarkStart w:id="1634" w:name="_Toc38441659"/>
      <w:bookmarkStart w:id="1635" w:name="_Toc38441987"/>
      <w:bookmarkStart w:id="1636" w:name="_Toc38442319"/>
      <w:bookmarkStart w:id="1637" w:name="_Toc38442651"/>
      <w:bookmarkStart w:id="1638" w:name="_Toc38442982"/>
      <w:bookmarkStart w:id="1639" w:name="_Toc38443313"/>
      <w:bookmarkStart w:id="1640" w:name="_Toc38443644"/>
      <w:bookmarkStart w:id="1641" w:name="_Toc38443974"/>
      <w:bookmarkStart w:id="1642" w:name="_Toc38438442"/>
      <w:bookmarkStart w:id="1643" w:name="_Toc38438779"/>
      <w:bookmarkStart w:id="1644" w:name="_Toc38439116"/>
      <w:bookmarkStart w:id="1645" w:name="_Toc38439453"/>
      <w:bookmarkStart w:id="1646" w:name="_Toc38439790"/>
      <w:bookmarkStart w:id="1647" w:name="_Toc38440127"/>
      <w:bookmarkStart w:id="1648" w:name="_Toc38440464"/>
      <w:bookmarkStart w:id="1649" w:name="_Toc38440996"/>
      <w:bookmarkStart w:id="1650" w:name="_Toc38441328"/>
      <w:bookmarkStart w:id="1651" w:name="_Toc38441660"/>
      <w:bookmarkStart w:id="1652" w:name="_Toc38441988"/>
      <w:bookmarkStart w:id="1653" w:name="_Toc38442320"/>
      <w:bookmarkStart w:id="1654" w:name="_Toc38442652"/>
      <w:bookmarkStart w:id="1655" w:name="_Toc38442983"/>
      <w:bookmarkStart w:id="1656" w:name="_Toc38443314"/>
      <w:bookmarkStart w:id="1657" w:name="_Toc38443645"/>
      <w:bookmarkStart w:id="1658" w:name="_Toc38443975"/>
      <w:bookmarkStart w:id="1659" w:name="_Toc38438443"/>
      <w:bookmarkStart w:id="1660" w:name="_Toc38438780"/>
      <w:bookmarkStart w:id="1661" w:name="_Toc38439117"/>
      <w:bookmarkStart w:id="1662" w:name="_Toc38439454"/>
      <w:bookmarkStart w:id="1663" w:name="_Toc38439791"/>
      <w:bookmarkStart w:id="1664" w:name="_Toc38440128"/>
      <w:bookmarkStart w:id="1665" w:name="_Toc38440465"/>
      <w:bookmarkStart w:id="1666" w:name="_Toc38440997"/>
      <w:bookmarkStart w:id="1667" w:name="_Toc38441329"/>
      <w:bookmarkStart w:id="1668" w:name="_Toc38441661"/>
      <w:bookmarkStart w:id="1669" w:name="_Toc38441989"/>
      <w:bookmarkStart w:id="1670" w:name="_Toc38442321"/>
      <w:bookmarkStart w:id="1671" w:name="_Toc38442653"/>
      <w:bookmarkStart w:id="1672" w:name="_Toc38442984"/>
      <w:bookmarkStart w:id="1673" w:name="_Toc38443315"/>
      <w:bookmarkStart w:id="1674" w:name="_Toc38443646"/>
      <w:bookmarkStart w:id="1675" w:name="_Toc38443976"/>
      <w:bookmarkStart w:id="1676" w:name="_Toc38438444"/>
      <w:bookmarkStart w:id="1677" w:name="_Toc38438781"/>
      <w:bookmarkStart w:id="1678" w:name="_Toc38439118"/>
      <w:bookmarkStart w:id="1679" w:name="_Toc38439455"/>
      <w:bookmarkStart w:id="1680" w:name="_Toc38439792"/>
      <w:bookmarkStart w:id="1681" w:name="_Toc38440129"/>
      <w:bookmarkStart w:id="1682" w:name="_Toc38440466"/>
      <w:bookmarkStart w:id="1683" w:name="_Toc38440998"/>
      <w:bookmarkStart w:id="1684" w:name="_Toc38441330"/>
      <w:bookmarkStart w:id="1685" w:name="_Toc38441662"/>
      <w:bookmarkStart w:id="1686" w:name="_Toc38441990"/>
      <w:bookmarkStart w:id="1687" w:name="_Toc38442322"/>
      <w:bookmarkStart w:id="1688" w:name="_Toc38442654"/>
      <w:bookmarkStart w:id="1689" w:name="_Toc38442985"/>
      <w:bookmarkStart w:id="1690" w:name="_Toc38443316"/>
      <w:bookmarkStart w:id="1691" w:name="_Toc38443647"/>
      <w:bookmarkStart w:id="1692" w:name="_Toc38443977"/>
      <w:bookmarkStart w:id="1693" w:name="_Toc38438445"/>
      <w:bookmarkStart w:id="1694" w:name="_Toc38438782"/>
      <w:bookmarkStart w:id="1695" w:name="_Toc38439119"/>
      <w:bookmarkStart w:id="1696" w:name="_Toc38439456"/>
      <w:bookmarkStart w:id="1697" w:name="_Toc38439793"/>
      <w:bookmarkStart w:id="1698" w:name="_Toc38440130"/>
      <w:bookmarkStart w:id="1699" w:name="_Toc38440467"/>
      <w:bookmarkStart w:id="1700" w:name="_Toc38440999"/>
      <w:bookmarkStart w:id="1701" w:name="_Toc38441331"/>
      <w:bookmarkStart w:id="1702" w:name="_Toc38441663"/>
      <w:bookmarkStart w:id="1703" w:name="_Toc38441991"/>
      <w:bookmarkStart w:id="1704" w:name="_Toc38442323"/>
      <w:bookmarkStart w:id="1705" w:name="_Toc38442655"/>
      <w:bookmarkStart w:id="1706" w:name="_Toc38442986"/>
      <w:bookmarkStart w:id="1707" w:name="_Toc38443317"/>
      <w:bookmarkStart w:id="1708" w:name="_Toc38443648"/>
      <w:bookmarkStart w:id="1709" w:name="_Toc38443978"/>
      <w:bookmarkStart w:id="1710" w:name="_Toc38438446"/>
      <w:bookmarkStart w:id="1711" w:name="_Toc38438783"/>
      <w:bookmarkStart w:id="1712" w:name="_Toc38439120"/>
      <w:bookmarkStart w:id="1713" w:name="_Toc38439457"/>
      <w:bookmarkStart w:id="1714" w:name="_Toc38439794"/>
      <w:bookmarkStart w:id="1715" w:name="_Toc38440131"/>
      <w:bookmarkStart w:id="1716" w:name="_Toc38440468"/>
      <w:bookmarkStart w:id="1717" w:name="_Toc38441000"/>
      <w:bookmarkStart w:id="1718" w:name="_Toc38441332"/>
      <w:bookmarkStart w:id="1719" w:name="_Toc38441664"/>
      <w:bookmarkStart w:id="1720" w:name="_Toc38441992"/>
      <w:bookmarkStart w:id="1721" w:name="_Toc38442324"/>
      <w:bookmarkStart w:id="1722" w:name="_Toc38442656"/>
      <w:bookmarkStart w:id="1723" w:name="_Toc38442987"/>
      <w:bookmarkStart w:id="1724" w:name="_Toc38443318"/>
      <w:bookmarkStart w:id="1725" w:name="_Toc38443649"/>
      <w:bookmarkStart w:id="1726" w:name="_Toc38443979"/>
      <w:bookmarkStart w:id="1727" w:name="_Toc38438447"/>
      <w:bookmarkStart w:id="1728" w:name="_Toc38438784"/>
      <w:bookmarkStart w:id="1729" w:name="_Toc38439121"/>
      <w:bookmarkStart w:id="1730" w:name="_Toc38439458"/>
      <w:bookmarkStart w:id="1731" w:name="_Toc38439795"/>
      <w:bookmarkStart w:id="1732" w:name="_Toc38440132"/>
      <w:bookmarkStart w:id="1733" w:name="_Toc38440469"/>
      <w:bookmarkStart w:id="1734" w:name="_Toc38441001"/>
      <w:bookmarkStart w:id="1735" w:name="_Toc38441333"/>
      <w:bookmarkStart w:id="1736" w:name="_Toc38441665"/>
      <w:bookmarkStart w:id="1737" w:name="_Toc38441993"/>
      <w:bookmarkStart w:id="1738" w:name="_Toc38442325"/>
      <w:bookmarkStart w:id="1739" w:name="_Toc38442657"/>
      <w:bookmarkStart w:id="1740" w:name="_Toc38442988"/>
      <w:bookmarkStart w:id="1741" w:name="_Toc38443319"/>
      <w:bookmarkStart w:id="1742" w:name="_Toc38443650"/>
      <w:bookmarkStart w:id="1743" w:name="_Toc38443980"/>
      <w:bookmarkStart w:id="1744" w:name="_Toc38438448"/>
      <w:bookmarkStart w:id="1745" w:name="_Toc38438785"/>
      <w:bookmarkStart w:id="1746" w:name="_Toc38439122"/>
      <w:bookmarkStart w:id="1747" w:name="_Toc38439459"/>
      <w:bookmarkStart w:id="1748" w:name="_Toc38439796"/>
      <w:bookmarkStart w:id="1749" w:name="_Toc38440133"/>
      <w:bookmarkStart w:id="1750" w:name="_Toc38440470"/>
      <w:bookmarkStart w:id="1751" w:name="_Toc38441002"/>
      <w:bookmarkStart w:id="1752" w:name="_Toc38441334"/>
      <w:bookmarkStart w:id="1753" w:name="_Toc38441666"/>
      <w:bookmarkStart w:id="1754" w:name="_Toc38441994"/>
      <w:bookmarkStart w:id="1755" w:name="_Toc38442326"/>
      <w:bookmarkStart w:id="1756" w:name="_Toc38442658"/>
      <w:bookmarkStart w:id="1757" w:name="_Toc38442989"/>
      <w:bookmarkStart w:id="1758" w:name="_Toc38443320"/>
      <w:bookmarkStart w:id="1759" w:name="_Toc38443651"/>
      <w:bookmarkStart w:id="1760" w:name="_Toc38443981"/>
      <w:bookmarkStart w:id="1761" w:name="_Toc38438449"/>
      <w:bookmarkStart w:id="1762" w:name="_Toc38438786"/>
      <w:bookmarkStart w:id="1763" w:name="_Toc38439123"/>
      <w:bookmarkStart w:id="1764" w:name="_Toc38439460"/>
      <w:bookmarkStart w:id="1765" w:name="_Toc38439797"/>
      <w:bookmarkStart w:id="1766" w:name="_Toc38440134"/>
      <w:bookmarkStart w:id="1767" w:name="_Toc38440471"/>
      <w:bookmarkStart w:id="1768" w:name="_Toc38441003"/>
      <w:bookmarkStart w:id="1769" w:name="_Toc38441335"/>
      <w:bookmarkStart w:id="1770" w:name="_Toc38441667"/>
      <w:bookmarkStart w:id="1771" w:name="_Toc38441995"/>
      <w:bookmarkStart w:id="1772" w:name="_Toc38442327"/>
      <w:bookmarkStart w:id="1773" w:name="_Toc38442659"/>
      <w:bookmarkStart w:id="1774" w:name="_Toc38442990"/>
      <w:bookmarkStart w:id="1775" w:name="_Toc38443321"/>
      <w:bookmarkStart w:id="1776" w:name="_Toc38443652"/>
      <w:bookmarkStart w:id="1777" w:name="_Toc38443982"/>
      <w:bookmarkStart w:id="1778" w:name="_Toc38438450"/>
      <w:bookmarkStart w:id="1779" w:name="_Toc38438787"/>
      <w:bookmarkStart w:id="1780" w:name="_Toc38439124"/>
      <w:bookmarkStart w:id="1781" w:name="_Toc38439461"/>
      <w:bookmarkStart w:id="1782" w:name="_Toc38439798"/>
      <w:bookmarkStart w:id="1783" w:name="_Toc38440135"/>
      <w:bookmarkStart w:id="1784" w:name="_Toc38440472"/>
      <w:bookmarkStart w:id="1785" w:name="_Toc38441004"/>
      <w:bookmarkStart w:id="1786" w:name="_Toc38441336"/>
      <w:bookmarkStart w:id="1787" w:name="_Toc38441668"/>
      <w:bookmarkStart w:id="1788" w:name="_Toc38441996"/>
      <w:bookmarkStart w:id="1789" w:name="_Toc38442328"/>
      <w:bookmarkStart w:id="1790" w:name="_Toc38442660"/>
      <w:bookmarkStart w:id="1791" w:name="_Toc38442991"/>
      <w:bookmarkStart w:id="1792" w:name="_Toc38443322"/>
      <w:bookmarkStart w:id="1793" w:name="_Toc38443653"/>
      <w:bookmarkStart w:id="1794" w:name="_Toc38443983"/>
      <w:bookmarkStart w:id="1795" w:name="_Toc38438451"/>
      <w:bookmarkStart w:id="1796" w:name="_Toc38438788"/>
      <w:bookmarkStart w:id="1797" w:name="_Toc38439125"/>
      <w:bookmarkStart w:id="1798" w:name="_Toc38439462"/>
      <w:bookmarkStart w:id="1799" w:name="_Toc38439799"/>
      <w:bookmarkStart w:id="1800" w:name="_Toc38440136"/>
      <w:bookmarkStart w:id="1801" w:name="_Toc38440473"/>
      <w:bookmarkStart w:id="1802" w:name="_Toc38441005"/>
      <w:bookmarkStart w:id="1803" w:name="_Toc38441337"/>
      <w:bookmarkStart w:id="1804" w:name="_Toc38441669"/>
      <w:bookmarkStart w:id="1805" w:name="_Toc38441997"/>
      <w:bookmarkStart w:id="1806" w:name="_Toc38442329"/>
      <w:bookmarkStart w:id="1807" w:name="_Toc38442661"/>
      <w:bookmarkStart w:id="1808" w:name="_Toc38442992"/>
      <w:bookmarkStart w:id="1809" w:name="_Toc38443323"/>
      <w:bookmarkStart w:id="1810" w:name="_Toc38443654"/>
      <w:bookmarkStart w:id="1811" w:name="_Toc38443984"/>
      <w:bookmarkStart w:id="1812" w:name="_Toc38438452"/>
      <w:bookmarkStart w:id="1813" w:name="_Toc38438789"/>
      <w:bookmarkStart w:id="1814" w:name="_Toc38439126"/>
      <w:bookmarkStart w:id="1815" w:name="_Toc38439463"/>
      <w:bookmarkStart w:id="1816" w:name="_Toc38439800"/>
      <w:bookmarkStart w:id="1817" w:name="_Toc38440137"/>
      <w:bookmarkStart w:id="1818" w:name="_Toc38440474"/>
      <w:bookmarkStart w:id="1819" w:name="_Toc38441006"/>
      <w:bookmarkStart w:id="1820" w:name="_Toc38441338"/>
      <w:bookmarkStart w:id="1821" w:name="_Toc38441670"/>
      <w:bookmarkStart w:id="1822" w:name="_Toc38441998"/>
      <w:bookmarkStart w:id="1823" w:name="_Toc38442330"/>
      <w:bookmarkStart w:id="1824" w:name="_Toc38442662"/>
      <w:bookmarkStart w:id="1825" w:name="_Toc38442993"/>
      <w:bookmarkStart w:id="1826" w:name="_Toc38443324"/>
      <w:bookmarkStart w:id="1827" w:name="_Toc38443655"/>
      <w:bookmarkStart w:id="1828" w:name="_Toc38443985"/>
      <w:bookmarkStart w:id="1829" w:name="_Toc38438453"/>
      <w:bookmarkStart w:id="1830" w:name="_Toc38438790"/>
      <w:bookmarkStart w:id="1831" w:name="_Toc38439127"/>
      <w:bookmarkStart w:id="1832" w:name="_Toc38439464"/>
      <w:bookmarkStart w:id="1833" w:name="_Toc38439801"/>
      <w:bookmarkStart w:id="1834" w:name="_Toc38440138"/>
      <w:bookmarkStart w:id="1835" w:name="_Toc38440475"/>
      <w:bookmarkStart w:id="1836" w:name="_Toc38441007"/>
      <w:bookmarkStart w:id="1837" w:name="_Toc38441339"/>
      <w:bookmarkStart w:id="1838" w:name="_Toc38441671"/>
      <w:bookmarkStart w:id="1839" w:name="_Toc38441999"/>
      <w:bookmarkStart w:id="1840" w:name="_Toc38442331"/>
      <w:bookmarkStart w:id="1841" w:name="_Toc38442663"/>
      <w:bookmarkStart w:id="1842" w:name="_Toc38442994"/>
      <w:bookmarkStart w:id="1843" w:name="_Toc38443325"/>
      <w:bookmarkStart w:id="1844" w:name="_Toc38443656"/>
      <w:bookmarkStart w:id="1845" w:name="_Toc38443986"/>
      <w:bookmarkStart w:id="1846" w:name="_Toc38438454"/>
      <w:bookmarkStart w:id="1847" w:name="_Toc38438791"/>
      <w:bookmarkStart w:id="1848" w:name="_Toc38439128"/>
      <w:bookmarkStart w:id="1849" w:name="_Toc38439465"/>
      <w:bookmarkStart w:id="1850" w:name="_Toc38439802"/>
      <w:bookmarkStart w:id="1851" w:name="_Toc38440139"/>
      <w:bookmarkStart w:id="1852" w:name="_Toc38440476"/>
      <w:bookmarkStart w:id="1853" w:name="_Toc38441008"/>
      <w:bookmarkStart w:id="1854" w:name="_Toc38441340"/>
      <w:bookmarkStart w:id="1855" w:name="_Toc38441672"/>
      <w:bookmarkStart w:id="1856" w:name="_Toc38442000"/>
      <w:bookmarkStart w:id="1857" w:name="_Toc38442332"/>
      <w:bookmarkStart w:id="1858" w:name="_Toc38442664"/>
      <w:bookmarkStart w:id="1859" w:name="_Toc38442995"/>
      <w:bookmarkStart w:id="1860" w:name="_Toc38443326"/>
      <w:bookmarkStart w:id="1861" w:name="_Toc38443657"/>
      <w:bookmarkStart w:id="1862" w:name="_Toc38443987"/>
      <w:bookmarkStart w:id="1863" w:name="_Toc38438455"/>
      <w:bookmarkStart w:id="1864" w:name="_Toc38438792"/>
      <w:bookmarkStart w:id="1865" w:name="_Toc38439129"/>
      <w:bookmarkStart w:id="1866" w:name="_Toc38439466"/>
      <w:bookmarkStart w:id="1867" w:name="_Toc38439803"/>
      <w:bookmarkStart w:id="1868" w:name="_Toc38440140"/>
      <w:bookmarkStart w:id="1869" w:name="_Toc38440477"/>
      <w:bookmarkStart w:id="1870" w:name="_Toc38441009"/>
      <w:bookmarkStart w:id="1871" w:name="_Toc38441341"/>
      <w:bookmarkStart w:id="1872" w:name="_Toc38441673"/>
      <w:bookmarkStart w:id="1873" w:name="_Toc38442001"/>
      <w:bookmarkStart w:id="1874" w:name="_Toc38442333"/>
      <w:bookmarkStart w:id="1875" w:name="_Toc38442665"/>
      <w:bookmarkStart w:id="1876" w:name="_Toc38442996"/>
      <w:bookmarkStart w:id="1877" w:name="_Toc38443327"/>
      <w:bookmarkStart w:id="1878" w:name="_Toc38443658"/>
      <w:bookmarkStart w:id="1879" w:name="_Toc38443988"/>
      <w:bookmarkStart w:id="1880" w:name="_Toc38438456"/>
      <w:bookmarkStart w:id="1881" w:name="_Toc38438793"/>
      <w:bookmarkStart w:id="1882" w:name="_Toc38439130"/>
      <w:bookmarkStart w:id="1883" w:name="_Toc38439467"/>
      <w:bookmarkStart w:id="1884" w:name="_Toc38439804"/>
      <w:bookmarkStart w:id="1885" w:name="_Toc38440141"/>
      <w:bookmarkStart w:id="1886" w:name="_Toc38440478"/>
      <w:bookmarkStart w:id="1887" w:name="_Toc38441010"/>
      <w:bookmarkStart w:id="1888" w:name="_Toc38441342"/>
      <w:bookmarkStart w:id="1889" w:name="_Toc38441674"/>
      <w:bookmarkStart w:id="1890" w:name="_Toc38442002"/>
      <w:bookmarkStart w:id="1891" w:name="_Toc38442334"/>
      <w:bookmarkStart w:id="1892" w:name="_Toc38442666"/>
      <w:bookmarkStart w:id="1893" w:name="_Toc38442997"/>
      <w:bookmarkStart w:id="1894" w:name="_Toc38443328"/>
      <w:bookmarkStart w:id="1895" w:name="_Toc38443659"/>
      <w:bookmarkStart w:id="1896" w:name="_Toc38443989"/>
      <w:bookmarkStart w:id="1897" w:name="_Toc38438457"/>
      <w:bookmarkStart w:id="1898" w:name="_Toc38438794"/>
      <w:bookmarkStart w:id="1899" w:name="_Toc38439131"/>
      <w:bookmarkStart w:id="1900" w:name="_Toc38439468"/>
      <w:bookmarkStart w:id="1901" w:name="_Toc38439805"/>
      <w:bookmarkStart w:id="1902" w:name="_Toc38440142"/>
      <w:bookmarkStart w:id="1903" w:name="_Toc38440479"/>
      <w:bookmarkStart w:id="1904" w:name="_Toc38441011"/>
      <w:bookmarkStart w:id="1905" w:name="_Toc38441343"/>
      <w:bookmarkStart w:id="1906" w:name="_Toc38441675"/>
      <w:bookmarkStart w:id="1907" w:name="_Toc38442003"/>
      <w:bookmarkStart w:id="1908" w:name="_Toc38442335"/>
      <w:bookmarkStart w:id="1909" w:name="_Toc38442667"/>
      <w:bookmarkStart w:id="1910" w:name="_Toc38442998"/>
      <w:bookmarkStart w:id="1911" w:name="_Toc38443329"/>
      <w:bookmarkStart w:id="1912" w:name="_Toc38443660"/>
      <w:bookmarkStart w:id="1913" w:name="_Toc38443990"/>
      <w:bookmarkStart w:id="1914" w:name="_Toc38438458"/>
      <w:bookmarkStart w:id="1915" w:name="_Toc38438795"/>
      <w:bookmarkStart w:id="1916" w:name="_Toc38439132"/>
      <w:bookmarkStart w:id="1917" w:name="_Toc38439469"/>
      <w:bookmarkStart w:id="1918" w:name="_Toc38439806"/>
      <w:bookmarkStart w:id="1919" w:name="_Toc38440143"/>
      <w:bookmarkStart w:id="1920" w:name="_Toc38440480"/>
      <w:bookmarkStart w:id="1921" w:name="_Toc38441012"/>
      <w:bookmarkStart w:id="1922" w:name="_Toc38441344"/>
      <w:bookmarkStart w:id="1923" w:name="_Toc38441676"/>
      <w:bookmarkStart w:id="1924" w:name="_Toc38442004"/>
      <w:bookmarkStart w:id="1925" w:name="_Toc38442336"/>
      <w:bookmarkStart w:id="1926" w:name="_Toc38442668"/>
      <w:bookmarkStart w:id="1927" w:name="_Toc38442999"/>
      <w:bookmarkStart w:id="1928" w:name="_Toc38443330"/>
      <w:bookmarkStart w:id="1929" w:name="_Toc38443661"/>
      <w:bookmarkStart w:id="1930" w:name="_Toc38443991"/>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sectPr w:rsidR="00BA4B87" w:rsidRPr="008644BE" w:rsidSect="007C111B">
      <w:pgSz w:w="11906" w:h="16838" w:code="9"/>
      <w:pgMar w:top="1440" w:right="1803" w:bottom="1440" w:left="1803"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157" w:rsidRDefault="00941157"/>
    <w:p w:rsidR="00941157" w:rsidRDefault="00941157"/>
  </w:endnote>
  <w:endnote w:type="continuationSeparator" w:id="0">
    <w:p w:rsidR="00941157" w:rsidRDefault="00941157"/>
    <w:p w:rsidR="00941157" w:rsidRDefault="00941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E2" w:rsidRDefault="003F59E2">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E2" w:rsidRDefault="003F59E2" w:rsidP="00AE70B8">
    <w:pPr>
      <w:pStyle w:val="a9"/>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E2" w:rsidRDefault="003F59E2">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E2" w:rsidRDefault="003F59E2" w:rsidP="00AE70B8">
    <w:pPr>
      <w:pStyle w:val="a9"/>
      <w:ind w:firstLine="360"/>
      <w:jc w:val="center"/>
    </w:pPr>
    <w:r>
      <w:fldChar w:fldCharType="begin"/>
    </w:r>
    <w:r>
      <w:instrText xml:space="preserve"> PAGE   \* MERGEFORMAT </w:instrText>
    </w:r>
    <w:r>
      <w:fldChar w:fldCharType="separate"/>
    </w:r>
    <w:r w:rsidR="00A70F49" w:rsidRPr="00A70F49">
      <w:rPr>
        <w:noProof/>
        <w:lang w:val="zh-CN"/>
      </w:rPr>
      <w:t>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E2" w:rsidRDefault="003F59E2" w:rsidP="00AE70B8">
    <w:pPr>
      <w:pStyle w:val="a9"/>
      <w:ind w:firstLine="360"/>
      <w:jc w:val="center"/>
    </w:pPr>
    <w:r>
      <w:fldChar w:fldCharType="begin"/>
    </w:r>
    <w:r>
      <w:instrText xml:space="preserve"> PAGE   \* MERGEFORMAT </w:instrText>
    </w:r>
    <w:r>
      <w:fldChar w:fldCharType="separate"/>
    </w:r>
    <w:r w:rsidR="00E33C9A" w:rsidRPr="00E33C9A">
      <w:rPr>
        <w:noProof/>
        <w:lang w:val="zh-CN"/>
      </w:rPr>
      <w:t>147</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157" w:rsidRDefault="00941157"/>
    <w:p w:rsidR="00941157" w:rsidRDefault="00941157"/>
  </w:footnote>
  <w:footnote w:type="continuationSeparator" w:id="0">
    <w:p w:rsidR="00941157" w:rsidRDefault="00941157"/>
    <w:p w:rsidR="00941157" w:rsidRDefault="009411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E2" w:rsidRDefault="003F59E2">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E2" w:rsidRPr="00692C06" w:rsidRDefault="003F59E2" w:rsidP="00011E16">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E2" w:rsidRDefault="003F59E2">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627"/>
    <w:multiLevelType w:val="hybridMultilevel"/>
    <w:tmpl w:val="625030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3"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EB7353"/>
    <w:multiLevelType w:val="hybridMultilevel"/>
    <w:tmpl w:val="8D825EDC"/>
    <w:lvl w:ilvl="0" w:tplc="620007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4F9B2B2E"/>
    <w:multiLevelType w:val="hybridMultilevel"/>
    <w:tmpl w:val="DB4A6608"/>
    <w:lvl w:ilvl="0" w:tplc="620E51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20436D9"/>
    <w:multiLevelType w:val="hybridMultilevel"/>
    <w:tmpl w:val="C7EAE9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C2F36A4"/>
    <w:multiLevelType w:val="multilevel"/>
    <w:tmpl w:val="D1344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1"/>
  </w:num>
  <w:num w:numId="2">
    <w:abstractNumId w:val="2"/>
  </w:num>
  <w:num w:numId="3">
    <w:abstractNumId w:val="9"/>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7"/>
  </w:num>
  <w:num w:numId="9">
    <w:abstractNumId w:val="6"/>
  </w:num>
  <w:num w:numId="10">
    <w:abstractNumId w:val="0"/>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829"/>
    <w:rsid w:val="000008BD"/>
    <w:rsid w:val="00002389"/>
    <w:rsid w:val="00002696"/>
    <w:rsid w:val="00002865"/>
    <w:rsid w:val="00003C24"/>
    <w:rsid w:val="000059BE"/>
    <w:rsid w:val="000064C6"/>
    <w:rsid w:val="00006C96"/>
    <w:rsid w:val="000100D8"/>
    <w:rsid w:val="00010618"/>
    <w:rsid w:val="00010BE3"/>
    <w:rsid w:val="00011E16"/>
    <w:rsid w:val="000123D9"/>
    <w:rsid w:val="0001419E"/>
    <w:rsid w:val="000146F4"/>
    <w:rsid w:val="00014AFB"/>
    <w:rsid w:val="0001691D"/>
    <w:rsid w:val="000174AA"/>
    <w:rsid w:val="00020907"/>
    <w:rsid w:val="00022454"/>
    <w:rsid w:val="00022523"/>
    <w:rsid w:val="00023038"/>
    <w:rsid w:val="000239CE"/>
    <w:rsid w:val="00024168"/>
    <w:rsid w:val="000250F3"/>
    <w:rsid w:val="0002608A"/>
    <w:rsid w:val="00027992"/>
    <w:rsid w:val="00030AA1"/>
    <w:rsid w:val="00030EFE"/>
    <w:rsid w:val="00031199"/>
    <w:rsid w:val="000316BF"/>
    <w:rsid w:val="00032519"/>
    <w:rsid w:val="000335F6"/>
    <w:rsid w:val="0003608E"/>
    <w:rsid w:val="00037066"/>
    <w:rsid w:val="000375DA"/>
    <w:rsid w:val="00040B7D"/>
    <w:rsid w:val="000432F2"/>
    <w:rsid w:val="00043C5D"/>
    <w:rsid w:val="0004611A"/>
    <w:rsid w:val="000467C2"/>
    <w:rsid w:val="00046A2F"/>
    <w:rsid w:val="00052320"/>
    <w:rsid w:val="00052C9F"/>
    <w:rsid w:val="00053030"/>
    <w:rsid w:val="0005354B"/>
    <w:rsid w:val="00053E4C"/>
    <w:rsid w:val="00054C82"/>
    <w:rsid w:val="00055032"/>
    <w:rsid w:val="000553C5"/>
    <w:rsid w:val="000560D4"/>
    <w:rsid w:val="00061A4B"/>
    <w:rsid w:val="00061D54"/>
    <w:rsid w:val="00062004"/>
    <w:rsid w:val="0006260C"/>
    <w:rsid w:val="000658E9"/>
    <w:rsid w:val="00065F4E"/>
    <w:rsid w:val="0006600C"/>
    <w:rsid w:val="00066A83"/>
    <w:rsid w:val="00066D91"/>
    <w:rsid w:val="00067733"/>
    <w:rsid w:val="00070309"/>
    <w:rsid w:val="00073141"/>
    <w:rsid w:val="0007367C"/>
    <w:rsid w:val="000751D7"/>
    <w:rsid w:val="00077BD0"/>
    <w:rsid w:val="0008426E"/>
    <w:rsid w:val="00085634"/>
    <w:rsid w:val="00087485"/>
    <w:rsid w:val="000878B4"/>
    <w:rsid w:val="00087C08"/>
    <w:rsid w:val="00090469"/>
    <w:rsid w:val="00090BF0"/>
    <w:rsid w:val="0009363C"/>
    <w:rsid w:val="00094407"/>
    <w:rsid w:val="000A1147"/>
    <w:rsid w:val="000A1967"/>
    <w:rsid w:val="000A20AD"/>
    <w:rsid w:val="000A34E2"/>
    <w:rsid w:val="000A4145"/>
    <w:rsid w:val="000A4424"/>
    <w:rsid w:val="000A53A4"/>
    <w:rsid w:val="000A579A"/>
    <w:rsid w:val="000A63A1"/>
    <w:rsid w:val="000A6D40"/>
    <w:rsid w:val="000A77F7"/>
    <w:rsid w:val="000B0B17"/>
    <w:rsid w:val="000B2DD6"/>
    <w:rsid w:val="000B338F"/>
    <w:rsid w:val="000B46DC"/>
    <w:rsid w:val="000C2D98"/>
    <w:rsid w:val="000C32FA"/>
    <w:rsid w:val="000C333E"/>
    <w:rsid w:val="000C3945"/>
    <w:rsid w:val="000C4875"/>
    <w:rsid w:val="000C5050"/>
    <w:rsid w:val="000C6FEE"/>
    <w:rsid w:val="000D1888"/>
    <w:rsid w:val="000D3ADE"/>
    <w:rsid w:val="000D3DAB"/>
    <w:rsid w:val="000D5ABD"/>
    <w:rsid w:val="000D6139"/>
    <w:rsid w:val="000D66DA"/>
    <w:rsid w:val="000E1148"/>
    <w:rsid w:val="000E1428"/>
    <w:rsid w:val="000E1757"/>
    <w:rsid w:val="000E197D"/>
    <w:rsid w:val="000E2150"/>
    <w:rsid w:val="000E2F9E"/>
    <w:rsid w:val="000E39F0"/>
    <w:rsid w:val="000E46D7"/>
    <w:rsid w:val="000E56DB"/>
    <w:rsid w:val="000E6D1C"/>
    <w:rsid w:val="000E7413"/>
    <w:rsid w:val="000F1803"/>
    <w:rsid w:val="000F19DC"/>
    <w:rsid w:val="000F1B8D"/>
    <w:rsid w:val="000F2807"/>
    <w:rsid w:val="000F345D"/>
    <w:rsid w:val="000F37A9"/>
    <w:rsid w:val="000F5558"/>
    <w:rsid w:val="000F6E21"/>
    <w:rsid w:val="000F79C6"/>
    <w:rsid w:val="001002E9"/>
    <w:rsid w:val="00101ABE"/>
    <w:rsid w:val="0010200B"/>
    <w:rsid w:val="00102B51"/>
    <w:rsid w:val="00103317"/>
    <w:rsid w:val="00103A75"/>
    <w:rsid w:val="00103DE0"/>
    <w:rsid w:val="00104621"/>
    <w:rsid w:val="00104A8A"/>
    <w:rsid w:val="0010576A"/>
    <w:rsid w:val="00105DA3"/>
    <w:rsid w:val="0010655B"/>
    <w:rsid w:val="0010689F"/>
    <w:rsid w:val="00107E28"/>
    <w:rsid w:val="0011071E"/>
    <w:rsid w:val="0011115D"/>
    <w:rsid w:val="001111DA"/>
    <w:rsid w:val="0011137D"/>
    <w:rsid w:val="00111483"/>
    <w:rsid w:val="00111550"/>
    <w:rsid w:val="00112B7E"/>
    <w:rsid w:val="001138AD"/>
    <w:rsid w:val="001145FE"/>
    <w:rsid w:val="00114CB9"/>
    <w:rsid w:val="001159B2"/>
    <w:rsid w:val="001175C0"/>
    <w:rsid w:val="001176C5"/>
    <w:rsid w:val="00120226"/>
    <w:rsid w:val="00120CD5"/>
    <w:rsid w:val="00121AB8"/>
    <w:rsid w:val="0012461F"/>
    <w:rsid w:val="001260F5"/>
    <w:rsid w:val="00126147"/>
    <w:rsid w:val="00126569"/>
    <w:rsid w:val="00126780"/>
    <w:rsid w:val="00127ED2"/>
    <w:rsid w:val="001305A4"/>
    <w:rsid w:val="001307CC"/>
    <w:rsid w:val="001308D7"/>
    <w:rsid w:val="00130A00"/>
    <w:rsid w:val="00130E9A"/>
    <w:rsid w:val="001318DA"/>
    <w:rsid w:val="00132C86"/>
    <w:rsid w:val="00133009"/>
    <w:rsid w:val="001335EB"/>
    <w:rsid w:val="001358B7"/>
    <w:rsid w:val="00135E76"/>
    <w:rsid w:val="00140387"/>
    <w:rsid w:val="001404C8"/>
    <w:rsid w:val="0014103F"/>
    <w:rsid w:val="00143612"/>
    <w:rsid w:val="0014383A"/>
    <w:rsid w:val="001461B1"/>
    <w:rsid w:val="00146B76"/>
    <w:rsid w:val="00146C0A"/>
    <w:rsid w:val="00147A68"/>
    <w:rsid w:val="00147CD1"/>
    <w:rsid w:val="0015192A"/>
    <w:rsid w:val="001538E4"/>
    <w:rsid w:val="0015623E"/>
    <w:rsid w:val="00157A19"/>
    <w:rsid w:val="00157F9D"/>
    <w:rsid w:val="00161181"/>
    <w:rsid w:val="001611D1"/>
    <w:rsid w:val="00162B23"/>
    <w:rsid w:val="00162EEB"/>
    <w:rsid w:val="001634D6"/>
    <w:rsid w:val="00163592"/>
    <w:rsid w:val="001636AD"/>
    <w:rsid w:val="0016381A"/>
    <w:rsid w:val="00164C1E"/>
    <w:rsid w:val="00164DEB"/>
    <w:rsid w:val="00164EE8"/>
    <w:rsid w:val="001656EB"/>
    <w:rsid w:val="001663EE"/>
    <w:rsid w:val="001678FB"/>
    <w:rsid w:val="001711A1"/>
    <w:rsid w:val="0017134E"/>
    <w:rsid w:val="001735E3"/>
    <w:rsid w:val="00175112"/>
    <w:rsid w:val="0017572D"/>
    <w:rsid w:val="001769C4"/>
    <w:rsid w:val="00180550"/>
    <w:rsid w:val="00183172"/>
    <w:rsid w:val="00184282"/>
    <w:rsid w:val="00184F77"/>
    <w:rsid w:val="00185254"/>
    <w:rsid w:val="00185FAF"/>
    <w:rsid w:val="001872E8"/>
    <w:rsid w:val="00192A21"/>
    <w:rsid w:val="00192FAC"/>
    <w:rsid w:val="001930AD"/>
    <w:rsid w:val="00193187"/>
    <w:rsid w:val="00193CDF"/>
    <w:rsid w:val="0019491D"/>
    <w:rsid w:val="00194A61"/>
    <w:rsid w:val="00194C12"/>
    <w:rsid w:val="0019543C"/>
    <w:rsid w:val="001977D2"/>
    <w:rsid w:val="001979DE"/>
    <w:rsid w:val="001A5992"/>
    <w:rsid w:val="001A599B"/>
    <w:rsid w:val="001A6FFB"/>
    <w:rsid w:val="001B18F3"/>
    <w:rsid w:val="001B292E"/>
    <w:rsid w:val="001B3887"/>
    <w:rsid w:val="001B3BA6"/>
    <w:rsid w:val="001B6207"/>
    <w:rsid w:val="001C049E"/>
    <w:rsid w:val="001C1CC1"/>
    <w:rsid w:val="001C555F"/>
    <w:rsid w:val="001C5A75"/>
    <w:rsid w:val="001C5A87"/>
    <w:rsid w:val="001D2084"/>
    <w:rsid w:val="001D2A4F"/>
    <w:rsid w:val="001D2AE6"/>
    <w:rsid w:val="001D2D9A"/>
    <w:rsid w:val="001D4386"/>
    <w:rsid w:val="001D4B9C"/>
    <w:rsid w:val="001D7542"/>
    <w:rsid w:val="001E2C67"/>
    <w:rsid w:val="001E3849"/>
    <w:rsid w:val="001E3AF5"/>
    <w:rsid w:val="001E4C2E"/>
    <w:rsid w:val="001E56AD"/>
    <w:rsid w:val="001E5840"/>
    <w:rsid w:val="001E7B1D"/>
    <w:rsid w:val="001E7C8E"/>
    <w:rsid w:val="001F12B2"/>
    <w:rsid w:val="001F201E"/>
    <w:rsid w:val="001F3F96"/>
    <w:rsid w:val="001F51BD"/>
    <w:rsid w:val="001F52D2"/>
    <w:rsid w:val="001F59B1"/>
    <w:rsid w:val="001F7446"/>
    <w:rsid w:val="001F7D86"/>
    <w:rsid w:val="00200DE7"/>
    <w:rsid w:val="002010A5"/>
    <w:rsid w:val="00201C8F"/>
    <w:rsid w:val="002022FE"/>
    <w:rsid w:val="00202CA0"/>
    <w:rsid w:val="002030F5"/>
    <w:rsid w:val="0020350B"/>
    <w:rsid w:val="002049D8"/>
    <w:rsid w:val="00205733"/>
    <w:rsid w:val="00206B44"/>
    <w:rsid w:val="00207FDB"/>
    <w:rsid w:val="0021052D"/>
    <w:rsid w:val="00210543"/>
    <w:rsid w:val="002112C7"/>
    <w:rsid w:val="0021171D"/>
    <w:rsid w:val="00212F67"/>
    <w:rsid w:val="0021302E"/>
    <w:rsid w:val="00213FDA"/>
    <w:rsid w:val="00214437"/>
    <w:rsid w:val="0021491A"/>
    <w:rsid w:val="00214A68"/>
    <w:rsid w:val="00215A93"/>
    <w:rsid w:val="00220D0C"/>
    <w:rsid w:val="002213EA"/>
    <w:rsid w:val="002221EE"/>
    <w:rsid w:val="002233ED"/>
    <w:rsid w:val="00224477"/>
    <w:rsid w:val="0022545D"/>
    <w:rsid w:val="00225B09"/>
    <w:rsid w:val="00231B1D"/>
    <w:rsid w:val="00232498"/>
    <w:rsid w:val="00234376"/>
    <w:rsid w:val="0024292F"/>
    <w:rsid w:val="00244BC7"/>
    <w:rsid w:val="00244FEE"/>
    <w:rsid w:val="00245E98"/>
    <w:rsid w:val="00250B3E"/>
    <w:rsid w:val="00252B44"/>
    <w:rsid w:val="002536D4"/>
    <w:rsid w:val="00253EB4"/>
    <w:rsid w:val="0025451A"/>
    <w:rsid w:val="002567AE"/>
    <w:rsid w:val="002569F2"/>
    <w:rsid w:val="00260637"/>
    <w:rsid w:val="0026173F"/>
    <w:rsid w:val="0026269B"/>
    <w:rsid w:val="0026340B"/>
    <w:rsid w:val="002634D8"/>
    <w:rsid w:val="00263C50"/>
    <w:rsid w:val="00266197"/>
    <w:rsid w:val="00266EA9"/>
    <w:rsid w:val="00271129"/>
    <w:rsid w:val="00271D34"/>
    <w:rsid w:val="002737C6"/>
    <w:rsid w:val="00273FF1"/>
    <w:rsid w:val="00275476"/>
    <w:rsid w:val="00277829"/>
    <w:rsid w:val="00283D42"/>
    <w:rsid w:val="00284C03"/>
    <w:rsid w:val="0028530B"/>
    <w:rsid w:val="00285C23"/>
    <w:rsid w:val="00286732"/>
    <w:rsid w:val="00286E1A"/>
    <w:rsid w:val="00287077"/>
    <w:rsid w:val="002872A2"/>
    <w:rsid w:val="00287980"/>
    <w:rsid w:val="00292A2E"/>
    <w:rsid w:val="00294408"/>
    <w:rsid w:val="00295BF8"/>
    <w:rsid w:val="002967FD"/>
    <w:rsid w:val="00296A39"/>
    <w:rsid w:val="00297DA2"/>
    <w:rsid w:val="002A002C"/>
    <w:rsid w:val="002A02BE"/>
    <w:rsid w:val="002A1A17"/>
    <w:rsid w:val="002A1D23"/>
    <w:rsid w:val="002A31EB"/>
    <w:rsid w:val="002A42BE"/>
    <w:rsid w:val="002A4882"/>
    <w:rsid w:val="002A4B12"/>
    <w:rsid w:val="002A573B"/>
    <w:rsid w:val="002A5A0B"/>
    <w:rsid w:val="002A6C6A"/>
    <w:rsid w:val="002A7144"/>
    <w:rsid w:val="002A7C07"/>
    <w:rsid w:val="002B02E2"/>
    <w:rsid w:val="002B115A"/>
    <w:rsid w:val="002B136B"/>
    <w:rsid w:val="002B14EF"/>
    <w:rsid w:val="002B1814"/>
    <w:rsid w:val="002B1A14"/>
    <w:rsid w:val="002B2AF3"/>
    <w:rsid w:val="002B59D7"/>
    <w:rsid w:val="002B6296"/>
    <w:rsid w:val="002B65B9"/>
    <w:rsid w:val="002C1966"/>
    <w:rsid w:val="002C2A96"/>
    <w:rsid w:val="002C406A"/>
    <w:rsid w:val="002C4A04"/>
    <w:rsid w:val="002C5A71"/>
    <w:rsid w:val="002C6AE9"/>
    <w:rsid w:val="002D4D63"/>
    <w:rsid w:val="002D518F"/>
    <w:rsid w:val="002D760F"/>
    <w:rsid w:val="002D7B92"/>
    <w:rsid w:val="002D7C37"/>
    <w:rsid w:val="002E0541"/>
    <w:rsid w:val="002E1254"/>
    <w:rsid w:val="002E1C38"/>
    <w:rsid w:val="002E2804"/>
    <w:rsid w:val="002E32ED"/>
    <w:rsid w:val="002E4B64"/>
    <w:rsid w:val="002E55B7"/>
    <w:rsid w:val="002E5788"/>
    <w:rsid w:val="002E681B"/>
    <w:rsid w:val="002F23EA"/>
    <w:rsid w:val="002F2C91"/>
    <w:rsid w:val="002F4153"/>
    <w:rsid w:val="002F54D4"/>
    <w:rsid w:val="002F62DA"/>
    <w:rsid w:val="002F6B43"/>
    <w:rsid w:val="00300A25"/>
    <w:rsid w:val="00300AA2"/>
    <w:rsid w:val="003015CC"/>
    <w:rsid w:val="00301930"/>
    <w:rsid w:val="003028C4"/>
    <w:rsid w:val="003028F5"/>
    <w:rsid w:val="003029A6"/>
    <w:rsid w:val="00303397"/>
    <w:rsid w:val="0030404A"/>
    <w:rsid w:val="00305452"/>
    <w:rsid w:val="003058C8"/>
    <w:rsid w:val="00310E26"/>
    <w:rsid w:val="00311E99"/>
    <w:rsid w:val="003134A5"/>
    <w:rsid w:val="00313E48"/>
    <w:rsid w:val="00315AEB"/>
    <w:rsid w:val="0031634D"/>
    <w:rsid w:val="00316967"/>
    <w:rsid w:val="003173D1"/>
    <w:rsid w:val="00317CEF"/>
    <w:rsid w:val="00317FD7"/>
    <w:rsid w:val="003223EB"/>
    <w:rsid w:val="00323541"/>
    <w:rsid w:val="00323AD7"/>
    <w:rsid w:val="0032452F"/>
    <w:rsid w:val="00324612"/>
    <w:rsid w:val="00325E94"/>
    <w:rsid w:val="00326CD2"/>
    <w:rsid w:val="00327B53"/>
    <w:rsid w:val="00330C15"/>
    <w:rsid w:val="00331853"/>
    <w:rsid w:val="003324D6"/>
    <w:rsid w:val="003345DB"/>
    <w:rsid w:val="0033533B"/>
    <w:rsid w:val="00335663"/>
    <w:rsid w:val="00336803"/>
    <w:rsid w:val="00336FF7"/>
    <w:rsid w:val="00337060"/>
    <w:rsid w:val="00337CDE"/>
    <w:rsid w:val="003411CA"/>
    <w:rsid w:val="00341586"/>
    <w:rsid w:val="00344548"/>
    <w:rsid w:val="00346008"/>
    <w:rsid w:val="003513E8"/>
    <w:rsid w:val="00351482"/>
    <w:rsid w:val="003522C2"/>
    <w:rsid w:val="0035575C"/>
    <w:rsid w:val="00356DC1"/>
    <w:rsid w:val="00357C09"/>
    <w:rsid w:val="00360A83"/>
    <w:rsid w:val="003611CC"/>
    <w:rsid w:val="003615CA"/>
    <w:rsid w:val="00361A84"/>
    <w:rsid w:val="00361ABE"/>
    <w:rsid w:val="00361D25"/>
    <w:rsid w:val="003641B1"/>
    <w:rsid w:val="00364B7A"/>
    <w:rsid w:val="00364C92"/>
    <w:rsid w:val="003656D0"/>
    <w:rsid w:val="003658C7"/>
    <w:rsid w:val="0036656D"/>
    <w:rsid w:val="00367048"/>
    <w:rsid w:val="003673DB"/>
    <w:rsid w:val="00367E73"/>
    <w:rsid w:val="003702BE"/>
    <w:rsid w:val="003713F0"/>
    <w:rsid w:val="00371919"/>
    <w:rsid w:val="00372583"/>
    <w:rsid w:val="00373CD1"/>
    <w:rsid w:val="003758D9"/>
    <w:rsid w:val="00375B01"/>
    <w:rsid w:val="00376141"/>
    <w:rsid w:val="003763FC"/>
    <w:rsid w:val="00377578"/>
    <w:rsid w:val="00377E71"/>
    <w:rsid w:val="0038042C"/>
    <w:rsid w:val="00381D1E"/>
    <w:rsid w:val="00381E28"/>
    <w:rsid w:val="00382263"/>
    <w:rsid w:val="00382F9A"/>
    <w:rsid w:val="00384ADA"/>
    <w:rsid w:val="00384BF7"/>
    <w:rsid w:val="00384CF2"/>
    <w:rsid w:val="003856F5"/>
    <w:rsid w:val="00385D84"/>
    <w:rsid w:val="00391B65"/>
    <w:rsid w:val="00391B71"/>
    <w:rsid w:val="0039465D"/>
    <w:rsid w:val="003957A6"/>
    <w:rsid w:val="0039749D"/>
    <w:rsid w:val="003A0590"/>
    <w:rsid w:val="003A0A03"/>
    <w:rsid w:val="003A1634"/>
    <w:rsid w:val="003A38EE"/>
    <w:rsid w:val="003A5F2C"/>
    <w:rsid w:val="003A6838"/>
    <w:rsid w:val="003A79ED"/>
    <w:rsid w:val="003B00D1"/>
    <w:rsid w:val="003B25BA"/>
    <w:rsid w:val="003B2791"/>
    <w:rsid w:val="003B477C"/>
    <w:rsid w:val="003B4F01"/>
    <w:rsid w:val="003B529B"/>
    <w:rsid w:val="003B5566"/>
    <w:rsid w:val="003B592E"/>
    <w:rsid w:val="003B6713"/>
    <w:rsid w:val="003B7D5C"/>
    <w:rsid w:val="003B7DEA"/>
    <w:rsid w:val="003C0FDA"/>
    <w:rsid w:val="003C1F97"/>
    <w:rsid w:val="003C209E"/>
    <w:rsid w:val="003C4F08"/>
    <w:rsid w:val="003D0987"/>
    <w:rsid w:val="003D0AA9"/>
    <w:rsid w:val="003D0D0C"/>
    <w:rsid w:val="003D15F3"/>
    <w:rsid w:val="003D35FC"/>
    <w:rsid w:val="003D5523"/>
    <w:rsid w:val="003D710C"/>
    <w:rsid w:val="003E0C18"/>
    <w:rsid w:val="003E0E9A"/>
    <w:rsid w:val="003E3586"/>
    <w:rsid w:val="003E4BD9"/>
    <w:rsid w:val="003E682C"/>
    <w:rsid w:val="003E6DA3"/>
    <w:rsid w:val="003F0109"/>
    <w:rsid w:val="003F0C97"/>
    <w:rsid w:val="003F1034"/>
    <w:rsid w:val="003F1E3F"/>
    <w:rsid w:val="003F26D6"/>
    <w:rsid w:val="003F3CB4"/>
    <w:rsid w:val="003F59E2"/>
    <w:rsid w:val="003F6B42"/>
    <w:rsid w:val="003F7E92"/>
    <w:rsid w:val="00401BBA"/>
    <w:rsid w:val="00401F67"/>
    <w:rsid w:val="0040434D"/>
    <w:rsid w:val="004059A3"/>
    <w:rsid w:val="0040645F"/>
    <w:rsid w:val="00411812"/>
    <w:rsid w:val="00412292"/>
    <w:rsid w:val="004136DF"/>
    <w:rsid w:val="00414E59"/>
    <w:rsid w:val="004168C6"/>
    <w:rsid w:val="00416E74"/>
    <w:rsid w:val="004175EE"/>
    <w:rsid w:val="00417625"/>
    <w:rsid w:val="004214D9"/>
    <w:rsid w:val="00421797"/>
    <w:rsid w:val="004242AF"/>
    <w:rsid w:val="00426800"/>
    <w:rsid w:val="00426A18"/>
    <w:rsid w:val="004314F0"/>
    <w:rsid w:val="004327CF"/>
    <w:rsid w:val="00432D6D"/>
    <w:rsid w:val="004367F0"/>
    <w:rsid w:val="00436984"/>
    <w:rsid w:val="00436C09"/>
    <w:rsid w:val="00437B7D"/>
    <w:rsid w:val="0044087D"/>
    <w:rsid w:val="00440CFF"/>
    <w:rsid w:val="00441AD4"/>
    <w:rsid w:val="00442D62"/>
    <w:rsid w:val="004447C9"/>
    <w:rsid w:val="00444D44"/>
    <w:rsid w:val="00446CC4"/>
    <w:rsid w:val="00450463"/>
    <w:rsid w:val="004519D3"/>
    <w:rsid w:val="00451C03"/>
    <w:rsid w:val="004528A3"/>
    <w:rsid w:val="00453476"/>
    <w:rsid w:val="00454C74"/>
    <w:rsid w:val="004551A8"/>
    <w:rsid w:val="004563A7"/>
    <w:rsid w:val="00456A09"/>
    <w:rsid w:val="00457737"/>
    <w:rsid w:val="00460056"/>
    <w:rsid w:val="004604E1"/>
    <w:rsid w:val="00460D6A"/>
    <w:rsid w:val="00460ED8"/>
    <w:rsid w:val="00461A32"/>
    <w:rsid w:val="00461ADF"/>
    <w:rsid w:val="00462C2E"/>
    <w:rsid w:val="004648B1"/>
    <w:rsid w:val="00464E1E"/>
    <w:rsid w:val="0046556D"/>
    <w:rsid w:val="004658A8"/>
    <w:rsid w:val="0046698F"/>
    <w:rsid w:val="0047093B"/>
    <w:rsid w:val="00472A56"/>
    <w:rsid w:val="00472D03"/>
    <w:rsid w:val="004735B3"/>
    <w:rsid w:val="004739D2"/>
    <w:rsid w:val="00474A3E"/>
    <w:rsid w:val="00476562"/>
    <w:rsid w:val="00476CC0"/>
    <w:rsid w:val="00483B72"/>
    <w:rsid w:val="004845BE"/>
    <w:rsid w:val="004860FB"/>
    <w:rsid w:val="00486586"/>
    <w:rsid w:val="00486679"/>
    <w:rsid w:val="004872AA"/>
    <w:rsid w:val="00487673"/>
    <w:rsid w:val="0049267A"/>
    <w:rsid w:val="00492F54"/>
    <w:rsid w:val="004961CE"/>
    <w:rsid w:val="0049633F"/>
    <w:rsid w:val="00497EE8"/>
    <w:rsid w:val="004A08B7"/>
    <w:rsid w:val="004A1234"/>
    <w:rsid w:val="004A1257"/>
    <w:rsid w:val="004A1381"/>
    <w:rsid w:val="004A261C"/>
    <w:rsid w:val="004A2685"/>
    <w:rsid w:val="004A3C24"/>
    <w:rsid w:val="004A3E71"/>
    <w:rsid w:val="004B12C4"/>
    <w:rsid w:val="004B1EFB"/>
    <w:rsid w:val="004B3B54"/>
    <w:rsid w:val="004B3F2B"/>
    <w:rsid w:val="004B4DB5"/>
    <w:rsid w:val="004B5A70"/>
    <w:rsid w:val="004B618C"/>
    <w:rsid w:val="004B6FDB"/>
    <w:rsid w:val="004C0F6D"/>
    <w:rsid w:val="004C19CE"/>
    <w:rsid w:val="004C1D62"/>
    <w:rsid w:val="004C2117"/>
    <w:rsid w:val="004C2EDE"/>
    <w:rsid w:val="004C392E"/>
    <w:rsid w:val="004C3BA4"/>
    <w:rsid w:val="004C3F19"/>
    <w:rsid w:val="004C4D8A"/>
    <w:rsid w:val="004C5ED1"/>
    <w:rsid w:val="004C6B7E"/>
    <w:rsid w:val="004D0019"/>
    <w:rsid w:val="004D1DCB"/>
    <w:rsid w:val="004D3712"/>
    <w:rsid w:val="004D37EE"/>
    <w:rsid w:val="004D4777"/>
    <w:rsid w:val="004D4E4B"/>
    <w:rsid w:val="004D7FB2"/>
    <w:rsid w:val="004E01A1"/>
    <w:rsid w:val="004E0625"/>
    <w:rsid w:val="004E1F70"/>
    <w:rsid w:val="004E2A21"/>
    <w:rsid w:val="004E2AD4"/>
    <w:rsid w:val="004E3AF2"/>
    <w:rsid w:val="004E3B10"/>
    <w:rsid w:val="004E4031"/>
    <w:rsid w:val="004E4C3D"/>
    <w:rsid w:val="004F10EA"/>
    <w:rsid w:val="004F2A90"/>
    <w:rsid w:val="004F36EF"/>
    <w:rsid w:val="004F5D53"/>
    <w:rsid w:val="004F6A48"/>
    <w:rsid w:val="00501BC7"/>
    <w:rsid w:val="0050397E"/>
    <w:rsid w:val="005065CC"/>
    <w:rsid w:val="00510390"/>
    <w:rsid w:val="00513AB5"/>
    <w:rsid w:val="00515405"/>
    <w:rsid w:val="00517283"/>
    <w:rsid w:val="00517BC7"/>
    <w:rsid w:val="00521972"/>
    <w:rsid w:val="00524616"/>
    <w:rsid w:val="00524AA8"/>
    <w:rsid w:val="0052677C"/>
    <w:rsid w:val="00526AAE"/>
    <w:rsid w:val="00527A3D"/>
    <w:rsid w:val="00527B00"/>
    <w:rsid w:val="00527C43"/>
    <w:rsid w:val="0053037F"/>
    <w:rsid w:val="00530C4C"/>
    <w:rsid w:val="005315DE"/>
    <w:rsid w:val="00531682"/>
    <w:rsid w:val="00532F11"/>
    <w:rsid w:val="00532F60"/>
    <w:rsid w:val="005344A2"/>
    <w:rsid w:val="005363F6"/>
    <w:rsid w:val="0053644E"/>
    <w:rsid w:val="0053676A"/>
    <w:rsid w:val="00537805"/>
    <w:rsid w:val="00541082"/>
    <w:rsid w:val="005411F2"/>
    <w:rsid w:val="005415A9"/>
    <w:rsid w:val="005427E7"/>
    <w:rsid w:val="0054622C"/>
    <w:rsid w:val="00546B7B"/>
    <w:rsid w:val="00547448"/>
    <w:rsid w:val="00547620"/>
    <w:rsid w:val="00547CB9"/>
    <w:rsid w:val="00550C86"/>
    <w:rsid w:val="0055183F"/>
    <w:rsid w:val="0055340E"/>
    <w:rsid w:val="00553813"/>
    <w:rsid w:val="00555603"/>
    <w:rsid w:val="005571A6"/>
    <w:rsid w:val="005574DE"/>
    <w:rsid w:val="005579B7"/>
    <w:rsid w:val="00560EC7"/>
    <w:rsid w:val="005627CF"/>
    <w:rsid w:val="00562CFC"/>
    <w:rsid w:val="00562EF3"/>
    <w:rsid w:val="00562F9D"/>
    <w:rsid w:val="0056427E"/>
    <w:rsid w:val="005652ED"/>
    <w:rsid w:val="00565841"/>
    <w:rsid w:val="00565F7C"/>
    <w:rsid w:val="005667F6"/>
    <w:rsid w:val="00566AB1"/>
    <w:rsid w:val="0056736B"/>
    <w:rsid w:val="005676D5"/>
    <w:rsid w:val="00571371"/>
    <w:rsid w:val="005723C1"/>
    <w:rsid w:val="00572BA6"/>
    <w:rsid w:val="0057398B"/>
    <w:rsid w:val="00574744"/>
    <w:rsid w:val="00576A72"/>
    <w:rsid w:val="00577D12"/>
    <w:rsid w:val="00585A83"/>
    <w:rsid w:val="00585D1E"/>
    <w:rsid w:val="005867B3"/>
    <w:rsid w:val="00586E1B"/>
    <w:rsid w:val="00590036"/>
    <w:rsid w:val="00591526"/>
    <w:rsid w:val="0059174B"/>
    <w:rsid w:val="00593A67"/>
    <w:rsid w:val="00597B4B"/>
    <w:rsid w:val="005A1373"/>
    <w:rsid w:val="005A4E18"/>
    <w:rsid w:val="005A5111"/>
    <w:rsid w:val="005A6646"/>
    <w:rsid w:val="005A6D51"/>
    <w:rsid w:val="005B2824"/>
    <w:rsid w:val="005B35F1"/>
    <w:rsid w:val="005B42B9"/>
    <w:rsid w:val="005B5CEB"/>
    <w:rsid w:val="005B71B7"/>
    <w:rsid w:val="005C015B"/>
    <w:rsid w:val="005C06C9"/>
    <w:rsid w:val="005C23A3"/>
    <w:rsid w:val="005C2DBE"/>
    <w:rsid w:val="005C666E"/>
    <w:rsid w:val="005C6F5D"/>
    <w:rsid w:val="005C7508"/>
    <w:rsid w:val="005C7A00"/>
    <w:rsid w:val="005C7FED"/>
    <w:rsid w:val="005D01C8"/>
    <w:rsid w:val="005D1A6B"/>
    <w:rsid w:val="005D281E"/>
    <w:rsid w:val="005D286E"/>
    <w:rsid w:val="005D3E64"/>
    <w:rsid w:val="005D444A"/>
    <w:rsid w:val="005D5358"/>
    <w:rsid w:val="005D5AB3"/>
    <w:rsid w:val="005D65CC"/>
    <w:rsid w:val="005D66CE"/>
    <w:rsid w:val="005D6B23"/>
    <w:rsid w:val="005E1880"/>
    <w:rsid w:val="005E2DE2"/>
    <w:rsid w:val="005E3769"/>
    <w:rsid w:val="005E5C2D"/>
    <w:rsid w:val="005E6872"/>
    <w:rsid w:val="005E6884"/>
    <w:rsid w:val="005E6F6B"/>
    <w:rsid w:val="005E7A25"/>
    <w:rsid w:val="005F030C"/>
    <w:rsid w:val="005F08FF"/>
    <w:rsid w:val="005F1331"/>
    <w:rsid w:val="005F1645"/>
    <w:rsid w:val="005F2545"/>
    <w:rsid w:val="005F254F"/>
    <w:rsid w:val="005F42CE"/>
    <w:rsid w:val="005F4344"/>
    <w:rsid w:val="005F46CE"/>
    <w:rsid w:val="005F5DE4"/>
    <w:rsid w:val="0060014E"/>
    <w:rsid w:val="006019CB"/>
    <w:rsid w:val="0060290B"/>
    <w:rsid w:val="00605D0A"/>
    <w:rsid w:val="006072CA"/>
    <w:rsid w:val="00612A6F"/>
    <w:rsid w:val="00612D5E"/>
    <w:rsid w:val="00613124"/>
    <w:rsid w:val="00613A29"/>
    <w:rsid w:val="006147D0"/>
    <w:rsid w:val="006152EE"/>
    <w:rsid w:val="00617646"/>
    <w:rsid w:val="0062195E"/>
    <w:rsid w:val="006233D0"/>
    <w:rsid w:val="00623CDD"/>
    <w:rsid w:val="00626A0B"/>
    <w:rsid w:val="0062746E"/>
    <w:rsid w:val="006277B4"/>
    <w:rsid w:val="00627AC6"/>
    <w:rsid w:val="00630D82"/>
    <w:rsid w:val="00631684"/>
    <w:rsid w:val="006317C2"/>
    <w:rsid w:val="006319B4"/>
    <w:rsid w:val="00632150"/>
    <w:rsid w:val="006329B6"/>
    <w:rsid w:val="006368EA"/>
    <w:rsid w:val="00636AF8"/>
    <w:rsid w:val="00640A23"/>
    <w:rsid w:val="0064142E"/>
    <w:rsid w:val="00642A0B"/>
    <w:rsid w:val="006444A0"/>
    <w:rsid w:val="0064475A"/>
    <w:rsid w:val="00644A02"/>
    <w:rsid w:val="00644F84"/>
    <w:rsid w:val="006461CC"/>
    <w:rsid w:val="00646FDD"/>
    <w:rsid w:val="006479F8"/>
    <w:rsid w:val="00647BC7"/>
    <w:rsid w:val="006513B0"/>
    <w:rsid w:val="00651DC3"/>
    <w:rsid w:val="00653292"/>
    <w:rsid w:val="006536CB"/>
    <w:rsid w:val="006562C3"/>
    <w:rsid w:val="0066083F"/>
    <w:rsid w:val="0066115D"/>
    <w:rsid w:val="00662882"/>
    <w:rsid w:val="006651F4"/>
    <w:rsid w:val="00665C50"/>
    <w:rsid w:val="006666F7"/>
    <w:rsid w:val="00667E5F"/>
    <w:rsid w:val="006708E2"/>
    <w:rsid w:val="006719FA"/>
    <w:rsid w:val="006735DA"/>
    <w:rsid w:val="00674A1C"/>
    <w:rsid w:val="00675AC1"/>
    <w:rsid w:val="00675CCF"/>
    <w:rsid w:val="00681B57"/>
    <w:rsid w:val="00683802"/>
    <w:rsid w:val="00684B44"/>
    <w:rsid w:val="00685D02"/>
    <w:rsid w:val="00686A4D"/>
    <w:rsid w:val="006872D3"/>
    <w:rsid w:val="00690233"/>
    <w:rsid w:val="00690236"/>
    <w:rsid w:val="006929B1"/>
    <w:rsid w:val="00692C06"/>
    <w:rsid w:val="00693D9A"/>
    <w:rsid w:val="006941E2"/>
    <w:rsid w:val="00694D70"/>
    <w:rsid w:val="0069527F"/>
    <w:rsid w:val="00695781"/>
    <w:rsid w:val="006A2C7D"/>
    <w:rsid w:val="006A40DE"/>
    <w:rsid w:val="006A746D"/>
    <w:rsid w:val="006B0442"/>
    <w:rsid w:val="006B1EFF"/>
    <w:rsid w:val="006B2E0F"/>
    <w:rsid w:val="006B386D"/>
    <w:rsid w:val="006B4265"/>
    <w:rsid w:val="006B5663"/>
    <w:rsid w:val="006B5709"/>
    <w:rsid w:val="006B5890"/>
    <w:rsid w:val="006B7418"/>
    <w:rsid w:val="006B7AB3"/>
    <w:rsid w:val="006C2B67"/>
    <w:rsid w:val="006C325B"/>
    <w:rsid w:val="006C3A40"/>
    <w:rsid w:val="006C3B19"/>
    <w:rsid w:val="006C40E4"/>
    <w:rsid w:val="006C6E0D"/>
    <w:rsid w:val="006D070E"/>
    <w:rsid w:val="006D2B0D"/>
    <w:rsid w:val="006D3DCF"/>
    <w:rsid w:val="006D455E"/>
    <w:rsid w:val="006D5375"/>
    <w:rsid w:val="006D5F6F"/>
    <w:rsid w:val="006D623C"/>
    <w:rsid w:val="006D65A2"/>
    <w:rsid w:val="006D7CA1"/>
    <w:rsid w:val="006E02FF"/>
    <w:rsid w:val="006E0F39"/>
    <w:rsid w:val="006E1547"/>
    <w:rsid w:val="006E1B0A"/>
    <w:rsid w:val="006E2042"/>
    <w:rsid w:val="006E2188"/>
    <w:rsid w:val="006E21A4"/>
    <w:rsid w:val="006E21D3"/>
    <w:rsid w:val="006E2E46"/>
    <w:rsid w:val="006E6B0B"/>
    <w:rsid w:val="006E6E06"/>
    <w:rsid w:val="006F2DCE"/>
    <w:rsid w:val="006F335D"/>
    <w:rsid w:val="006F3D9F"/>
    <w:rsid w:val="006F5A2F"/>
    <w:rsid w:val="006F7634"/>
    <w:rsid w:val="006F7C2B"/>
    <w:rsid w:val="006F7DE4"/>
    <w:rsid w:val="0070095A"/>
    <w:rsid w:val="00700ADA"/>
    <w:rsid w:val="00700F0B"/>
    <w:rsid w:val="007012B8"/>
    <w:rsid w:val="007013FE"/>
    <w:rsid w:val="00701811"/>
    <w:rsid w:val="00702FBF"/>
    <w:rsid w:val="00703230"/>
    <w:rsid w:val="0070455A"/>
    <w:rsid w:val="00706F68"/>
    <w:rsid w:val="00710551"/>
    <w:rsid w:val="0071147B"/>
    <w:rsid w:val="007117A0"/>
    <w:rsid w:val="0071199C"/>
    <w:rsid w:val="00712A27"/>
    <w:rsid w:val="00712F2A"/>
    <w:rsid w:val="0071332F"/>
    <w:rsid w:val="007135D9"/>
    <w:rsid w:val="00714307"/>
    <w:rsid w:val="00722C82"/>
    <w:rsid w:val="00722FC3"/>
    <w:rsid w:val="00726179"/>
    <w:rsid w:val="00731D4B"/>
    <w:rsid w:val="00733912"/>
    <w:rsid w:val="00734095"/>
    <w:rsid w:val="007344DF"/>
    <w:rsid w:val="00737B3F"/>
    <w:rsid w:val="00740976"/>
    <w:rsid w:val="00740AA6"/>
    <w:rsid w:val="00740AB0"/>
    <w:rsid w:val="0074292C"/>
    <w:rsid w:val="00743187"/>
    <w:rsid w:val="00743435"/>
    <w:rsid w:val="007445A2"/>
    <w:rsid w:val="00745A7C"/>
    <w:rsid w:val="00746A7E"/>
    <w:rsid w:val="0075134B"/>
    <w:rsid w:val="007518BA"/>
    <w:rsid w:val="007519F6"/>
    <w:rsid w:val="00751B61"/>
    <w:rsid w:val="0075257C"/>
    <w:rsid w:val="00752FDD"/>
    <w:rsid w:val="00753046"/>
    <w:rsid w:val="0075658A"/>
    <w:rsid w:val="0075695E"/>
    <w:rsid w:val="0076088A"/>
    <w:rsid w:val="0076119F"/>
    <w:rsid w:val="007619E3"/>
    <w:rsid w:val="00762220"/>
    <w:rsid w:val="00762961"/>
    <w:rsid w:val="00762A4C"/>
    <w:rsid w:val="00762E69"/>
    <w:rsid w:val="007632A0"/>
    <w:rsid w:val="00763E92"/>
    <w:rsid w:val="00765978"/>
    <w:rsid w:val="00766320"/>
    <w:rsid w:val="00771213"/>
    <w:rsid w:val="007764EC"/>
    <w:rsid w:val="00777874"/>
    <w:rsid w:val="00780802"/>
    <w:rsid w:val="00782074"/>
    <w:rsid w:val="00782158"/>
    <w:rsid w:val="007822C3"/>
    <w:rsid w:val="007825F1"/>
    <w:rsid w:val="007840CD"/>
    <w:rsid w:val="00786548"/>
    <w:rsid w:val="007875FD"/>
    <w:rsid w:val="007905BD"/>
    <w:rsid w:val="00792D88"/>
    <w:rsid w:val="00793172"/>
    <w:rsid w:val="007931CF"/>
    <w:rsid w:val="00793D6C"/>
    <w:rsid w:val="00794601"/>
    <w:rsid w:val="007949BD"/>
    <w:rsid w:val="00794A76"/>
    <w:rsid w:val="00794C46"/>
    <w:rsid w:val="00795422"/>
    <w:rsid w:val="00795965"/>
    <w:rsid w:val="007959A0"/>
    <w:rsid w:val="0079797C"/>
    <w:rsid w:val="007A03C7"/>
    <w:rsid w:val="007A3CE0"/>
    <w:rsid w:val="007A4AA0"/>
    <w:rsid w:val="007A7F62"/>
    <w:rsid w:val="007B3643"/>
    <w:rsid w:val="007B4770"/>
    <w:rsid w:val="007B4C56"/>
    <w:rsid w:val="007B5D2E"/>
    <w:rsid w:val="007B7E25"/>
    <w:rsid w:val="007C111B"/>
    <w:rsid w:val="007C2F0B"/>
    <w:rsid w:val="007C3AA4"/>
    <w:rsid w:val="007C3BDF"/>
    <w:rsid w:val="007C3E01"/>
    <w:rsid w:val="007C43A9"/>
    <w:rsid w:val="007D0A97"/>
    <w:rsid w:val="007D0E22"/>
    <w:rsid w:val="007D19D6"/>
    <w:rsid w:val="007D3580"/>
    <w:rsid w:val="007D3A86"/>
    <w:rsid w:val="007D43F6"/>
    <w:rsid w:val="007D486B"/>
    <w:rsid w:val="007D4988"/>
    <w:rsid w:val="007D56D4"/>
    <w:rsid w:val="007D5F34"/>
    <w:rsid w:val="007D60AA"/>
    <w:rsid w:val="007D6164"/>
    <w:rsid w:val="007E03AA"/>
    <w:rsid w:val="007E335D"/>
    <w:rsid w:val="007E3BF8"/>
    <w:rsid w:val="007E60E1"/>
    <w:rsid w:val="007F06A5"/>
    <w:rsid w:val="007F0B0E"/>
    <w:rsid w:val="007F0FB9"/>
    <w:rsid w:val="007F22C6"/>
    <w:rsid w:val="007F2993"/>
    <w:rsid w:val="007F449F"/>
    <w:rsid w:val="007F5996"/>
    <w:rsid w:val="00802FD0"/>
    <w:rsid w:val="008032B0"/>
    <w:rsid w:val="0080377C"/>
    <w:rsid w:val="00803CC2"/>
    <w:rsid w:val="00805743"/>
    <w:rsid w:val="008066AC"/>
    <w:rsid w:val="0081455A"/>
    <w:rsid w:val="00815F6A"/>
    <w:rsid w:val="00816B44"/>
    <w:rsid w:val="00817430"/>
    <w:rsid w:val="0082099D"/>
    <w:rsid w:val="008247E4"/>
    <w:rsid w:val="008250BA"/>
    <w:rsid w:val="00825546"/>
    <w:rsid w:val="0082656C"/>
    <w:rsid w:val="00827F37"/>
    <w:rsid w:val="00831D26"/>
    <w:rsid w:val="0083309A"/>
    <w:rsid w:val="008350A1"/>
    <w:rsid w:val="008367FE"/>
    <w:rsid w:val="00837279"/>
    <w:rsid w:val="008411BF"/>
    <w:rsid w:val="008419AE"/>
    <w:rsid w:val="00842D62"/>
    <w:rsid w:val="00842E3E"/>
    <w:rsid w:val="00843959"/>
    <w:rsid w:val="00843FC8"/>
    <w:rsid w:val="008441CE"/>
    <w:rsid w:val="008471BA"/>
    <w:rsid w:val="0085193D"/>
    <w:rsid w:val="00852C56"/>
    <w:rsid w:val="00855255"/>
    <w:rsid w:val="00855792"/>
    <w:rsid w:val="0085622F"/>
    <w:rsid w:val="00862436"/>
    <w:rsid w:val="008644BE"/>
    <w:rsid w:val="008679C7"/>
    <w:rsid w:val="00867B0B"/>
    <w:rsid w:val="008719F7"/>
    <w:rsid w:val="008720B1"/>
    <w:rsid w:val="008727F1"/>
    <w:rsid w:val="00873F4F"/>
    <w:rsid w:val="00874557"/>
    <w:rsid w:val="008748AC"/>
    <w:rsid w:val="0087511C"/>
    <w:rsid w:val="008777E7"/>
    <w:rsid w:val="008779FF"/>
    <w:rsid w:val="00880A01"/>
    <w:rsid w:val="00884171"/>
    <w:rsid w:val="0088434C"/>
    <w:rsid w:val="00884427"/>
    <w:rsid w:val="00886C99"/>
    <w:rsid w:val="00886D9A"/>
    <w:rsid w:val="00890A8B"/>
    <w:rsid w:val="0089192F"/>
    <w:rsid w:val="00893093"/>
    <w:rsid w:val="00895881"/>
    <w:rsid w:val="008962C3"/>
    <w:rsid w:val="00897003"/>
    <w:rsid w:val="00897B2D"/>
    <w:rsid w:val="008A1372"/>
    <w:rsid w:val="008A14B4"/>
    <w:rsid w:val="008A168E"/>
    <w:rsid w:val="008A1B70"/>
    <w:rsid w:val="008A4020"/>
    <w:rsid w:val="008A40F8"/>
    <w:rsid w:val="008A4E68"/>
    <w:rsid w:val="008A526E"/>
    <w:rsid w:val="008A528F"/>
    <w:rsid w:val="008A5DA3"/>
    <w:rsid w:val="008A68AA"/>
    <w:rsid w:val="008A7647"/>
    <w:rsid w:val="008A7AC4"/>
    <w:rsid w:val="008B01E5"/>
    <w:rsid w:val="008B146F"/>
    <w:rsid w:val="008B1A21"/>
    <w:rsid w:val="008B3123"/>
    <w:rsid w:val="008B4EF8"/>
    <w:rsid w:val="008B654C"/>
    <w:rsid w:val="008B79CA"/>
    <w:rsid w:val="008B7D43"/>
    <w:rsid w:val="008C20FC"/>
    <w:rsid w:val="008C2297"/>
    <w:rsid w:val="008C3538"/>
    <w:rsid w:val="008C498D"/>
    <w:rsid w:val="008C4ED0"/>
    <w:rsid w:val="008D4032"/>
    <w:rsid w:val="008D4238"/>
    <w:rsid w:val="008E0DB9"/>
    <w:rsid w:val="008E1D78"/>
    <w:rsid w:val="008E3160"/>
    <w:rsid w:val="008E4837"/>
    <w:rsid w:val="008E49E3"/>
    <w:rsid w:val="008E4A08"/>
    <w:rsid w:val="008E5DF4"/>
    <w:rsid w:val="008E76E9"/>
    <w:rsid w:val="008E7871"/>
    <w:rsid w:val="008F1E15"/>
    <w:rsid w:val="008F210F"/>
    <w:rsid w:val="008F289D"/>
    <w:rsid w:val="008F2942"/>
    <w:rsid w:val="008F54F0"/>
    <w:rsid w:val="008F717F"/>
    <w:rsid w:val="009009C3"/>
    <w:rsid w:val="00900C00"/>
    <w:rsid w:val="00900FAB"/>
    <w:rsid w:val="009012CD"/>
    <w:rsid w:val="009016B5"/>
    <w:rsid w:val="00901BCB"/>
    <w:rsid w:val="00902C3A"/>
    <w:rsid w:val="00903553"/>
    <w:rsid w:val="00904EB3"/>
    <w:rsid w:val="00904F8C"/>
    <w:rsid w:val="00907F5F"/>
    <w:rsid w:val="00911106"/>
    <w:rsid w:val="0091210F"/>
    <w:rsid w:val="009148C8"/>
    <w:rsid w:val="00914B5B"/>
    <w:rsid w:val="00917AAA"/>
    <w:rsid w:val="009242B7"/>
    <w:rsid w:val="009245A6"/>
    <w:rsid w:val="009255BD"/>
    <w:rsid w:val="0092681B"/>
    <w:rsid w:val="00926C00"/>
    <w:rsid w:val="009317FF"/>
    <w:rsid w:val="00932AE7"/>
    <w:rsid w:val="0093374D"/>
    <w:rsid w:val="00933C93"/>
    <w:rsid w:val="00933CDC"/>
    <w:rsid w:val="00933FF7"/>
    <w:rsid w:val="009341C7"/>
    <w:rsid w:val="00935489"/>
    <w:rsid w:val="00935CE5"/>
    <w:rsid w:val="00936084"/>
    <w:rsid w:val="0093626E"/>
    <w:rsid w:val="00941157"/>
    <w:rsid w:val="009417BA"/>
    <w:rsid w:val="00942514"/>
    <w:rsid w:val="009543D2"/>
    <w:rsid w:val="009556B5"/>
    <w:rsid w:val="00956094"/>
    <w:rsid w:val="00957E4B"/>
    <w:rsid w:val="0096079E"/>
    <w:rsid w:val="00961271"/>
    <w:rsid w:val="009622BB"/>
    <w:rsid w:val="0096479B"/>
    <w:rsid w:val="009648D4"/>
    <w:rsid w:val="00965086"/>
    <w:rsid w:val="00966D63"/>
    <w:rsid w:val="00971B97"/>
    <w:rsid w:val="00971ED8"/>
    <w:rsid w:val="00972780"/>
    <w:rsid w:val="00973941"/>
    <w:rsid w:val="0097450E"/>
    <w:rsid w:val="00976340"/>
    <w:rsid w:val="009765BF"/>
    <w:rsid w:val="00976821"/>
    <w:rsid w:val="00976A6A"/>
    <w:rsid w:val="0097719C"/>
    <w:rsid w:val="0098318A"/>
    <w:rsid w:val="00984250"/>
    <w:rsid w:val="00984FC6"/>
    <w:rsid w:val="0098610A"/>
    <w:rsid w:val="00986F01"/>
    <w:rsid w:val="009900DB"/>
    <w:rsid w:val="00992FE4"/>
    <w:rsid w:val="0099591E"/>
    <w:rsid w:val="00995B04"/>
    <w:rsid w:val="00996839"/>
    <w:rsid w:val="009A0E35"/>
    <w:rsid w:val="009A168D"/>
    <w:rsid w:val="009A1D8E"/>
    <w:rsid w:val="009A5A64"/>
    <w:rsid w:val="009A5D43"/>
    <w:rsid w:val="009A7BE6"/>
    <w:rsid w:val="009A7F70"/>
    <w:rsid w:val="009B2E01"/>
    <w:rsid w:val="009B42FE"/>
    <w:rsid w:val="009B46AD"/>
    <w:rsid w:val="009B6E94"/>
    <w:rsid w:val="009C0BDD"/>
    <w:rsid w:val="009C251D"/>
    <w:rsid w:val="009C2710"/>
    <w:rsid w:val="009C2B63"/>
    <w:rsid w:val="009C2CEC"/>
    <w:rsid w:val="009C396E"/>
    <w:rsid w:val="009C56F4"/>
    <w:rsid w:val="009C6BF0"/>
    <w:rsid w:val="009C76E5"/>
    <w:rsid w:val="009D185B"/>
    <w:rsid w:val="009D1FBD"/>
    <w:rsid w:val="009D5C3F"/>
    <w:rsid w:val="009D5E4B"/>
    <w:rsid w:val="009D6368"/>
    <w:rsid w:val="009E2804"/>
    <w:rsid w:val="009E3C65"/>
    <w:rsid w:val="009E4BFF"/>
    <w:rsid w:val="009E6315"/>
    <w:rsid w:val="009E710E"/>
    <w:rsid w:val="009E7813"/>
    <w:rsid w:val="009F14A0"/>
    <w:rsid w:val="009F1DB8"/>
    <w:rsid w:val="009F22D8"/>
    <w:rsid w:val="009F24D2"/>
    <w:rsid w:val="009F6A37"/>
    <w:rsid w:val="009F763A"/>
    <w:rsid w:val="00A0185F"/>
    <w:rsid w:val="00A01C5D"/>
    <w:rsid w:val="00A05E07"/>
    <w:rsid w:val="00A11F04"/>
    <w:rsid w:val="00A123B2"/>
    <w:rsid w:val="00A150CF"/>
    <w:rsid w:val="00A1566F"/>
    <w:rsid w:val="00A1635B"/>
    <w:rsid w:val="00A173D2"/>
    <w:rsid w:val="00A205AF"/>
    <w:rsid w:val="00A20F02"/>
    <w:rsid w:val="00A21C5C"/>
    <w:rsid w:val="00A224F0"/>
    <w:rsid w:val="00A22D7A"/>
    <w:rsid w:val="00A23CF2"/>
    <w:rsid w:val="00A24C4E"/>
    <w:rsid w:val="00A254BB"/>
    <w:rsid w:val="00A2578B"/>
    <w:rsid w:val="00A26107"/>
    <w:rsid w:val="00A26E0D"/>
    <w:rsid w:val="00A277EA"/>
    <w:rsid w:val="00A27C89"/>
    <w:rsid w:val="00A3053B"/>
    <w:rsid w:val="00A30592"/>
    <w:rsid w:val="00A30FD1"/>
    <w:rsid w:val="00A319CC"/>
    <w:rsid w:val="00A31A73"/>
    <w:rsid w:val="00A346A1"/>
    <w:rsid w:val="00A34FD6"/>
    <w:rsid w:val="00A3721A"/>
    <w:rsid w:val="00A40C62"/>
    <w:rsid w:val="00A4207E"/>
    <w:rsid w:val="00A431CF"/>
    <w:rsid w:val="00A45EF6"/>
    <w:rsid w:val="00A46181"/>
    <w:rsid w:val="00A4652A"/>
    <w:rsid w:val="00A509AA"/>
    <w:rsid w:val="00A53AAA"/>
    <w:rsid w:val="00A53E84"/>
    <w:rsid w:val="00A54CA5"/>
    <w:rsid w:val="00A574B0"/>
    <w:rsid w:val="00A60138"/>
    <w:rsid w:val="00A61E61"/>
    <w:rsid w:val="00A62B3D"/>
    <w:rsid w:val="00A63D88"/>
    <w:rsid w:val="00A64477"/>
    <w:rsid w:val="00A648B1"/>
    <w:rsid w:val="00A648EA"/>
    <w:rsid w:val="00A65E9A"/>
    <w:rsid w:val="00A66B00"/>
    <w:rsid w:val="00A67128"/>
    <w:rsid w:val="00A67918"/>
    <w:rsid w:val="00A67953"/>
    <w:rsid w:val="00A67E93"/>
    <w:rsid w:val="00A70BE1"/>
    <w:rsid w:val="00A70EB7"/>
    <w:rsid w:val="00A70F49"/>
    <w:rsid w:val="00A730F9"/>
    <w:rsid w:val="00A736B3"/>
    <w:rsid w:val="00A741A6"/>
    <w:rsid w:val="00A76269"/>
    <w:rsid w:val="00A83CCE"/>
    <w:rsid w:val="00A84384"/>
    <w:rsid w:val="00A84389"/>
    <w:rsid w:val="00A85194"/>
    <w:rsid w:val="00A87D0A"/>
    <w:rsid w:val="00A9291A"/>
    <w:rsid w:val="00A92A48"/>
    <w:rsid w:val="00A93A43"/>
    <w:rsid w:val="00A94F60"/>
    <w:rsid w:val="00A96833"/>
    <w:rsid w:val="00A97BF6"/>
    <w:rsid w:val="00AA11BF"/>
    <w:rsid w:val="00AA2EB6"/>
    <w:rsid w:val="00AA40F0"/>
    <w:rsid w:val="00AA4A0A"/>
    <w:rsid w:val="00AA7543"/>
    <w:rsid w:val="00AB012C"/>
    <w:rsid w:val="00AB24CC"/>
    <w:rsid w:val="00AB279C"/>
    <w:rsid w:val="00AB2AF9"/>
    <w:rsid w:val="00AB2C1D"/>
    <w:rsid w:val="00AB357F"/>
    <w:rsid w:val="00AB5081"/>
    <w:rsid w:val="00AB5B52"/>
    <w:rsid w:val="00AB6EEA"/>
    <w:rsid w:val="00AB7B04"/>
    <w:rsid w:val="00AC122C"/>
    <w:rsid w:val="00AC1938"/>
    <w:rsid w:val="00AC1A64"/>
    <w:rsid w:val="00AC279A"/>
    <w:rsid w:val="00AC2C02"/>
    <w:rsid w:val="00AC2F46"/>
    <w:rsid w:val="00AC6736"/>
    <w:rsid w:val="00AD0C41"/>
    <w:rsid w:val="00AD0F72"/>
    <w:rsid w:val="00AD32D9"/>
    <w:rsid w:val="00AD69C9"/>
    <w:rsid w:val="00AD7BB9"/>
    <w:rsid w:val="00AE2772"/>
    <w:rsid w:val="00AE2A66"/>
    <w:rsid w:val="00AE332A"/>
    <w:rsid w:val="00AE3490"/>
    <w:rsid w:val="00AE4EC2"/>
    <w:rsid w:val="00AE4F95"/>
    <w:rsid w:val="00AE536E"/>
    <w:rsid w:val="00AE56F4"/>
    <w:rsid w:val="00AE70B8"/>
    <w:rsid w:val="00AF1062"/>
    <w:rsid w:val="00AF1FCE"/>
    <w:rsid w:val="00AF578F"/>
    <w:rsid w:val="00AF7491"/>
    <w:rsid w:val="00B002D3"/>
    <w:rsid w:val="00B00639"/>
    <w:rsid w:val="00B00D23"/>
    <w:rsid w:val="00B022F9"/>
    <w:rsid w:val="00B02352"/>
    <w:rsid w:val="00B02CB0"/>
    <w:rsid w:val="00B060DF"/>
    <w:rsid w:val="00B06510"/>
    <w:rsid w:val="00B10184"/>
    <w:rsid w:val="00B1039B"/>
    <w:rsid w:val="00B11183"/>
    <w:rsid w:val="00B115F4"/>
    <w:rsid w:val="00B11F78"/>
    <w:rsid w:val="00B127D8"/>
    <w:rsid w:val="00B13146"/>
    <w:rsid w:val="00B13A7A"/>
    <w:rsid w:val="00B13ADC"/>
    <w:rsid w:val="00B1570B"/>
    <w:rsid w:val="00B16DD1"/>
    <w:rsid w:val="00B20256"/>
    <w:rsid w:val="00B20935"/>
    <w:rsid w:val="00B21AE8"/>
    <w:rsid w:val="00B221B4"/>
    <w:rsid w:val="00B2266C"/>
    <w:rsid w:val="00B23373"/>
    <w:rsid w:val="00B2398D"/>
    <w:rsid w:val="00B25C12"/>
    <w:rsid w:val="00B2624E"/>
    <w:rsid w:val="00B26963"/>
    <w:rsid w:val="00B27FCF"/>
    <w:rsid w:val="00B300E0"/>
    <w:rsid w:val="00B32D64"/>
    <w:rsid w:val="00B3441E"/>
    <w:rsid w:val="00B3491B"/>
    <w:rsid w:val="00B361B2"/>
    <w:rsid w:val="00B377F1"/>
    <w:rsid w:val="00B37B27"/>
    <w:rsid w:val="00B37DF2"/>
    <w:rsid w:val="00B409CB"/>
    <w:rsid w:val="00B430DA"/>
    <w:rsid w:val="00B43DA4"/>
    <w:rsid w:val="00B4420F"/>
    <w:rsid w:val="00B44918"/>
    <w:rsid w:val="00B500B7"/>
    <w:rsid w:val="00B5028E"/>
    <w:rsid w:val="00B5180B"/>
    <w:rsid w:val="00B518F0"/>
    <w:rsid w:val="00B536D4"/>
    <w:rsid w:val="00B559FF"/>
    <w:rsid w:val="00B57119"/>
    <w:rsid w:val="00B57307"/>
    <w:rsid w:val="00B57968"/>
    <w:rsid w:val="00B57999"/>
    <w:rsid w:val="00B600B6"/>
    <w:rsid w:val="00B6083E"/>
    <w:rsid w:val="00B62238"/>
    <w:rsid w:val="00B62D7D"/>
    <w:rsid w:val="00B63D93"/>
    <w:rsid w:val="00B63FF2"/>
    <w:rsid w:val="00B64277"/>
    <w:rsid w:val="00B64389"/>
    <w:rsid w:val="00B655C4"/>
    <w:rsid w:val="00B65844"/>
    <w:rsid w:val="00B66B56"/>
    <w:rsid w:val="00B675C5"/>
    <w:rsid w:val="00B70B95"/>
    <w:rsid w:val="00B70F45"/>
    <w:rsid w:val="00B723BA"/>
    <w:rsid w:val="00B733FC"/>
    <w:rsid w:val="00B73952"/>
    <w:rsid w:val="00B774E0"/>
    <w:rsid w:val="00B778AC"/>
    <w:rsid w:val="00B80496"/>
    <w:rsid w:val="00B8059D"/>
    <w:rsid w:val="00B81037"/>
    <w:rsid w:val="00B828E6"/>
    <w:rsid w:val="00B86B73"/>
    <w:rsid w:val="00B877CF"/>
    <w:rsid w:val="00B87ADD"/>
    <w:rsid w:val="00B902A1"/>
    <w:rsid w:val="00B91B8D"/>
    <w:rsid w:val="00B91F68"/>
    <w:rsid w:val="00B933DC"/>
    <w:rsid w:val="00B939A6"/>
    <w:rsid w:val="00B93A83"/>
    <w:rsid w:val="00B94751"/>
    <w:rsid w:val="00B948EF"/>
    <w:rsid w:val="00B95706"/>
    <w:rsid w:val="00B96087"/>
    <w:rsid w:val="00B97549"/>
    <w:rsid w:val="00BA07A0"/>
    <w:rsid w:val="00BA1E8F"/>
    <w:rsid w:val="00BA2137"/>
    <w:rsid w:val="00BA235D"/>
    <w:rsid w:val="00BA2F5C"/>
    <w:rsid w:val="00BA3E7F"/>
    <w:rsid w:val="00BA42C9"/>
    <w:rsid w:val="00BA430C"/>
    <w:rsid w:val="00BA4726"/>
    <w:rsid w:val="00BA4B00"/>
    <w:rsid w:val="00BA4B87"/>
    <w:rsid w:val="00BA4C74"/>
    <w:rsid w:val="00BA50C2"/>
    <w:rsid w:val="00BA6192"/>
    <w:rsid w:val="00BA6A4B"/>
    <w:rsid w:val="00BA7D18"/>
    <w:rsid w:val="00BA7DD7"/>
    <w:rsid w:val="00BB3DC7"/>
    <w:rsid w:val="00BB4871"/>
    <w:rsid w:val="00BB5403"/>
    <w:rsid w:val="00BB5C3C"/>
    <w:rsid w:val="00BC021E"/>
    <w:rsid w:val="00BC0856"/>
    <w:rsid w:val="00BC0CD4"/>
    <w:rsid w:val="00BC19AC"/>
    <w:rsid w:val="00BC2183"/>
    <w:rsid w:val="00BC31EF"/>
    <w:rsid w:val="00BC3D83"/>
    <w:rsid w:val="00BC436F"/>
    <w:rsid w:val="00BC5408"/>
    <w:rsid w:val="00BC6DF5"/>
    <w:rsid w:val="00BD08C7"/>
    <w:rsid w:val="00BD0BDC"/>
    <w:rsid w:val="00BD1ABD"/>
    <w:rsid w:val="00BD2B87"/>
    <w:rsid w:val="00BD3066"/>
    <w:rsid w:val="00BD49B4"/>
    <w:rsid w:val="00BD56E8"/>
    <w:rsid w:val="00BD5ACD"/>
    <w:rsid w:val="00BD6090"/>
    <w:rsid w:val="00BD6496"/>
    <w:rsid w:val="00BD6AB5"/>
    <w:rsid w:val="00BD6C72"/>
    <w:rsid w:val="00BD737A"/>
    <w:rsid w:val="00BE048A"/>
    <w:rsid w:val="00BE436B"/>
    <w:rsid w:val="00BE6B4B"/>
    <w:rsid w:val="00BE7979"/>
    <w:rsid w:val="00BF0458"/>
    <w:rsid w:val="00BF0A17"/>
    <w:rsid w:val="00BF0AFC"/>
    <w:rsid w:val="00BF1567"/>
    <w:rsid w:val="00BF1BD6"/>
    <w:rsid w:val="00BF1F01"/>
    <w:rsid w:val="00BF2FD8"/>
    <w:rsid w:val="00BF3A49"/>
    <w:rsid w:val="00BF4A86"/>
    <w:rsid w:val="00BF50A2"/>
    <w:rsid w:val="00BF54B1"/>
    <w:rsid w:val="00C014AA"/>
    <w:rsid w:val="00C01F3D"/>
    <w:rsid w:val="00C0252C"/>
    <w:rsid w:val="00C04C6B"/>
    <w:rsid w:val="00C0536B"/>
    <w:rsid w:val="00C05517"/>
    <w:rsid w:val="00C0691E"/>
    <w:rsid w:val="00C06A40"/>
    <w:rsid w:val="00C1098E"/>
    <w:rsid w:val="00C112C9"/>
    <w:rsid w:val="00C121CE"/>
    <w:rsid w:val="00C1259A"/>
    <w:rsid w:val="00C12A9A"/>
    <w:rsid w:val="00C12AEE"/>
    <w:rsid w:val="00C13356"/>
    <w:rsid w:val="00C13548"/>
    <w:rsid w:val="00C1497C"/>
    <w:rsid w:val="00C15153"/>
    <w:rsid w:val="00C1682E"/>
    <w:rsid w:val="00C16F93"/>
    <w:rsid w:val="00C17547"/>
    <w:rsid w:val="00C2039A"/>
    <w:rsid w:val="00C212EB"/>
    <w:rsid w:val="00C21398"/>
    <w:rsid w:val="00C21E12"/>
    <w:rsid w:val="00C22059"/>
    <w:rsid w:val="00C2218E"/>
    <w:rsid w:val="00C22BCD"/>
    <w:rsid w:val="00C24661"/>
    <w:rsid w:val="00C26743"/>
    <w:rsid w:val="00C26B9D"/>
    <w:rsid w:val="00C302D2"/>
    <w:rsid w:val="00C305DF"/>
    <w:rsid w:val="00C31D58"/>
    <w:rsid w:val="00C33444"/>
    <w:rsid w:val="00C35176"/>
    <w:rsid w:val="00C40B14"/>
    <w:rsid w:val="00C42DAB"/>
    <w:rsid w:val="00C45829"/>
    <w:rsid w:val="00C45B97"/>
    <w:rsid w:val="00C46639"/>
    <w:rsid w:val="00C468D4"/>
    <w:rsid w:val="00C470E4"/>
    <w:rsid w:val="00C510A9"/>
    <w:rsid w:val="00C51801"/>
    <w:rsid w:val="00C533F0"/>
    <w:rsid w:val="00C53A21"/>
    <w:rsid w:val="00C55158"/>
    <w:rsid w:val="00C566EA"/>
    <w:rsid w:val="00C575D4"/>
    <w:rsid w:val="00C57700"/>
    <w:rsid w:val="00C6095F"/>
    <w:rsid w:val="00C658A3"/>
    <w:rsid w:val="00C660E8"/>
    <w:rsid w:val="00C663B9"/>
    <w:rsid w:val="00C66F9F"/>
    <w:rsid w:val="00C67878"/>
    <w:rsid w:val="00C70B47"/>
    <w:rsid w:val="00C71450"/>
    <w:rsid w:val="00C7157E"/>
    <w:rsid w:val="00C71EA8"/>
    <w:rsid w:val="00C72C88"/>
    <w:rsid w:val="00C75215"/>
    <w:rsid w:val="00C75523"/>
    <w:rsid w:val="00C75765"/>
    <w:rsid w:val="00C7625D"/>
    <w:rsid w:val="00C77096"/>
    <w:rsid w:val="00C81B0A"/>
    <w:rsid w:val="00C82DF0"/>
    <w:rsid w:val="00C84F37"/>
    <w:rsid w:val="00C8515F"/>
    <w:rsid w:val="00C8680A"/>
    <w:rsid w:val="00C8695B"/>
    <w:rsid w:val="00C872E6"/>
    <w:rsid w:val="00C90C5F"/>
    <w:rsid w:val="00C91925"/>
    <w:rsid w:val="00C91D75"/>
    <w:rsid w:val="00C91FB6"/>
    <w:rsid w:val="00C9385B"/>
    <w:rsid w:val="00C93899"/>
    <w:rsid w:val="00C93B04"/>
    <w:rsid w:val="00C94765"/>
    <w:rsid w:val="00C94AA3"/>
    <w:rsid w:val="00C95B3A"/>
    <w:rsid w:val="00C961FC"/>
    <w:rsid w:val="00CA008F"/>
    <w:rsid w:val="00CA069E"/>
    <w:rsid w:val="00CA1E5E"/>
    <w:rsid w:val="00CA35D9"/>
    <w:rsid w:val="00CA3B2C"/>
    <w:rsid w:val="00CA57BD"/>
    <w:rsid w:val="00CA7032"/>
    <w:rsid w:val="00CA7AA6"/>
    <w:rsid w:val="00CB013C"/>
    <w:rsid w:val="00CB08FF"/>
    <w:rsid w:val="00CB09E3"/>
    <w:rsid w:val="00CB09FB"/>
    <w:rsid w:val="00CB2457"/>
    <w:rsid w:val="00CB260A"/>
    <w:rsid w:val="00CB2696"/>
    <w:rsid w:val="00CB2948"/>
    <w:rsid w:val="00CB47F4"/>
    <w:rsid w:val="00CB50D7"/>
    <w:rsid w:val="00CB5A82"/>
    <w:rsid w:val="00CC089F"/>
    <w:rsid w:val="00CC0F24"/>
    <w:rsid w:val="00CC1E92"/>
    <w:rsid w:val="00CC4F65"/>
    <w:rsid w:val="00CC52E3"/>
    <w:rsid w:val="00CC6187"/>
    <w:rsid w:val="00CC6842"/>
    <w:rsid w:val="00CD05CA"/>
    <w:rsid w:val="00CD0EEC"/>
    <w:rsid w:val="00CD17C7"/>
    <w:rsid w:val="00CD2E5F"/>
    <w:rsid w:val="00CD2E95"/>
    <w:rsid w:val="00CD3364"/>
    <w:rsid w:val="00CD3FA5"/>
    <w:rsid w:val="00CD4D4E"/>
    <w:rsid w:val="00CD4FE9"/>
    <w:rsid w:val="00CD6699"/>
    <w:rsid w:val="00CD6A7D"/>
    <w:rsid w:val="00CE17F7"/>
    <w:rsid w:val="00CE240E"/>
    <w:rsid w:val="00CE6A06"/>
    <w:rsid w:val="00CF0114"/>
    <w:rsid w:val="00CF055C"/>
    <w:rsid w:val="00CF11DE"/>
    <w:rsid w:val="00CF2281"/>
    <w:rsid w:val="00CF2865"/>
    <w:rsid w:val="00CF2E74"/>
    <w:rsid w:val="00CF41AB"/>
    <w:rsid w:val="00CF4C2C"/>
    <w:rsid w:val="00CF535A"/>
    <w:rsid w:val="00CF5F32"/>
    <w:rsid w:val="00CF76BF"/>
    <w:rsid w:val="00CF795F"/>
    <w:rsid w:val="00CF7E2C"/>
    <w:rsid w:val="00D00300"/>
    <w:rsid w:val="00D017C4"/>
    <w:rsid w:val="00D019DA"/>
    <w:rsid w:val="00D03623"/>
    <w:rsid w:val="00D03DCA"/>
    <w:rsid w:val="00D06106"/>
    <w:rsid w:val="00D06CAC"/>
    <w:rsid w:val="00D10907"/>
    <w:rsid w:val="00D1100E"/>
    <w:rsid w:val="00D127C2"/>
    <w:rsid w:val="00D136C3"/>
    <w:rsid w:val="00D14269"/>
    <w:rsid w:val="00D15841"/>
    <w:rsid w:val="00D1608C"/>
    <w:rsid w:val="00D178E0"/>
    <w:rsid w:val="00D22384"/>
    <w:rsid w:val="00D22DBE"/>
    <w:rsid w:val="00D231C6"/>
    <w:rsid w:val="00D248A7"/>
    <w:rsid w:val="00D27BC3"/>
    <w:rsid w:val="00D27D6D"/>
    <w:rsid w:val="00D347A8"/>
    <w:rsid w:val="00D34F04"/>
    <w:rsid w:val="00D368E9"/>
    <w:rsid w:val="00D42D37"/>
    <w:rsid w:val="00D43820"/>
    <w:rsid w:val="00D50332"/>
    <w:rsid w:val="00D53D6B"/>
    <w:rsid w:val="00D53F70"/>
    <w:rsid w:val="00D55E50"/>
    <w:rsid w:val="00D626AB"/>
    <w:rsid w:val="00D63A6B"/>
    <w:rsid w:val="00D64145"/>
    <w:rsid w:val="00D6446D"/>
    <w:rsid w:val="00D660C9"/>
    <w:rsid w:val="00D663B2"/>
    <w:rsid w:val="00D66D65"/>
    <w:rsid w:val="00D6755C"/>
    <w:rsid w:val="00D6764A"/>
    <w:rsid w:val="00D6797F"/>
    <w:rsid w:val="00D737C8"/>
    <w:rsid w:val="00D757B2"/>
    <w:rsid w:val="00D75FB9"/>
    <w:rsid w:val="00D768E5"/>
    <w:rsid w:val="00D76CE2"/>
    <w:rsid w:val="00D773D5"/>
    <w:rsid w:val="00D776E6"/>
    <w:rsid w:val="00D81322"/>
    <w:rsid w:val="00D81F28"/>
    <w:rsid w:val="00D83935"/>
    <w:rsid w:val="00D839A6"/>
    <w:rsid w:val="00D844CF"/>
    <w:rsid w:val="00D869D0"/>
    <w:rsid w:val="00D86D47"/>
    <w:rsid w:val="00D870E5"/>
    <w:rsid w:val="00D87D1A"/>
    <w:rsid w:val="00D901D6"/>
    <w:rsid w:val="00D91765"/>
    <w:rsid w:val="00D94556"/>
    <w:rsid w:val="00D96736"/>
    <w:rsid w:val="00D96FF1"/>
    <w:rsid w:val="00D97EB9"/>
    <w:rsid w:val="00DA2610"/>
    <w:rsid w:val="00DA2FD2"/>
    <w:rsid w:val="00DA4D9E"/>
    <w:rsid w:val="00DA4EEC"/>
    <w:rsid w:val="00DA594F"/>
    <w:rsid w:val="00DB37D7"/>
    <w:rsid w:val="00DB3E32"/>
    <w:rsid w:val="00DB4390"/>
    <w:rsid w:val="00DB553A"/>
    <w:rsid w:val="00DB641C"/>
    <w:rsid w:val="00DB6D30"/>
    <w:rsid w:val="00DB72CC"/>
    <w:rsid w:val="00DC0B3B"/>
    <w:rsid w:val="00DC1D1F"/>
    <w:rsid w:val="00DC48AD"/>
    <w:rsid w:val="00DC5857"/>
    <w:rsid w:val="00DC6B08"/>
    <w:rsid w:val="00DD16B1"/>
    <w:rsid w:val="00DD1BC8"/>
    <w:rsid w:val="00DD34D1"/>
    <w:rsid w:val="00DD48F5"/>
    <w:rsid w:val="00DD6813"/>
    <w:rsid w:val="00DD74AD"/>
    <w:rsid w:val="00DE03F4"/>
    <w:rsid w:val="00DE064F"/>
    <w:rsid w:val="00DE125A"/>
    <w:rsid w:val="00DE1B1C"/>
    <w:rsid w:val="00DE1D45"/>
    <w:rsid w:val="00DE52BC"/>
    <w:rsid w:val="00DE6E70"/>
    <w:rsid w:val="00DE6E81"/>
    <w:rsid w:val="00DF3274"/>
    <w:rsid w:val="00DF3D4F"/>
    <w:rsid w:val="00DF471B"/>
    <w:rsid w:val="00DF5850"/>
    <w:rsid w:val="00DF6467"/>
    <w:rsid w:val="00DF695F"/>
    <w:rsid w:val="00E01175"/>
    <w:rsid w:val="00E055D2"/>
    <w:rsid w:val="00E057DE"/>
    <w:rsid w:val="00E05B6E"/>
    <w:rsid w:val="00E07286"/>
    <w:rsid w:val="00E075EF"/>
    <w:rsid w:val="00E07DE4"/>
    <w:rsid w:val="00E11E6C"/>
    <w:rsid w:val="00E132EC"/>
    <w:rsid w:val="00E13605"/>
    <w:rsid w:val="00E1448B"/>
    <w:rsid w:val="00E145B0"/>
    <w:rsid w:val="00E1528F"/>
    <w:rsid w:val="00E15800"/>
    <w:rsid w:val="00E1659A"/>
    <w:rsid w:val="00E208D9"/>
    <w:rsid w:val="00E211CD"/>
    <w:rsid w:val="00E2196A"/>
    <w:rsid w:val="00E21E9A"/>
    <w:rsid w:val="00E22371"/>
    <w:rsid w:val="00E24269"/>
    <w:rsid w:val="00E25B8C"/>
    <w:rsid w:val="00E26A5A"/>
    <w:rsid w:val="00E26DF4"/>
    <w:rsid w:val="00E3067A"/>
    <w:rsid w:val="00E31CC6"/>
    <w:rsid w:val="00E33C9A"/>
    <w:rsid w:val="00E350C9"/>
    <w:rsid w:val="00E36453"/>
    <w:rsid w:val="00E36A9D"/>
    <w:rsid w:val="00E37822"/>
    <w:rsid w:val="00E379FA"/>
    <w:rsid w:val="00E37B73"/>
    <w:rsid w:val="00E37D54"/>
    <w:rsid w:val="00E40637"/>
    <w:rsid w:val="00E41603"/>
    <w:rsid w:val="00E41708"/>
    <w:rsid w:val="00E426BC"/>
    <w:rsid w:val="00E437B4"/>
    <w:rsid w:val="00E438A9"/>
    <w:rsid w:val="00E43C46"/>
    <w:rsid w:val="00E44092"/>
    <w:rsid w:val="00E5170D"/>
    <w:rsid w:val="00E51D51"/>
    <w:rsid w:val="00E51FC8"/>
    <w:rsid w:val="00E5373A"/>
    <w:rsid w:val="00E537C8"/>
    <w:rsid w:val="00E53A3B"/>
    <w:rsid w:val="00E53A55"/>
    <w:rsid w:val="00E547DE"/>
    <w:rsid w:val="00E55861"/>
    <w:rsid w:val="00E60C66"/>
    <w:rsid w:val="00E61AAC"/>
    <w:rsid w:val="00E61E0C"/>
    <w:rsid w:val="00E62C7A"/>
    <w:rsid w:val="00E630B2"/>
    <w:rsid w:val="00E63669"/>
    <w:rsid w:val="00E64979"/>
    <w:rsid w:val="00E66482"/>
    <w:rsid w:val="00E66931"/>
    <w:rsid w:val="00E717CD"/>
    <w:rsid w:val="00E73991"/>
    <w:rsid w:val="00E75097"/>
    <w:rsid w:val="00E75263"/>
    <w:rsid w:val="00E77221"/>
    <w:rsid w:val="00E804E2"/>
    <w:rsid w:val="00E808B4"/>
    <w:rsid w:val="00E81627"/>
    <w:rsid w:val="00E81F3D"/>
    <w:rsid w:val="00E844F9"/>
    <w:rsid w:val="00E865B8"/>
    <w:rsid w:val="00E87612"/>
    <w:rsid w:val="00E93863"/>
    <w:rsid w:val="00E95125"/>
    <w:rsid w:val="00E95B25"/>
    <w:rsid w:val="00E96895"/>
    <w:rsid w:val="00E96BD6"/>
    <w:rsid w:val="00E96DFD"/>
    <w:rsid w:val="00EA00AA"/>
    <w:rsid w:val="00EA2F8A"/>
    <w:rsid w:val="00EA32C0"/>
    <w:rsid w:val="00EA34F6"/>
    <w:rsid w:val="00EA65BC"/>
    <w:rsid w:val="00EA67AA"/>
    <w:rsid w:val="00EB3EBF"/>
    <w:rsid w:val="00EB45C3"/>
    <w:rsid w:val="00EB5DB8"/>
    <w:rsid w:val="00EB6A26"/>
    <w:rsid w:val="00EB77B1"/>
    <w:rsid w:val="00EC113A"/>
    <w:rsid w:val="00EC2C32"/>
    <w:rsid w:val="00EC3964"/>
    <w:rsid w:val="00EC3BFA"/>
    <w:rsid w:val="00EC467F"/>
    <w:rsid w:val="00EC4A39"/>
    <w:rsid w:val="00EC4D14"/>
    <w:rsid w:val="00EC4F3D"/>
    <w:rsid w:val="00EC5B35"/>
    <w:rsid w:val="00EC6CC6"/>
    <w:rsid w:val="00EC77F6"/>
    <w:rsid w:val="00EC78EA"/>
    <w:rsid w:val="00EC7A7E"/>
    <w:rsid w:val="00EC7CBB"/>
    <w:rsid w:val="00ED0377"/>
    <w:rsid w:val="00ED0BD7"/>
    <w:rsid w:val="00ED131E"/>
    <w:rsid w:val="00ED1858"/>
    <w:rsid w:val="00ED193D"/>
    <w:rsid w:val="00ED2545"/>
    <w:rsid w:val="00ED3374"/>
    <w:rsid w:val="00ED4153"/>
    <w:rsid w:val="00ED5B81"/>
    <w:rsid w:val="00ED6512"/>
    <w:rsid w:val="00ED6F82"/>
    <w:rsid w:val="00EE1D26"/>
    <w:rsid w:val="00EE2464"/>
    <w:rsid w:val="00EE288E"/>
    <w:rsid w:val="00EE2F52"/>
    <w:rsid w:val="00EE56D9"/>
    <w:rsid w:val="00EF1CD4"/>
    <w:rsid w:val="00EF335B"/>
    <w:rsid w:val="00EF3C55"/>
    <w:rsid w:val="00EF5049"/>
    <w:rsid w:val="00EF56CD"/>
    <w:rsid w:val="00EF58D9"/>
    <w:rsid w:val="00EF756D"/>
    <w:rsid w:val="00F0107C"/>
    <w:rsid w:val="00F01635"/>
    <w:rsid w:val="00F019B8"/>
    <w:rsid w:val="00F01DF6"/>
    <w:rsid w:val="00F01E94"/>
    <w:rsid w:val="00F0319D"/>
    <w:rsid w:val="00F0356F"/>
    <w:rsid w:val="00F04573"/>
    <w:rsid w:val="00F04A6A"/>
    <w:rsid w:val="00F0509F"/>
    <w:rsid w:val="00F06AC9"/>
    <w:rsid w:val="00F11CFA"/>
    <w:rsid w:val="00F1284A"/>
    <w:rsid w:val="00F12A6E"/>
    <w:rsid w:val="00F12C24"/>
    <w:rsid w:val="00F14066"/>
    <w:rsid w:val="00F144BB"/>
    <w:rsid w:val="00F16486"/>
    <w:rsid w:val="00F20EBB"/>
    <w:rsid w:val="00F215CE"/>
    <w:rsid w:val="00F25294"/>
    <w:rsid w:val="00F257CB"/>
    <w:rsid w:val="00F25E02"/>
    <w:rsid w:val="00F26335"/>
    <w:rsid w:val="00F272F1"/>
    <w:rsid w:val="00F27306"/>
    <w:rsid w:val="00F301E7"/>
    <w:rsid w:val="00F3081B"/>
    <w:rsid w:val="00F31926"/>
    <w:rsid w:val="00F31AB0"/>
    <w:rsid w:val="00F32E6D"/>
    <w:rsid w:val="00F33779"/>
    <w:rsid w:val="00F3517A"/>
    <w:rsid w:val="00F35431"/>
    <w:rsid w:val="00F360B2"/>
    <w:rsid w:val="00F36F75"/>
    <w:rsid w:val="00F37493"/>
    <w:rsid w:val="00F37B1F"/>
    <w:rsid w:val="00F405CA"/>
    <w:rsid w:val="00F4145F"/>
    <w:rsid w:val="00F41A90"/>
    <w:rsid w:val="00F41E85"/>
    <w:rsid w:val="00F42A4E"/>
    <w:rsid w:val="00F42B7B"/>
    <w:rsid w:val="00F46AAC"/>
    <w:rsid w:val="00F4728C"/>
    <w:rsid w:val="00F474A6"/>
    <w:rsid w:val="00F477A7"/>
    <w:rsid w:val="00F4791D"/>
    <w:rsid w:val="00F507EC"/>
    <w:rsid w:val="00F524CF"/>
    <w:rsid w:val="00F526EF"/>
    <w:rsid w:val="00F52805"/>
    <w:rsid w:val="00F52AA9"/>
    <w:rsid w:val="00F53FA7"/>
    <w:rsid w:val="00F5463B"/>
    <w:rsid w:val="00F55B80"/>
    <w:rsid w:val="00F55DE3"/>
    <w:rsid w:val="00F55EBC"/>
    <w:rsid w:val="00F57959"/>
    <w:rsid w:val="00F60912"/>
    <w:rsid w:val="00F62F00"/>
    <w:rsid w:val="00F63CAF"/>
    <w:rsid w:val="00F64134"/>
    <w:rsid w:val="00F64482"/>
    <w:rsid w:val="00F70B23"/>
    <w:rsid w:val="00F70D5D"/>
    <w:rsid w:val="00F71662"/>
    <w:rsid w:val="00F71A49"/>
    <w:rsid w:val="00F72CAB"/>
    <w:rsid w:val="00F73E9E"/>
    <w:rsid w:val="00F74290"/>
    <w:rsid w:val="00F7460B"/>
    <w:rsid w:val="00F74612"/>
    <w:rsid w:val="00F7686F"/>
    <w:rsid w:val="00F76EDF"/>
    <w:rsid w:val="00F7721B"/>
    <w:rsid w:val="00F802EE"/>
    <w:rsid w:val="00F80417"/>
    <w:rsid w:val="00F810CF"/>
    <w:rsid w:val="00F84E33"/>
    <w:rsid w:val="00F84FD5"/>
    <w:rsid w:val="00F876EA"/>
    <w:rsid w:val="00F87ED8"/>
    <w:rsid w:val="00F924D4"/>
    <w:rsid w:val="00F943C4"/>
    <w:rsid w:val="00F94666"/>
    <w:rsid w:val="00F959FD"/>
    <w:rsid w:val="00FA0770"/>
    <w:rsid w:val="00FA0D6F"/>
    <w:rsid w:val="00FA351F"/>
    <w:rsid w:val="00FA4D0A"/>
    <w:rsid w:val="00FA5DFE"/>
    <w:rsid w:val="00FA6D82"/>
    <w:rsid w:val="00FB2F54"/>
    <w:rsid w:val="00FB46C5"/>
    <w:rsid w:val="00FB46FE"/>
    <w:rsid w:val="00FB50B3"/>
    <w:rsid w:val="00FB56C8"/>
    <w:rsid w:val="00FB5D20"/>
    <w:rsid w:val="00FB7B5D"/>
    <w:rsid w:val="00FC0129"/>
    <w:rsid w:val="00FC2143"/>
    <w:rsid w:val="00FC2CD6"/>
    <w:rsid w:val="00FC6366"/>
    <w:rsid w:val="00FC65FE"/>
    <w:rsid w:val="00FD32CC"/>
    <w:rsid w:val="00FD3B2B"/>
    <w:rsid w:val="00FD3CEC"/>
    <w:rsid w:val="00FD4B16"/>
    <w:rsid w:val="00FD4EA2"/>
    <w:rsid w:val="00FD5A2E"/>
    <w:rsid w:val="00FD5BA1"/>
    <w:rsid w:val="00FD67EC"/>
    <w:rsid w:val="00FE081C"/>
    <w:rsid w:val="00FE1510"/>
    <w:rsid w:val="00FE1E4D"/>
    <w:rsid w:val="00FE2345"/>
    <w:rsid w:val="00FE386C"/>
    <w:rsid w:val="00FE486E"/>
    <w:rsid w:val="00FE53B1"/>
    <w:rsid w:val="00FE5C66"/>
    <w:rsid w:val="00FE67B0"/>
    <w:rsid w:val="00FE73A0"/>
    <w:rsid w:val="00FF0072"/>
    <w:rsid w:val="00FF0091"/>
    <w:rsid w:val="00FF0903"/>
    <w:rsid w:val="00FF0989"/>
    <w:rsid w:val="00FF0A78"/>
    <w:rsid w:val="00FF185E"/>
    <w:rsid w:val="00FF1D2E"/>
    <w:rsid w:val="00FF20F5"/>
    <w:rsid w:val="00FF4DFB"/>
    <w:rsid w:val="00FF5DDA"/>
    <w:rsid w:val="00FF5E39"/>
    <w:rsid w:val="00FF71D0"/>
    <w:rsid w:val="00FF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17DDDBB-891E-46CE-99DD-66346282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2C7A"/>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2"/>
    <w:rsid w:val="00BA4B87"/>
    <w:pPr>
      <w:jc w:val="left"/>
    </w:pPr>
  </w:style>
  <w:style w:type="character" w:customStyle="1" w:styleId="Char2">
    <w:name w:val="批注文字 Char"/>
    <w:basedOn w:val="a1"/>
    <w:link w:val="ae"/>
    <w:semiHidden/>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3"/>
    <w:rsid w:val="00685D02"/>
    <w:rPr>
      <w:rFonts w:ascii="宋体"/>
      <w:sz w:val="18"/>
      <w:szCs w:val="18"/>
    </w:rPr>
  </w:style>
  <w:style w:type="character" w:customStyle="1" w:styleId="Char3">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10">
    <w:name w:val="纯文本 Char1"/>
    <w:basedOn w:val="a1"/>
    <w:semiHidden/>
    <w:locked/>
    <w:rsid w:val="000250F3"/>
    <w:rPr>
      <w:rFonts w:ascii="宋体" w:hAnsi="宋体" w:cs="宋体"/>
      <w:sz w:val="21"/>
      <w:szCs w:val="21"/>
    </w:rPr>
  </w:style>
  <w:style w:type="paragraph" w:styleId="af4">
    <w:name w:val="Date"/>
    <w:basedOn w:val="a0"/>
    <w:next w:val="a0"/>
    <w:link w:val="Char4"/>
    <w:rsid w:val="004C1D62"/>
    <w:pPr>
      <w:ind w:leftChars="2500" w:left="100"/>
    </w:pPr>
  </w:style>
  <w:style w:type="character" w:customStyle="1" w:styleId="Char4">
    <w:name w:val="日期 Char"/>
    <w:basedOn w:val="a1"/>
    <w:link w:val="af4"/>
    <w:rsid w:val="004C1D62"/>
    <w:rPr>
      <w:kern w:val="2"/>
      <w:sz w:val="21"/>
      <w:szCs w:val="24"/>
    </w:rPr>
  </w:style>
  <w:style w:type="paragraph" w:styleId="af5">
    <w:name w:val="List Paragraph"/>
    <w:basedOn w:val="a0"/>
    <w:uiPriority w:val="34"/>
    <w:qFormat/>
    <w:rsid w:val="005E5C2D"/>
    <w:pPr>
      <w:ind w:firstLineChars="200" w:firstLine="420"/>
    </w:pPr>
    <w:rPr>
      <w:szCs w:val="21"/>
    </w:rPr>
  </w:style>
  <w:style w:type="table" w:styleId="af6">
    <w:name w:val="Table Grid"/>
    <w:basedOn w:val="a2"/>
    <w:uiPriority w:val="39"/>
    <w:qFormat/>
    <w:rsid w:val="00C66F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842E3E"/>
    <w:rPr>
      <w:color w:val="800080" w:themeColor="followedHyperlink"/>
      <w:u w:val="single"/>
    </w:rPr>
  </w:style>
  <w:style w:type="paragraph" w:styleId="HTML">
    <w:name w:val="HTML Preformatted"/>
    <w:basedOn w:val="a0"/>
    <w:link w:val="HTMLChar"/>
    <w:uiPriority w:val="99"/>
    <w:semiHidden/>
    <w:unhideWhenUsed/>
    <w:rsid w:val="00384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semiHidden/>
    <w:rsid w:val="00384ADA"/>
    <w:rPr>
      <w:rFonts w:ascii="宋体" w:hAnsi="宋体"/>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657">
      <w:bodyDiv w:val="1"/>
      <w:marLeft w:val="0"/>
      <w:marRight w:val="0"/>
      <w:marTop w:val="0"/>
      <w:marBottom w:val="0"/>
      <w:divBdr>
        <w:top w:val="none" w:sz="0" w:space="0" w:color="auto"/>
        <w:left w:val="none" w:sz="0" w:space="0" w:color="auto"/>
        <w:bottom w:val="none" w:sz="0" w:space="0" w:color="auto"/>
        <w:right w:val="none" w:sz="0" w:space="0" w:color="auto"/>
      </w:divBdr>
    </w:div>
    <w:div w:id="8531269">
      <w:bodyDiv w:val="1"/>
      <w:marLeft w:val="0"/>
      <w:marRight w:val="0"/>
      <w:marTop w:val="0"/>
      <w:marBottom w:val="0"/>
      <w:divBdr>
        <w:top w:val="none" w:sz="0" w:space="0" w:color="auto"/>
        <w:left w:val="none" w:sz="0" w:space="0" w:color="auto"/>
        <w:bottom w:val="none" w:sz="0" w:space="0" w:color="auto"/>
        <w:right w:val="none" w:sz="0" w:space="0" w:color="auto"/>
      </w:divBdr>
    </w:div>
    <w:div w:id="43526339">
      <w:bodyDiv w:val="1"/>
      <w:marLeft w:val="0"/>
      <w:marRight w:val="0"/>
      <w:marTop w:val="0"/>
      <w:marBottom w:val="0"/>
      <w:divBdr>
        <w:top w:val="none" w:sz="0" w:space="0" w:color="auto"/>
        <w:left w:val="none" w:sz="0" w:space="0" w:color="auto"/>
        <w:bottom w:val="none" w:sz="0" w:space="0" w:color="auto"/>
        <w:right w:val="none" w:sz="0" w:space="0" w:color="auto"/>
      </w:divBdr>
    </w:div>
    <w:div w:id="132717048">
      <w:bodyDiv w:val="1"/>
      <w:marLeft w:val="0"/>
      <w:marRight w:val="0"/>
      <w:marTop w:val="0"/>
      <w:marBottom w:val="0"/>
      <w:divBdr>
        <w:top w:val="none" w:sz="0" w:space="0" w:color="auto"/>
        <w:left w:val="none" w:sz="0" w:space="0" w:color="auto"/>
        <w:bottom w:val="none" w:sz="0" w:space="0" w:color="auto"/>
        <w:right w:val="none" w:sz="0" w:space="0" w:color="auto"/>
      </w:divBdr>
    </w:div>
    <w:div w:id="144322023">
      <w:bodyDiv w:val="1"/>
      <w:marLeft w:val="0"/>
      <w:marRight w:val="0"/>
      <w:marTop w:val="0"/>
      <w:marBottom w:val="0"/>
      <w:divBdr>
        <w:top w:val="none" w:sz="0" w:space="0" w:color="auto"/>
        <w:left w:val="none" w:sz="0" w:space="0" w:color="auto"/>
        <w:bottom w:val="none" w:sz="0" w:space="0" w:color="auto"/>
        <w:right w:val="none" w:sz="0" w:space="0" w:color="auto"/>
      </w:divBdr>
    </w:div>
    <w:div w:id="153109269">
      <w:bodyDiv w:val="1"/>
      <w:marLeft w:val="0"/>
      <w:marRight w:val="0"/>
      <w:marTop w:val="0"/>
      <w:marBottom w:val="0"/>
      <w:divBdr>
        <w:top w:val="none" w:sz="0" w:space="0" w:color="auto"/>
        <w:left w:val="none" w:sz="0" w:space="0" w:color="auto"/>
        <w:bottom w:val="none" w:sz="0" w:space="0" w:color="auto"/>
        <w:right w:val="none" w:sz="0" w:space="0" w:color="auto"/>
      </w:divBdr>
    </w:div>
    <w:div w:id="153452160">
      <w:bodyDiv w:val="1"/>
      <w:marLeft w:val="0"/>
      <w:marRight w:val="0"/>
      <w:marTop w:val="0"/>
      <w:marBottom w:val="0"/>
      <w:divBdr>
        <w:top w:val="none" w:sz="0" w:space="0" w:color="auto"/>
        <w:left w:val="none" w:sz="0" w:space="0" w:color="auto"/>
        <w:bottom w:val="none" w:sz="0" w:space="0" w:color="auto"/>
        <w:right w:val="none" w:sz="0" w:space="0" w:color="auto"/>
      </w:divBdr>
    </w:div>
    <w:div w:id="164322236">
      <w:bodyDiv w:val="1"/>
      <w:marLeft w:val="0"/>
      <w:marRight w:val="0"/>
      <w:marTop w:val="0"/>
      <w:marBottom w:val="0"/>
      <w:divBdr>
        <w:top w:val="none" w:sz="0" w:space="0" w:color="auto"/>
        <w:left w:val="none" w:sz="0" w:space="0" w:color="auto"/>
        <w:bottom w:val="none" w:sz="0" w:space="0" w:color="auto"/>
        <w:right w:val="none" w:sz="0" w:space="0" w:color="auto"/>
      </w:divBdr>
    </w:div>
    <w:div w:id="187761343">
      <w:bodyDiv w:val="1"/>
      <w:marLeft w:val="0"/>
      <w:marRight w:val="0"/>
      <w:marTop w:val="0"/>
      <w:marBottom w:val="0"/>
      <w:divBdr>
        <w:top w:val="none" w:sz="0" w:space="0" w:color="auto"/>
        <w:left w:val="none" w:sz="0" w:space="0" w:color="auto"/>
        <w:bottom w:val="none" w:sz="0" w:space="0" w:color="auto"/>
        <w:right w:val="none" w:sz="0" w:space="0" w:color="auto"/>
      </w:divBdr>
    </w:div>
    <w:div w:id="235362410">
      <w:bodyDiv w:val="1"/>
      <w:marLeft w:val="0"/>
      <w:marRight w:val="0"/>
      <w:marTop w:val="0"/>
      <w:marBottom w:val="0"/>
      <w:divBdr>
        <w:top w:val="none" w:sz="0" w:space="0" w:color="auto"/>
        <w:left w:val="none" w:sz="0" w:space="0" w:color="auto"/>
        <w:bottom w:val="none" w:sz="0" w:space="0" w:color="auto"/>
        <w:right w:val="none" w:sz="0" w:space="0" w:color="auto"/>
      </w:divBdr>
    </w:div>
    <w:div w:id="245039600">
      <w:bodyDiv w:val="1"/>
      <w:marLeft w:val="0"/>
      <w:marRight w:val="0"/>
      <w:marTop w:val="0"/>
      <w:marBottom w:val="0"/>
      <w:divBdr>
        <w:top w:val="none" w:sz="0" w:space="0" w:color="auto"/>
        <w:left w:val="none" w:sz="0" w:space="0" w:color="auto"/>
        <w:bottom w:val="none" w:sz="0" w:space="0" w:color="auto"/>
        <w:right w:val="none" w:sz="0" w:space="0" w:color="auto"/>
      </w:divBdr>
    </w:div>
    <w:div w:id="248544011">
      <w:bodyDiv w:val="1"/>
      <w:marLeft w:val="0"/>
      <w:marRight w:val="0"/>
      <w:marTop w:val="0"/>
      <w:marBottom w:val="0"/>
      <w:divBdr>
        <w:top w:val="none" w:sz="0" w:space="0" w:color="auto"/>
        <w:left w:val="none" w:sz="0" w:space="0" w:color="auto"/>
        <w:bottom w:val="none" w:sz="0" w:space="0" w:color="auto"/>
        <w:right w:val="none" w:sz="0" w:space="0" w:color="auto"/>
      </w:divBdr>
    </w:div>
    <w:div w:id="299264552">
      <w:bodyDiv w:val="1"/>
      <w:marLeft w:val="0"/>
      <w:marRight w:val="0"/>
      <w:marTop w:val="0"/>
      <w:marBottom w:val="0"/>
      <w:divBdr>
        <w:top w:val="none" w:sz="0" w:space="0" w:color="auto"/>
        <w:left w:val="none" w:sz="0" w:space="0" w:color="auto"/>
        <w:bottom w:val="none" w:sz="0" w:space="0" w:color="auto"/>
        <w:right w:val="none" w:sz="0" w:space="0" w:color="auto"/>
      </w:divBdr>
    </w:div>
    <w:div w:id="329673760">
      <w:bodyDiv w:val="1"/>
      <w:marLeft w:val="0"/>
      <w:marRight w:val="0"/>
      <w:marTop w:val="0"/>
      <w:marBottom w:val="0"/>
      <w:divBdr>
        <w:top w:val="none" w:sz="0" w:space="0" w:color="auto"/>
        <w:left w:val="none" w:sz="0" w:space="0" w:color="auto"/>
        <w:bottom w:val="none" w:sz="0" w:space="0" w:color="auto"/>
        <w:right w:val="none" w:sz="0" w:space="0" w:color="auto"/>
      </w:divBdr>
    </w:div>
    <w:div w:id="332495576">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0301749">
      <w:bodyDiv w:val="1"/>
      <w:marLeft w:val="0"/>
      <w:marRight w:val="0"/>
      <w:marTop w:val="0"/>
      <w:marBottom w:val="0"/>
      <w:divBdr>
        <w:top w:val="none" w:sz="0" w:space="0" w:color="auto"/>
        <w:left w:val="none" w:sz="0" w:space="0" w:color="auto"/>
        <w:bottom w:val="none" w:sz="0" w:space="0" w:color="auto"/>
        <w:right w:val="none" w:sz="0" w:space="0" w:color="auto"/>
      </w:divBdr>
    </w:div>
    <w:div w:id="414400332">
      <w:bodyDiv w:val="1"/>
      <w:marLeft w:val="0"/>
      <w:marRight w:val="0"/>
      <w:marTop w:val="0"/>
      <w:marBottom w:val="0"/>
      <w:divBdr>
        <w:top w:val="none" w:sz="0" w:space="0" w:color="auto"/>
        <w:left w:val="none" w:sz="0" w:space="0" w:color="auto"/>
        <w:bottom w:val="none" w:sz="0" w:space="0" w:color="auto"/>
        <w:right w:val="none" w:sz="0" w:space="0" w:color="auto"/>
      </w:divBdr>
    </w:div>
    <w:div w:id="418449446">
      <w:bodyDiv w:val="1"/>
      <w:marLeft w:val="0"/>
      <w:marRight w:val="0"/>
      <w:marTop w:val="0"/>
      <w:marBottom w:val="0"/>
      <w:divBdr>
        <w:top w:val="none" w:sz="0" w:space="0" w:color="auto"/>
        <w:left w:val="none" w:sz="0" w:space="0" w:color="auto"/>
        <w:bottom w:val="none" w:sz="0" w:space="0" w:color="auto"/>
        <w:right w:val="none" w:sz="0" w:space="0" w:color="auto"/>
      </w:divBdr>
    </w:div>
    <w:div w:id="441189962">
      <w:bodyDiv w:val="1"/>
      <w:marLeft w:val="0"/>
      <w:marRight w:val="0"/>
      <w:marTop w:val="0"/>
      <w:marBottom w:val="0"/>
      <w:divBdr>
        <w:top w:val="none" w:sz="0" w:space="0" w:color="auto"/>
        <w:left w:val="none" w:sz="0" w:space="0" w:color="auto"/>
        <w:bottom w:val="none" w:sz="0" w:space="0" w:color="auto"/>
        <w:right w:val="none" w:sz="0" w:space="0" w:color="auto"/>
      </w:divBdr>
    </w:div>
    <w:div w:id="453906914">
      <w:bodyDiv w:val="1"/>
      <w:marLeft w:val="0"/>
      <w:marRight w:val="0"/>
      <w:marTop w:val="0"/>
      <w:marBottom w:val="0"/>
      <w:divBdr>
        <w:top w:val="none" w:sz="0" w:space="0" w:color="auto"/>
        <w:left w:val="none" w:sz="0" w:space="0" w:color="auto"/>
        <w:bottom w:val="none" w:sz="0" w:space="0" w:color="auto"/>
        <w:right w:val="none" w:sz="0" w:space="0" w:color="auto"/>
      </w:divBdr>
    </w:div>
    <w:div w:id="471335460">
      <w:bodyDiv w:val="1"/>
      <w:marLeft w:val="0"/>
      <w:marRight w:val="0"/>
      <w:marTop w:val="0"/>
      <w:marBottom w:val="0"/>
      <w:divBdr>
        <w:top w:val="none" w:sz="0" w:space="0" w:color="auto"/>
        <w:left w:val="none" w:sz="0" w:space="0" w:color="auto"/>
        <w:bottom w:val="none" w:sz="0" w:space="0" w:color="auto"/>
        <w:right w:val="none" w:sz="0" w:space="0" w:color="auto"/>
      </w:divBdr>
    </w:div>
    <w:div w:id="487019133">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29495893">
      <w:bodyDiv w:val="1"/>
      <w:marLeft w:val="0"/>
      <w:marRight w:val="0"/>
      <w:marTop w:val="0"/>
      <w:marBottom w:val="0"/>
      <w:divBdr>
        <w:top w:val="none" w:sz="0" w:space="0" w:color="auto"/>
        <w:left w:val="none" w:sz="0" w:space="0" w:color="auto"/>
        <w:bottom w:val="none" w:sz="0" w:space="0" w:color="auto"/>
        <w:right w:val="none" w:sz="0" w:space="0" w:color="auto"/>
      </w:divBdr>
    </w:div>
    <w:div w:id="531647803">
      <w:bodyDiv w:val="1"/>
      <w:marLeft w:val="0"/>
      <w:marRight w:val="0"/>
      <w:marTop w:val="0"/>
      <w:marBottom w:val="0"/>
      <w:divBdr>
        <w:top w:val="none" w:sz="0" w:space="0" w:color="auto"/>
        <w:left w:val="none" w:sz="0" w:space="0" w:color="auto"/>
        <w:bottom w:val="none" w:sz="0" w:space="0" w:color="auto"/>
        <w:right w:val="none" w:sz="0" w:space="0" w:color="auto"/>
      </w:divBdr>
    </w:div>
    <w:div w:id="532227221">
      <w:bodyDiv w:val="1"/>
      <w:marLeft w:val="0"/>
      <w:marRight w:val="0"/>
      <w:marTop w:val="0"/>
      <w:marBottom w:val="0"/>
      <w:divBdr>
        <w:top w:val="none" w:sz="0" w:space="0" w:color="auto"/>
        <w:left w:val="none" w:sz="0" w:space="0" w:color="auto"/>
        <w:bottom w:val="none" w:sz="0" w:space="0" w:color="auto"/>
        <w:right w:val="none" w:sz="0" w:space="0" w:color="auto"/>
      </w:divBdr>
    </w:div>
    <w:div w:id="532961749">
      <w:bodyDiv w:val="1"/>
      <w:marLeft w:val="0"/>
      <w:marRight w:val="0"/>
      <w:marTop w:val="0"/>
      <w:marBottom w:val="0"/>
      <w:divBdr>
        <w:top w:val="none" w:sz="0" w:space="0" w:color="auto"/>
        <w:left w:val="none" w:sz="0" w:space="0" w:color="auto"/>
        <w:bottom w:val="none" w:sz="0" w:space="0" w:color="auto"/>
        <w:right w:val="none" w:sz="0" w:space="0" w:color="auto"/>
      </w:divBdr>
    </w:div>
    <w:div w:id="538669787">
      <w:bodyDiv w:val="1"/>
      <w:marLeft w:val="0"/>
      <w:marRight w:val="0"/>
      <w:marTop w:val="0"/>
      <w:marBottom w:val="0"/>
      <w:divBdr>
        <w:top w:val="none" w:sz="0" w:space="0" w:color="auto"/>
        <w:left w:val="none" w:sz="0" w:space="0" w:color="auto"/>
        <w:bottom w:val="none" w:sz="0" w:space="0" w:color="auto"/>
        <w:right w:val="none" w:sz="0" w:space="0" w:color="auto"/>
      </w:divBdr>
    </w:div>
    <w:div w:id="549151986">
      <w:bodyDiv w:val="1"/>
      <w:marLeft w:val="0"/>
      <w:marRight w:val="0"/>
      <w:marTop w:val="0"/>
      <w:marBottom w:val="0"/>
      <w:divBdr>
        <w:top w:val="none" w:sz="0" w:space="0" w:color="auto"/>
        <w:left w:val="none" w:sz="0" w:space="0" w:color="auto"/>
        <w:bottom w:val="none" w:sz="0" w:space="0" w:color="auto"/>
        <w:right w:val="none" w:sz="0" w:space="0" w:color="auto"/>
      </w:divBdr>
    </w:div>
    <w:div w:id="563030430">
      <w:bodyDiv w:val="1"/>
      <w:marLeft w:val="0"/>
      <w:marRight w:val="0"/>
      <w:marTop w:val="0"/>
      <w:marBottom w:val="0"/>
      <w:divBdr>
        <w:top w:val="none" w:sz="0" w:space="0" w:color="auto"/>
        <w:left w:val="none" w:sz="0" w:space="0" w:color="auto"/>
        <w:bottom w:val="none" w:sz="0" w:space="0" w:color="auto"/>
        <w:right w:val="none" w:sz="0" w:space="0" w:color="auto"/>
      </w:divBdr>
    </w:div>
    <w:div w:id="564488154">
      <w:bodyDiv w:val="1"/>
      <w:marLeft w:val="0"/>
      <w:marRight w:val="0"/>
      <w:marTop w:val="0"/>
      <w:marBottom w:val="0"/>
      <w:divBdr>
        <w:top w:val="none" w:sz="0" w:space="0" w:color="auto"/>
        <w:left w:val="none" w:sz="0" w:space="0" w:color="auto"/>
        <w:bottom w:val="none" w:sz="0" w:space="0" w:color="auto"/>
        <w:right w:val="none" w:sz="0" w:space="0" w:color="auto"/>
      </w:divBdr>
    </w:div>
    <w:div w:id="575943680">
      <w:bodyDiv w:val="1"/>
      <w:marLeft w:val="0"/>
      <w:marRight w:val="0"/>
      <w:marTop w:val="0"/>
      <w:marBottom w:val="0"/>
      <w:divBdr>
        <w:top w:val="none" w:sz="0" w:space="0" w:color="auto"/>
        <w:left w:val="none" w:sz="0" w:space="0" w:color="auto"/>
        <w:bottom w:val="none" w:sz="0" w:space="0" w:color="auto"/>
        <w:right w:val="none" w:sz="0" w:space="0" w:color="auto"/>
      </w:divBdr>
    </w:div>
    <w:div w:id="57679244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34217386">
      <w:bodyDiv w:val="1"/>
      <w:marLeft w:val="0"/>
      <w:marRight w:val="0"/>
      <w:marTop w:val="0"/>
      <w:marBottom w:val="0"/>
      <w:divBdr>
        <w:top w:val="none" w:sz="0" w:space="0" w:color="auto"/>
        <w:left w:val="none" w:sz="0" w:space="0" w:color="auto"/>
        <w:bottom w:val="none" w:sz="0" w:space="0" w:color="auto"/>
        <w:right w:val="none" w:sz="0" w:space="0" w:color="auto"/>
      </w:divBdr>
    </w:div>
    <w:div w:id="668170789">
      <w:bodyDiv w:val="1"/>
      <w:marLeft w:val="0"/>
      <w:marRight w:val="0"/>
      <w:marTop w:val="0"/>
      <w:marBottom w:val="0"/>
      <w:divBdr>
        <w:top w:val="none" w:sz="0" w:space="0" w:color="auto"/>
        <w:left w:val="none" w:sz="0" w:space="0" w:color="auto"/>
        <w:bottom w:val="none" w:sz="0" w:space="0" w:color="auto"/>
        <w:right w:val="none" w:sz="0" w:space="0" w:color="auto"/>
      </w:divBdr>
    </w:div>
    <w:div w:id="696542564">
      <w:bodyDiv w:val="1"/>
      <w:marLeft w:val="0"/>
      <w:marRight w:val="0"/>
      <w:marTop w:val="0"/>
      <w:marBottom w:val="0"/>
      <w:divBdr>
        <w:top w:val="none" w:sz="0" w:space="0" w:color="auto"/>
        <w:left w:val="none" w:sz="0" w:space="0" w:color="auto"/>
        <w:bottom w:val="none" w:sz="0" w:space="0" w:color="auto"/>
        <w:right w:val="none" w:sz="0" w:space="0" w:color="auto"/>
      </w:divBdr>
    </w:div>
    <w:div w:id="699933881">
      <w:bodyDiv w:val="1"/>
      <w:marLeft w:val="0"/>
      <w:marRight w:val="0"/>
      <w:marTop w:val="0"/>
      <w:marBottom w:val="0"/>
      <w:divBdr>
        <w:top w:val="none" w:sz="0" w:space="0" w:color="auto"/>
        <w:left w:val="none" w:sz="0" w:space="0" w:color="auto"/>
        <w:bottom w:val="none" w:sz="0" w:space="0" w:color="auto"/>
        <w:right w:val="none" w:sz="0" w:space="0" w:color="auto"/>
      </w:divBdr>
    </w:div>
    <w:div w:id="726219149">
      <w:bodyDiv w:val="1"/>
      <w:marLeft w:val="0"/>
      <w:marRight w:val="0"/>
      <w:marTop w:val="0"/>
      <w:marBottom w:val="0"/>
      <w:divBdr>
        <w:top w:val="none" w:sz="0" w:space="0" w:color="auto"/>
        <w:left w:val="none" w:sz="0" w:space="0" w:color="auto"/>
        <w:bottom w:val="none" w:sz="0" w:space="0" w:color="auto"/>
        <w:right w:val="none" w:sz="0" w:space="0" w:color="auto"/>
      </w:divBdr>
    </w:div>
    <w:div w:id="796921727">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49832093">
      <w:bodyDiv w:val="1"/>
      <w:marLeft w:val="0"/>
      <w:marRight w:val="0"/>
      <w:marTop w:val="0"/>
      <w:marBottom w:val="0"/>
      <w:divBdr>
        <w:top w:val="none" w:sz="0" w:space="0" w:color="auto"/>
        <w:left w:val="none" w:sz="0" w:space="0" w:color="auto"/>
        <w:bottom w:val="none" w:sz="0" w:space="0" w:color="auto"/>
        <w:right w:val="none" w:sz="0" w:space="0" w:color="auto"/>
      </w:divBdr>
    </w:div>
    <w:div w:id="864172533">
      <w:bodyDiv w:val="1"/>
      <w:marLeft w:val="0"/>
      <w:marRight w:val="0"/>
      <w:marTop w:val="0"/>
      <w:marBottom w:val="0"/>
      <w:divBdr>
        <w:top w:val="none" w:sz="0" w:space="0" w:color="auto"/>
        <w:left w:val="none" w:sz="0" w:space="0" w:color="auto"/>
        <w:bottom w:val="none" w:sz="0" w:space="0" w:color="auto"/>
        <w:right w:val="none" w:sz="0" w:space="0" w:color="auto"/>
      </w:divBdr>
    </w:div>
    <w:div w:id="874074596">
      <w:bodyDiv w:val="1"/>
      <w:marLeft w:val="0"/>
      <w:marRight w:val="0"/>
      <w:marTop w:val="0"/>
      <w:marBottom w:val="0"/>
      <w:divBdr>
        <w:top w:val="none" w:sz="0" w:space="0" w:color="auto"/>
        <w:left w:val="none" w:sz="0" w:space="0" w:color="auto"/>
        <w:bottom w:val="none" w:sz="0" w:space="0" w:color="auto"/>
        <w:right w:val="none" w:sz="0" w:space="0" w:color="auto"/>
      </w:divBdr>
    </w:div>
    <w:div w:id="889806823">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6743571">
      <w:bodyDiv w:val="1"/>
      <w:marLeft w:val="0"/>
      <w:marRight w:val="0"/>
      <w:marTop w:val="0"/>
      <w:marBottom w:val="0"/>
      <w:divBdr>
        <w:top w:val="none" w:sz="0" w:space="0" w:color="auto"/>
        <w:left w:val="none" w:sz="0" w:space="0" w:color="auto"/>
        <w:bottom w:val="none" w:sz="0" w:space="0" w:color="auto"/>
        <w:right w:val="none" w:sz="0" w:space="0" w:color="auto"/>
      </w:divBdr>
    </w:div>
    <w:div w:id="925921008">
      <w:bodyDiv w:val="1"/>
      <w:marLeft w:val="0"/>
      <w:marRight w:val="0"/>
      <w:marTop w:val="0"/>
      <w:marBottom w:val="0"/>
      <w:divBdr>
        <w:top w:val="none" w:sz="0" w:space="0" w:color="auto"/>
        <w:left w:val="none" w:sz="0" w:space="0" w:color="auto"/>
        <w:bottom w:val="none" w:sz="0" w:space="0" w:color="auto"/>
        <w:right w:val="none" w:sz="0" w:space="0" w:color="auto"/>
      </w:divBdr>
    </w:div>
    <w:div w:id="926160543">
      <w:bodyDiv w:val="1"/>
      <w:marLeft w:val="0"/>
      <w:marRight w:val="0"/>
      <w:marTop w:val="0"/>
      <w:marBottom w:val="0"/>
      <w:divBdr>
        <w:top w:val="none" w:sz="0" w:space="0" w:color="auto"/>
        <w:left w:val="none" w:sz="0" w:space="0" w:color="auto"/>
        <w:bottom w:val="none" w:sz="0" w:space="0" w:color="auto"/>
        <w:right w:val="none" w:sz="0" w:space="0" w:color="auto"/>
      </w:divBdr>
    </w:div>
    <w:div w:id="957679862">
      <w:bodyDiv w:val="1"/>
      <w:marLeft w:val="0"/>
      <w:marRight w:val="0"/>
      <w:marTop w:val="0"/>
      <w:marBottom w:val="0"/>
      <w:divBdr>
        <w:top w:val="none" w:sz="0" w:space="0" w:color="auto"/>
        <w:left w:val="none" w:sz="0" w:space="0" w:color="auto"/>
        <w:bottom w:val="none" w:sz="0" w:space="0" w:color="auto"/>
        <w:right w:val="none" w:sz="0" w:space="0" w:color="auto"/>
      </w:divBdr>
    </w:div>
    <w:div w:id="964121223">
      <w:bodyDiv w:val="1"/>
      <w:marLeft w:val="0"/>
      <w:marRight w:val="0"/>
      <w:marTop w:val="0"/>
      <w:marBottom w:val="0"/>
      <w:divBdr>
        <w:top w:val="none" w:sz="0" w:space="0" w:color="auto"/>
        <w:left w:val="none" w:sz="0" w:space="0" w:color="auto"/>
        <w:bottom w:val="none" w:sz="0" w:space="0" w:color="auto"/>
        <w:right w:val="none" w:sz="0" w:space="0" w:color="auto"/>
      </w:divBdr>
    </w:div>
    <w:div w:id="968125626">
      <w:bodyDiv w:val="1"/>
      <w:marLeft w:val="0"/>
      <w:marRight w:val="0"/>
      <w:marTop w:val="0"/>
      <w:marBottom w:val="0"/>
      <w:divBdr>
        <w:top w:val="none" w:sz="0" w:space="0" w:color="auto"/>
        <w:left w:val="none" w:sz="0" w:space="0" w:color="auto"/>
        <w:bottom w:val="none" w:sz="0" w:space="0" w:color="auto"/>
        <w:right w:val="none" w:sz="0" w:space="0" w:color="auto"/>
      </w:divBdr>
    </w:div>
    <w:div w:id="995257195">
      <w:bodyDiv w:val="1"/>
      <w:marLeft w:val="0"/>
      <w:marRight w:val="0"/>
      <w:marTop w:val="0"/>
      <w:marBottom w:val="0"/>
      <w:divBdr>
        <w:top w:val="none" w:sz="0" w:space="0" w:color="auto"/>
        <w:left w:val="none" w:sz="0" w:space="0" w:color="auto"/>
        <w:bottom w:val="none" w:sz="0" w:space="0" w:color="auto"/>
        <w:right w:val="none" w:sz="0" w:space="0" w:color="auto"/>
      </w:divBdr>
    </w:div>
    <w:div w:id="1040519014">
      <w:bodyDiv w:val="1"/>
      <w:marLeft w:val="0"/>
      <w:marRight w:val="0"/>
      <w:marTop w:val="0"/>
      <w:marBottom w:val="0"/>
      <w:divBdr>
        <w:top w:val="none" w:sz="0" w:space="0" w:color="auto"/>
        <w:left w:val="none" w:sz="0" w:space="0" w:color="auto"/>
        <w:bottom w:val="none" w:sz="0" w:space="0" w:color="auto"/>
        <w:right w:val="none" w:sz="0" w:space="0" w:color="auto"/>
      </w:divBdr>
    </w:div>
    <w:div w:id="1086074612">
      <w:bodyDiv w:val="1"/>
      <w:marLeft w:val="0"/>
      <w:marRight w:val="0"/>
      <w:marTop w:val="0"/>
      <w:marBottom w:val="0"/>
      <w:divBdr>
        <w:top w:val="none" w:sz="0" w:space="0" w:color="auto"/>
        <w:left w:val="none" w:sz="0" w:space="0" w:color="auto"/>
        <w:bottom w:val="none" w:sz="0" w:space="0" w:color="auto"/>
        <w:right w:val="none" w:sz="0" w:space="0" w:color="auto"/>
      </w:divBdr>
    </w:div>
    <w:div w:id="1125083018">
      <w:bodyDiv w:val="1"/>
      <w:marLeft w:val="0"/>
      <w:marRight w:val="0"/>
      <w:marTop w:val="0"/>
      <w:marBottom w:val="0"/>
      <w:divBdr>
        <w:top w:val="none" w:sz="0" w:space="0" w:color="auto"/>
        <w:left w:val="none" w:sz="0" w:space="0" w:color="auto"/>
        <w:bottom w:val="none" w:sz="0" w:space="0" w:color="auto"/>
        <w:right w:val="none" w:sz="0" w:space="0" w:color="auto"/>
      </w:divBdr>
    </w:div>
    <w:div w:id="1131090472">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57308078">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02792359">
      <w:bodyDiv w:val="1"/>
      <w:marLeft w:val="0"/>
      <w:marRight w:val="0"/>
      <w:marTop w:val="0"/>
      <w:marBottom w:val="0"/>
      <w:divBdr>
        <w:top w:val="none" w:sz="0" w:space="0" w:color="auto"/>
        <w:left w:val="none" w:sz="0" w:space="0" w:color="auto"/>
        <w:bottom w:val="none" w:sz="0" w:space="0" w:color="auto"/>
        <w:right w:val="none" w:sz="0" w:space="0" w:color="auto"/>
      </w:divBdr>
    </w:div>
    <w:div w:id="1247419478">
      <w:bodyDiv w:val="1"/>
      <w:marLeft w:val="0"/>
      <w:marRight w:val="0"/>
      <w:marTop w:val="0"/>
      <w:marBottom w:val="0"/>
      <w:divBdr>
        <w:top w:val="none" w:sz="0" w:space="0" w:color="auto"/>
        <w:left w:val="none" w:sz="0" w:space="0" w:color="auto"/>
        <w:bottom w:val="none" w:sz="0" w:space="0" w:color="auto"/>
        <w:right w:val="none" w:sz="0" w:space="0" w:color="auto"/>
      </w:divBdr>
    </w:div>
    <w:div w:id="1267082702">
      <w:bodyDiv w:val="1"/>
      <w:marLeft w:val="0"/>
      <w:marRight w:val="0"/>
      <w:marTop w:val="0"/>
      <w:marBottom w:val="0"/>
      <w:divBdr>
        <w:top w:val="none" w:sz="0" w:space="0" w:color="auto"/>
        <w:left w:val="none" w:sz="0" w:space="0" w:color="auto"/>
        <w:bottom w:val="none" w:sz="0" w:space="0" w:color="auto"/>
        <w:right w:val="none" w:sz="0" w:space="0" w:color="auto"/>
      </w:divBdr>
    </w:div>
    <w:div w:id="1293825291">
      <w:bodyDiv w:val="1"/>
      <w:marLeft w:val="0"/>
      <w:marRight w:val="0"/>
      <w:marTop w:val="0"/>
      <w:marBottom w:val="0"/>
      <w:divBdr>
        <w:top w:val="none" w:sz="0" w:space="0" w:color="auto"/>
        <w:left w:val="none" w:sz="0" w:space="0" w:color="auto"/>
        <w:bottom w:val="none" w:sz="0" w:space="0" w:color="auto"/>
        <w:right w:val="none" w:sz="0" w:space="0" w:color="auto"/>
      </w:divBdr>
    </w:div>
    <w:div w:id="1301690565">
      <w:bodyDiv w:val="1"/>
      <w:marLeft w:val="0"/>
      <w:marRight w:val="0"/>
      <w:marTop w:val="0"/>
      <w:marBottom w:val="0"/>
      <w:divBdr>
        <w:top w:val="none" w:sz="0" w:space="0" w:color="auto"/>
        <w:left w:val="none" w:sz="0" w:space="0" w:color="auto"/>
        <w:bottom w:val="none" w:sz="0" w:space="0" w:color="auto"/>
        <w:right w:val="none" w:sz="0" w:space="0" w:color="auto"/>
      </w:divBdr>
    </w:div>
    <w:div w:id="1321152531">
      <w:bodyDiv w:val="1"/>
      <w:marLeft w:val="0"/>
      <w:marRight w:val="0"/>
      <w:marTop w:val="0"/>
      <w:marBottom w:val="0"/>
      <w:divBdr>
        <w:top w:val="none" w:sz="0" w:space="0" w:color="auto"/>
        <w:left w:val="none" w:sz="0" w:space="0" w:color="auto"/>
        <w:bottom w:val="none" w:sz="0" w:space="0" w:color="auto"/>
        <w:right w:val="none" w:sz="0" w:space="0" w:color="auto"/>
      </w:divBdr>
    </w:div>
    <w:div w:id="1324427549">
      <w:bodyDiv w:val="1"/>
      <w:marLeft w:val="0"/>
      <w:marRight w:val="0"/>
      <w:marTop w:val="0"/>
      <w:marBottom w:val="0"/>
      <w:divBdr>
        <w:top w:val="none" w:sz="0" w:space="0" w:color="auto"/>
        <w:left w:val="none" w:sz="0" w:space="0" w:color="auto"/>
        <w:bottom w:val="none" w:sz="0" w:space="0" w:color="auto"/>
        <w:right w:val="none" w:sz="0" w:space="0" w:color="auto"/>
      </w:divBdr>
    </w:div>
    <w:div w:id="1378778438">
      <w:bodyDiv w:val="1"/>
      <w:marLeft w:val="0"/>
      <w:marRight w:val="0"/>
      <w:marTop w:val="0"/>
      <w:marBottom w:val="0"/>
      <w:divBdr>
        <w:top w:val="none" w:sz="0" w:space="0" w:color="auto"/>
        <w:left w:val="none" w:sz="0" w:space="0" w:color="auto"/>
        <w:bottom w:val="none" w:sz="0" w:space="0" w:color="auto"/>
        <w:right w:val="none" w:sz="0" w:space="0" w:color="auto"/>
      </w:divBdr>
    </w:div>
    <w:div w:id="1424449579">
      <w:bodyDiv w:val="1"/>
      <w:marLeft w:val="0"/>
      <w:marRight w:val="0"/>
      <w:marTop w:val="0"/>
      <w:marBottom w:val="0"/>
      <w:divBdr>
        <w:top w:val="none" w:sz="0" w:space="0" w:color="auto"/>
        <w:left w:val="none" w:sz="0" w:space="0" w:color="auto"/>
        <w:bottom w:val="none" w:sz="0" w:space="0" w:color="auto"/>
        <w:right w:val="none" w:sz="0" w:space="0" w:color="auto"/>
      </w:divBdr>
    </w:div>
    <w:div w:id="1428505190">
      <w:bodyDiv w:val="1"/>
      <w:marLeft w:val="0"/>
      <w:marRight w:val="0"/>
      <w:marTop w:val="0"/>
      <w:marBottom w:val="0"/>
      <w:divBdr>
        <w:top w:val="none" w:sz="0" w:space="0" w:color="auto"/>
        <w:left w:val="none" w:sz="0" w:space="0" w:color="auto"/>
        <w:bottom w:val="none" w:sz="0" w:space="0" w:color="auto"/>
        <w:right w:val="none" w:sz="0" w:space="0" w:color="auto"/>
      </w:divBdr>
    </w:div>
    <w:div w:id="1460218449">
      <w:bodyDiv w:val="1"/>
      <w:marLeft w:val="0"/>
      <w:marRight w:val="0"/>
      <w:marTop w:val="0"/>
      <w:marBottom w:val="0"/>
      <w:divBdr>
        <w:top w:val="none" w:sz="0" w:space="0" w:color="auto"/>
        <w:left w:val="none" w:sz="0" w:space="0" w:color="auto"/>
        <w:bottom w:val="none" w:sz="0" w:space="0" w:color="auto"/>
        <w:right w:val="none" w:sz="0" w:space="0" w:color="auto"/>
      </w:divBdr>
    </w:div>
    <w:div w:id="1491405216">
      <w:bodyDiv w:val="1"/>
      <w:marLeft w:val="0"/>
      <w:marRight w:val="0"/>
      <w:marTop w:val="0"/>
      <w:marBottom w:val="0"/>
      <w:divBdr>
        <w:top w:val="none" w:sz="0" w:space="0" w:color="auto"/>
        <w:left w:val="none" w:sz="0" w:space="0" w:color="auto"/>
        <w:bottom w:val="none" w:sz="0" w:space="0" w:color="auto"/>
        <w:right w:val="none" w:sz="0" w:space="0" w:color="auto"/>
      </w:divBdr>
    </w:div>
    <w:div w:id="1512840935">
      <w:bodyDiv w:val="1"/>
      <w:marLeft w:val="0"/>
      <w:marRight w:val="0"/>
      <w:marTop w:val="0"/>
      <w:marBottom w:val="0"/>
      <w:divBdr>
        <w:top w:val="none" w:sz="0" w:space="0" w:color="auto"/>
        <w:left w:val="none" w:sz="0" w:space="0" w:color="auto"/>
        <w:bottom w:val="none" w:sz="0" w:space="0" w:color="auto"/>
        <w:right w:val="none" w:sz="0" w:space="0" w:color="auto"/>
      </w:divBdr>
    </w:div>
    <w:div w:id="1514959120">
      <w:bodyDiv w:val="1"/>
      <w:marLeft w:val="0"/>
      <w:marRight w:val="0"/>
      <w:marTop w:val="0"/>
      <w:marBottom w:val="0"/>
      <w:divBdr>
        <w:top w:val="none" w:sz="0" w:space="0" w:color="auto"/>
        <w:left w:val="none" w:sz="0" w:space="0" w:color="auto"/>
        <w:bottom w:val="none" w:sz="0" w:space="0" w:color="auto"/>
        <w:right w:val="none" w:sz="0" w:space="0" w:color="auto"/>
      </w:divBdr>
    </w:div>
    <w:div w:id="1530490558">
      <w:bodyDiv w:val="1"/>
      <w:marLeft w:val="0"/>
      <w:marRight w:val="0"/>
      <w:marTop w:val="0"/>
      <w:marBottom w:val="0"/>
      <w:divBdr>
        <w:top w:val="none" w:sz="0" w:space="0" w:color="auto"/>
        <w:left w:val="none" w:sz="0" w:space="0" w:color="auto"/>
        <w:bottom w:val="none" w:sz="0" w:space="0" w:color="auto"/>
        <w:right w:val="none" w:sz="0" w:space="0" w:color="auto"/>
      </w:divBdr>
    </w:div>
    <w:div w:id="1545824083">
      <w:bodyDiv w:val="1"/>
      <w:marLeft w:val="0"/>
      <w:marRight w:val="0"/>
      <w:marTop w:val="0"/>
      <w:marBottom w:val="0"/>
      <w:divBdr>
        <w:top w:val="none" w:sz="0" w:space="0" w:color="auto"/>
        <w:left w:val="none" w:sz="0" w:space="0" w:color="auto"/>
        <w:bottom w:val="none" w:sz="0" w:space="0" w:color="auto"/>
        <w:right w:val="none" w:sz="0" w:space="0" w:color="auto"/>
      </w:divBdr>
    </w:div>
    <w:div w:id="1591113542">
      <w:bodyDiv w:val="1"/>
      <w:marLeft w:val="0"/>
      <w:marRight w:val="0"/>
      <w:marTop w:val="0"/>
      <w:marBottom w:val="0"/>
      <w:divBdr>
        <w:top w:val="none" w:sz="0" w:space="0" w:color="auto"/>
        <w:left w:val="none" w:sz="0" w:space="0" w:color="auto"/>
        <w:bottom w:val="none" w:sz="0" w:space="0" w:color="auto"/>
        <w:right w:val="none" w:sz="0" w:space="0" w:color="auto"/>
      </w:divBdr>
    </w:div>
    <w:div w:id="1617058445">
      <w:bodyDiv w:val="1"/>
      <w:marLeft w:val="0"/>
      <w:marRight w:val="0"/>
      <w:marTop w:val="0"/>
      <w:marBottom w:val="0"/>
      <w:divBdr>
        <w:top w:val="none" w:sz="0" w:space="0" w:color="auto"/>
        <w:left w:val="none" w:sz="0" w:space="0" w:color="auto"/>
        <w:bottom w:val="none" w:sz="0" w:space="0" w:color="auto"/>
        <w:right w:val="none" w:sz="0" w:space="0" w:color="auto"/>
      </w:divBdr>
    </w:div>
    <w:div w:id="1642805096">
      <w:bodyDiv w:val="1"/>
      <w:marLeft w:val="0"/>
      <w:marRight w:val="0"/>
      <w:marTop w:val="0"/>
      <w:marBottom w:val="0"/>
      <w:divBdr>
        <w:top w:val="none" w:sz="0" w:space="0" w:color="auto"/>
        <w:left w:val="none" w:sz="0" w:space="0" w:color="auto"/>
        <w:bottom w:val="none" w:sz="0" w:space="0" w:color="auto"/>
        <w:right w:val="none" w:sz="0" w:space="0" w:color="auto"/>
      </w:divBdr>
    </w:div>
    <w:div w:id="1646350948">
      <w:bodyDiv w:val="1"/>
      <w:marLeft w:val="0"/>
      <w:marRight w:val="0"/>
      <w:marTop w:val="0"/>
      <w:marBottom w:val="0"/>
      <w:divBdr>
        <w:top w:val="none" w:sz="0" w:space="0" w:color="auto"/>
        <w:left w:val="none" w:sz="0" w:space="0" w:color="auto"/>
        <w:bottom w:val="none" w:sz="0" w:space="0" w:color="auto"/>
        <w:right w:val="none" w:sz="0" w:space="0" w:color="auto"/>
      </w:divBdr>
    </w:div>
    <w:div w:id="1666475232">
      <w:bodyDiv w:val="1"/>
      <w:marLeft w:val="0"/>
      <w:marRight w:val="0"/>
      <w:marTop w:val="0"/>
      <w:marBottom w:val="0"/>
      <w:divBdr>
        <w:top w:val="none" w:sz="0" w:space="0" w:color="auto"/>
        <w:left w:val="none" w:sz="0" w:space="0" w:color="auto"/>
        <w:bottom w:val="none" w:sz="0" w:space="0" w:color="auto"/>
        <w:right w:val="none" w:sz="0" w:space="0" w:color="auto"/>
      </w:divBdr>
    </w:div>
    <w:div w:id="1695303423">
      <w:bodyDiv w:val="1"/>
      <w:marLeft w:val="0"/>
      <w:marRight w:val="0"/>
      <w:marTop w:val="0"/>
      <w:marBottom w:val="0"/>
      <w:divBdr>
        <w:top w:val="none" w:sz="0" w:space="0" w:color="auto"/>
        <w:left w:val="none" w:sz="0" w:space="0" w:color="auto"/>
        <w:bottom w:val="none" w:sz="0" w:space="0" w:color="auto"/>
        <w:right w:val="none" w:sz="0" w:space="0" w:color="auto"/>
      </w:divBdr>
    </w:div>
    <w:div w:id="1716467398">
      <w:bodyDiv w:val="1"/>
      <w:marLeft w:val="0"/>
      <w:marRight w:val="0"/>
      <w:marTop w:val="0"/>
      <w:marBottom w:val="0"/>
      <w:divBdr>
        <w:top w:val="none" w:sz="0" w:space="0" w:color="auto"/>
        <w:left w:val="none" w:sz="0" w:space="0" w:color="auto"/>
        <w:bottom w:val="none" w:sz="0" w:space="0" w:color="auto"/>
        <w:right w:val="none" w:sz="0" w:space="0" w:color="auto"/>
      </w:divBdr>
    </w:div>
    <w:div w:id="1722095322">
      <w:bodyDiv w:val="1"/>
      <w:marLeft w:val="0"/>
      <w:marRight w:val="0"/>
      <w:marTop w:val="0"/>
      <w:marBottom w:val="0"/>
      <w:divBdr>
        <w:top w:val="none" w:sz="0" w:space="0" w:color="auto"/>
        <w:left w:val="none" w:sz="0" w:space="0" w:color="auto"/>
        <w:bottom w:val="none" w:sz="0" w:space="0" w:color="auto"/>
        <w:right w:val="none" w:sz="0" w:space="0" w:color="auto"/>
      </w:divBdr>
    </w:div>
    <w:div w:id="1726559570">
      <w:bodyDiv w:val="1"/>
      <w:marLeft w:val="0"/>
      <w:marRight w:val="0"/>
      <w:marTop w:val="0"/>
      <w:marBottom w:val="0"/>
      <w:divBdr>
        <w:top w:val="none" w:sz="0" w:space="0" w:color="auto"/>
        <w:left w:val="none" w:sz="0" w:space="0" w:color="auto"/>
        <w:bottom w:val="none" w:sz="0" w:space="0" w:color="auto"/>
        <w:right w:val="none" w:sz="0" w:space="0" w:color="auto"/>
      </w:divBdr>
    </w:div>
    <w:div w:id="1735617233">
      <w:bodyDiv w:val="1"/>
      <w:marLeft w:val="0"/>
      <w:marRight w:val="0"/>
      <w:marTop w:val="0"/>
      <w:marBottom w:val="0"/>
      <w:divBdr>
        <w:top w:val="none" w:sz="0" w:space="0" w:color="auto"/>
        <w:left w:val="none" w:sz="0" w:space="0" w:color="auto"/>
        <w:bottom w:val="none" w:sz="0" w:space="0" w:color="auto"/>
        <w:right w:val="none" w:sz="0" w:space="0" w:color="auto"/>
      </w:divBdr>
    </w:div>
    <w:div w:id="1771923796">
      <w:bodyDiv w:val="1"/>
      <w:marLeft w:val="0"/>
      <w:marRight w:val="0"/>
      <w:marTop w:val="0"/>
      <w:marBottom w:val="0"/>
      <w:divBdr>
        <w:top w:val="none" w:sz="0" w:space="0" w:color="auto"/>
        <w:left w:val="none" w:sz="0" w:space="0" w:color="auto"/>
        <w:bottom w:val="none" w:sz="0" w:space="0" w:color="auto"/>
        <w:right w:val="none" w:sz="0" w:space="0" w:color="auto"/>
      </w:divBdr>
    </w:div>
    <w:div w:id="1793867901">
      <w:bodyDiv w:val="1"/>
      <w:marLeft w:val="0"/>
      <w:marRight w:val="0"/>
      <w:marTop w:val="0"/>
      <w:marBottom w:val="0"/>
      <w:divBdr>
        <w:top w:val="none" w:sz="0" w:space="0" w:color="auto"/>
        <w:left w:val="none" w:sz="0" w:space="0" w:color="auto"/>
        <w:bottom w:val="none" w:sz="0" w:space="0" w:color="auto"/>
        <w:right w:val="none" w:sz="0" w:space="0" w:color="auto"/>
      </w:divBdr>
    </w:div>
    <w:div w:id="1809591596">
      <w:bodyDiv w:val="1"/>
      <w:marLeft w:val="0"/>
      <w:marRight w:val="0"/>
      <w:marTop w:val="0"/>
      <w:marBottom w:val="0"/>
      <w:divBdr>
        <w:top w:val="none" w:sz="0" w:space="0" w:color="auto"/>
        <w:left w:val="none" w:sz="0" w:space="0" w:color="auto"/>
        <w:bottom w:val="none" w:sz="0" w:space="0" w:color="auto"/>
        <w:right w:val="none" w:sz="0" w:space="0" w:color="auto"/>
      </w:divBdr>
    </w:div>
    <w:div w:id="1837106799">
      <w:bodyDiv w:val="1"/>
      <w:marLeft w:val="0"/>
      <w:marRight w:val="0"/>
      <w:marTop w:val="0"/>
      <w:marBottom w:val="0"/>
      <w:divBdr>
        <w:top w:val="none" w:sz="0" w:space="0" w:color="auto"/>
        <w:left w:val="none" w:sz="0" w:space="0" w:color="auto"/>
        <w:bottom w:val="none" w:sz="0" w:space="0" w:color="auto"/>
        <w:right w:val="none" w:sz="0" w:space="0" w:color="auto"/>
      </w:divBdr>
    </w:div>
    <w:div w:id="1916668931">
      <w:bodyDiv w:val="1"/>
      <w:marLeft w:val="0"/>
      <w:marRight w:val="0"/>
      <w:marTop w:val="0"/>
      <w:marBottom w:val="0"/>
      <w:divBdr>
        <w:top w:val="none" w:sz="0" w:space="0" w:color="auto"/>
        <w:left w:val="none" w:sz="0" w:space="0" w:color="auto"/>
        <w:bottom w:val="none" w:sz="0" w:space="0" w:color="auto"/>
        <w:right w:val="none" w:sz="0" w:space="0" w:color="auto"/>
      </w:divBdr>
    </w:div>
    <w:div w:id="1949190983">
      <w:bodyDiv w:val="1"/>
      <w:marLeft w:val="0"/>
      <w:marRight w:val="0"/>
      <w:marTop w:val="0"/>
      <w:marBottom w:val="0"/>
      <w:divBdr>
        <w:top w:val="none" w:sz="0" w:space="0" w:color="auto"/>
        <w:left w:val="none" w:sz="0" w:space="0" w:color="auto"/>
        <w:bottom w:val="none" w:sz="0" w:space="0" w:color="auto"/>
        <w:right w:val="none" w:sz="0" w:space="0" w:color="auto"/>
      </w:divBdr>
    </w:div>
    <w:div w:id="1954508892">
      <w:bodyDiv w:val="1"/>
      <w:marLeft w:val="0"/>
      <w:marRight w:val="0"/>
      <w:marTop w:val="0"/>
      <w:marBottom w:val="0"/>
      <w:divBdr>
        <w:top w:val="none" w:sz="0" w:space="0" w:color="auto"/>
        <w:left w:val="none" w:sz="0" w:space="0" w:color="auto"/>
        <w:bottom w:val="none" w:sz="0" w:space="0" w:color="auto"/>
        <w:right w:val="none" w:sz="0" w:space="0" w:color="auto"/>
      </w:divBdr>
    </w:div>
    <w:div w:id="1963269669">
      <w:bodyDiv w:val="1"/>
      <w:marLeft w:val="0"/>
      <w:marRight w:val="0"/>
      <w:marTop w:val="0"/>
      <w:marBottom w:val="0"/>
      <w:divBdr>
        <w:top w:val="none" w:sz="0" w:space="0" w:color="auto"/>
        <w:left w:val="none" w:sz="0" w:space="0" w:color="auto"/>
        <w:bottom w:val="none" w:sz="0" w:space="0" w:color="auto"/>
        <w:right w:val="none" w:sz="0" w:space="0" w:color="auto"/>
      </w:divBdr>
    </w:div>
    <w:div w:id="1989092383">
      <w:bodyDiv w:val="1"/>
      <w:marLeft w:val="0"/>
      <w:marRight w:val="0"/>
      <w:marTop w:val="0"/>
      <w:marBottom w:val="0"/>
      <w:divBdr>
        <w:top w:val="none" w:sz="0" w:space="0" w:color="auto"/>
        <w:left w:val="none" w:sz="0" w:space="0" w:color="auto"/>
        <w:bottom w:val="none" w:sz="0" w:space="0" w:color="auto"/>
        <w:right w:val="none" w:sz="0" w:space="0" w:color="auto"/>
      </w:divBdr>
    </w:div>
    <w:div w:id="1999334960">
      <w:bodyDiv w:val="1"/>
      <w:marLeft w:val="0"/>
      <w:marRight w:val="0"/>
      <w:marTop w:val="0"/>
      <w:marBottom w:val="0"/>
      <w:divBdr>
        <w:top w:val="none" w:sz="0" w:space="0" w:color="auto"/>
        <w:left w:val="none" w:sz="0" w:space="0" w:color="auto"/>
        <w:bottom w:val="none" w:sz="0" w:space="0" w:color="auto"/>
        <w:right w:val="none" w:sz="0" w:space="0" w:color="auto"/>
      </w:divBdr>
    </w:div>
    <w:div w:id="2020499777">
      <w:bodyDiv w:val="1"/>
      <w:marLeft w:val="0"/>
      <w:marRight w:val="0"/>
      <w:marTop w:val="0"/>
      <w:marBottom w:val="0"/>
      <w:divBdr>
        <w:top w:val="none" w:sz="0" w:space="0" w:color="auto"/>
        <w:left w:val="none" w:sz="0" w:space="0" w:color="auto"/>
        <w:bottom w:val="none" w:sz="0" w:space="0" w:color="auto"/>
        <w:right w:val="none" w:sz="0" w:space="0" w:color="auto"/>
      </w:divBdr>
    </w:div>
    <w:div w:id="2040274152">
      <w:bodyDiv w:val="1"/>
      <w:marLeft w:val="0"/>
      <w:marRight w:val="0"/>
      <w:marTop w:val="0"/>
      <w:marBottom w:val="0"/>
      <w:divBdr>
        <w:top w:val="none" w:sz="0" w:space="0" w:color="auto"/>
        <w:left w:val="none" w:sz="0" w:space="0" w:color="auto"/>
        <w:bottom w:val="none" w:sz="0" w:space="0" w:color="auto"/>
        <w:right w:val="none" w:sz="0" w:space="0" w:color="auto"/>
      </w:divBdr>
    </w:div>
    <w:div w:id="2074042260">
      <w:bodyDiv w:val="1"/>
      <w:marLeft w:val="0"/>
      <w:marRight w:val="0"/>
      <w:marTop w:val="0"/>
      <w:marBottom w:val="0"/>
      <w:divBdr>
        <w:top w:val="none" w:sz="0" w:space="0" w:color="auto"/>
        <w:left w:val="none" w:sz="0" w:space="0" w:color="auto"/>
        <w:bottom w:val="none" w:sz="0" w:space="0" w:color="auto"/>
        <w:right w:val="none" w:sz="0" w:space="0" w:color="auto"/>
      </w:divBdr>
    </w:div>
    <w:div w:id="2074311124">
      <w:bodyDiv w:val="1"/>
      <w:marLeft w:val="0"/>
      <w:marRight w:val="0"/>
      <w:marTop w:val="0"/>
      <w:marBottom w:val="0"/>
      <w:divBdr>
        <w:top w:val="none" w:sz="0" w:space="0" w:color="auto"/>
        <w:left w:val="none" w:sz="0" w:space="0" w:color="auto"/>
        <w:bottom w:val="none" w:sz="0" w:space="0" w:color="auto"/>
        <w:right w:val="none" w:sz="0" w:space="0" w:color="auto"/>
      </w:divBdr>
    </w:div>
    <w:div w:id="2095281160">
      <w:bodyDiv w:val="1"/>
      <w:marLeft w:val="0"/>
      <w:marRight w:val="0"/>
      <w:marTop w:val="0"/>
      <w:marBottom w:val="0"/>
      <w:divBdr>
        <w:top w:val="none" w:sz="0" w:space="0" w:color="auto"/>
        <w:left w:val="none" w:sz="0" w:space="0" w:color="auto"/>
        <w:bottom w:val="none" w:sz="0" w:space="0" w:color="auto"/>
        <w:right w:val="none" w:sz="0" w:space="0" w:color="auto"/>
      </w:divBdr>
    </w:div>
    <w:div w:id="2104764588">
      <w:bodyDiv w:val="1"/>
      <w:marLeft w:val="0"/>
      <w:marRight w:val="0"/>
      <w:marTop w:val="0"/>
      <w:marBottom w:val="0"/>
      <w:divBdr>
        <w:top w:val="none" w:sz="0" w:space="0" w:color="auto"/>
        <w:left w:val="none" w:sz="0" w:space="0" w:color="auto"/>
        <w:bottom w:val="none" w:sz="0" w:space="0" w:color="auto"/>
        <w:right w:val="none" w:sz="0" w:space="0" w:color="auto"/>
      </w:divBdr>
    </w:div>
    <w:div w:id="21135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https://www.qcc.com/firm_54813a9d966ad1869761c8afeaa0002e.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54A4F-0FD4-41D8-9D0A-3B3B51EF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151</Pages>
  <Words>17297</Words>
  <Characters>98594</Characters>
  <Application>Microsoft Office Word</Application>
  <DocSecurity>0</DocSecurity>
  <Lines>821</Lines>
  <Paragraphs>231</Paragraphs>
  <ScaleCrop>false</ScaleCrop>
  <Company>E FUND</Company>
  <LinksUpToDate>false</LinksUpToDate>
  <CharactersWithSpaces>115660</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1310775</vt:i4>
      </vt:variant>
      <vt:variant>
        <vt:i4>146</vt:i4>
      </vt:variant>
      <vt:variant>
        <vt:i4>0</vt:i4>
      </vt:variant>
      <vt:variant>
        <vt:i4>5</vt:i4>
      </vt:variant>
      <vt:variant>
        <vt:lpwstr/>
      </vt:variant>
      <vt:variant>
        <vt:lpwstr>_Toc332374174</vt:lpwstr>
      </vt:variant>
      <vt:variant>
        <vt:i4>1310775</vt:i4>
      </vt:variant>
      <vt:variant>
        <vt:i4>140</vt:i4>
      </vt:variant>
      <vt:variant>
        <vt:i4>0</vt:i4>
      </vt:variant>
      <vt:variant>
        <vt:i4>5</vt:i4>
      </vt:variant>
      <vt:variant>
        <vt:lpwstr/>
      </vt:variant>
      <vt:variant>
        <vt:lpwstr>_Toc332374173</vt:lpwstr>
      </vt:variant>
      <vt:variant>
        <vt:i4>1310775</vt:i4>
      </vt:variant>
      <vt:variant>
        <vt:i4>134</vt:i4>
      </vt:variant>
      <vt:variant>
        <vt:i4>0</vt:i4>
      </vt:variant>
      <vt:variant>
        <vt:i4>5</vt:i4>
      </vt:variant>
      <vt:variant>
        <vt:lpwstr/>
      </vt:variant>
      <vt:variant>
        <vt:lpwstr>_Toc332374172</vt:lpwstr>
      </vt:variant>
      <vt:variant>
        <vt:i4>1310775</vt:i4>
      </vt:variant>
      <vt:variant>
        <vt:i4>128</vt:i4>
      </vt:variant>
      <vt:variant>
        <vt:i4>0</vt:i4>
      </vt:variant>
      <vt:variant>
        <vt:i4>5</vt:i4>
      </vt:variant>
      <vt:variant>
        <vt:lpwstr/>
      </vt:variant>
      <vt:variant>
        <vt:lpwstr>_Toc332374171</vt:lpwstr>
      </vt:variant>
      <vt:variant>
        <vt:i4>1376311</vt:i4>
      </vt:variant>
      <vt:variant>
        <vt:i4>122</vt:i4>
      </vt:variant>
      <vt:variant>
        <vt:i4>0</vt:i4>
      </vt:variant>
      <vt:variant>
        <vt:i4>5</vt:i4>
      </vt:variant>
      <vt:variant>
        <vt:lpwstr/>
      </vt:variant>
      <vt:variant>
        <vt:lpwstr>_Toc332374169</vt:lpwstr>
      </vt:variant>
      <vt:variant>
        <vt:i4>1376311</vt:i4>
      </vt:variant>
      <vt:variant>
        <vt:i4>116</vt:i4>
      </vt:variant>
      <vt:variant>
        <vt:i4>0</vt:i4>
      </vt:variant>
      <vt:variant>
        <vt:i4>5</vt:i4>
      </vt:variant>
      <vt:variant>
        <vt:lpwstr/>
      </vt:variant>
      <vt:variant>
        <vt:lpwstr>_Toc332374168</vt:lpwstr>
      </vt:variant>
      <vt:variant>
        <vt:i4>1376311</vt:i4>
      </vt:variant>
      <vt:variant>
        <vt:i4>110</vt:i4>
      </vt:variant>
      <vt:variant>
        <vt:i4>0</vt:i4>
      </vt:variant>
      <vt:variant>
        <vt:i4>5</vt:i4>
      </vt:variant>
      <vt:variant>
        <vt:lpwstr/>
      </vt:variant>
      <vt:variant>
        <vt:lpwstr>_Toc332374167</vt:lpwstr>
      </vt:variant>
      <vt:variant>
        <vt:i4>1376311</vt:i4>
      </vt:variant>
      <vt:variant>
        <vt:i4>104</vt:i4>
      </vt:variant>
      <vt:variant>
        <vt:i4>0</vt:i4>
      </vt:variant>
      <vt:variant>
        <vt:i4>5</vt:i4>
      </vt:variant>
      <vt:variant>
        <vt:lpwstr/>
      </vt:variant>
      <vt:variant>
        <vt:lpwstr>_Toc332374166</vt:lpwstr>
      </vt:variant>
      <vt:variant>
        <vt:i4>1376311</vt:i4>
      </vt:variant>
      <vt:variant>
        <vt:i4>98</vt:i4>
      </vt:variant>
      <vt:variant>
        <vt:i4>0</vt:i4>
      </vt:variant>
      <vt:variant>
        <vt:i4>5</vt:i4>
      </vt:variant>
      <vt:variant>
        <vt:lpwstr/>
      </vt:variant>
      <vt:variant>
        <vt:lpwstr>_Toc332374165</vt:lpwstr>
      </vt:variant>
      <vt:variant>
        <vt:i4>1376311</vt:i4>
      </vt:variant>
      <vt:variant>
        <vt:i4>92</vt:i4>
      </vt:variant>
      <vt:variant>
        <vt:i4>0</vt:i4>
      </vt:variant>
      <vt:variant>
        <vt:i4>5</vt:i4>
      </vt:variant>
      <vt:variant>
        <vt:lpwstr/>
      </vt:variant>
      <vt:variant>
        <vt:lpwstr>_Toc332374164</vt:lpwstr>
      </vt:variant>
      <vt:variant>
        <vt:i4>1376311</vt:i4>
      </vt:variant>
      <vt:variant>
        <vt:i4>86</vt:i4>
      </vt:variant>
      <vt:variant>
        <vt:i4>0</vt:i4>
      </vt:variant>
      <vt:variant>
        <vt:i4>5</vt:i4>
      </vt:variant>
      <vt:variant>
        <vt:lpwstr/>
      </vt:variant>
      <vt:variant>
        <vt:lpwstr>_Toc332374163</vt:lpwstr>
      </vt:variant>
      <vt:variant>
        <vt:i4>1376311</vt:i4>
      </vt:variant>
      <vt:variant>
        <vt:i4>80</vt:i4>
      </vt:variant>
      <vt:variant>
        <vt:i4>0</vt:i4>
      </vt:variant>
      <vt:variant>
        <vt:i4>5</vt:i4>
      </vt:variant>
      <vt:variant>
        <vt:lpwstr/>
      </vt:variant>
      <vt:variant>
        <vt:lpwstr>_Toc332374162</vt:lpwstr>
      </vt:variant>
      <vt:variant>
        <vt:i4>1376311</vt:i4>
      </vt:variant>
      <vt:variant>
        <vt:i4>74</vt:i4>
      </vt:variant>
      <vt:variant>
        <vt:i4>0</vt:i4>
      </vt:variant>
      <vt:variant>
        <vt:i4>5</vt:i4>
      </vt:variant>
      <vt:variant>
        <vt:lpwstr/>
      </vt:variant>
      <vt:variant>
        <vt:lpwstr>_Toc332374161</vt:lpwstr>
      </vt:variant>
      <vt:variant>
        <vt:i4>1376311</vt:i4>
      </vt:variant>
      <vt:variant>
        <vt:i4>68</vt:i4>
      </vt:variant>
      <vt:variant>
        <vt:i4>0</vt:i4>
      </vt:variant>
      <vt:variant>
        <vt:i4>5</vt:i4>
      </vt:variant>
      <vt:variant>
        <vt:lpwstr/>
      </vt:variant>
      <vt:variant>
        <vt:lpwstr>_Toc332374160</vt:lpwstr>
      </vt:variant>
      <vt:variant>
        <vt:i4>1441847</vt:i4>
      </vt:variant>
      <vt:variant>
        <vt:i4>62</vt:i4>
      </vt:variant>
      <vt:variant>
        <vt:i4>0</vt:i4>
      </vt:variant>
      <vt:variant>
        <vt:i4>5</vt:i4>
      </vt:variant>
      <vt:variant>
        <vt:lpwstr/>
      </vt:variant>
      <vt:variant>
        <vt:lpwstr>_Toc332374159</vt:lpwstr>
      </vt:variant>
      <vt:variant>
        <vt:i4>1441847</vt:i4>
      </vt:variant>
      <vt:variant>
        <vt:i4>56</vt:i4>
      </vt:variant>
      <vt:variant>
        <vt:i4>0</vt:i4>
      </vt:variant>
      <vt:variant>
        <vt:i4>5</vt:i4>
      </vt:variant>
      <vt:variant>
        <vt:lpwstr/>
      </vt:variant>
      <vt:variant>
        <vt:lpwstr>_Toc332374158</vt:lpwstr>
      </vt:variant>
      <vt:variant>
        <vt:i4>1441847</vt:i4>
      </vt:variant>
      <vt:variant>
        <vt:i4>50</vt:i4>
      </vt:variant>
      <vt:variant>
        <vt:i4>0</vt:i4>
      </vt:variant>
      <vt:variant>
        <vt:i4>5</vt:i4>
      </vt:variant>
      <vt:variant>
        <vt:lpwstr/>
      </vt:variant>
      <vt:variant>
        <vt:lpwstr>_Toc332374157</vt:lpwstr>
      </vt:variant>
      <vt:variant>
        <vt:i4>1441847</vt:i4>
      </vt:variant>
      <vt:variant>
        <vt:i4>44</vt:i4>
      </vt:variant>
      <vt:variant>
        <vt:i4>0</vt:i4>
      </vt:variant>
      <vt:variant>
        <vt:i4>5</vt:i4>
      </vt:variant>
      <vt:variant>
        <vt:lpwstr/>
      </vt:variant>
      <vt:variant>
        <vt:lpwstr>_Toc332374156</vt:lpwstr>
      </vt:variant>
      <vt:variant>
        <vt:i4>1441847</vt:i4>
      </vt:variant>
      <vt:variant>
        <vt:i4>38</vt:i4>
      </vt:variant>
      <vt:variant>
        <vt:i4>0</vt:i4>
      </vt:variant>
      <vt:variant>
        <vt:i4>5</vt:i4>
      </vt:variant>
      <vt:variant>
        <vt:lpwstr/>
      </vt:variant>
      <vt:variant>
        <vt:lpwstr>_Toc332374155</vt:lpwstr>
      </vt:variant>
      <vt:variant>
        <vt:i4>1441847</vt:i4>
      </vt:variant>
      <vt:variant>
        <vt:i4>32</vt:i4>
      </vt:variant>
      <vt:variant>
        <vt:i4>0</vt:i4>
      </vt:variant>
      <vt:variant>
        <vt:i4>5</vt:i4>
      </vt:variant>
      <vt:variant>
        <vt:lpwstr/>
      </vt:variant>
      <vt:variant>
        <vt:lpwstr>_Toc332374154</vt:lpwstr>
      </vt:variant>
      <vt:variant>
        <vt:i4>1441847</vt:i4>
      </vt:variant>
      <vt:variant>
        <vt:i4>26</vt:i4>
      </vt:variant>
      <vt:variant>
        <vt:i4>0</vt:i4>
      </vt:variant>
      <vt:variant>
        <vt:i4>5</vt:i4>
      </vt:variant>
      <vt:variant>
        <vt:lpwstr/>
      </vt:variant>
      <vt:variant>
        <vt:lpwstr>_Toc332374153</vt:lpwstr>
      </vt:variant>
      <vt:variant>
        <vt:i4>1441847</vt:i4>
      </vt:variant>
      <vt:variant>
        <vt:i4>20</vt:i4>
      </vt:variant>
      <vt:variant>
        <vt:i4>0</vt:i4>
      </vt:variant>
      <vt:variant>
        <vt:i4>5</vt:i4>
      </vt:variant>
      <vt:variant>
        <vt:lpwstr/>
      </vt:variant>
      <vt:variant>
        <vt:lpwstr>_Toc332374152</vt:lpwstr>
      </vt:variant>
      <vt:variant>
        <vt:i4>1441847</vt:i4>
      </vt:variant>
      <vt:variant>
        <vt:i4>14</vt:i4>
      </vt:variant>
      <vt:variant>
        <vt:i4>0</vt:i4>
      </vt:variant>
      <vt:variant>
        <vt:i4>5</vt:i4>
      </vt:variant>
      <vt:variant>
        <vt:lpwstr/>
      </vt:variant>
      <vt:variant>
        <vt:lpwstr>_Toc332374151</vt:lpwstr>
      </vt:variant>
      <vt:variant>
        <vt:i4>1441847</vt:i4>
      </vt:variant>
      <vt:variant>
        <vt:i4>8</vt:i4>
      </vt:variant>
      <vt:variant>
        <vt:i4>0</vt:i4>
      </vt:variant>
      <vt:variant>
        <vt:i4>5</vt:i4>
      </vt:variant>
      <vt:variant>
        <vt:lpwstr/>
      </vt:variant>
      <vt:variant>
        <vt:lpwstr>_Toc332374150</vt:lpwstr>
      </vt:variant>
      <vt:variant>
        <vt:i4>1507383</vt:i4>
      </vt:variant>
      <vt:variant>
        <vt:i4>2</vt:i4>
      </vt:variant>
      <vt:variant>
        <vt:i4>0</vt:i4>
      </vt:variant>
      <vt:variant>
        <vt:i4>5</vt:i4>
      </vt:variant>
      <vt:variant>
        <vt:lpwstr/>
      </vt:variant>
      <vt:variant>
        <vt:lpwstr>_Toc332374149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徐晶</dc:creator>
  <cp:lastModifiedBy>陈红</cp:lastModifiedBy>
  <cp:revision>10</cp:revision>
  <cp:lastPrinted>2019-09-18T06:37:00Z</cp:lastPrinted>
  <dcterms:created xsi:type="dcterms:W3CDTF">2020-08-23T07:06:00Z</dcterms:created>
  <dcterms:modified xsi:type="dcterms:W3CDTF">2020-08-25T10:01:00Z</dcterms:modified>
</cp:coreProperties>
</file>