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BE7598" w14:textId="58073997" w:rsidR="00D949E9" w:rsidRPr="00080B91" w:rsidRDefault="00D949E9" w:rsidP="00B46059">
      <w:pPr>
        <w:pStyle w:val="a9"/>
        <w:spacing w:before="0" w:after="0" w:line="360" w:lineRule="auto"/>
        <w:rPr>
          <w:rFonts w:ascii="Times New Roman" w:hAnsi="Times New Roman"/>
        </w:rPr>
      </w:pPr>
      <w:bookmarkStart w:id="0" w:name="_GoBack"/>
      <w:bookmarkEnd w:id="0"/>
      <w:r w:rsidRPr="00080B91">
        <w:rPr>
          <w:rFonts w:ascii="Times New Roman" w:hAnsi="Times New Roman"/>
        </w:rPr>
        <w:t>易方达基金管理有限公司关于</w:t>
      </w:r>
      <w:r w:rsidR="008300D4" w:rsidRPr="008300D4">
        <w:rPr>
          <w:rFonts w:ascii="Times New Roman" w:hAnsi="Times New Roman" w:hint="eastAsia"/>
        </w:rPr>
        <w:t>易方达银行指数分级证券投资基金</w:t>
      </w:r>
      <w:r w:rsidR="000C6391">
        <w:rPr>
          <w:rFonts w:ascii="Times New Roman" w:hAnsi="Times New Roman" w:hint="eastAsia"/>
        </w:rPr>
        <w:t>实施转型</w:t>
      </w:r>
      <w:r w:rsidRPr="00080B91">
        <w:rPr>
          <w:rFonts w:ascii="Times New Roman" w:hAnsi="Times New Roman"/>
        </w:rPr>
        <w:t>的公告</w:t>
      </w:r>
    </w:p>
    <w:p w14:paraId="08B217A5" w14:textId="47908FC2" w:rsidR="00D949E9" w:rsidRPr="00080B91" w:rsidRDefault="00D949E9" w:rsidP="00D949E9">
      <w:pPr>
        <w:widowControl/>
        <w:shd w:val="clear" w:color="auto" w:fill="FFFFFF"/>
        <w:spacing w:line="360" w:lineRule="auto"/>
        <w:rPr>
          <w:rFonts w:ascii="Times New Roman" w:hAnsi="Times New Roman"/>
          <w:kern w:val="0"/>
          <w:sz w:val="24"/>
          <w:szCs w:val="24"/>
        </w:rPr>
      </w:pPr>
    </w:p>
    <w:p w14:paraId="03CAE458" w14:textId="5C666938" w:rsidR="00C839AA" w:rsidRPr="00A425F2" w:rsidRDefault="000C6391" w:rsidP="008C36BD">
      <w:pPr>
        <w:overflowPunct w:val="0"/>
        <w:spacing w:line="360" w:lineRule="auto"/>
        <w:ind w:firstLineChars="200" w:firstLine="480"/>
        <w:rPr>
          <w:rFonts w:ascii="Times New Roman" w:hAnsi="Times New Roman"/>
          <w:b/>
          <w:kern w:val="0"/>
          <w:sz w:val="24"/>
          <w:szCs w:val="24"/>
        </w:rPr>
      </w:pPr>
      <w:bookmarkStart w:id="1" w:name="_Toc323126811"/>
      <w:r w:rsidRPr="000E3858">
        <w:rPr>
          <w:rFonts w:ascii="Times New Roman" w:hAnsi="Times New Roman"/>
          <w:kern w:val="0"/>
          <w:sz w:val="24"/>
          <w:szCs w:val="24"/>
        </w:rPr>
        <w:t>易方达基金管理有限公司（以下简称</w:t>
      </w:r>
      <w:r>
        <w:rPr>
          <w:rFonts w:ascii="Times New Roman" w:hAnsi="Times New Roman" w:hint="eastAsia"/>
          <w:kern w:val="0"/>
          <w:sz w:val="24"/>
          <w:szCs w:val="24"/>
        </w:rPr>
        <w:t>“</w:t>
      </w:r>
      <w:r w:rsidRPr="000E3858">
        <w:rPr>
          <w:rFonts w:ascii="Times New Roman" w:hAnsi="Times New Roman"/>
          <w:kern w:val="0"/>
          <w:sz w:val="24"/>
          <w:szCs w:val="24"/>
        </w:rPr>
        <w:t>本公司</w:t>
      </w:r>
      <w:r>
        <w:rPr>
          <w:rFonts w:ascii="Times New Roman" w:hAnsi="Times New Roman" w:hint="eastAsia"/>
          <w:kern w:val="0"/>
          <w:sz w:val="24"/>
          <w:szCs w:val="24"/>
        </w:rPr>
        <w:t>”</w:t>
      </w:r>
      <w:r w:rsidRPr="000E3858">
        <w:rPr>
          <w:rFonts w:ascii="Times New Roman" w:hAnsi="Times New Roman"/>
          <w:kern w:val="0"/>
          <w:sz w:val="24"/>
          <w:szCs w:val="24"/>
        </w:rPr>
        <w:t>）</w:t>
      </w:r>
      <w:r>
        <w:rPr>
          <w:rFonts w:ascii="Times New Roman" w:hAnsi="Times New Roman" w:hint="eastAsia"/>
          <w:kern w:val="0"/>
          <w:sz w:val="24"/>
          <w:szCs w:val="24"/>
        </w:rPr>
        <w:t>于</w:t>
      </w:r>
      <w:r w:rsidRPr="00106F58">
        <w:rPr>
          <w:rFonts w:ascii="Times New Roman" w:hAnsi="Times New Roman"/>
          <w:kern w:val="0"/>
          <w:sz w:val="24"/>
          <w:szCs w:val="24"/>
        </w:rPr>
        <w:t>20</w:t>
      </w:r>
      <w:r w:rsidRPr="00106F58">
        <w:rPr>
          <w:rFonts w:ascii="Times New Roman" w:hAnsi="Times New Roman" w:hint="eastAsia"/>
          <w:kern w:val="0"/>
          <w:sz w:val="24"/>
          <w:szCs w:val="24"/>
        </w:rPr>
        <w:t>20</w:t>
      </w:r>
      <w:r w:rsidRPr="00106F58">
        <w:rPr>
          <w:rFonts w:ascii="Times New Roman" w:hAnsi="Times New Roman" w:hint="eastAsia"/>
          <w:kern w:val="0"/>
          <w:sz w:val="24"/>
          <w:szCs w:val="24"/>
        </w:rPr>
        <w:t>年</w:t>
      </w:r>
      <w:r w:rsidRPr="00106F58">
        <w:rPr>
          <w:rFonts w:ascii="Times New Roman" w:hAnsi="Times New Roman" w:hint="eastAsia"/>
          <w:kern w:val="0"/>
          <w:sz w:val="24"/>
          <w:szCs w:val="24"/>
        </w:rPr>
        <w:t>6</w:t>
      </w:r>
      <w:r w:rsidRPr="00106F58">
        <w:rPr>
          <w:rFonts w:ascii="Times New Roman" w:hAnsi="Times New Roman" w:hint="eastAsia"/>
          <w:kern w:val="0"/>
          <w:sz w:val="24"/>
          <w:szCs w:val="24"/>
        </w:rPr>
        <w:t>月</w:t>
      </w:r>
      <w:r w:rsidRPr="00106F58">
        <w:rPr>
          <w:rFonts w:ascii="Times New Roman" w:hAnsi="Times New Roman" w:hint="eastAsia"/>
          <w:kern w:val="0"/>
          <w:sz w:val="24"/>
          <w:szCs w:val="24"/>
        </w:rPr>
        <w:t>8</w:t>
      </w:r>
      <w:r w:rsidRPr="00106F58">
        <w:rPr>
          <w:rFonts w:ascii="Times New Roman" w:hAnsi="Times New Roman" w:hint="eastAsia"/>
          <w:kern w:val="0"/>
          <w:sz w:val="24"/>
          <w:szCs w:val="24"/>
        </w:rPr>
        <w:t>日</w:t>
      </w:r>
      <w:r w:rsidRPr="00106F58">
        <w:rPr>
          <w:rFonts w:ascii="Times New Roman" w:hAnsi="Times New Roman"/>
          <w:kern w:val="0"/>
          <w:sz w:val="24"/>
          <w:szCs w:val="24"/>
        </w:rPr>
        <w:t>至</w:t>
      </w:r>
      <w:r w:rsidRPr="00106F58">
        <w:rPr>
          <w:rFonts w:ascii="Times New Roman" w:hAnsi="Times New Roman"/>
          <w:kern w:val="0"/>
          <w:sz w:val="24"/>
          <w:szCs w:val="24"/>
        </w:rPr>
        <w:t>20</w:t>
      </w:r>
      <w:r w:rsidRPr="00106F58">
        <w:rPr>
          <w:rFonts w:ascii="Times New Roman" w:hAnsi="Times New Roman" w:hint="eastAsia"/>
          <w:kern w:val="0"/>
          <w:sz w:val="24"/>
          <w:szCs w:val="24"/>
        </w:rPr>
        <w:t>20</w:t>
      </w:r>
      <w:r w:rsidRPr="00106F58">
        <w:rPr>
          <w:rFonts w:ascii="Times New Roman" w:hAnsi="Times New Roman" w:hint="eastAsia"/>
          <w:kern w:val="0"/>
          <w:sz w:val="24"/>
          <w:szCs w:val="24"/>
        </w:rPr>
        <w:t>年</w:t>
      </w:r>
      <w:r w:rsidRPr="00106F58">
        <w:rPr>
          <w:rFonts w:ascii="Times New Roman" w:hAnsi="Times New Roman" w:hint="eastAsia"/>
          <w:kern w:val="0"/>
          <w:sz w:val="24"/>
          <w:szCs w:val="24"/>
        </w:rPr>
        <w:t>7</w:t>
      </w:r>
      <w:r w:rsidRPr="00106F58">
        <w:rPr>
          <w:rFonts w:ascii="Times New Roman" w:hAnsi="Times New Roman" w:hint="eastAsia"/>
          <w:kern w:val="0"/>
          <w:sz w:val="24"/>
          <w:szCs w:val="24"/>
        </w:rPr>
        <w:t>月</w:t>
      </w:r>
      <w:r w:rsidRPr="00106F58">
        <w:rPr>
          <w:rFonts w:ascii="Times New Roman" w:hAnsi="Times New Roman" w:hint="eastAsia"/>
          <w:kern w:val="0"/>
          <w:sz w:val="24"/>
          <w:szCs w:val="24"/>
        </w:rPr>
        <w:t>6</w:t>
      </w:r>
      <w:r w:rsidRPr="00106F58">
        <w:rPr>
          <w:rFonts w:ascii="Times New Roman" w:hAnsi="Times New Roman" w:hint="eastAsia"/>
          <w:kern w:val="0"/>
          <w:sz w:val="24"/>
          <w:szCs w:val="24"/>
        </w:rPr>
        <w:t>日</w:t>
      </w:r>
      <w:r w:rsidRPr="000E3858">
        <w:rPr>
          <w:rFonts w:ascii="Times New Roman" w:hAnsi="Times New Roman"/>
          <w:kern w:val="0"/>
          <w:sz w:val="24"/>
          <w:szCs w:val="24"/>
        </w:rPr>
        <w:t>以通讯方式组织召开了</w:t>
      </w:r>
      <w:r w:rsidRPr="008300D4">
        <w:rPr>
          <w:rFonts w:ascii="Times New Roman" w:hAnsi="Times New Roman" w:hint="eastAsia"/>
          <w:kern w:val="0"/>
          <w:sz w:val="24"/>
          <w:szCs w:val="24"/>
        </w:rPr>
        <w:t>易方达银行指数分级证券投资基金</w:t>
      </w:r>
      <w:r>
        <w:rPr>
          <w:rFonts w:ascii="Times New Roman" w:hAnsi="Times New Roman" w:hint="eastAsia"/>
          <w:kern w:val="0"/>
          <w:sz w:val="24"/>
          <w:szCs w:val="24"/>
        </w:rPr>
        <w:t>（以下简称“本基金”）的</w:t>
      </w:r>
      <w:r w:rsidRPr="000E3858">
        <w:rPr>
          <w:rFonts w:ascii="Times New Roman" w:hAnsi="Times New Roman"/>
          <w:kern w:val="0"/>
          <w:sz w:val="24"/>
          <w:szCs w:val="24"/>
        </w:rPr>
        <w:t>基金份额持有人大会</w:t>
      </w:r>
      <w:r>
        <w:rPr>
          <w:rFonts w:ascii="Times New Roman" w:hAnsi="Times New Roman" w:hint="eastAsia"/>
          <w:kern w:val="0"/>
          <w:sz w:val="24"/>
          <w:szCs w:val="24"/>
        </w:rPr>
        <w:t>，</w:t>
      </w:r>
      <w:r w:rsidRPr="000E3858">
        <w:rPr>
          <w:rFonts w:ascii="Times New Roman" w:hAnsi="Times New Roman"/>
          <w:kern w:val="0"/>
          <w:sz w:val="24"/>
          <w:szCs w:val="24"/>
        </w:rPr>
        <w:t>审议了</w:t>
      </w:r>
      <w:r>
        <w:rPr>
          <w:rFonts w:ascii="Times New Roman" w:hAnsi="Times New Roman" w:hint="eastAsia"/>
          <w:kern w:val="0"/>
          <w:sz w:val="24"/>
          <w:szCs w:val="24"/>
        </w:rPr>
        <w:t>《</w:t>
      </w:r>
      <w:r w:rsidRPr="00200C2B">
        <w:rPr>
          <w:rFonts w:ascii="Times New Roman" w:hAnsi="Times New Roman"/>
          <w:kern w:val="0"/>
          <w:sz w:val="24"/>
          <w:szCs w:val="24"/>
        </w:rPr>
        <w:t>关于</w:t>
      </w:r>
      <w:r w:rsidRPr="00200C2B">
        <w:rPr>
          <w:rFonts w:ascii="Times New Roman" w:hAnsi="Times New Roman"/>
          <w:bCs/>
          <w:sz w:val="24"/>
          <w:szCs w:val="20"/>
        </w:rPr>
        <w:t>易方达银行指数分级证券投资基金转型</w:t>
      </w:r>
      <w:r w:rsidRPr="00200C2B">
        <w:rPr>
          <w:rFonts w:ascii="Times New Roman" w:hAnsi="Times New Roman"/>
          <w:kern w:val="0"/>
          <w:sz w:val="24"/>
          <w:szCs w:val="24"/>
        </w:rPr>
        <w:t>有关事项的议案</w:t>
      </w:r>
      <w:r w:rsidRPr="000E3858">
        <w:rPr>
          <w:rFonts w:ascii="Times New Roman" w:hAnsi="Times New Roman"/>
          <w:kern w:val="0"/>
          <w:sz w:val="24"/>
          <w:szCs w:val="24"/>
        </w:rPr>
        <w:t>》</w:t>
      </w:r>
      <w:r>
        <w:rPr>
          <w:rFonts w:ascii="Times New Roman" w:hAnsi="Times New Roman" w:hint="eastAsia"/>
          <w:kern w:val="0"/>
          <w:sz w:val="24"/>
          <w:szCs w:val="24"/>
        </w:rPr>
        <w:t>（以下简称“《议案》”）。《议案》</w:t>
      </w:r>
      <w:r w:rsidRPr="00106F58">
        <w:rPr>
          <w:rFonts w:ascii="Times New Roman" w:hAnsi="Times New Roman" w:hint="eastAsia"/>
          <w:kern w:val="0"/>
          <w:sz w:val="24"/>
          <w:szCs w:val="24"/>
        </w:rPr>
        <w:t>于</w:t>
      </w:r>
      <w:r w:rsidRPr="00106F58">
        <w:rPr>
          <w:rFonts w:ascii="Times New Roman" w:hAnsi="Times New Roman"/>
          <w:kern w:val="0"/>
          <w:sz w:val="24"/>
          <w:szCs w:val="24"/>
        </w:rPr>
        <w:t>2020</w:t>
      </w:r>
      <w:r w:rsidRPr="00106F58">
        <w:rPr>
          <w:rFonts w:ascii="Times New Roman" w:hAnsi="Times New Roman" w:hint="eastAsia"/>
          <w:kern w:val="0"/>
          <w:sz w:val="24"/>
          <w:szCs w:val="24"/>
        </w:rPr>
        <w:t>年</w:t>
      </w:r>
      <w:r w:rsidRPr="00106F58">
        <w:rPr>
          <w:rFonts w:ascii="Times New Roman" w:hAnsi="Times New Roman"/>
          <w:kern w:val="0"/>
          <w:sz w:val="24"/>
          <w:szCs w:val="24"/>
        </w:rPr>
        <w:t>7</w:t>
      </w:r>
      <w:r w:rsidRPr="00106F58">
        <w:rPr>
          <w:rFonts w:ascii="Times New Roman" w:hAnsi="Times New Roman" w:hint="eastAsia"/>
          <w:kern w:val="0"/>
          <w:sz w:val="24"/>
          <w:szCs w:val="24"/>
        </w:rPr>
        <w:t>月</w:t>
      </w:r>
      <w:r w:rsidRPr="00106F58">
        <w:rPr>
          <w:rFonts w:ascii="Times New Roman" w:hAnsi="Times New Roman" w:hint="eastAsia"/>
          <w:kern w:val="0"/>
          <w:sz w:val="24"/>
          <w:szCs w:val="24"/>
        </w:rPr>
        <w:t>7</w:t>
      </w:r>
      <w:r w:rsidRPr="00106F58">
        <w:rPr>
          <w:rFonts w:ascii="Times New Roman" w:hAnsi="Times New Roman" w:hint="eastAsia"/>
          <w:kern w:val="0"/>
          <w:sz w:val="24"/>
          <w:szCs w:val="24"/>
        </w:rPr>
        <w:t>日</w:t>
      </w:r>
      <w:r>
        <w:rPr>
          <w:rFonts w:ascii="Times New Roman" w:hAnsi="Times New Roman" w:hint="eastAsia"/>
          <w:kern w:val="0"/>
          <w:sz w:val="24"/>
          <w:szCs w:val="24"/>
        </w:rPr>
        <w:t>获得</w:t>
      </w:r>
      <w:r w:rsidRPr="00106F58">
        <w:rPr>
          <w:rFonts w:ascii="Times New Roman" w:hAnsi="Times New Roman" w:hint="eastAsia"/>
          <w:kern w:val="0"/>
          <w:sz w:val="24"/>
          <w:szCs w:val="24"/>
        </w:rPr>
        <w:t>表决通过</w:t>
      </w:r>
      <w:r>
        <w:rPr>
          <w:rFonts w:ascii="Times New Roman" w:hAnsi="Times New Roman" w:hint="eastAsia"/>
          <w:kern w:val="0"/>
          <w:sz w:val="24"/>
          <w:szCs w:val="24"/>
        </w:rPr>
        <w:t>，</w:t>
      </w:r>
      <w:r w:rsidRPr="00106F58">
        <w:rPr>
          <w:rFonts w:ascii="Times New Roman" w:hAnsi="Times New Roman" w:hint="eastAsia"/>
          <w:kern w:val="0"/>
          <w:sz w:val="24"/>
          <w:szCs w:val="24"/>
        </w:rPr>
        <w:t>自该日起</w:t>
      </w:r>
      <w:r>
        <w:rPr>
          <w:rFonts w:ascii="Times New Roman" w:hAnsi="Times New Roman" w:hint="eastAsia"/>
          <w:kern w:val="0"/>
          <w:sz w:val="24"/>
          <w:szCs w:val="24"/>
        </w:rPr>
        <w:t>基金份额持有人大会决议</w:t>
      </w:r>
      <w:r w:rsidRPr="00106F58">
        <w:rPr>
          <w:rFonts w:ascii="Times New Roman" w:hAnsi="Times New Roman" w:hint="eastAsia"/>
          <w:kern w:val="0"/>
          <w:sz w:val="24"/>
          <w:szCs w:val="24"/>
        </w:rPr>
        <w:t>生效</w:t>
      </w:r>
      <w:r>
        <w:rPr>
          <w:rFonts w:ascii="Times New Roman" w:hAnsi="Times New Roman" w:hint="eastAsia"/>
          <w:kern w:val="0"/>
          <w:sz w:val="24"/>
          <w:szCs w:val="24"/>
        </w:rPr>
        <w:t>，</w:t>
      </w:r>
      <w:r w:rsidRPr="000C6391">
        <w:rPr>
          <w:rFonts w:ascii="Times New Roman" w:hAnsi="Times New Roman" w:hint="eastAsia"/>
          <w:kern w:val="0"/>
          <w:sz w:val="24"/>
          <w:szCs w:val="24"/>
        </w:rPr>
        <w:t>并已报中国证券监督管理委员会备案</w:t>
      </w:r>
      <w:r>
        <w:rPr>
          <w:rFonts w:ascii="Times New Roman" w:hAnsi="Times New Roman" w:hint="eastAsia"/>
          <w:kern w:val="0"/>
          <w:sz w:val="24"/>
          <w:szCs w:val="24"/>
        </w:rPr>
        <w:t>。本公司已于</w:t>
      </w:r>
      <w:r>
        <w:rPr>
          <w:rFonts w:ascii="Times New Roman" w:hAnsi="Times New Roman" w:hint="eastAsia"/>
          <w:kern w:val="0"/>
          <w:sz w:val="24"/>
          <w:szCs w:val="24"/>
        </w:rPr>
        <w:t>2020</w:t>
      </w:r>
      <w:r>
        <w:rPr>
          <w:rFonts w:ascii="Times New Roman" w:hAnsi="Times New Roman" w:hint="eastAsia"/>
          <w:kern w:val="0"/>
          <w:sz w:val="24"/>
          <w:szCs w:val="24"/>
        </w:rPr>
        <w:t>年</w:t>
      </w:r>
      <w:r>
        <w:rPr>
          <w:rFonts w:ascii="Times New Roman" w:hAnsi="Times New Roman" w:hint="eastAsia"/>
          <w:kern w:val="0"/>
          <w:sz w:val="24"/>
          <w:szCs w:val="24"/>
        </w:rPr>
        <w:t>7</w:t>
      </w:r>
      <w:r>
        <w:rPr>
          <w:rFonts w:ascii="Times New Roman" w:hAnsi="Times New Roman" w:hint="eastAsia"/>
          <w:kern w:val="0"/>
          <w:sz w:val="24"/>
          <w:szCs w:val="24"/>
        </w:rPr>
        <w:t>月</w:t>
      </w:r>
      <w:r>
        <w:rPr>
          <w:rFonts w:ascii="Times New Roman" w:hAnsi="Times New Roman" w:hint="eastAsia"/>
          <w:kern w:val="0"/>
          <w:sz w:val="24"/>
          <w:szCs w:val="24"/>
        </w:rPr>
        <w:t>8</w:t>
      </w:r>
      <w:r>
        <w:rPr>
          <w:rFonts w:ascii="Times New Roman" w:hAnsi="Times New Roman" w:hint="eastAsia"/>
          <w:kern w:val="0"/>
          <w:sz w:val="24"/>
          <w:szCs w:val="24"/>
        </w:rPr>
        <w:t>日发布了《</w:t>
      </w:r>
      <w:r w:rsidRPr="000C6391">
        <w:rPr>
          <w:rFonts w:ascii="Times New Roman" w:hAnsi="Times New Roman" w:hint="eastAsia"/>
          <w:kern w:val="0"/>
          <w:sz w:val="24"/>
          <w:szCs w:val="24"/>
        </w:rPr>
        <w:t>易方达基金管理有限公司关于易方达银行指数分级证券投资基金基金份额持有人大会表决结果暨决议生效的公告</w:t>
      </w:r>
      <w:r>
        <w:rPr>
          <w:rFonts w:ascii="Times New Roman" w:hAnsi="Times New Roman" w:hint="eastAsia"/>
          <w:kern w:val="0"/>
          <w:sz w:val="24"/>
          <w:szCs w:val="24"/>
        </w:rPr>
        <w:t>》</w:t>
      </w:r>
      <w:r w:rsidRPr="000C6391">
        <w:rPr>
          <w:rFonts w:ascii="Times New Roman" w:hAnsi="Times New Roman" w:hint="eastAsia"/>
          <w:kern w:val="0"/>
          <w:sz w:val="24"/>
          <w:szCs w:val="24"/>
        </w:rPr>
        <w:t>（以下简称“《决议公告》”）。根据《决议公告》，现就转型相关</w:t>
      </w:r>
      <w:r>
        <w:rPr>
          <w:rFonts w:ascii="Times New Roman" w:hAnsi="Times New Roman" w:hint="eastAsia"/>
          <w:kern w:val="0"/>
          <w:sz w:val="24"/>
          <w:szCs w:val="24"/>
        </w:rPr>
        <w:t>事项</w:t>
      </w:r>
      <w:r w:rsidRPr="000C6391">
        <w:rPr>
          <w:rFonts w:ascii="Times New Roman" w:hAnsi="Times New Roman" w:hint="eastAsia"/>
          <w:kern w:val="0"/>
          <w:sz w:val="24"/>
          <w:szCs w:val="24"/>
        </w:rPr>
        <w:t>公告如下：</w:t>
      </w:r>
    </w:p>
    <w:p w14:paraId="6E407E90" w14:textId="77777777" w:rsidR="00C61EDB" w:rsidRDefault="00C61EDB" w:rsidP="00760160">
      <w:pPr>
        <w:overflowPunct w:val="0"/>
        <w:spacing w:line="360" w:lineRule="auto"/>
        <w:ind w:firstLineChars="200" w:firstLine="482"/>
        <w:rPr>
          <w:rFonts w:ascii="Times New Roman" w:hAnsi="Times New Roman"/>
          <w:b/>
          <w:kern w:val="0"/>
          <w:sz w:val="24"/>
          <w:szCs w:val="24"/>
        </w:rPr>
      </w:pPr>
    </w:p>
    <w:p w14:paraId="6F132961" w14:textId="194E63D7" w:rsidR="004B71BC" w:rsidRPr="008C36BD" w:rsidRDefault="008C36BD" w:rsidP="00760160">
      <w:pPr>
        <w:overflowPunct w:val="0"/>
        <w:spacing w:line="360" w:lineRule="auto"/>
        <w:ind w:firstLineChars="200" w:firstLine="482"/>
        <w:rPr>
          <w:rFonts w:ascii="Times New Roman" w:hAnsi="Times New Roman"/>
          <w:b/>
          <w:kern w:val="0"/>
          <w:sz w:val="24"/>
          <w:szCs w:val="24"/>
        </w:rPr>
      </w:pPr>
      <w:r w:rsidRPr="008C36BD">
        <w:rPr>
          <w:rFonts w:ascii="Times New Roman" w:hAnsi="Times New Roman" w:hint="eastAsia"/>
          <w:b/>
          <w:kern w:val="0"/>
          <w:sz w:val="24"/>
          <w:szCs w:val="24"/>
        </w:rPr>
        <w:t>一、</w:t>
      </w:r>
      <w:r w:rsidR="004B71BC" w:rsidRPr="008C36BD">
        <w:rPr>
          <w:rFonts w:ascii="Times New Roman" w:hAnsi="Times New Roman" w:hint="eastAsia"/>
          <w:b/>
          <w:kern w:val="0"/>
          <w:sz w:val="24"/>
          <w:szCs w:val="24"/>
        </w:rPr>
        <w:t>关于基金合同等法律文件的修订情况</w:t>
      </w:r>
    </w:p>
    <w:p w14:paraId="51F2F872" w14:textId="59333701" w:rsidR="004B71BC" w:rsidRPr="008C36BD" w:rsidRDefault="004B71BC" w:rsidP="00760160">
      <w:pPr>
        <w:overflowPunct w:val="0"/>
        <w:spacing w:line="360" w:lineRule="auto"/>
        <w:ind w:firstLineChars="200" w:firstLine="480"/>
        <w:rPr>
          <w:rFonts w:ascii="Times New Roman" w:hAnsi="Times New Roman"/>
          <w:kern w:val="0"/>
          <w:sz w:val="24"/>
          <w:szCs w:val="24"/>
        </w:rPr>
      </w:pPr>
      <w:r w:rsidRPr="008C36BD">
        <w:rPr>
          <w:rFonts w:ascii="Times New Roman" w:hAnsi="Times New Roman" w:hint="eastAsia"/>
          <w:kern w:val="0"/>
          <w:sz w:val="24"/>
          <w:szCs w:val="24"/>
        </w:rPr>
        <w:t>根据</w:t>
      </w:r>
      <w:r w:rsidR="008C36BD">
        <w:rPr>
          <w:rFonts w:ascii="Times New Roman" w:hAnsi="Times New Roman" w:hint="eastAsia"/>
          <w:kern w:val="0"/>
          <w:sz w:val="24"/>
          <w:szCs w:val="24"/>
        </w:rPr>
        <w:t>《议案》</w:t>
      </w:r>
      <w:r w:rsidR="008A5C14">
        <w:rPr>
          <w:rFonts w:ascii="Times New Roman" w:hAnsi="Times New Roman" w:hint="eastAsia"/>
          <w:kern w:val="0"/>
          <w:sz w:val="24"/>
          <w:szCs w:val="24"/>
        </w:rPr>
        <w:t>以及相关法律法规的规定</w:t>
      </w:r>
      <w:r w:rsidRPr="008C36BD">
        <w:rPr>
          <w:rFonts w:ascii="Times New Roman" w:hAnsi="Times New Roman" w:hint="eastAsia"/>
          <w:kern w:val="0"/>
          <w:sz w:val="24"/>
          <w:szCs w:val="24"/>
        </w:rPr>
        <w:t>，经与基金托管人</w:t>
      </w:r>
      <w:r w:rsidR="008C36BD" w:rsidRPr="000C6391">
        <w:rPr>
          <w:rFonts w:ascii="Times New Roman" w:hAnsi="Times New Roman" w:hint="eastAsia"/>
          <w:kern w:val="0"/>
          <w:sz w:val="24"/>
          <w:szCs w:val="24"/>
        </w:rPr>
        <w:t>中国建设银行股份有限公司</w:t>
      </w:r>
      <w:r w:rsidRPr="008C36BD">
        <w:rPr>
          <w:rFonts w:ascii="Times New Roman" w:hAnsi="Times New Roman" w:hint="eastAsia"/>
          <w:kern w:val="0"/>
          <w:sz w:val="24"/>
          <w:szCs w:val="24"/>
        </w:rPr>
        <w:t>协商一致，</w:t>
      </w:r>
      <w:r w:rsidR="008C36BD" w:rsidRPr="000E3858">
        <w:rPr>
          <w:rFonts w:ascii="Times New Roman" w:hAnsi="Times New Roman"/>
          <w:kern w:val="0"/>
          <w:sz w:val="24"/>
          <w:szCs w:val="24"/>
        </w:rPr>
        <w:t>本公司</w:t>
      </w:r>
      <w:r w:rsidRPr="008C36BD">
        <w:rPr>
          <w:rFonts w:ascii="Times New Roman" w:hAnsi="Times New Roman" w:hint="eastAsia"/>
          <w:kern w:val="0"/>
          <w:sz w:val="24"/>
          <w:szCs w:val="24"/>
        </w:rPr>
        <w:t>已将《</w:t>
      </w:r>
      <w:r w:rsidR="00F043B6" w:rsidRPr="008C36BD">
        <w:rPr>
          <w:rFonts w:ascii="Times New Roman" w:hAnsi="Times New Roman" w:hint="eastAsia"/>
          <w:bCs/>
          <w:sz w:val="24"/>
          <w:szCs w:val="20"/>
        </w:rPr>
        <w:t>易方达银行指数分级证券投资基金</w:t>
      </w:r>
      <w:r w:rsidRPr="008C36BD">
        <w:rPr>
          <w:rFonts w:ascii="Times New Roman" w:hAnsi="Times New Roman" w:hint="eastAsia"/>
          <w:kern w:val="0"/>
          <w:sz w:val="24"/>
          <w:szCs w:val="24"/>
        </w:rPr>
        <w:t>基金合同》《</w:t>
      </w:r>
      <w:r w:rsidR="00F043B6" w:rsidRPr="008C36BD">
        <w:rPr>
          <w:rFonts w:ascii="Times New Roman" w:hAnsi="Times New Roman" w:hint="eastAsia"/>
          <w:bCs/>
          <w:sz w:val="24"/>
          <w:szCs w:val="20"/>
        </w:rPr>
        <w:t>易方达银行指数分级证券投资基金</w:t>
      </w:r>
      <w:r w:rsidRPr="008C36BD">
        <w:rPr>
          <w:rFonts w:ascii="Times New Roman" w:hAnsi="Times New Roman" w:hint="eastAsia"/>
          <w:kern w:val="0"/>
          <w:sz w:val="24"/>
          <w:szCs w:val="24"/>
        </w:rPr>
        <w:t>托管协议》修订为《</w:t>
      </w:r>
      <w:r w:rsidR="00F043B6" w:rsidRPr="008C36BD">
        <w:rPr>
          <w:rFonts w:ascii="Times New Roman" w:hAnsi="Times New Roman" w:hint="eastAsia"/>
          <w:kern w:val="0"/>
          <w:sz w:val="24"/>
          <w:szCs w:val="24"/>
        </w:rPr>
        <w:t>易方达</w:t>
      </w:r>
      <w:r w:rsidRPr="008C36BD">
        <w:rPr>
          <w:rFonts w:ascii="Times New Roman" w:hAnsi="Times New Roman" w:hint="eastAsia"/>
          <w:kern w:val="0"/>
          <w:sz w:val="24"/>
          <w:szCs w:val="24"/>
        </w:rPr>
        <w:t>中证银行指数证券投资基金（</w:t>
      </w:r>
      <w:r w:rsidRPr="008C36BD">
        <w:rPr>
          <w:rFonts w:ascii="Times New Roman" w:hAnsi="Times New Roman" w:hint="eastAsia"/>
          <w:kern w:val="0"/>
          <w:sz w:val="24"/>
          <w:szCs w:val="24"/>
        </w:rPr>
        <w:t>LOF</w:t>
      </w:r>
      <w:r w:rsidRPr="008C36BD">
        <w:rPr>
          <w:rFonts w:ascii="Times New Roman" w:hAnsi="Times New Roman" w:hint="eastAsia"/>
          <w:kern w:val="0"/>
          <w:sz w:val="24"/>
          <w:szCs w:val="24"/>
        </w:rPr>
        <w:t>）基金合同》《</w:t>
      </w:r>
      <w:r w:rsidR="00F043B6" w:rsidRPr="008C36BD">
        <w:rPr>
          <w:rFonts w:ascii="Times New Roman" w:hAnsi="Times New Roman" w:hint="eastAsia"/>
          <w:kern w:val="0"/>
          <w:sz w:val="24"/>
          <w:szCs w:val="24"/>
        </w:rPr>
        <w:t>易方达</w:t>
      </w:r>
      <w:r w:rsidRPr="008C36BD">
        <w:rPr>
          <w:rFonts w:ascii="Times New Roman" w:hAnsi="Times New Roman" w:hint="eastAsia"/>
          <w:kern w:val="0"/>
          <w:sz w:val="24"/>
          <w:szCs w:val="24"/>
        </w:rPr>
        <w:t>中证银行指数证券投资基金（</w:t>
      </w:r>
      <w:r w:rsidRPr="008C36BD">
        <w:rPr>
          <w:rFonts w:ascii="Times New Roman" w:hAnsi="Times New Roman" w:hint="eastAsia"/>
          <w:kern w:val="0"/>
          <w:sz w:val="24"/>
          <w:szCs w:val="24"/>
        </w:rPr>
        <w:t>LOF</w:t>
      </w:r>
      <w:r w:rsidRPr="008C36BD">
        <w:rPr>
          <w:rFonts w:ascii="Times New Roman" w:hAnsi="Times New Roman" w:hint="eastAsia"/>
          <w:kern w:val="0"/>
          <w:sz w:val="24"/>
          <w:szCs w:val="24"/>
        </w:rPr>
        <w:t>）托管协议》，并据此拟定了《</w:t>
      </w:r>
      <w:r w:rsidR="00F043B6" w:rsidRPr="008C36BD">
        <w:rPr>
          <w:rFonts w:ascii="Times New Roman" w:hAnsi="Times New Roman" w:hint="eastAsia"/>
          <w:kern w:val="0"/>
          <w:sz w:val="24"/>
          <w:szCs w:val="24"/>
        </w:rPr>
        <w:t>易方达</w:t>
      </w:r>
      <w:r w:rsidRPr="008C36BD">
        <w:rPr>
          <w:rFonts w:ascii="Times New Roman" w:hAnsi="Times New Roman" w:hint="eastAsia"/>
          <w:kern w:val="0"/>
          <w:sz w:val="24"/>
          <w:szCs w:val="24"/>
        </w:rPr>
        <w:t>中证银行指数证券投资基金（</w:t>
      </w:r>
      <w:r w:rsidRPr="008C36BD">
        <w:rPr>
          <w:rFonts w:ascii="Times New Roman" w:hAnsi="Times New Roman" w:hint="eastAsia"/>
          <w:kern w:val="0"/>
          <w:sz w:val="24"/>
          <w:szCs w:val="24"/>
        </w:rPr>
        <w:t>LOF</w:t>
      </w:r>
      <w:r w:rsidRPr="008C36BD">
        <w:rPr>
          <w:rFonts w:ascii="Times New Roman" w:hAnsi="Times New Roman" w:hint="eastAsia"/>
          <w:kern w:val="0"/>
          <w:sz w:val="24"/>
          <w:szCs w:val="24"/>
        </w:rPr>
        <w:t>）招募说明书》。上述文件已经中国证券监督管理委员会证监许可</w:t>
      </w:r>
      <w:r w:rsidR="00F043B6" w:rsidRPr="008C36BD">
        <w:rPr>
          <w:rFonts w:ascii="Times New Roman" w:hAnsi="Times New Roman" w:hint="eastAsia"/>
          <w:kern w:val="0"/>
          <w:sz w:val="24"/>
          <w:szCs w:val="24"/>
        </w:rPr>
        <w:t>[2020</w:t>
      </w:r>
      <w:r w:rsidRPr="008C36BD">
        <w:rPr>
          <w:rFonts w:ascii="Times New Roman" w:hAnsi="Times New Roman" w:hint="eastAsia"/>
          <w:kern w:val="0"/>
          <w:sz w:val="24"/>
          <w:szCs w:val="24"/>
        </w:rPr>
        <w:t>]</w:t>
      </w:r>
      <w:r w:rsidR="00F043B6" w:rsidRPr="008C36BD">
        <w:rPr>
          <w:rFonts w:ascii="Times New Roman" w:hAnsi="Times New Roman" w:hint="eastAsia"/>
          <w:kern w:val="0"/>
          <w:sz w:val="24"/>
          <w:szCs w:val="24"/>
        </w:rPr>
        <w:t>853</w:t>
      </w:r>
      <w:r w:rsidR="00F043B6" w:rsidRPr="008C36BD">
        <w:rPr>
          <w:rFonts w:ascii="Times New Roman" w:hAnsi="Times New Roman" w:hint="eastAsia"/>
          <w:kern w:val="0"/>
          <w:sz w:val="24"/>
          <w:szCs w:val="24"/>
        </w:rPr>
        <w:t>号（《关于准予易方达</w:t>
      </w:r>
      <w:r w:rsidRPr="008C36BD">
        <w:rPr>
          <w:rFonts w:ascii="Times New Roman" w:hAnsi="Times New Roman" w:hint="eastAsia"/>
          <w:kern w:val="0"/>
          <w:sz w:val="24"/>
          <w:szCs w:val="24"/>
        </w:rPr>
        <w:t>银行指数分级证券投资基金变更注册的批复》）准予变更注册</w:t>
      </w:r>
      <w:r w:rsidR="008A5C14" w:rsidRPr="009B1E4E">
        <w:rPr>
          <w:rFonts w:ascii="Times New Roman" w:hAnsi="Times New Roman" w:hint="eastAsia"/>
          <w:kern w:val="0"/>
          <w:sz w:val="24"/>
          <w:szCs w:val="24"/>
        </w:rPr>
        <w:t>，</w:t>
      </w:r>
      <w:r w:rsidR="008A5C14" w:rsidRPr="00EC0DED">
        <w:rPr>
          <w:rFonts w:ascii="Times New Roman" w:hAnsi="Times New Roman" w:hint="eastAsia"/>
          <w:kern w:val="0"/>
          <w:sz w:val="24"/>
          <w:szCs w:val="24"/>
        </w:rPr>
        <w:t>修订</w:t>
      </w:r>
      <w:r w:rsidR="008A5C14">
        <w:rPr>
          <w:rFonts w:ascii="Times New Roman" w:hAnsi="Times New Roman" w:hint="eastAsia"/>
          <w:kern w:val="0"/>
          <w:sz w:val="24"/>
          <w:szCs w:val="24"/>
        </w:rPr>
        <w:t>后</w:t>
      </w:r>
      <w:r w:rsidR="008A5C14" w:rsidRPr="00EC0DED">
        <w:rPr>
          <w:rFonts w:ascii="Times New Roman" w:hAnsi="Times New Roman" w:hint="eastAsia"/>
          <w:kern w:val="0"/>
          <w:sz w:val="24"/>
          <w:szCs w:val="24"/>
        </w:rPr>
        <w:t>的文件于</w:t>
      </w:r>
      <w:r w:rsidR="008A5C14" w:rsidRPr="00EC0DED">
        <w:rPr>
          <w:rFonts w:ascii="Times New Roman" w:hAnsi="Times New Roman"/>
          <w:kern w:val="0"/>
          <w:sz w:val="24"/>
          <w:szCs w:val="24"/>
        </w:rPr>
        <w:t>2020</w:t>
      </w:r>
      <w:r w:rsidR="008A5C14" w:rsidRPr="00EC0DED">
        <w:rPr>
          <w:rFonts w:ascii="Times New Roman" w:hAnsi="Times New Roman" w:hint="eastAsia"/>
          <w:kern w:val="0"/>
          <w:sz w:val="24"/>
          <w:szCs w:val="24"/>
        </w:rPr>
        <w:t>年</w:t>
      </w:r>
      <w:r w:rsidR="008A5C14">
        <w:rPr>
          <w:rFonts w:ascii="Times New Roman" w:hAnsi="Times New Roman" w:hint="eastAsia"/>
          <w:kern w:val="0"/>
          <w:sz w:val="24"/>
          <w:szCs w:val="24"/>
        </w:rPr>
        <w:t>8</w:t>
      </w:r>
      <w:r w:rsidR="008A5C14" w:rsidRPr="00EC0DED">
        <w:rPr>
          <w:rFonts w:ascii="Times New Roman" w:hAnsi="Times New Roman" w:hint="eastAsia"/>
          <w:kern w:val="0"/>
          <w:sz w:val="24"/>
          <w:szCs w:val="24"/>
        </w:rPr>
        <w:t>月</w:t>
      </w:r>
      <w:r w:rsidR="008A5C14">
        <w:rPr>
          <w:rFonts w:ascii="Times New Roman" w:hAnsi="Times New Roman" w:hint="eastAsia"/>
          <w:kern w:val="0"/>
          <w:sz w:val="24"/>
          <w:szCs w:val="24"/>
        </w:rPr>
        <w:t>7</w:t>
      </w:r>
      <w:r w:rsidR="008A5C14" w:rsidRPr="00EC0DED">
        <w:rPr>
          <w:rFonts w:ascii="Times New Roman" w:hAnsi="Times New Roman" w:hint="eastAsia"/>
          <w:kern w:val="0"/>
          <w:sz w:val="24"/>
          <w:szCs w:val="24"/>
        </w:rPr>
        <w:t>日起生效</w:t>
      </w:r>
      <w:r w:rsidRPr="008C36BD">
        <w:rPr>
          <w:rFonts w:ascii="Times New Roman" w:hAnsi="Times New Roman" w:hint="eastAsia"/>
          <w:kern w:val="0"/>
          <w:sz w:val="24"/>
          <w:szCs w:val="24"/>
        </w:rPr>
        <w:t>。</w:t>
      </w:r>
    </w:p>
    <w:p w14:paraId="3B4444F0" w14:textId="77777777" w:rsidR="00C61EDB" w:rsidRDefault="00C61EDB" w:rsidP="00760160">
      <w:pPr>
        <w:overflowPunct w:val="0"/>
        <w:spacing w:line="360" w:lineRule="auto"/>
        <w:ind w:firstLineChars="200" w:firstLine="482"/>
        <w:rPr>
          <w:rFonts w:ascii="Times New Roman"/>
          <w:b/>
          <w:sz w:val="24"/>
        </w:rPr>
      </w:pPr>
    </w:p>
    <w:p w14:paraId="70B1F2AE" w14:textId="08111A07" w:rsidR="00F043B6" w:rsidRPr="00760160" w:rsidRDefault="008C36BD" w:rsidP="00760160">
      <w:pPr>
        <w:overflowPunct w:val="0"/>
        <w:spacing w:line="360" w:lineRule="auto"/>
        <w:ind w:firstLineChars="200" w:firstLine="482"/>
        <w:rPr>
          <w:rFonts w:ascii="Times New Roman" w:hAnsi="Times New Roman"/>
          <w:b/>
          <w:kern w:val="0"/>
          <w:sz w:val="24"/>
          <w:szCs w:val="24"/>
        </w:rPr>
      </w:pPr>
      <w:r w:rsidRPr="00A425F2">
        <w:rPr>
          <w:rFonts w:ascii="Times New Roman" w:hint="eastAsia"/>
          <w:b/>
          <w:sz w:val="24"/>
        </w:rPr>
        <w:t>二、关于</w:t>
      </w:r>
      <w:r w:rsidR="008A5C14">
        <w:rPr>
          <w:rFonts w:ascii="Times New Roman" w:hint="eastAsia"/>
          <w:b/>
          <w:sz w:val="24"/>
        </w:rPr>
        <w:t>本基金</w:t>
      </w:r>
      <w:r w:rsidR="00F043B6" w:rsidRPr="00760160">
        <w:rPr>
          <w:rFonts w:ascii="Times New Roman" w:hAnsi="Times New Roman" w:hint="eastAsia"/>
          <w:b/>
          <w:kern w:val="0"/>
          <w:sz w:val="24"/>
          <w:szCs w:val="24"/>
        </w:rPr>
        <w:t>转型方案实施的安排</w:t>
      </w:r>
    </w:p>
    <w:p w14:paraId="1313FFA1" w14:textId="5A39F603" w:rsidR="00F043B6" w:rsidRPr="00D02928" w:rsidRDefault="00F043B6" w:rsidP="00760160">
      <w:pPr>
        <w:overflowPunct w:val="0"/>
        <w:spacing w:line="360" w:lineRule="auto"/>
        <w:ind w:firstLineChars="200" w:firstLine="480"/>
        <w:rPr>
          <w:rFonts w:ascii="Times New Roman" w:hAnsi="Times New Roman"/>
          <w:kern w:val="0"/>
          <w:sz w:val="24"/>
          <w:szCs w:val="24"/>
        </w:rPr>
      </w:pPr>
      <w:r w:rsidRPr="00D02928">
        <w:rPr>
          <w:rFonts w:ascii="Times New Roman" w:hAnsi="Times New Roman" w:hint="eastAsia"/>
          <w:kern w:val="0"/>
          <w:sz w:val="24"/>
          <w:szCs w:val="24"/>
        </w:rPr>
        <w:t>本基金</w:t>
      </w:r>
      <w:r w:rsidR="008C36BD">
        <w:rPr>
          <w:rFonts w:ascii="Times New Roman" w:hAnsi="Times New Roman" w:hint="eastAsia"/>
          <w:kern w:val="0"/>
          <w:sz w:val="24"/>
          <w:szCs w:val="24"/>
        </w:rPr>
        <w:t>转型实施前</w:t>
      </w:r>
      <w:r w:rsidRPr="00D02928">
        <w:rPr>
          <w:rFonts w:ascii="Times New Roman" w:hAnsi="Times New Roman" w:hint="eastAsia"/>
          <w:kern w:val="0"/>
          <w:sz w:val="24"/>
          <w:szCs w:val="24"/>
        </w:rPr>
        <w:t>的转型选择</w:t>
      </w:r>
      <w:r w:rsidRPr="00106F58">
        <w:rPr>
          <w:rFonts w:ascii="Times New Roman" w:hAnsi="Times New Roman" w:hint="eastAsia"/>
          <w:kern w:val="0"/>
          <w:sz w:val="24"/>
          <w:szCs w:val="24"/>
        </w:rPr>
        <w:t>期为</w:t>
      </w:r>
      <w:r w:rsidRPr="00106F58">
        <w:rPr>
          <w:rFonts w:ascii="Times New Roman" w:hAnsi="Times New Roman"/>
          <w:kern w:val="0"/>
          <w:sz w:val="24"/>
          <w:szCs w:val="24"/>
        </w:rPr>
        <w:t>2020</w:t>
      </w:r>
      <w:r w:rsidRPr="00106F58">
        <w:rPr>
          <w:rFonts w:ascii="Times New Roman" w:hAnsi="Times New Roman" w:hint="eastAsia"/>
          <w:kern w:val="0"/>
          <w:sz w:val="24"/>
          <w:szCs w:val="24"/>
        </w:rPr>
        <w:t>年</w:t>
      </w:r>
      <w:r w:rsidRPr="00106F58">
        <w:rPr>
          <w:rFonts w:ascii="Times New Roman" w:hAnsi="Times New Roman"/>
          <w:kern w:val="0"/>
          <w:sz w:val="24"/>
          <w:szCs w:val="24"/>
        </w:rPr>
        <w:t>7</w:t>
      </w:r>
      <w:r w:rsidRPr="00106F58">
        <w:rPr>
          <w:rFonts w:ascii="Times New Roman" w:hAnsi="Times New Roman" w:hint="eastAsia"/>
          <w:kern w:val="0"/>
          <w:sz w:val="24"/>
          <w:szCs w:val="24"/>
        </w:rPr>
        <w:t>月</w:t>
      </w:r>
      <w:r w:rsidRPr="00106F58">
        <w:rPr>
          <w:rFonts w:ascii="Times New Roman" w:hAnsi="Times New Roman" w:hint="eastAsia"/>
          <w:kern w:val="0"/>
          <w:sz w:val="24"/>
          <w:szCs w:val="24"/>
        </w:rPr>
        <w:t>8</w:t>
      </w:r>
      <w:r w:rsidRPr="00106F58">
        <w:rPr>
          <w:rFonts w:ascii="Times New Roman" w:hAnsi="Times New Roman" w:hint="eastAsia"/>
          <w:kern w:val="0"/>
          <w:sz w:val="24"/>
          <w:szCs w:val="24"/>
        </w:rPr>
        <w:t>日至</w:t>
      </w:r>
      <w:r w:rsidRPr="00106F58">
        <w:rPr>
          <w:rFonts w:ascii="Times New Roman" w:hAnsi="Times New Roman"/>
          <w:kern w:val="0"/>
          <w:sz w:val="24"/>
          <w:szCs w:val="24"/>
        </w:rPr>
        <w:t>2020</w:t>
      </w:r>
      <w:r w:rsidRPr="00106F58">
        <w:rPr>
          <w:rFonts w:ascii="Times New Roman" w:hAnsi="Times New Roman" w:hint="eastAsia"/>
          <w:kern w:val="0"/>
          <w:sz w:val="24"/>
          <w:szCs w:val="24"/>
        </w:rPr>
        <w:t>年</w:t>
      </w:r>
      <w:r w:rsidRPr="00106F58">
        <w:rPr>
          <w:rFonts w:ascii="Times New Roman" w:hAnsi="Times New Roman"/>
          <w:kern w:val="0"/>
          <w:sz w:val="24"/>
          <w:szCs w:val="24"/>
        </w:rPr>
        <w:t>8</w:t>
      </w:r>
      <w:r w:rsidRPr="00106F58">
        <w:rPr>
          <w:rFonts w:ascii="Times New Roman" w:hAnsi="Times New Roman" w:hint="eastAsia"/>
          <w:kern w:val="0"/>
          <w:sz w:val="24"/>
          <w:szCs w:val="24"/>
        </w:rPr>
        <w:t>月</w:t>
      </w:r>
      <w:r w:rsidRPr="00106F58">
        <w:rPr>
          <w:rFonts w:ascii="Times New Roman" w:hAnsi="Times New Roman" w:hint="eastAsia"/>
          <w:kern w:val="0"/>
          <w:sz w:val="24"/>
          <w:szCs w:val="24"/>
        </w:rPr>
        <w:t>4</w:t>
      </w:r>
      <w:r w:rsidRPr="00106F58">
        <w:rPr>
          <w:rFonts w:ascii="Times New Roman" w:hAnsi="Times New Roman" w:hint="eastAsia"/>
          <w:kern w:val="0"/>
          <w:sz w:val="24"/>
          <w:szCs w:val="24"/>
        </w:rPr>
        <w:t>日。</w:t>
      </w:r>
    </w:p>
    <w:p w14:paraId="28E9455C" w14:textId="6BCCA09F" w:rsidR="008C36BD" w:rsidRPr="00D02928" w:rsidRDefault="00F043B6" w:rsidP="00760160">
      <w:pPr>
        <w:overflowPunct w:val="0"/>
        <w:spacing w:line="360" w:lineRule="auto"/>
        <w:ind w:firstLineChars="200" w:firstLine="480"/>
        <w:rPr>
          <w:rFonts w:ascii="Times New Roman" w:hAnsi="Times New Roman"/>
          <w:kern w:val="0"/>
          <w:sz w:val="24"/>
          <w:szCs w:val="24"/>
        </w:rPr>
      </w:pPr>
      <w:r w:rsidRPr="00D02928">
        <w:rPr>
          <w:rFonts w:ascii="Times New Roman" w:hAnsi="Times New Roman" w:hint="eastAsia"/>
          <w:kern w:val="0"/>
          <w:sz w:val="24"/>
          <w:szCs w:val="24"/>
        </w:rPr>
        <w:t>选择期期间，</w:t>
      </w:r>
      <w:r w:rsidR="00F749FC" w:rsidRPr="00200C2B">
        <w:rPr>
          <w:rFonts w:ascii="Times New Roman" w:hAnsi="Times New Roman" w:hint="eastAsia"/>
          <w:sz w:val="24"/>
        </w:rPr>
        <w:t>易方达银行分级份额</w:t>
      </w:r>
      <w:r w:rsidR="003C771A" w:rsidRPr="00E85CE8">
        <w:rPr>
          <w:rFonts w:ascii="Times New Roman" w:hAnsi="Times New Roman" w:hint="eastAsia"/>
          <w:kern w:val="0"/>
          <w:sz w:val="24"/>
          <w:szCs w:val="24"/>
        </w:rPr>
        <w:t>（即基础份额</w:t>
      </w:r>
      <w:r w:rsidR="003C771A" w:rsidRPr="0055315B">
        <w:rPr>
          <w:rFonts w:ascii="Times New Roman" w:hAnsi="Times New Roman" w:hint="eastAsia"/>
          <w:kern w:val="0"/>
          <w:sz w:val="24"/>
          <w:szCs w:val="24"/>
        </w:rPr>
        <w:t>，基金代码：</w:t>
      </w:r>
      <w:r w:rsidR="003C771A" w:rsidRPr="0055315B">
        <w:rPr>
          <w:rFonts w:ascii="Times New Roman" w:hAnsi="Times New Roman" w:hint="eastAsia"/>
          <w:kern w:val="0"/>
          <w:sz w:val="24"/>
          <w:szCs w:val="24"/>
        </w:rPr>
        <w:t>161121</w:t>
      </w:r>
      <w:r w:rsidR="003C771A" w:rsidRPr="0055315B">
        <w:rPr>
          <w:rFonts w:ascii="Times New Roman" w:hAnsi="Times New Roman" w:hint="eastAsia"/>
          <w:kern w:val="0"/>
          <w:sz w:val="24"/>
          <w:szCs w:val="24"/>
        </w:rPr>
        <w:t>，场内简称“银行业”，包括场外份额、场内份额</w:t>
      </w:r>
      <w:r w:rsidR="003C771A" w:rsidRPr="00E85CE8">
        <w:rPr>
          <w:rFonts w:ascii="Times New Roman" w:hAnsi="Times New Roman" w:hint="eastAsia"/>
          <w:kern w:val="0"/>
          <w:sz w:val="24"/>
          <w:szCs w:val="24"/>
        </w:rPr>
        <w:t>）</w:t>
      </w:r>
      <w:r w:rsidRPr="00D02928">
        <w:rPr>
          <w:rFonts w:ascii="Times New Roman" w:hAnsi="Times New Roman" w:hint="eastAsia"/>
          <w:kern w:val="0"/>
          <w:sz w:val="24"/>
          <w:szCs w:val="24"/>
        </w:rPr>
        <w:t>的申购赎回</w:t>
      </w:r>
      <w:r w:rsidR="00107E78" w:rsidRPr="00107E78">
        <w:rPr>
          <w:rFonts w:ascii="Times New Roman" w:hAnsi="Times New Roman" w:hint="eastAsia"/>
          <w:kern w:val="0"/>
          <w:sz w:val="24"/>
          <w:szCs w:val="24"/>
        </w:rPr>
        <w:t>、转换</w:t>
      </w:r>
      <w:r w:rsidRPr="00D02928">
        <w:rPr>
          <w:rFonts w:ascii="Times New Roman" w:hAnsi="Times New Roman" w:hint="eastAsia"/>
          <w:kern w:val="0"/>
          <w:sz w:val="24"/>
          <w:szCs w:val="24"/>
        </w:rPr>
        <w:t>业务，以及</w:t>
      </w:r>
      <w:r w:rsidR="00F749FC" w:rsidRPr="00200C2B">
        <w:rPr>
          <w:rFonts w:ascii="Times New Roman" w:hAnsi="Times New Roman" w:hint="eastAsia"/>
          <w:sz w:val="24"/>
        </w:rPr>
        <w:t>易方达银行分级</w:t>
      </w:r>
      <w:r w:rsidR="00F749FC" w:rsidRPr="00200C2B">
        <w:rPr>
          <w:rFonts w:ascii="Times New Roman" w:hAnsi="Times New Roman" w:hint="eastAsia"/>
          <w:sz w:val="24"/>
        </w:rPr>
        <w:t>A</w:t>
      </w:r>
      <w:r w:rsidR="00F749FC" w:rsidRPr="00200C2B">
        <w:rPr>
          <w:rFonts w:ascii="Times New Roman" w:hAnsi="Times New Roman" w:hint="eastAsia"/>
          <w:sz w:val="24"/>
        </w:rPr>
        <w:t>类份额</w:t>
      </w:r>
      <w:r w:rsidR="003C771A" w:rsidRPr="0055315B">
        <w:rPr>
          <w:rFonts w:ascii="Times New Roman" w:hAnsi="Times New Roman" w:hint="eastAsia"/>
          <w:kern w:val="0"/>
          <w:sz w:val="24"/>
          <w:szCs w:val="24"/>
        </w:rPr>
        <w:t>（基金代码：</w:t>
      </w:r>
      <w:r w:rsidR="003C771A" w:rsidRPr="0055315B">
        <w:rPr>
          <w:rFonts w:ascii="Times New Roman" w:hAnsi="Times New Roman" w:hint="eastAsia"/>
          <w:kern w:val="0"/>
          <w:sz w:val="24"/>
          <w:szCs w:val="24"/>
        </w:rPr>
        <w:t>150255</w:t>
      </w:r>
      <w:r w:rsidR="003C771A" w:rsidRPr="0055315B">
        <w:rPr>
          <w:rFonts w:ascii="Times New Roman" w:hAnsi="Times New Roman" w:hint="eastAsia"/>
          <w:kern w:val="0"/>
          <w:sz w:val="24"/>
          <w:szCs w:val="24"/>
        </w:rPr>
        <w:t>，场内简称“银行业</w:t>
      </w:r>
      <w:r w:rsidR="003C771A" w:rsidRPr="0055315B">
        <w:rPr>
          <w:rFonts w:ascii="Times New Roman" w:hAnsi="Times New Roman" w:hint="eastAsia"/>
          <w:kern w:val="0"/>
          <w:sz w:val="24"/>
          <w:szCs w:val="24"/>
        </w:rPr>
        <w:t>A</w:t>
      </w:r>
      <w:r w:rsidR="003C771A" w:rsidRPr="0055315B">
        <w:rPr>
          <w:rFonts w:ascii="Times New Roman" w:hAnsi="Times New Roman" w:hint="eastAsia"/>
          <w:kern w:val="0"/>
          <w:sz w:val="24"/>
          <w:szCs w:val="24"/>
        </w:rPr>
        <w:t>”）</w:t>
      </w:r>
      <w:r w:rsidRPr="00D02928">
        <w:rPr>
          <w:rFonts w:ascii="Times New Roman" w:hAnsi="Times New Roman" w:hint="eastAsia"/>
          <w:kern w:val="0"/>
          <w:sz w:val="24"/>
          <w:szCs w:val="24"/>
        </w:rPr>
        <w:t>、</w:t>
      </w:r>
      <w:r w:rsidR="00F749FC" w:rsidRPr="00200C2B">
        <w:rPr>
          <w:rFonts w:ascii="Times New Roman" w:hAnsi="Times New Roman" w:hint="eastAsia"/>
          <w:sz w:val="24"/>
        </w:rPr>
        <w:t>易方达银行分级</w:t>
      </w:r>
      <w:r w:rsidR="00F749FC" w:rsidRPr="00200C2B">
        <w:rPr>
          <w:rFonts w:ascii="Times New Roman" w:hAnsi="Times New Roman" w:hint="eastAsia"/>
          <w:sz w:val="24"/>
        </w:rPr>
        <w:t>B</w:t>
      </w:r>
      <w:r w:rsidR="00F749FC" w:rsidRPr="00200C2B">
        <w:rPr>
          <w:rFonts w:ascii="Times New Roman" w:hAnsi="Times New Roman" w:hint="eastAsia"/>
          <w:sz w:val="24"/>
        </w:rPr>
        <w:t>类份额</w:t>
      </w:r>
      <w:r w:rsidR="003C771A" w:rsidRPr="0055315B">
        <w:rPr>
          <w:rFonts w:ascii="Times New Roman" w:hAnsi="Times New Roman" w:hint="eastAsia"/>
          <w:kern w:val="0"/>
          <w:sz w:val="24"/>
          <w:szCs w:val="24"/>
        </w:rPr>
        <w:t>（基金代码：</w:t>
      </w:r>
      <w:r w:rsidR="003C771A" w:rsidRPr="0055315B">
        <w:rPr>
          <w:rFonts w:ascii="Times New Roman" w:hAnsi="Times New Roman" w:hint="eastAsia"/>
          <w:kern w:val="0"/>
          <w:sz w:val="24"/>
          <w:szCs w:val="24"/>
        </w:rPr>
        <w:t>150256</w:t>
      </w:r>
      <w:r w:rsidR="003C771A" w:rsidRPr="0055315B">
        <w:rPr>
          <w:rFonts w:ascii="Times New Roman" w:hAnsi="Times New Roman" w:hint="eastAsia"/>
          <w:kern w:val="0"/>
          <w:sz w:val="24"/>
          <w:szCs w:val="24"/>
        </w:rPr>
        <w:t>，场内简称“银行业</w:t>
      </w:r>
      <w:r w:rsidR="003C771A" w:rsidRPr="0055315B">
        <w:rPr>
          <w:rFonts w:ascii="Times New Roman" w:hAnsi="Times New Roman" w:hint="eastAsia"/>
          <w:kern w:val="0"/>
          <w:sz w:val="24"/>
          <w:szCs w:val="24"/>
        </w:rPr>
        <w:t>B</w:t>
      </w:r>
      <w:r w:rsidR="003C771A" w:rsidRPr="0055315B">
        <w:rPr>
          <w:rFonts w:ascii="Times New Roman" w:hAnsi="Times New Roman" w:hint="eastAsia"/>
          <w:kern w:val="0"/>
          <w:sz w:val="24"/>
          <w:szCs w:val="24"/>
        </w:rPr>
        <w:t>”）</w:t>
      </w:r>
      <w:r w:rsidRPr="00D02928">
        <w:rPr>
          <w:rFonts w:ascii="Times New Roman" w:hAnsi="Times New Roman" w:hint="eastAsia"/>
          <w:kern w:val="0"/>
          <w:sz w:val="24"/>
          <w:szCs w:val="24"/>
        </w:rPr>
        <w:t>的交易、配对</w:t>
      </w:r>
      <w:r w:rsidRPr="00D02928">
        <w:rPr>
          <w:rFonts w:ascii="Times New Roman" w:hAnsi="Times New Roman" w:hint="eastAsia"/>
          <w:kern w:val="0"/>
          <w:sz w:val="24"/>
          <w:szCs w:val="24"/>
        </w:rPr>
        <w:lastRenderedPageBreak/>
        <w:t>转换业务照常办理。</w:t>
      </w:r>
      <w:bookmarkStart w:id="2" w:name="_Hlk44847463"/>
      <w:r w:rsidR="00620798" w:rsidRPr="00620798">
        <w:rPr>
          <w:rFonts w:ascii="Times New Roman" w:hAnsi="Times New Roman" w:hint="eastAsia"/>
          <w:kern w:val="0"/>
          <w:sz w:val="24"/>
          <w:szCs w:val="24"/>
        </w:rPr>
        <w:t>基金份额持有人在易方达银行指数分级证券投资基金正式转型前，可选择卖出易方达银行分级</w:t>
      </w:r>
      <w:r w:rsidR="00620798" w:rsidRPr="00620798">
        <w:rPr>
          <w:rFonts w:ascii="Times New Roman" w:hAnsi="Times New Roman" w:hint="eastAsia"/>
          <w:kern w:val="0"/>
          <w:sz w:val="24"/>
          <w:szCs w:val="24"/>
        </w:rPr>
        <w:t>A</w:t>
      </w:r>
      <w:r w:rsidR="00620798" w:rsidRPr="00620798">
        <w:rPr>
          <w:rFonts w:ascii="Times New Roman" w:hAnsi="Times New Roman" w:hint="eastAsia"/>
          <w:kern w:val="0"/>
          <w:sz w:val="24"/>
          <w:szCs w:val="24"/>
        </w:rPr>
        <w:t>类份额、易方达银行分级</w:t>
      </w:r>
      <w:r w:rsidR="00620798" w:rsidRPr="00620798">
        <w:rPr>
          <w:rFonts w:ascii="Times New Roman" w:hAnsi="Times New Roman" w:hint="eastAsia"/>
          <w:kern w:val="0"/>
          <w:sz w:val="24"/>
          <w:szCs w:val="24"/>
        </w:rPr>
        <w:t>B</w:t>
      </w:r>
      <w:r w:rsidR="00620798" w:rsidRPr="00620798">
        <w:rPr>
          <w:rFonts w:ascii="Times New Roman" w:hAnsi="Times New Roman" w:hint="eastAsia"/>
          <w:kern w:val="0"/>
          <w:sz w:val="24"/>
          <w:szCs w:val="24"/>
        </w:rPr>
        <w:t>类份额或赎回、转出易方达银行分级份额等方式退出。对于在选择期内未作出选择的基金份额持有人，其持有的易方达银行分级份额、易方达银行分级</w:t>
      </w:r>
      <w:r w:rsidR="00620798" w:rsidRPr="00620798">
        <w:rPr>
          <w:rFonts w:ascii="Times New Roman" w:hAnsi="Times New Roman" w:hint="eastAsia"/>
          <w:kern w:val="0"/>
          <w:sz w:val="24"/>
          <w:szCs w:val="24"/>
        </w:rPr>
        <w:t>A</w:t>
      </w:r>
      <w:r w:rsidR="00620798" w:rsidRPr="00620798">
        <w:rPr>
          <w:rFonts w:ascii="Times New Roman" w:hAnsi="Times New Roman" w:hint="eastAsia"/>
          <w:kern w:val="0"/>
          <w:sz w:val="24"/>
          <w:szCs w:val="24"/>
        </w:rPr>
        <w:t>类份额与易方达银行分级</w:t>
      </w:r>
      <w:r w:rsidR="00620798" w:rsidRPr="00620798">
        <w:rPr>
          <w:rFonts w:ascii="Times New Roman" w:hAnsi="Times New Roman" w:hint="eastAsia"/>
          <w:kern w:val="0"/>
          <w:sz w:val="24"/>
          <w:szCs w:val="24"/>
        </w:rPr>
        <w:t>B</w:t>
      </w:r>
      <w:r w:rsidR="00620798" w:rsidRPr="00620798">
        <w:rPr>
          <w:rFonts w:ascii="Times New Roman" w:hAnsi="Times New Roman" w:hint="eastAsia"/>
          <w:kern w:val="0"/>
          <w:sz w:val="24"/>
          <w:szCs w:val="24"/>
        </w:rPr>
        <w:t>类份额将最终转换为易方达中证银行指数证券投资基金（</w:t>
      </w:r>
      <w:r w:rsidR="00620798" w:rsidRPr="00620798">
        <w:rPr>
          <w:rFonts w:ascii="Times New Roman" w:hAnsi="Times New Roman" w:hint="eastAsia"/>
          <w:kern w:val="0"/>
          <w:sz w:val="24"/>
          <w:szCs w:val="24"/>
        </w:rPr>
        <w:t>LOF</w:t>
      </w:r>
      <w:r w:rsidR="00620798" w:rsidRPr="00620798">
        <w:rPr>
          <w:rFonts w:ascii="Times New Roman" w:hAnsi="Times New Roman" w:hint="eastAsia"/>
          <w:kern w:val="0"/>
          <w:sz w:val="24"/>
          <w:szCs w:val="24"/>
        </w:rPr>
        <w:t>）的</w:t>
      </w:r>
      <w:r w:rsidR="00620798" w:rsidRPr="00620798">
        <w:rPr>
          <w:rFonts w:ascii="Times New Roman" w:hAnsi="Times New Roman" w:hint="eastAsia"/>
          <w:kern w:val="0"/>
          <w:sz w:val="24"/>
          <w:szCs w:val="24"/>
        </w:rPr>
        <w:t>A</w:t>
      </w:r>
      <w:r w:rsidR="00620798" w:rsidRPr="00620798">
        <w:rPr>
          <w:rFonts w:ascii="Times New Roman" w:hAnsi="Times New Roman" w:hint="eastAsia"/>
          <w:kern w:val="0"/>
          <w:sz w:val="24"/>
          <w:szCs w:val="24"/>
        </w:rPr>
        <w:t>类基金份额。</w:t>
      </w:r>
    </w:p>
    <w:bookmarkEnd w:id="2"/>
    <w:p w14:paraId="7BFCE6B5" w14:textId="66840139" w:rsidR="00F043B6" w:rsidRDefault="00F043B6" w:rsidP="00760160">
      <w:pPr>
        <w:overflowPunct w:val="0"/>
        <w:spacing w:line="360" w:lineRule="auto"/>
        <w:ind w:firstLineChars="200" w:firstLine="480"/>
        <w:rPr>
          <w:rFonts w:ascii="Times New Roman" w:hAnsi="Times New Roman"/>
          <w:kern w:val="0"/>
          <w:sz w:val="24"/>
          <w:szCs w:val="24"/>
        </w:rPr>
      </w:pPr>
      <w:r w:rsidRPr="00D02928">
        <w:rPr>
          <w:rFonts w:ascii="Times New Roman" w:hAnsi="Times New Roman" w:hint="eastAsia"/>
          <w:kern w:val="0"/>
          <w:sz w:val="24"/>
          <w:szCs w:val="24"/>
        </w:rPr>
        <w:t>在选择期期间选择赎回的，仍适用</w:t>
      </w:r>
      <w:r w:rsidR="00F749FC">
        <w:rPr>
          <w:rFonts w:ascii="Times New Roman" w:hAnsi="Times New Roman" w:hint="eastAsia"/>
          <w:kern w:val="0"/>
          <w:sz w:val="24"/>
          <w:szCs w:val="24"/>
        </w:rPr>
        <w:t>易方达</w:t>
      </w:r>
      <w:r w:rsidRPr="00D02928">
        <w:rPr>
          <w:rFonts w:ascii="Times New Roman" w:hAnsi="Times New Roman" w:hint="eastAsia"/>
          <w:kern w:val="0"/>
          <w:sz w:val="24"/>
          <w:szCs w:val="24"/>
        </w:rPr>
        <w:t>银行指数分级证券投资基金的赎回费率和赎回费计入基金财产的比例。</w:t>
      </w:r>
    </w:p>
    <w:p w14:paraId="451570F2" w14:textId="77777777" w:rsidR="00C61EDB" w:rsidRDefault="00C61EDB" w:rsidP="00760160">
      <w:pPr>
        <w:overflowPunct w:val="0"/>
        <w:spacing w:line="360" w:lineRule="auto"/>
        <w:ind w:firstLineChars="200" w:firstLine="482"/>
        <w:rPr>
          <w:rFonts w:ascii="Times New Roman" w:hAnsi="Times New Roman"/>
          <w:b/>
          <w:kern w:val="0"/>
          <w:sz w:val="24"/>
          <w:szCs w:val="24"/>
        </w:rPr>
      </w:pPr>
    </w:p>
    <w:p w14:paraId="46872439" w14:textId="6187C124" w:rsidR="00F749FC" w:rsidRPr="00760160" w:rsidRDefault="00F749FC" w:rsidP="00760160">
      <w:pPr>
        <w:overflowPunct w:val="0"/>
        <w:spacing w:line="360" w:lineRule="auto"/>
        <w:ind w:firstLineChars="200" w:firstLine="482"/>
        <w:rPr>
          <w:rFonts w:ascii="Times New Roman" w:hAnsi="Times New Roman"/>
          <w:b/>
          <w:kern w:val="0"/>
          <w:sz w:val="24"/>
          <w:szCs w:val="24"/>
        </w:rPr>
      </w:pPr>
      <w:r w:rsidRPr="00760160">
        <w:rPr>
          <w:rFonts w:ascii="Times New Roman" w:hAnsi="Times New Roman" w:hint="eastAsia"/>
          <w:b/>
          <w:kern w:val="0"/>
          <w:sz w:val="24"/>
          <w:szCs w:val="24"/>
        </w:rPr>
        <w:t>三</w:t>
      </w:r>
      <w:r w:rsidR="008C36BD">
        <w:rPr>
          <w:rFonts w:ascii="Times New Roman" w:hAnsi="Times New Roman" w:hint="eastAsia"/>
          <w:b/>
          <w:kern w:val="0"/>
          <w:sz w:val="24"/>
          <w:szCs w:val="24"/>
        </w:rPr>
        <w:t>、</w:t>
      </w:r>
      <w:r w:rsidR="008A5C14">
        <w:rPr>
          <w:rFonts w:ascii="Times New Roman" w:hAnsi="Times New Roman" w:hint="eastAsia"/>
          <w:b/>
          <w:kern w:val="0"/>
          <w:sz w:val="24"/>
          <w:szCs w:val="24"/>
        </w:rPr>
        <w:t>关于</w:t>
      </w:r>
      <w:r w:rsidRPr="00760160">
        <w:rPr>
          <w:rFonts w:ascii="Times New Roman" w:hAnsi="Times New Roman" w:hint="eastAsia"/>
          <w:b/>
          <w:sz w:val="24"/>
        </w:rPr>
        <w:t>易方达银行分级</w:t>
      </w:r>
      <w:r w:rsidRPr="00760160">
        <w:rPr>
          <w:rFonts w:ascii="Times New Roman" w:hAnsi="Times New Roman" w:hint="eastAsia"/>
          <w:b/>
          <w:sz w:val="24"/>
        </w:rPr>
        <w:t>A</w:t>
      </w:r>
      <w:r w:rsidRPr="00760160">
        <w:rPr>
          <w:rFonts w:ascii="Times New Roman" w:hAnsi="Times New Roman" w:hint="eastAsia"/>
          <w:b/>
          <w:sz w:val="24"/>
        </w:rPr>
        <w:t>类份额</w:t>
      </w:r>
      <w:r w:rsidRPr="00760160">
        <w:rPr>
          <w:rFonts w:ascii="Times New Roman" w:hAnsi="Times New Roman" w:hint="eastAsia"/>
          <w:b/>
          <w:kern w:val="0"/>
          <w:sz w:val="24"/>
          <w:szCs w:val="24"/>
        </w:rPr>
        <w:t>与</w:t>
      </w:r>
      <w:r w:rsidRPr="00760160">
        <w:rPr>
          <w:rFonts w:ascii="Times New Roman" w:hAnsi="Times New Roman" w:hint="eastAsia"/>
          <w:b/>
          <w:sz w:val="24"/>
        </w:rPr>
        <w:t>易方达银行分级</w:t>
      </w:r>
      <w:r w:rsidRPr="00760160">
        <w:rPr>
          <w:rFonts w:ascii="Times New Roman" w:hAnsi="Times New Roman" w:hint="eastAsia"/>
          <w:b/>
          <w:sz w:val="24"/>
        </w:rPr>
        <w:t>B</w:t>
      </w:r>
      <w:r w:rsidRPr="00760160">
        <w:rPr>
          <w:rFonts w:ascii="Times New Roman" w:hAnsi="Times New Roman" w:hint="eastAsia"/>
          <w:b/>
          <w:sz w:val="24"/>
        </w:rPr>
        <w:t>类份额</w:t>
      </w:r>
      <w:r w:rsidRPr="00760160">
        <w:rPr>
          <w:rFonts w:ascii="Times New Roman" w:hAnsi="Times New Roman" w:hint="eastAsia"/>
          <w:b/>
          <w:kern w:val="0"/>
          <w:sz w:val="24"/>
          <w:szCs w:val="24"/>
        </w:rPr>
        <w:t>的终止上市</w:t>
      </w:r>
    </w:p>
    <w:p w14:paraId="1E3E1E84" w14:textId="7E9CEAD6" w:rsidR="008C36BD" w:rsidRPr="00D02928" w:rsidRDefault="00F749FC" w:rsidP="008C36BD">
      <w:pPr>
        <w:overflowPunct w:val="0"/>
        <w:spacing w:line="360" w:lineRule="auto"/>
        <w:ind w:firstLineChars="200" w:firstLine="480"/>
        <w:rPr>
          <w:rFonts w:ascii="Times New Roman" w:hAnsi="Times New Roman"/>
          <w:kern w:val="0"/>
          <w:sz w:val="24"/>
          <w:szCs w:val="24"/>
        </w:rPr>
      </w:pPr>
      <w:r w:rsidRPr="00D02928">
        <w:rPr>
          <w:rFonts w:ascii="Times New Roman" w:hAnsi="Times New Roman" w:hint="eastAsia"/>
          <w:kern w:val="0"/>
          <w:sz w:val="24"/>
          <w:szCs w:val="24"/>
        </w:rPr>
        <w:t>基金管理人</w:t>
      </w:r>
      <w:r w:rsidR="008C36BD">
        <w:rPr>
          <w:rFonts w:ascii="Times New Roman" w:hAnsi="Times New Roman" w:hint="eastAsia"/>
          <w:kern w:val="0"/>
          <w:sz w:val="24"/>
          <w:szCs w:val="24"/>
        </w:rPr>
        <w:t>已</w:t>
      </w:r>
      <w:r w:rsidRPr="00D02928">
        <w:rPr>
          <w:rFonts w:ascii="Times New Roman" w:hAnsi="Times New Roman" w:hint="eastAsia"/>
          <w:kern w:val="0"/>
          <w:sz w:val="24"/>
          <w:szCs w:val="24"/>
        </w:rPr>
        <w:t>按照深圳证券交易所的业务规则和《</w:t>
      </w:r>
      <w:r>
        <w:rPr>
          <w:rFonts w:ascii="Times New Roman" w:hAnsi="Times New Roman" w:hint="eastAsia"/>
          <w:kern w:val="0"/>
          <w:sz w:val="24"/>
          <w:szCs w:val="24"/>
        </w:rPr>
        <w:t>易方达</w:t>
      </w:r>
      <w:r w:rsidRPr="00D02928">
        <w:rPr>
          <w:rFonts w:ascii="Times New Roman" w:hAnsi="Times New Roman" w:hint="eastAsia"/>
          <w:kern w:val="0"/>
          <w:sz w:val="24"/>
          <w:szCs w:val="24"/>
        </w:rPr>
        <w:t>银行指数分级证券投资基金基金合同》等的有关规定向深圳证券交易所申请</w:t>
      </w:r>
      <w:r w:rsidRPr="00200C2B">
        <w:rPr>
          <w:rFonts w:ascii="Times New Roman" w:hAnsi="Times New Roman" w:hint="eastAsia"/>
          <w:sz w:val="24"/>
        </w:rPr>
        <w:t>易方达银行分级</w:t>
      </w:r>
      <w:r w:rsidRPr="00200C2B">
        <w:rPr>
          <w:rFonts w:ascii="Times New Roman" w:hAnsi="Times New Roman" w:hint="eastAsia"/>
          <w:sz w:val="24"/>
        </w:rPr>
        <w:t>A</w:t>
      </w:r>
      <w:r w:rsidRPr="00200C2B">
        <w:rPr>
          <w:rFonts w:ascii="Times New Roman" w:hAnsi="Times New Roman" w:hint="eastAsia"/>
          <w:sz w:val="24"/>
        </w:rPr>
        <w:t>类份额</w:t>
      </w:r>
      <w:r w:rsidRPr="00D02928">
        <w:rPr>
          <w:rFonts w:ascii="Times New Roman" w:hAnsi="Times New Roman" w:hint="eastAsia"/>
          <w:kern w:val="0"/>
          <w:sz w:val="24"/>
          <w:szCs w:val="24"/>
        </w:rPr>
        <w:t>与</w:t>
      </w:r>
      <w:r w:rsidRPr="00200C2B">
        <w:rPr>
          <w:rFonts w:ascii="Times New Roman" w:hAnsi="Times New Roman" w:hint="eastAsia"/>
          <w:sz w:val="24"/>
        </w:rPr>
        <w:t>易方达银行分级</w:t>
      </w:r>
      <w:r w:rsidRPr="00200C2B">
        <w:rPr>
          <w:rFonts w:ascii="Times New Roman" w:hAnsi="Times New Roman" w:hint="eastAsia"/>
          <w:sz w:val="24"/>
        </w:rPr>
        <w:t>B</w:t>
      </w:r>
      <w:r w:rsidRPr="00200C2B">
        <w:rPr>
          <w:rFonts w:ascii="Times New Roman" w:hAnsi="Times New Roman" w:hint="eastAsia"/>
          <w:sz w:val="24"/>
        </w:rPr>
        <w:t>类份额</w:t>
      </w:r>
      <w:r w:rsidRPr="00F749FC">
        <w:rPr>
          <w:rFonts w:ascii="Times New Roman" w:hAnsi="Times New Roman" w:hint="eastAsia"/>
          <w:kern w:val="0"/>
          <w:sz w:val="24"/>
          <w:szCs w:val="24"/>
        </w:rPr>
        <w:t>的终止上市。具体安排详见基金管理人</w:t>
      </w:r>
      <w:r w:rsidR="008C36BD">
        <w:rPr>
          <w:rFonts w:ascii="Times New Roman" w:hAnsi="Times New Roman" w:hint="eastAsia"/>
          <w:kern w:val="0"/>
          <w:sz w:val="24"/>
          <w:szCs w:val="24"/>
        </w:rPr>
        <w:t>2020</w:t>
      </w:r>
      <w:r w:rsidR="008C36BD">
        <w:rPr>
          <w:rFonts w:ascii="Times New Roman" w:hAnsi="Times New Roman" w:hint="eastAsia"/>
          <w:kern w:val="0"/>
          <w:sz w:val="24"/>
          <w:szCs w:val="24"/>
        </w:rPr>
        <w:t>年</w:t>
      </w:r>
      <w:r w:rsidR="008C36BD">
        <w:rPr>
          <w:rFonts w:ascii="Times New Roman" w:hAnsi="Times New Roman" w:hint="eastAsia"/>
          <w:kern w:val="0"/>
          <w:sz w:val="24"/>
          <w:szCs w:val="24"/>
        </w:rPr>
        <w:t>7</w:t>
      </w:r>
      <w:r w:rsidR="008C36BD">
        <w:rPr>
          <w:rFonts w:ascii="Times New Roman" w:hAnsi="Times New Roman" w:hint="eastAsia"/>
          <w:kern w:val="0"/>
          <w:sz w:val="24"/>
          <w:szCs w:val="24"/>
        </w:rPr>
        <w:t>月</w:t>
      </w:r>
      <w:r w:rsidR="008C36BD">
        <w:rPr>
          <w:rFonts w:ascii="Times New Roman" w:hAnsi="Times New Roman" w:hint="eastAsia"/>
          <w:kern w:val="0"/>
          <w:sz w:val="24"/>
          <w:szCs w:val="24"/>
        </w:rPr>
        <w:t>31</w:t>
      </w:r>
      <w:r w:rsidR="008C36BD">
        <w:rPr>
          <w:rFonts w:ascii="Times New Roman" w:hAnsi="Times New Roman" w:hint="eastAsia"/>
          <w:kern w:val="0"/>
          <w:sz w:val="24"/>
          <w:szCs w:val="24"/>
        </w:rPr>
        <w:t>日发布的《</w:t>
      </w:r>
      <w:r w:rsidR="008C36BD" w:rsidRPr="008C36BD">
        <w:rPr>
          <w:rFonts w:ascii="Times New Roman" w:hAnsi="Times New Roman" w:hint="eastAsia"/>
          <w:kern w:val="0"/>
          <w:sz w:val="24"/>
          <w:szCs w:val="24"/>
        </w:rPr>
        <w:t>关于易方达银行指数分级证券投资基金之银行业</w:t>
      </w:r>
      <w:r w:rsidR="008C36BD" w:rsidRPr="008C36BD">
        <w:rPr>
          <w:rFonts w:ascii="Times New Roman" w:hAnsi="Times New Roman" w:hint="eastAsia"/>
          <w:kern w:val="0"/>
          <w:sz w:val="24"/>
          <w:szCs w:val="24"/>
        </w:rPr>
        <w:t>A</w:t>
      </w:r>
      <w:r w:rsidR="008C36BD" w:rsidRPr="008C36BD">
        <w:rPr>
          <w:rFonts w:ascii="Times New Roman" w:hAnsi="Times New Roman" w:hint="eastAsia"/>
          <w:kern w:val="0"/>
          <w:sz w:val="24"/>
          <w:szCs w:val="24"/>
        </w:rPr>
        <w:t>份额、银行业</w:t>
      </w:r>
      <w:r w:rsidR="008C36BD" w:rsidRPr="008C36BD">
        <w:rPr>
          <w:rFonts w:ascii="Times New Roman" w:hAnsi="Times New Roman" w:hint="eastAsia"/>
          <w:kern w:val="0"/>
          <w:sz w:val="24"/>
          <w:szCs w:val="24"/>
        </w:rPr>
        <w:t>B</w:t>
      </w:r>
      <w:r w:rsidR="008C36BD" w:rsidRPr="008C36BD">
        <w:rPr>
          <w:rFonts w:ascii="Times New Roman" w:hAnsi="Times New Roman" w:hint="eastAsia"/>
          <w:kern w:val="0"/>
          <w:sz w:val="24"/>
          <w:szCs w:val="24"/>
        </w:rPr>
        <w:t>份额终止上市的公告</w:t>
      </w:r>
      <w:r w:rsidR="008C36BD">
        <w:rPr>
          <w:rFonts w:ascii="Times New Roman" w:hAnsi="Times New Roman" w:hint="eastAsia"/>
          <w:kern w:val="0"/>
          <w:sz w:val="24"/>
          <w:szCs w:val="24"/>
        </w:rPr>
        <w:t>》</w:t>
      </w:r>
      <w:r w:rsidRPr="00D02928">
        <w:rPr>
          <w:rFonts w:ascii="Times New Roman" w:hAnsi="Times New Roman" w:hint="eastAsia"/>
          <w:kern w:val="0"/>
          <w:sz w:val="24"/>
          <w:szCs w:val="24"/>
        </w:rPr>
        <w:t>。</w:t>
      </w:r>
    </w:p>
    <w:p w14:paraId="629AD1DF" w14:textId="77777777" w:rsidR="00C61EDB" w:rsidRDefault="00C61EDB" w:rsidP="00760160">
      <w:pPr>
        <w:overflowPunct w:val="0"/>
        <w:spacing w:line="360" w:lineRule="auto"/>
        <w:ind w:firstLineChars="200" w:firstLine="482"/>
        <w:rPr>
          <w:rFonts w:ascii="Times New Roman" w:hAnsi="Times New Roman"/>
          <w:b/>
          <w:kern w:val="0"/>
          <w:sz w:val="24"/>
          <w:szCs w:val="24"/>
        </w:rPr>
      </w:pPr>
    </w:p>
    <w:p w14:paraId="642DAB07" w14:textId="0359993F" w:rsidR="00F749FC" w:rsidRPr="00760160" w:rsidRDefault="00F749FC" w:rsidP="00760160">
      <w:pPr>
        <w:overflowPunct w:val="0"/>
        <w:spacing w:line="360" w:lineRule="auto"/>
        <w:ind w:firstLineChars="200" w:firstLine="482"/>
        <w:rPr>
          <w:rFonts w:ascii="Times New Roman" w:hAnsi="Times New Roman"/>
          <w:b/>
          <w:kern w:val="0"/>
          <w:sz w:val="24"/>
          <w:szCs w:val="24"/>
        </w:rPr>
      </w:pPr>
      <w:r w:rsidRPr="00760160">
        <w:rPr>
          <w:rFonts w:ascii="Times New Roman" w:hAnsi="Times New Roman" w:hint="eastAsia"/>
          <w:b/>
          <w:kern w:val="0"/>
          <w:sz w:val="24"/>
          <w:szCs w:val="24"/>
        </w:rPr>
        <w:t>四</w:t>
      </w:r>
      <w:r w:rsidR="008C36BD">
        <w:rPr>
          <w:rFonts w:ascii="Times New Roman" w:hAnsi="Times New Roman" w:hint="eastAsia"/>
          <w:b/>
          <w:kern w:val="0"/>
          <w:sz w:val="24"/>
          <w:szCs w:val="24"/>
        </w:rPr>
        <w:t>、</w:t>
      </w:r>
      <w:r w:rsidR="008A5C14">
        <w:rPr>
          <w:rFonts w:ascii="Times New Roman" w:hAnsi="Times New Roman" w:hint="eastAsia"/>
          <w:b/>
          <w:kern w:val="0"/>
          <w:sz w:val="24"/>
          <w:szCs w:val="24"/>
        </w:rPr>
        <w:t>关于</w:t>
      </w:r>
      <w:r w:rsidR="00D02928" w:rsidRPr="00760160">
        <w:rPr>
          <w:rFonts w:ascii="Times New Roman" w:hAnsi="Times New Roman" w:hint="eastAsia"/>
          <w:b/>
          <w:kern w:val="0"/>
          <w:sz w:val="24"/>
          <w:szCs w:val="24"/>
        </w:rPr>
        <w:t>易方达</w:t>
      </w:r>
      <w:r w:rsidRPr="00760160">
        <w:rPr>
          <w:rFonts w:ascii="Times New Roman" w:hAnsi="Times New Roman" w:hint="eastAsia"/>
          <w:b/>
          <w:kern w:val="0"/>
          <w:sz w:val="24"/>
          <w:szCs w:val="24"/>
        </w:rPr>
        <w:t>银行指数分级证券投资基金基金份额的转换</w:t>
      </w:r>
    </w:p>
    <w:p w14:paraId="758ACD41" w14:textId="0A91BFA0" w:rsidR="00172819" w:rsidRDefault="00172819" w:rsidP="00760160">
      <w:pPr>
        <w:overflowPunct w:val="0"/>
        <w:spacing w:line="360" w:lineRule="auto"/>
        <w:ind w:firstLineChars="200" w:firstLine="480"/>
        <w:rPr>
          <w:rFonts w:ascii="Times New Roman" w:eastAsiaTheme="minorEastAsia" w:hAnsi="Times New Roman"/>
          <w:bCs/>
          <w:sz w:val="24"/>
          <w:szCs w:val="24"/>
        </w:rPr>
      </w:pPr>
      <w:bookmarkStart w:id="3" w:name="_Hlk44848094"/>
      <w:r>
        <w:rPr>
          <w:rFonts w:ascii="Times New Roman" w:eastAsiaTheme="minorEastAsia" w:hAnsi="Times New Roman" w:hint="eastAsia"/>
          <w:bCs/>
          <w:sz w:val="24"/>
          <w:szCs w:val="24"/>
        </w:rPr>
        <w:t>本基金的</w:t>
      </w:r>
      <w:r w:rsidR="00D02928" w:rsidRPr="00106F58">
        <w:rPr>
          <w:rFonts w:ascii="Times New Roman" w:eastAsiaTheme="minorEastAsia" w:hAnsi="Times New Roman" w:hint="eastAsia"/>
          <w:bCs/>
          <w:sz w:val="24"/>
          <w:szCs w:val="24"/>
        </w:rPr>
        <w:t>基金份额转换基准日</w:t>
      </w:r>
      <w:r>
        <w:rPr>
          <w:rFonts w:ascii="Times New Roman" w:eastAsiaTheme="minorEastAsia" w:hAnsi="Times New Roman" w:hint="eastAsia"/>
          <w:bCs/>
          <w:sz w:val="24"/>
          <w:szCs w:val="24"/>
        </w:rPr>
        <w:t>为</w:t>
      </w:r>
      <w:r w:rsidRPr="00106F58">
        <w:rPr>
          <w:rFonts w:ascii="Times New Roman" w:eastAsiaTheme="minorEastAsia" w:hAnsi="Times New Roman" w:hint="eastAsia"/>
          <w:bCs/>
          <w:sz w:val="24"/>
          <w:szCs w:val="24"/>
        </w:rPr>
        <w:t>2020</w:t>
      </w:r>
      <w:r w:rsidRPr="00106F58">
        <w:rPr>
          <w:rFonts w:ascii="Times New Roman" w:eastAsiaTheme="minorEastAsia" w:hAnsi="Times New Roman" w:hint="eastAsia"/>
          <w:bCs/>
          <w:sz w:val="24"/>
          <w:szCs w:val="24"/>
        </w:rPr>
        <w:t>年</w:t>
      </w:r>
      <w:r w:rsidRPr="00106F58">
        <w:rPr>
          <w:rFonts w:ascii="Times New Roman" w:eastAsiaTheme="minorEastAsia" w:hAnsi="Times New Roman" w:hint="eastAsia"/>
          <w:bCs/>
          <w:sz w:val="24"/>
          <w:szCs w:val="24"/>
        </w:rPr>
        <w:t>8</w:t>
      </w:r>
      <w:r w:rsidRPr="00106F58">
        <w:rPr>
          <w:rFonts w:ascii="Times New Roman" w:eastAsiaTheme="minorEastAsia" w:hAnsi="Times New Roman" w:hint="eastAsia"/>
          <w:bCs/>
          <w:sz w:val="24"/>
          <w:szCs w:val="24"/>
        </w:rPr>
        <w:t>月</w:t>
      </w:r>
      <w:r w:rsidRPr="00106F58">
        <w:rPr>
          <w:rFonts w:ascii="Times New Roman" w:eastAsiaTheme="minorEastAsia" w:hAnsi="Times New Roman" w:hint="eastAsia"/>
          <w:bCs/>
          <w:sz w:val="24"/>
          <w:szCs w:val="24"/>
        </w:rPr>
        <w:t>5</w:t>
      </w:r>
      <w:r w:rsidRPr="00106F58">
        <w:rPr>
          <w:rFonts w:ascii="Times New Roman" w:eastAsiaTheme="minorEastAsia" w:hAnsi="Times New Roman" w:hint="eastAsia"/>
          <w:bCs/>
          <w:sz w:val="24"/>
          <w:szCs w:val="24"/>
        </w:rPr>
        <w:t>日</w:t>
      </w:r>
      <w:r w:rsidR="00620798" w:rsidRPr="00106F58">
        <w:rPr>
          <w:rFonts w:ascii="Times New Roman" w:eastAsiaTheme="minorEastAsia" w:hAnsi="Times New Roman" w:hint="eastAsia"/>
          <w:bCs/>
          <w:sz w:val="24"/>
          <w:szCs w:val="24"/>
        </w:rPr>
        <w:t>。</w:t>
      </w:r>
      <w:r w:rsidR="00D354F5">
        <w:rPr>
          <w:rFonts w:ascii="Times New Roman" w:eastAsiaTheme="minorEastAsia" w:hAnsi="Times New Roman" w:hint="eastAsia"/>
          <w:bCs/>
          <w:sz w:val="24"/>
          <w:szCs w:val="24"/>
        </w:rPr>
        <w:t>自</w:t>
      </w:r>
      <w:r w:rsidRPr="00172819">
        <w:rPr>
          <w:rFonts w:ascii="Times New Roman" w:eastAsiaTheme="minorEastAsia" w:hAnsi="Times New Roman" w:hint="eastAsia"/>
          <w:bCs/>
          <w:sz w:val="24"/>
          <w:szCs w:val="24"/>
        </w:rPr>
        <w:t>2020</w:t>
      </w:r>
      <w:r w:rsidRPr="00172819">
        <w:rPr>
          <w:rFonts w:ascii="Times New Roman" w:eastAsiaTheme="minorEastAsia" w:hAnsi="Times New Roman" w:hint="eastAsia"/>
          <w:bCs/>
          <w:sz w:val="24"/>
          <w:szCs w:val="24"/>
        </w:rPr>
        <w:t>年</w:t>
      </w:r>
      <w:r>
        <w:rPr>
          <w:rFonts w:ascii="Times New Roman" w:eastAsiaTheme="minorEastAsia" w:hAnsi="Times New Roman" w:hint="eastAsia"/>
          <w:bCs/>
          <w:sz w:val="24"/>
          <w:szCs w:val="24"/>
        </w:rPr>
        <w:t>8</w:t>
      </w:r>
      <w:r w:rsidRPr="00172819">
        <w:rPr>
          <w:rFonts w:ascii="Times New Roman" w:eastAsiaTheme="minorEastAsia" w:hAnsi="Times New Roman" w:hint="eastAsia"/>
          <w:bCs/>
          <w:sz w:val="24"/>
          <w:szCs w:val="24"/>
        </w:rPr>
        <w:t>月</w:t>
      </w:r>
      <w:r>
        <w:rPr>
          <w:rFonts w:ascii="Times New Roman" w:eastAsiaTheme="minorEastAsia" w:hAnsi="Times New Roman" w:hint="eastAsia"/>
          <w:bCs/>
          <w:sz w:val="24"/>
          <w:szCs w:val="24"/>
        </w:rPr>
        <w:t>5</w:t>
      </w:r>
      <w:r w:rsidRPr="00172819">
        <w:rPr>
          <w:rFonts w:ascii="Times New Roman" w:eastAsiaTheme="minorEastAsia" w:hAnsi="Times New Roman" w:hint="eastAsia"/>
          <w:bCs/>
          <w:sz w:val="24"/>
          <w:szCs w:val="24"/>
        </w:rPr>
        <w:t>日</w:t>
      </w:r>
      <w:r w:rsidR="00D354F5">
        <w:rPr>
          <w:rFonts w:ascii="Times New Roman" w:eastAsiaTheme="minorEastAsia" w:hAnsi="Times New Roman" w:hint="eastAsia"/>
          <w:bCs/>
          <w:sz w:val="24"/>
          <w:szCs w:val="24"/>
        </w:rPr>
        <w:t>起</w:t>
      </w:r>
      <w:r w:rsidR="005D1D7E" w:rsidRPr="005D1D7E">
        <w:rPr>
          <w:rFonts w:ascii="Times New Roman" w:eastAsiaTheme="minorEastAsia" w:hAnsi="Times New Roman" w:hint="eastAsia"/>
          <w:bCs/>
          <w:sz w:val="24"/>
          <w:szCs w:val="24"/>
        </w:rPr>
        <w:t>停止</w:t>
      </w:r>
      <w:r w:rsidRPr="00172819">
        <w:rPr>
          <w:rFonts w:ascii="Times New Roman" w:eastAsiaTheme="minorEastAsia" w:hAnsi="Times New Roman" w:hint="eastAsia"/>
          <w:bCs/>
          <w:sz w:val="24"/>
          <w:szCs w:val="24"/>
        </w:rPr>
        <w:t>办理</w:t>
      </w:r>
      <w:r w:rsidRPr="00200C2B">
        <w:rPr>
          <w:rFonts w:ascii="Times New Roman" w:hAnsi="Times New Roman" w:hint="eastAsia"/>
          <w:sz w:val="24"/>
        </w:rPr>
        <w:t>易方达银行分级份额</w:t>
      </w:r>
      <w:r w:rsidRPr="00172819">
        <w:rPr>
          <w:rFonts w:ascii="Times New Roman" w:eastAsiaTheme="minorEastAsia" w:hAnsi="Times New Roman" w:hint="eastAsia"/>
          <w:bCs/>
          <w:sz w:val="24"/>
          <w:szCs w:val="24"/>
        </w:rPr>
        <w:t>的申购、赎回、转换、定期定额投资和转托管</w:t>
      </w:r>
      <w:r w:rsidR="00107E78">
        <w:rPr>
          <w:rFonts w:ascii="Times New Roman" w:eastAsiaTheme="minorEastAsia" w:hAnsi="Times New Roman" w:hint="eastAsia"/>
          <w:bCs/>
          <w:sz w:val="24"/>
          <w:szCs w:val="24"/>
        </w:rPr>
        <w:t>（</w:t>
      </w:r>
      <w:r w:rsidR="00107E78">
        <w:rPr>
          <w:rFonts w:ascii="宋体" w:hAnsi="宋体" w:hint="eastAsia"/>
          <w:sz w:val="24"/>
        </w:rPr>
        <w:t>包括场外转托管和跨系统转托管）</w:t>
      </w:r>
      <w:r w:rsidRPr="00172819">
        <w:rPr>
          <w:rFonts w:ascii="Times New Roman" w:eastAsiaTheme="minorEastAsia" w:hAnsi="Times New Roman" w:hint="eastAsia"/>
          <w:bCs/>
          <w:sz w:val="24"/>
          <w:szCs w:val="24"/>
        </w:rPr>
        <w:t>等业务，</w:t>
      </w:r>
      <w:r w:rsidR="001B770B">
        <w:rPr>
          <w:rFonts w:ascii="Times New Roman" w:eastAsiaTheme="minorEastAsia" w:hAnsi="Times New Roman" w:hint="eastAsia"/>
          <w:bCs/>
          <w:sz w:val="24"/>
          <w:szCs w:val="24"/>
        </w:rPr>
        <w:t>并</w:t>
      </w:r>
      <w:r w:rsidRPr="00172819">
        <w:rPr>
          <w:rFonts w:ascii="Times New Roman" w:eastAsiaTheme="minorEastAsia" w:hAnsi="Times New Roman" w:hint="eastAsia"/>
          <w:bCs/>
          <w:sz w:val="24"/>
          <w:szCs w:val="24"/>
        </w:rPr>
        <w:t>自</w:t>
      </w:r>
      <w:r w:rsidRPr="00172819">
        <w:rPr>
          <w:rFonts w:ascii="Times New Roman" w:eastAsiaTheme="minorEastAsia" w:hAnsi="Times New Roman" w:hint="eastAsia"/>
          <w:bCs/>
          <w:sz w:val="24"/>
          <w:szCs w:val="24"/>
        </w:rPr>
        <w:t>2020</w:t>
      </w:r>
      <w:r w:rsidRPr="00172819">
        <w:rPr>
          <w:rFonts w:ascii="Times New Roman" w:eastAsiaTheme="minorEastAsia" w:hAnsi="Times New Roman" w:hint="eastAsia"/>
          <w:bCs/>
          <w:sz w:val="24"/>
          <w:szCs w:val="24"/>
        </w:rPr>
        <w:t>年</w:t>
      </w:r>
      <w:r>
        <w:rPr>
          <w:rFonts w:ascii="Times New Roman" w:eastAsiaTheme="minorEastAsia" w:hAnsi="Times New Roman" w:hint="eastAsia"/>
          <w:bCs/>
          <w:sz w:val="24"/>
          <w:szCs w:val="24"/>
        </w:rPr>
        <w:t>8</w:t>
      </w:r>
      <w:r w:rsidRPr="00172819">
        <w:rPr>
          <w:rFonts w:ascii="Times New Roman" w:eastAsiaTheme="minorEastAsia" w:hAnsi="Times New Roman" w:hint="eastAsia"/>
          <w:bCs/>
          <w:sz w:val="24"/>
          <w:szCs w:val="24"/>
        </w:rPr>
        <w:t>月</w:t>
      </w:r>
      <w:r>
        <w:rPr>
          <w:rFonts w:ascii="Times New Roman" w:eastAsiaTheme="minorEastAsia" w:hAnsi="Times New Roman" w:hint="eastAsia"/>
          <w:bCs/>
          <w:sz w:val="24"/>
          <w:szCs w:val="24"/>
        </w:rPr>
        <w:t>5</w:t>
      </w:r>
      <w:r w:rsidRPr="00172819">
        <w:rPr>
          <w:rFonts w:ascii="Times New Roman" w:eastAsiaTheme="minorEastAsia" w:hAnsi="Times New Roman" w:hint="eastAsia"/>
          <w:bCs/>
          <w:sz w:val="24"/>
          <w:szCs w:val="24"/>
        </w:rPr>
        <w:t>日起</w:t>
      </w:r>
      <w:r w:rsidR="005D1D7E">
        <w:rPr>
          <w:rFonts w:ascii="宋体" w:hAnsi="宋体" w:hint="eastAsia"/>
          <w:color w:val="000000"/>
          <w:sz w:val="24"/>
        </w:rPr>
        <w:t>停止</w:t>
      </w:r>
      <w:r w:rsidRPr="00172819">
        <w:rPr>
          <w:rFonts w:ascii="Times New Roman" w:eastAsiaTheme="minorEastAsia" w:hAnsi="Times New Roman" w:hint="eastAsia"/>
          <w:bCs/>
          <w:sz w:val="24"/>
          <w:szCs w:val="24"/>
        </w:rPr>
        <w:t>办理</w:t>
      </w:r>
      <w:r w:rsidR="00D354F5" w:rsidRPr="00D354F5">
        <w:rPr>
          <w:rFonts w:ascii="Times New Roman" w:eastAsiaTheme="minorEastAsia" w:hAnsi="Times New Roman" w:hint="eastAsia"/>
          <w:bCs/>
          <w:sz w:val="24"/>
          <w:szCs w:val="24"/>
        </w:rPr>
        <w:t>易方达银行指数分级</w:t>
      </w:r>
      <w:r w:rsidR="00D354F5" w:rsidRPr="00D354F5">
        <w:rPr>
          <w:rFonts w:ascii="Times New Roman" w:eastAsiaTheme="minorEastAsia" w:hAnsi="Times New Roman" w:hint="eastAsia"/>
          <w:bCs/>
          <w:sz w:val="24"/>
          <w:szCs w:val="24"/>
        </w:rPr>
        <w:t>A</w:t>
      </w:r>
      <w:r w:rsidR="00D354F5" w:rsidRPr="00D354F5">
        <w:rPr>
          <w:rFonts w:ascii="Times New Roman" w:eastAsiaTheme="minorEastAsia" w:hAnsi="Times New Roman" w:hint="eastAsia"/>
          <w:bCs/>
          <w:sz w:val="24"/>
          <w:szCs w:val="24"/>
        </w:rPr>
        <w:t>类份额、易方达银行指数分级</w:t>
      </w:r>
      <w:r w:rsidR="00D354F5" w:rsidRPr="00D354F5">
        <w:rPr>
          <w:rFonts w:ascii="Times New Roman" w:eastAsiaTheme="minorEastAsia" w:hAnsi="Times New Roman" w:hint="eastAsia"/>
          <w:bCs/>
          <w:sz w:val="24"/>
          <w:szCs w:val="24"/>
        </w:rPr>
        <w:t>B</w:t>
      </w:r>
      <w:r w:rsidR="00D354F5" w:rsidRPr="00D354F5">
        <w:rPr>
          <w:rFonts w:ascii="Times New Roman" w:eastAsiaTheme="minorEastAsia" w:hAnsi="Times New Roman" w:hint="eastAsia"/>
          <w:bCs/>
          <w:sz w:val="24"/>
          <w:szCs w:val="24"/>
        </w:rPr>
        <w:t>类份额与易方达银行指数分级份额</w:t>
      </w:r>
      <w:r w:rsidR="00D354F5">
        <w:rPr>
          <w:rFonts w:ascii="Times New Roman" w:eastAsiaTheme="minorEastAsia" w:hAnsi="Times New Roman" w:hint="eastAsia"/>
          <w:bCs/>
          <w:sz w:val="24"/>
          <w:szCs w:val="24"/>
        </w:rPr>
        <w:t>的</w:t>
      </w:r>
      <w:r w:rsidRPr="00172819">
        <w:rPr>
          <w:rFonts w:ascii="Times New Roman" w:eastAsiaTheme="minorEastAsia" w:hAnsi="Times New Roman" w:hint="eastAsia"/>
          <w:bCs/>
          <w:sz w:val="24"/>
          <w:szCs w:val="24"/>
        </w:rPr>
        <w:t>基金份额</w:t>
      </w:r>
      <w:r w:rsidR="00107E78">
        <w:rPr>
          <w:rFonts w:ascii="Times New Roman" w:eastAsiaTheme="minorEastAsia" w:hAnsi="Times New Roman" w:hint="eastAsia"/>
          <w:bCs/>
          <w:sz w:val="24"/>
          <w:szCs w:val="24"/>
        </w:rPr>
        <w:t>配对转换</w:t>
      </w:r>
      <w:r w:rsidRPr="00172819">
        <w:rPr>
          <w:rFonts w:ascii="Times New Roman" w:eastAsiaTheme="minorEastAsia" w:hAnsi="Times New Roman" w:hint="eastAsia"/>
          <w:bCs/>
          <w:sz w:val="24"/>
          <w:szCs w:val="24"/>
        </w:rPr>
        <w:t>业务。基金转型完毕后，</w:t>
      </w:r>
      <w:r w:rsidRPr="00200C2B">
        <w:rPr>
          <w:rFonts w:ascii="Times New Roman" w:eastAsiaTheme="minorEastAsia" w:hAnsi="Times New Roman" w:hint="eastAsia"/>
          <w:bCs/>
          <w:sz w:val="24"/>
          <w:szCs w:val="24"/>
        </w:rPr>
        <w:t>易方达中证银行指数证券投资基金（</w:t>
      </w:r>
      <w:r w:rsidRPr="00200C2B">
        <w:rPr>
          <w:rFonts w:ascii="Times New Roman" w:eastAsiaTheme="minorEastAsia" w:hAnsi="Times New Roman"/>
          <w:bCs/>
          <w:sz w:val="24"/>
          <w:szCs w:val="24"/>
        </w:rPr>
        <w:t>LOF</w:t>
      </w:r>
      <w:r w:rsidRPr="00200C2B">
        <w:rPr>
          <w:rFonts w:ascii="Times New Roman" w:eastAsiaTheme="minorEastAsia" w:hAnsi="Times New Roman" w:hint="eastAsia"/>
          <w:bCs/>
          <w:sz w:val="24"/>
          <w:szCs w:val="24"/>
        </w:rPr>
        <w:t>）</w:t>
      </w:r>
      <w:r w:rsidR="00EA7AC5" w:rsidRPr="00200C2B">
        <w:rPr>
          <w:rFonts w:ascii="Times New Roman" w:eastAsiaTheme="minorEastAsia" w:hAnsi="Times New Roman" w:hint="eastAsia"/>
          <w:bCs/>
          <w:sz w:val="24"/>
          <w:szCs w:val="24"/>
        </w:rPr>
        <w:t>A</w:t>
      </w:r>
      <w:r w:rsidR="00EA7AC5" w:rsidRPr="00200C2B">
        <w:rPr>
          <w:rFonts w:ascii="Times New Roman" w:eastAsiaTheme="minorEastAsia" w:hAnsi="Times New Roman" w:hint="eastAsia"/>
          <w:bCs/>
          <w:sz w:val="24"/>
          <w:szCs w:val="24"/>
        </w:rPr>
        <w:t>类基金份额</w:t>
      </w:r>
      <w:r w:rsidRPr="00172819">
        <w:rPr>
          <w:rFonts w:ascii="Times New Roman" w:eastAsiaTheme="minorEastAsia" w:hAnsi="Times New Roman" w:hint="eastAsia"/>
          <w:bCs/>
          <w:sz w:val="24"/>
          <w:szCs w:val="24"/>
        </w:rPr>
        <w:t>于</w:t>
      </w:r>
      <w:r w:rsidRPr="00172819">
        <w:rPr>
          <w:rFonts w:ascii="Times New Roman" w:eastAsiaTheme="minorEastAsia" w:hAnsi="Times New Roman" w:hint="eastAsia"/>
          <w:bCs/>
          <w:sz w:val="24"/>
          <w:szCs w:val="24"/>
        </w:rPr>
        <w:t>2020</w:t>
      </w:r>
      <w:r w:rsidRPr="00172819">
        <w:rPr>
          <w:rFonts w:ascii="Times New Roman" w:eastAsiaTheme="minorEastAsia" w:hAnsi="Times New Roman" w:hint="eastAsia"/>
          <w:bCs/>
          <w:sz w:val="24"/>
          <w:szCs w:val="24"/>
        </w:rPr>
        <w:t>年</w:t>
      </w:r>
      <w:r>
        <w:rPr>
          <w:rFonts w:ascii="Times New Roman" w:eastAsiaTheme="minorEastAsia" w:hAnsi="Times New Roman" w:hint="eastAsia"/>
          <w:bCs/>
          <w:sz w:val="24"/>
          <w:szCs w:val="24"/>
        </w:rPr>
        <w:t>8</w:t>
      </w:r>
      <w:r w:rsidRPr="00172819">
        <w:rPr>
          <w:rFonts w:ascii="Times New Roman" w:eastAsiaTheme="minorEastAsia" w:hAnsi="Times New Roman" w:hint="eastAsia"/>
          <w:bCs/>
          <w:sz w:val="24"/>
          <w:szCs w:val="24"/>
        </w:rPr>
        <w:t>月</w:t>
      </w:r>
      <w:r>
        <w:rPr>
          <w:rFonts w:ascii="Times New Roman" w:eastAsiaTheme="minorEastAsia" w:hAnsi="Times New Roman" w:hint="eastAsia"/>
          <w:bCs/>
          <w:sz w:val="24"/>
          <w:szCs w:val="24"/>
        </w:rPr>
        <w:t>7</w:t>
      </w:r>
      <w:r w:rsidRPr="00172819">
        <w:rPr>
          <w:rFonts w:ascii="Times New Roman" w:eastAsiaTheme="minorEastAsia" w:hAnsi="Times New Roman" w:hint="eastAsia"/>
          <w:bCs/>
          <w:sz w:val="24"/>
          <w:szCs w:val="24"/>
        </w:rPr>
        <w:t>日</w:t>
      </w:r>
      <w:r w:rsidR="00D354F5">
        <w:rPr>
          <w:rFonts w:ascii="Times New Roman" w:eastAsiaTheme="minorEastAsia" w:hAnsi="Times New Roman" w:hint="eastAsia"/>
          <w:bCs/>
          <w:sz w:val="24"/>
          <w:szCs w:val="24"/>
        </w:rPr>
        <w:t>起</w:t>
      </w:r>
      <w:r w:rsidR="005D1D7E">
        <w:rPr>
          <w:rFonts w:ascii="Times New Roman" w:eastAsiaTheme="minorEastAsia" w:hAnsi="Times New Roman" w:hint="eastAsia"/>
          <w:bCs/>
          <w:sz w:val="24"/>
          <w:szCs w:val="24"/>
        </w:rPr>
        <w:t>开始</w:t>
      </w:r>
      <w:r w:rsidRPr="00172819">
        <w:rPr>
          <w:rFonts w:ascii="Times New Roman" w:eastAsiaTheme="minorEastAsia" w:hAnsi="Times New Roman" w:hint="eastAsia"/>
          <w:bCs/>
          <w:sz w:val="24"/>
          <w:szCs w:val="24"/>
        </w:rPr>
        <w:t>办理申购、赎回、转换、定期定额投资、转托管</w:t>
      </w:r>
      <w:r w:rsidR="00107E78">
        <w:rPr>
          <w:rFonts w:ascii="Times New Roman" w:eastAsiaTheme="minorEastAsia" w:hAnsi="Times New Roman" w:hint="eastAsia"/>
          <w:bCs/>
          <w:sz w:val="24"/>
          <w:szCs w:val="24"/>
        </w:rPr>
        <w:t>（</w:t>
      </w:r>
      <w:r w:rsidR="00107E78">
        <w:rPr>
          <w:rFonts w:ascii="宋体" w:hAnsi="宋体" w:hint="eastAsia"/>
          <w:sz w:val="24"/>
        </w:rPr>
        <w:t>包括场外转托管和跨系统转托管）</w:t>
      </w:r>
      <w:r w:rsidRPr="00172819">
        <w:rPr>
          <w:rFonts w:ascii="Times New Roman" w:eastAsiaTheme="minorEastAsia" w:hAnsi="Times New Roman" w:hint="eastAsia"/>
          <w:bCs/>
          <w:sz w:val="24"/>
          <w:szCs w:val="24"/>
        </w:rPr>
        <w:t>等业务。</w:t>
      </w:r>
    </w:p>
    <w:p w14:paraId="43458215" w14:textId="51294F05" w:rsidR="00D02928" w:rsidRPr="00200C2B" w:rsidRDefault="00D0292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在基金份额转换基准日日终，</w:t>
      </w:r>
      <w:r w:rsidRPr="00200C2B">
        <w:rPr>
          <w:rFonts w:ascii="Times New Roman" w:eastAsiaTheme="minorEastAsia" w:hAnsi="Times New Roman"/>
          <w:bCs/>
          <w:sz w:val="24"/>
          <w:szCs w:val="24"/>
        </w:rPr>
        <w:t>以</w:t>
      </w:r>
      <w:r w:rsidRPr="00200C2B">
        <w:rPr>
          <w:rFonts w:ascii="Times New Roman" w:hAnsi="Times New Roman" w:hint="eastAsia"/>
          <w:kern w:val="0"/>
          <w:sz w:val="24"/>
          <w:szCs w:val="24"/>
        </w:rPr>
        <w:t>易方达银行分级份额</w:t>
      </w:r>
      <w:r w:rsidRPr="00200C2B">
        <w:rPr>
          <w:rFonts w:ascii="Times New Roman" w:eastAsiaTheme="minorEastAsia" w:hAnsi="Times New Roman"/>
          <w:bCs/>
          <w:sz w:val="24"/>
          <w:szCs w:val="24"/>
        </w:rPr>
        <w:t>的基金份额净值为基准，</w:t>
      </w: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bCs/>
          <w:sz w:val="24"/>
          <w:szCs w:val="24"/>
        </w:rPr>
        <w:t>A</w:t>
      </w:r>
      <w:r w:rsidRPr="00200C2B">
        <w:rPr>
          <w:rFonts w:ascii="Times New Roman" w:eastAsiaTheme="minorEastAsia" w:hAnsi="Times New Roman" w:hint="eastAsia"/>
          <w:bCs/>
          <w:sz w:val="24"/>
          <w:szCs w:val="24"/>
        </w:rPr>
        <w:t>类份额、易方达银行分级</w:t>
      </w:r>
      <w:r w:rsidRPr="00200C2B">
        <w:rPr>
          <w:rFonts w:ascii="Times New Roman" w:eastAsiaTheme="minorEastAsia" w:hAnsi="Times New Roman"/>
          <w:bCs/>
          <w:sz w:val="24"/>
          <w:szCs w:val="24"/>
        </w:rPr>
        <w:t>B</w:t>
      </w:r>
      <w:r w:rsidRPr="00200C2B">
        <w:rPr>
          <w:rFonts w:ascii="Times New Roman" w:eastAsiaTheme="minorEastAsia" w:hAnsi="Times New Roman" w:hint="eastAsia"/>
          <w:bCs/>
          <w:sz w:val="24"/>
          <w:szCs w:val="24"/>
        </w:rPr>
        <w:t>类份额</w:t>
      </w:r>
      <w:r w:rsidRPr="00200C2B">
        <w:rPr>
          <w:rFonts w:ascii="Times New Roman" w:eastAsiaTheme="minorEastAsia" w:hAnsi="Times New Roman"/>
          <w:bCs/>
          <w:sz w:val="24"/>
          <w:szCs w:val="24"/>
        </w:rPr>
        <w:t>按照各自的基金份额参考净值转换成</w:t>
      </w:r>
      <w:r w:rsidRPr="00200C2B">
        <w:rPr>
          <w:rFonts w:ascii="Times New Roman" w:eastAsiaTheme="minorEastAsia" w:hAnsi="Times New Roman" w:hint="eastAsia"/>
          <w:bCs/>
          <w:sz w:val="24"/>
          <w:szCs w:val="24"/>
        </w:rPr>
        <w:t>易方达中证银行指数证券投资基金（</w:t>
      </w:r>
      <w:r w:rsidRPr="00200C2B">
        <w:rPr>
          <w:rFonts w:ascii="Times New Roman" w:eastAsiaTheme="minorEastAsia" w:hAnsi="Times New Roman"/>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类基金份额的场内份额，</w:t>
      </w:r>
      <w:r w:rsidRPr="00200C2B">
        <w:rPr>
          <w:rFonts w:ascii="Times New Roman" w:eastAsiaTheme="minorEastAsia" w:hAnsi="Times New Roman"/>
          <w:bCs/>
          <w:sz w:val="24"/>
          <w:szCs w:val="24"/>
        </w:rPr>
        <w:t>份额转换计算公式如下：</w:t>
      </w:r>
    </w:p>
    <w:p w14:paraId="5C9C3785" w14:textId="38C96036" w:rsidR="00D02928" w:rsidRPr="00200C2B" w:rsidRDefault="00D0292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bCs/>
          <w:sz w:val="24"/>
          <w:szCs w:val="24"/>
        </w:rPr>
        <w:t>A</w:t>
      </w:r>
      <w:r w:rsidRPr="00200C2B">
        <w:rPr>
          <w:rFonts w:ascii="Times New Roman" w:eastAsiaTheme="minorEastAsia" w:hAnsi="Times New Roman" w:hint="eastAsia"/>
          <w:bCs/>
          <w:sz w:val="24"/>
          <w:szCs w:val="24"/>
        </w:rPr>
        <w:t>类份额（或易方达银行分级</w:t>
      </w:r>
      <w:r w:rsidRPr="00200C2B">
        <w:rPr>
          <w:rFonts w:ascii="Times New Roman" w:eastAsiaTheme="minorEastAsia" w:hAnsi="Times New Roman"/>
          <w:bCs/>
          <w:sz w:val="24"/>
          <w:szCs w:val="24"/>
        </w:rPr>
        <w:t>B</w:t>
      </w:r>
      <w:r w:rsidRPr="00200C2B">
        <w:rPr>
          <w:rFonts w:ascii="Times New Roman" w:eastAsiaTheme="minorEastAsia" w:hAnsi="Times New Roman" w:hint="eastAsia"/>
          <w:bCs/>
          <w:sz w:val="24"/>
          <w:szCs w:val="24"/>
        </w:rPr>
        <w:t>类份额）的转换比例＝基金份额转换基准日易方达银行分级</w:t>
      </w:r>
      <w:r w:rsidRPr="00200C2B">
        <w:rPr>
          <w:rFonts w:ascii="Times New Roman" w:eastAsiaTheme="minorEastAsia" w:hAnsi="Times New Roman"/>
          <w:bCs/>
          <w:sz w:val="24"/>
          <w:szCs w:val="24"/>
        </w:rPr>
        <w:t>A</w:t>
      </w:r>
      <w:r w:rsidRPr="00200C2B">
        <w:rPr>
          <w:rFonts w:ascii="Times New Roman" w:eastAsiaTheme="minorEastAsia" w:hAnsi="Times New Roman" w:hint="eastAsia"/>
          <w:bCs/>
          <w:sz w:val="24"/>
          <w:szCs w:val="24"/>
        </w:rPr>
        <w:t>类份额（或易方达银行分级</w:t>
      </w:r>
      <w:r w:rsidRPr="00200C2B">
        <w:rPr>
          <w:rFonts w:ascii="Times New Roman" w:eastAsiaTheme="minorEastAsia" w:hAnsi="Times New Roman"/>
          <w:bCs/>
          <w:sz w:val="24"/>
          <w:szCs w:val="24"/>
        </w:rPr>
        <w:t>B</w:t>
      </w:r>
      <w:r w:rsidRPr="00200C2B">
        <w:rPr>
          <w:rFonts w:ascii="Times New Roman" w:eastAsiaTheme="minorEastAsia" w:hAnsi="Times New Roman" w:hint="eastAsia"/>
          <w:bCs/>
          <w:sz w:val="24"/>
          <w:szCs w:val="24"/>
        </w:rPr>
        <w:t>类份额）的</w:t>
      </w:r>
      <w:r w:rsidRPr="004506F6">
        <w:rPr>
          <w:rFonts w:ascii="Times New Roman" w:eastAsiaTheme="minorEastAsia" w:hAnsi="Times New Roman"/>
          <w:bCs/>
          <w:sz w:val="24"/>
          <w:szCs w:val="24"/>
        </w:rPr>
        <w:lastRenderedPageBreak/>
        <w:t>基金份额参考净值</w:t>
      </w:r>
      <w:r w:rsidRPr="00200C2B">
        <w:rPr>
          <w:rFonts w:ascii="Times New Roman" w:eastAsiaTheme="minorEastAsia" w:hAnsi="Times New Roman"/>
          <w:bCs/>
          <w:sz w:val="24"/>
          <w:szCs w:val="24"/>
        </w:rPr>
        <w:t>/</w:t>
      </w:r>
      <w:r w:rsidRPr="00200C2B">
        <w:rPr>
          <w:rFonts w:ascii="Times New Roman" w:eastAsiaTheme="minorEastAsia" w:hAnsi="Times New Roman" w:hint="eastAsia"/>
          <w:bCs/>
          <w:sz w:val="24"/>
          <w:szCs w:val="24"/>
        </w:rPr>
        <w:t>基金份额转换基准日</w:t>
      </w:r>
      <w:r w:rsidRPr="00200C2B">
        <w:rPr>
          <w:rFonts w:ascii="Times New Roman" w:hAnsi="Times New Roman" w:hint="eastAsia"/>
          <w:kern w:val="0"/>
          <w:sz w:val="24"/>
          <w:szCs w:val="24"/>
        </w:rPr>
        <w:t>易方达银行分级份额</w:t>
      </w:r>
      <w:r w:rsidRPr="00200C2B">
        <w:rPr>
          <w:rFonts w:ascii="Times New Roman" w:eastAsiaTheme="minorEastAsia" w:hAnsi="Times New Roman" w:hint="eastAsia"/>
          <w:bCs/>
          <w:sz w:val="24"/>
          <w:szCs w:val="24"/>
        </w:rPr>
        <w:t>的基金份额净值</w:t>
      </w:r>
    </w:p>
    <w:p w14:paraId="700AC5A0" w14:textId="2144BFCE" w:rsidR="00D02928" w:rsidRPr="00200C2B" w:rsidRDefault="00D0292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bCs/>
          <w:sz w:val="24"/>
          <w:szCs w:val="24"/>
        </w:rPr>
        <w:t>A</w:t>
      </w:r>
      <w:r w:rsidRPr="00200C2B">
        <w:rPr>
          <w:rFonts w:ascii="Times New Roman" w:eastAsiaTheme="minorEastAsia" w:hAnsi="Times New Roman" w:hint="eastAsia"/>
          <w:bCs/>
          <w:sz w:val="24"/>
          <w:szCs w:val="24"/>
        </w:rPr>
        <w:t>类份额</w:t>
      </w:r>
      <w:r w:rsidRPr="00200C2B">
        <w:rPr>
          <w:rFonts w:ascii="Times New Roman" w:eastAsiaTheme="minorEastAsia" w:hAnsi="Times New Roman"/>
          <w:bCs/>
          <w:sz w:val="24"/>
          <w:szCs w:val="24"/>
        </w:rPr>
        <w:t>（或</w:t>
      </w: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bCs/>
          <w:sz w:val="24"/>
          <w:szCs w:val="24"/>
        </w:rPr>
        <w:t>B</w:t>
      </w:r>
      <w:r w:rsidRPr="00200C2B">
        <w:rPr>
          <w:rFonts w:ascii="Times New Roman" w:eastAsiaTheme="minorEastAsia" w:hAnsi="Times New Roman" w:hint="eastAsia"/>
          <w:bCs/>
          <w:sz w:val="24"/>
          <w:szCs w:val="24"/>
        </w:rPr>
        <w:t>类份额</w:t>
      </w:r>
      <w:r w:rsidRPr="00200C2B">
        <w:rPr>
          <w:rFonts w:ascii="Times New Roman" w:eastAsiaTheme="minorEastAsia" w:hAnsi="Times New Roman"/>
          <w:bCs/>
          <w:sz w:val="24"/>
          <w:szCs w:val="24"/>
        </w:rPr>
        <w:t>）基金份额持有人持有的转换后</w:t>
      </w:r>
      <w:r w:rsidRPr="00200C2B">
        <w:rPr>
          <w:rFonts w:ascii="Times New Roman" w:eastAsiaTheme="minorEastAsia" w:hAnsi="Times New Roman" w:hint="eastAsia"/>
          <w:bCs/>
          <w:sz w:val="24"/>
          <w:szCs w:val="24"/>
        </w:rPr>
        <w:t>易方达中证银行指数证券投资基金（</w:t>
      </w:r>
      <w:r w:rsidRPr="00200C2B">
        <w:rPr>
          <w:rFonts w:ascii="Times New Roman" w:eastAsiaTheme="minorEastAsia" w:hAnsi="Times New Roman"/>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类场内份额</w:t>
      </w:r>
      <w:r w:rsidRPr="00200C2B">
        <w:rPr>
          <w:rFonts w:ascii="Times New Roman" w:eastAsiaTheme="minorEastAsia" w:hAnsi="Times New Roman"/>
          <w:bCs/>
          <w:sz w:val="24"/>
          <w:szCs w:val="24"/>
        </w:rPr>
        <w:t>＝基金份额持有人持有的转换前</w:t>
      </w: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bCs/>
          <w:sz w:val="24"/>
          <w:szCs w:val="24"/>
        </w:rPr>
        <w:t>A</w:t>
      </w:r>
      <w:r w:rsidRPr="00200C2B">
        <w:rPr>
          <w:rFonts w:ascii="Times New Roman" w:eastAsiaTheme="minorEastAsia" w:hAnsi="Times New Roman" w:hint="eastAsia"/>
          <w:bCs/>
          <w:sz w:val="24"/>
          <w:szCs w:val="24"/>
        </w:rPr>
        <w:t>类份额</w:t>
      </w:r>
      <w:r w:rsidRPr="00200C2B">
        <w:rPr>
          <w:rFonts w:ascii="Times New Roman" w:eastAsiaTheme="minorEastAsia" w:hAnsi="Times New Roman"/>
          <w:bCs/>
          <w:sz w:val="24"/>
          <w:szCs w:val="24"/>
        </w:rPr>
        <w:t>（或</w:t>
      </w: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bCs/>
          <w:sz w:val="24"/>
          <w:szCs w:val="24"/>
        </w:rPr>
        <w:t>B</w:t>
      </w:r>
      <w:r w:rsidRPr="00200C2B">
        <w:rPr>
          <w:rFonts w:ascii="Times New Roman" w:eastAsiaTheme="minorEastAsia" w:hAnsi="Times New Roman" w:hint="eastAsia"/>
          <w:bCs/>
          <w:sz w:val="24"/>
          <w:szCs w:val="24"/>
        </w:rPr>
        <w:t>类份额</w:t>
      </w:r>
      <w:r w:rsidRPr="00200C2B">
        <w:rPr>
          <w:rFonts w:ascii="Times New Roman" w:eastAsiaTheme="minorEastAsia" w:hAnsi="Times New Roman"/>
          <w:bCs/>
          <w:sz w:val="24"/>
          <w:szCs w:val="24"/>
        </w:rPr>
        <w:t>）的份额数</w:t>
      </w:r>
      <w:r w:rsidRPr="00200C2B">
        <w:rPr>
          <w:rFonts w:ascii="Times New Roman" w:eastAsiaTheme="minorEastAsia" w:hAnsi="Times New Roman"/>
          <w:bCs/>
          <w:sz w:val="24"/>
          <w:szCs w:val="24"/>
        </w:rPr>
        <w:t>×</w:t>
      </w: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bCs/>
          <w:sz w:val="24"/>
          <w:szCs w:val="24"/>
        </w:rPr>
        <w:t>A</w:t>
      </w:r>
      <w:r w:rsidRPr="00200C2B">
        <w:rPr>
          <w:rFonts w:ascii="Times New Roman" w:eastAsiaTheme="minorEastAsia" w:hAnsi="Times New Roman" w:hint="eastAsia"/>
          <w:bCs/>
          <w:sz w:val="24"/>
          <w:szCs w:val="24"/>
        </w:rPr>
        <w:t>类份额</w:t>
      </w:r>
      <w:r w:rsidRPr="00200C2B">
        <w:rPr>
          <w:rFonts w:ascii="Times New Roman" w:eastAsiaTheme="minorEastAsia" w:hAnsi="Times New Roman"/>
          <w:bCs/>
          <w:sz w:val="24"/>
          <w:szCs w:val="24"/>
        </w:rPr>
        <w:t>（或</w:t>
      </w: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bCs/>
          <w:sz w:val="24"/>
          <w:szCs w:val="24"/>
        </w:rPr>
        <w:t>B</w:t>
      </w:r>
      <w:r w:rsidRPr="00200C2B">
        <w:rPr>
          <w:rFonts w:ascii="Times New Roman" w:eastAsiaTheme="minorEastAsia" w:hAnsi="Times New Roman" w:hint="eastAsia"/>
          <w:bCs/>
          <w:sz w:val="24"/>
          <w:szCs w:val="24"/>
        </w:rPr>
        <w:t>类份额</w:t>
      </w:r>
      <w:r w:rsidRPr="00200C2B">
        <w:rPr>
          <w:rFonts w:ascii="Times New Roman" w:eastAsiaTheme="minorEastAsia" w:hAnsi="Times New Roman"/>
          <w:bCs/>
          <w:sz w:val="24"/>
          <w:szCs w:val="24"/>
        </w:rPr>
        <w:t>）的转换比例</w:t>
      </w:r>
    </w:p>
    <w:p w14:paraId="684C82EF" w14:textId="6762EC51" w:rsidR="00D02928" w:rsidRPr="00200C2B" w:rsidRDefault="00D0292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基金份额转换比例保留至小数点后第</w:t>
      </w:r>
      <w:r w:rsidRPr="00200C2B">
        <w:rPr>
          <w:rFonts w:ascii="Times New Roman" w:eastAsiaTheme="minorEastAsia" w:hAnsi="Times New Roman"/>
          <w:bCs/>
          <w:sz w:val="24"/>
          <w:szCs w:val="24"/>
        </w:rPr>
        <w:t>9</w:t>
      </w:r>
      <w:r w:rsidRPr="00200C2B">
        <w:rPr>
          <w:rFonts w:ascii="Times New Roman" w:eastAsiaTheme="minorEastAsia" w:hAnsi="Times New Roman" w:hint="eastAsia"/>
          <w:bCs/>
          <w:sz w:val="24"/>
          <w:szCs w:val="24"/>
        </w:rPr>
        <w:t>位，小数点第</w:t>
      </w:r>
      <w:r w:rsidRPr="00200C2B">
        <w:rPr>
          <w:rFonts w:ascii="Times New Roman" w:eastAsiaTheme="minorEastAsia" w:hAnsi="Times New Roman"/>
          <w:bCs/>
          <w:sz w:val="24"/>
          <w:szCs w:val="24"/>
        </w:rPr>
        <w:t>9</w:t>
      </w:r>
      <w:r w:rsidRPr="00200C2B">
        <w:rPr>
          <w:rFonts w:ascii="Times New Roman" w:eastAsiaTheme="minorEastAsia" w:hAnsi="Times New Roman" w:hint="eastAsia"/>
          <w:bCs/>
          <w:sz w:val="24"/>
          <w:szCs w:val="24"/>
        </w:rPr>
        <w:t>位以后的部分四舍五入。易方达银行分级</w:t>
      </w:r>
      <w:r w:rsidRPr="00200C2B">
        <w:rPr>
          <w:rFonts w:ascii="Times New Roman" w:eastAsiaTheme="minorEastAsia" w:hAnsi="Times New Roman"/>
          <w:bCs/>
          <w:sz w:val="24"/>
          <w:szCs w:val="24"/>
        </w:rPr>
        <w:t>A</w:t>
      </w:r>
      <w:r w:rsidRPr="00200C2B">
        <w:rPr>
          <w:rFonts w:ascii="Times New Roman" w:eastAsiaTheme="minorEastAsia" w:hAnsi="Times New Roman" w:hint="eastAsia"/>
          <w:bCs/>
          <w:sz w:val="24"/>
          <w:szCs w:val="24"/>
        </w:rPr>
        <w:t>类份额、易方达银行分级</w:t>
      </w:r>
      <w:r w:rsidRPr="00200C2B">
        <w:rPr>
          <w:rFonts w:ascii="Times New Roman" w:eastAsiaTheme="minorEastAsia" w:hAnsi="Times New Roman"/>
          <w:bCs/>
          <w:sz w:val="24"/>
          <w:szCs w:val="24"/>
        </w:rPr>
        <w:t>B</w:t>
      </w:r>
      <w:r w:rsidRPr="00200C2B">
        <w:rPr>
          <w:rFonts w:ascii="Times New Roman" w:eastAsiaTheme="minorEastAsia" w:hAnsi="Times New Roman" w:hint="eastAsia"/>
          <w:bCs/>
          <w:sz w:val="24"/>
          <w:szCs w:val="24"/>
        </w:rPr>
        <w:t>类份额经转换后的份额数保留至整数位，不足</w:t>
      </w:r>
      <w:r w:rsidRPr="00200C2B">
        <w:rPr>
          <w:rFonts w:ascii="Times New Roman" w:eastAsiaTheme="minorEastAsia" w:hAnsi="Times New Roman"/>
          <w:bCs/>
          <w:sz w:val="24"/>
          <w:szCs w:val="24"/>
        </w:rPr>
        <w:t>1</w:t>
      </w:r>
      <w:r w:rsidRPr="00200C2B">
        <w:rPr>
          <w:rFonts w:ascii="Times New Roman" w:eastAsiaTheme="minorEastAsia" w:hAnsi="Times New Roman" w:hint="eastAsia"/>
          <w:bCs/>
          <w:sz w:val="24"/>
          <w:szCs w:val="24"/>
        </w:rPr>
        <w:t>份的零碎份额的处理方式按照中国证券登记结算有限责任公司的相关规则处理，</w:t>
      </w:r>
      <w:r w:rsidR="005D1D7E">
        <w:rPr>
          <w:rFonts w:ascii="Times New Roman" w:eastAsiaTheme="minorEastAsia" w:hAnsi="Times New Roman" w:hint="eastAsia"/>
          <w:bCs/>
          <w:sz w:val="24"/>
          <w:szCs w:val="24"/>
        </w:rPr>
        <w:t>转换</w:t>
      </w:r>
      <w:r w:rsidRPr="00200C2B">
        <w:rPr>
          <w:rFonts w:ascii="Times New Roman" w:eastAsiaTheme="minorEastAsia" w:hAnsi="Times New Roman" w:hint="eastAsia"/>
          <w:bCs/>
          <w:sz w:val="24"/>
          <w:szCs w:val="24"/>
        </w:rPr>
        <w:t>后的基金份额以登记结算机构最终确认的数据为准。由于基金份额数取整计算产生的误差，基金份额持有人将面临其所持基金资产净值减小的风险，对于持有份额数较少的易方达银行分级</w:t>
      </w:r>
      <w:r w:rsidRPr="00200C2B">
        <w:rPr>
          <w:rFonts w:ascii="Times New Roman" w:eastAsiaTheme="minorEastAsia" w:hAnsi="Times New Roman"/>
          <w:bCs/>
          <w:sz w:val="24"/>
          <w:szCs w:val="24"/>
        </w:rPr>
        <w:t>A</w:t>
      </w:r>
      <w:r w:rsidRPr="00200C2B">
        <w:rPr>
          <w:rFonts w:ascii="Times New Roman" w:eastAsiaTheme="minorEastAsia" w:hAnsi="Times New Roman" w:hint="eastAsia"/>
          <w:bCs/>
          <w:sz w:val="24"/>
          <w:szCs w:val="24"/>
        </w:rPr>
        <w:t>类份额、易方达银行分级</w:t>
      </w:r>
      <w:r w:rsidRPr="00200C2B">
        <w:rPr>
          <w:rFonts w:ascii="Times New Roman" w:eastAsiaTheme="minorEastAsia" w:hAnsi="Times New Roman"/>
          <w:bCs/>
          <w:sz w:val="24"/>
          <w:szCs w:val="24"/>
        </w:rPr>
        <w:t>B</w:t>
      </w:r>
      <w:r w:rsidRPr="00200C2B">
        <w:rPr>
          <w:rFonts w:ascii="Times New Roman" w:eastAsiaTheme="minorEastAsia" w:hAnsi="Times New Roman" w:hint="eastAsia"/>
          <w:bCs/>
          <w:sz w:val="24"/>
          <w:szCs w:val="24"/>
        </w:rPr>
        <w:t>类份额持有人，将面临持有的基金份额转换后份额数不足一份而被计入基金资产的风险。</w:t>
      </w:r>
    </w:p>
    <w:p w14:paraId="712FDC71" w14:textId="57129CA7" w:rsidR="00760160" w:rsidRDefault="00D0292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hAnsi="Times New Roman" w:hint="eastAsia"/>
          <w:kern w:val="0"/>
          <w:sz w:val="24"/>
          <w:szCs w:val="24"/>
        </w:rPr>
        <w:t>易方达银行分级份额</w:t>
      </w:r>
      <w:r w:rsidRPr="00200C2B">
        <w:rPr>
          <w:rFonts w:ascii="Times New Roman" w:eastAsiaTheme="minorEastAsia" w:hAnsi="Times New Roman" w:hint="eastAsia"/>
          <w:bCs/>
          <w:sz w:val="24"/>
          <w:szCs w:val="24"/>
        </w:rPr>
        <w:t>的场内份额自动转换为易方达中证银行指数证券投资基金（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类基金份额的场内份额，</w:t>
      </w:r>
      <w:r w:rsidRPr="00200C2B">
        <w:rPr>
          <w:rFonts w:ascii="Times New Roman" w:hAnsi="Times New Roman" w:hint="eastAsia"/>
          <w:kern w:val="0"/>
          <w:sz w:val="24"/>
          <w:szCs w:val="24"/>
        </w:rPr>
        <w:t>易方达银行分级份额</w:t>
      </w:r>
      <w:r w:rsidRPr="00200C2B">
        <w:rPr>
          <w:rFonts w:ascii="Times New Roman" w:eastAsiaTheme="minorEastAsia" w:hAnsi="Times New Roman" w:hint="eastAsia"/>
          <w:bCs/>
          <w:sz w:val="24"/>
          <w:szCs w:val="24"/>
        </w:rPr>
        <w:t>的场外份额自动转换为易方达中证银行指数证券投资基金（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类基金份额的场外份额。</w:t>
      </w:r>
      <w:r w:rsidR="00760160">
        <w:rPr>
          <w:rFonts w:ascii="Times New Roman" w:eastAsiaTheme="minorEastAsia" w:hAnsi="Times New Roman" w:hint="eastAsia"/>
          <w:bCs/>
          <w:sz w:val="24"/>
          <w:szCs w:val="24"/>
        </w:rPr>
        <w:t>此外，</w:t>
      </w:r>
      <w:r w:rsidR="00760160" w:rsidRPr="00760160">
        <w:rPr>
          <w:rFonts w:ascii="Times New Roman" w:eastAsiaTheme="minorEastAsia" w:hAnsi="Times New Roman" w:hint="eastAsia"/>
          <w:bCs/>
          <w:sz w:val="24"/>
          <w:szCs w:val="24"/>
        </w:rPr>
        <w:t>本次</w:t>
      </w:r>
      <w:r w:rsidR="00760160">
        <w:rPr>
          <w:rFonts w:ascii="Times New Roman" w:eastAsiaTheme="minorEastAsia" w:hAnsi="Times New Roman" w:hint="eastAsia"/>
          <w:bCs/>
          <w:sz w:val="24"/>
          <w:szCs w:val="24"/>
        </w:rPr>
        <w:t>基金份额</w:t>
      </w:r>
      <w:r w:rsidR="00760160" w:rsidRPr="00760160">
        <w:rPr>
          <w:rFonts w:ascii="Times New Roman" w:eastAsiaTheme="minorEastAsia" w:hAnsi="Times New Roman" w:hint="eastAsia"/>
          <w:bCs/>
          <w:sz w:val="24"/>
          <w:szCs w:val="24"/>
        </w:rPr>
        <w:t>持有人大会决议生效后，就转型</w:t>
      </w:r>
      <w:r w:rsidR="00760160">
        <w:rPr>
          <w:rFonts w:ascii="Times New Roman" w:eastAsiaTheme="minorEastAsia" w:hAnsi="Times New Roman" w:hint="eastAsia"/>
          <w:bCs/>
          <w:sz w:val="24"/>
          <w:szCs w:val="24"/>
        </w:rPr>
        <w:t>后形成的</w:t>
      </w:r>
      <w:r w:rsidR="00760160" w:rsidRPr="00200C2B">
        <w:rPr>
          <w:rFonts w:ascii="Times New Roman" w:eastAsiaTheme="minorEastAsia" w:hAnsi="Times New Roman" w:hint="eastAsia"/>
          <w:bCs/>
          <w:sz w:val="24"/>
          <w:szCs w:val="24"/>
        </w:rPr>
        <w:t>易方达中证银行指数证券投资基金（</w:t>
      </w:r>
      <w:r w:rsidR="00760160" w:rsidRPr="00200C2B">
        <w:rPr>
          <w:rFonts w:ascii="Times New Roman" w:eastAsiaTheme="minorEastAsia" w:hAnsi="Times New Roman" w:hint="eastAsia"/>
          <w:bCs/>
          <w:sz w:val="24"/>
          <w:szCs w:val="24"/>
        </w:rPr>
        <w:t>LOF</w:t>
      </w:r>
      <w:r w:rsidR="00760160" w:rsidRPr="00200C2B">
        <w:rPr>
          <w:rFonts w:ascii="Times New Roman" w:eastAsiaTheme="minorEastAsia" w:hAnsi="Times New Roman" w:hint="eastAsia"/>
          <w:bCs/>
          <w:sz w:val="24"/>
          <w:szCs w:val="24"/>
        </w:rPr>
        <w:t>）</w:t>
      </w:r>
      <w:r w:rsidR="00760160">
        <w:rPr>
          <w:rFonts w:ascii="Times New Roman" w:eastAsiaTheme="minorEastAsia" w:hAnsi="Times New Roman" w:hint="eastAsia"/>
          <w:bCs/>
          <w:sz w:val="24"/>
          <w:szCs w:val="24"/>
        </w:rPr>
        <w:t>增加</w:t>
      </w:r>
      <w:r w:rsidR="00760160">
        <w:rPr>
          <w:rFonts w:ascii="Times New Roman" w:eastAsiaTheme="minorEastAsia" w:hAnsi="Times New Roman" w:hint="eastAsia"/>
          <w:bCs/>
          <w:sz w:val="24"/>
          <w:szCs w:val="24"/>
        </w:rPr>
        <w:t>C</w:t>
      </w:r>
      <w:r w:rsidR="00760160">
        <w:rPr>
          <w:rFonts w:ascii="Times New Roman" w:eastAsiaTheme="minorEastAsia" w:hAnsi="Times New Roman" w:hint="eastAsia"/>
          <w:bCs/>
          <w:sz w:val="24"/>
          <w:szCs w:val="24"/>
        </w:rPr>
        <w:t>类基金份额。</w:t>
      </w:r>
    </w:p>
    <w:p w14:paraId="45839455" w14:textId="3D5C10C7" w:rsidR="00F40682" w:rsidRDefault="00F40682" w:rsidP="00F40682">
      <w:pPr>
        <w:overflowPunct w:val="0"/>
        <w:spacing w:line="360" w:lineRule="auto"/>
        <w:ind w:firstLineChars="200" w:firstLine="480"/>
        <w:rPr>
          <w:rFonts w:ascii="Times New Roman" w:hAnsi="Times New Roman"/>
          <w:sz w:val="24"/>
        </w:rPr>
      </w:pPr>
      <w:r w:rsidRPr="00200C2B">
        <w:rPr>
          <w:rFonts w:ascii="Times New Roman" w:hAnsi="Times New Roman" w:hint="eastAsia"/>
          <w:sz w:val="24"/>
        </w:rPr>
        <w:t>投资者持有的转换后易方达中证银行指数证券投资基金（</w:t>
      </w:r>
      <w:r w:rsidRPr="00200C2B">
        <w:rPr>
          <w:rFonts w:ascii="Times New Roman" w:hAnsi="Times New Roman"/>
          <w:sz w:val="24"/>
        </w:rPr>
        <w:t>LOF</w:t>
      </w:r>
      <w:r w:rsidRPr="00200C2B">
        <w:rPr>
          <w:rFonts w:ascii="Times New Roman" w:hAnsi="Times New Roman" w:hint="eastAsia"/>
          <w:sz w:val="24"/>
        </w:rPr>
        <w:t>）</w:t>
      </w:r>
      <w:r w:rsidRPr="00200C2B">
        <w:rPr>
          <w:rFonts w:ascii="Times New Roman" w:hAnsi="Times New Roman"/>
          <w:sz w:val="24"/>
        </w:rPr>
        <w:t>A</w:t>
      </w:r>
      <w:r w:rsidRPr="00200C2B">
        <w:rPr>
          <w:rFonts w:ascii="Times New Roman" w:hAnsi="Times New Roman" w:hint="eastAsia"/>
          <w:sz w:val="24"/>
        </w:rPr>
        <w:t>类场外份额的收益分配方式将继承其转换前场外</w:t>
      </w:r>
      <w:r w:rsidRPr="00200C2B">
        <w:rPr>
          <w:rFonts w:ascii="Times New Roman" w:hAnsi="Times New Roman" w:hint="eastAsia"/>
          <w:kern w:val="0"/>
          <w:sz w:val="24"/>
          <w:szCs w:val="24"/>
        </w:rPr>
        <w:t>易方达银行分级份额</w:t>
      </w:r>
      <w:r w:rsidRPr="00200C2B">
        <w:rPr>
          <w:rFonts w:ascii="Times New Roman" w:hAnsi="Times New Roman" w:hint="eastAsia"/>
          <w:sz w:val="24"/>
        </w:rPr>
        <w:t>的收益分配方式，投资者持有的转换后易方达中证银行指数证券投资基金（</w:t>
      </w:r>
      <w:r w:rsidRPr="00200C2B">
        <w:rPr>
          <w:rFonts w:ascii="Times New Roman" w:hAnsi="Times New Roman"/>
          <w:sz w:val="24"/>
        </w:rPr>
        <w:t>LOF</w:t>
      </w:r>
      <w:r w:rsidRPr="00200C2B">
        <w:rPr>
          <w:rFonts w:ascii="Times New Roman" w:hAnsi="Times New Roman" w:hint="eastAsia"/>
          <w:sz w:val="24"/>
        </w:rPr>
        <w:t>）</w:t>
      </w:r>
      <w:r w:rsidRPr="00200C2B">
        <w:rPr>
          <w:rFonts w:ascii="Times New Roman" w:hAnsi="Times New Roman"/>
          <w:sz w:val="24"/>
        </w:rPr>
        <w:t>A</w:t>
      </w:r>
      <w:r w:rsidRPr="00200C2B">
        <w:rPr>
          <w:rFonts w:ascii="Times New Roman" w:hAnsi="Times New Roman" w:hint="eastAsia"/>
          <w:sz w:val="24"/>
        </w:rPr>
        <w:t>类场内份额的收益分配方式只能采取现金分红方式。请投资者务必及时查询、核对持有的</w:t>
      </w:r>
      <w:r w:rsidR="00107E78">
        <w:rPr>
          <w:rFonts w:ascii="Times New Roman" w:hAnsi="Times New Roman" w:hint="eastAsia"/>
          <w:sz w:val="24"/>
        </w:rPr>
        <w:t>转换</w:t>
      </w:r>
      <w:r w:rsidRPr="00200C2B">
        <w:rPr>
          <w:rFonts w:ascii="Times New Roman" w:hAnsi="Times New Roman" w:hint="eastAsia"/>
          <w:sz w:val="24"/>
        </w:rPr>
        <w:t>后易方达中证银行指数证券投资基金（</w:t>
      </w:r>
      <w:r w:rsidRPr="00200C2B">
        <w:rPr>
          <w:rFonts w:ascii="Times New Roman" w:hAnsi="Times New Roman"/>
          <w:sz w:val="24"/>
        </w:rPr>
        <w:t>LOF</w:t>
      </w:r>
      <w:r w:rsidRPr="00200C2B">
        <w:rPr>
          <w:rFonts w:ascii="Times New Roman" w:hAnsi="Times New Roman" w:hint="eastAsia"/>
          <w:sz w:val="24"/>
        </w:rPr>
        <w:t>）</w:t>
      </w:r>
      <w:r w:rsidRPr="00200C2B">
        <w:rPr>
          <w:rFonts w:ascii="Times New Roman" w:hAnsi="Times New Roman"/>
          <w:sz w:val="24"/>
        </w:rPr>
        <w:t>A</w:t>
      </w:r>
      <w:r w:rsidRPr="00200C2B">
        <w:rPr>
          <w:rFonts w:ascii="Times New Roman" w:hAnsi="Times New Roman" w:hint="eastAsia"/>
          <w:sz w:val="24"/>
        </w:rPr>
        <w:t>类场外份额的收益分配方式，具体收益分配方式以登记结算机构的记录为准。</w:t>
      </w:r>
    </w:p>
    <w:p w14:paraId="78871FF7" w14:textId="77777777" w:rsidR="00CB5CC0" w:rsidRDefault="00CB5CC0" w:rsidP="00CB5CC0">
      <w:pPr>
        <w:overflowPunct w:val="0"/>
        <w:spacing w:line="360" w:lineRule="auto"/>
        <w:ind w:firstLineChars="200" w:firstLine="480"/>
        <w:rPr>
          <w:rFonts w:ascii="Times New Roman" w:hAnsi="Times New Roman"/>
          <w:sz w:val="24"/>
        </w:rPr>
      </w:pPr>
      <w:r>
        <w:rPr>
          <w:rFonts w:ascii="Times New Roman" w:hAnsi="Times New Roman" w:hint="eastAsia"/>
          <w:kern w:val="0"/>
          <w:sz w:val="24"/>
          <w:szCs w:val="24"/>
        </w:rPr>
        <w:t>根据《议案》，转换后的</w:t>
      </w:r>
      <w:r>
        <w:rPr>
          <w:rFonts w:ascii="Times New Roman" w:hAnsi="Times New Roman" w:hint="eastAsia"/>
          <w:sz w:val="24"/>
        </w:rPr>
        <w:t>易方达中证银行指数证券投资基金（</w:t>
      </w:r>
      <w:r>
        <w:rPr>
          <w:rFonts w:ascii="Times New Roman" w:hAnsi="Times New Roman"/>
          <w:sz w:val="24"/>
        </w:rPr>
        <w:t>LOF</w:t>
      </w:r>
      <w:r>
        <w:rPr>
          <w:rFonts w:ascii="Times New Roman" w:hAnsi="Times New Roman" w:hint="eastAsia"/>
          <w:sz w:val="24"/>
        </w:rPr>
        <w:t>）</w:t>
      </w:r>
      <w:r>
        <w:rPr>
          <w:rFonts w:ascii="Times New Roman" w:hAnsi="Times New Roman"/>
          <w:sz w:val="24"/>
        </w:rPr>
        <w:t>A</w:t>
      </w:r>
      <w:r>
        <w:rPr>
          <w:rFonts w:ascii="Times New Roman" w:hAnsi="Times New Roman" w:hint="eastAsia"/>
          <w:sz w:val="24"/>
        </w:rPr>
        <w:t>类基金份额的申购费率、赎回费率具体如下：</w:t>
      </w:r>
    </w:p>
    <w:p w14:paraId="38E46F58" w14:textId="77777777" w:rsidR="00CB5CC0" w:rsidRDefault="00CB5CC0" w:rsidP="00CB5CC0">
      <w:pPr>
        <w:overflowPunct w:val="0"/>
        <w:spacing w:line="360" w:lineRule="auto"/>
        <w:ind w:firstLineChars="200" w:firstLine="480"/>
        <w:rPr>
          <w:rFonts w:ascii="Times New Roman" w:hAnsi="Times New Roman"/>
          <w:sz w:val="24"/>
        </w:rPr>
      </w:pPr>
      <w:r>
        <w:rPr>
          <w:rFonts w:ascii="Times New Roman" w:hAnsi="Times New Roman"/>
          <w:sz w:val="24"/>
        </w:rPr>
        <w:t>1</w:t>
      </w:r>
      <w:r>
        <w:rPr>
          <w:rFonts w:ascii="Times New Roman" w:hAnsi="Times New Roman" w:hint="eastAsia"/>
          <w:sz w:val="24"/>
        </w:rPr>
        <w:t>、</w:t>
      </w:r>
      <w:r>
        <w:rPr>
          <w:rFonts w:ascii="Times New Roman" w:hAnsi="Times New Roman"/>
          <w:sz w:val="24"/>
        </w:rPr>
        <w:t>A</w:t>
      </w:r>
      <w:r>
        <w:rPr>
          <w:rFonts w:ascii="Times New Roman" w:hAnsi="Times New Roman" w:hint="eastAsia"/>
          <w:sz w:val="24"/>
        </w:rPr>
        <w:t>类基金份额场内场外申购费率相同，均设置为</w:t>
      </w:r>
      <w:r>
        <w:rPr>
          <w:rFonts w:ascii="Times New Roman" w:eastAsiaTheme="minorEastAsia" w:hAnsi="Times New Roman" w:hint="eastAsia"/>
          <w:bCs/>
          <w:sz w:val="24"/>
          <w:szCs w:val="24"/>
        </w:rPr>
        <w:t>：</w:t>
      </w:r>
    </w:p>
    <w:tbl>
      <w:tblPr>
        <w:tblW w:w="7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2289"/>
        <w:gridCol w:w="2696"/>
      </w:tblGrid>
      <w:tr w:rsidR="00CB5CC0" w14:paraId="28DEAD0E" w14:textId="77777777" w:rsidTr="00CB5CC0">
        <w:trPr>
          <w:trHeight w:val="397"/>
          <w:jc w:val="center"/>
        </w:trPr>
        <w:tc>
          <w:tcPr>
            <w:tcW w:w="2466" w:type="dxa"/>
            <w:tcBorders>
              <w:top w:val="single" w:sz="4" w:space="0" w:color="auto"/>
              <w:left w:val="single" w:sz="4" w:space="0" w:color="auto"/>
              <w:bottom w:val="single" w:sz="4" w:space="0" w:color="auto"/>
              <w:right w:val="single" w:sz="4" w:space="0" w:color="auto"/>
            </w:tcBorders>
            <w:vAlign w:val="center"/>
            <w:hideMark/>
          </w:tcPr>
          <w:p w14:paraId="2E9066B3"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hint="eastAsia"/>
                <w:bCs/>
                <w:sz w:val="24"/>
                <w:szCs w:val="21"/>
              </w:rPr>
              <w:t>申购金额</w:t>
            </w:r>
            <w:r>
              <w:rPr>
                <w:rFonts w:ascii="Times New Roman" w:eastAsiaTheme="minorEastAsia" w:hAnsi="Times New Roman"/>
                <w:bCs/>
                <w:sz w:val="24"/>
                <w:szCs w:val="21"/>
              </w:rPr>
              <w:t>M</w:t>
            </w:r>
            <w:r>
              <w:rPr>
                <w:rFonts w:ascii="Times New Roman" w:eastAsiaTheme="minorEastAsia" w:hAnsi="Times New Roman" w:hint="eastAsia"/>
                <w:bCs/>
                <w:sz w:val="24"/>
                <w:szCs w:val="21"/>
              </w:rPr>
              <w:t>（元）</w:t>
            </w:r>
          </w:p>
          <w:p w14:paraId="74C0B1CC"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hint="eastAsia"/>
                <w:bCs/>
                <w:sz w:val="24"/>
                <w:szCs w:val="21"/>
              </w:rPr>
              <w:t>（含申购费）</w:t>
            </w:r>
          </w:p>
        </w:tc>
        <w:tc>
          <w:tcPr>
            <w:tcW w:w="2289" w:type="dxa"/>
            <w:tcBorders>
              <w:top w:val="single" w:sz="4" w:space="0" w:color="auto"/>
              <w:left w:val="single" w:sz="4" w:space="0" w:color="auto"/>
              <w:bottom w:val="single" w:sz="4" w:space="0" w:color="auto"/>
              <w:right w:val="single" w:sz="4" w:space="0" w:color="auto"/>
            </w:tcBorders>
            <w:vAlign w:val="center"/>
            <w:hideMark/>
          </w:tcPr>
          <w:p w14:paraId="1F71D7F9"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hint="eastAsia"/>
                <w:bCs/>
                <w:sz w:val="24"/>
                <w:szCs w:val="21"/>
              </w:rPr>
              <w:t>申购费率</w:t>
            </w:r>
          </w:p>
          <w:p w14:paraId="6D771E7B"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hint="eastAsia"/>
                <w:bCs/>
                <w:sz w:val="24"/>
                <w:szCs w:val="21"/>
              </w:rPr>
              <w:t>（其他投资者）</w:t>
            </w:r>
          </w:p>
        </w:tc>
        <w:tc>
          <w:tcPr>
            <w:tcW w:w="2696" w:type="dxa"/>
            <w:tcBorders>
              <w:top w:val="single" w:sz="4" w:space="0" w:color="auto"/>
              <w:left w:val="single" w:sz="4" w:space="0" w:color="auto"/>
              <w:bottom w:val="single" w:sz="4" w:space="0" w:color="auto"/>
              <w:right w:val="single" w:sz="4" w:space="0" w:color="auto"/>
            </w:tcBorders>
            <w:vAlign w:val="center"/>
            <w:hideMark/>
          </w:tcPr>
          <w:p w14:paraId="0DD94947"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hint="eastAsia"/>
                <w:bCs/>
                <w:sz w:val="24"/>
                <w:szCs w:val="21"/>
              </w:rPr>
              <w:t>特定申购费率</w:t>
            </w:r>
          </w:p>
          <w:p w14:paraId="63DCCE2E"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hint="eastAsia"/>
                <w:bCs/>
                <w:sz w:val="24"/>
                <w:szCs w:val="21"/>
              </w:rPr>
              <w:t>（特定投资群体）</w:t>
            </w:r>
          </w:p>
        </w:tc>
      </w:tr>
      <w:tr w:rsidR="00CB5CC0" w14:paraId="136375FA" w14:textId="77777777" w:rsidTr="00CB5CC0">
        <w:trPr>
          <w:trHeight w:val="397"/>
          <w:jc w:val="center"/>
        </w:trPr>
        <w:tc>
          <w:tcPr>
            <w:tcW w:w="2466" w:type="dxa"/>
            <w:tcBorders>
              <w:top w:val="single" w:sz="4" w:space="0" w:color="auto"/>
              <w:left w:val="single" w:sz="4" w:space="0" w:color="auto"/>
              <w:bottom w:val="single" w:sz="4" w:space="0" w:color="auto"/>
              <w:right w:val="single" w:sz="4" w:space="0" w:color="auto"/>
            </w:tcBorders>
            <w:vAlign w:val="center"/>
            <w:hideMark/>
          </w:tcPr>
          <w:p w14:paraId="01A1AC9C" w14:textId="77777777" w:rsidR="00CB5CC0" w:rsidRDefault="00CB5CC0">
            <w:pPr>
              <w:adjustRightInd w:val="0"/>
              <w:snapToGrid w:val="0"/>
              <w:jc w:val="center"/>
              <w:rPr>
                <w:rFonts w:ascii="Times New Roman" w:eastAsiaTheme="minorEastAsia" w:hAnsi="Times New Roman"/>
                <w:sz w:val="24"/>
                <w:szCs w:val="21"/>
              </w:rPr>
            </w:pPr>
            <w:r>
              <w:rPr>
                <w:rFonts w:ascii="Times New Roman" w:eastAsiaTheme="minorEastAsia" w:hAnsi="Times New Roman"/>
                <w:sz w:val="24"/>
                <w:szCs w:val="21"/>
              </w:rPr>
              <w:t>M</w:t>
            </w:r>
            <w:r>
              <w:rPr>
                <w:rFonts w:ascii="Times New Roman" w:eastAsiaTheme="minorEastAsia" w:hAnsi="Times New Roman" w:hint="eastAsia"/>
                <w:sz w:val="24"/>
                <w:szCs w:val="21"/>
              </w:rPr>
              <w:t>＜</w:t>
            </w:r>
            <w:r>
              <w:rPr>
                <w:rFonts w:ascii="Times New Roman" w:eastAsiaTheme="minorEastAsia" w:hAnsi="Times New Roman"/>
                <w:sz w:val="24"/>
                <w:szCs w:val="21"/>
              </w:rPr>
              <w:t>100</w:t>
            </w:r>
            <w:r>
              <w:rPr>
                <w:rFonts w:ascii="Times New Roman" w:eastAsiaTheme="minorEastAsia" w:hAnsi="Times New Roman" w:hint="eastAsia"/>
                <w:sz w:val="24"/>
                <w:szCs w:val="21"/>
              </w:rPr>
              <w:t>万</w:t>
            </w:r>
          </w:p>
        </w:tc>
        <w:tc>
          <w:tcPr>
            <w:tcW w:w="2289" w:type="dxa"/>
            <w:tcBorders>
              <w:top w:val="single" w:sz="4" w:space="0" w:color="auto"/>
              <w:left w:val="single" w:sz="4" w:space="0" w:color="auto"/>
              <w:bottom w:val="single" w:sz="4" w:space="0" w:color="auto"/>
              <w:right w:val="single" w:sz="4" w:space="0" w:color="auto"/>
            </w:tcBorders>
            <w:vAlign w:val="center"/>
            <w:hideMark/>
          </w:tcPr>
          <w:p w14:paraId="32678AD4" w14:textId="77777777" w:rsidR="00CB5CC0" w:rsidRDefault="00CB5CC0">
            <w:pPr>
              <w:adjustRightInd w:val="0"/>
              <w:snapToGrid w:val="0"/>
              <w:jc w:val="center"/>
              <w:rPr>
                <w:rFonts w:ascii="Times New Roman" w:eastAsiaTheme="minorEastAsia" w:hAnsi="Times New Roman"/>
                <w:sz w:val="24"/>
                <w:szCs w:val="21"/>
              </w:rPr>
            </w:pPr>
            <w:r>
              <w:rPr>
                <w:rFonts w:ascii="Times New Roman" w:eastAsiaTheme="minorEastAsia" w:hAnsi="Times New Roman"/>
                <w:sz w:val="24"/>
                <w:szCs w:val="21"/>
              </w:rPr>
              <w:t>1.00%</w:t>
            </w:r>
          </w:p>
        </w:tc>
        <w:tc>
          <w:tcPr>
            <w:tcW w:w="2696" w:type="dxa"/>
            <w:tcBorders>
              <w:top w:val="single" w:sz="4" w:space="0" w:color="auto"/>
              <w:left w:val="single" w:sz="4" w:space="0" w:color="auto"/>
              <w:bottom w:val="single" w:sz="4" w:space="0" w:color="auto"/>
              <w:right w:val="single" w:sz="4" w:space="0" w:color="auto"/>
            </w:tcBorders>
            <w:vAlign w:val="center"/>
            <w:hideMark/>
          </w:tcPr>
          <w:p w14:paraId="4945BCA9" w14:textId="77777777" w:rsidR="00CB5CC0" w:rsidRDefault="00CB5CC0">
            <w:pPr>
              <w:adjustRightInd w:val="0"/>
              <w:snapToGrid w:val="0"/>
              <w:jc w:val="center"/>
              <w:rPr>
                <w:rFonts w:ascii="Times New Roman" w:eastAsiaTheme="minorEastAsia" w:hAnsi="Times New Roman"/>
                <w:sz w:val="24"/>
                <w:szCs w:val="21"/>
              </w:rPr>
            </w:pPr>
            <w:r>
              <w:rPr>
                <w:rFonts w:ascii="Times New Roman" w:eastAsiaTheme="minorEastAsia" w:hAnsi="Times New Roman"/>
                <w:sz w:val="24"/>
                <w:szCs w:val="21"/>
              </w:rPr>
              <w:t>0.10%</w:t>
            </w:r>
          </w:p>
        </w:tc>
      </w:tr>
      <w:tr w:rsidR="00CB5CC0" w14:paraId="7DD6AC07" w14:textId="77777777" w:rsidTr="00CB5CC0">
        <w:trPr>
          <w:trHeight w:val="397"/>
          <w:jc w:val="center"/>
        </w:trPr>
        <w:tc>
          <w:tcPr>
            <w:tcW w:w="2466" w:type="dxa"/>
            <w:tcBorders>
              <w:top w:val="single" w:sz="4" w:space="0" w:color="auto"/>
              <w:left w:val="single" w:sz="4" w:space="0" w:color="auto"/>
              <w:bottom w:val="single" w:sz="4" w:space="0" w:color="auto"/>
              <w:right w:val="single" w:sz="4" w:space="0" w:color="auto"/>
            </w:tcBorders>
            <w:vAlign w:val="center"/>
            <w:hideMark/>
          </w:tcPr>
          <w:p w14:paraId="69B1BA0E" w14:textId="77777777" w:rsidR="00CB5CC0" w:rsidRDefault="00CB5CC0">
            <w:pPr>
              <w:adjustRightInd w:val="0"/>
              <w:snapToGrid w:val="0"/>
              <w:jc w:val="center"/>
              <w:rPr>
                <w:rFonts w:ascii="Times New Roman" w:eastAsiaTheme="minorEastAsia" w:hAnsi="Times New Roman"/>
                <w:sz w:val="24"/>
                <w:szCs w:val="21"/>
              </w:rPr>
            </w:pPr>
            <w:r>
              <w:rPr>
                <w:rFonts w:ascii="Times New Roman" w:eastAsiaTheme="minorEastAsia" w:hAnsi="Times New Roman"/>
                <w:sz w:val="24"/>
                <w:szCs w:val="21"/>
              </w:rPr>
              <w:lastRenderedPageBreak/>
              <w:t>100</w:t>
            </w:r>
            <w:r>
              <w:rPr>
                <w:rFonts w:ascii="Times New Roman" w:eastAsiaTheme="minorEastAsia" w:hAnsi="Times New Roman" w:hint="eastAsia"/>
                <w:sz w:val="24"/>
                <w:szCs w:val="21"/>
              </w:rPr>
              <w:t>万</w:t>
            </w:r>
            <w:r>
              <w:rPr>
                <w:rFonts w:ascii="Times New Roman" w:eastAsiaTheme="minorEastAsia" w:hAnsi="Times New Roman"/>
                <w:sz w:val="24"/>
                <w:szCs w:val="21"/>
              </w:rPr>
              <w:t>≤M</w:t>
            </w:r>
            <w:r>
              <w:rPr>
                <w:rFonts w:ascii="Times New Roman" w:eastAsiaTheme="minorEastAsia" w:hAnsi="Times New Roman" w:hint="eastAsia"/>
                <w:sz w:val="24"/>
                <w:szCs w:val="21"/>
              </w:rPr>
              <w:t>＜</w:t>
            </w:r>
            <w:r>
              <w:rPr>
                <w:rFonts w:ascii="Times New Roman" w:eastAsiaTheme="minorEastAsia" w:hAnsi="Times New Roman"/>
                <w:sz w:val="24"/>
                <w:szCs w:val="21"/>
              </w:rPr>
              <w:t>200</w:t>
            </w:r>
            <w:r>
              <w:rPr>
                <w:rFonts w:ascii="Times New Roman" w:eastAsiaTheme="minorEastAsia" w:hAnsi="Times New Roman" w:hint="eastAsia"/>
                <w:sz w:val="24"/>
                <w:szCs w:val="21"/>
              </w:rPr>
              <w:t>万</w:t>
            </w:r>
          </w:p>
        </w:tc>
        <w:tc>
          <w:tcPr>
            <w:tcW w:w="2289" w:type="dxa"/>
            <w:tcBorders>
              <w:top w:val="single" w:sz="4" w:space="0" w:color="auto"/>
              <w:left w:val="single" w:sz="4" w:space="0" w:color="auto"/>
              <w:bottom w:val="single" w:sz="4" w:space="0" w:color="auto"/>
              <w:right w:val="single" w:sz="4" w:space="0" w:color="auto"/>
            </w:tcBorders>
            <w:vAlign w:val="center"/>
            <w:hideMark/>
          </w:tcPr>
          <w:p w14:paraId="623B9ACD" w14:textId="77777777" w:rsidR="00CB5CC0" w:rsidRDefault="00CB5CC0">
            <w:pPr>
              <w:adjustRightInd w:val="0"/>
              <w:snapToGrid w:val="0"/>
              <w:jc w:val="center"/>
              <w:rPr>
                <w:rFonts w:ascii="Times New Roman" w:eastAsiaTheme="minorEastAsia" w:hAnsi="Times New Roman"/>
                <w:sz w:val="24"/>
                <w:szCs w:val="21"/>
              </w:rPr>
            </w:pPr>
            <w:r>
              <w:rPr>
                <w:rFonts w:ascii="Times New Roman" w:eastAsiaTheme="minorEastAsia" w:hAnsi="Times New Roman"/>
                <w:sz w:val="24"/>
                <w:szCs w:val="21"/>
              </w:rPr>
              <w:t>0.60%</w:t>
            </w:r>
          </w:p>
        </w:tc>
        <w:tc>
          <w:tcPr>
            <w:tcW w:w="2696" w:type="dxa"/>
            <w:tcBorders>
              <w:top w:val="single" w:sz="4" w:space="0" w:color="auto"/>
              <w:left w:val="single" w:sz="4" w:space="0" w:color="auto"/>
              <w:bottom w:val="single" w:sz="4" w:space="0" w:color="auto"/>
              <w:right w:val="single" w:sz="4" w:space="0" w:color="auto"/>
            </w:tcBorders>
            <w:vAlign w:val="center"/>
            <w:hideMark/>
          </w:tcPr>
          <w:p w14:paraId="23AEA402" w14:textId="77777777" w:rsidR="00CB5CC0" w:rsidRDefault="00CB5CC0">
            <w:pPr>
              <w:adjustRightInd w:val="0"/>
              <w:snapToGrid w:val="0"/>
              <w:jc w:val="center"/>
              <w:rPr>
                <w:rFonts w:ascii="Times New Roman" w:eastAsiaTheme="minorEastAsia" w:hAnsi="Times New Roman"/>
                <w:sz w:val="24"/>
                <w:szCs w:val="21"/>
              </w:rPr>
            </w:pPr>
            <w:r>
              <w:rPr>
                <w:rFonts w:ascii="Times New Roman" w:eastAsiaTheme="minorEastAsia" w:hAnsi="Times New Roman"/>
                <w:sz w:val="24"/>
                <w:szCs w:val="21"/>
              </w:rPr>
              <w:t>0.06%</w:t>
            </w:r>
          </w:p>
        </w:tc>
      </w:tr>
      <w:tr w:rsidR="00CB5CC0" w14:paraId="6E6FC07D" w14:textId="77777777" w:rsidTr="00CB5CC0">
        <w:trPr>
          <w:trHeight w:val="397"/>
          <w:jc w:val="center"/>
        </w:trPr>
        <w:tc>
          <w:tcPr>
            <w:tcW w:w="2466" w:type="dxa"/>
            <w:tcBorders>
              <w:top w:val="single" w:sz="4" w:space="0" w:color="auto"/>
              <w:left w:val="single" w:sz="4" w:space="0" w:color="auto"/>
              <w:bottom w:val="single" w:sz="4" w:space="0" w:color="auto"/>
              <w:right w:val="single" w:sz="4" w:space="0" w:color="auto"/>
            </w:tcBorders>
            <w:vAlign w:val="center"/>
            <w:hideMark/>
          </w:tcPr>
          <w:p w14:paraId="2F927770" w14:textId="77777777" w:rsidR="00CB5CC0" w:rsidRDefault="00CB5CC0">
            <w:pPr>
              <w:adjustRightInd w:val="0"/>
              <w:snapToGrid w:val="0"/>
              <w:jc w:val="center"/>
              <w:rPr>
                <w:rFonts w:ascii="Times New Roman" w:eastAsiaTheme="minorEastAsia" w:hAnsi="Times New Roman"/>
                <w:sz w:val="24"/>
                <w:szCs w:val="21"/>
              </w:rPr>
            </w:pPr>
            <w:r>
              <w:rPr>
                <w:rFonts w:ascii="Times New Roman" w:eastAsiaTheme="minorEastAsia" w:hAnsi="Times New Roman"/>
                <w:sz w:val="24"/>
                <w:szCs w:val="21"/>
              </w:rPr>
              <w:t>200</w:t>
            </w:r>
            <w:r>
              <w:rPr>
                <w:rFonts w:ascii="Times New Roman" w:eastAsiaTheme="minorEastAsia" w:hAnsi="Times New Roman" w:hint="eastAsia"/>
                <w:sz w:val="24"/>
                <w:szCs w:val="21"/>
              </w:rPr>
              <w:t>万</w:t>
            </w:r>
            <w:r>
              <w:rPr>
                <w:rFonts w:ascii="Times New Roman" w:eastAsiaTheme="minorEastAsia" w:hAnsi="Times New Roman"/>
                <w:sz w:val="24"/>
                <w:szCs w:val="21"/>
              </w:rPr>
              <w:t>≤M</w:t>
            </w:r>
            <w:r>
              <w:rPr>
                <w:rFonts w:ascii="Times New Roman" w:eastAsiaTheme="minorEastAsia" w:hAnsi="Times New Roman" w:hint="eastAsia"/>
                <w:sz w:val="24"/>
                <w:szCs w:val="21"/>
              </w:rPr>
              <w:t>＜</w:t>
            </w:r>
            <w:r>
              <w:rPr>
                <w:rFonts w:ascii="Times New Roman" w:eastAsiaTheme="minorEastAsia" w:hAnsi="Times New Roman"/>
                <w:sz w:val="24"/>
                <w:szCs w:val="21"/>
              </w:rPr>
              <w:t>500</w:t>
            </w:r>
            <w:r>
              <w:rPr>
                <w:rFonts w:ascii="Times New Roman" w:eastAsiaTheme="minorEastAsia" w:hAnsi="Times New Roman" w:hint="eastAsia"/>
                <w:sz w:val="24"/>
                <w:szCs w:val="21"/>
              </w:rPr>
              <w:t>万</w:t>
            </w:r>
          </w:p>
        </w:tc>
        <w:tc>
          <w:tcPr>
            <w:tcW w:w="2289" w:type="dxa"/>
            <w:tcBorders>
              <w:top w:val="single" w:sz="4" w:space="0" w:color="auto"/>
              <w:left w:val="single" w:sz="4" w:space="0" w:color="auto"/>
              <w:bottom w:val="single" w:sz="4" w:space="0" w:color="auto"/>
              <w:right w:val="single" w:sz="4" w:space="0" w:color="auto"/>
            </w:tcBorders>
            <w:vAlign w:val="center"/>
            <w:hideMark/>
          </w:tcPr>
          <w:p w14:paraId="20FCD6EF" w14:textId="77777777" w:rsidR="00CB5CC0" w:rsidRDefault="00CB5CC0">
            <w:pPr>
              <w:adjustRightInd w:val="0"/>
              <w:snapToGrid w:val="0"/>
              <w:jc w:val="center"/>
              <w:rPr>
                <w:rFonts w:ascii="Times New Roman" w:eastAsiaTheme="minorEastAsia" w:hAnsi="Times New Roman"/>
                <w:sz w:val="24"/>
                <w:szCs w:val="21"/>
              </w:rPr>
            </w:pPr>
            <w:r>
              <w:rPr>
                <w:rFonts w:ascii="Times New Roman" w:eastAsiaTheme="minorEastAsia" w:hAnsi="Times New Roman"/>
                <w:sz w:val="24"/>
                <w:szCs w:val="21"/>
              </w:rPr>
              <w:t>0.30%</w:t>
            </w:r>
          </w:p>
        </w:tc>
        <w:tc>
          <w:tcPr>
            <w:tcW w:w="2696" w:type="dxa"/>
            <w:tcBorders>
              <w:top w:val="single" w:sz="4" w:space="0" w:color="auto"/>
              <w:left w:val="single" w:sz="4" w:space="0" w:color="auto"/>
              <w:bottom w:val="single" w:sz="4" w:space="0" w:color="auto"/>
              <w:right w:val="single" w:sz="4" w:space="0" w:color="auto"/>
            </w:tcBorders>
            <w:vAlign w:val="center"/>
            <w:hideMark/>
          </w:tcPr>
          <w:p w14:paraId="1ECE6119" w14:textId="77777777" w:rsidR="00CB5CC0" w:rsidRDefault="00CB5CC0">
            <w:pPr>
              <w:adjustRightInd w:val="0"/>
              <w:snapToGrid w:val="0"/>
              <w:jc w:val="center"/>
              <w:rPr>
                <w:rFonts w:ascii="Times New Roman" w:eastAsiaTheme="minorEastAsia" w:hAnsi="Times New Roman"/>
                <w:sz w:val="24"/>
                <w:szCs w:val="21"/>
              </w:rPr>
            </w:pPr>
            <w:r>
              <w:rPr>
                <w:rFonts w:ascii="Times New Roman" w:eastAsiaTheme="minorEastAsia" w:hAnsi="Times New Roman"/>
                <w:sz w:val="24"/>
                <w:szCs w:val="21"/>
              </w:rPr>
              <w:t>0.03%</w:t>
            </w:r>
          </w:p>
        </w:tc>
      </w:tr>
      <w:tr w:rsidR="00CB5CC0" w14:paraId="34834CD7" w14:textId="77777777" w:rsidTr="00CB5CC0">
        <w:trPr>
          <w:trHeight w:val="397"/>
          <w:jc w:val="center"/>
        </w:trPr>
        <w:tc>
          <w:tcPr>
            <w:tcW w:w="2466" w:type="dxa"/>
            <w:tcBorders>
              <w:top w:val="single" w:sz="4" w:space="0" w:color="auto"/>
              <w:left w:val="single" w:sz="4" w:space="0" w:color="auto"/>
              <w:bottom w:val="single" w:sz="4" w:space="0" w:color="auto"/>
              <w:right w:val="single" w:sz="4" w:space="0" w:color="auto"/>
            </w:tcBorders>
            <w:vAlign w:val="center"/>
            <w:hideMark/>
          </w:tcPr>
          <w:p w14:paraId="50387565" w14:textId="77777777" w:rsidR="00CB5CC0" w:rsidRDefault="00CB5CC0">
            <w:pPr>
              <w:adjustRightInd w:val="0"/>
              <w:snapToGrid w:val="0"/>
              <w:jc w:val="center"/>
              <w:rPr>
                <w:rFonts w:ascii="Times New Roman" w:eastAsiaTheme="minorEastAsia" w:hAnsi="Times New Roman"/>
                <w:sz w:val="24"/>
                <w:szCs w:val="21"/>
              </w:rPr>
            </w:pPr>
            <w:r>
              <w:rPr>
                <w:rFonts w:ascii="Times New Roman" w:eastAsiaTheme="minorEastAsia" w:hAnsi="Times New Roman"/>
                <w:sz w:val="24"/>
                <w:szCs w:val="21"/>
              </w:rPr>
              <w:t>M≥500</w:t>
            </w:r>
            <w:r>
              <w:rPr>
                <w:rFonts w:ascii="Times New Roman" w:eastAsiaTheme="minorEastAsia" w:hAnsi="Times New Roman" w:hint="eastAsia"/>
                <w:sz w:val="24"/>
                <w:szCs w:val="21"/>
              </w:rPr>
              <w:t>万</w:t>
            </w:r>
          </w:p>
        </w:tc>
        <w:tc>
          <w:tcPr>
            <w:tcW w:w="2289" w:type="dxa"/>
            <w:tcBorders>
              <w:top w:val="single" w:sz="4" w:space="0" w:color="auto"/>
              <w:left w:val="single" w:sz="4" w:space="0" w:color="auto"/>
              <w:bottom w:val="single" w:sz="4" w:space="0" w:color="auto"/>
              <w:right w:val="single" w:sz="4" w:space="0" w:color="auto"/>
            </w:tcBorders>
            <w:vAlign w:val="center"/>
            <w:hideMark/>
          </w:tcPr>
          <w:p w14:paraId="20FC7271" w14:textId="77777777" w:rsidR="00CB5CC0" w:rsidRDefault="00CB5CC0">
            <w:pPr>
              <w:adjustRightInd w:val="0"/>
              <w:snapToGrid w:val="0"/>
              <w:jc w:val="center"/>
              <w:rPr>
                <w:rFonts w:ascii="Times New Roman" w:eastAsiaTheme="minorEastAsia" w:hAnsi="Times New Roman"/>
                <w:sz w:val="24"/>
                <w:szCs w:val="21"/>
              </w:rPr>
            </w:pPr>
            <w:r>
              <w:rPr>
                <w:rFonts w:ascii="Times New Roman" w:eastAsiaTheme="minorEastAsia" w:hAnsi="Times New Roman"/>
                <w:sz w:val="24"/>
                <w:szCs w:val="21"/>
              </w:rPr>
              <w:t>1000</w:t>
            </w:r>
            <w:r>
              <w:rPr>
                <w:rFonts w:ascii="Times New Roman" w:eastAsiaTheme="minorEastAsia" w:hAnsi="Times New Roman" w:hint="eastAsia"/>
                <w:sz w:val="24"/>
                <w:szCs w:val="21"/>
              </w:rPr>
              <w:t>元</w:t>
            </w:r>
            <w:r>
              <w:rPr>
                <w:rFonts w:ascii="Times New Roman" w:eastAsiaTheme="minorEastAsia" w:hAnsi="Times New Roman"/>
                <w:sz w:val="24"/>
                <w:szCs w:val="21"/>
              </w:rPr>
              <w:t>/</w:t>
            </w:r>
            <w:r>
              <w:rPr>
                <w:rFonts w:ascii="Times New Roman" w:eastAsiaTheme="minorEastAsia" w:hAnsi="Times New Roman" w:hint="eastAsia"/>
                <w:sz w:val="24"/>
                <w:szCs w:val="21"/>
              </w:rPr>
              <w:t>笔</w:t>
            </w:r>
          </w:p>
        </w:tc>
        <w:tc>
          <w:tcPr>
            <w:tcW w:w="2696" w:type="dxa"/>
            <w:tcBorders>
              <w:top w:val="single" w:sz="4" w:space="0" w:color="auto"/>
              <w:left w:val="single" w:sz="4" w:space="0" w:color="auto"/>
              <w:bottom w:val="single" w:sz="4" w:space="0" w:color="auto"/>
              <w:right w:val="single" w:sz="4" w:space="0" w:color="auto"/>
            </w:tcBorders>
            <w:vAlign w:val="center"/>
            <w:hideMark/>
          </w:tcPr>
          <w:p w14:paraId="0FBF2F39" w14:textId="77777777" w:rsidR="00CB5CC0" w:rsidRDefault="00CB5CC0">
            <w:pPr>
              <w:adjustRightInd w:val="0"/>
              <w:snapToGrid w:val="0"/>
              <w:jc w:val="center"/>
              <w:rPr>
                <w:rFonts w:ascii="Times New Roman" w:eastAsiaTheme="minorEastAsia" w:hAnsi="Times New Roman"/>
                <w:sz w:val="24"/>
                <w:szCs w:val="21"/>
              </w:rPr>
            </w:pPr>
            <w:r>
              <w:rPr>
                <w:rFonts w:ascii="Times New Roman" w:eastAsiaTheme="minorEastAsia" w:hAnsi="Times New Roman"/>
                <w:sz w:val="24"/>
                <w:szCs w:val="21"/>
              </w:rPr>
              <w:t>1000</w:t>
            </w:r>
            <w:r>
              <w:rPr>
                <w:rFonts w:ascii="Times New Roman" w:eastAsiaTheme="minorEastAsia" w:hAnsi="Times New Roman" w:hint="eastAsia"/>
                <w:sz w:val="24"/>
                <w:szCs w:val="21"/>
              </w:rPr>
              <w:t>元</w:t>
            </w:r>
            <w:r>
              <w:rPr>
                <w:rFonts w:ascii="Times New Roman" w:eastAsiaTheme="minorEastAsia" w:hAnsi="Times New Roman"/>
                <w:sz w:val="24"/>
                <w:szCs w:val="21"/>
              </w:rPr>
              <w:t>/</w:t>
            </w:r>
            <w:r>
              <w:rPr>
                <w:rFonts w:ascii="Times New Roman" w:eastAsiaTheme="minorEastAsia" w:hAnsi="Times New Roman" w:hint="eastAsia"/>
                <w:sz w:val="24"/>
                <w:szCs w:val="21"/>
              </w:rPr>
              <w:t>笔</w:t>
            </w:r>
          </w:p>
        </w:tc>
      </w:tr>
    </w:tbl>
    <w:p w14:paraId="2C279140" w14:textId="77777777" w:rsidR="00CB5CC0" w:rsidRDefault="00CB5CC0" w:rsidP="00CB5CC0">
      <w:pPr>
        <w:spacing w:line="360" w:lineRule="auto"/>
        <w:ind w:firstLineChars="200" w:firstLine="480"/>
        <w:rPr>
          <w:rFonts w:ascii="Times New Roman" w:eastAsiaTheme="minorEastAsia" w:hAnsi="Times New Roman"/>
          <w:bCs/>
          <w:sz w:val="24"/>
          <w:szCs w:val="24"/>
        </w:rPr>
      </w:pPr>
      <w:r>
        <w:rPr>
          <w:rFonts w:ascii="Times New Roman" w:eastAsiaTheme="minorEastAsia" w:hAnsi="Times New Roman"/>
          <w:bCs/>
          <w:sz w:val="24"/>
          <w:szCs w:val="24"/>
        </w:rPr>
        <w:t>2</w:t>
      </w:r>
      <w:r>
        <w:rPr>
          <w:rFonts w:ascii="Times New Roman" w:eastAsiaTheme="minorEastAsia" w:hAnsi="Times New Roman" w:hint="eastAsia"/>
          <w:bCs/>
          <w:sz w:val="24"/>
          <w:szCs w:val="24"/>
        </w:rPr>
        <w:t>、</w:t>
      </w:r>
      <w:r>
        <w:rPr>
          <w:rFonts w:ascii="Times New Roman" w:eastAsiaTheme="minorEastAsia" w:hAnsi="Times New Roman"/>
          <w:bCs/>
          <w:sz w:val="24"/>
          <w:szCs w:val="24"/>
        </w:rPr>
        <w:t>A</w:t>
      </w:r>
      <w:r>
        <w:rPr>
          <w:rFonts w:ascii="Times New Roman" w:eastAsiaTheme="minorEastAsia" w:hAnsi="Times New Roman" w:hint="eastAsia"/>
          <w:bCs/>
          <w:sz w:val="24"/>
          <w:szCs w:val="24"/>
        </w:rPr>
        <w:t>类基金份额场外赎回费率</w:t>
      </w:r>
      <w:r>
        <w:rPr>
          <w:rFonts w:ascii="Times New Roman" w:hAnsi="Times New Roman" w:hint="eastAsia"/>
          <w:sz w:val="24"/>
        </w:rPr>
        <w:t>设置为</w:t>
      </w:r>
      <w:r>
        <w:rPr>
          <w:rFonts w:ascii="Times New Roman" w:eastAsiaTheme="minorEastAsia" w:hAnsi="Times New Roman" w:hint="eastAsia"/>
          <w:bCs/>
          <w:sz w:val="24"/>
          <w:szCs w:val="24"/>
        </w:rPr>
        <w:t>：</w:t>
      </w: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2437"/>
        <w:gridCol w:w="2550"/>
      </w:tblGrid>
      <w:tr w:rsidR="00CB5CC0" w14:paraId="205378F2" w14:textId="77777777" w:rsidTr="00CB5CC0">
        <w:trPr>
          <w:trHeight w:hRule="exact" w:val="397"/>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14:paraId="04FC001F"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hint="eastAsia"/>
                <w:bCs/>
                <w:sz w:val="24"/>
                <w:szCs w:val="21"/>
              </w:rPr>
              <w:t>持有时间（天）</w:t>
            </w:r>
          </w:p>
        </w:tc>
        <w:tc>
          <w:tcPr>
            <w:tcW w:w="2439" w:type="dxa"/>
            <w:tcBorders>
              <w:top w:val="single" w:sz="4" w:space="0" w:color="auto"/>
              <w:left w:val="single" w:sz="4" w:space="0" w:color="auto"/>
              <w:bottom w:val="single" w:sz="4" w:space="0" w:color="auto"/>
              <w:right w:val="single" w:sz="4" w:space="0" w:color="auto"/>
            </w:tcBorders>
            <w:vAlign w:val="center"/>
            <w:hideMark/>
          </w:tcPr>
          <w:p w14:paraId="529D5DC2"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hint="eastAsia"/>
                <w:bCs/>
                <w:sz w:val="24"/>
                <w:szCs w:val="21"/>
              </w:rPr>
              <w:t>赎回费率</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A22B3AA"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hint="eastAsia"/>
                <w:bCs/>
                <w:sz w:val="24"/>
                <w:szCs w:val="21"/>
              </w:rPr>
              <w:t>归入基金资产比例</w:t>
            </w:r>
          </w:p>
        </w:tc>
      </w:tr>
      <w:tr w:rsidR="00CB5CC0" w14:paraId="01E98D0E" w14:textId="77777777" w:rsidTr="00CB5CC0">
        <w:trPr>
          <w:trHeight w:hRule="exact" w:val="397"/>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14:paraId="3D539CE1"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bCs/>
                <w:sz w:val="24"/>
                <w:szCs w:val="21"/>
              </w:rPr>
              <w:t>0-6</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BB629B9"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bCs/>
                <w:sz w:val="24"/>
                <w:szCs w:val="21"/>
              </w:rPr>
              <w:t>1.50%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66B6AB6"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bCs/>
                <w:sz w:val="24"/>
                <w:szCs w:val="21"/>
              </w:rPr>
              <w:t>100%</w:t>
            </w:r>
          </w:p>
        </w:tc>
      </w:tr>
      <w:tr w:rsidR="00CB5CC0" w14:paraId="2B85BAF0" w14:textId="77777777" w:rsidTr="00CB5CC0">
        <w:trPr>
          <w:trHeight w:hRule="exact" w:val="397"/>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14:paraId="77D509C1"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bCs/>
                <w:sz w:val="24"/>
                <w:szCs w:val="21"/>
              </w:rPr>
              <w:t>7-29</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2E42FBF"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bCs/>
                <w:sz w:val="24"/>
                <w:szCs w:val="21"/>
              </w:rPr>
              <w:t>0.50%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7087BE4"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bCs/>
                <w:sz w:val="24"/>
                <w:szCs w:val="21"/>
              </w:rPr>
              <w:t>25%</w:t>
            </w:r>
          </w:p>
        </w:tc>
      </w:tr>
      <w:tr w:rsidR="00CB5CC0" w14:paraId="49976518" w14:textId="77777777" w:rsidTr="00CB5CC0">
        <w:trPr>
          <w:trHeight w:hRule="exact" w:val="419"/>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14:paraId="44614C40"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bCs/>
                <w:sz w:val="24"/>
                <w:szCs w:val="21"/>
              </w:rPr>
              <w:t>30-179</w:t>
            </w:r>
          </w:p>
        </w:tc>
        <w:tc>
          <w:tcPr>
            <w:tcW w:w="2439" w:type="dxa"/>
            <w:tcBorders>
              <w:top w:val="single" w:sz="4" w:space="0" w:color="auto"/>
              <w:left w:val="single" w:sz="4" w:space="0" w:color="auto"/>
              <w:bottom w:val="single" w:sz="4" w:space="0" w:color="auto"/>
              <w:right w:val="single" w:sz="4" w:space="0" w:color="auto"/>
            </w:tcBorders>
            <w:vAlign w:val="center"/>
            <w:hideMark/>
          </w:tcPr>
          <w:p w14:paraId="63B6FC87"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bCs/>
                <w:sz w:val="24"/>
                <w:szCs w:val="21"/>
              </w:rPr>
              <w:t>0.25%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E02B99B"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bCs/>
                <w:sz w:val="24"/>
                <w:szCs w:val="21"/>
              </w:rPr>
              <w:t>25%</w:t>
            </w:r>
          </w:p>
        </w:tc>
      </w:tr>
      <w:tr w:rsidR="00CB5CC0" w14:paraId="035F1D5C" w14:textId="77777777" w:rsidTr="00CB5CC0">
        <w:trPr>
          <w:trHeight w:hRule="exact" w:val="397"/>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14:paraId="500E383D"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bCs/>
                <w:sz w:val="24"/>
                <w:szCs w:val="21"/>
              </w:rPr>
              <w:t>180</w:t>
            </w:r>
            <w:r>
              <w:rPr>
                <w:rFonts w:ascii="Times New Roman" w:eastAsiaTheme="minorEastAsia" w:hAnsi="Times New Roman" w:hint="eastAsia"/>
                <w:bCs/>
                <w:sz w:val="24"/>
                <w:szCs w:val="21"/>
              </w:rPr>
              <w:t>及以上</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C9052ED"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bCs/>
                <w:sz w:val="24"/>
                <w:szCs w:val="21"/>
              </w:rPr>
              <w:t>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7CA34F9" w14:textId="77777777" w:rsidR="00CB5CC0" w:rsidRDefault="00CB5CC0">
            <w:pPr>
              <w:adjustRightInd w:val="0"/>
              <w:snapToGrid w:val="0"/>
              <w:jc w:val="center"/>
              <w:rPr>
                <w:rFonts w:ascii="Times New Roman" w:eastAsiaTheme="minorEastAsia" w:hAnsi="Times New Roman"/>
                <w:bCs/>
                <w:sz w:val="24"/>
                <w:szCs w:val="21"/>
              </w:rPr>
            </w:pPr>
            <w:r>
              <w:rPr>
                <w:rFonts w:ascii="Times New Roman" w:eastAsiaTheme="minorEastAsia" w:hAnsi="Times New Roman"/>
                <w:bCs/>
                <w:sz w:val="24"/>
                <w:szCs w:val="21"/>
              </w:rPr>
              <w:t>---</w:t>
            </w:r>
          </w:p>
        </w:tc>
      </w:tr>
    </w:tbl>
    <w:p w14:paraId="72F61149" w14:textId="77777777" w:rsidR="00CB5CC0" w:rsidRDefault="00CB5CC0" w:rsidP="00CB5CC0">
      <w:pPr>
        <w:spacing w:line="360" w:lineRule="auto"/>
        <w:ind w:firstLineChars="200" w:firstLine="480"/>
        <w:rPr>
          <w:rFonts w:ascii="Times New Roman" w:eastAsiaTheme="minorEastAsia" w:hAnsi="Times New Roman"/>
          <w:bCs/>
          <w:sz w:val="24"/>
          <w:szCs w:val="24"/>
        </w:rPr>
      </w:pPr>
      <w:r>
        <w:rPr>
          <w:rFonts w:ascii="Times New Roman" w:eastAsiaTheme="minorEastAsia" w:hAnsi="Times New Roman"/>
          <w:bCs/>
          <w:sz w:val="24"/>
          <w:szCs w:val="24"/>
        </w:rPr>
        <w:t>3</w:t>
      </w:r>
      <w:r>
        <w:rPr>
          <w:rFonts w:ascii="Times New Roman" w:eastAsiaTheme="minorEastAsia" w:hAnsi="Times New Roman" w:hint="eastAsia"/>
          <w:bCs/>
          <w:sz w:val="24"/>
          <w:szCs w:val="24"/>
        </w:rPr>
        <w:t>、</w:t>
      </w:r>
      <w:r>
        <w:rPr>
          <w:rFonts w:ascii="Times New Roman" w:eastAsiaTheme="minorEastAsia" w:hAnsi="Times New Roman"/>
          <w:bCs/>
          <w:sz w:val="24"/>
          <w:szCs w:val="24"/>
        </w:rPr>
        <w:t>A</w:t>
      </w:r>
      <w:r>
        <w:rPr>
          <w:rFonts w:ascii="Times New Roman" w:eastAsiaTheme="minorEastAsia" w:hAnsi="Times New Roman" w:hint="eastAsia"/>
          <w:bCs/>
          <w:sz w:val="24"/>
          <w:szCs w:val="24"/>
        </w:rPr>
        <w:t>类基金份额场内赎回费率</w:t>
      </w:r>
      <w:r>
        <w:rPr>
          <w:rFonts w:ascii="Times New Roman" w:hAnsi="Times New Roman" w:hint="eastAsia"/>
          <w:sz w:val="24"/>
        </w:rPr>
        <w:t>设置为</w:t>
      </w:r>
      <w:r>
        <w:rPr>
          <w:rFonts w:ascii="Times New Roman" w:eastAsiaTheme="minorEastAsia" w:hAnsi="Times New Roman" w:hint="eastAsia"/>
          <w:bCs/>
          <w:sz w:val="24"/>
          <w:szCs w:val="24"/>
        </w:rPr>
        <w:t>：</w:t>
      </w:r>
    </w:p>
    <w:tbl>
      <w:tblPr>
        <w:tblW w:w="7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8"/>
        <w:gridCol w:w="2437"/>
        <w:gridCol w:w="2550"/>
      </w:tblGrid>
      <w:tr w:rsidR="00CB5CC0" w14:paraId="035B5D58" w14:textId="77777777" w:rsidTr="00CB5CC0">
        <w:trPr>
          <w:trHeight w:hRule="exact" w:val="397"/>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14:paraId="65020691" w14:textId="77777777" w:rsidR="00CB5CC0" w:rsidRDefault="00CB5CC0">
            <w:pPr>
              <w:adjustRightInd w:val="0"/>
              <w:snapToGrid w:val="0"/>
              <w:jc w:val="center"/>
              <w:rPr>
                <w:rFonts w:ascii="Times New Roman" w:eastAsiaTheme="minorEastAsia" w:hAnsi="Times New Roman"/>
                <w:bCs/>
                <w:sz w:val="24"/>
                <w:szCs w:val="24"/>
              </w:rPr>
            </w:pPr>
            <w:r>
              <w:rPr>
                <w:rFonts w:ascii="Times New Roman" w:eastAsiaTheme="minorEastAsia" w:hAnsi="Times New Roman" w:hint="eastAsia"/>
                <w:bCs/>
                <w:sz w:val="24"/>
                <w:szCs w:val="24"/>
              </w:rPr>
              <w:t>持有时间（天）</w:t>
            </w:r>
          </w:p>
        </w:tc>
        <w:tc>
          <w:tcPr>
            <w:tcW w:w="2439" w:type="dxa"/>
            <w:tcBorders>
              <w:top w:val="single" w:sz="4" w:space="0" w:color="auto"/>
              <w:left w:val="single" w:sz="4" w:space="0" w:color="auto"/>
              <w:bottom w:val="single" w:sz="4" w:space="0" w:color="auto"/>
              <w:right w:val="single" w:sz="4" w:space="0" w:color="auto"/>
            </w:tcBorders>
            <w:vAlign w:val="center"/>
            <w:hideMark/>
          </w:tcPr>
          <w:p w14:paraId="19C2DBFE" w14:textId="77777777" w:rsidR="00CB5CC0" w:rsidRDefault="00CB5CC0">
            <w:pPr>
              <w:adjustRightInd w:val="0"/>
              <w:snapToGrid w:val="0"/>
              <w:jc w:val="center"/>
              <w:rPr>
                <w:rFonts w:ascii="Times New Roman" w:eastAsiaTheme="minorEastAsia" w:hAnsi="Times New Roman"/>
                <w:bCs/>
                <w:sz w:val="24"/>
                <w:szCs w:val="24"/>
              </w:rPr>
            </w:pPr>
            <w:r>
              <w:rPr>
                <w:rFonts w:ascii="Times New Roman" w:eastAsiaTheme="minorEastAsia" w:hAnsi="Times New Roman" w:hint="eastAsia"/>
                <w:bCs/>
                <w:sz w:val="24"/>
                <w:szCs w:val="24"/>
              </w:rPr>
              <w:t>赎回费率</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37E67A7" w14:textId="77777777" w:rsidR="00CB5CC0" w:rsidRDefault="00CB5CC0">
            <w:pPr>
              <w:adjustRightInd w:val="0"/>
              <w:snapToGrid w:val="0"/>
              <w:jc w:val="center"/>
              <w:rPr>
                <w:rFonts w:ascii="Times New Roman" w:eastAsiaTheme="minorEastAsia" w:hAnsi="Times New Roman"/>
                <w:bCs/>
                <w:sz w:val="24"/>
                <w:szCs w:val="24"/>
              </w:rPr>
            </w:pPr>
            <w:r>
              <w:rPr>
                <w:rFonts w:ascii="Times New Roman" w:eastAsiaTheme="minorEastAsia" w:hAnsi="Times New Roman" w:hint="eastAsia"/>
                <w:bCs/>
                <w:sz w:val="24"/>
                <w:szCs w:val="24"/>
              </w:rPr>
              <w:t>归入基金资产比例</w:t>
            </w:r>
          </w:p>
        </w:tc>
      </w:tr>
      <w:tr w:rsidR="00CB5CC0" w14:paraId="24067BA7" w14:textId="77777777" w:rsidTr="00CB5CC0">
        <w:trPr>
          <w:trHeight w:hRule="exact" w:val="397"/>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14:paraId="6318AD1E" w14:textId="77777777" w:rsidR="00CB5CC0" w:rsidRDefault="00CB5CC0">
            <w:pPr>
              <w:adjustRightInd w:val="0"/>
              <w:snapToGrid w:val="0"/>
              <w:jc w:val="center"/>
              <w:rPr>
                <w:rFonts w:ascii="Times New Roman" w:eastAsiaTheme="minorEastAsia" w:hAnsi="Times New Roman"/>
                <w:bCs/>
                <w:sz w:val="24"/>
                <w:szCs w:val="24"/>
              </w:rPr>
            </w:pPr>
            <w:r>
              <w:rPr>
                <w:rFonts w:ascii="Times New Roman" w:eastAsiaTheme="minorEastAsia" w:hAnsi="Times New Roman"/>
                <w:bCs/>
                <w:sz w:val="24"/>
                <w:szCs w:val="24"/>
              </w:rPr>
              <w:t>0-6</w:t>
            </w:r>
          </w:p>
        </w:tc>
        <w:tc>
          <w:tcPr>
            <w:tcW w:w="2439" w:type="dxa"/>
            <w:tcBorders>
              <w:top w:val="single" w:sz="4" w:space="0" w:color="auto"/>
              <w:left w:val="single" w:sz="4" w:space="0" w:color="auto"/>
              <w:bottom w:val="single" w:sz="4" w:space="0" w:color="auto"/>
              <w:right w:val="single" w:sz="4" w:space="0" w:color="auto"/>
            </w:tcBorders>
            <w:vAlign w:val="center"/>
            <w:hideMark/>
          </w:tcPr>
          <w:p w14:paraId="44B641EC" w14:textId="77777777" w:rsidR="00CB5CC0" w:rsidRDefault="00CB5CC0">
            <w:pPr>
              <w:adjustRightInd w:val="0"/>
              <w:snapToGrid w:val="0"/>
              <w:jc w:val="center"/>
              <w:rPr>
                <w:rFonts w:ascii="Times New Roman" w:eastAsiaTheme="minorEastAsia" w:hAnsi="Times New Roman"/>
                <w:bCs/>
                <w:sz w:val="24"/>
                <w:szCs w:val="24"/>
              </w:rPr>
            </w:pPr>
            <w:r>
              <w:rPr>
                <w:rFonts w:ascii="Times New Roman" w:eastAsiaTheme="minorEastAsia" w:hAnsi="Times New Roman"/>
                <w:bCs/>
                <w:sz w:val="24"/>
                <w:szCs w:val="24"/>
              </w:rPr>
              <w:t>1.50%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F0BD566" w14:textId="77777777" w:rsidR="00CB5CC0" w:rsidRDefault="00CB5CC0">
            <w:pPr>
              <w:adjustRightInd w:val="0"/>
              <w:snapToGrid w:val="0"/>
              <w:jc w:val="center"/>
              <w:rPr>
                <w:rFonts w:ascii="Times New Roman" w:eastAsiaTheme="minorEastAsia" w:hAnsi="Times New Roman"/>
                <w:bCs/>
                <w:sz w:val="24"/>
                <w:szCs w:val="24"/>
              </w:rPr>
            </w:pPr>
            <w:r>
              <w:rPr>
                <w:rFonts w:ascii="Times New Roman" w:eastAsiaTheme="minorEastAsia" w:hAnsi="Times New Roman"/>
                <w:bCs/>
                <w:sz w:val="24"/>
                <w:szCs w:val="24"/>
              </w:rPr>
              <w:t>100%</w:t>
            </w:r>
          </w:p>
        </w:tc>
      </w:tr>
      <w:tr w:rsidR="00CB5CC0" w14:paraId="36BA9537" w14:textId="77777777" w:rsidTr="00CB5CC0">
        <w:trPr>
          <w:trHeight w:hRule="exact" w:val="397"/>
          <w:jc w:val="center"/>
        </w:trPr>
        <w:tc>
          <w:tcPr>
            <w:tcW w:w="2319" w:type="dxa"/>
            <w:tcBorders>
              <w:top w:val="single" w:sz="4" w:space="0" w:color="auto"/>
              <w:left w:val="single" w:sz="4" w:space="0" w:color="auto"/>
              <w:bottom w:val="single" w:sz="4" w:space="0" w:color="auto"/>
              <w:right w:val="single" w:sz="4" w:space="0" w:color="auto"/>
            </w:tcBorders>
            <w:vAlign w:val="center"/>
            <w:hideMark/>
          </w:tcPr>
          <w:p w14:paraId="27C28817" w14:textId="77777777" w:rsidR="00CB5CC0" w:rsidRDefault="00CB5CC0">
            <w:pPr>
              <w:adjustRightInd w:val="0"/>
              <w:snapToGrid w:val="0"/>
              <w:jc w:val="center"/>
              <w:rPr>
                <w:rFonts w:ascii="Times New Roman" w:eastAsiaTheme="minorEastAsia" w:hAnsi="Times New Roman"/>
                <w:bCs/>
                <w:sz w:val="24"/>
                <w:szCs w:val="24"/>
              </w:rPr>
            </w:pPr>
            <w:r>
              <w:rPr>
                <w:rFonts w:ascii="Times New Roman" w:eastAsiaTheme="minorEastAsia" w:hAnsi="Times New Roman"/>
                <w:bCs/>
                <w:sz w:val="24"/>
                <w:szCs w:val="24"/>
              </w:rPr>
              <w:t>7</w:t>
            </w:r>
            <w:r>
              <w:rPr>
                <w:rFonts w:ascii="Times New Roman" w:eastAsiaTheme="minorEastAsia" w:hAnsi="Times New Roman" w:hint="eastAsia"/>
                <w:bCs/>
                <w:sz w:val="24"/>
                <w:szCs w:val="24"/>
              </w:rPr>
              <w:t>及以上</w:t>
            </w:r>
          </w:p>
        </w:tc>
        <w:tc>
          <w:tcPr>
            <w:tcW w:w="2439" w:type="dxa"/>
            <w:tcBorders>
              <w:top w:val="single" w:sz="4" w:space="0" w:color="auto"/>
              <w:left w:val="single" w:sz="4" w:space="0" w:color="auto"/>
              <w:bottom w:val="single" w:sz="4" w:space="0" w:color="auto"/>
              <w:right w:val="single" w:sz="4" w:space="0" w:color="auto"/>
            </w:tcBorders>
            <w:vAlign w:val="center"/>
            <w:hideMark/>
          </w:tcPr>
          <w:p w14:paraId="6CEBACB3" w14:textId="77777777" w:rsidR="00CB5CC0" w:rsidRDefault="00CB5CC0">
            <w:pPr>
              <w:adjustRightInd w:val="0"/>
              <w:snapToGrid w:val="0"/>
              <w:jc w:val="center"/>
              <w:rPr>
                <w:rFonts w:ascii="Times New Roman" w:eastAsiaTheme="minorEastAsia" w:hAnsi="Times New Roman"/>
                <w:bCs/>
                <w:sz w:val="24"/>
                <w:szCs w:val="24"/>
              </w:rPr>
            </w:pPr>
            <w:r>
              <w:rPr>
                <w:rFonts w:ascii="Times New Roman" w:eastAsiaTheme="minorEastAsia" w:hAnsi="Times New Roman"/>
                <w:bCs/>
                <w:sz w:val="24"/>
                <w:szCs w:val="24"/>
              </w:rPr>
              <w:t>0.50%</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84D40C5" w14:textId="77777777" w:rsidR="00CB5CC0" w:rsidRDefault="00CB5CC0">
            <w:pPr>
              <w:adjustRightInd w:val="0"/>
              <w:snapToGrid w:val="0"/>
              <w:jc w:val="center"/>
              <w:rPr>
                <w:rFonts w:ascii="Times New Roman" w:eastAsiaTheme="minorEastAsia" w:hAnsi="Times New Roman"/>
                <w:bCs/>
                <w:sz w:val="24"/>
                <w:szCs w:val="24"/>
              </w:rPr>
            </w:pPr>
            <w:r>
              <w:rPr>
                <w:rFonts w:ascii="Times New Roman" w:eastAsiaTheme="minorEastAsia" w:hAnsi="Times New Roman"/>
                <w:bCs/>
                <w:sz w:val="24"/>
                <w:szCs w:val="24"/>
              </w:rPr>
              <w:t>25%</w:t>
            </w:r>
          </w:p>
        </w:tc>
      </w:tr>
    </w:tbl>
    <w:p w14:paraId="1A6B6656" w14:textId="63BFFB32" w:rsidR="00F40682" w:rsidRDefault="00F40682"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根据有关业务规则，基金份额持有人持有的易方达银行分级份额转换为易方达中证银行指数证券投资基金（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类份额后，其原基金份额持有期计入易方达中证银行指数证券投资基金（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类份额的持有期；基金份额持有人持有的</w:t>
      </w:r>
      <w:r w:rsidRPr="00200C2B">
        <w:rPr>
          <w:rFonts w:ascii="Times New Roman" w:hAnsi="Times New Roman" w:hint="eastAsia"/>
          <w:sz w:val="24"/>
        </w:rPr>
        <w:t>易方达银行分级</w:t>
      </w:r>
      <w:r w:rsidRPr="00200C2B">
        <w:rPr>
          <w:rFonts w:ascii="Times New Roman" w:hAnsi="Times New Roman" w:hint="eastAsia"/>
          <w:sz w:val="24"/>
        </w:rPr>
        <w:t>A</w:t>
      </w:r>
      <w:r w:rsidRPr="00200C2B">
        <w:rPr>
          <w:rFonts w:ascii="Times New Roman" w:hAnsi="Times New Roman" w:hint="eastAsia"/>
          <w:sz w:val="24"/>
        </w:rPr>
        <w:t>类份额</w:t>
      </w:r>
      <w:r w:rsidRPr="00200C2B">
        <w:rPr>
          <w:rFonts w:ascii="Times New Roman" w:eastAsiaTheme="minorEastAsia" w:hAnsi="Times New Roman" w:hint="eastAsia"/>
          <w:bCs/>
          <w:sz w:val="24"/>
          <w:szCs w:val="24"/>
        </w:rPr>
        <w:t>和</w:t>
      </w:r>
      <w:r w:rsidRPr="00200C2B">
        <w:rPr>
          <w:rFonts w:ascii="Times New Roman" w:hAnsi="Times New Roman" w:hint="eastAsia"/>
          <w:sz w:val="24"/>
        </w:rPr>
        <w:t>易方达银行分级</w:t>
      </w:r>
      <w:r w:rsidRPr="00200C2B">
        <w:rPr>
          <w:rFonts w:ascii="Times New Roman" w:hAnsi="Times New Roman" w:hint="eastAsia"/>
          <w:sz w:val="24"/>
        </w:rPr>
        <w:t>B</w:t>
      </w:r>
      <w:r w:rsidRPr="00200C2B">
        <w:rPr>
          <w:rFonts w:ascii="Times New Roman" w:hAnsi="Times New Roman" w:hint="eastAsia"/>
          <w:sz w:val="24"/>
        </w:rPr>
        <w:t>类份额</w:t>
      </w:r>
      <w:r w:rsidRPr="00200C2B">
        <w:rPr>
          <w:rFonts w:ascii="Times New Roman" w:eastAsiaTheme="minorEastAsia" w:hAnsi="Times New Roman" w:hint="eastAsia"/>
          <w:bCs/>
          <w:sz w:val="24"/>
          <w:szCs w:val="24"/>
        </w:rPr>
        <w:t>转换为易方达中证银行指数证券投资基金（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类场内份额后，基金份额持有期自易方达中证银行指数证券投资基金（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类场内份额确认之日起计算，基金份额持有人赎回份额时适用的赎回费率将根据持有期确定，具体持有时间以登记结算机构系统记录为准。如果赎回份额时持有期较短，基金份额持有人将承担较高的赎回费。</w:t>
      </w:r>
    </w:p>
    <w:bookmarkEnd w:id="3"/>
    <w:p w14:paraId="68724FAC" w14:textId="77777777" w:rsidR="00C61EDB" w:rsidRDefault="00C61EDB" w:rsidP="00760160">
      <w:pPr>
        <w:overflowPunct w:val="0"/>
        <w:spacing w:line="360" w:lineRule="auto"/>
        <w:ind w:firstLineChars="200" w:firstLine="482"/>
        <w:rPr>
          <w:rFonts w:ascii="Times New Roman" w:eastAsiaTheme="minorEastAsia" w:hAnsi="Times New Roman"/>
          <w:b/>
          <w:bCs/>
          <w:sz w:val="24"/>
          <w:szCs w:val="24"/>
        </w:rPr>
      </w:pPr>
    </w:p>
    <w:p w14:paraId="20173D48" w14:textId="463DB470" w:rsidR="00620798" w:rsidRPr="00760160" w:rsidRDefault="00172819" w:rsidP="00760160">
      <w:pPr>
        <w:overflowPunct w:val="0"/>
        <w:spacing w:line="360" w:lineRule="auto"/>
        <w:ind w:firstLineChars="200" w:firstLine="482"/>
        <w:rPr>
          <w:rFonts w:ascii="Times New Roman" w:eastAsiaTheme="minorEastAsia" w:hAnsi="Times New Roman"/>
          <w:b/>
          <w:bCs/>
          <w:sz w:val="24"/>
          <w:szCs w:val="24"/>
        </w:rPr>
      </w:pPr>
      <w:r>
        <w:rPr>
          <w:rFonts w:ascii="Times New Roman" w:eastAsiaTheme="minorEastAsia" w:hAnsi="Times New Roman" w:hint="eastAsia"/>
          <w:b/>
          <w:bCs/>
          <w:sz w:val="24"/>
          <w:szCs w:val="24"/>
        </w:rPr>
        <w:t>五、</w:t>
      </w:r>
      <w:r w:rsidR="008A5C14">
        <w:rPr>
          <w:rFonts w:ascii="Times New Roman" w:eastAsiaTheme="minorEastAsia" w:hAnsi="Times New Roman" w:hint="eastAsia"/>
          <w:b/>
          <w:bCs/>
          <w:sz w:val="24"/>
          <w:szCs w:val="24"/>
        </w:rPr>
        <w:t>关于</w:t>
      </w:r>
      <w:r w:rsidR="00620798" w:rsidRPr="00760160">
        <w:rPr>
          <w:rFonts w:ascii="Times New Roman" w:eastAsiaTheme="minorEastAsia" w:hAnsi="Times New Roman" w:hint="eastAsia"/>
          <w:b/>
          <w:bCs/>
          <w:sz w:val="24"/>
          <w:szCs w:val="24"/>
        </w:rPr>
        <w:t>基金</w:t>
      </w:r>
      <w:r w:rsidR="005D1D7E">
        <w:rPr>
          <w:rFonts w:ascii="Times New Roman" w:eastAsiaTheme="minorEastAsia" w:hAnsi="Times New Roman" w:hint="eastAsia"/>
          <w:b/>
          <w:bCs/>
          <w:sz w:val="24"/>
          <w:szCs w:val="24"/>
        </w:rPr>
        <w:t>份额</w:t>
      </w:r>
      <w:r w:rsidR="00620798" w:rsidRPr="00760160">
        <w:rPr>
          <w:rFonts w:ascii="Times New Roman" w:eastAsiaTheme="minorEastAsia" w:hAnsi="Times New Roman" w:hint="eastAsia"/>
          <w:b/>
          <w:bCs/>
          <w:sz w:val="24"/>
          <w:szCs w:val="24"/>
        </w:rPr>
        <w:t>转换的特别风险揭示</w:t>
      </w:r>
    </w:p>
    <w:p w14:paraId="3696C906" w14:textId="484001A8"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bookmarkStart w:id="4" w:name="_Hlk44848180"/>
      <w:r w:rsidRPr="00200C2B">
        <w:rPr>
          <w:rFonts w:ascii="Times New Roman" w:eastAsiaTheme="minorEastAsia" w:hAnsi="Times New Roman" w:hint="eastAsia"/>
          <w:bCs/>
          <w:sz w:val="24"/>
          <w:szCs w:val="24"/>
        </w:rPr>
        <w:t>1</w:t>
      </w: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w:t>
      </w:r>
      <w:r w:rsidR="005D1D7E">
        <w:rPr>
          <w:rFonts w:ascii="Times New Roman" w:eastAsiaTheme="minorEastAsia" w:hAnsi="Times New Roman" w:hint="eastAsia"/>
          <w:bCs/>
          <w:sz w:val="24"/>
          <w:szCs w:val="24"/>
        </w:rPr>
        <w:t>转换</w:t>
      </w:r>
      <w:r w:rsidRPr="00200C2B">
        <w:rPr>
          <w:rFonts w:ascii="Times New Roman" w:eastAsiaTheme="minorEastAsia" w:hAnsi="Times New Roman" w:hint="eastAsia"/>
          <w:bCs/>
          <w:sz w:val="24"/>
          <w:szCs w:val="24"/>
        </w:rPr>
        <w:t>后风险收益特征发生较大变化的风险</w:t>
      </w:r>
    </w:p>
    <w:p w14:paraId="51AACB29" w14:textId="56C374FA"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类份额表现为低风险、预期收益相对稳定的特征，分级运作期内按基金合同约定获得相应年基准收益率，但在份额</w:t>
      </w:r>
      <w:r w:rsidR="005D1D7E">
        <w:rPr>
          <w:rFonts w:ascii="Times New Roman" w:eastAsiaTheme="minorEastAsia" w:hAnsi="Times New Roman" w:hint="eastAsia"/>
          <w:bCs/>
          <w:sz w:val="24"/>
          <w:szCs w:val="24"/>
        </w:rPr>
        <w:t>转换</w:t>
      </w:r>
      <w:r w:rsidRPr="00200C2B">
        <w:rPr>
          <w:rFonts w:ascii="Times New Roman" w:eastAsiaTheme="minorEastAsia" w:hAnsi="Times New Roman" w:hint="eastAsia"/>
          <w:bCs/>
          <w:sz w:val="24"/>
          <w:szCs w:val="24"/>
        </w:rPr>
        <w:t>后，易方达银行分级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类份额持有人原持有的较低风险收益特征的易方达银行分级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类份额将变为较高风险收益特征的易方达中证银行指数证券投资基金（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类场内份额，基金份额风险收益特征将因</w:t>
      </w:r>
      <w:r w:rsidR="005D1D7E">
        <w:rPr>
          <w:rFonts w:ascii="Times New Roman" w:eastAsiaTheme="minorEastAsia" w:hAnsi="Times New Roman" w:hint="eastAsia"/>
          <w:bCs/>
          <w:sz w:val="24"/>
          <w:szCs w:val="24"/>
        </w:rPr>
        <w:t>转换</w:t>
      </w:r>
      <w:r w:rsidRPr="00200C2B">
        <w:rPr>
          <w:rFonts w:ascii="Times New Roman" w:eastAsiaTheme="minorEastAsia" w:hAnsi="Times New Roman" w:hint="eastAsia"/>
          <w:bCs/>
          <w:sz w:val="24"/>
          <w:szCs w:val="24"/>
        </w:rPr>
        <w:t>而发生较大变化。由于易方达中证银行指数证券投资基金（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类场内份额为跟踪中证银行指数的基金份额，无约定年</w:t>
      </w:r>
      <w:r w:rsidRPr="00200C2B">
        <w:rPr>
          <w:rFonts w:ascii="Times New Roman" w:eastAsiaTheme="minorEastAsia" w:hAnsi="Times New Roman" w:hint="eastAsia"/>
          <w:bCs/>
          <w:sz w:val="24"/>
          <w:szCs w:val="24"/>
        </w:rPr>
        <w:lastRenderedPageBreak/>
        <w:t>基准收益率的相关安排，其基金份额净值将随标的指数的涨跌而变化，原易方达银行分级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类份额持有人将承担因市场下跌而遭受损失的风险。</w:t>
      </w:r>
    </w:p>
    <w:p w14:paraId="2040D7E3" w14:textId="6CC344ED"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类份额具有一定的杠杆属性，表现为高风险、预期收益相对较高的特征，但在份额</w:t>
      </w:r>
      <w:r w:rsidR="005D1D7E">
        <w:rPr>
          <w:rFonts w:ascii="Times New Roman" w:eastAsiaTheme="minorEastAsia" w:hAnsi="Times New Roman" w:hint="eastAsia"/>
          <w:bCs/>
          <w:sz w:val="24"/>
          <w:szCs w:val="24"/>
        </w:rPr>
        <w:t>转换</w:t>
      </w:r>
      <w:r w:rsidRPr="00200C2B">
        <w:rPr>
          <w:rFonts w:ascii="Times New Roman" w:eastAsiaTheme="minorEastAsia" w:hAnsi="Times New Roman" w:hint="eastAsia"/>
          <w:bCs/>
          <w:sz w:val="24"/>
          <w:szCs w:val="24"/>
        </w:rPr>
        <w:t>后，易方达银行分级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类份额持有人原持有的易方达银行分级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类份额将变为较高风险收益特征的易方达中证银行指数证券投资基金（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类场内份额，基金份额风险收益特征将因</w:t>
      </w:r>
      <w:r w:rsidR="005D1D7E">
        <w:rPr>
          <w:rFonts w:ascii="Times New Roman" w:eastAsiaTheme="minorEastAsia" w:hAnsi="Times New Roman" w:hint="eastAsia"/>
          <w:bCs/>
          <w:sz w:val="24"/>
          <w:szCs w:val="24"/>
        </w:rPr>
        <w:t>转换</w:t>
      </w:r>
      <w:r w:rsidRPr="00200C2B">
        <w:rPr>
          <w:rFonts w:ascii="Times New Roman" w:eastAsiaTheme="minorEastAsia" w:hAnsi="Times New Roman" w:hint="eastAsia"/>
          <w:bCs/>
          <w:sz w:val="24"/>
          <w:szCs w:val="24"/>
        </w:rPr>
        <w:t>而发生较大变化。由于易方达中证银行指数证券投资基金（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类场内份额为跟踪中证银行指数的基金份额，没有杠杆特征，其基金份额净值将随标的指数的涨跌而变化，原易方达银行分级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类份额持有人将无法继续享有杠杆安排且仍需承担因市场下跌而遭受损失的风险。</w:t>
      </w:r>
    </w:p>
    <w:p w14:paraId="72A6D9D5" w14:textId="77777777"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2</w:t>
      </w: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类份额的流动性风险</w:t>
      </w:r>
    </w:p>
    <w:p w14:paraId="05FFAD54" w14:textId="1A382712"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w:t>
      </w:r>
      <w:r w:rsidR="005D1D7E">
        <w:rPr>
          <w:rFonts w:ascii="Times New Roman" w:eastAsiaTheme="minorEastAsia" w:hAnsi="Times New Roman" w:hint="eastAsia"/>
          <w:bCs/>
          <w:sz w:val="24"/>
          <w:szCs w:val="24"/>
        </w:rPr>
        <w:t>转换</w:t>
      </w:r>
      <w:r w:rsidRPr="00200C2B">
        <w:rPr>
          <w:rFonts w:ascii="Times New Roman" w:eastAsiaTheme="minorEastAsia" w:hAnsi="Times New Roman" w:hint="eastAsia"/>
          <w:bCs/>
          <w:sz w:val="24"/>
          <w:szCs w:val="24"/>
        </w:rPr>
        <w:t>为易方达中证银行指数证券投资基金（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类场内份额前，易方达银行分级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类份额的持有人有两种方式退出：</w:t>
      </w:r>
      <w:r w:rsidRPr="00200C2B">
        <w:rPr>
          <w:rFonts w:ascii="Times New Roman" w:eastAsiaTheme="minorEastAsia" w:hAnsi="Times New Roman" w:hint="eastAsia"/>
          <w:bCs/>
          <w:sz w:val="24"/>
          <w:szCs w:val="24"/>
        </w:rPr>
        <w:t>1</w:t>
      </w:r>
      <w:r w:rsidRPr="00200C2B">
        <w:rPr>
          <w:rFonts w:ascii="Times New Roman" w:eastAsiaTheme="minorEastAsia" w:hAnsi="Times New Roman" w:hint="eastAsia"/>
          <w:bCs/>
          <w:sz w:val="24"/>
          <w:szCs w:val="24"/>
        </w:rPr>
        <w:t>）在场内按市价卖出基金份额；</w:t>
      </w:r>
      <w:r w:rsidRPr="00200C2B">
        <w:rPr>
          <w:rFonts w:ascii="Times New Roman" w:eastAsiaTheme="minorEastAsia" w:hAnsi="Times New Roman" w:hint="eastAsia"/>
          <w:bCs/>
          <w:sz w:val="24"/>
          <w:szCs w:val="24"/>
        </w:rPr>
        <w:t>2</w:t>
      </w:r>
      <w:r w:rsidRPr="00200C2B">
        <w:rPr>
          <w:rFonts w:ascii="Times New Roman" w:eastAsiaTheme="minorEastAsia" w:hAnsi="Times New Roman" w:hint="eastAsia"/>
          <w:bCs/>
          <w:sz w:val="24"/>
          <w:szCs w:val="24"/>
        </w:rPr>
        <w:t>）在场内买入等量的对应份额（即易方达银行分级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类份额持有人买入等量的易方达银行分级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类份额，或者易方达银行分级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类份额持有人买入等量的易方达银行分级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类份额），合并为易方达银行分级份额，按照易方达银行分级份额的基金份额净值申请场内赎回或转托管至场外后申请赎回。</w:t>
      </w:r>
    </w:p>
    <w:p w14:paraId="3CA92730" w14:textId="77777777"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由于易方达银行分级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类份额的持有人可能选择场内卖出或合并赎回，场内份额数量可能发生较大下降，可能出现场内流动性不足的情况，特提请投资者注意流动性风险。</w:t>
      </w:r>
    </w:p>
    <w:p w14:paraId="405134B4" w14:textId="773F9176"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3</w:t>
      </w:r>
      <w:r w:rsidRPr="00200C2B">
        <w:rPr>
          <w:rFonts w:ascii="Times New Roman" w:eastAsiaTheme="minorEastAsia" w:hAnsi="Times New Roman" w:hint="eastAsia"/>
          <w:bCs/>
          <w:sz w:val="24"/>
          <w:szCs w:val="24"/>
        </w:rPr>
        <w:t>、</w:t>
      </w:r>
      <w:r w:rsidR="005D1D7E">
        <w:rPr>
          <w:rFonts w:ascii="Times New Roman" w:eastAsiaTheme="minorEastAsia" w:hAnsi="Times New Roman" w:hint="eastAsia"/>
          <w:bCs/>
          <w:sz w:val="24"/>
          <w:szCs w:val="24"/>
        </w:rPr>
        <w:t>转换</w:t>
      </w:r>
      <w:r w:rsidRPr="00200C2B">
        <w:rPr>
          <w:rFonts w:ascii="Times New Roman" w:eastAsiaTheme="minorEastAsia" w:hAnsi="Times New Roman" w:hint="eastAsia"/>
          <w:bCs/>
          <w:sz w:val="24"/>
          <w:szCs w:val="24"/>
        </w:rPr>
        <w:t>前存在溢价交易的易方达银行分级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类份额的持有人因溢价消失而造成损失的风险</w:t>
      </w:r>
    </w:p>
    <w:p w14:paraId="065FB62F" w14:textId="5EB7B73E"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基金份额转换基准日前，易方达银行分级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类份额仍可正常交易。期间，易方达银行分级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类份额可能存在折溢价交易情形，其折溢价率可能发生较大变化。</w:t>
      </w:r>
    </w:p>
    <w:p w14:paraId="20DCE5EB" w14:textId="1DCC11E6"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由于基金份额转换基准日日终，</w:t>
      </w:r>
      <w:r w:rsidRPr="00200C2B">
        <w:rPr>
          <w:rFonts w:ascii="Times New Roman" w:eastAsiaTheme="minorEastAsia" w:hAnsi="Times New Roman"/>
          <w:bCs/>
          <w:sz w:val="24"/>
          <w:szCs w:val="24"/>
        </w:rPr>
        <w:t>以</w:t>
      </w:r>
      <w:r w:rsidRPr="00200C2B">
        <w:rPr>
          <w:rFonts w:ascii="Times New Roman" w:hAnsi="Times New Roman" w:hint="eastAsia"/>
          <w:kern w:val="0"/>
          <w:sz w:val="24"/>
          <w:szCs w:val="24"/>
        </w:rPr>
        <w:t>易方达银行分级份额</w:t>
      </w:r>
      <w:r w:rsidRPr="00200C2B">
        <w:rPr>
          <w:rFonts w:ascii="Times New Roman" w:eastAsiaTheme="minorEastAsia" w:hAnsi="Times New Roman"/>
          <w:bCs/>
          <w:sz w:val="24"/>
          <w:szCs w:val="24"/>
        </w:rPr>
        <w:t>的基金份额净值为基准，</w:t>
      </w: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类份额均按各自的基金份额参考净值（而不是二级市场价格）转换为易方达中证银行指数证券投资基金（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类场内份额，如果投资者在</w:t>
      </w:r>
      <w:r w:rsidR="005D1D7E">
        <w:rPr>
          <w:rFonts w:ascii="Times New Roman" w:eastAsiaTheme="minorEastAsia" w:hAnsi="Times New Roman" w:hint="eastAsia"/>
          <w:bCs/>
          <w:sz w:val="24"/>
          <w:szCs w:val="24"/>
        </w:rPr>
        <w:t>转换</w:t>
      </w:r>
      <w:r w:rsidRPr="00200C2B">
        <w:rPr>
          <w:rFonts w:ascii="Times New Roman" w:eastAsiaTheme="minorEastAsia" w:hAnsi="Times New Roman" w:hint="eastAsia"/>
          <w:bCs/>
          <w:sz w:val="24"/>
          <w:szCs w:val="24"/>
        </w:rPr>
        <w:t>前以溢价买入，</w:t>
      </w:r>
      <w:r w:rsidR="005D1D7E">
        <w:rPr>
          <w:rFonts w:ascii="Times New Roman" w:eastAsiaTheme="minorEastAsia" w:hAnsi="Times New Roman" w:hint="eastAsia"/>
          <w:bCs/>
          <w:sz w:val="24"/>
          <w:szCs w:val="24"/>
        </w:rPr>
        <w:t>转换</w:t>
      </w:r>
      <w:r w:rsidRPr="00200C2B">
        <w:rPr>
          <w:rFonts w:ascii="Times New Roman" w:eastAsiaTheme="minorEastAsia" w:hAnsi="Times New Roman" w:hint="eastAsia"/>
          <w:bCs/>
          <w:sz w:val="24"/>
          <w:szCs w:val="24"/>
        </w:rPr>
        <w:t>后可能遭受较大</w:t>
      </w:r>
      <w:r w:rsidRPr="00200C2B">
        <w:rPr>
          <w:rFonts w:ascii="Times New Roman" w:eastAsiaTheme="minorEastAsia" w:hAnsi="Times New Roman" w:hint="eastAsia"/>
          <w:bCs/>
          <w:sz w:val="24"/>
          <w:szCs w:val="24"/>
        </w:rPr>
        <w:lastRenderedPageBreak/>
        <w:t>损失。特提请参与二级市场交易的投资者注意折溢价所带来的风险。</w:t>
      </w:r>
    </w:p>
    <w:p w14:paraId="556D2EBA" w14:textId="77777777"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投资者应密切关注易方达银行分级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类份额的基金份额参考净值变化情况，可通过本公司网站（</w:t>
      </w:r>
      <w:r w:rsidRPr="00200C2B">
        <w:rPr>
          <w:rFonts w:ascii="Times New Roman" w:eastAsiaTheme="minorEastAsia" w:hAnsi="Times New Roman" w:hint="eastAsia"/>
          <w:bCs/>
          <w:sz w:val="24"/>
          <w:szCs w:val="24"/>
        </w:rPr>
        <w:t>www.efunds.com.cn</w:t>
      </w:r>
      <w:r w:rsidRPr="00200C2B">
        <w:rPr>
          <w:rFonts w:ascii="Times New Roman" w:eastAsiaTheme="minorEastAsia" w:hAnsi="Times New Roman" w:hint="eastAsia"/>
          <w:bCs/>
          <w:sz w:val="24"/>
          <w:szCs w:val="24"/>
        </w:rPr>
        <w:t>）等方式进行查询。</w:t>
      </w:r>
    </w:p>
    <w:p w14:paraId="58A684EA" w14:textId="38D75B2E"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4</w:t>
      </w: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类份额的基金份额持有人持有的基金份额数量将会在转换后发生变化的风险</w:t>
      </w:r>
    </w:p>
    <w:p w14:paraId="0745DBB4" w14:textId="606BF290"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bCs/>
          <w:sz w:val="24"/>
          <w:szCs w:val="24"/>
        </w:rPr>
        <w:t>以</w:t>
      </w:r>
      <w:r w:rsidRPr="00200C2B">
        <w:rPr>
          <w:rFonts w:ascii="Times New Roman" w:hAnsi="Times New Roman" w:hint="eastAsia"/>
          <w:kern w:val="0"/>
          <w:sz w:val="24"/>
          <w:szCs w:val="24"/>
        </w:rPr>
        <w:t>易方达银行分级份额在</w:t>
      </w:r>
      <w:r w:rsidRPr="00200C2B">
        <w:rPr>
          <w:rFonts w:ascii="Times New Roman" w:eastAsiaTheme="minorEastAsia" w:hAnsi="Times New Roman" w:hint="eastAsia"/>
          <w:bCs/>
          <w:sz w:val="24"/>
          <w:szCs w:val="24"/>
        </w:rPr>
        <w:t>基金份额转换基准日日终</w:t>
      </w:r>
      <w:r w:rsidRPr="00200C2B">
        <w:rPr>
          <w:rFonts w:ascii="Times New Roman" w:eastAsiaTheme="minorEastAsia" w:hAnsi="Times New Roman"/>
          <w:bCs/>
          <w:sz w:val="24"/>
          <w:szCs w:val="24"/>
        </w:rPr>
        <w:t>的基金份额净值为基准，</w:t>
      </w: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类份额均按各自的基金份额参考净值转换为易方达中证银行指数证券投资基金（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类场内份额，并进行取整计算（最小单位为</w:t>
      </w:r>
      <w:r w:rsidRPr="00200C2B">
        <w:rPr>
          <w:rFonts w:ascii="Times New Roman" w:eastAsiaTheme="minorEastAsia" w:hAnsi="Times New Roman" w:hint="eastAsia"/>
          <w:bCs/>
          <w:sz w:val="24"/>
          <w:szCs w:val="24"/>
        </w:rPr>
        <w:t>1</w:t>
      </w:r>
      <w:r w:rsidRPr="00200C2B">
        <w:rPr>
          <w:rFonts w:ascii="Times New Roman" w:eastAsiaTheme="minorEastAsia" w:hAnsi="Times New Roman" w:hint="eastAsia"/>
          <w:bCs/>
          <w:sz w:val="24"/>
          <w:szCs w:val="24"/>
        </w:rPr>
        <w:t>份），因此易方达银行分级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类份额的基金份额持有人持有的基金份额数量将会在转换后发生变化。</w:t>
      </w:r>
    </w:p>
    <w:p w14:paraId="1E0A41F0" w14:textId="28455C46"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5</w:t>
      </w: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w:t>
      </w:r>
      <w:r w:rsidR="005D1D7E">
        <w:rPr>
          <w:rFonts w:ascii="Times New Roman" w:eastAsiaTheme="minorEastAsia" w:hAnsi="Times New Roman" w:hint="eastAsia"/>
          <w:bCs/>
          <w:sz w:val="24"/>
          <w:szCs w:val="24"/>
        </w:rPr>
        <w:t>转换</w:t>
      </w:r>
      <w:r w:rsidRPr="00200C2B">
        <w:rPr>
          <w:rFonts w:ascii="Times New Roman" w:eastAsiaTheme="minorEastAsia" w:hAnsi="Times New Roman" w:hint="eastAsia"/>
          <w:bCs/>
          <w:sz w:val="24"/>
          <w:szCs w:val="24"/>
        </w:rPr>
        <w:t>为易方达中证银行指数证券投资基金（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类场内份额后</w:t>
      </w:r>
      <w:r w:rsidR="004A06A2">
        <w:rPr>
          <w:rFonts w:ascii="Times New Roman" w:eastAsiaTheme="minorEastAsia" w:hAnsi="Times New Roman" w:hint="eastAsia"/>
          <w:bCs/>
          <w:sz w:val="24"/>
          <w:szCs w:val="24"/>
        </w:rPr>
        <w:t>部分投资者可能</w:t>
      </w:r>
      <w:r w:rsidRPr="00200C2B">
        <w:rPr>
          <w:rFonts w:ascii="Times New Roman" w:eastAsiaTheme="minorEastAsia" w:hAnsi="Times New Roman" w:hint="eastAsia"/>
          <w:bCs/>
          <w:sz w:val="24"/>
          <w:szCs w:val="24"/>
        </w:rPr>
        <w:t>无法</w:t>
      </w:r>
      <w:r w:rsidR="004A06A2">
        <w:rPr>
          <w:rFonts w:ascii="Times New Roman" w:eastAsiaTheme="minorEastAsia" w:hAnsi="Times New Roman" w:hint="eastAsia"/>
          <w:bCs/>
          <w:sz w:val="24"/>
          <w:szCs w:val="24"/>
        </w:rPr>
        <w:t>直接</w:t>
      </w:r>
      <w:r w:rsidRPr="00200C2B">
        <w:rPr>
          <w:rFonts w:ascii="Times New Roman" w:eastAsiaTheme="minorEastAsia" w:hAnsi="Times New Roman" w:hint="eastAsia"/>
          <w:bCs/>
          <w:sz w:val="24"/>
          <w:szCs w:val="24"/>
        </w:rPr>
        <w:t>办理场内赎回的风险</w:t>
      </w:r>
    </w:p>
    <w:p w14:paraId="0A905AD9" w14:textId="07F1BABB" w:rsidR="00620798" w:rsidRPr="00200C2B" w:rsidRDefault="00620798" w:rsidP="00760160">
      <w:pPr>
        <w:overflowPunct w:val="0"/>
        <w:spacing w:line="360" w:lineRule="auto"/>
        <w:ind w:firstLineChars="200" w:firstLine="480"/>
        <w:rPr>
          <w:rFonts w:ascii="Times New Roman" w:eastAsiaTheme="minorEastAsia" w:hAnsi="Times New Roman"/>
          <w:bCs/>
          <w:sz w:val="24"/>
          <w:szCs w:val="24"/>
        </w:rPr>
      </w:pPr>
      <w:r w:rsidRPr="00200C2B">
        <w:rPr>
          <w:rFonts w:ascii="Times New Roman" w:eastAsiaTheme="minorEastAsia" w:hAnsi="Times New Roman" w:hint="eastAsia"/>
          <w:bCs/>
          <w:sz w:val="24"/>
          <w:szCs w:val="24"/>
        </w:rPr>
        <w:t>易方达银行分级</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类份额和易方达银行分级</w:t>
      </w:r>
      <w:r w:rsidRPr="00200C2B">
        <w:rPr>
          <w:rFonts w:ascii="Times New Roman" w:eastAsiaTheme="minorEastAsia" w:hAnsi="Times New Roman" w:hint="eastAsia"/>
          <w:bCs/>
          <w:sz w:val="24"/>
          <w:szCs w:val="24"/>
        </w:rPr>
        <w:t>B</w:t>
      </w:r>
      <w:r w:rsidRPr="00200C2B">
        <w:rPr>
          <w:rFonts w:ascii="Times New Roman" w:eastAsiaTheme="minorEastAsia" w:hAnsi="Times New Roman" w:hint="eastAsia"/>
          <w:bCs/>
          <w:sz w:val="24"/>
          <w:szCs w:val="24"/>
        </w:rPr>
        <w:t>类份额</w:t>
      </w:r>
      <w:r w:rsidR="005D1D7E">
        <w:rPr>
          <w:rFonts w:ascii="Times New Roman" w:eastAsiaTheme="minorEastAsia" w:hAnsi="Times New Roman" w:hint="eastAsia"/>
          <w:bCs/>
          <w:sz w:val="24"/>
          <w:szCs w:val="24"/>
        </w:rPr>
        <w:t>转换</w:t>
      </w:r>
      <w:r w:rsidRPr="00200C2B">
        <w:rPr>
          <w:rFonts w:ascii="Times New Roman" w:eastAsiaTheme="minorEastAsia" w:hAnsi="Times New Roman" w:hint="eastAsia"/>
          <w:bCs/>
          <w:sz w:val="24"/>
          <w:szCs w:val="24"/>
        </w:rPr>
        <w:t>为易方达中证银行指数证券投资基金（</w:t>
      </w:r>
      <w:r w:rsidRPr="00200C2B">
        <w:rPr>
          <w:rFonts w:ascii="Times New Roman" w:eastAsiaTheme="minorEastAsia" w:hAnsi="Times New Roman" w:hint="eastAsia"/>
          <w:bCs/>
          <w:sz w:val="24"/>
          <w:szCs w:val="24"/>
        </w:rPr>
        <w:t>LOF</w:t>
      </w:r>
      <w:r w:rsidRPr="00200C2B">
        <w:rPr>
          <w:rFonts w:ascii="Times New Roman" w:eastAsiaTheme="minorEastAsia" w:hAnsi="Times New Roman" w:hint="eastAsia"/>
          <w:bCs/>
          <w:sz w:val="24"/>
          <w:szCs w:val="24"/>
        </w:rPr>
        <w:t>）</w:t>
      </w:r>
      <w:r w:rsidRPr="00200C2B">
        <w:rPr>
          <w:rFonts w:ascii="Times New Roman" w:eastAsiaTheme="minorEastAsia" w:hAnsi="Times New Roman" w:hint="eastAsia"/>
          <w:bCs/>
          <w:sz w:val="24"/>
          <w:szCs w:val="24"/>
        </w:rPr>
        <w:t>A</w:t>
      </w:r>
      <w:r w:rsidRPr="00200C2B">
        <w:rPr>
          <w:rFonts w:ascii="Times New Roman" w:eastAsiaTheme="minorEastAsia" w:hAnsi="Times New Roman" w:hint="eastAsia"/>
          <w:bCs/>
          <w:sz w:val="24"/>
          <w:szCs w:val="24"/>
        </w:rPr>
        <w:t>类场内份额后，投资者可以申请场内赎回基金份额或者转托管至场外后申请赎回基金份额。</w:t>
      </w:r>
      <w:r w:rsidR="004A06A2">
        <w:rPr>
          <w:rFonts w:ascii="Times New Roman" w:eastAsiaTheme="minorEastAsia" w:hAnsi="Times New Roman" w:hint="eastAsia"/>
          <w:bCs/>
          <w:sz w:val="24"/>
          <w:szCs w:val="24"/>
        </w:rPr>
        <w:t>部分投资者可能由于所在证券公司不具备基金销售资格或其他原因</w:t>
      </w:r>
      <w:r w:rsidRPr="00200C2B">
        <w:rPr>
          <w:rFonts w:ascii="Times New Roman" w:eastAsiaTheme="minorEastAsia" w:hAnsi="Times New Roman" w:hint="eastAsia"/>
          <w:bCs/>
          <w:sz w:val="24"/>
          <w:szCs w:val="24"/>
        </w:rPr>
        <w:t>无法</w:t>
      </w:r>
      <w:r w:rsidR="004A06A2">
        <w:rPr>
          <w:rFonts w:ascii="Times New Roman" w:eastAsiaTheme="minorEastAsia" w:hAnsi="Times New Roman" w:hint="eastAsia"/>
          <w:bCs/>
          <w:sz w:val="24"/>
          <w:szCs w:val="24"/>
        </w:rPr>
        <w:t>直接</w:t>
      </w:r>
      <w:r w:rsidRPr="00200C2B">
        <w:rPr>
          <w:rFonts w:ascii="Times New Roman" w:eastAsiaTheme="minorEastAsia" w:hAnsi="Times New Roman" w:hint="eastAsia"/>
          <w:bCs/>
          <w:sz w:val="24"/>
          <w:szCs w:val="24"/>
        </w:rPr>
        <w:t>办理场内赎回，需先转托管至场外后再申请赎回或者先转托管到具有基金销售资格的证券公司后再申请赎回。</w:t>
      </w:r>
    </w:p>
    <w:p w14:paraId="1D37753D" w14:textId="5F954E7B" w:rsidR="006227C2" w:rsidRPr="00CE5DBF" w:rsidRDefault="00620798" w:rsidP="006227C2">
      <w:pPr>
        <w:spacing w:line="360" w:lineRule="auto"/>
        <w:ind w:firstLineChars="200" w:firstLine="480"/>
        <w:rPr>
          <w:rFonts w:ascii="Times New Roman" w:eastAsiaTheme="minorEastAsia" w:hAnsi="Times New Roman"/>
          <w:sz w:val="24"/>
        </w:rPr>
      </w:pPr>
      <w:r w:rsidRPr="00200C2B">
        <w:rPr>
          <w:rFonts w:ascii="Times New Roman" w:eastAsiaTheme="minorEastAsia" w:hAnsi="Times New Roman" w:hint="eastAsia"/>
          <w:bCs/>
          <w:sz w:val="24"/>
          <w:szCs w:val="24"/>
        </w:rPr>
        <w:t>6</w:t>
      </w:r>
      <w:r w:rsidRPr="00200C2B">
        <w:rPr>
          <w:rFonts w:ascii="Times New Roman" w:eastAsiaTheme="minorEastAsia" w:hAnsi="Times New Roman" w:hint="eastAsia"/>
          <w:bCs/>
          <w:sz w:val="24"/>
          <w:szCs w:val="24"/>
        </w:rPr>
        <w:t>、</w:t>
      </w:r>
      <w:r w:rsidR="006227C2">
        <w:rPr>
          <w:rFonts w:asciiTheme="minorEastAsia" w:eastAsiaTheme="minorEastAsia" w:hAnsiTheme="minorEastAsia" w:hint="eastAsia"/>
          <w:sz w:val="24"/>
        </w:rPr>
        <w:t>易方达银行分级</w:t>
      </w:r>
      <w:r w:rsidR="006227C2" w:rsidRPr="00CE5DBF">
        <w:rPr>
          <w:rFonts w:ascii="Times New Roman" w:eastAsiaTheme="minorEastAsia" w:hAnsi="Times New Roman"/>
          <w:sz w:val="24"/>
        </w:rPr>
        <w:t>A</w:t>
      </w:r>
      <w:r w:rsidR="006227C2" w:rsidRPr="00CE5DBF">
        <w:rPr>
          <w:rFonts w:ascii="Times New Roman" w:eastAsiaTheme="minorEastAsia" w:hAnsi="Times New Roman"/>
          <w:sz w:val="24"/>
        </w:rPr>
        <w:t>类份额和易方达银行分级</w:t>
      </w:r>
      <w:r w:rsidR="006227C2" w:rsidRPr="00CE5DBF">
        <w:rPr>
          <w:rFonts w:ascii="Times New Roman" w:eastAsiaTheme="minorEastAsia" w:hAnsi="Times New Roman"/>
          <w:sz w:val="24"/>
        </w:rPr>
        <w:t>B</w:t>
      </w:r>
      <w:r w:rsidR="006227C2" w:rsidRPr="00CE5DBF">
        <w:rPr>
          <w:rFonts w:ascii="Times New Roman" w:eastAsiaTheme="minorEastAsia" w:hAnsi="Times New Roman"/>
          <w:sz w:val="24"/>
        </w:rPr>
        <w:t>类份额</w:t>
      </w:r>
      <w:r w:rsidR="005D1D7E">
        <w:rPr>
          <w:rFonts w:ascii="Times New Roman" w:eastAsiaTheme="minorEastAsia" w:hAnsi="Times New Roman" w:hint="eastAsia"/>
          <w:bCs/>
          <w:sz w:val="24"/>
          <w:szCs w:val="24"/>
        </w:rPr>
        <w:t>转换</w:t>
      </w:r>
      <w:r w:rsidR="006227C2" w:rsidRPr="00CE5DBF">
        <w:rPr>
          <w:rFonts w:ascii="Times New Roman" w:eastAsiaTheme="minorEastAsia" w:hAnsi="Times New Roman"/>
          <w:sz w:val="24"/>
        </w:rPr>
        <w:t>为易方达</w:t>
      </w:r>
      <w:r w:rsidR="006227C2" w:rsidRPr="00CE5DBF">
        <w:rPr>
          <w:rFonts w:ascii="Times New Roman" w:eastAsiaTheme="minorEastAsia" w:hAnsi="Times New Roman"/>
          <w:bCs/>
          <w:sz w:val="24"/>
          <w:szCs w:val="24"/>
        </w:rPr>
        <w:t>中证银行指数证券投资基金（</w:t>
      </w:r>
      <w:r w:rsidR="006227C2" w:rsidRPr="00CE5DBF">
        <w:rPr>
          <w:rFonts w:ascii="Times New Roman" w:eastAsiaTheme="minorEastAsia" w:hAnsi="Times New Roman"/>
          <w:bCs/>
          <w:sz w:val="24"/>
          <w:szCs w:val="24"/>
        </w:rPr>
        <w:t>LOF</w:t>
      </w:r>
      <w:r w:rsidR="006227C2" w:rsidRPr="00CE5DBF">
        <w:rPr>
          <w:rFonts w:ascii="Times New Roman" w:eastAsiaTheme="minorEastAsia" w:hAnsi="Times New Roman"/>
          <w:bCs/>
          <w:sz w:val="24"/>
          <w:szCs w:val="24"/>
        </w:rPr>
        <w:t>）</w:t>
      </w:r>
      <w:r w:rsidR="006227C2" w:rsidRPr="00CE5DBF">
        <w:rPr>
          <w:rFonts w:ascii="Times New Roman" w:eastAsiaTheme="minorEastAsia" w:hAnsi="Times New Roman"/>
          <w:bCs/>
          <w:sz w:val="24"/>
          <w:szCs w:val="24"/>
        </w:rPr>
        <w:t>A</w:t>
      </w:r>
      <w:r w:rsidR="006227C2" w:rsidRPr="00CE5DBF">
        <w:rPr>
          <w:rFonts w:ascii="Times New Roman" w:eastAsiaTheme="minorEastAsia" w:hAnsi="Times New Roman"/>
          <w:bCs/>
          <w:sz w:val="24"/>
          <w:szCs w:val="24"/>
        </w:rPr>
        <w:t>类场内份额后</w:t>
      </w:r>
      <w:r w:rsidR="006227C2" w:rsidRPr="00CE5DBF">
        <w:rPr>
          <w:rFonts w:ascii="Times New Roman" w:eastAsiaTheme="minorEastAsia" w:hAnsi="Times New Roman"/>
          <w:sz w:val="24"/>
        </w:rPr>
        <w:t>自确认之日起计算及收取赎回费的风险</w:t>
      </w:r>
    </w:p>
    <w:p w14:paraId="42B28FC9" w14:textId="7DF0A783" w:rsidR="004A06A2" w:rsidRPr="00E85CE8" w:rsidRDefault="006227C2" w:rsidP="00E85CE8">
      <w:pPr>
        <w:spacing w:line="360" w:lineRule="auto"/>
        <w:ind w:firstLineChars="200" w:firstLine="480"/>
        <w:rPr>
          <w:rFonts w:asciiTheme="minorEastAsia" w:eastAsiaTheme="minorEastAsia" w:hAnsiTheme="minorEastAsia"/>
          <w:sz w:val="24"/>
        </w:rPr>
      </w:pPr>
      <w:r w:rsidRPr="00CE5DBF">
        <w:rPr>
          <w:rFonts w:ascii="Times New Roman" w:eastAsiaTheme="minorEastAsia" w:hAnsi="Times New Roman"/>
          <w:sz w:val="24"/>
        </w:rPr>
        <w:t>根据有关业务规则，易方达银行分级</w:t>
      </w:r>
      <w:r w:rsidRPr="00CE5DBF">
        <w:rPr>
          <w:rFonts w:ascii="Times New Roman" w:eastAsiaTheme="minorEastAsia" w:hAnsi="Times New Roman"/>
          <w:sz w:val="24"/>
        </w:rPr>
        <w:t>A</w:t>
      </w:r>
      <w:r w:rsidRPr="00CE5DBF">
        <w:rPr>
          <w:rFonts w:ascii="Times New Roman" w:eastAsiaTheme="minorEastAsia" w:hAnsi="Times New Roman"/>
          <w:sz w:val="24"/>
        </w:rPr>
        <w:t>类份额和易方达银行分级</w:t>
      </w:r>
      <w:r w:rsidRPr="00CE5DBF">
        <w:rPr>
          <w:rFonts w:ascii="Times New Roman" w:eastAsiaTheme="minorEastAsia" w:hAnsi="Times New Roman"/>
          <w:sz w:val="24"/>
        </w:rPr>
        <w:t>B</w:t>
      </w:r>
      <w:r w:rsidRPr="00CE5DBF">
        <w:rPr>
          <w:rFonts w:ascii="Times New Roman" w:eastAsiaTheme="minorEastAsia" w:hAnsi="Times New Roman"/>
          <w:sz w:val="24"/>
        </w:rPr>
        <w:t>类份额</w:t>
      </w:r>
      <w:r w:rsidR="005D1D7E">
        <w:rPr>
          <w:rFonts w:ascii="Times New Roman" w:eastAsiaTheme="minorEastAsia" w:hAnsi="Times New Roman" w:hint="eastAsia"/>
          <w:bCs/>
          <w:sz w:val="24"/>
          <w:szCs w:val="24"/>
        </w:rPr>
        <w:t>转换</w:t>
      </w:r>
      <w:r w:rsidRPr="00CE5DBF">
        <w:rPr>
          <w:rFonts w:ascii="Times New Roman" w:eastAsiaTheme="minorEastAsia" w:hAnsi="Times New Roman"/>
          <w:sz w:val="24"/>
        </w:rPr>
        <w:t>为易方达</w:t>
      </w:r>
      <w:r w:rsidRPr="00CE5DBF">
        <w:rPr>
          <w:rFonts w:ascii="Times New Roman" w:eastAsiaTheme="minorEastAsia" w:hAnsi="Times New Roman"/>
          <w:bCs/>
          <w:sz w:val="24"/>
          <w:szCs w:val="24"/>
        </w:rPr>
        <w:t>中证银行指数证券投资基金（</w:t>
      </w:r>
      <w:r w:rsidRPr="00CE5DBF">
        <w:rPr>
          <w:rFonts w:ascii="Times New Roman" w:eastAsiaTheme="minorEastAsia" w:hAnsi="Times New Roman"/>
          <w:bCs/>
          <w:sz w:val="24"/>
          <w:szCs w:val="24"/>
        </w:rPr>
        <w:t>LOF</w:t>
      </w:r>
      <w:r w:rsidRPr="00CE5DBF">
        <w:rPr>
          <w:rFonts w:ascii="Times New Roman" w:eastAsiaTheme="minorEastAsia" w:hAnsi="Times New Roman"/>
          <w:bCs/>
          <w:sz w:val="24"/>
          <w:szCs w:val="24"/>
        </w:rPr>
        <w:t>）</w:t>
      </w:r>
      <w:r w:rsidRPr="00CE5DBF">
        <w:rPr>
          <w:rFonts w:ascii="Times New Roman" w:eastAsiaTheme="minorEastAsia" w:hAnsi="Times New Roman"/>
          <w:bCs/>
          <w:sz w:val="24"/>
          <w:szCs w:val="24"/>
        </w:rPr>
        <w:t>A</w:t>
      </w:r>
      <w:r w:rsidRPr="00CE5DBF">
        <w:rPr>
          <w:rFonts w:ascii="Times New Roman" w:eastAsiaTheme="minorEastAsia" w:hAnsi="Times New Roman"/>
          <w:bCs/>
          <w:sz w:val="24"/>
          <w:szCs w:val="24"/>
        </w:rPr>
        <w:t>类场</w:t>
      </w:r>
      <w:r w:rsidRPr="00200C2B">
        <w:rPr>
          <w:rFonts w:ascii="Times New Roman" w:eastAsiaTheme="minorEastAsia" w:hAnsi="Times New Roman" w:hint="eastAsia"/>
          <w:bCs/>
          <w:sz w:val="24"/>
          <w:szCs w:val="24"/>
        </w:rPr>
        <w:t>内份额</w:t>
      </w:r>
      <w:r>
        <w:rPr>
          <w:rFonts w:asciiTheme="minorEastAsia" w:eastAsiaTheme="minorEastAsia" w:hAnsiTheme="minorEastAsia" w:hint="eastAsia"/>
          <w:sz w:val="24"/>
        </w:rPr>
        <w:t>后，基金份额持有期自</w:t>
      </w:r>
      <w:r w:rsidRPr="00200C2B">
        <w:rPr>
          <w:rFonts w:ascii="Times New Roman" w:eastAsiaTheme="minorEastAsia" w:hAnsi="Times New Roman" w:hint="eastAsia"/>
          <w:bCs/>
          <w:sz w:val="24"/>
          <w:szCs w:val="24"/>
        </w:rPr>
        <w:t>份额</w:t>
      </w:r>
      <w:r>
        <w:rPr>
          <w:rFonts w:ascii="Times New Roman" w:eastAsiaTheme="minorEastAsia" w:hAnsi="Times New Roman" w:hint="eastAsia"/>
          <w:bCs/>
          <w:sz w:val="24"/>
          <w:szCs w:val="24"/>
        </w:rPr>
        <w:t>确认之日</w:t>
      </w:r>
      <w:r>
        <w:rPr>
          <w:rFonts w:asciiTheme="minorEastAsia" w:eastAsiaTheme="minorEastAsia" w:hAnsiTheme="minorEastAsia" w:hint="eastAsia"/>
          <w:sz w:val="24"/>
        </w:rPr>
        <w:t>起计算，基金份额持有人赎回份额时适用的赎回费率将根据持有期确定，具体持有时间以登记结算机构系统记录为准。如果赎回份额时持有期较短，基金份额持有人将承担较高的赎回费。</w:t>
      </w:r>
    </w:p>
    <w:p w14:paraId="3868D399" w14:textId="3FE30BA0" w:rsidR="00620798" w:rsidRPr="00D02928" w:rsidRDefault="004A06A2" w:rsidP="00760160">
      <w:pPr>
        <w:overflowPunct w:val="0"/>
        <w:spacing w:line="360" w:lineRule="auto"/>
        <w:ind w:firstLineChars="200" w:firstLine="480"/>
        <w:rPr>
          <w:rFonts w:ascii="Times New Roman" w:hAnsi="Times New Roman"/>
          <w:kern w:val="0"/>
          <w:sz w:val="24"/>
          <w:szCs w:val="24"/>
        </w:rPr>
      </w:pPr>
      <w:r>
        <w:rPr>
          <w:rFonts w:ascii="Times New Roman" w:eastAsiaTheme="minorEastAsia" w:hAnsi="Times New Roman"/>
          <w:bCs/>
          <w:sz w:val="24"/>
          <w:szCs w:val="24"/>
        </w:rPr>
        <w:t>7</w:t>
      </w:r>
      <w:r>
        <w:rPr>
          <w:rFonts w:ascii="Times New Roman" w:eastAsiaTheme="minorEastAsia" w:hAnsi="Times New Roman" w:hint="eastAsia"/>
          <w:bCs/>
          <w:sz w:val="24"/>
          <w:szCs w:val="24"/>
        </w:rPr>
        <w:t>、</w:t>
      </w:r>
      <w:r w:rsidR="00620798" w:rsidRPr="00200C2B">
        <w:rPr>
          <w:rFonts w:ascii="Times New Roman" w:eastAsiaTheme="minorEastAsia" w:hAnsi="Times New Roman" w:hint="eastAsia"/>
          <w:bCs/>
          <w:sz w:val="24"/>
          <w:szCs w:val="24"/>
        </w:rPr>
        <w:t>在易方达中证银行指数证券投资基金（</w:t>
      </w:r>
      <w:r w:rsidR="00620798" w:rsidRPr="00200C2B">
        <w:rPr>
          <w:rFonts w:ascii="Times New Roman" w:eastAsiaTheme="minorEastAsia" w:hAnsi="Times New Roman" w:hint="eastAsia"/>
          <w:bCs/>
          <w:sz w:val="24"/>
          <w:szCs w:val="24"/>
        </w:rPr>
        <w:t>LOF</w:t>
      </w:r>
      <w:r w:rsidR="00620798" w:rsidRPr="00200C2B">
        <w:rPr>
          <w:rFonts w:ascii="Times New Roman" w:eastAsiaTheme="minorEastAsia" w:hAnsi="Times New Roman" w:hint="eastAsia"/>
          <w:bCs/>
          <w:sz w:val="24"/>
          <w:szCs w:val="24"/>
        </w:rPr>
        <w:t>）开放赎回之前，投资者将无法办理基金赎回业务；在易方达中证银行指数证券投资基金（</w:t>
      </w:r>
      <w:r w:rsidR="00620798" w:rsidRPr="00200C2B">
        <w:rPr>
          <w:rFonts w:ascii="Times New Roman" w:eastAsiaTheme="minorEastAsia" w:hAnsi="Times New Roman" w:hint="eastAsia"/>
          <w:bCs/>
          <w:sz w:val="24"/>
          <w:szCs w:val="24"/>
        </w:rPr>
        <w:t>LOF</w:t>
      </w:r>
      <w:r w:rsidR="00620798" w:rsidRPr="00200C2B">
        <w:rPr>
          <w:rFonts w:ascii="Times New Roman" w:eastAsiaTheme="minorEastAsia" w:hAnsi="Times New Roman" w:hint="eastAsia"/>
          <w:bCs/>
          <w:sz w:val="24"/>
          <w:szCs w:val="24"/>
        </w:rPr>
        <w:t>）上市交易之前，投资者将无法进行基金份额的上市交易，存在一定的流动性风险。</w:t>
      </w:r>
    </w:p>
    <w:bookmarkEnd w:id="4"/>
    <w:p w14:paraId="04675666" w14:textId="77777777" w:rsidR="00C61EDB" w:rsidRDefault="00C61EDB" w:rsidP="00760160">
      <w:pPr>
        <w:overflowPunct w:val="0"/>
        <w:spacing w:line="360" w:lineRule="auto"/>
        <w:ind w:firstLineChars="200" w:firstLine="482"/>
        <w:rPr>
          <w:rFonts w:ascii="Times New Roman" w:hAnsi="Times New Roman"/>
          <w:b/>
          <w:kern w:val="0"/>
          <w:sz w:val="24"/>
          <w:szCs w:val="24"/>
        </w:rPr>
      </w:pPr>
    </w:p>
    <w:p w14:paraId="75060220" w14:textId="637510F8" w:rsidR="00C839AA" w:rsidRPr="00D02928" w:rsidRDefault="00172819" w:rsidP="00760160">
      <w:pPr>
        <w:overflowPunct w:val="0"/>
        <w:spacing w:line="360" w:lineRule="auto"/>
        <w:ind w:firstLineChars="200" w:firstLine="482"/>
        <w:rPr>
          <w:rFonts w:ascii="Times New Roman" w:eastAsiaTheme="minorEastAsia" w:hAnsi="Times New Roman"/>
          <w:bCs/>
          <w:sz w:val="24"/>
          <w:szCs w:val="24"/>
        </w:rPr>
      </w:pPr>
      <w:r>
        <w:rPr>
          <w:rFonts w:ascii="Times New Roman" w:hAnsi="Times New Roman" w:hint="eastAsia"/>
          <w:b/>
          <w:kern w:val="0"/>
          <w:sz w:val="24"/>
          <w:szCs w:val="24"/>
        </w:rPr>
        <w:t>六</w:t>
      </w:r>
      <w:r w:rsidR="00C839AA" w:rsidRPr="00C839AA">
        <w:rPr>
          <w:rFonts w:ascii="Times New Roman" w:hAnsi="Times New Roman" w:hint="eastAsia"/>
          <w:b/>
          <w:kern w:val="0"/>
          <w:sz w:val="24"/>
          <w:szCs w:val="24"/>
        </w:rPr>
        <w:t>、</w:t>
      </w:r>
      <w:r w:rsidR="008A5C14">
        <w:rPr>
          <w:rFonts w:ascii="Times New Roman" w:hAnsi="Times New Roman" w:hint="eastAsia"/>
          <w:b/>
          <w:kern w:val="0"/>
          <w:sz w:val="24"/>
          <w:szCs w:val="24"/>
        </w:rPr>
        <w:t>关于</w:t>
      </w:r>
      <w:r w:rsidR="00C839AA" w:rsidRPr="00C839AA">
        <w:rPr>
          <w:rFonts w:ascii="Times New Roman" w:hAnsi="Times New Roman" w:hint="eastAsia"/>
          <w:b/>
          <w:kern w:val="0"/>
          <w:sz w:val="24"/>
          <w:szCs w:val="24"/>
        </w:rPr>
        <w:t>本基金转型后</w:t>
      </w:r>
      <w:r w:rsidR="00760160">
        <w:rPr>
          <w:rFonts w:ascii="Times New Roman" w:hAnsi="Times New Roman" w:hint="eastAsia"/>
          <w:b/>
          <w:kern w:val="0"/>
          <w:sz w:val="24"/>
          <w:szCs w:val="24"/>
        </w:rPr>
        <w:t>新</w:t>
      </w:r>
      <w:r w:rsidR="00C839AA" w:rsidRPr="00C839AA">
        <w:rPr>
          <w:rFonts w:ascii="Times New Roman" w:hAnsi="Times New Roman" w:hint="eastAsia"/>
          <w:b/>
          <w:kern w:val="0"/>
          <w:sz w:val="24"/>
          <w:szCs w:val="24"/>
        </w:rPr>
        <w:t>基金合同的生效</w:t>
      </w:r>
    </w:p>
    <w:p w14:paraId="779702E2" w14:textId="0EE799A9" w:rsidR="00E34E32" w:rsidRDefault="00D02928" w:rsidP="000A4B9E">
      <w:pPr>
        <w:overflowPunct w:val="0"/>
        <w:spacing w:line="360" w:lineRule="auto"/>
        <w:ind w:firstLineChars="200" w:firstLine="480"/>
        <w:rPr>
          <w:rFonts w:ascii="Times New Roman" w:eastAsiaTheme="minorEastAsia" w:hAnsi="Times New Roman"/>
          <w:bCs/>
          <w:kern w:val="0"/>
          <w:sz w:val="24"/>
          <w:szCs w:val="24"/>
        </w:rPr>
      </w:pPr>
      <w:r w:rsidRPr="00106F58">
        <w:rPr>
          <w:rFonts w:ascii="Times New Roman" w:eastAsiaTheme="minorEastAsia" w:hAnsi="Times New Roman" w:hint="eastAsia"/>
          <w:bCs/>
          <w:sz w:val="24"/>
          <w:szCs w:val="24"/>
        </w:rPr>
        <w:t>自</w:t>
      </w:r>
      <w:r w:rsidRPr="00106F58">
        <w:rPr>
          <w:rFonts w:ascii="Times New Roman" w:eastAsiaTheme="minorEastAsia" w:hAnsi="Times New Roman"/>
          <w:bCs/>
          <w:sz w:val="24"/>
          <w:szCs w:val="24"/>
        </w:rPr>
        <w:t>2020</w:t>
      </w:r>
      <w:r w:rsidRPr="00106F58">
        <w:rPr>
          <w:rFonts w:ascii="Times New Roman" w:eastAsiaTheme="minorEastAsia" w:hAnsi="Times New Roman" w:hint="eastAsia"/>
          <w:bCs/>
          <w:sz w:val="24"/>
          <w:szCs w:val="24"/>
        </w:rPr>
        <w:t>年</w:t>
      </w:r>
      <w:r w:rsidRPr="00106F58">
        <w:rPr>
          <w:rFonts w:ascii="Times New Roman" w:eastAsiaTheme="minorEastAsia" w:hAnsi="Times New Roman"/>
          <w:bCs/>
          <w:sz w:val="24"/>
          <w:szCs w:val="24"/>
        </w:rPr>
        <w:t>8</w:t>
      </w:r>
      <w:r w:rsidRPr="00106F58">
        <w:rPr>
          <w:rFonts w:ascii="Times New Roman" w:eastAsiaTheme="minorEastAsia" w:hAnsi="Times New Roman" w:hint="eastAsia"/>
          <w:bCs/>
          <w:sz w:val="24"/>
          <w:szCs w:val="24"/>
        </w:rPr>
        <w:t>月</w:t>
      </w:r>
      <w:r w:rsidRPr="00106F58">
        <w:rPr>
          <w:rFonts w:ascii="Times New Roman" w:eastAsiaTheme="minorEastAsia" w:hAnsi="Times New Roman" w:hint="eastAsia"/>
          <w:bCs/>
          <w:sz w:val="24"/>
          <w:szCs w:val="24"/>
        </w:rPr>
        <w:t>7</w:t>
      </w:r>
      <w:r w:rsidRPr="00106F58">
        <w:rPr>
          <w:rFonts w:ascii="Times New Roman" w:eastAsiaTheme="minorEastAsia" w:hAnsi="Times New Roman" w:hint="eastAsia"/>
          <w:bCs/>
          <w:sz w:val="24"/>
          <w:szCs w:val="24"/>
        </w:rPr>
        <w:t>日起，易方达银行指数分级证券投资基金正式变更为易方达中证银行指数证券投资基金（</w:t>
      </w:r>
      <w:r w:rsidRPr="00106F58">
        <w:rPr>
          <w:rFonts w:ascii="Times New Roman" w:eastAsiaTheme="minorEastAsia" w:hAnsi="Times New Roman"/>
          <w:bCs/>
          <w:sz w:val="24"/>
          <w:szCs w:val="24"/>
        </w:rPr>
        <w:t>LOF</w:t>
      </w:r>
      <w:r w:rsidRPr="00106F58">
        <w:rPr>
          <w:rFonts w:ascii="Times New Roman" w:eastAsiaTheme="minorEastAsia" w:hAnsi="Times New Roman" w:hint="eastAsia"/>
          <w:bCs/>
          <w:sz w:val="24"/>
          <w:szCs w:val="24"/>
        </w:rPr>
        <w:t>）。《易方达中证</w:t>
      </w:r>
      <w:r w:rsidRPr="00D02928">
        <w:rPr>
          <w:rFonts w:ascii="Times New Roman" w:eastAsiaTheme="minorEastAsia" w:hAnsi="Times New Roman" w:hint="eastAsia"/>
          <w:bCs/>
          <w:sz w:val="24"/>
          <w:szCs w:val="24"/>
        </w:rPr>
        <w:t>银行指数证券投资基金（</w:t>
      </w:r>
      <w:r w:rsidRPr="00D02928">
        <w:rPr>
          <w:rFonts w:ascii="Times New Roman" w:eastAsiaTheme="minorEastAsia" w:hAnsi="Times New Roman"/>
          <w:bCs/>
          <w:sz w:val="24"/>
          <w:szCs w:val="24"/>
        </w:rPr>
        <w:t>LOF</w:t>
      </w:r>
      <w:r w:rsidRPr="00D02928">
        <w:rPr>
          <w:rFonts w:ascii="Times New Roman" w:eastAsiaTheme="minorEastAsia" w:hAnsi="Times New Roman" w:hint="eastAsia"/>
          <w:bCs/>
          <w:sz w:val="24"/>
          <w:szCs w:val="24"/>
        </w:rPr>
        <w:t>）基金合同》生效，</w:t>
      </w:r>
      <w:r>
        <w:rPr>
          <w:rFonts w:ascii="Times New Roman" w:eastAsiaTheme="minorEastAsia" w:hAnsi="Times New Roman" w:hint="eastAsia"/>
          <w:bCs/>
          <w:sz w:val="24"/>
          <w:szCs w:val="24"/>
        </w:rPr>
        <w:t>《易方达</w:t>
      </w:r>
      <w:r w:rsidRPr="00D02928">
        <w:rPr>
          <w:rFonts w:ascii="Times New Roman" w:eastAsiaTheme="minorEastAsia" w:hAnsi="Times New Roman" w:hint="eastAsia"/>
          <w:bCs/>
          <w:sz w:val="24"/>
          <w:szCs w:val="24"/>
        </w:rPr>
        <w:t>银行指数分级证券投资基金基金合同》同日失效。</w:t>
      </w:r>
    </w:p>
    <w:p w14:paraId="48275822" w14:textId="3AC2C18A" w:rsidR="008A5C14" w:rsidRDefault="000A4B9E" w:rsidP="00A425F2">
      <w:pPr>
        <w:overflowPunct w:val="0"/>
        <w:spacing w:line="360" w:lineRule="auto"/>
        <w:ind w:firstLineChars="200" w:firstLine="480"/>
        <w:rPr>
          <w:rFonts w:ascii="Times New Roman" w:eastAsiaTheme="minorEastAsia" w:hAnsi="Times New Roman"/>
          <w:bCs/>
          <w:sz w:val="24"/>
          <w:szCs w:val="24"/>
        </w:rPr>
      </w:pPr>
      <w:r w:rsidRPr="000A4B9E">
        <w:rPr>
          <w:rFonts w:ascii="Times New Roman" w:eastAsiaTheme="minorEastAsia" w:hAnsi="Times New Roman" w:hint="eastAsia"/>
          <w:bCs/>
          <w:sz w:val="24"/>
          <w:szCs w:val="24"/>
        </w:rPr>
        <w:t>本基金转型后的</w:t>
      </w:r>
      <w:r w:rsidRPr="00106F58">
        <w:rPr>
          <w:rFonts w:ascii="Times New Roman" w:eastAsiaTheme="minorEastAsia" w:hAnsi="Times New Roman" w:hint="eastAsia"/>
          <w:bCs/>
          <w:sz w:val="24"/>
          <w:szCs w:val="24"/>
        </w:rPr>
        <w:t>易方达中证银行指数证券投资基金（</w:t>
      </w:r>
      <w:r w:rsidRPr="00106F58">
        <w:rPr>
          <w:rFonts w:ascii="Times New Roman" w:eastAsiaTheme="minorEastAsia" w:hAnsi="Times New Roman"/>
          <w:bCs/>
          <w:sz w:val="24"/>
          <w:szCs w:val="24"/>
        </w:rPr>
        <w:t>LOF</w:t>
      </w:r>
      <w:r w:rsidRPr="00106F58">
        <w:rPr>
          <w:rFonts w:ascii="Times New Roman" w:eastAsiaTheme="minorEastAsia" w:hAnsi="Times New Roman" w:hint="eastAsia"/>
          <w:bCs/>
          <w:sz w:val="24"/>
          <w:szCs w:val="24"/>
        </w:rPr>
        <w:t>）</w:t>
      </w:r>
      <w:r w:rsidRPr="000A4B9E">
        <w:rPr>
          <w:rFonts w:ascii="Times New Roman" w:eastAsiaTheme="minorEastAsia" w:hAnsi="Times New Roman" w:hint="eastAsia"/>
          <w:bCs/>
          <w:sz w:val="24"/>
          <w:szCs w:val="24"/>
        </w:rPr>
        <w:t>将增加</w:t>
      </w:r>
      <w:r w:rsidRPr="000A4B9E">
        <w:rPr>
          <w:rFonts w:ascii="Times New Roman" w:eastAsiaTheme="minorEastAsia" w:hAnsi="Times New Roman" w:hint="eastAsia"/>
          <w:bCs/>
          <w:sz w:val="24"/>
          <w:szCs w:val="24"/>
        </w:rPr>
        <w:t>C</w:t>
      </w:r>
      <w:r w:rsidRPr="000A4B9E">
        <w:rPr>
          <w:rFonts w:ascii="Times New Roman" w:eastAsiaTheme="minorEastAsia" w:hAnsi="Times New Roman" w:hint="eastAsia"/>
          <w:bCs/>
          <w:sz w:val="24"/>
          <w:szCs w:val="24"/>
        </w:rPr>
        <w:t>类基金份额</w:t>
      </w:r>
      <w:r w:rsidR="00C61EDB">
        <w:rPr>
          <w:rFonts w:ascii="Times New Roman" w:eastAsiaTheme="minorEastAsia" w:hAnsi="Times New Roman" w:hint="eastAsia"/>
          <w:bCs/>
          <w:sz w:val="24"/>
          <w:szCs w:val="24"/>
        </w:rPr>
        <w:t>，其</w:t>
      </w:r>
      <w:r w:rsidRPr="000A4B9E">
        <w:rPr>
          <w:rFonts w:ascii="Times New Roman" w:eastAsiaTheme="minorEastAsia" w:hAnsi="Times New Roman" w:hint="eastAsia"/>
          <w:bCs/>
          <w:sz w:val="24"/>
          <w:szCs w:val="24"/>
        </w:rPr>
        <w:t>场外简称为“易方达中证银行指数</w:t>
      </w:r>
      <w:r>
        <w:rPr>
          <w:rFonts w:ascii="Times New Roman" w:eastAsiaTheme="minorEastAsia" w:hAnsi="Times New Roman" w:hint="eastAsia"/>
          <w:bCs/>
          <w:sz w:val="24"/>
          <w:szCs w:val="24"/>
        </w:rPr>
        <w:t>（</w:t>
      </w:r>
      <w:r>
        <w:rPr>
          <w:rFonts w:ascii="Times New Roman" w:eastAsiaTheme="minorEastAsia" w:hAnsi="Times New Roman"/>
          <w:bCs/>
          <w:sz w:val="24"/>
          <w:szCs w:val="24"/>
        </w:rPr>
        <w:t>LOF</w:t>
      </w:r>
      <w:r>
        <w:rPr>
          <w:rFonts w:ascii="Times New Roman" w:eastAsiaTheme="minorEastAsia" w:hAnsi="Times New Roman" w:hint="eastAsia"/>
          <w:bCs/>
          <w:sz w:val="24"/>
          <w:szCs w:val="24"/>
        </w:rPr>
        <w:t>）</w:t>
      </w:r>
      <w:r w:rsidRPr="000A4B9E">
        <w:rPr>
          <w:rFonts w:ascii="Times New Roman" w:eastAsiaTheme="minorEastAsia" w:hAnsi="Times New Roman" w:hint="eastAsia"/>
          <w:bCs/>
          <w:sz w:val="24"/>
          <w:szCs w:val="24"/>
        </w:rPr>
        <w:t>C</w:t>
      </w:r>
      <w:r w:rsidRPr="000A4B9E">
        <w:rPr>
          <w:rFonts w:ascii="Times New Roman" w:eastAsiaTheme="minorEastAsia" w:hAnsi="Times New Roman" w:hint="eastAsia"/>
          <w:bCs/>
          <w:sz w:val="24"/>
          <w:szCs w:val="24"/>
        </w:rPr>
        <w:t>”，基金代码为</w:t>
      </w:r>
      <w:r w:rsidRPr="000A4B9E">
        <w:rPr>
          <w:rFonts w:ascii="Times New Roman" w:eastAsiaTheme="minorEastAsia" w:hAnsi="Times New Roman"/>
          <w:bCs/>
          <w:sz w:val="24"/>
          <w:szCs w:val="24"/>
        </w:rPr>
        <w:t>009860</w:t>
      </w:r>
      <w:r>
        <w:rPr>
          <w:rFonts w:ascii="Times New Roman" w:eastAsiaTheme="minorEastAsia" w:hAnsi="Times New Roman" w:hint="eastAsia"/>
          <w:bCs/>
          <w:sz w:val="24"/>
          <w:szCs w:val="24"/>
        </w:rPr>
        <w:t>，</w:t>
      </w:r>
      <w:r w:rsidRPr="000A4B9E">
        <w:rPr>
          <w:rFonts w:ascii="Times New Roman" w:eastAsiaTheme="minorEastAsia" w:hAnsi="Times New Roman" w:hint="eastAsia"/>
          <w:bCs/>
          <w:sz w:val="24"/>
          <w:szCs w:val="24"/>
        </w:rPr>
        <w:t>C</w:t>
      </w:r>
      <w:r w:rsidRPr="000A4B9E">
        <w:rPr>
          <w:rFonts w:ascii="Times New Roman" w:eastAsiaTheme="minorEastAsia" w:hAnsi="Times New Roman" w:hint="eastAsia"/>
          <w:bCs/>
          <w:sz w:val="24"/>
          <w:szCs w:val="24"/>
        </w:rPr>
        <w:t>类基金份额向场外投资者销售，详见本基金管理人届时发布的基金合同等法律文件</w:t>
      </w:r>
      <w:r w:rsidR="00EA7AC5">
        <w:rPr>
          <w:rFonts w:ascii="Times New Roman" w:eastAsiaTheme="minorEastAsia" w:hAnsi="Times New Roman" w:hint="eastAsia"/>
          <w:bCs/>
          <w:sz w:val="24"/>
          <w:szCs w:val="24"/>
        </w:rPr>
        <w:t>及</w:t>
      </w:r>
      <w:r w:rsidR="00EA7AC5" w:rsidRPr="000A4B9E">
        <w:rPr>
          <w:rFonts w:ascii="Times New Roman" w:eastAsiaTheme="minorEastAsia" w:hAnsi="Times New Roman" w:hint="eastAsia"/>
          <w:bCs/>
          <w:sz w:val="24"/>
          <w:szCs w:val="24"/>
        </w:rPr>
        <w:t>相关</w:t>
      </w:r>
      <w:r w:rsidR="00EA7AC5">
        <w:rPr>
          <w:rFonts w:ascii="Times New Roman" w:eastAsiaTheme="minorEastAsia" w:hAnsi="Times New Roman" w:hint="eastAsia"/>
          <w:bCs/>
          <w:sz w:val="24"/>
          <w:szCs w:val="24"/>
        </w:rPr>
        <w:t>公告</w:t>
      </w:r>
      <w:r w:rsidRPr="000A4B9E">
        <w:rPr>
          <w:rFonts w:ascii="Times New Roman" w:eastAsiaTheme="minorEastAsia" w:hAnsi="Times New Roman" w:hint="eastAsia"/>
          <w:bCs/>
          <w:sz w:val="24"/>
          <w:szCs w:val="24"/>
        </w:rPr>
        <w:t>。</w:t>
      </w:r>
    </w:p>
    <w:p w14:paraId="1535D392" w14:textId="77777777" w:rsidR="00737998" w:rsidRDefault="00737998" w:rsidP="000A4B9E">
      <w:pPr>
        <w:overflowPunct w:val="0"/>
        <w:spacing w:line="360" w:lineRule="auto"/>
        <w:ind w:firstLineChars="200" w:firstLine="480"/>
        <w:rPr>
          <w:rFonts w:ascii="Times New Roman" w:hAnsi="Times New Roman"/>
          <w:kern w:val="0"/>
          <w:sz w:val="24"/>
          <w:szCs w:val="24"/>
        </w:rPr>
      </w:pPr>
    </w:p>
    <w:p w14:paraId="034774B2" w14:textId="77777777" w:rsidR="000A4B9E" w:rsidRPr="00A425F2" w:rsidRDefault="000A4B9E" w:rsidP="000A4B9E">
      <w:pPr>
        <w:overflowPunct w:val="0"/>
        <w:spacing w:line="360" w:lineRule="auto"/>
        <w:ind w:firstLineChars="200" w:firstLine="480"/>
        <w:rPr>
          <w:rFonts w:ascii="Times New Roman" w:hAnsi="Times New Roman"/>
          <w:kern w:val="0"/>
          <w:sz w:val="24"/>
          <w:szCs w:val="24"/>
        </w:rPr>
      </w:pPr>
      <w:r w:rsidRPr="00A425F2">
        <w:rPr>
          <w:rFonts w:ascii="Times New Roman" w:hAnsi="Times New Roman" w:hint="eastAsia"/>
          <w:kern w:val="0"/>
          <w:sz w:val="24"/>
          <w:szCs w:val="24"/>
        </w:rPr>
        <w:t>投资者可通过以下途径咨询详情：</w:t>
      </w:r>
    </w:p>
    <w:p w14:paraId="67548629" w14:textId="77777777" w:rsidR="000A4B9E" w:rsidRPr="00A425F2" w:rsidRDefault="000A4B9E" w:rsidP="000A4B9E">
      <w:pPr>
        <w:overflowPunct w:val="0"/>
        <w:spacing w:line="360" w:lineRule="auto"/>
        <w:ind w:firstLineChars="200" w:firstLine="480"/>
        <w:rPr>
          <w:rFonts w:ascii="Times New Roman" w:hAnsi="Times New Roman"/>
          <w:kern w:val="0"/>
          <w:sz w:val="24"/>
          <w:szCs w:val="24"/>
        </w:rPr>
      </w:pPr>
      <w:r w:rsidRPr="00A425F2">
        <w:rPr>
          <w:rFonts w:ascii="Times New Roman" w:hAnsi="Times New Roman" w:hint="eastAsia"/>
          <w:kern w:val="0"/>
          <w:sz w:val="24"/>
          <w:szCs w:val="24"/>
        </w:rPr>
        <w:t>易方达基金管理有限公司</w:t>
      </w:r>
    </w:p>
    <w:p w14:paraId="30ABC743" w14:textId="77777777" w:rsidR="000A4B9E" w:rsidRPr="00A425F2" w:rsidRDefault="000A4B9E" w:rsidP="000A4B9E">
      <w:pPr>
        <w:overflowPunct w:val="0"/>
        <w:spacing w:line="360" w:lineRule="auto"/>
        <w:ind w:firstLineChars="200" w:firstLine="480"/>
        <w:rPr>
          <w:rFonts w:ascii="Times New Roman" w:hAnsi="Times New Roman"/>
          <w:kern w:val="0"/>
          <w:sz w:val="24"/>
          <w:szCs w:val="24"/>
        </w:rPr>
      </w:pPr>
      <w:r w:rsidRPr="00A425F2">
        <w:rPr>
          <w:rFonts w:ascii="Times New Roman" w:hAnsi="Times New Roman" w:hint="eastAsia"/>
          <w:kern w:val="0"/>
          <w:sz w:val="24"/>
          <w:szCs w:val="24"/>
        </w:rPr>
        <w:t>客户服务中心电话：</w:t>
      </w:r>
      <w:r w:rsidRPr="00A425F2">
        <w:rPr>
          <w:rFonts w:ascii="Times New Roman" w:hAnsi="Times New Roman" w:hint="eastAsia"/>
          <w:kern w:val="0"/>
          <w:sz w:val="24"/>
          <w:szCs w:val="24"/>
        </w:rPr>
        <w:t>400-881-8088</w:t>
      </w:r>
    </w:p>
    <w:p w14:paraId="49082331" w14:textId="77777777" w:rsidR="000A4B9E" w:rsidRPr="00A425F2" w:rsidRDefault="000A4B9E" w:rsidP="000A4B9E">
      <w:pPr>
        <w:overflowPunct w:val="0"/>
        <w:spacing w:line="360" w:lineRule="auto"/>
        <w:ind w:firstLineChars="200" w:firstLine="480"/>
        <w:rPr>
          <w:rFonts w:ascii="Times New Roman" w:hAnsi="Times New Roman"/>
          <w:kern w:val="0"/>
          <w:sz w:val="24"/>
          <w:szCs w:val="24"/>
        </w:rPr>
      </w:pPr>
      <w:r w:rsidRPr="00A425F2">
        <w:rPr>
          <w:rFonts w:ascii="Times New Roman" w:hAnsi="Times New Roman" w:hint="eastAsia"/>
          <w:kern w:val="0"/>
          <w:sz w:val="24"/>
          <w:szCs w:val="24"/>
        </w:rPr>
        <w:t>网址：</w:t>
      </w:r>
      <w:r w:rsidRPr="00A425F2">
        <w:rPr>
          <w:rFonts w:ascii="Times New Roman" w:hAnsi="Times New Roman" w:hint="eastAsia"/>
          <w:kern w:val="0"/>
          <w:sz w:val="24"/>
          <w:szCs w:val="24"/>
        </w:rPr>
        <w:t>www.efunds.com.cn</w:t>
      </w:r>
    </w:p>
    <w:p w14:paraId="58697784" w14:textId="6F19BA8D" w:rsidR="004A3EDD" w:rsidRPr="000A4B9E" w:rsidRDefault="000A4B9E" w:rsidP="007D0BC0">
      <w:pPr>
        <w:spacing w:line="360" w:lineRule="auto"/>
        <w:ind w:firstLineChars="200" w:firstLine="480"/>
        <w:rPr>
          <w:rFonts w:ascii="Times New Roman" w:hAnsi="Times New Roman"/>
          <w:kern w:val="0"/>
          <w:sz w:val="24"/>
          <w:szCs w:val="24"/>
        </w:rPr>
      </w:pPr>
      <w:r w:rsidRPr="00A425F2">
        <w:rPr>
          <w:rFonts w:ascii="Times New Roman" w:hAnsi="Times New Roman" w:hint="eastAsia"/>
          <w:kern w:val="0"/>
          <w:sz w:val="24"/>
          <w:szCs w:val="24"/>
        </w:rPr>
        <w:t>风险提示：基金管理人承诺以诚实信用、勤勉尽责的原则管理和运用基金资产，但不保证基金一定盈利，也不保证最低收益。销售机构根据法规要求对投资者类别、风险承受能力和基金的风险等级进行划分，并提出适当性匹配意见。投资者在投资基金前应认真阅读基金合同和招募说明书（更新）等基金法律文件，全面认识基金产品的风险收益特征，在了解产品情况及听取销售机构适当性意见的基础上，根据自身的风险承受能力、投资期限和投资目标，对基金投资作出独立决策，选择合适的基金产品。基金管理人提醒投资者基金投资的“买者自负”原则，在投资者作出投资决策后，基金运营状况与基金净值变化引致的投资风险，由投资者自行负责。</w:t>
      </w:r>
    </w:p>
    <w:p w14:paraId="53FAE287" w14:textId="4F21B9A7" w:rsidR="0093581C" w:rsidRPr="0093581C" w:rsidRDefault="0093581C" w:rsidP="007D0BC0">
      <w:pPr>
        <w:spacing w:line="360" w:lineRule="auto"/>
        <w:ind w:firstLineChars="200" w:firstLine="480"/>
        <w:rPr>
          <w:rFonts w:ascii="Times New Roman" w:hAnsi="Times New Roman"/>
          <w:kern w:val="0"/>
          <w:sz w:val="24"/>
          <w:szCs w:val="24"/>
        </w:rPr>
      </w:pPr>
      <w:r>
        <w:rPr>
          <w:rFonts w:ascii="Times New Roman" w:hAnsi="Times New Roman" w:hint="eastAsia"/>
          <w:kern w:val="0"/>
          <w:sz w:val="24"/>
          <w:szCs w:val="24"/>
        </w:rPr>
        <w:t>特此公告。</w:t>
      </w:r>
    </w:p>
    <w:p w14:paraId="7B452B66" w14:textId="77777777" w:rsidR="00E85CE8" w:rsidRDefault="00E85CE8" w:rsidP="007D0BC0">
      <w:pPr>
        <w:spacing w:line="360" w:lineRule="auto"/>
        <w:ind w:firstLineChars="200" w:firstLine="480"/>
        <w:rPr>
          <w:rFonts w:ascii="Times New Roman" w:hAnsi="Times New Roman"/>
          <w:kern w:val="0"/>
          <w:sz w:val="24"/>
          <w:szCs w:val="24"/>
        </w:rPr>
      </w:pPr>
    </w:p>
    <w:p w14:paraId="104E83CA" w14:textId="13803C8D" w:rsidR="00DC35E6" w:rsidRDefault="00DC35E6" w:rsidP="007D0BC0">
      <w:pPr>
        <w:spacing w:line="360" w:lineRule="auto"/>
        <w:ind w:firstLineChars="200" w:firstLine="480"/>
        <w:jc w:val="right"/>
        <w:rPr>
          <w:rFonts w:ascii="Times New Roman" w:hAnsi="Times New Roman"/>
          <w:kern w:val="0"/>
          <w:sz w:val="24"/>
          <w:szCs w:val="24"/>
        </w:rPr>
      </w:pPr>
      <w:r>
        <w:rPr>
          <w:rFonts w:ascii="Times New Roman" w:hAnsi="Times New Roman" w:hint="eastAsia"/>
          <w:kern w:val="0"/>
          <w:sz w:val="24"/>
          <w:szCs w:val="24"/>
        </w:rPr>
        <w:t>易方达</w:t>
      </w:r>
      <w:r w:rsidRPr="00DC35E6">
        <w:rPr>
          <w:rFonts w:ascii="Times New Roman" w:hAnsi="Times New Roman"/>
          <w:kern w:val="0"/>
          <w:sz w:val="24"/>
          <w:szCs w:val="24"/>
        </w:rPr>
        <w:t>基金管理有限公司</w:t>
      </w:r>
    </w:p>
    <w:p w14:paraId="4E426F75" w14:textId="4916A304" w:rsidR="00ED78DA" w:rsidRPr="00080B91" w:rsidRDefault="00B46059" w:rsidP="007D0BC0">
      <w:pPr>
        <w:spacing w:line="360" w:lineRule="auto"/>
        <w:ind w:firstLineChars="200" w:firstLine="480"/>
        <w:jc w:val="right"/>
        <w:rPr>
          <w:rFonts w:ascii="Times New Roman" w:hAnsi="Times New Roman"/>
        </w:rPr>
      </w:pPr>
      <w:r w:rsidRPr="00106F58">
        <w:rPr>
          <w:rFonts w:ascii="Times New Roman" w:hAnsi="Times New Roman" w:hint="eastAsia"/>
          <w:kern w:val="0"/>
          <w:sz w:val="24"/>
          <w:szCs w:val="24"/>
        </w:rPr>
        <w:t>20</w:t>
      </w:r>
      <w:r w:rsidR="008300D4" w:rsidRPr="00106F58">
        <w:rPr>
          <w:rFonts w:ascii="Times New Roman" w:hAnsi="Times New Roman" w:hint="eastAsia"/>
          <w:kern w:val="0"/>
          <w:sz w:val="24"/>
          <w:szCs w:val="24"/>
        </w:rPr>
        <w:t>20</w:t>
      </w:r>
      <w:r w:rsidR="00DC35E6" w:rsidRPr="00106F58">
        <w:rPr>
          <w:rFonts w:ascii="Times New Roman" w:hAnsi="Times New Roman"/>
          <w:kern w:val="0"/>
          <w:sz w:val="24"/>
          <w:szCs w:val="24"/>
        </w:rPr>
        <w:t>年</w:t>
      </w:r>
      <w:r w:rsidR="008300D4" w:rsidRPr="00106F58">
        <w:rPr>
          <w:rFonts w:ascii="Times New Roman" w:hAnsi="Times New Roman" w:hint="eastAsia"/>
          <w:kern w:val="0"/>
          <w:sz w:val="24"/>
          <w:szCs w:val="24"/>
        </w:rPr>
        <w:t>7</w:t>
      </w:r>
      <w:r w:rsidR="00DC35E6" w:rsidRPr="00106F58">
        <w:rPr>
          <w:rFonts w:ascii="Times New Roman" w:hAnsi="Times New Roman"/>
          <w:kern w:val="0"/>
          <w:sz w:val="24"/>
          <w:szCs w:val="24"/>
        </w:rPr>
        <w:t>月</w:t>
      </w:r>
      <w:r w:rsidR="000A4B9E">
        <w:rPr>
          <w:rFonts w:ascii="Times New Roman" w:hAnsi="Times New Roman" w:hint="eastAsia"/>
          <w:kern w:val="0"/>
          <w:sz w:val="24"/>
          <w:szCs w:val="24"/>
        </w:rPr>
        <w:t>31</w:t>
      </w:r>
      <w:r w:rsidR="00DC35E6" w:rsidRPr="00106F58">
        <w:rPr>
          <w:rFonts w:ascii="Times New Roman" w:hAnsi="Times New Roman"/>
          <w:kern w:val="0"/>
          <w:sz w:val="24"/>
          <w:szCs w:val="24"/>
        </w:rPr>
        <w:t>日</w:t>
      </w:r>
      <w:bookmarkEnd w:id="1"/>
    </w:p>
    <w:sectPr w:rsidR="00ED78DA" w:rsidRPr="00080B91" w:rsidSect="006B5CC7">
      <w:footerReference w:type="default" r:id="rId9"/>
      <w:type w:val="continuous"/>
      <w:pgSz w:w="11906" w:h="16838"/>
      <w:pgMar w:top="1440" w:right="1797" w:bottom="1440" w:left="1797" w:header="851" w:footer="992" w:gutter="0"/>
      <w:cols w:space="720"/>
      <w:docGrid w:linePitch="28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5BF46" w14:textId="77777777" w:rsidR="00F12173" w:rsidRDefault="00F12173" w:rsidP="00F25838">
      <w:r>
        <w:separator/>
      </w:r>
    </w:p>
  </w:endnote>
  <w:endnote w:type="continuationSeparator" w:id="0">
    <w:p w14:paraId="57C46F19" w14:textId="77777777" w:rsidR="00F12173" w:rsidRDefault="00F12173" w:rsidP="00F2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4672392"/>
      <w:docPartObj>
        <w:docPartGallery w:val="Page Numbers (Bottom of Page)"/>
        <w:docPartUnique/>
      </w:docPartObj>
    </w:sdtPr>
    <w:sdtEndPr>
      <w:rPr>
        <w:rFonts w:ascii="Times New Roman" w:hAnsi="Times New Roman"/>
      </w:rPr>
    </w:sdtEndPr>
    <w:sdtContent>
      <w:p w14:paraId="1E5B18A1" w14:textId="77777777" w:rsidR="00BF3215" w:rsidRPr="00BF3215" w:rsidRDefault="00BF3215">
        <w:pPr>
          <w:pStyle w:val="a8"/>
          <w:jc w:val="center"/>
          <w:rPr>
            <w:rFonts w:ascii="Times New Roman" w:hAnsi="Times New Roman"/>
          </w:rPr>
        </w:pPr>
        <w:r w:rsidRPr="00BF3215">
          <w:rPr>
            <w:rFonts w:ascii="Times New Roman" w:hAnsi="Times New Roman"/>
          </w:rPr>
          <w:fldChar w:fldCharType="begin"/>
        </w:r>
        <w:r w:rsidRPr="00BF3215">
          <w:rPr>
            <w:rFonts w:ascii="Times New Roman" w:hAnsi="Times New Roman"/>
          </w:rPr>
          <w:instrText>PAGE   \* MERGEFORMAT</w:instrText>
        </w:r>
        <w:r w:rsidRPr="00BF3215">
          <w:rPr>
            <w:rFonts w:ascii="Times New Roman" w:hAnsi="Times New Roman"/>
          </w:rPr>
          <w:fldChar w:fldCharType="separate"/>
        </w:r>
        <w:r w:rsidR="004A1B64" w:rsidRPr="004A1B64">
          <w:rPr>
            <w:rFonts w:ascii="Times New Roman" w:hAnsi="Times New Roman"/>
            <w:noProof/>
            <w:lang w:val="zh-CN"/>
          </w:rPr>
          <w:t>1</w:t>
        </w:r>
        <w:r w:rsidRPr="00BF3215">
          <w:rPr>
            <w:rFonts w:ascii="Times New Roman" w:hAnsi="Times New Roman"/>
          </w:rPr>
          <w:fldChar w:fldCharType="end"/>
        </w:r>
      </w:p>
    </w:sdtContent>
  </w:sdt>
  <w:p w14:paraId="27CC9914" w14:textId="77777777" w:rsidR="00BF3215" w:rsidRDefault="00BF321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5C9C7" w14:textId="77777777" w:rsidR="00F12173" w:rsidRDefault="00F12173" w:rsidP="00F25838">
      <w:r>
        <w:separator/>
      </w:r>
    </w:p>
  </w:footnote>
  <w:footnote w:type="continuationSeparator" w:id="0">
    <w:p w14:paraId="49193C5E" w14:textId="77777777" w:rsidR="00F12173" w:rsidRDefault="00F12173" w:rsidP="00F25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E3DBC"/>
    <w:multiLevelType w:val="hybridMultilevel"/>
    <w:tmpl w:val="BDA26EB2"/>
    <w:lvl w:ilvl="0" w:tplc="B2282D78">
      <w:start w:val="1"/>
      <w:numFmt w:val="decimal"/>
      <w:lvlText w:val="%1、"/>
      <w:lvlJc w:val="left"/>
      <w:pPr>
        <w:ind w:left="454" w:hanging="57"/>
      </w:pPr>
      <w:rPr>
        <w:rFonts w:hint="eastAsia"/>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60C01D5"/>
    <w:multiLevelType w:val="hybridMultilevel"/>
    <w:tmpl w:val="CD3E516C"/>
    <w:lvl w:ilvl="0" w:tplc="EAAEBF62">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949E9"/>
    <w:rsid w:val="000042D3"/>
    <w:rsid w:val="00013292"/>
    <w:rsid w:val="000132AC"/>
    <w:rsid w:val="00022848"/>
    <w:rsid w:val="00034621"/>
    <w:rsid w:val="00043270"/>
    <w:rsid w:val="00044DB1"/>
    <w:rsid w:val="00055154"/>
    <w:rsid w:val="0005684A"/>
    <w:rsid w:val="000701E5"/>
    <w:rsid w:val="000807F4"/>
    <w:rsid w:val="00080B91"/>
    <w:rsid w:val="00086A30"/>
    <w:rsid w:val="00087EB7"/>
    <w:rsid w:val="00090392"/>
    <w:rsid w:val="00093B75"/>
    <w:rsid w:val="00096A49"/>
    <w:rsid w:val="000A4B9E"/>
    <w:rsid w:val="000A4CAF"/>
    <w:rsid w:val="000C3AAD"/>
    <w:rsid w:val="000C46CD"/>
    <w:rsid w:val="000C6391"/>
    <w:rsid w:val="000C6E07"/>
    <w:rsid w:val="000D3CF2"/>
    <w:rsid w:val="000E3858"/>
    <w:rsid w:val="000E3E43"/>
    <w:rsid w:val="000F20FA"/>
    <w:rsid w:val="001052FC"/>
    <w:rsid w:val="00106017"/>
    <w:rsid w:val="00106BF9"/>
    <w:rsid w:val="00106F58"/>
    <w:rsid w:val="00107E78"/>
    <w:rsid w:val="00111428"/>
    <w:rsid w:val="00111877"/>
    <w:rsid w:val="001128E5"/>
    <w:rsid w:val="001203FA"/>
    <w:rsid w:val="001257EF"/>
    <w:rsid w:val="00127238"/>
    <w:rsid w:val="0013568F"/>
    <w:rsid w:val="001416E6"/>
    <w:rsid w:val="001477B8"/>
    <w:rsid w:val="00155CA2"/>
    <w:rsid w:val="00172819"/>
    <w:rsid w:val="001739B6"/>
    <w:rsid w:val="00181645"/>
    <w:rsid w:val="001827DC"/>
    <w:rsid w:val="00192F14"/>
    <w:rsid w:val="00194016"/>
    <w:rsid w:val="001A0E47"/>
    <w:rsid w:val="001B1223"/>
    <w:rsid w:val="001B31D9"/>
    <w:rsid w:val="001B770B"/>
    <w:rsid w:val="001C4D90"/>
    <w:rsid w:val="001D2EBA"/>
    <w:rsid w:val="001D38C5"/>
    <w:rsid w:val="001D72EF"/>
    <w:rsid w:val="001E3B38"/>
    <w:rsid w:val="001E4828"/>
    <w:rsid w:val="001E6CA5"/>
    <w:rsid w:val="001F17C0"/>
    <w:rsid w:val="001F2431"/>
    <w:rsid w:val="00234E0D"/>
    <w:rsid w:val="00243A6E"/>
    <w:rsid w:val="002537FC"/>
    <w:rsid w:val="00254E80"/>
    <w:rsid w:val="00265ECE"/>
    <w:rsid w:val="0026625D"/>
    <w:rsid w:val="002721F7"/>
    <w:rsid w:val="0027464E"/>
    <w:rsid w:val="0027583E"/>
    <w:rsid w:val="00284D7A"/>
    <w:rsid w:val="002935E2"/>
    <w:rsid w:val="002C0B13"/>
    <w:rsid w:val="002C436E"/>
    <w:rsid w:val="002D5B9E"/>
    <w:rsid w:val="002E1D2A"/>
    <w:rsid w:val="002E1E77"/>
    <w:rsid w:val="002F0480"/>
    <w:rsid w:val="002F6695"/>
    <w:rsid w:val="00303770"/>
    <w:rsid w:val="003106E5"/>
    <w:rsid w:val="00313FB9"/>
    <w:rsid w:val="003162A2"/>
    <w:rsid w:val="003170A2"/>
    <w:rsid w:val="00317EBF"/>
    <w:rsid w:val="00324260"/>
    <w:rsid w:val="00325722"/>
    <w:rsid w:val="003270BF"/>
    <w:rsid w:val="00332D57"/>
    <w:rsid w:val="00336721"/>
    <w:rsid w:val="003403ED"/>
    <w:rsid w:val="0034311F"/>
    <w:rsid w:val="00350DB6"/>
    <w:rsid w:val="00350F50"/>
    <w:rsid w:val="00353847"/>
    <w:rsid w:val="003554A8"/>
    <w:rsid w:val="003576E8"/>
    <w:rsid w:val="003714CF"/>
    <w:rsid w:val="00374018"/>
    <w:rsid w:val="0038070B"/>
    <w:rsid w:val="00383332"/>
    <w:rsid w:val="00395466"/>
    <w:rsid w:val="00397F68"/>
    <w:rsid w:val="003A4809"/>
    <w:rsid w:val="003A58A5"/>
    <w:rsid w:val="003B0A6C"/>
    <w:rsid w:val="003B7968"/>
    <w:rsid w:val="003C771A"/>
    <w:rsid w:val="003D0219"/>
    <w:rsid w:val="003D3B71"/>
    <w:rsid w:val="003E186C"/>
    <w:rsid w:val="003F175C"/>
    <w:rsid w:val="003F1B95"/>
    <w:rsid w:val="003F5FF4"/>
    <w:rsid w:val="003F66A2"/>
    <w:rsid w:val="0040085D"/>
    <w:rsid w:val="004128D3"/>
    <w:rsid w:val="0041513F"/>
    <w:rsid w:val="00415394"/>
    <w:rsid w:val="0042416B"/>
    <w:rsid w:val="004273FA"/>
    <w:rsid w:val="004332BE"/>
    <w:rsid w:val="004366E9"/>
    <w:rsid w:val="00440454"/>
    <w:rsid w:val="00444371"/>
    <w:rsid w:val="00444E6B"/>
    <w:rsid w:val="00445073"/>
    <w:rsid w:val="004530D5"/>
    <w:rsid w:val="00457DF9"/>
    <w:rsid w:val="004652B5"/>
    <w:rsid w:val="00475D10"/>
    <w:rsid w:val="0048461E"/>
    <w:rsid w:val="00485374"/>
    <w:rsid w:val="00486876"/>
    <w:rsid w:val="00492DC8"/>
    <w:rsid w:val="004A06A2"/>
    <w:rsid w:val="004A1B64"/>
    <w:rsid w:val="004A3EDD"/>
    <w:rsid w:val="004A500A"/>
    <w:rsid w:val="004B617D"/>
    <w:rsid w:val="004B71BC"/>
    <w:rsid w:val="004C03B2"/>
    <w:rsid w:val="004D0656"/>
    <w:rsid w:val="004E3B0E"/>
    <w:rsid w:val="004E4624"/>
    <w:rsid w:val="004F3FA3"/>
    <w:rsid w:val="005033B3"/>
    <w:rsid w:val="00504A9F"/>
    <w:rsid w:val="00504CAD"/>
    <w:rsid w:val="005056AC"/>
    <w:rsid w:val="00511ED1"/>
    <w:rsid w:val="0051495D"/>
    <w:rsid w:val="00515232"/>
    <w:rsid w:val="00515AA0"/>
    <w:rsid w:val="00517D1B"/>
    <w:rsid w:val="00524169"/>
    <w:rsid w:val="00524944"/>
    <w:rsid w:val="00534EF0"/>
    <w:rsid w:val="005370F0"/>
    <w:rsid w:val="005417C2"/>
    <w:rsid w:val="00544ECC"/>
    <w:rsid w:val="005459D1"/>
    <w:rsid w:val="00552EB8"/>
    <w:rsid w:val="0055315B"/>
    <w:rsid w:val="00573C70"/>
    <w:rsid w:val="00586D68"/>
    <w:rsid w:val="005C1987"/>
    <w:rsid w:val="005D06E3"/>
    <w:rsid w:val="005D1D7E"/>
    <w:rsid w:val="005D7222"/>
    <w:rsid w:val="005D7D20"/>
    <w:rsid w:val="005E083E"/>
    <w:rsid w:val="005E2A41"/>
    <w:rsid w:val="005F045C"/>
    <w:rsid w:val="005F241A"/>
    <w:rsid w:val="00612A92"/>
    <w:rsid w:val="00613344"/>
    <w:rsid w:val="00616F6F"/>
    <w:rsid w:val="00620798"/>
    <w:rsid w:val="006227C2"/>
    <w:rsid w:val="00623CF7"/>
    <w:rsid w:val="00633C5E"/>
    <w:rsid w:val="0065077F"/>
    <w:rsid w:val="00651402"/>
    <w:rsid w:val="006555C3"/>
    <w:rsid w:val="00664341"/>
    <w:rsid w:val="00671F4D"/>
    <w:rsid w:val="00677FD0"/>
    <w:rsid w:val="00686FA1"/>
    <w:rsid w:val="00687071"/>
    <w:rsid w:val="00691336"/>
    <w:rsid w:val="00691B8F"/>
    <w:rsid w:val="0069448B"/>
    <w:rsid w:val="00695337"/>
    <w:rsid w:val="006A2DC5"/>
    <w:rsid w:val="006A6FB6"/>
    <w:rsid w:val="006A7B74"/>
    <w:rsid w:val="006B5CC7"/>
    <w:rsid w:val="006C2503"/>
    <w:rsid w:val="006C44CF"/>
    <w:rsid w:val="006C6CDF"/>
    <w:rsid w:val="006D0731"/>
    <w:rsid w:val="006E047D"/>
    <w:rsid w:val="006E30CA"/>
    <w:rsid w:val="006E56F9"/>
    <w:rsid w:val="006E74C7"/>
    <w:rsid w:val="006F1F36"/>
    <w:rsid w:val="006F2FAB"/>
    <w:rsid w:val="006F3F52"/>
    <w:rsid w:val="006F4F24"/>
    <w:rsid w:val="006F5709"/>
    <w:rsid w:val="00706D6B"/>
    <w:rsid w:val="00711548"/>
    <w:rsid w:val="00711A4D"/>
    <w:rsid w:val="0072379E"/>
    <w:rsid w:val="00732234"/>
    <w:rsid w:val="00737998"/>
    <w:rsid w:val="0074214A"/>
    <w:rsid w:val="00760160"/>
    <w:rsid w:val="00766BB6"/>
    <w:rsid w:val="00783879"/>
    <w:rsid w:val="007A2478"/>
    <w:rsid w:val="007A3368"/>
    <w:rsid w:val="007B5E25"/>
    <w:rsid w:val="007D0BC0"/>
    <w:rsid w:val="007D4483"/>
    <w:rsid w:val="007E092C"/>
    <w:rsid w:val="007E2751"/>
    <w:rsid w:val="007E2788"/>
    <w:rsid w:val="007E347B"/>
    <w:rsid w:val="007F3494"/>
    <w:rsid w:val="007F7BC4"/>
    <w:rsid w:val="00805C90"/>
    <w:rsid w:val="008105B2"/>
    <w:rsid w:val="008300D4"/>
    <w:rsid w:val="00831CFD"/>
    <w:rsid w:val="0084010B"/>
    <w:rsid w:val="008425EA"/>
    <w:rsid w:val="008735EB"/>
    <w:rsid w:val="00875930"/>
    <w:rsid w:val="0089119F"/>
    <w:rsid w:val="008A07E8"/>
    <w:rsid w:val="008A5C14"/>
    <w:rsid w:val="008B5A6E"/>
    <w:rsid w:val="008B63F4"/>
    <w:rsid w:val="008C36BD"/>
    <w:rsid w:val="008C4768"/>
    <w:rsid w:val="008C6FA0"/>
    <w:rsid w:val="008D1B22"/>
    <w:rsid w:val="008D5C0B"/>
    <w:rsid w:val="008E09BC"/>
    <w:rsid w:val="008E13C1"/>
    <w:rsid w:val="008E4804"/>
    <w:rsid w:val="00910A42"/>
    <w:rsid w:val="00910BAD"/>
    <w:rsid w:val="00912B20"/>
    <w:rsid w:val="00913497"/>
    <w:rsid w:val="00925A8F"/>
    <w:rsid w:val="00926456"/>
    <w:rsid w:val="00926BE0"/>
    <w:rsid w:val="009310AB"/>
    <w:rsid w:val="00932AA1"/>
    <w:rsid w:val="0093581C"/>
    <w:rsid w:val="00935DD7"/>
    <w:rsid w:val="009406CD"/>
    <w:rsid w:val="00954CD7"/>
    <w:rsid w:val="00955D08"/>
    <w:rsid w:val="009608DF"/>
    <w:rsid w:val="00960C9B"/>
    <w:rsid w:val="00966465"/>
    <w:rsid w:val="00976A45"/>
    <w:rsid w:val="00981A42"/>
    <w:rsid w:val="00983078"/>
    <w:rsid w:val="009957C3"/>
    <w:rsid w:val="009A279A"/>
    <w:rsid w:val="009A698E"/>
    <w:rsid w:val="009B14C0"/>
    <w:rsid w:val="009B36FB"/>
    <w:rsid w:val="009C63D4"/>
    <w:rsid w:val="009D686F"/>
    <w:rsid w:val="009F1B48"/>
    <w:rsid w:val="00A17B0E"/>
    <w:rsid w:val="00A3630E"/>
    <w:rsid w:val="00A37925"/>
    <w:rsid w:val="00A41A24"/>
    <w:rsid w:val="00A425F2"/>
    <w:rsid w:val="00A4420E"/>
    <w:rsid w:val="00A4504C"/>
    <w:rsid w:val="00A52D1F"/>
    <w:rsid w:val="00A6219E"/>
    <w:rsid w:val="00A6408A"/>
    <w:rsid w:val="00A64599"/>
    <w:rsid w:val="00A67D4B"/>
    <w:rsid w:val="00A7244D"/>
    <w:rsid w:val="00A72F1F"/>
    <w:rsid w:val="00A75117"/>
    <w:rsid w:val="00A81F54"/>
    <w:rsid w:val="00A85C11"/>
    <w:rsid w:val="00A91F1D"/>
    <w:rsid w:val="00A97CE6"/>
    <w:rsid w:val="00AA19C6"/>
    <w:rsid w:val="00AA4767"/>
    <w:rsid w:val="00AB460F"/>
    <w:rsid w:val="00AC1E7E"/>
    <w:rsid w:val="00AD0467"/>
    <w:rsid w:val="00AD3872"/>
    <w:rsid w:val="00AD4073"/>
    <w:rsid w:val="00AD6DAF"/>
    <w:rsid w:val="00AE65E6"/>
    <w:rsid w:val="00B02EC8"/>
    <w:rsid w:val="00B03D3F"/>
    <w:rsid w:val="00B0637D"/>
    <w:rsid w:val="00B06FB7"/>
    <w:rsid w:val="00B11483"/>
    <w:rsid w:val="00B1560D"/>
    <w:rsid w:val="00B32121"/>
    <w:rsid w:val="00B46059"/>
    <w:rsid w:val="00B50373"/>
    <w:rsid w:val="00B57ED4"/>
    <w:rsid w:val="00B66288"/>
    <w:rsid w:val="00B739E2"/>
    <w:rsid w:val="00B803E4"/>
    <w:rsid w:val="00B97BB4"/>
    <w:rsid w:val="00BA3668"/>
    <w:rsid w:val="00BA4108"/>
    <w:rsid w:val="00BA7B9C"/>
    <w:rsid w:val="00BB59CB"/>
    <w:rsid w:val="00BC674B"/>
    <w:rsid w:val="00BC73C5"/>
    <w:rsid w:val="00BC7F85"/>
    <w:rsid w:val="00BD028C"/>
    <w:rsid w:val="00BD1F7B"/>
    <w:rsid w:val="00BD2E4D"/>
    <w:rsid w:val="00BE36B7"/>
    <w:rsid w:val="00BE72EC"/>
    <w:rsid w:val="00BF3215"/>
    <w:rsid w:val="00BF4323"/>
    <w:rsid w:val="00C02560"/>
    <w:rsid w:val="00C17DB5"/>
    <w:rsid w:val="00C21C06"/>
    <w:rsid w:val="00C32C92"/>
    <w:rsid w:val="00C53EF6"/>
    <w:rsid w:val="00C61EDB"/>
    <w:rsid w:val="00C80758"/>
    <w:rsid w:val="00C839AA"/>
    <w:rsid w:val="00C934AB"/>
    <w:rsid w:val="00C978CA"/>
    <w:rsid w:val="00CA04E5"/>
    <w:rsid w:val="00CA1FC1"/>
    <w:rsid w:val="00CA214E"/>
    <w:rsid w:val="00CB5384"/>
    <w:rsid w:val="00CB5CC0"/>
    <w:rsid w:val="00CB5F4F"/>
    <w:rsid w:val="00CC5BAB"/>
    <w:rsid w:val="00CD269A"/>
    <w:rsid w:val="00CD70BE"/>
    <w:rsid w:val="00CD755A"/>
    <w:rsid w:val="00CE0DA6"/>
    <w:rsid w:val="00CE2CAB"/>
    <w:rsid w:val="00CE4EA7"/>
    <w:rsid w:val="00CE5DBF"/>
    <w:rsid w:val="00CE6A21"/>
    <w:rsid w:val="00CF299F"/>
    <w:rsid w:val="00CF30A4"/>
    <w:rsid w:val="00CF4BD0"/>
    <w:rsid w:val="00CF5686"/>
    <w:rsid w:val="00CF5B22"/>
    <w:rsid w:val="00D02928"/>
    <w:rsid w:val="00D03883"/>
    <w:rsid w:val="00D052DE"/>
    <w:rsid w:val="00D14723"/>
    <w:rsid w:val="00D17810"/>
    <w:rsid w:val="00D26A47"/>
    <w:rsid w:val="00D27D84"/>
    <w:rsid w:val="00D3145A"/>
    <w:rsid w:val="00D354F5"/>
    <w:rsid w:val="00D63166"/>
    <w:rsid w:val="00D650AF"/>
    <w:rsid w:val="00D73385"/>
    <w:rsid w:val="00D767C0"/>
    <w:rsid w:val="00D8196E"/>
    <w:rsid w:val="00D939F2"/>
    <w:rsid w:val="00D947A9"/>
    <w:rsid w:val="00D949E9"/>
    <w:rsid w:val="00D97E08"/>
    <w:rsid w:val="00DA3DB7"/>
    <w:rsid w:val="00DA693D"/>
    <w:rsid w:val="00DB3D99"/>
    <w:rsid w:val="00DB6314"/>
    <w:rsid w:val="00DB6F34"/>
    <w:rsid w:val="00DC076E"/>
    <w:rsid w:val="00DC08EF"/>
    <w:rsid w:val="00DC35E6"/>
    <w:rsid w:val="00DC5741"/>
    <w:rsid w:val="00DD0F78"/>
    <w:rsid w:val="00DD1B29"/>
    <w:rsid w:val="00DD1F4B"/>
    <w:rsid w:val="00DD3620"/>
    <w:rsid w:val="00DD62E3"/>
    <w:rsid w:val="00DD7ADE"/>
    <w:rsid w:val="00DE1D87"/>
    <w:rsid w:val="00DE2503"/>
    <w:rsid w:val="00DE4263"/>
    <w:rsid w:val="00DF4996"/>
    <w:rsid w:val="00DF5AC2"/>
    <w:rsid w:val="00E114D0"/>
    <w:rsid w:val="00E117CA"/>
    <w:rsid w:val="00E14058"/>
    <w:rsid w:val="00E33241"/>
    <w:rsid w:val="00E3383A"/>
    <w:rsid w:val="00E34E32"/>
    <w:rsid w:val="00E35F12"/>
    <w:rsid w:val="00E503D3"/>
    <w:rsid w:val="00E62FE4"/>
    <w:rsid w:val="00E75D92"/>
    <w:rsid w:val="00E81617"/>
    <w:rsid w:val="00E83E9A"/>
    <w:rsid w:val="00E85CE8"/>
    <w:rsid w:val="00E87C04"/>
    <w:rsid w:val="00E905F1"/>
    <w:rsid w:val="00E916AE"/>
    <w:rsid w:val="00EA63C3"/>
    <w:rsid w:val="00EA7AC5"/>
    <w:rsid w:val="00EB19DB"/>
    <w:rsid w:val="00EB3350"/>
    <w:rsid w:val="00EB6DCA"/>
    <w:rsid w:val="00EC1362"/>
    <w:rsid w:val="00EC5155"/>
    <w:rsid w:val="00EC7779"/>
    <w:rsid w:val="00ED4BD0"/>
    <w:rsid w:val="00ED78DA"/>
    <w:rsid w:val="00EE3734"/>
    <w:rsid w:val="00EF0FB1"/>
    <w:rsid w:val="00F01867"/>
    <w:rsid w:val="00F043B6"/>
    <w:rsid w:val="00F05BE2"/>
    <w:rsid w:val="00F063DA"/>
    <w:rsid w:val="00F07A1D"/>
    <w:rsid w:val="00F1204A"/>
    <w:rsid w:val="00F12173"/>
    <w:rsid w:val="00F13C0A"/>
    <w:rsid w:val="00F25838"/>
    <w:rsid w:val="00F26AF9"/>
    <w:rsid w:val="00F40682"/>
    <w:rsid w:val="00F4256E"/>
    <w:rsid w:val="00F63B6D"/>
    <w:rsid w:val="00F70413"/>
    <w:rsid w:val="00F71E1D"/>
    <w:rsid w:val="00F749FC"/>
    <w:rsid w:val="00F80080"/>
    <w:rsid w:val="00F80311"/>
    <w:rsid w:val="00F8410A"/>
    <w:rsid w:val="00F93F4B"/>
    <w:rsid w:val="00FA0EF8"/>
    <w:rsid w:val="00FB67F1"/>
    <w:rsid w:val="00FB6B9A"/>
    <w:rsid w:val="00FD5A26"/>
    <w:rsid w:val="00FD7190"/>
    <w:rsid w:val="00FD7E4D"/>
    <w:rsid w:val="00FE1852"/>
    <w:rsid w:val="00FE6340"/>
    <w:rsid w:val="00FF4400"/>
    <w:rsid w:val="00FF6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7BE65"/>
  <w15:docId w15:val="{CF3EA323-C7D4-49DC-ADA3-6AF60F3CA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9E9"/>
    <w:pPr>
      <w:widowControl w:val="0"/>
      <w:jc w:val="both"/>
    </w:pPr>
    <w:rPr>
      <w:rFonts w:ascii="Calibri" w:eastAsia="宋体" w:hAnsi="Calibri" w:cs="Times New Roman"/>
    </w:rPr>
  </w:style>
  <w:style w:type="paragraph" w:styleId="1">
    <w:name w:val="heading 1"/>
    <w:basedOn w:val="a"/>
    <w:next w:val="a"/>
    <w:link w:val="1Char"/>
    <w:qFormat/>
    <w:rsid w:val="00D949E9"/>
    <w:pPr>
      <w:keepNext/>
      <w:keepLines/>
      <w:spacing w:before="340" w:after="330" w:line="576" w:lineRule="auto"/>
      <w:jc w:val="center"/>
      <w:outlineLvl w:val="0"/>
    </w:pPr>
    <w:rPr>
      <w:rFonts w:ascii="Times New Roman" w:hAnsi="Times New Roman"/>
      <w:b/>
      <w:kern w:val="44"/>
      <w:sz w:val="28"/>
      <w:szCs w:val="20"/>
    </w:rPr>
  </w:style>
  <w:style w:type="paragraph" w:styleId="2">
    <w:name w:val="heading 2"/>
    <w:basedOn w:val="a"/>
    <w:link w:val="2Char"/>
    <w:semiHidden/>
    <w:unhideWhenUsed/>
    <w:qFormat/>
    <w:rsid w:val="00D949E9"/>
    <w:pPr>
      <w:widowControl/>
      <w:jc w:val="left"/>
      <w:outlineLvl w:val="1"/>
    </w:pPr>
    <w:rPr>
      <w:rFonts w:ascii="微软雅黑" w:eastAsia="微软雅黑" w:hAnsi="微软雅黑"/>
      <w:color w:val="333333"/>
      <w:kern w:val="0"/>
      <w:sz w:val="30"/>
      <w:szCs w:val="30"/>
    </w:rPr>
  </w:style>
  <w:style w:type="paragraph" w:styleId="3">
    <w:name w:val="heading 3"/>
    <w:aliases w:val="标题样式1"/>
    <w:basedOn w:val="a"/>
    <w:next w:val="a"/>
    <w:link w:val="3Char"/>
    <w:semiHidden/>
    <w:unhideWhenUsed/>
    <w:qFormat/>
    <w:rsid w:val="00D949E9"/>
    <w:pPr>
      <w:spacing w:before="120" w:after="120" w:line="360" w:lineRule="auto"/>
      <w:outlineLvl w:val="2"/>
    </w:pPr>
    <w:rPr>
      <w:rFonts w:ascii="宋体" w:hAnsi="Times New Roman"/>
      <w:b/>
      <w:szCs w:val="20"/>
    </w:rPr>
  </w:style>
  <w:style w:type="paragraph" w:styleId="4">
    <w:name w:val="heading 4"/>
    <w:basedOn w:val="a"/>
    <w:next w:val="a"/>
    <w:link w:val="4Char"/>
    <w:semiHidden/>
    <w:unhideWhenUsed/>
    <w:qFormat/>
    <w:rsid w:val="00D949E9"/>
    <w:pPr>
      <w:keepNext/>
      <w:keepLines/>
      <w:spacing w:line="360" w:lineRule="auto"/>
      <w:outlineLvl w:val="3"/>
    </w:pPr>
    <w:rPr>
      <w:rFonts w:ascii="Arial" w:hAnsi="Arial"/>
      <w:szCs w:val="20"/>
    </w:rPr>
  </w:style>
  <w:style w:type="paragraph" w:styleId="5">
    <w:name w:val="heading 5"/>
    <w:basedOn w:val="a"/>
    <w:next w:val="a"/>
    <w:link w:val="5Char"/>
    <w:semiHidden/>
    <w:unhideWhenUsed/>
    <w:qFormat/>
    <w:rsid w:val="00D949E9"/>
    <w:pPr>
      <w:keepNext/>
      <w:keepLines/>
      <w:adjustRightInd w:val="0"/>
      <w:snapToGrid w:val="0"/>
      <w:spacing w:line="360" w:lineRule="auto"/>
      <w:outlineLvl w:val="4"/>
    </w:pPr>
    <w:rPr>
      <w:rFonts w:ascii="Times New Roman" w:hAnsi="Times New Roman"/>
      <w:szCs w:val="20"/>
    </w:rPr>
  </w:style>
  <w:style w:type="paragraph" w:styleId="6">
    <w:name w:val="heading 6"/>
    <w:basedOn w:val="a"/>
    <w:next w:val="a"/>
    <w:link w:val="6Char"/>
    <w:semiHidden/>
    <w:unhideWhenUsed/>
    <w:qFormat/>
    <w:rsid w:val="00D949E9"/>
    <w:pPr>
      <w:keepNext/>
      <w:keepLines/>
      <w:spacing w:before="240" w:after="64" w:line="319" w:lineRule="auto"/>
      <w:outlineLvl w:val="5"/>
    </w:pPr>
    <w:rPr>
      <w:rFonts w:ascii="Arial" w:eastAsia="黑体" w:hAnsi="Arial"/>
      <w:b/>
      <w:sz w:val="24"/>
      <w:szCs w:val="20"/>
    </w:rPr>
  </w:style>
  <w:style w:type="paragraph" w:styleId="7">
    <w:name w:val="heading 7"/>
    <w:basedOn w:val="a"/>
    <w:next w:val="a"/>
    <w:link w:val="7Char"/>
    <w:semiHidden/>
    <w:unhideWhenUsed/>
    <w:qFormat/>
    <w:rsid w:val="00D949E9"/>
    <w:pPr>
      <w:keepNext/>
      <w:keepLines/>
      <w:spacing w:before="240" w:after="64" w:line="319" w:lineRule="auto"/>
      <w:outlineLvl w:val="6"/>
    </w:pPr>
    <w:rPr>
      <w:rFonts w:ascii="Times New Roman" w:hAnsi="Times New Roman"/>
      <w:b/>
      <w:sz w:val="24"/>
      <w:szCs w:val="20"/>
    </w:rPr>
  </w:style>
  <w:style w:type="paragraph" w:styleId="8">
    <w:name w:val="heading 8"/>
    <w:basedOn w:val="a"/>
    <w:next w:val="a"/>
    <w:link w:val="8Char"/>
    <w:semiHidden/>
    <w:unhideWhenUsed/>
    <w:qFormat/>
    <w:rsid w:val="00D949E9"/>
    <w:pPr>
      <w:keepNext/>
      <w:keepLines/>
      <w:spacing w:before="240" w:after="64" w:line="319" w:lineRule="auto"/>
      <w:outlineLvl w:val="7"/>
    </w:pPr>
    <w:rPr>
      <w:rFonts w:ascii="Arial" w:eastAsia="黑体" w:hAnsi="Arial"/>
      <w:sz w:val="24"/>
      <w:szCs w:val="20"/>
    </w:rPr>
  </w:style>
  <w:style w:type="paragraph" w:styleId="9">
    <w:name w:val="heading 9"/>
    <w:basedOn w:val="a"/>
    <w:next w:val="a"/>
    <w:link w:val="9Char"/>
    <w:semiHidden/>
    <w:unhideWhenUsed/>
    <w:qFormat/>
    <w:rsid w:val="00D949E9"/>
    <w:pPr>
      <w:keepNext/>
      <w:keepLines/>
      <w:spacing w:before="240" w:after="64" w:line="319"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949E9"/>
    <w:rPr>
      <w:rFonts w:ascii="Times New Roman" w:eastAsia="宋体" w:hAnsi="Times New Roman" w:cs="Times New Roman"/>
      <w:b/>
      <w:kern w:val="44"/>
      <w:sz w:val="28"/>
      <w:szCs w:val="20"/>
    </w:rPr>
  </w:style>
  <w:style w:type="character" w:customStyle="1" w:styleId="2Char">
    <w:name w:val="标题 2 Char"/>
    <w:basedOn w:val="a0"/>
    <w:link w:val="2"/>
    <w:semiHidden/>
    <w:rsid w:val="00D949E9"/>
    <w:rPr>
      <w:rFonts w:ascii="微软雅黑" w:eastAsia="微软雅黑" w:hAnsi="微软雅黑" w:cs="Times New Roman"/>
      <w:color w:val="333333"/>
      <w:kern w:val="0"/>
      <w:sz w:val="30"/>
      <w:szCs w:val="30"/>
    </w:rPr>
  </w:style>
  <w:style w:type="character" w:customStyle="1" w:styleId="3Char">
    <w:name w:val="标题 3 Char"/>
    <w:aliases w:val="标题样式1 Char"/>
    <w:basedOn w:val="a0"/>
    <w:link w:val="3"/>
    <w:semiHidden/>
    <w:rsid w:val="00D949E9"/>
    <w:rPr>
      <w:rFonts w:ascii="宋体" w:eastAsia="宋体" w:hAnsi="Times New Roman" w:cs="Times New Roman"/>
      <w:b/>
      <w:szCs w:val="20"/>
    </w:rPr>
  </w:style>
  <w:style w:type="character" w:customStyle="1" w:styleId="4Char">
    <w:name w:val="标题 4 Char"/>
    <w:basedOn w:val="a0"/>
    <w:link w:val="4"/>
    <w:semiHidden/>
    <w:rsid w:val="00D949E9"/>
    <w:rPr>
      <w:rFonts w:ascii="Arial" w:eastAsia="宋体" w:hAnsi="Arial" w:cs="Times New Roman"/>
      <w:szCs w:val="20"/>
    </w:rPr>
  </w:style>
  <w:style w:type="character" w:customStyle="1" w:styleId="5Char">
    <w:name w:val="标题 5 Char"/>
    <w:basedOn w:val="a0"/>
    <w:link w:val="5"/>
    <w:semiHidden/>
    <w:rsid w:val="00D949E9"/>
    <w:rPr>
      <w:rFonts w:ascii="Times New Roman" w:eastAsia="宋体" w:hAnsi="Times New Roman" w:cs="Times New Roman"/>
      <w:szCs w:val="20"/>
    </w:rPr>
  </w:style>
  <w:style w:type="character" w:customStyle="1" w:styleId="6Char">
    <w:name w:val="标题 6 Char"/>
    <w:basedOn w:val="a0"/>
    <w:link w:val="6"/>
    <w:semiHidden/>
    <w:rsid w:val="00D949E9"/>
    <w:rPr>
      <w:rFonts w:ascii="Arial" w:eastAsia="黑体" w:hAnsi="Arial" w:cs="Times New Roman"/>
      <w:b/>
      <w:sz w:val="24"/>
      <w:szCs w:val="20"/>
    </w:rPr>
  </w:style>
  <w:style w:type="character" w:customStyle="1" w:styleId="7Char">
    <w:name w:val="标题 7 Char"/>
    <w:basedOn w:val="a0"/>
    <w:link w:val="7"/>
    <w:semiHidden/>
    <w:rsid w:val="00D949E9"/>
    <w:rPr>
      <w:rFonts w:ascii="Times New Roman" w:eastAsia="宋体" w:hAnsi="Times New Roman" w:cs="Times New Roman"/>
      <w:b/>
      <w:sz w:val="24"/>
      <w:szCs w:val="20"/>
    </w:rPr>
  </w:style>
  <w:style w:type="character" w:customStyle="1" w:styleId="8Char">
    <w:name w:val="标题 8 Char"/>
    <w:basedOn w:val="a0"/>
    <w:link w:val="8"/>
    <w:semiHidden/>
    <w:rsid w:val="00D949E9"/>
    <w:rPr>
      <w:rFonts w:ascii="Arial" w:eastAsia="黑体" w:hAnsi="Arial" w:cs="Times New Roman"/>
      <w:sz w:val="24"/>
      <w:szCs w:val="20"/>
    </w:rPr>
  </w:style>
  <w:style w:type="character" w:customStyle="1" w:styleId="9Char">
    <w:name w:val="标题 9 Char"/>
    <w:basedOn w:val="a0"/>
    <w:link w:val="9"/>
    <w:semiHidden/>
    <w:rsid w:val="00D949E9"/>
    <w:rPr>
      <w:rFonts w:ascii="Arial" w:eastAsia="黑体" w:hAnsi="Arial" w:cs="Times New Roman"/>
      <w:szCs w:val="20"/>
    </w:rPr>
  </w:style>
  <w:style w:type="character" w:styleId="a3">
    <w:name w:val="Hyperlink"/>
    <w:unhideWhenUsed/>
    <w:rsid w:val="00D949E9"/>
    <w:rPr>
      <w:color w:val="0000FF"/>
      <w:u w:val="single"/>
    </w:rPr>
  </w:style>
  <w:style w:type="character" w:styleId="a4">
    <w:name w:val="FollowedHyperlink"/>
    <w:basedOn w:val="a0"/>
    <w:uiPriority w:val="99"/>
    <w:semiHidden/>
    <w:unhideWhenUsed/>
    <w:rsid w:val="00D949E9"/>
    <w:rPr>
      <w:color w:val="800080" w:themeColor="followedHyperlink"/>
      <w:u w:val="single"/>
    </w:rPr>
  </w:style>
  <w:style w:type="character" w:customStyle="1" w:styleId="3Char1">
    <w:name w:val="标题 3 Char1"/>
    <w:aliases w:val="标题样式1 Char1"/>
    <w:basedOn w:val="a0"/>
    <w:semiHidden/>
    <w:rsid w:val="00D949E9"/>
    <w:rPr>
      <w:b/>
      <w:bCs/>
      <w:kern w:val="2"/>
      <w:sz w:val="32"/>
      <w:szCs w:val="32"/>
    </w:rPr>
  </w:style>
  <w:style w:type="paragraph" w:styleId="a5">
    <w:name w:val="Normal (Web)"/>
    <w:basedOn w:val="a"/>
    <w:semiHidden/>
    <w:unhideWhenUsed/>
    <w:rsid w:val="00D949E9"/>
    <w:pPr>
      <w:widowControl/>
      <w:spacing w:before="120" w:after="240"/>
    </w:pPr>
    <w:rPr>
      <w:rFonts w:ascii="inherit" w:hAnsi="inherit" w:cs="宋体"/>
      <w:kern w:val="0"/>
      <w:sz w:val="24"/>
      <w:szCs w:val="24"/>
    </w:rPr>
  </w:style>
  <w:style w:type="paragraph" w:styleId="a6">
    <w:name w:val="annotation text"/>
    <w:basedOn w:val="a"/>
    <w:link w:val="Char"/>
    <w:semiHidden/>
    <w:unhideWhenUsed/>
    <w:rsid w:val="00D949E9"/>
    <w:pPr>
      <w:jc w:val="left"/>
    </w:pPr>
  </w:style>
  <w:style w:type="character" w:customStyle="1" w:styleId="Char">
    <w:name w:val="批注文字 Char"/>
    <w:basedOn w:val="a0"/>
    <w:link w:val="a6"/>
    <w:semiHidden/>
    <w:rsid w:val="00D949E9"/>
    <w:rPr>
      <w:rFonts w:ascii="Calibri" w:eastAsia="宋体" w:hAnsi="Calibri" w:cs="Times New Roman"/>
    </w:rPr>
  </w:style>
  <w:style w:type="paragraph" w:styleId="a7">
    <w:name w:val="header"/>
    <w:basedOn w:val="a"/>
    <w:link w:val="Char0"/>
    <w:uiPriority w:val="99"/>
    <w:unhideWhenUsed/>
    <w:rsid w:val="00D949E9"/>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basedOn w:val="a0"/>
    <w:link w:val="a7"/>
    <w:uiPriority w:val="99"/>
    <w:rsid w:val="00D949E9"/>
    <w:rPr>
      <w:rFonts w:ascii="Calibri" w:eastAsia="宋体" w:hAnsi="Calibri" w:cs="Times New Roman"/>
      <w:kern w:val="0"/>
      <w:sz w:val="18"/>
      <w:szCs w:val="18"/>
    </w:rPr>
  </w:style>
  <w:style w:type="paragraph" w:styleId="a8">
    <w:name w:val="footer"/>
    <w:basedOn w:val="a"/>
    <w:link w:val="Char1"/>
    <w:uiPriority w:val="99"/>
    <w:unhideWhenUsed/>
    <w:rsid w:val="00D949E9"/>
    <w:pPr>
      <w:tabs>
        <w:tab w:val="center" w:pos="4153"/>
        <w:tab w:val="right" w:pos="8306"/>
      </w:tabs>
      <w:snapToGrid w:val="0"/>
      <w:jc w:val="left"/>
    </w:pPr>
    <w:rPr>
      <w:kern w:val="0"/>
      <w:sz w:val="18"/>
      <w:szCs w:val="18"/>
    </w:rPr>
  </w:style>
  <w:style w:type="character" w:customStyle="1" w:styleId="Char1">
    <w:name w:val="页脚 Char"/>
    <w:basedOn w:val="a0"/>
    <w:link w:val="a8"/>
    <w:uiPriority w:val="99"/>
    <w:rsid w:val="00D949E9"/>
    <w:rPr>
      <w:rFonts w:ascii="Calibri" w:eastAsia="宋体" w:hAnsi="Calibri" w:cs="Times New Roman"/>
      <w:kern w:val="0"/>
      <w:sz w:val="18"/>
      <w:szCs w:val="18"/>
    </w:rPr>
  </w:style>
  <w:style w:type="paragraph" w:styleId="a9">
    <w:name w:val="Title"/>
    <w:basedOn w:val="a"/>
    <w:next w:val="a"/>
    <w:link w:val="Char2"/>
    <w:uiPriority w:val="10"/>
    <w:qFormat/>
    <w:rsid w:val="00D949E9"/>
    <w:pPr>
      <w:spacing w:before="240" w:after="60"/>
      <w:jc w:val="center"/>
      <w:outlineLvl w:val="0"/>
    </w:pPr>
    <w:rPr>
      <w:rFonts w:ascii="Cambria" w:hAnsi="Cambria"/>
      <w:b/>
      <w:bCs/>
      <w:kern w:val="0"/>
      <w:sz w:val="32"/>
      <w:szCs w:val="32"/>
    </w:rPr>
  </w:style>
  <w:style w:type="character" w:customStyle="1" w:styleId="Char2">
    <w:name w:val="标题 Char"/>
    <w:basedOn w:val="a0"/>
    <w:link w:val="a9"/>
    <w:uiPriority w:val="10"/>
    <w:rsid w:val="00D949E9"/>
    <w:rPr>
      <w:rFonts w:ascii="Cambria" w:eastAsia="宋体" w:hAnsi="Cambria" w:cs="Times New Roman"/>
      <w:b/>
      <w:bCs/>
      <w:kern w:val="0"/>
      <w:sz w:val="32"/>
      <w:szCs w:val="32"/>
    </w:rPr>
  </w:style>
  <w:style w:type="paragraph" w:styleId="aa">
    <w:name w:val="Subtitle"/>
    <w:basedOn w:val="a"/>
    <w:next w:val="a"/>
    <w:link w:val="Char3"/>
    <w:uiPriority w:val="11"/>
    <w:qFormat/>
    <w:rsid w:val="00D949E9"/>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a"/>
    <w:uiPriority w:val="11"/>
    <w:rsid w:val="00D949E9"/>
    <w:rPr>
      <w:rFonts w:ascii="Cambria" w:eastAsia="宋体" w:hAnsi="Cambria" w:cs="Times New Roman"/>
      <w:b/>
      <w:bCs/>
      <w:kern w:val="28"/>
      <w:sz w:val="32"/>
      <w:szCs w:val="32"/>
    </w:rPr>
  </w:style>
  <w:style w:type="paragraph" w:styleId="30">
    <w:name w:val="Body Text Indent 3"/>
    <w:basedOn w:val="a"/>
    <w:link w:val="3Char0"/>
    <w:uiPriority w:val="99"/>
    <w:semiHidden/>
    <w:unhideWhenUsed/>
    <w:rsid w:val="00D949E9"/>
    <w:pPr>
      <w:spacing w:after="120"/>
      <w:ind w:leftChars="200" w:left="420"/>
    </w:pPr>
    <w:rPr>
      <w:sz w:val="16"/>
      <w:szCs w:val="16"/>
    </w:rPr>
  </w:style>
  <w:style w:type="character" w:customStyle="1" w:styleId="3Char0">
    <w:name w:val="正文文本缩进 3 Char"/>
    <w:basedOn w:val="a0"/>
    <w:link w:val="30"/>
    <w:uiPriority w:val="99"/>
    <w:semiHidden/>
    <w:rsid w:val="00D949E9"/>
    <w:rPr>
      <w:rFonts w:ascii="Calibri" w:eastAsia="宋体" w:hAnsi="Calibri" w:cs="Times New Roman"/>
      <w:sz w:val="16"/>
      <w:szCs w:val="16"/>
    </w:rPr>
  </w:style>
  <w:style w:type="paragraph" w:styleId="ab">
    <w:name w:val="Document Map"/>
    <w:basedOn w:val="a"/>
    <w:link w:val="Char4"/>
    <w:uiPriority w:val="99"/>
    <w:semiHidden/>
    <w:unhideWhenUsed/>
    <w:rsid w:val="00D949E9"/>
    <w:rPr>
      <w:rFonts w:ascii="宋体"/>
      <w:sz w:val="18"/>
      <w:szCs w:val="18"/>
    </w:rPr>
  </w:style>
  <w:style w:type="character" w:customStyle="1" w:styleId="Char4">
    <w:name w:val="文档结构图 Char"/>
    <w:basedOn w:val="a0"/>
    <w:link w:val="ab"/>
    <w:uiPriority w:val="99"/>
    <w:semiHidden/>
    <w:rsid w:val="00D949E9"/>
    <w:rPr>
      <w:rFonts w:ascii="宋体" w:eastAsia="宋体" w:hAnsi="Calibri" w:cs="Times New Roman"/>
      <w:sz w:val="18"/>
      <w:szCs w:val="18"/>
    </w:rPr>
  </w:style>
  <w:style w:type="paragraph" w:styleId="ac">
    <w:name w:val="annotation subject"/>
    <w:basedOn w:val="a6"/>
    <w:next w:val="a6"/>
    <w:link w:val="Char5"/>
    <w:uiPriority w:val="99"/>
    <w:semiHidden/>
    <w:unhideWhenUsed/>
    <w:rsid w:val="00D949E9"/>
    <w:rPr>
      <w:b/>
      <w:bCs/>
      <w:kern w:val="0"/>
      <w:sz w:val="20"/>
      <w:szCs w:val="20"/>
    </w:rPr>
  </w:style>
  <w:style w:type="character" w:customStyle="1" w:styleId="Char5">
    <w:name w:val="批注主题 Char"/>
    <w:basedOn w:val="Char"/>
    <w:link w:val="ac"/>
    <w:uiPriority w:val="99"/>
    <w:semiHidden/>
    <w:rsid w:val="00D949E9"/>
    <w:rPr>
      <w:rFonts w:ascii="Calibri" w:eastAsia="宋体" w:hAnsi="Calibri" w:cs="Times New Roman"/>
      <w:b/>
      <w:bCs/>
      <w:kern w:val="0"/>
      <w:sz w:val="20"/>
      <w:szCs w:val="20"/>
    </w:rPr>
  </w:style>
  <w:style w:type="paragraph" w:styleId="ad">
    <w:name w:val="Balloon Text"/>
    <w:basedOn w:val="a"/>
    <w:link w:val="Char6"/>
    <w:uiPriority w:val="99"/>
    <w:semiHidden/>
    <w:unhideWhenUsed/>
    <w:rsid w:val="00D949E9"/>
    <w:rPr>
      <w:kern w:val="0"/>
      <w:sz w:val="18"/>
      <w:szCs w:val="18"/>
    </w:rPr>
  </w:style>
  <w:style w:type="character" w:customStyle="1" w:styleId="Char6">
    <w:name w:val="批注框文本 Char"/>
    <w:basedOn w:val="a0"/>
    <w:link w:val="ad"/>
    <w:uiPriority w:val="99"/>
    <w:semiHidden/>
    <w:rsid w:val="00D949E9"/>
    <w:rPr>
      <w:rFonts w:ascii="Calibri" w:eastAsia="宋体" w:hAnsi="Calibri" w:cs="Times New Roman"/>
      <w:kern w:val="0"/>
      <w:sz w:val="18"/>
      <w:szCs w:val="18"/>
    </w:rPr>
  </w:style>
  <w:style w:type="paragraph" w:styleId="ae">
    <w:name w:val="Revision"/>
    <w:uiPriority w:val="99"/>
    <w:semiHidden/>
    <w:rsid w:val="00D949E9"/>
    <w:rPr>
      <w:rFonts w:ascii="Calibri" w:eastAsia="宋体" w:hAnsi="Calibri" w:cs="Times New Roman"/>
    </w:rPr>
  </w:style>
  <w:style w:type="paragraph" w:styleId="af">
    <w:name w:val="List Paragraph"/>
    <w:basedOn w:val="a"/>
    <w:uiPriority w:val="34"/>
    <w:qFormat/>
    <w:rsid w:val="00D949E9"/>
    <w:pPr>
      <w:ind w:firstLineChars="200" w:firstLine="420"/>
    </w:pPr>
  </w:style>
  <w:style w:type="paragraph" w:customStyle="1" w:styleId="10">
    <w:name w:val="列出段落1"/>
    <w:basedOn w:val="a"/>
    <w:semiHidden/>
    <w:rsid w:val="00D949E9"/>
    <w:pPr>
      <w:ind w:firstLineChars="200" w:firstLine="420"/>
    </w:pPr>
  </w:style>
  <w:style w:type="paragraph" w:customStyle="1" w:styleId="Default">
    <w:name w:val="Default"/>
    <w:rsid w:val="00D949E9"/>
    <w:pPr>
      <w:widowControl w:val="0"/>
      <w:autoSpaceDE w:val="0"/>
      <w:autoSpaceDN w:val="0"/>
      <w:adjustRightInd w:val="0"/>
    </w:pPr>
    <w:rPr>
      <w:rFonts w:ascii="宋体" w:eastAsia="宋体" w:hAnsi="Calibri" w:cs="宋体"/>
      <w:color w:val="000000"/>
      <w:kern w:val="0"/>
      <w:sz w:val="24"/>
      <w:szCs w:val="24"/>
    </w:rPr>
  </w:style>
  <w:style w:type="paragraph" w:customStyle="1" w:styleId="11">
    <w:name w:val="列出段落11"/>
    <w:basedOn w:val="a"/>
    <w:semiHidden/>
    <w:rsid w:val="00D949E9"/>
    <w:pPr>
      <w:ind w:firstLineChars="200" w:firstLine="420"/>
    </w:pPr>
  </w:style>
  <w:style w:type="character" w:styleId="af0">
    <w:name w:val="annotation reference"/>
    <w:semiHidden/>
    <w:unhideWhenUsed/>
    <w:rsid w:val="00D949E9"/>
    <w:rPr>
      <w:sz w:val="21"/>
      <w:szCs w:val="21"/>
    </w:rPr>
  </w:style>
  <w:style w:type="character" w:customStyle="1" w:styleId="da">
    <w:name w:val="da"/>
    <w:basedOn w:val="a0"/>
    <w:rsid w:val="00D949E9"/>
  </w:style>
  <w:style w:type="paragraph" w:styleId="HTML">
    <w:name w:val="HTML Preformatted"/>
    <w:basedOn w:val="a"/>
    <w:link w:val="HTMLChar"/>
    <w:uiPriority w:val="99"/>
    <w:semiHidden/>
    <w:unhideWhenUsed/>
    <w:rsid w:val="00BE36B7"/>
    <w:rPr>
      <w:rFonts w:ascii="Courier New" w:hAnsi="Courier New" w:cs="Courier New"/>
      <w:sz w:val="20"/>
      <w:szCs w:val="20"/>
    </w:rPr>
  </w:style>
  <w:style w:type="character" w:customStyle="1" w:styleId="HTMLChar">
    <w:name w:val="HTML 预设格式 Char"/>
    <w:basedOn w:val="a0"/>
    <w:link w:val="HTML"/>
    <w:uiPriority w:val="99"/>
    <w:semiHidden/>
    <w:rsid w:val="00BE36B7"/>
    <w:rPr>
      <w:rFonts w:ascii="Courier New" w:eastAsia="宋体" w:hAnsi="Courier New" w:cs="Courier New"/>
      <w:sz w:val="20"/>
      <w:szCs w:val="20"/>
    </w:rPr>
  </w:style>
  <w:style w:type="table" w:styleId="af1">
    <w:name w:val="Table Grid"/>
    <w:basedOn w:val="a1"/>
    <w:uiPriority w:val="59"/>
    <w:rsid w:val="003431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7239">
      <w:bodyDiv w:val="1"/>
      <w:marLeft w:val="0"/>
      <w:marRight w:val="0"/>
      <w:marTop w:val="0"/>
      <w:marBottom w:val="0"/>
      <w:divBdr>
        <w:top w:val="none" w:sz="0" w:space="0" w:color="auto"/>
        <w:left w:val="none" w:sz="0" w:space="0" w:color="auto"/>
        <w:bottom w:val="none" w:sz="0" w:space="0" w:color="auto"/>
        <w:right w:val="none" w:sz="0" w:space="0" w:color="auto"/>
      </w:divBdr>
    </w:div>
    <w:div w:id="309287055">
      <w:bodyDiv w:val="1"/>
      <w:marLeft w:val="0"/>
      <w:marRight w:val="0"/>
      <w:marTop w:val="0"/>
      <w:marBottom w:val="0"/>
      <w:divBdr>
        <w:top w:val="none" w:sz="0" w:space="0" w:color="auto"/>
        <w:left w:val="none" w:sz="0" w:space="0" w:color="auto"/>
        <w:bottom w:val="none" w:sz="0" w:space="0" w:color="auto"/>
        <w:right w:val="none" w:sz="0" w:space="0" w:color="auto"/>
      </w:divBdr>
    </w:div>
    <w:div w:id="323053400">
      <w:bodyDiv w:val="1"/>
      <w:marLeft w:val="0"/>
      <w:marRight w:val="0"/>
      <w:marTop w:val="0"/>
      <w:marBottom w:val="0"/>
      <w:divBdr>
        <w:top w:val="none" w:sz="0" w:space="0" w:color="auto"/>
        <w:left w:val="none" w:sz="0" w:space="0" w:color="auto"/>
        <w:bottom w:val="none" w:sz="0" w:space="0" w:color="auto"/>
        <w:right w:val="none" w:sz="0" w:space="0" w:color="auto"/>
      </w:divBdr>
    </w:div>
    <w:div w:id="477458228">
      <w:bodyDiv w:val="1"/>
      <w:marLeft w:val="0"/>
      <w:marRight w:val="0"/>
      <w:marTop w:val="0"/>
      <w:marBottom w:val="0"/>
      <w:divBdr>
        <w:top w:val="none" w:sz="0" w:space="0" w:color="auto"/>
        <w:left w:val="none" w:sz="0" w:space="0" w:color="auto"/>
        <w:bottom w:val="none" w:sz="0" w:space="0" w:color="auto"/>
        <w:right w:val="none" w:sz="0" w:space="0" w:color="auto"/>
      </w:divBdr>
    </w:div>
    <w:div w:id="1113012164">
      <w:bodyDiv w:val="1"/>
      <w:marLeft w:val="0"/>
      <w:marRight w:val="0"/>
      <w:marTop w:val="0"/>
      <w:marBottom w:val="0"/>
      <w:divBdr>
        <w:top w:val="none" w:sz="0" w:space="0" w:color="auto"/>
        <w:left w:val="none" w:sz="0" w:space="0" w:color="auto"/>
        <w:bottom w:val="none" w:sz="0" w:space="0" w:color="auto"/>
        <w:right w:val="none" w:sz="0" w:space="0" w:color="auto"/>
      </w:divBdr>
    </w:div>
    <w:div w:id="1202791076">
      <w:bodyDiv w:val="1"/>
      <w:marLeft w:val="0"/>
      <w:marRight w:val="0"/>
      <w:marTop w:val="0"/>
      <w:marBottom w:val="0"/>
      <w:divBdr>
        <w:top w:val="none" w:sz="0" w:space="0" w:color="auto"/>
        <w:left w:val="none" w:sz="0" w:space="0" w:color="auto"/>
        <w:bottom w:val="none" w:sz="0" w:space="0" w:color="auto"/>
        <w:right w:val="none" w:sz="0" w:space="0" w:color="auto"/>
      </w:divBdr>
    </w:div>
    <w:div w:id="1468737024">
      <w:bodyDiv w:val="1"/>
      <w:marLeft w:val="0"/>
      <w:marRight w:val="0"/>
      <w:marTop w:val="0"/>
      <w:marBottom w:val="0"/>
      <w:divBdr>
        <w:top w:val="none" w:sz="0" w:space="0" w:color="auto"/>
        <w:left w:val="none" w:sz="0" w:space="0" w:color="auto"/>
        <w:bottom w:val="none" w:sz="0" w:space="0" w:color="auto"/>
        <w:right w:val="none" w:sz="0" w:space="0" w:color="auto"/>
      </w:divBdr>
    </w:div>
    <w:div w:id="1908882358">
      <w:bodyDiv w:val="1"/>
      <w:marLeft w:val="0"/>
      <w:marRight w:val="0"/>
      <w:marTop w:val="0"/>
      <w:marBottom w:val="0"/>
      <w:divBdr>
        <w:top w:val="none" w:sz="0" w:space="0" w:color="auto"/>
        <w:left w:val="none" w:sz="0" w:space="0" w:color="auto"/>
        <w:bottom w:val="none" w:sz="0" w:space="0" w:color="auto"/>
        <w:right w:val="none" w:sz="0" w:space="0" w:color="auto"/>
      </w:divBdr>
    </w:div>
    <w:div w:id="2079089333">
      <w:bodyDiv w:val="1"/>
      <w:marLeft w:val="0"/>
      <w:marRight w:val="0"/>
      <w:marTop w:val="0"/>
      <w:marBottom w:val="0"/>
      <w:divBdr>
        <w:top w:val="none" w:sz="0" w:space="0" w:color="auto"/>
        <w:left w:val="none" w:sz="0" w:space="0" w:color="auto"/>
        <w:bottom w:val="none" w:sz="0" w:space="0" w:color="auto"/>
        <w:right w:val="none" w:sz="0" w:space="0" w:color="auto"/>
      </w:divBdr>
    </w:div>
    <w:div w:id="210869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5CCD-AA0C-40BA-9234-1AF402A40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885</Words>
  <Characters>5049</Characters>
  <Application>Microsoft Office Word</Application>
  <DocSecurity>0</DocSecurity>
  <Lines>42</Lines>
  <Paragraphs>11</Paragraphs>
  <ScaleCrop>false</ScaleCrop>
  <Company>易方达基金管理有限公司</Company>
  <LinksUpToDate>false</LinksUpToDate>
  <CharactersWithSpaces>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黄燚</cp:lastModifiedBy>
  <cp:revision>6</cp:revision>
  <dcterms:created xsi:type="dcterms:W3CDTF">2020-07-30T03:17:00Z</dcterms:created>
  <dcterms:modified xsi:type="dcterms:W3CDTF">2020-07-30T06:36:00Z</dcterms:modified>
</cp:coreProperties>
</file>