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9F" w:rsidRPr="00533AE6" w:rsidRDefault="00EB699F" w:rsidP="005A15F8">
      <w:pPr>
        <w:snapToGrid w:val="0"/>
        <w:spacing w:line="360" w:lineRule="auto"/>
        <w:ind w:left="-420" w:firstLine="883"/>
        <w:jc w:val="center"/>
        <w:rPr>
          <w:rFonts w:asciiTheme="minorEastAsia" w:eastAsiaTheme="minorEastAsia" w:hAnsiTheme="minorEastAsia"/>
          <w:b/>
          <w:sz w:val="44"/>
        </w:rPr>
      </w:pPr>
    </w:p>
    <w:p w:rsidR="00EB699F" w:rsidRPr="00533AE6" w:rsidRDefault="00EB699F" w:rsidP="005A15F8">
      <w:pPr>
        <w:snapToGrid w:val="0"/>
        <w:spacing w:line="360" w:lineRule="auto"/>
        <w:ind w:left="-420" w:firstLine="883"/>
        <w:jc w:val="center"/>
        <w:rPr>
          <w:rFonts w:asciiTheme="minorEastAsia" w:eastAsiaTheme="minorEastAsia" w:hAnsiTheme="minorEastAsia"/>
          <w:b/>
          <w:sz w:val="44"/>
        </w:rPr>
      </w:pPr>
    </w:p>
    <w:p w:rsidR="002A502A" w:rsidRPr="00533AE6" w:rsidRDefault="002A502A" w:rsidP="005A15F8">
      <w:pPr>
        <w:snapToGrid w:val="0"/>
        <w:spacing w:line="360" w:lineRule="auto"/>
        <w:ind w:left="-420" w:firstLine="883"/>
        <w:jc w:val="center"/>
        <w:rPr>
          <w:rFonts w:asciiTheme="minorEastAsia" w:eastAsiaTheme="minorEastAsia" w:hAnsiTheme="minorEastAsia"/>
          <w:b/>
          <w:sz w:val="44"/>
        </w:rPr>
      </w:pPr>
    </w:p>
    <w:p w:rsidR="002A502A" w:rsidRPr="00533AE6" w:rsidRDefault="002A502A" w:rsidP="005A15F8">
      <w:pPr>
        <w:snapToGrid w:val="0"/>
        <w:spacing w:line="360" w:lineRule="auto"/>
        <w:ind w:left="-420" w:firstLine="883"/>
        <w:jc w:val="center"/>
        <w:rPr>
          <w:rFonts w:asciiTheme="minorEastAsia" w:eastAsiaTheme="minorEastAsia" w:hAnsiTheme="minorEastAsia"/>
          <w:b/>
          <w:sz w:val="44"/>
        </w:rPr>
      </w:pPr>
    </w:p>
    <w:p w:rsidR="00266A27" w:rsidRPr="00533AE6" w:rsidRDefault="00A46876" w:rsidP="005A15F8">
      <w:pPr>
        <w:snapToGrid w:val="0"/>
        <w:spacing w:line="360" w:lineRule="auto"/>
        <w:ind w:left="-420" w:firstLine="883"/>
        <w:jc w:val="center"/>
        <w:rPr>
          <w:rFonts w:asciiTheme="minorEastAsia" w:eastAsiaTheme="minorEastAsia" w:hAnsiTheme="minorEastAsia"/>
          <w:b/>
          <w:sz w:val="44"/>
          <w:szCs w:val="44"/>
        </w:rPr>
      </w:pPr>
      <w:r w:rsidRPr="00533AE6">
        <w:rPr>
          <w:rFonts w:asciiTheme="minorEastAsia" w:eastAsiaTheme="minorEastAsia" w:hAnsiTheme="minorEastAsia" w:hint="eastAsia"/>
          <w:b/>
          <w:sz w:val="44"/>
          <w:szCs w:val="44"/>
        </w:rPr>
        <w:t>易方达医疗保健行业混合型证券投资基金更新的招募说明书</w:t>
      </w:r>
    </w:p>
    <w:p w:rsidR="00266A27" w:rsidRPr="00533AE6" w:rsidRDefault="00266A27" w:rsidP="005A15F8">
      <w:pPr>
        <w:snapToGrid w:val="0"/>
        <w:spacing w:line="360" w:lineRule="auto"/>
        <w:ind w:left="-420" w:right="26" w:firstLine="883"/>
        <w:jc w:val="center"/>
        <w:rPr>
          <w:rFonts w:asciiTheme="minorEastAsia" w:eastAsiaTheme="minorEastAsia" w:hAnsiTheme="minorEastAsia"/>
          <w:b/>
          <w:sz w:val="44"/>
        </w:rPr>
      </w:pPr>
    </w:p>
    <w:p w:rsidR="00266A27" w:rsidRPr="00533AE6" w:rsidRDefault="00266A27" w:rsidP="005A15F8">
      <w:pPr>
        <w:snapToGrid w:val="0"/>
        <w:spacing w:line="360" w:lineRule="auto"/>
        <w:ind w:left="-420" w:firstLine="480"/>
        <w:jc w:val="center"/>
        <w:rPr>
          <w:rFonts w:asciiTheme="minorEastAsia" w:eastAsiaTheme="minorEastAsia" w:hAnsiTheme="minorEastAsia"/>
          <w:sz w:val="24"/>
        </w:rPr>
      </w:pPr>
    </w:p>
    <w:p w:rsidR="00266A27" w:rsidRPr="00533AE6" w:rsidRDefault="00266A27" w:rsidP="005A15F8">
      <w:pPr>
        <w:snapToGrid w:val="0"/>
        <w:spacing w:line="360" w:lineRule="auto"/>
        <w:ind w:leftChars="800" w:left="1680" w:firstLine="600"/>
        <w:rPr>
          <w:rFonts w:asciiTheme="minorEastAsia" w:eastAsiaTheme="minorEastAsia" w:hAnsiTheme="minorEastAsia"/>
          <w:sz w:val="30"/>
          <w:szCs w:val="30"/>
        </w:rPr>
      </w:pPr>
    </w:p>
    <w:p w:rsidR="00266A27" w:rsidRPr="00533AE6" w:rsidRDefault="00266A27" w:rsidP="005A15F8">
      <w:pPr>
        <w:snapToGrid w:val="0"/>
        <w:spacing w:line="360" w:lineRule="auto"/>
        <w:ind w:leftChars="800" w:left="1680" w:firstLine="600"/>
        <w:rPr>
          <w:rFonts w:asciiTheme="minorEastAsia" w:eastAsiaTheme="minorEastAsia" w:hAnsiTheme="minorEastAsia"/>
          <w:sz w:val="30"/>
          <w:szCs w:val="30"/>
        </w:rPr>
      </w:pPr>
    </w:p>
    <w:p w:rsidR="00587E38" w:rsidRPr="00533AE6" w:rsidRDefault="00587E38" w:rsidP="005A15F8">
      <w:pPr>
        <w:snapToGrid w:val="0"/>
        <w:spacing w:line="360" w:lineRule="auto"/>
        <w:ind w:leftChars="800" w:left="1680" w:firstLine="600"/>
        <w:rPr>
          <w:rFonts w:asciiTheme="minorEastAsia" w:eastAsiaTheme="minorEastAsia" w:hAnsiTheme="minorEastAsia"/>
          <w:sz w:val="30"/>
          <w:szCs w:val="30"/>
        </w:rPr>
      </w:pPr>
    </w:p>
    <w:p w:rsidR="00587E38" w:rsidRPr="00533AE6" w:rsidRDefault="00587E38" w:rsidP="005A15F8">
      <w:pPr>
        <w:snapToGrid w:val="0"/>
        <w:spacing w:line="360" w:lineRule="auto"/>
        <w:ind w:leftChars="800" w:left="1680" w:firstLine="600"/>
        <w:rPr>
          <w:rFonts w:asciiTheme="minorEastAsia" w:eastAsiaTheme="minorEastAsia" w:hAnsiTheme="minorEastAsia"/>
          <w:sz w:val="30"/>
          <w:szCs w:val="30"/>
        </w:rPr>
      </w:pPr>
    </w:p>
    <w:p w:rsidR="00587E38" w:rsidRPr="00533AE6" w:rsidRDefault="00587E38" w:rsidP="005A15F8">
      <w:pPr>
        <w:snapToGrid w:val="0"/>
        <w:spacing w:line="360" w:lineRule="auto"/>
        <w:ind w:leftChars="800" w:left="1680" w:firstLine="600"/>
        <w:rPr>
          <w:rFonts w:asciiTheme="minorEastAsia" w:eastAsiaTheme="minorEastAsia" w:hAnsiTheme="minorEastAsia"/>
          <w:sz w:val="30"/>
          <w:szCs w:val="30"/>
        </w:rPr>
      </w:pPr>
    </w:p>
    <w:p w:rsidR="00266A27" w:rsidRPr="00533AE6" w:rsidRDefault="00266A27" w:rsidP="005A15F8">
      <w:pPr>
        <w:snapToGrid w:val="0"/>
        <w:spacing w:line="360" w:lineRule="auto"/>
        <w:ind w:leftChars="800" w:left="1680" w:firstLine="600"/>
        <w:rPr>
          <w:rFonts w:asciiTheme="minorEastAsia" w:eastAsiaTheme="minorEastAsia" w:hAnsiTheme="minorEastAsia"/>
          <w:sz w:val="30"/>
          <w:szCs w:val="30"/>
        </w:rPr>
      </w:pPr>
    </w:p>
    <w:p w:rsidR="00266A27" w:rsidRPr="00533AE6" w:rsidRDefault="00266A27" w:rsidP="005A15F8">
      <w:pPr>
        <w:snapToGrid w:val="0"/>
        <w:spacing w:line="360" w:lineRule="auto"/>
        <w:ind w:leftChars="800" w:left="1680" w:firstLine="600"/>
        <w:rPr>
          <w:rFonts w:asciiTheme="minorEastAsia" w:eastAsiaTheme="minorEastAsia" w:hAnsiTheme="minorEastAsia"/>
          <w:sz w:val="30"/>
          <w:szCs w:val="30"/>
        </w:rPr>
      </w:pPr>
    </w:p>
    <w:p w:rsidR="003F5309" w:rsidRPr="00533AE6" w:rsidRDefault="00A46876" w:rsidP="003F5309">
      <w:pPr>
        <w:snapToGrid w:val="0"/>
        <w:spacing w:line="360" w:lineRule="auto"/>
        <w:ind w:leftChars="686" w:left="1678" w:hangingChars="74" w:hanging="237"/>
        <w:rPr>
          <w:rFonts w:asciiTheme="minorEastAsia" w:eastAsiaTheme="minorEastAsia" w:hAnsiTheme="minorEastAsia"/>
          <w:sz w:val="32"/>
          <w:szCs w:val="32"/>
        </w:rPr>
      </w:pPr>
      <w:r w:rsidRPr="00533AE6">
        <w:rPr>
          <w:rFonts w:asciiTheme="minorEastAsia" w:eastAsiaTheme="minorEastAsia" w:hAnsiTheme="minorEastAsia"/>
          <w:sz w:val="32"/>
          <w:szCs w:val="32"/>
        </w:rPr>
        <w:t>基金管理人：</w:t>
      </w:r>
      <w:r w:rsidRPr="00533AE6">
        <w:rPr>
          <w:rFonts w:asciiTheme="minorEastAsia" w:eastAsiaTheme="minorEastAsia" w:hAnsiTheme="minorEastAsia"/>
          <w:bCs/>
          <w:sz w:val="28"/>
        </w:rPr>
        <w:t>易方达基金管理有限公司</w:t>
      </w:r>
    </w:p>
    <w:p w:rsidR="00A46876" w:rsidRPr="00533AE6" w:rsidRDefault="00A46876" w:rsidP="003F5309">
      <w:pPr>
        <w:snapToGrid w:val="0"/>
        <w:spacing w:line="360" w:lineRule="auto"/>
        <w:ind w:leftChars="736" w:left="1623" w:hangingChars="24" w:hanging="77"/>
        <w:rPr>
          <w:rFonts w:asciiTheme="minorEastAsia" w:eastAsiaTheme="minorEastAsia" w:hAnsiTheme="minorEastAsia"/>
          <w:sz w:val="32"/>
          <w:szCs w:val="32"/>
        </w:rPr>
      </w:pPr>
      <w:r w:rsidRPr="00533AE6">
        <w:rPr>
          <w:rFonts w:asciiTheme="minorEastAsia" w:eastAsiaTheme="minorEastAsia" w:hAnsiTheme="minorEastAsia"/>
          <w:sz w:val="32"/>
          <w:szCs w:val="32"/>
        </w:rPr>
        <w:t>基金托管人：</w:t>
      </w:r>
      <w:r w:rsidRPr="00533AE6">
        <w:rPr>
          <w:rFonts w:asciiTheme="minorEastAsia" w:eastAsiaTheme="minorEastAsia" w:hAnsiTheme="minorEastAsia"/>
          <w:bCs/>
          <w:sz w:val="28"/>
        </w:rPr>
        <w:t>中国银行股份有限公司</w:t>
      </w:r>
    </w:p>
    <w:p w:rsidR="00A46876" w:rsidRPr="00533AE6" w:rsidRDefault="00A46876" w:rsidP="005A15F8">
      <w:pPr>
        <w:snapToGrid w:val="0"/>
        <w:spacing w:line="360" w:lineRule="auto"/>
        <w:ind w:left="-420" w:firstLine="480"/>
        <w:rPr>
          <w:rFonts w:asciiTheme="minorEastAsia" w:eastAsiaTheme="minorEastAsia" w:hAnsiTheme="minorEastAsia"/>
          <w:sz w:val="24"/>
        </w:rPr>
      </w:pPr>
    </w:p>
    <w:p w:rsidR="00713E37" w:rsidRPr="00533AE6" w:rsidRDefault="00713E37" w:rsidP="00512585">
      <w:pPr>
        <w:adjustRightInd w:val="0"/>
        <w:snapToGrid w:val="0"/>
        <w:spacing w:line="360" w:lineRule="auto"/>
        <w:ind w:left="-420" w:firstLine="560"/>
        <w:jc w:val="center"/>
        <w:rPr>
          <w:rFonts w:asciiTheme="minorEastAsia" w:eastAsiaTheme="minorEastAsia" w:hAnsiTheme="minorEastAsia"/>
          <w:bCs/>
          <w:sz w:val="28"/>
        </w:rPr>
      </w:pPr>
      <w:r w:rsidRPr="00533AE6">
        <w:rPr>
          <w:rFonts w:asciiTheme="minorEastAsia" w:eastAsiaTheme="minorEastAsia" w:hAnsiTheme="minorEastAsia" w:hint="eastAsia"/>
          <w:bCs/>
          <w:sz w:val="28"/>
        </w:rPr>
        <w:t>二○二○年七月</w:t>
      </w:r>
    </w:p>
    <w:p w:rsidR="00745D09" w:rsidRPr="00533AE6" w:rsidRDefault="00745D09" w:rsidP="00512585">
      <w:pPr>
        <w:adjustRightInd w:val="0"/>
        <w:snapToGrid w:val="0"/>
        <w:spacing w:line="360" w:lineRule="auto"/>
        <w:ind w:left="-420" w:firstLine="560"/>
        <w:jc w:val="center"/>
        <w:rPr>
          <w:rFonts w:asciiTheme="minorEastAsia" w:eastAsiaTheme="minorEastAsia" w:hAnsiTheme="minorEastAsia"/>
          <w:bCs/>
          <w:sz w:val="28"/>
        </w:rPr>
      </w:pPr>
    </w:p>
    <w:p w:rsidR="00266A27" w:rsidRPr="00533AE6" w:rsidRDefault="008B0D44" w:rsidP="00745D09">
      <w:pPr>
        <w:snapToGrid w:val="0"/>
        <w:spacing w:line="360" w:lineRule="auto"/>
        <w:ind w:left="-420" w:firstLine="482"/>
        <w:jc w:val="center"/>
        <w:rPr>
          <w:rFonts w:asciiTheme="minorEastAsia" w:eastAsiaTheme="minorEastAsia" w:hAnsiTheme="minorEastAsia"/>
          <w:b/>
          <w:sz w:val="24"/>
        </w:rPr>
      </w:pPr>
      <w:r w:rsidRPr="00533AE6">
        <w:rPr>
          <w:rFonts w:asciiTheme="minorEastAsia" w:eastAsiaTheme="minorEastAsia" w:hAnsiTheme="minorEastAsia"/>
          <w:b/>
          <w:sz w:val="24"/>
        </w:rPr>
        <w:br w:type="page"/>
      </w:r>
      <w:r w:rsidR="00266A27" w:rsidRPr="00533AE6">
        <w:rPr>
          <w:rFonts w:asciiTheme="minorEastAsia" w:eastAsiaTheme="minorEastAsia" w:hAnsiTheme="minorEastAsia" w:hint="eastAsia"/>
          <w:b/>
          <w:sz w:val="24"/>
        </w:rPr>
        <w:lastRenderedPageBreak/>
        <w:t>重要提示</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基金根据2010年12月8日中国证券监督管理委员会《关于核准易方达医疗保健行业股票型证券投资基金募集的批复》（证监许可【2010】1755号）和2010年12月20日《关于易方达医疗保健行业股票型证券投资基金募集时间安排的确认函》（基金部函[2010]778号）的核准，进行募集。本基金的基金合同于2011年1月28日正式生效。</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基金管理人保证《招募说明书》的内容真实、准确、完整。</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基金管理人依照恪尽职守、诚实信用、谨慎勤勉的原则管理和运用基金财产，但不保证基金一定盈利，也不保证最低收益。</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本《招募说明书》经中国证监会核准，但中国证监会对本基金募集的核准，并不表明其对本基金的价值和收益作出实质性判断或保证，也不表明投资于本基金没有风险。</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本基金投资于证券市场，基金净值会因为证券市场波动等因素产生波动。投资有风险，投资者在投资本基金前，请认真阅读本</w:t>
      </w:r>
      <w:r w:rsidR="00A015AC" w:rsidRPr="00533AE6">
        <w:rPr>
          <w:rFonts w:asciiTheme="minorEastAsia" w:eastAsiaTheme="minorEastAsia" w:hAnsiTheme="minorEastAsia" w:hint="eastAsia"/>
        </w:rPr>
        <w:t>招募说明书、基金合同和基金产品资料概要等信息披露文件</w:t>
      </w:r>
      <w:r w:rsidRPr="00533AE6">
        <w:rPr>
          <w:rFonts w:asciiTheme="minorEastAsia" w:eastAsiaTheme="minorEastAsia" w:hAnsiTheme="minorEastAsia"/>
        </w:rPr>
        <w:t>，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政府政策变化等因素带来的行业风险以及医疗保健行业股票整体表现可能较差的风险，基金投资回报可能低于业绩比较基准的风险，证券市场整体环境引发的系统性风险，个别证券特有的非系统性风险，流动性风险，</w:t>
      </w:r>
      <w:r w:rsidR="00BD6ED1" w:rsidRPr="00533AE6">
        <w:rPr>
          <w:rFonts w:asciiTheme="minorEastAsia" w:eastAsiaTheme="minorEastAsia" w:hAnsiTheme="minorEastAsia" w:hint="eastAsia"/>
        </w:rPr>
        <w:t>本基金法律文件中涉及基金风险特征的表述与销售机构对基金的风险评级可能不一致的风险,</w:t>
      </w:r>
      <w:r w:rsidRPr="00533AE6">
        <w:rPr>
          <w:rFonts w:asciiTheme="minorEastAsia" w:eastAsiaTheme="minorEastAsia" w:hAnsiTheme="minorEastAsia"/>
        </w:rPr>
        <w:t>基金投资过程中产生的操作风险，因交收违约和投资债券引发的信用风险等等。基金管理人提醒投资者基金投资的“买者自负”原则，在投资者作出投资决策后，基金运营状况与基金净值变化引致的投资风险，由投资者自行负责。</w:t>
      </w:r>
    </w:p>
    <w:p w:rsidR="002A34E5" w:rsidRPr="00533AE6" w:rsidRDefault="002A34E5" w:rsidP="005A15F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基金的过往业绩并不预示其未来表现。</w:t>
      </w:r>
    </w:p>
    <w:p w:rsidR="00BD6ED1" w:rsidRPr="00533AE6" w:rsidRDefault="00BD6ED1" w:rsidP="005A15F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kern w:val="0"/>
          <w:szCs w:val="21"/>
        </w:rPr>
        <w:t>基金合同约定的基金产品资料概要编制、披露与更新要求，自《信息披露办法》实施之日起一年后开始执行。</w:t>
      </w:r>
    </w:p>
    <w:p w:rsidR="00DF5C3C" w:rsidRPr="00533AE6" w:rsidRDefault="00A238F0" w:rsidP="005A15F8">
      <w:pPr>
        <w:snapToGrid w:val="0"/>
        <w:spacing w:line="360" w:lineRule="auto"/>
        <w:ind w:left="-420" w:firstLineChars="196" w:firstLine="412"/>
        <w:rPr>
          <w:rFonts w:asciiTheme="minorEastAsia" w:eastAsiaTheme="minorEastAsia" w:hAnsiTheme="minorEastAsia"/>
          <w:szCs w:val="21"/>
        </w:rPr>
        <w:sectPr w:rsidR="00DF5C3C" w:rsidRPr="00533AE6" w:rsidSect="009E18D8">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titlePg/>
          <w:docGrid w:type="lines" w:linePitch="447"/>
        </w:sectPr>
      </w:pPr>
      <w:r w:rsidRPr="00533AE6">
        <w:rPr>
          <w:rFonts w:asciiTheme="minorEastAsia" w:eastAsiaTheme="minorEastAsia" w:hAnsiTheme="minorEastAsia"/>
        </w:rPr>
        <w:t>除非另有说明，</w:t>
      </w:r>
      <w:r w:rsidR="00713E37" w:rsidRPr="00533AE6">
        <w:rPr>
          <w:rFonts w:asciiTheme="minorEastAsia" w:eastAsiaTheme="minorEastAsia" w:hAnsiTheme="minorEastAsia"/>
        </w:rPr>
        <w:t>本招募说明书所载内容截止日为2020年6月16日</w:t>
      </w:r>
      <w:r w:rsidRPr="00533AE6">
        <w:rPr>
          <w:rFonts w:asciiTheme="minorEastAsia" w:eastAsiaTheme="minorEastAsia" w:hAnsiTheme="minorEastAsia"/>
        </w:rPr>
        <w:t>，</w:t>
      </w:r>
      <w:r w:rsidR="00713E37" w:rsidRPr="00533AE6">
        <w:rPr>
          <w:rFonts w:asciiTheme="minorEastAsia" w:eastAsiaTheme="minorEastAsia" w:hAnsiTheme="minorEastAsia"/>
        </w:rPr>
        <w:t>有关财务数据截止日为2020年3月31日</w:t>
      </w:r>
      <w:r w:rsidRPr="00533AE6">
        <w:rPr>
          <w:rFonts w:asciiTheme="minorEastAsia" w:eastAsiaTheme="minorEastAsia" w:hAnsiTheme="minorEastAsia"/>
        </w:rPr>
        <w:t>，</w:t>
      </w:r>
      <w:r w:rsidR="00713E37" w:rsidRPr="00533AE6">
        <w:rPr>
          <w:rFonts w:asciiTheme="minorEastAsia" w:eastAsiaTheme="minorEastAsia" w:hAnsiTheme="minorEastAsia"/>
        </w:rPr>
        <w:t>净值表现截止日为</w:t>
      </w:r>
      <w:r w:rsidR="00533AE6" w:rsidRPr="00533AE6">
        <w:rPr>
          <w:rFonts w:asciiTheme="minorEastAsia" w:eastAsiaTheme="minorEastAsia" w:hAnsiTheme="minorEastAsia" w:hint="eastAsia"/>
        </w:rPr>
        <w:t>2020年6月30日</w:t>
      </w:r>
      <w:r w:rsidRPr="00533AE6">
        <w:rPr>
          <w:rFonts w:asciiTheme="minorEastAsia" w:eastAsiaTheme="minorEastAsia" w:hAnsiTheme="minorEastAsia"/>
        </w:rPr>
        <w:t>。</w:t>
      </w:r>
      <w:r w:rsidR="002A34E5" w:rsidRPr="00533AE6">
        <w:rPr>
          <w:rFonts w:asciiTheme="minorEastAsia" w:eastAsiaTheme="minorEastAsia" w:hAnsiTheme="minorEastAsia"/>
          <w:szCs w:val="21"/>
        </w:rPr>
        <w:t>（本报告中财务数据未经审计）</w:t>
      </w:r>
    </w:p>
    <w:p w:rsidR="00266A27" w:rsidRPr="00533AE6" w:rsidRDefault="00266A27" w:rsidP="005A15F8">
      <w:pPr>
        <w:adjustRightInd w:val="0"/>
        <w:snapToGrid w:val="0"/>
        <w:spacing w:line="360" w:lineRule="auto"/>
        <w:ind w:left="-420" w:firstLine="562"/>
        <w:jc w:val="center"/>
        <w:rPr>
          <w:rFonts w:asciiTheme="minorEastAsia" w:eastAsiaTheme="minorEastAsia" w:hAnsiTheme="minorEastAsia"/>
          <w:b/>
          <w:sz w:val="28"/>
          <w:szCs w:val="28"/>
        </w:rPr>
      </w:pPr>
      <w:r w:rsidRPr="00533AE6">
        <w:rPr>
          <w:rFonts w:asciiTheme="minorEastAsia" w:eastAsiaTheme="minorEastAsia" w:hAnsiTheme="minorEastAsia" w:hint="eastAsia"/>
          <w:b/>
          <w:sz w:val="28"/>
          <w:szCs w:val="28"/>
        </w:rPr>
        <w:lastRenderedPageBreak/>
        <w:t>目录</w:t>
      </w:r>
    </w:p>
    <w:p w:rsidR="00533AE6" w:rsidRDefault="003C6D3F">
      <w:pPr>
        <w:pStyle w:val="10"/>
        <w:rPr>
          <w:rFonts w:asciiTheme="minorHAnsi" w:eastAsiaTheme="minorEastAsia" w:hAnsiTheme="minorHAnsi" w:cstheme="minorBidi"/>
          <w:caps w:val="0"/>
          <w:sz w:val="21"/>
          <w:szCs w:val="22"/>
        </w:rPr>
      </w:pPr>
      <w:r w:rsidRPr="00533AE6">
        <w:rPr>
          <w:rFonts w:asciiTheme="minorEastAsia" w:eastAsiaTheme="minorEastAsia" w:hAnsiTheme="minorEastAsia"/>
          <w:b/>
          <w:sz w:val="28"/>
        </w:rPr>
        <w:fldChar w:fldCharType="begin"/>
      </w:r>
      <w:r w:rsidR="00767C2C" w:rsidRPr="00533AE6">
        <w:rPr>
          <w:rFonts w:asciiTheme="minorEastAsia" w:eastAsiaTheme="minorEastAsia" w:hAnsiTheme="minorEastAsia"/>
          <w:b/>
          <w:sz w:val="28"/>
        </w:rPr>
        <w:instrText xml:space="preserve"> </w:instrText>
      </w:r>
      <w:r w:rsidR="00767C2C" w:rsidRPr="00533AE6">
        <w:rPr>
          <w:rFonts w:asciiTheme="minorEastAsia" w:eastAsiaTheme="minorEastAsia" w:hAnsiTheme="minorEastAsia" w:hint="eastAsia"/>
          <w:b/>
          <w:sz w:val="28"/>
        </w:rPr>
        <w:instrText>TOC \o "1-2" \h \z \u</w:instrText>
      </w:r>
      <w:r w:rsidR="00767C2C" w:rsidRPr="00533AE6">
        <w:rPr>
          <w:rFonts w:asciiTheme="minorEastAsia" w:eastAsiaTheme="minorEastAsia" w:hAnsiTheme="minorEastAsia"/>
          <w:b/>
          <w:sz w:val="28"/>
        </w:rPr>
        <w:instrText xml:space="preserve"> </w:instrText>
      </w:r>
      <w:r w:rsidRPr="00533AE6">
        <w:rPr>
          <w:rFonts w:asciiTheme="minorEastAsia" w:eastAsiaTheme="minorEastAsia" w:hAnsiTheme="minorEastAsia"/>
          <w:b/>
          <w:sz w:val="28"/>
        </w:rPr>
        <w:fldChar w:fldCharType="separate"/>
      </w:r>
      <w:hyperlink w:anchor="_Toc46933199" w:history="1">
        <w:r w:rsidR="00533AE6" w:rsidRPr="00152523">
          <w:rPr>
            <w:rStyle w:val="af2"/>
            <w:rFonts w:asciiTheme="minorEastAsia" w:hAnsiTheme="minorEastAsia" w:hint="eastAsia"/>
          </w:rPr>
          <w:t>一、绪言</w:t>
        </w:r>
        <w:r w:rsidR="00533AE6">
          <w:rPr>
            <w:webHidden/>
          </w:rPr>
          <w:tab/>
        </w:r>
        <w:r w:rsidR="00533AE6">
          <w:rPr>
            <w:webHidden/>
          </w:rPr>
          <w:fldChar w:fldCharType="begin"/>
        </w:r>
        <w:r w:rsidR="00533AE6">
          <w:rPr>
            <w:webHidden/>
          </w:rPr>
          <w:instrText xml:space="preserve"> PAGEREF _Toc46933199 \h </w:instrText>
        </w:r>
        <w:r w:rsidR="00533AE6">
          <w:rPr>
            <w:webHidden/>
          </w:rPr>
        </w:r>
        <w:r w:rsidR="00533AE6">
          <w:rPr>
            <w:webHidden/>
          </w:rPr>
          <w:fldChar w:fldCharType="separate"/>
        </w:r>
        <w:r w:rsidR="0045750F">
          <w:rPr>
            <w:webHidden/>
          </w:rPr>
          <w:t>1</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00" w:history="1">
        <w:r w:rsidR="00533AE6" w:rsidRPr="00152523">
          <w:rPr>
            <w:rStyle w:val="af2"/>
            <w:rFonts w:asciiTheme="minorEastAsia" w:hAnsiTheme="minorEastAsia" w:hint="eastAsia"/>
          </w:rPr>
          <w:t>二、释义</w:t>
        </w:r>
        <w:r w:rsidR="00533AE6">
          <w:rPr>
            <w:webHidden/>
          </w:rPr>
          <w:tab/>
        </w:r>
        <w:r w:rsidR="00533AE6">
          <w:rPr>
            <w:webHidden/>
          </w:rPr>
          <w:fldChar w:fldCharType="begin"/>
        </w:r>
        <w:r w:rsidR="00533AE6">
          <w:rPr>
            <w:webHidden/>
          </w:rPr>
          <w:instrText xml:space="preserve"> PAGEREF _Toc46933200 \h </w:instrText>
        </w:r>
        <w:r w:rsidR="00533AE6">
          <w:rPr>
            <w:webHidden/>
          </w:rPr>
        </w:r>
        <w:r w:rsidR="00533AE6">
          <w:rPr>
            <w:webHidden/>
          </w:rPr>
          <w:fldChar w:fldCharType="separate"/>
        </w:r>
        <w:r w:rsidR="0045750F">
          <w:rPr>
            <w:webHidden/>
          </w:rPr>
          <w:t>2</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01" w:history="1">
        <w:r w:rsidR="00533AE6" w:rsidRPr="00152523">
          <w:rPr>
            <w:rStyle w:val="af2"/>
            <w:rFonts w:asciiTheme="minorEastAsia" w:hAnsiTheme="minorEastAsia" w:hint="eastAsia"/>
          </w:rPr>
          <w:t>三、基金管理人</w:t>
        </w:r>
        <w:r w:rsidR="00533AE6">
          <w:rPr>
            <w:webHidden/>
          </w:rPr>
          <w:tab/>
        </w:r>
        <w:r w:rsidR="00533AE6">
          <w:rPr>
            <w:webHidden/>
          </w:rPr>
          <w:fldChar w:fldCharType="begin"/>
        </w:r>
        <w:r w:rsidR="00533AE6">
          <w:rPr>
            <w:webHidden/>
          </w:rPr>
          <w:instrText xml:space="preserve"> PAGEREF _Toc46933201 \h </w:instrText>
        </w:r>
        <w:r w:rsidR="00533AE6">
          <w:rPr>
            <w:webHidden/>
          </w:rPr>
        </w:r>
        <w:r w:rsidR="00533AE6">
          <w:rPr>
            <w:webHidden/>
          </w:rPr>
          <w:fldChar w:fldCharType="separate"/>
        </w:r>
        <w:r w:rsidR="0045750F">
          <w:rPr>
            <w:webHidden/>
          </w:rPr>
          <w:t>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2" w:history="1">
        <w:r w:rsidR="00533AE6" w:rsidRPr="00152523">
          <w:rPr>
            <w:rStyle w:val="af2"/>
            <w:rFonts w:asciiTheme="minorEastAsia" w:hAnsiTheme="minorEastAsia" w:cs="仿宋_GB2312" w:hint="eastAsia"/>
            <w:bCs/>
            <w:kern w:val="0"/>
          </w:rPr>
          <w:t>（一）基金管理人基本情况</w:t>
        </w:r>
        <w:r w:rsidR="00533AE6">
          <w:rPr>
            <w:webHidden/>
          </w:rPr>
          <w:tab/>
        </w:r>
        <w:r w:rsidR="00533AE6">
          <w:rPr>
            <w:webHidden/>
          </w:rPr>
          <w:fldChar w:fldCharType="begin"/>
        </w:r>
        <w:r w:rsidR="00533AE6">
          <w:rPr>
            <w:webHidden/>
          </w:rPr>
          <w:instrText xml:space="preserve"> PAGEREF _Toc46933202 \h </w:instrText>
        </w:r>
        <w:r w:rsidR="00533AE6">
          <w:rPr>
            <w:webHidden/>
          </w:rPr>
        </w:r>
        <w:r w:rsidR="00533AE6">
          <w:rPr>
            <w:webHidden/>
          </w:rPr>
          <w:fldChar w:fldCharType="separate"/>
        </w:r>
        <w:r w:rsidR="0045750F">
          <w:rPr>
            <w:webHidden/>
          </w:rPr>
          <w:t>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3" w:history="1">
        <w:r w:rsidR="00533AE6" w:rsidRPr="00152523">
          <w:rPr>
            <w:rStyle w:val="af2"/>
            <w:rFonts w:asciiTheme="minorEastAsia" w:hAnsiTheme="minorEastAsia" w:hint="eastAsia"/>
            <w:bCs/>
          </w:rPr>
          <w:t>（二）主要人员情况</w:t>
        </w:r>
        <w:r w:rsidR="00533AE6">
          <w:rPr>
            <w:webHidden/>
          </w:rPr>
          <w:tab/>
        </w:r>
        <w:r w:rsidR="00533AE6">
          <w:rPr>
            <w:webHidden/>
          </w:rPr>
          <w:fldChar w:fldCharType="begin"/>
        </w:r>
        <w:r w:rsidR="00533AE6">
          <w:rPr>
            <w:webHidden/>
          </w:rPr>
          <w:instrText xml:space="preserve"> PAGEREF _Toc46933203 \h </w:instrText>
        </w:r>
        <w:r w:rsidR="00533AE6">
          <w:rPr>
            <w:webHidden/>
          </w:rPr>
        </w:r>
        <w:r w:rsidR="00533AE6">
          <w:rPr>
            <w:webHidden/>
          </w:rPr>
          <w:fldChar w:fldCharType="separate"/>
        </w:r>
        <w:r w:rsidR="0045750F">
          <w:rPr>
            <w:webHidden/>
          </w:rPr>
          <w:t>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4" w:history="1">
        <w:r w:rsidR="00533AE6" w:rsidRPr="00152523">
          <w:rPr>
            <w:rStyle w:val="af2"/>
            <w:rFonts w:asciiTheme="minorEastAsia" w:hAnsiTheme="minorEastAsia" w:hint="eastAsia"/>
            <w:bCs/>
          </w:rPr>
          <w:t>（三）基金管理人的职责</w:t>
        </w:r>
        <w:r w:rsidR="00533AE6">
          <w:rPr>
            <w:webHidden/>
          </w:rPr>
          <w:tab/>
        </w:r>
        <w:r w:rsidR="00533AE6">
          <w:rPr>
            <w:webHidden/>
          </w:rPr>
          <w:fldChar w:fldCharType="begin"/>
        </w:r>
        <w:r w:rsidR="00533AE6">
          <w:rPr>
            <w:webHidden/>
          </w:rPr>
          <w:instrText xml:space="preserve"> PAGEREF _Toc46933204 \h </w:instrText>
        </w:r>
        <w:r w:rsidR="00533AE6">
          <w:rPr>
            <w:webHidden/>
          </w:rPr>
        </w:r>
        <w:r w:rsidR="00533AE6">
          <w:rPr>
            <w:webHidden/>
          </w:rPr>
          <w:fldChar w:fldCharType="separate"/>
        </w:r>
        <w:r w:rsidR="0045750F">
          <w:rPr>
            <w:webHidden/>
          </w:rPr>
          <w:t>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5" w:history="1">
        <w:r w:rsidR="00533AE6" w:rsidRPr="00152523">
          <w:rPr>
            <w:rStyle w:val="af2"/>
            <w:rFonts w:asciiTheme="minorEastAsia" w:hAnsiTheme="minorEastAsia" w:hint="eastAsia"/>
            <w:bCs/>
          </w:rPr>
          <w:t>（四）基金管理人的承诺</w:t>
        </w:r>
        <w:r w:rsidR="00533AE6">
          <w:rPr>
            <w:webHidden/>
          </w:rPr>
          <w:tab/>
        </w:r>
        <w:r w:rsidR="00533AE6">
          <w:rPr>
            <w:webHidden/>
          </w:rPr>
          <w:fldChar w:fldCharType="begin"/>
        </w:r>
        <w:r w:rsidR="00533AE6">
          <w:rPr>
            <w:webHidden/>
          </w:rPr>
          <w:instrText xml:space="preserve"> PAGEREF _Toc46933205 \h </w:instrText>
        </w:r>
        <w:r w:rsidR="00533AE6">
          <w:rPr>
            <w:webHidden/>
          </w:rPr>
        </w:r>
        <w:r w:rsidR="00533AE6">
          <w:rPr>
            <w:webHidden/>
          </w:rPr>
          <w:fldChar w:fldCharType="separate"/>
        </w:r>
        <w:r w:rsidR="0045750F">
          <w:rPr>
            <w:webHidden/>
          </w:rPr>
          <w:t>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6" w:history="1">
        <w:r w:rsidR="00533AE6" w:rsidRPr="00152523">
          <w:rPr>
            <w:rStyle w:val="af2"/>
            <w:rFonts w:asciiTheme="minorEastAsia" w:hAnsiTheme="minorEastAsia" w:hint="eastAsia"/>
            <w:bCs/>
          </w:rPr>
          <w:t>（五）基金管理人的内部控制制度</w:t>
        </w:r>
        <w:r w:rsidR="00533AE6">
          <w:rPr>
            <w:webHidden/>
          </w:rPr>
          <w:tab/>
        </w:r>
        <w:r w:rsidR="00533AE6">
          <w:rPr>
            <w:webHidden/>
          </w:rPr>
          <w:fldChar w:fldCharType="begin"/>
        </w:r>
        <w:r w:rsidR="00533AE6">
          <w:rPr>
            <w:webHidden/>
          </w:rPr>
          <w:instrText xml:space="preserve"> PAGEREF _Toc46933206 \h </w:instrText>
        </w:r>
        <w:r w:rsidR="00533AE6">
          <w:rPr>
            <w:webHidden/>
          </w:rPr>
        </w:r>
        <w:r w:rsidR="00533AE6">
          <w:rPr>
            <w:webHidden/>
          </w:rPr>
          <w:fldChar w:fldCharType="separate"/>
        </w:r>
        <w:r w:rsidR="0045750F">
          <w:rPr>
            <w:webHidden/>
          </w:rPr>
          <w:t>13</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07" w:history="1">
        <w:r w:rsidR="00533AE6" w:rsidRPr="00152523">
          <w:rPr>
            <w:rStyle w:val="af2"/>
            <w:rFonts w:asciiTheme="minorEastAsia" w:hAnsiTheme="minorEastAsia" w:hint="eastAsia"/>
            <w:bCs/>
          </w:rPr>
          <w:t>四、基金托管人</w:t>
        </w:r>
        <w:r w:rsidR="00533AE6">
          <w:rPr>
            <w:webHidden/>
          </w:rPr>
          <w:tab/>
        </w:r>
        <w:r w:rsidR="00533AE6">
          <w:rPr>
            <w:webHidden/>
          </w:rPr>
          <w:fldChar w:fldCharType="begin"/>
        </w:r>
        <w:r w:rsidR="00533AE6">
          <w:rPr>
            <w:webHidden/>
          </w:rPr>
          <w:instrText xml:space="preserve"> PAGEREF _Toc46933207 \h </w:instrText>
        </w:r>
        <w:r w:rsidR="00533AE6">
          <w:rPr>
            <w:webHidden/>
          </w:rPr>
        </w:r>
        <w:r w:rsidR="00533AE6">
          <w:rPr>
            <w:webHidden/>
          </w:rPr>
          <w:fldChar w:fldCharType="separate"/>
        </w:r>
        <w:r w:rsidR="0045750F">
          <w:rPr>
            <w:webHidden/>
          </w:rPr>
          <w:t>17</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08" w:history="1">
        <w:r w:rsidR="00533AE6" w:rsidRPr="00152523">
          <w:rPr>
            <w:rStyle w:val="af2"/>
            <w:rFonts w:asciiTheme="minorEastAsia" w:hAnsiTheme="minorEastAsia" w:hint="eastAsia"/>
          </w:rPr>
          <w:t>五、相关服务机构</w:t>
        </w:r>
        <w:r w:rsidR="00533AE6">
          <w:rPr>
            <w:webHidden/>
          </w:rPr>
          <w:tab/>
        </w:r>
        <w:r w:rsidR="00533AE6">
          <w:rPr>
            <w:webHidden/>
          </w:rPr>
          <w:fldChar w:fldCharType="begin"/>
        </w:r>
        <w:r w:rsidR="00533AE6">
          <w:rPr>
            <w:webHidden/>
          </w:rPr>
          <w:instrText xml:space="preserve"> PAGEREF _Toc46933208 \h </w:instrText>
        </w:r>
        <w:r w:rsidR="00533AE6">
          <w:rPr>
            <w:webHidden/>
          </w:rPr>
        </w:r>
        <w:r w:rsidR="00533AE6">
          <w:rPr>
            <w:webHidden/>
          </w:rPr>
          <w:fldChar w:fldCharType="separate"/>
        </w:r>
        <w:r w:rsidR="0045750F">
          <w:rPr>
            <w:webHidden/>
          </w:rPr>
          <w:t>19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09" w:history="1">
        <w:r w:rsidR="00533AE6" w:rsidRPr="00152523">
          <w:rPr>
            <w:rStyle w:val="af2"/>
            <w:rFonts w:asciiTheme="minorEastAsia" w:hAnsiTheme="minorEastAsia" w:hint="eastAsia"/>
            <w:bCs/>
          </w:rPr>
          <w:t>（一）基金份额销售机构</w:t>
        </w:r>
        <w:r w:rsidR="00533AE6">
          <w:rPr>
            <w:webHidden/>
          </w:rPr>
          <w:tab/>
        </w:r>
        <w:r w:rsidR="00533AE6">
          <w:rPr>
            <w:webHidden/>
          </w:rPr>
          <w:fldChar w:fldCharType="begin"/>
        </w:r>
        <w:r w:rsidR="00533AE6">
          <w:rPr>
            <w:webHidden/>
          </w:rPr>
          <w:instrText xml:space="preserve"> PAGEREF _Toc46933209 \h </w:instrText>
        </w:r>
        <w:r w:rsidR="00533AE6">
          <w:rPr>
            <w:webHidden/>
          </w:rPr>
        </w:r>
        <w:r w:rsidR="00533AE6">
          <w:rPr>
            <w:webHidden/>
          </w:rPr>
          <w:fldChar w:fldCharType="separate"/>
        </w:r>
        <w:r w:rsidR="0045750F">
          <w:rPr>
            <w:webHidden/>
          </w:rPr>
          <w:t>19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0" w:history="1">
        <w:r w:rsidR="00533AE6" w:rsidRPr="00152523">
          <w:rPr>
            <w:rStyle w:val="af2"/>
            <w:rFonts w:asciiTheme="minorEastAsia" w:hAnsiTheme="minorEastAsia" w:hint="eastAsia"/>
            <w:bCs/>
          </w:rPr>
          <w:t>（二）基金注册登记机构</w:t>
        </w:r>
        <w:r w:rsidR="00533AE6">
          <w:rPr>
            <w:webHidden/>
          </w:rPr>
          <w:tab/>
        </w:r>
        <w:r w:rsidR="00533AE6">
          <w:rPr>
            <w:webHidden/>
          </w:rPr>
          <w:fldChar w:fldCharType="begin"/>
        </w:r>
        <w:r w:rsidR="00533AE6">
          <w:rPr>
            <w:webHidden/>
          </w:rPr>
          <w:instrText xml:space="preserve"> PAGEREF _Toc46933210 \h </w:instrText>
        </w:r>
        <w:r w:rsidR="00533AE6">
          <w:rPr>
            <w:webHidden/>
          </w:rPr>
        </w:r>
        <w:r w:rsidR="00533AE6">
          <w:rPr>
            <w:webHidden/>
          </w:rPr>
          <w:fldChar w:fldCharType="separate"/>
        </w:r>
        <w:r w:rsidR="0045750F">
          <w:rPr>
            <w:webHidden/>
          </w:rPr>
          <w:t>93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1" w:history="1">
        <w:r w:rsidR="00533AE6" w:rsidRPr="00152523">
          <w:rPr>
            <w:rStyle w:val="af2"/>
            <w:rFonts w:asciiTheme="minorEastAsia" w:hAnsiTheme="minorEastAsia" w:hint="eastAsia"/>
            <w:bCs/>
          </w:rPr>
          <w:t>（三）律师事务所和经办律师</w:t>
        </w:r>
        <w:r w:rsidR="00533AE6">
          <w:rPr>
            <w:webHidden/>
          </w:rPr>
          <w:tab/>
        </w:r>
        <w:r w:rsidR="00533AE6">
          <w:rPr>
            <w:webHidden/>
          </w:rPr>
          <w:fldChar w:fldCharType="begin"/>
        </w:r>
        <w:r w:rsidR="00533AE6">
          <w:rPr>
            <w:webHidden/>
          </w:rPr>
          <w:instrText xml:space="preserve"> PAGEREF _Toc46933211 \h </w:instrText>
        </w:r>
        <w:r w:rsidR="00533AE6">
          <w:rPr>
            <w:webHidden/>
          </w:rPr>
        </w:r>
        <w:r w:rsidR="00533AE6">
          <w:rPr>
            <w:webHidden/>
          </w:rPr>
          <w:fldChar w:fldCharType="separate"/>
        </w:r>
        <w:r w:rsidR="0045750F">
          <w:rPr>
            <w:webHidden/>
          </w:rPr>
          <w:t>93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2" w:history="1">
        <w:r w:rsidR="00533AE6" w:rsidRPr="00152523">
          <w:rPr>
            <w:rStyle w:val="af2"/>
            <w:rFonts w:asciiTheme="minorEastAsia" w:hAnsiTheme="minorEastAsia" w:hint="eastAsia"/>
            <w:bCs/>
          </w:rPr>
          <w:t>（四）会计师事务所和经办注册会计师</w:t>
        </w:r>
        <w:r w:rsidR="00533AE6">
          <w:rPr>
            <w:webHidden/>
          </w:rPr>
          <w:tab/>
        </w:r>
        <w:r w:rsidR="00533AE6">
          <w:rPr>
            <w:webHidden/>
          </w:rPr>
          <w:fldChar w:fldCharType="begin"/>
        </w:r>
        <w:r w:rsidR="00533AE6">
          <w:rPr>
            <w:webHidden/>
          </w:rPr>
          <w:instrText xml:space="preserve"> PAGEREF _Toc46933212 \h </w:instrText>
        </w:r>
        <w:r w:rsidR="00533AE6">
          <w:rPr>
            <w:webHidden/>
          </w:rPr>
        </w:r>
        <w:r w:rsidR="00533AE6">
          <w:rPr>
            <w:webHidden/>
          </w:rPr>
          <w:fldChar w:fldCharType="separate"/>
        </w:r>
        <w:r w:rsidR="0045750F">
          <w:rPr>
            <w:webHidden/>
          </w:rPr>
          <w:t>94</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13" w:history="1">
        <w:r w:rsidR="00533AE6" w:rsidRPr="00152523">
          <w:rPr>
            <w:rStyle w:val="af2"/>
            <w:rFonts w:asciiTheme="minorEastAsia" w:hAnsiTheme="minorEastAsia" w:hint="eastAsia"/>
            <w:bCs/>
          </w:rPr>
          <w:t>六、基金的募集</w:t>
        </w:r>
        <w:r w:rsidR="00533AE6">
          <w:rPr>
            <w:webHidden/>
          </w:rPr>
          <w:tab/>
        </w:r>
        <w:r w:rsidR="00533AE6">
          <w:rPr>
            <w:webHidden/>
          </w:rPr>
          <w:fldChar w:fldCharType="begin"/>
        </w:r>
        <w:r w:rsidR="00533AE6">
          <w:rPr>
            <w:webHidden/>
          </w:rPr>
          <w:instrText xml:space="preserve"> PAGEREF _Toc46933213 \h </w:instrText>
        </w:r>
        <w:r w:rsidR="00533AE6">
          <w:rPr>
            <w:webHidden/>
          </w:rPr>
        </w:r>
        <w:r w:rsidR="00533AE6">
          <w:rPr>
            <w:webHidden/>
          </w:rPr>
          <w:fldChar w:fldCharType="separate"/>
        </w:r>
        <w:r w:rsidR="0045750F">
          <w:rPr>
            <w:webHidden/>
          </w:rPr>
          <w:t>95</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14" w:history="1">
        <w:r w:rsidR="00533AE6" w:rsidRPr="00152523">
          <w:rPr>
            <w:rStyle w:val="af2"/>
            <w:rFonts w:asciiTheme="minorEastAsia" w:hAnsiTheme="minorEastAsia" w:hint="eastAsia"/>
            <w:bCs/>
          </w:rPr>
          <w:t>七、基金合同的生效</w:t>
        </w:r>
        <w:r w:rsidR="00533AE6">
          <w:rPr>
            <w:webHidden/>
          </w:rPr>
          <w:tab/>
        </w:r>
        <w:r w:rsidR="00533AE6">
          <w:rPr>
            <w:webHidden/>
          </w:rPr>
          <w:fldChar w:fldCharType="begin"/>
        </w:r>
        <w:r w:rsidR="00533AE6">
          <w:rPr>
            <w:webHidden/>
          </w:rPr>
          <w:instrText xml:space="preserve"> PAGEREF _Toc46933214 \h </w:instrText>
        </w:r>
        <w:r w:rsidR="00533AE6">
          <w:rPr>
            <w:webHidden/>
          </w:rPr>
        </w:r>
        <w:r w:rsidR="00533AE6">
          <w:rPr>
            <w:webHidden/>
          </w:rPr>
          <w:fldChar w:fldCharType="separate"/>
        </w:r>
        <w:r w:rsidR="0045750F">
          <w:rPr>
            <w:webHidden/>
          </w:rPr>
          <w:t>96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5" w:history="1">
        <w:r w:rsidR="00533AE6" w:rsidRPr="00152523">
          <w:rPr>
            <w:rStyle w:val="af2"/>
            <w:rFonts w:asciiTheme="minorEastAsia" w:hAnsiTheme="minorEastAsia" w:hint="eastAsia"/>
            <w:bCs/>
          </w:rPr>
          <w:t>（一）基金合同生效</w:t>
        </w:r>
        <w:r w:rsidR="00533AE6">
          <w:rPr>
            <w:webHidden/>
          </w:rPr>
          <w:tab/>
        </w:r>
        <w:r w:rsidR="00533AE6">
          <w:rPr>
            <w:webHidden/>
          </w:rPr>
          <w:fldChar w:fldCharType="begin"/>
        </w:r>
        <w:r w:rsidR="00533AE6">
          <w:rPr>
            <w:webHidden/>
          </w:rPr>
          <w:instrText xml:space="preserve"> PAGEREF _Toc46933215 \h </w:instrText>
        </w:r>
        <w:r w:rsidR="00533AE6">
          <w:rPr>
            <w:webHidden/>
          </w:rPr>
        </w:r>
        <w:r w:rsidR="00533AE6">
          <w:rPr>
            <w:webHidden/>
          </w:rPr>
          <w:fldChar w:fldCharType="separate"/>
        </w:r>
        <w:r w:rsidR="0045750F">
          <w:rPr>
            <w:webHidden/>
          </w:rPr>
          <w:t>96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6" w:history="1">
        <w:r w:rsidR="00533AE6" w:rsidRPr="00152523">
          <w:rPr>
            <w:rStyle w:val="af2"/>
            <w:rFonts w:asciiTheme="minorEastAsia" w:hAnsiTheme="minorEastAsia" w:hint="eastAsia"/>
            <w:bCs/>
          </w:rPr>
          <w:t>（二）基金存续期内的基金份额持有人数量和资产规模</w:t>
        </w:r>
        <w:r w:rsidR="00533AE6">
          <w:rPr>
            <w:webHidden/>
          </w:rPr>
          <w:tab/>
        </w:r>
        <w:r w:rsidR="00533AE6">
          <w:rPr>
            <w:webHidden/>
          </w:rPr>
          <w:fldChar w:fldCharType="begin"/>
        </w:r>
        <w:r w:rsidR="00533AE6">
          <w:rPr>
            <w:webHidden/>
          </w:rPr>
          <w:instrText xml:space="preserve"> PAGEREF _Toc46933216 \h </w:instrText>
        </w:r>
        <w:r w:rsidR="00533AE6">
          <w:rPr>
            <w:webHidden/>
          </w:rPr>
        </w:r>
        <w:r w:rsidR="00533AE6">
          <w:rPr>
            <w:webHidden/>
          </w:rPr>
          <w:fldChar w:fldCharType="separate"/>
        </w:r>
        <w:r w:rsidR="0045750F">
          <w:rPr>
            <w:webHidden/>
          </w:rPr>
          <w:t>96</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17" w:history="1">
        <w:r w:rsidR="00533AE6" w:rsidRPr="00152523">
          <w:rPr>
            <w:rStyle w:val="af2"/>
            <w:rFonts w:asciiTheme="minorEastAsia" w:hAnsiTheme="minorEastAsia" w:hint="eastAsia"/>
            <w:bCs/>
          </w:rPr>
          <w:t>八、基金份额的申购、赎回</w:t>
        </w:r>
        <w:r w:rsidR="00533AE6">
          <w:rPr>
            <w:webHidden/>
          </w:rPr>
          <w:tab/>
        </w:r>
        <w:r w:rsidR="00533AE6">
          <w:rPr>
            <w:webHidden/>
          </w:rPr>
          <w:fldChar w:fldCharType="begin"/>
        </w:r>
        <w:r w:rsidR="00533AE6">
          <w:rPr>
            <w:webHidden/>
          </w:rPr>
          <w:instrText xml:space="preserve"> PAGEREF _Toc46933217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8" w:history="1">
        <w:r w:rsidR="00533AE6" w:rsidRPr="00152523">
          <w:rPr>
            <w:rStyle w:val="af2"/>
            <w:rFonts w:asciiTheme="minorEastAsia" w:hAnsiTheme="minorEastAsia" w:hint="eastAsia"/>
          </w:rPr>
          <w:t>（一）基金投资者范围</w:t>
        </w:r>
        <w:r w:rsidR="00533AE6">
          <w:rPr>
            <w:webHidden/>
          </w:rPr>
          <w:tab/>
        </w:r>
        <w:r w:rsidR="00533AE6">
          <w:rPr>
            <w:webHidden/>
          </w:rPr>
          <w:fldChar w:fldCharType="begin"/>
        </w:r>
        <w:r w:rsidR="00533AE6">
          <w:rPr>
            <w:webHidden/>
          </w:rPr>
          <w:instrText xml:space="preserve"> PAGEREF _Toc46933218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19" w:history="1">
        <w:r w:rsidR="00533AE6" w:rsidRPr="00152523">
          <w:rPr>
            <w:rStyle w:val="af2"/>
            <w:rFonts w:asciiTheme="minorEastAsia" w:hAnsiTheme="minorEastAsia" w:hint="eastAsia"/>
          </w:rPr>
          <w:t>（二）申购、赎回的场所</w:t>
        </w:r>
        <w:r w:rsidR="00533AE6">
          <w:rPr>
            <w:webHidden/>
          </w:rPr>
          <w:tab/>
        </w:r>
        <w:r w:rsidR="00533AE6">
          <w:rPr>
            <w:webHidden/>
          </w:rPr>
          <w:fldChar w:fldCharType="begin"/>
        </w:r>
        <w:r w:rsidR="00533AE6">
          <w:rPr>
            <w:webHidden/>
          </w:rPr>
          <w:instrText xml:space="preserve"> PAGEREF _Toc46933219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0" w:history="1">
        <w:r w:rsidR="00533AE6" w:rsidRPr="00152523">
          <w:rPr>
            <w:rStyle w:val="af2"/>
            <w:rFonts w:asciiTheme="minorEastAsia" w:hAnsiTheme="minorEastAsia" w:hint="eastAsia"/>
          </w:rPr>
          <w:t>（三）申购、赎回的时间</w:t>
        </w:r>
        <w:r w:rsidR="00533AE6">
          <w:rPr>
            <w:webHidden/>
          </w:rPr>
          <w:tab/>
        </w:r>
        <w:r w:rsidR="00533AE6">
          <w:rPr>
            <w:webHidden/>
          </w:rPr>
          <w:fldChar w:fldCharType="begin"/>
        </w:r>
        <w:r w:rsidR="00533AE6">
          <w:rPr>
            <w:webHidden/>
          </w:rPr>
          <w:instrText xml:space="preserve"> PAGEREF _Toc46933220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1" w:history="1">
        <w:r w:rsidR="00533AE6" w:rsidRPr="00152523">
          <w:rPr>
            <w:rStyle w:val="af2"/>
            <w:rFonts w:asciiTheme="minorEastAsia" w:hAnsiTheme="minorEastAsia" w:hint="eastAsia"/>
            <w:bCs/>
          </w:rPr>
          <w:t>（四）申购、赎回的原则</w:t>
        </w:r>
        <w:r w:rsidR="00533AE6">
          <w:rPr>
            <w:webHidden/>
          </w:rPr>
          <w:tab/>
        </w:r>
        <w:r w:rsidR="00533AE6">
          <w:rPr>
            <w:webHidden/>
          </w:rPr>
          <w:fldChar w:fldCharType="begin"/>
        </w:r>
        <w:r w:rsidR="00533AE6">
          <w:rPr>
            <w:webHidden/>
          </w:rPr>
          <w:instrText xml:space="preserve"> PAGEREF _Toc46933221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2" w:history="1">
        <w:r w:rsidR="00533AE6" w:rsidRPr="00152523">
          <w:rPr>
            <w:rStyle w:val="af2"/>
            <w:rFonts w:asciiTheme="minorEastAsia" w:hAnsiTheme="minorEastAsia" w:hint="eastAsia"/>
          </w:rPr>
          <w:t>（五）申购、赎回的程序</w:t>
        </w:r>
        <w:r w:rsidR="00533AE6">
          <w:rPr>
            <w:webHidden/>
          </w:rPr>
          <w:tab/>
        </w:r>
        <w:r w:rsidR="00533AE6">
          <w:rPr>
            <w:webHidden/>
          </w:rPr>
          <w:fldChar w:fldCharType="begin"/>
        </w:r>
        <w:r w:rsidR="00533AE6">
          <w:rPr>
            <w:webHidden/>
          </w:rPr>
          <w:instrText xml:space="preserve"> PAGEREF _Toc46933222 \h </w:instrText>
        </w:r>
        <w:r w:rsidR="00533AE6">
          <w:rPr>
            <w:webHidden/>
          </w:rPr>
        </w:r>
        <w:r w:rsidR="00533AE6">
          <w:rPr>
            <w:webHidden/>
          </w:rPr>
          <w:fldChar w:fldCharType="separate"/>
        </w:r>
        <w:r w:rsidR="0045750F">
          <w:rPr>
            <w:webHidden/>
          </w:rPr>
          <w:t>97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3" w:history="1">
        <w:r w:rsidR="00533AE6" w:rsidRPr="00152523">
          <w:rPr>
            <w:rStyle w:val="af2"/>
            <w:rFonts w:asciiTheme="minorEastAsia" w:hAnsiTheme="minorEastAsia" w:hint="eastAsia"/>
          </w:rPr>
          <w:t>（六）申购、赎回的数额限制</w:t>
        </w:r>
        <w:r w:rsidR="00533AE6">
          <w:rPr>
            <w:webHidden/>
          </w:rPr>
          <w:tab/>
        </w:r>
        <w:r w:rsidR="00533AE6">
          <w:rPr>
            <w:webHidden/>
          </w:rPr>
          <w:fldChar w:fldCharType="begin"/>
        </w:r>
        <w:r w:rsidR="00533AE6">
          <w:rPr>
            <w:webHidden/>
          </w:rPr>
          <w:instrText xml:space="preserve"> PAGEREF _Toc46933223 \h </w:instrText>
        </w:r>
        <w:r w:rsidR="00533AE6">
          <w:rPr>
            <w:webHidden/>
          </w:rPr>
        </w:r>
        <w:r w:rsidR="00533AE6">
          <w:rPr>
            <w:webHidden/>
          </w:rPr>
          <w:fldChar w:fldCharType="separate"/>
        </w:r>
        <w:r w:rsidR="0045750F">
          <w:rPr>
            <w:webHidden/>
          </w:rPr>
          <w:t>98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4" w:history="1">
        <w:r w:rsidR="00533AE6" w:rsidRPr="00152523">
          <w:rPr>
            <w:rStyle w:val="af2"/>
            <w:rFonts w:asciiTheme="minorEastAsia" w:hAnsiTheme="minorEastAsia" w:hint="eastAsia"/>
          </w:rPr>
          <w:t>（七）申购、赎回的费率</w:t>
        </w:r>
        <w:r w:rsidR="00533AE6">
          <w:rPr>
            <w:webHidden/>
          </w:rPr>
          <w:tab/>
        </w:r>
        <w:r w:rsidR="00533AE6">
          <w:rPr>
            <w:webHidden/>
          </w:rPr>
          <w:fldChar w:fldCharType="begin"/>
        </w:r>
        <w:r w:rsidR="00533AE6">
          <w:rPr>
            <w:webHidden/>
          </w:rPr>
          <w:instrText xml:space="preserve"> PAGEREF _Toc46933224 \h </w:instrText>
        </w:r>
        <w:r w:rsidR="00533AE6">
          <w:rPr>
            <w:webHidden/>
          </w:rPr>
        </w:r>
        <w:r w:rsidR="00533AE6">
          <w:rPr>
            <w:webHidden/>
          </w:rPr>
          <w:fldChar w:fldCharType="separate"/>
        </w:r>
        <w:r w:rsidR="0045750F">
          <w:rPr>
            <w:webHidden/>
          </w:rPr>
          <w:t>99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5" w:history="1">
        <w:r w:rsidR="00533AE6" w:rsidRPr="00152523">
          <w:rPr>
            <w:rStyle w:val="af2"/>
            <w:rFonts w:asciiTheme="minorEastAsia" w:hAnsiTheme="minorEastAsia" w:hint="eastAsia"/>
          </w:rPr>
          <w:t>（八）申购份额、赎回金额的计算方式</w:t>
        </w:r>
        <w:r w:rsidR="00533AE6">
          <w:rPr>
            <w:webHidden/>
          </w:rPr>
          <w:tab/>
        </w:r>
        <w:r w:rsidR="00533AE6">
          <w:rPr>
            <w:webHidden/>
          </w:rPr>
          <w:fldChar w:fldCharType="begin"/>
        </w:r>
        <w:r w:rsidR="00533AE6">
          <w:rPr>
            <w:webHidden/>
          </w:rPr>
          <w:instrText xml:space="preserve"> PAGEREF _Toc46933225 \h </w:instrText>
        </w:r>
        <w:r w:rsidR="00533AE6">
          <w:rPr>
            <w:webHidden/>
          </w:rPr>
        </w:r>
        <w:r w:rsidR="00533AE6">
          <w:rPr>
            <w:webHidden/>
          </w:rPr>
          <w:fldChar w:fldCharType="separate"/>
        </w:r>
        <w:r w:rsidR="0045750F">
          <w:rPr>
            <w:webHidden/>
          </w:rPr>
          <w:t>100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6" w:history="1">
        <w:r w:rsidR="00533AE6" w:rsidRPr="00152523">
          <w:rPr>
            <w:rStyle w:val="af2"/>
            <w:rFonts w:asciiTheme="minorEastAsia" w:hAnsiTheme="minorEastAsia" w:hint="eastAsia"/>
          </w:rPr>
          <w:t>（九）申购、赎回的注册登记</w:t>
        </w:r>
        <w:r w:rsidR="00533AE6">
          <w:rPr>
            <w:webHidden/>
          </w:rPr>
          <w:tab/>
        </w:r>
        <w:r w:rsidR="00533AE6">
          <w:rPr>
            <w:webHidden/>
          </w:rPr>
          <w:fldChar w:fldCharType="begin"/>
        </w:r>
        <w:r w:rsidR="00533AE6">
          <w:rPr>
            <w:webHidden/>
          </w:rPr>
          <w:instrText xml:space="preserve"> PAGEREF _Toc46933226 \h </w:instrText>
        </w:r>
        <w:r w:rsidR="00533AE6">
          <w:rPr>
            <w:webHidden/>
          </w:rPr>
        </w:r>
        <w:r w:rsidR="00533AE6">
          <w:rPr>
            <w:webHidden/>
          </w:rPr>
          <w:fldChar w:fldCharType="separate"/>
        </w:r>
        <w:r w:rsidR="0045750F">
          <w:rPr>
            <w:webHidden/>
          </w:rPr>
          <w:t>101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7" w:history="1">
        <w:r w:rsidR="00533AE6" w:rsidRPr="00152523">
          <w:rPr>
            <w:rStyle w:val="af2"/>
            <w:rFonts w:asciiTheme="minorEastAsia" w:hAnsiTheme="minorEastAsia" w:hint="eastAsia"/>
          </w:rPr>
          <w:t>（十）巨额赎回的认定及处理方式</w:t>
        </w:r>
        <w:r w:rsidR="00533AE6">
          <w:rPr>
            <w:webHidden/>
          </w:rPr>
          <w:tab/>
        </w:r>
        <w:r w:rsidR="00533AE6">
          <w:rPr>
            <w:webHidden/>
          </w:rPr>
          <w:fldChar w:fldCharType="begin"/>
        </w:r>
        <w:r w:rsidR="00533AE6">
          <w:rPr>
            <w:webHidden/>
          </w:rPr>
          <w:instrText xml:space="preserve"> PAGEREF _Toc46933227 \h </w:instrText>
        </w:r>
        <w:r w:rsidR="00533AE6">
          <w:rPr>
            <w:webHidden/>
          </w:rPr>
        </w:r>
        <w:r w:rsidR="00533AE6">
          <w:rPr>
            <w:webHidden/>
          </w:rPr>
          <w:fldChar w:fldCharType="separate"/>
        </w:r>
        <w:r w:rsidR="0045750F">
          <w:rPr>
            <w:webHidden/>
          </w:rPr>
          <w:t>101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28" w:history="1">
        <w:r w:rsidR="00533AE6" w:rsidRPr="00152523">
          <w:rPr>
            <w:rStyle w:val="af2"/>
            <w:rFonts w:asciiTheme="minorEastAsia" w:hAnsiTheme="minorEastAsia" w:hint="eastAsia"/>
          </w:rPr>
          <w:t>（十一）</w:t>
        </w:r>
        <w:r w:rsidR="00533AE6" w:rsidRPr="00152523">
          <w:rPr>
            <w:rStyle w:val="af2"/>
            <w:rFonts w:asciiTheme="minorEastAsia" w:hAnsiTheme="minorEastAsia" w:hint="eastAsia"/>
            <w:kern w:val="0"/>
          </w:rPr>
          <w:t>拒绝或暂停申购、暂停赎回或延缓支付赎回款项的情形及处理</w:t>
        </w:r>
        <w:r w:rsidR="00533AE6">
          <w:rPr>
            <w:webHidden/>
          </w:rPr>
          <w:tab/>
        </w:r>
        <w:r w:rsidR="00533AE6">
          <w:rPr>
            <w:webHidden/>
          </w:rPr>
          <w:fldChar w:fldCharType="begin"/>
        </w:r>
        <w:r w:rsidR="00533AE6">
          <w:rPr>
            <w:webHidden/>
          </w:rPr>
          <w:instrText xml:space="preserve"> PAGEREF _Toc46933228 \h </w:instrText>
        </w:r>
        <w:r w:rsidR="00533AE6">
          <w:rPr>
            <w:webHidden/>
          </w:rPr>
        </w:r>
        <w:r w:rsidR="00533AE6">
          <w:rPr>
            <w:webHidden/>
          </w:rPr>
          <w:fldChar w:fldCharType="separate"/>
        </w:r>
        <w:r w:rsidR="0045750F">
          <w:rPr>
            <w:webHidden/>
          </w:rPr>
          <w:t>102</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29" w:history="1">
        <w:r w:rsidR="00533AE6" w:rsidRPr="00152523">
          <w:rPr>
            <w:rStyle w:val="af2"/>
            <w:rFonts w:asciiTheme="minorEastAsia" w:hAnsiTheme="minorEastAsia" w:hint="eastAsia"/>
          </w:rPr>
          <w:t>九、基金转换</w:t>
        </w:r>
        <w:r w:rsidR="00533AE6">
          <w:rPr>
            <w:webHidden/>
          </w:rPr>
          <w:tab/>
        </w:r>
        <w:r w:rsidR="00533AE6">
          <w:rPr>
            <w:webHidden/>
          </w:rPr>
          <w:fldChar w:fldCharType="begin"/>
        </w:r>
        <w:r w:rsidR="00533AE6">
          <w:rPr>
            <w:webHidden/>
          </w:rPr>
          <w:instrText xml:space="preserve"> PAGEREF _Toc46933229 \h </w:instrText>
        </w:r>
        <w:r w:rsidR="00533AE6">
          <w:rPr>
            <w:webHidden/>
          </w:rPr>
        </w:r>
        <w:r w:rsidR="00533AE6">
          <w:rPr>
            <w:webHidden/>
          </w:rPr>
          <w:fldChar w:fldCharType="separate"/>
        </w:r>
        <w:r w:rsidR="0045750F">
          <w:rPr>
            <w:webHidden/>
          </w:rPr>
          <w:t>105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0" w:history="1">
        <w:r w:rsidR="00533AE6" w:rsidRPr="00152523">
          <w:rPr>
            <w:rStyle w:val="af2"/>
            <w:rFonts w:asciiTheme="minorEastAsia" w:hAnsiTheme="minorEastAsia" w:hint="eastAsia"/>
          </w:rPr>
          <w:t>（一）基金转换开始日及时间</w:t>
        </w:r>
        <w:r w:rsidR="00533AE6">
          <w:rPr>
            <w:webHidden/>
          </w:rPr>
          <w:tab/>
        </w:r>
        <w:r w:rsidR="00533AE6">
          <w:rPr>
            <w:webHidden/>
          </w:rPr>
          <w:fldChar w:fldCharType="begin"/>
        </w:r>
        <w:r w:rsidR="00533AE6">
          <w:rPr>
            <w:webHidden/>
          </w:rPr>
          <w:instrText xml:space="preserve"> PAGEREF _Toc46933230 \h </w:instrText>
        </w:r>
        <w:r w:rsidR="00533AE6">
          <w:rPr>
            <w:webHidden/>
          </w:rPr>
        </w:r>
        <w:r w:rsidR="00533AE6">
          <w:rPr>
            <w:webHidden/>
          </w:rPr>
          <w:fldChar w:fldCharType="separate"/>
        </w:r>
        <w:r w:rsidR="0045750F">
          <w:rPr>
            <w:webHidden/>
          </w:rPr>
          <w:t>105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1" w:history="1">
        <w:r w:rsidR="00533AE6" w:rsidRPr="00152523">
          <w:rPr>
            <w:rStyle w:val="af2"/>
            <w:rFonts w:asciiTheme="minorEastAsia" w:hAnsiTheme="minorEastAsia" w:hint="eastAsia"/>
          </w:rPr>
          <w:t>（二）基金转换的原则</w:t>
        </w:r>
        <w:r w:rsidR="00533AE6">
          <w:rPr>
            <w:webHidden/>
          </w:rPr>
          <w:tab/>
        </w:r>
        <w:r w:rsidR="00533AE6">
          <w:rPr>
            <w:webHidden/>
          </w:rPr>
          <w:fldChar w:fldCharType="begin"/>
        </w:r>
        <w:r w:rsidR="00533AE6">
          <w:rPr>
            <w:webHidden/>
          </w:rPr>
          <w:instrText xml:space="preserve"> PAGEREF _Toc46933231 \h </w:instrText>
        </w:r>
        <w:r w:rsidR="00533AE6">
          <w:rPr>
            <w:webHidden/>
          </w:rPr>
        </w:r>
        <w:r w:rsidR="00533AE6">
          <w:rPr>
            <w:webHidden/>
          </w:rPr>
          <w:fldChar w:fldCharType="separate"/>
        </w:r>
        <w:r w:rsidR="0045750F">
          <w:rPr>
            <w:webHidden/>
          </w:rPr>
          <w:t>105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2" w:history="1">
        <w:r w:rsidR="00533AE6" w:rsidRPr="00152523">
          <w:rPr>
            <w:rStyle w:val="af2"/>
            <w:rFonts w:asciiTheme="minorEastAsia" w:hAnsiTheme="minorEastAsia" w:hint="eastAsia"/>
          </w:rPr>
          <w:t>（三）基金转换的程序</w:t>
        </w:r>
        <w:r w:rsidR="00533AE6">
          <w:rPr>
            <w:webHidden/>
          </w:rPr>
          <w:tab/>
        </w:r>
        <w:r w:rsidR="00533AE6">
          <w:rPr>
            <w:webHidden/>
          </w:rPr>
          <w:fldChar w:fldCharType="begin"/>
        </w:r>
        <w:r w:rsidR="00533AE6">
          <w:rPr>
            <w:webHidden/>
          </w:rPr>
          <w:instrText xml:space="preserve"> PAGEREF _Toc46933232 \h </w:instrText>
        </w:r>
        <w:r w:rsidR="00533AE6">
          <w:rPr>
            <w:webHidden/>
          </w:rPr>
        </w:r>
        <w:r w:rsidR="00533AE6">
          <w:rPr>
            <w:webHidden/>
          </w:rPr>
          <w:fldChar w:fldCharType="separate"/>
        </w:r>
        <w:r w:rsidR="0045750F">
          <w:rPr>
            <w:webHidden/>
          </w:rPr>
          <w:t>105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3" w:history="1">
        <w:r w:rsidR="00533AE6" w:rsidRPr="00152523">
          <w:rPr>
            <w:rStyle w:val="af2"/>
            <w:rFonts w:asciiTheme="minorEastAsia" w:hAnsiTheme="minorEastAsia" w:hint="eastAsia"/>
          </w:rPr>
          <w:t>（四）基金转换的数额限制</w:t>
        </w:r>
        <w:r w:rsidR="00533AE6">
          <w:rPr>
            <w:webHidden/>
          </w:rPr>
          <w:tab/>
        </w:r>
        <w:r w:rsidR="00533AE6">
          <w:rPr>
            <w:webHidden/>
          </w:rPr>
          <w:fldChar w:fldCharType="begin"/>
        </w:r>
        <w:r w:rsidR="00533AE6">
          <w:rPr>
            <w:webHidden/>
          </w:rPr>
          <w:instrText xml:space="preserve"> PAGEREF _Toc46933233 \h </w:instrText>
        </w:r>
        <w:r w:rsidR="00533AE6">
          <w:rPr>
            <w:webHidden/>
          </w:rPr>
        </w:r>
        <w:r w:rsidR="00533AE6">
          <w:rPr>
            <w:webHidden/>
          </w:rPr>
          <w:fldChar w:fldCharType="separate"/>
        </w:r>
        <w:r w:rsidR="0045750F">
          <w:rPr>
            <w:webHidden/>
          </w:rPr>
          <w:t>106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4" w:history="1">
        <w:r w:rsidR="00533AE6" w:rsidRPr="00152523">
          <w:rPr>
            <w:rStyle w:val="af2"/>
            <w:rFonts w:asciiTheme="minorEastAsia" w:hAnsiTheme="minorEastAsia" w:hint="eastAsia"/>
          </w:rPr>
          <w:t>（五）基金转换费率</w:t>
        </w:r>
        <w:r w:rsidR="00533AE6">
          <w:rPr>
            <w:webHidden/>
          </w:rPr>
          <w:tab/>
        </w:r>
        <w:r w:rsidR="00533AE6">
          <w:rPr>
            <w:webHidden/>
          </w:rPr>
          <w:fldChar w:fldCharType="begin"/>
        </w:r>
        <w:r w:rsidR="00533AE6">
          <w:rPr>
            <w:webHidden/>
          </w:rPr>
          <w:instrText xml:space="preserve"> PAGEREF _Toc46933234 \h </w:instrText>
        </w:r>
        <w:r w:rsidR="00533AE6">
          <w:rPr>
            <w:webHidden/>
          </w:rPr>
        </w:r>
        <w:r w:rsidR="00533AE6">
          <w:rPr>
            <w:webHidden/>
          </w:rPr>
          <w:fldChar w:fldCharType="separate"/>
        </w:r>
        <w:r w:rsidR="0045750F">
          <w:rPr>
            <w:webHidden/>
          </w:rPr>
          <w:t>106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5" w:history="1">
        <w:r w:rsidR="00533AE6" w:rsidRPr="00152523">
          <w:rPr>
            <w:rStyle w:val="af2"/>
            <w:rFonts w:asciiTheme="minorEastAsia" w:hAnsiTheme="minorEastAsia" w:hint="eastAsia"/>
          </w:rPr>
          <w:t>（六）基金转换份额的计算方式</w:t>
        </w:r>
        <w:r w:rsidR="00533AE6">
          <w:rPr>
            <w:webHidden/>
          </w:rPr>
          <w:tab/>
        </w:r>
        <w:r w:rsidR="00533AE6">
          <w:rPr>
            <w:webHidden/>
          </w:rPr>
          <w:fldChar w:fldCharType="begin"/>
        </w:r>
        <w:r w:rsidR="00533AE6">
          <w:rPr>
            <w:webHidden/>
          </w:rPr>
          <w:instrText xml:space="preserve"> PAGEREF _Toc46933235 \h </w:instrText>
        </w:r>
        <w:r w:rsidR="00533AE6">
          <w:rPr>
            <w:webHidden/>
          </w:rPr>
        </w:r>
        <w:r w:rsidR="00533AE6">
          <w:rPr>
            <w:webHidden/>
          </w:rPr>
          <w:fldChar w:fldCharType="separate"/>
        </w:r>
        <w:r w:rsidR="0045750F">
          <w:rPr>
            <w:webHidden/>
          </w:rPr>
          <w:t>106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6" w:history="1">
        <w:r w:rsidR="00533AE6" w:rsidRPr="00152523">
          <w:rPr>
            <w:rStyle w:val="af2"/>
            <w:rFonts w:asciiTheme="minorEastAsia" w:hAnsiTheme="minorEastAsia" w:hint="eastAsia"/>
          </w:rPr>
          <w:t>（七）基金转换的注册登记</w:t>
        </w:r>
        <w:r w:rsidR="00533AE6">
          <w:rPr>
            <w:webHidden/>
          </w:rPr>
          <w:tab/>
        </w:r>
        <w:r w:rsidR="00533AE6">
          <w:rPr>
            <w:webHidden/>
          </w:rPr>
          <w:fldChar w:fldCharType="begin"/>
        </w:r>
        <w:r w:rsidR="00533AE6">
          <w:rPr>
            <w:webHidden/>
          </w:rPr>
          <w:instrText xml:space="preserve"> PAGEREF _Toc46933236 \h </w:instrText>
        </w:r>
        <w:r w:rsidR="00533AE6">
          <w:rPr>
            <w:webHidden/>
          </w:rPr>
        </w:r>
        <w:r w:rsidR="00533AE6">
          <w:rPr>
            <w:webHidden/>
          </w:rPr>
          <w:fldChar w:fldCharType="separate"/>
        </w:r>
        <w:r w:rsidR="0045750F">
          <w:rPr>
            <w:webHidden/>
          </w:rPr>
          <w:t>109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7" w:history="1">
        <w:r w:rsidR="00533AE6" w:rsidRPr="00152523">
          <w:rPr>
            <w:rStyle w:val="af2"/>
            <w:rFonts w:asciiTheme="minorEastAsia" w:hAnsiTheme="minorEastAsia" w:hint="eastAsia"/>
          </w:rPr>
          <w:t>（八）基金转换与巨额赎回</w:t>
        </w:r>
        <w:r w:rsidR="00533AE6">
          <w:rPr>
            <w:webHidden/>
          </w:rPr>
          <w:tab/>
        </w:r>
        <w:r w:rsidR="00533AE6">
          <w:rPr>
            <w:webHidden/>
          </w:rPr>
          <w:fldChar w:fldCharType="begin"/>
        </w:r>
        <w:r w:rsidR="00533AE6">
          <w:rPr>
            <w:webHidden/>
          </w:rPr>
          <w:instrText xml:space="preserve"> PAGEREF _Toc46933237 \h </w:instrText>
        </w:r>
        <w:r w:rsidR="00533AE6">
          <w:rPr>
            <w:webHidden/>
          </w:rPr>
        </w:r>
        <w:r w:rsidR="00533AE6">
          <w:rPr>
            <w:webHidden/>
          </w:rPr>
          <w:fldChar w:fldCharType="separate"/>
        </w:r>
        <w:r w:rsidR="0045750F">
          <w:rPr>
            <w:webHidden/>
          </w:rPr>
          <w:t>109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38" w:history="1">
        <w:r w:rsidR="00533AE6" w:rsidRPr="00152523">
          <w:rPr>
            <w:rStyle w:val="af2"/>
            <w:rFonts w:asciiTheme="minorEastAsia" w:hAnsiTheme="minorEastAsia" w:hint="eastAsia"/>
          </w:rPr>
          <w:t>（九）拒绝或暂停基金转换的情形</w:t>
        </w:r>
        <w:r w:rsidR="00533AE6">
          <w:rPr>
            <w:webHidden/>
          </w:rPr>
          <w:tab/>
        </w:r>
        <w:r w:rsidR="00533AE6">
          <w:rPr>
            <w:webHidden/>
          </w:rPr>
          <w:fldChar w:fldCharType="begin"/>
        </w:r>
        <w:r w:rsidR="00533AE6">
          <w:rPr>
            <w:webHidden/>
          </w:rPr>
          <w:instrText xml:space="preserve"> PAGEREF _Toc46933238 \h </w:instrText>
        </w:r>
        <w:r w:rsidR="00533AE6">
          <w:rPr>
            <w:webHidden/>
          </w:rPr>
        </w:r>
        <w:r w:rsidR="00533AE6">
          <w:rPr>
            <w:webHidden/>
          </w:rPr>
          <w:fldChar w:fldCharType="separate"/>
        </w:r>
        <w:r w:rsidR="0045750F">
          <w:rPr>
            <w:webHidden/>
          </w:rPr>
          <w:t>109</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39" w:history="1">
        <w:r w:rsidR="00533AE6" w:rsidRPr="00152523">
          <w:rPr>
            <w:rStyle w:val="af2"/>
            <w:rFonts w:asciiTheme="minorEastAsia" w:hAnsiTheme="minorEastAsia" w:hint="eastAsia"/>
          </w:rPr>
          <w:t>十、基金的非交易过户、转托管及</w:t>
        </w:r>
        <w:r w:rsidR="00533AE6" w:rsidRPr="00152523">
          <w:rPr>
            <w:rStyle w:val="af2"/>
            <w:rFonts w:asciiTheme="minorEastAsia" w:hAnsiTheme="minorEastAsia" w:hint="eastAsia"/>
            <w:bCs/>
          </w:rPr>
          <w:t>冻结与解冻</w:t>
        </w:r>
        <w:r w:rsidR="00533AE6">
          <w:rPr>
            <w:webHidden/>
          </w:rPr>
          <w:tab/>
        </w:r>
        <w:r w:rsidR="00533AE6">
          <w:rPr>
            <w:webHidden/>
          </w:rPr>
          <w:fldChar w:fldCharType="begin"/>
        </w:r>
        <w:r w:rsidR="00533AE6">
          <w:rPr>
            <w:webHidden/>
          </w:rPr>
          <w:instrText xml:space="preserve"> PAGEREF _Toc46933239 \h </w:instrText>
        </w:r>
        <w:r w:rsidR="00533AE6">
          <w:rPr>
            <w:webHidden/>
          </w:rPr>
        </w:r>
        <w:r w:rsidR="00533AE6">
          <w:rPr>
            <w:webHidden/>
          </w:rPr>
          <w:fldChar w:fldCharType="separate"/>
        </w:r>
        <w:r w:rsidR="0045750F">
          <w:rPr>
            <w:webHidden/>
          </w:rPr>
          <w:t>111</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40" w:history="1">
        <w:r w:rsidR="00533AE6" w:rsidRPr="00152523">
          <w:rPr>
            <w:rStyle w:val="af2"/>
            <w:rFonts w:asciiTheme="minorEastAsia" w:hAnsiTheme="minorEastAsia" w:hint="eastAsia"/>
            <w:bCs/>
          </w:rPr>
          <w:t>十一、基金的投资</w:t>
        </w:r>
        <w:r w:rsidR="00533AE6">
          <w:rPr>
            <w:webHidden/>
          </w:rPr>
          <w:tab/>
        </w:r>
        <w:r w:rsidR="00533AE6">
          <w:rPr>
            <w:webHidden/>
          </w:rPr>
          <w:fldChar w:fldCharType="begin"/>
        </w:r>
        <w:r w:rsidR="00533AE6">
          <w:rPr>
            <w:webHidden/>
          </w:rPr>
          <w:instrText xml:space="preserve"> PAGEREF _Toc46933240 \h </w:instrText>
        </w:r>
        <w:r w:rsidR="00533AE6">
          <w:rPr>
            <w:webHidden/>
          </w:rPr>
        </w:r>
        <w:r w:rsidR="00533AE6">
          <w:rPr>
            <w:webHidden/>
          </w:rPr>
          <w:fldChar w:fldCharType="separate"/>
        </w:r>
        <w:r w:rsidR="0045750F">
          <w:rPr>
            <w:webHidden/>
          </w:rPr>
          <w:t>112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1" w:history="1">
        <w:r w:rsidR="00533AE6" w:rsidRPr="00152523">
          <w:rPr>
            <w:rStyle w:val="af2"/>
            <w:rFonts w:asciiTheme="minorEastAsia" w:hAnsiTheme="minorEastAsia" w:hint="eastAsia"/>
          </w:rPr>
          <w:t>（一）投资目标</w:t>
        </w:r>
        <w:r w:rsidR="00533AE6">
          <w:rPr>
            <w:webHidden/>
          </w:rPr>
          <w:tab/>
        </w:r>
        <w:r w:rsidR="00533AE6">
          <w:rPr>
            <w:webHidden/>
          </w:rPr>
          <w:fldChar w:fldCharType="begin"/>
        </w:r>
        <w:r w:rsidR="00533AE6">
          <w:rPr>
            <w:webHidden/>
          </w:rPr>
          <w:instrText xml:space="preserve"> PAGEREF _Toc46933241 \h </w:instrText>
        </w:r>
        <w:r w:rsidR="00533AE6">
          <w:rPr>
            <w:webHidden/>
          </w:rPr>
        </w:r>
        <w:r w:rsidR="00533AE6">
          <w:rPr>
            <w:webHidden/>
          </w:rPr>
          <w:fldChar w:fldCharType="separate"/>
        </w:r>
        <w:r w:rsidR="0045750F">
          <w:rPr>
            <w:webHidden/>
          </w:rPr>
          <w:t>112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2" w:history="1">
        <w:r w:rsidR="00533AE6" w:rsidRPr="00152523">
          <w:rPr>
            <w:rStyle w:val="af2"/>
            <w:rFonts w:asciiTheme="minorEastAsia" w:hAnsiTheme="minorEastAsia" w:hint="eastAsia"/>
          </w:rPr>
          <w:t>（二）投资范围</w:t>
        </w:r>
        <w:r w:rsidR="00533AE6">
          <w:rPr>
            <w:webHidden/>
          </w:rPr>
          <w:tab/>
        </w:r>
        <w:r w:rsidR="00533AE6">
          <w:rPr>
            <w:webHidden/>
          </w:rPr>
          <w:fldChar w:fldCharType="begin"/>
        </w:r>
        <w:r w:rsidR="00533AE6">
          <w:rPr>
            <w:webHidden/>
          </w:rPr>
          <w:instrText xml:space="preserve"> PAGEREF _Toc46933242 \h </w:instrText>
        </w:r>
        <w:r w:rsidR="00533AE6">
          <w:rPr>
            <w:webHidden/>
          </w:rPr>
        </w:r>
        <w:r w:rsidR="00533AE6">
          <w:rPr>
            <w:webHidden/>
          </w:rPr>
          <w:fldChar w:fldCharType="separate"/>
        </w:r>
        <w:r w:rsidR="0045750F">
          <w:rPr>
            <w:webHidden/>
          </w:rPr>
          <w:t>112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3" w:history="1">
        <w:r w:rsidR="00533AE6" w:rsidRPr="00152523">
          <w:rPr>
            <w:rStyle w:val="af2"/>
            <w:rFonts w:asciiTheme="minorEastAsia" w:hAnsiTheme="minorEastAsia" w:hint="eastAsia"/>
          </w:rPr>
          <w:t>（三）投资理念</w:t>
        </w:r>
        <w:r w:rsidR="00533AE6">
          <w:rPr>
            <w:webHidden/>
          </w:rPr>
          <w:tab/>
        </w:r>
        <w:r w:rsidR="00533AE6">
          <w:rPr>
            <w:webHidden/>
          </w:rPr>
          <w:fldChar w:fldCharType="begin"/>
        </w:r>
        <w:r w:rsidR="00533AE6">
          <w:rPr>
            <w:webHidden/>
          </w:rPr>
          <w:instrText xml:space="preserve"> PAGEREF _Toc46933243 \h </w:instrText>
        </w:r>
        <w:r w:rsidR="00533AE6">
          <w:rPr>
            <w:webHidden/>
          </w:rPr>
        </w:r>
        <w:r w:rsidR="00533AE6">
          <w:rPr>
            <w:webHidden/>
          </w:rPr>
          <w:fldChar w:fldCharType="separate"/>
        </w:r>
        <w:r w:rsidR="0045750F">
          <w:rPr>
            <w:webHidden/>
          </w:rPr>
          <w:t>112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4" w:history="1">
        <w:r w:rsidR="00533AE6" w:rsidRPr="00152523">
          <w:rPr>
            <w:rStyle w:val="af2"/>
            <w:rFonts w:asciiTheme="minorEastAsia" w:hAnsiTheme="minorEastAsia" w:hint="eastAsia"/>
          </w:rPr>
          <w:t>（四）投资策略</w:t>
        </w:r>
        <w:r w:rsidR="00533AE6">
          <w:rPr>
            <w:webHidden/>
          </w:rPr>
          <w:tab/>
        </w:r>
        <w:r w:rsidR="00533AE6">
          <w:rPr>
            <w:webHidden/>
          </w:rPr>
          <w:fldChar w:fldCharType="begin"/>
        </w:r>
        <w:r w:rsidR="00533AE6">
          <w:rPr>
            <w:webHidden/>
          </w:rPr>
          <w:instrText xml:space="preserve"> PAGEREF _Toc46933244 \h </w:instrText>
        </w:r>
        <w:r w:rsidR="00533AE6">
          <w:rPr>
            <w:webHidden/>
          </w:rPr>
        </w:r>
        <w:r w:rsidR="00533AE6">
          <w:rPr>
            <w:webHidden/>
          </w:rPr>
          <w:fldChar w:fldCharType="separate"/>
        </w:r>
        <w:r w:rsidR="0045750F">
          <w:rPr>
            <w:webHidden/>
          </w:rPr>
          <w:t>112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5" w:history="1">
        <w:r w:rsidR="00533AE6" w:rsidRPr="00152523">
          <w:rPr>
            <w:rStyle w:val="af2"/>
            <w:rFonts w:asciiTheme="minorEastAsia" w:hAnsiTheme="minorEastAsia" w:hint="eastAsia"/>
          </w:rPr>
          <w:t>（五）业绩比较基准</w:t>
        </w:r>
        <w:r w:rsidR="00533AE6">
          <w:rPr>
            <w:webHidden/>
          </w:rPr>
          <w:tab/>
        </w:r>
        <w:r w:rsidR="00533AE6">
          <w:rPr>
            <w:webHidden/>
          </w:rPr>
          <w:fldChar w:fldCharType="begin"/>
        </w:r>
        <w:r w:rsidR="00533AE6">
          <w:rPr>
            <w:webHidden/>
          </w:rPr>
          <w:instrText xml:space="preserve"> PAGEREF _Toc46933245 \h </w:instrText>
        </w:r>
        <w:r w:rsidR="00533AE6">
          <w:rPr>
            <w:webHidden/>
          </w:rPr>
        </w:r>
        <w:r w:rsidR="00533AE6">
          <w:rPr>
            <w:webHidden/>
          </w:rPr>
          <w:fldChar w:fldCharType="separate"/>
        </w:r>
        <w:r w:rsidR="0045750F">
          <w:rPr>
            <w:webHidden/>
          </w:rPr>
          <w:t>116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6" w:history="1">
        <w:r w:rsidR="00533AE6" w:rsidRPr="00152523">
          <w:rPr>
            <w:rStyle w:val="af2"/>
            <w:rFonts w:asciiTheme="minorEastAsia" w:hAnsiTheme="minorEastAsia" w:hint="eastAsia"/>
          </w:rPr>
          <w:t>（六）风险收益特征</w:t>
        </w:r>
        <w:r w:rsidR="00533AE6">
          <w:rPr>
            <w:webHidden/>
          </w:rPr>
          <w:tab/>
        </w:r>
        <w:r w:rsidR="00533AE6">
          <w:rPr>
            <w:webHidden/>
          </w:rPr>
          <w:fldChar w:fldCharType="begin"/>
        </w:r>
        <w:r w:rsidR="00533AE6">
          <w:rPr>
            <w:webHidden/>
          </w:rPr>
          <w:instrText xml:space="preserve"> PAGEREF _Toc46933246 \h </w:instrText>
        </w:r>
        <w:r w:rsidR="00533AE6">
          <w:rPr>
            <w:webHidden/>
          </w:rPr>
        </w:r>
        <w:r w:rsidR="00533AE6">
          <w:rPr>
            <w:webHidden/>
          </w:rPr>
          <w:fldChar w:fldCharType="separate"/>
        </w:r>
        <w:r w:rsidR="0045750F">
          <w:rPr>
            <w:webHidden/>
          </w:rPr>
          <w:t>116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7" w:history="1">
        <w:r w:rsidR="00533AE6" w:rsidRPr="00152523">
          <w:rPr>
            <w:rStyle w:val="af2"/>
            <w:rFonts w:asciiTheme="minorEastAsia" w:hAnsiTheme="minorEastAsia" w:hint="eastAsia"/>
          </w:rPr>
          <w:t>（七）投资决策依据</w:t>
        </w:r>
        <w:r w:rsidR="00533AE6">
          <w:rPr>
            <w:webHidden/>
          </w:rPr>
          <w:tab/>
        </w:r>
        <w:r w:rsidR="00533AE6">
          <w:rPr>
            <w:webHidden/>
          </w:rPr>
          <w:fldChar w:fldCharType="begin"/>
        </w:r>
        <w:r w:rsidR="00533AE6">
          <w:rPr>
            <w:webHidden/>
          </w:rPr>
          <w:instrText xml:space="preserve"> PAGEREF _Toc46933247 \h </w:instrText>
        </w:r>
        <w:r w:rsidR="00533AE6">
          <w:rPr>
            <w:webHidden/>
          </w:rPr>
        </w:r>
        <w:r w:rsidR="00533AE6">
          <w:rPr>
            <w:webHidden/>
          </w:rPr>
          <w:fldChar w:fldCharType="separate"/>
        </w:r>
        <w:r w:rsidR="0045750F">
          <w:rPr>
            <w:webHidden/>
          </w:rPr>
          <w:t>116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8" w:history="1">
        <w:r w:rsidR="00533AE6" w:rsidRPr="00152523">
          <w:rPr>
            <w:rStyle w:val="af2"/>
            <w:rFonts w:asciiTheme="minorEastAsia" w:hAnsiTheme="minorEastAsia" w:hint="eastAsia"/>
          </w:rPr>
          <w:t>（八）投资决策流程</w:t>
        </w:r>
        <w:r w:rsidR="00533AE6">
          <w:rPr>
            <w:webHidden/>
          </w:rPr>
          <w:tab/>
        </w:r>
        <w:r w:rsidR="00533AE6">
          <w:rPr>
            <w:webHidden/>
          </w:rPr>
          <w:fldChar w:fldCharType="begin"/>
        </w:r>
        <w:r w:rsidR="00533AE6">
          <w:rPr>
            <w:webHidden/>
          </w:rPr>
          <w:instrText xml:space="preserve"> PAGEREF _Toc46933248 \h </w:instrText>
        </w:r>
        <w:r w:rsidR="00533AE6">
          <w:rPr>
            <w:webHidden/>
          </w:rPr>
        </w:r>
        <w:r w:rsidR="00533AE6">
          <w:rPr>
            <w:webHidden/>
          </w:rPr>
          <w:fldChar w:fldCharType="separate"/>
        </w:r>
        <w:r w:rsidR="0045750F">
          <w:rPr>
            <w:webHidden/>
          </w:rPr>
          <w:t>116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49" w:history="1">
        <w:r w:rsidR="00533AE6" w:rsidRPr="00152523">
          <w:rPr>
            <w:rStyle w:val="af2"/>
            <w:rFonts w:asciiTheme="minorEastAsia" w:hAnsiTheme="minorEastAsia" w:hint="eastAsia"/>
          </w:rPr>
          <w:t>（九）投资禁止行为与限制</w:t>
        </w:r>
        <w:r w:rsidR="00533AE6">
          <w:rPr>
            <w:webHidden/>
          </w:rPr>
          <w:tab/>
        </w:r>
        <w:r w:rsidR="00533AE6">
          <w:rPr>
            <w:webHidden/>
          </w:rPr>
          <w:fldChar w:fldCharType="begin"/>
        </w:r>
        <w:r w:rsidR="00533AE6">
          <w:rPr>
            <w:webHidden/>
          </w:rPr>
          <w:instrText xml:space="preserve"> PAGEREF _Toc46933249 \h </w:instrText>
        </w:r>
        <w:r w:rsidR="00533AE6">
          <w:rPr>
            <w:webHidden/>
          </w:rPr>
        </w:r>
        <w:r w:rsidR="00533AE6">
          <w:rPr>
            <w:webHidden/>
          </w:rPr>
          <w:fldChar w:fldCharType="separate"/>
        </w:r>
        <w:r w:rsidR="0045750F">
          <w:rPr>
            <w:webHidden/>
          </w:rPr>
          <w:t>117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0" w:history="1">
        <w:r w:rsidR="00533AE6" w:rsidRPr="00152523">
          <w:rPr>
            <w:rStyle w:val="af2"/>
            <w:rFonts w:asciiTheme="minorEastAsia" w:hAnsiTheme="minorEastAsia" w:hint="eastAsia"/>
          </w:rPr>
          <w:t>（十）投资组合比例调整</w:t>
        </w:r>
        <w:r w:rsidR="00533AE6">
          <w:rPr>
            <w:webHidden/>
          </w:rPr>
          <w:tab/>
        </w:r>
        <w:r w:rsidR="00533AE6">
          <w:rPr>
            <w:webHidden/>
          </w:rPr>
          <w:fldChar w:fldCharType="begin"/>
        </w:r>
        <w:r w:rsidR="00533AE6">
          <w:rPr>
            <w:webHidden/>
          </w:rPr>
          <w:instrText xml:space="preserve"> PAGEREF _Toc46933250 \h </w:instrText>
        </w:r>
        <w:r w:rsidR="00533AE6">
          <w:rPr>
            <w:webHidden/>
          </w:rPr>
        </w:r>
        <w:r w:rsidR="00533AE6">
          <w:rPr>
            <w:webHidden/>
          </w:rPr>
          <w:fldChar w:fldCharType="separate"/>
        </w:r>
        <w:r w:rsidR="0045750F">
          <w:rPr>
            <w:webHidden/>
          </w:rPr>
          <w:t>118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1" w:history="1">
        <w:r w:rsidR="00533AE6" w:rsidRPr="00152523">
          <w:rPr>
            <w:rStyle w:val="af2"/>
            <w:rFonts w:asciiTheme="minorEastAsia" w:hAnsiTheme="minorEastAsia" w:hint="eastAsia"/>
          </w:rPr>
          <w:t>（十一）基金管理人代表基金行使股东权利的处理原则及方法</w:t>
        </w:r>
        <w:r w:rsidR="00533AE6">
          <w:rPr>
            <w:webHidden/>
          </w:rPr>
          <w:tab/>
        </w:r>
        <w:r w:rsidR="00533AE6">
          <w:rPr>
            <w:webHidden/>
          </w:rPr>
          <w:fldChar w:fldCharType="begin"/>
        </w:r>
        <w:r w:rsidR="00533AE6">
          <w:rPr>
            <w:webHidden/>
          </w:rPr>
          <w:instrText xml:space="preserve"> PAGEREF _Toc46933251 \h </w:instrText>
        </w:r>
        <w:r w:rsidR="00533AE6">
          <w:rPr>
            <w:webHidden/>
          </w:rPr>
        </w:r>
        <w:r w:rsidR="00533AE6">
          <w:rPr>
            <w:webHidden/>
          </w:rPr>
          <w:fldChar w:fldCharType="separate"/>
        </w:r>
        <w:r w:rsidR="0045750F">
          <w:rPr>
            <w:webHidden/>
          </w:rPr>
          <w:t>118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2" w:history="1">
        <w:r w:rsidR="00533AE6" w:rsidRPr="00152523">
          <w:rPr>
            <w:rStyle w:val="af2"/>
            <w:rFonts w:asciiTheme="minorEastAsia" w:hAnsiTheme="minorEastAsia" w:hint="eastAsia"/>
          </w:rPr>
          <w:t>（十二）基金的融资、融券</w:t>
        </w:r>
        <w:r w:rsidR="00533AE6">
          <w:rPr>
            <w:webHidden/>
          </w:rPr>
          <w:tab/>
        </w:r>
        <w:r w:rsidR="00533AE6">
          <w:rPr>
            <w:webHidden/>
          </w:rPr>
          <w:fldChar w:fldCharType="begin"/>
        </w:r>
        <w:r w:rsidR="00533AE6">
          <w:rPr>
            <w:webHidden/>
          </w:rPr>
          <w:instrText xml:space="preserve"> PAGEREF _Toc46933252 \h </w:instrText>
        </w:r>
        <w:r w:rsidR="00533AE6">
          <w:rPr>
            <w:webHidden/>
          </w:rPr>
        </w:r>
        <w:r w:rsidR="00533AE6">
          <w:rPr>
            <w:webHidden/>
          </w:rPr>
          <w:fldChar w:fldCharType="separate"/>
        </w:r>
        <w:r w:rsidR="0045750F">
          <w:rPr>
            <w:webHidden/>
          </w:rPr>
          <w:t>119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3" w:history="1">
        <w:r w:rsidR="00533AE6" w:rsidRPr="00152523">
          <w:rPr>
            <w:rStyle w:val="af2"/>
            <w:rFonts w:asciiTheme="minorEastAsia" w:hAnsiTheme="minorEastAsia" w:hint="eastAsia"/>
          </w:rPr>
          <w:t>（十三）基金投资组合报告（未经审计）</w:t>
        </w:r>
        <w:r w:rsidR="00533AE6">
          <w:rPr>
            <w:webHidden/>
          </w:rPr>
          <w:tab/>
        </w:r>
        <w:r w:rsidR="00533AE6">
          <w:rPr>
            <w:webHidden/>
          </w:rPr>
          <w:fldChar w:fldCharType="begin"/>
        </w:r>
        <w:r w:rsidR="00533AE6">
          <w:rPr>
            <w:webHidden/>
          </w:rPr>
          <w:instrText xml:space="preserve"> PAGEREF _Toc46933253 \h </w:instrText>
        </w:r>
        <w:r w:rsidR="00533AE6">
          <w:rPr>
            <w:webHidden/>
          </w:rPr>
        </w:r>
        <w:r w:rsidR="00533AE6">
          <w:rPr>
            <w:webHidden/>
          </w:rPr>
          <w:fldChar w:fldCharType="separate"/>
        </w:r>
        <w:r w:rsidR="0045750F">
          <w:rPr>
            <w:webHidden/>
          </w:rPr>
          <w:t>119</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54" w:history="1">
        <w:r w:rsidR="00533AE6" w:rsidRPr="00152523">
          <w:rPr>
            <w:rStyle w:val="af2"/>
            <w:rFonts w:asciiTheme="minorEastAsia" w:hAnsiTheme="minorEastAsia" w:hint="eastAsia"/>
            <w:bCs/>
          </w:rPr>
          <w:t>十二、基金的业绩</w:t>
        </w:r>
        <w:r w:rsidR="00533AE6">
          <w:rPr>
            <w:webHidden/>
          </w:rPr>
          <w:tab/>
        </w:r>
        <w:r w:rsidR="00533AE6">
          <w:rPr>
            <w:webHidden/>
          </w:rPr>
          <w:fldChar w:fldCharType="begin"/>
        </w:r>
        <w:r w:rsidR="00533AE6">
          <w:rPr>
            <w:webHidden/>
          </w:rPr>
          <w:instrText xml:space="preserve"> PAGEREF _Toc46933254 \h </w:instrText>
        </w:r>
        <w:r w:rsidR="00533AE6">
          <w:rPr>
            <w:webHidden/>
          </w:rPr>
        </w:r>
        <w:r w:rsidR="00533AE6">
          <w:rPr>
            <w:webHidden/>
          </w:rPr>
          <w:fldChar w:fldCharType="separate"/>
        </w:r>
        <w:r w:rsidR="0045750F">
          <w:rPr>
            <w:webHidden/>
          </w:rPr>
          <w:t>124</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55" w:history="1">
        <w:r w:rsidR="00533AE6" w:rsidRPr="00152523">
          <w:rPr>
            <w:rStyle w:val="af2"/>
            <w:rFonts w:asciiTheme="minorEastAsia" w:hAnsiTheme="minorEastAsia" w:hint="eastAsia"/>
            <w:bCs/>
          </w:rPr>
          <w:t>十三、基金的财产</w:t>
        </w:r>
        <w:r w:rsidR="00533AE6">
          <w:rPr>
            <w:webHidden/>
          </w:rPr>
          <w:tab/>
        </w:r>
        <w:r w:rsidR="00533AE6">
          <w:rPr>
            <w:webHidden/>
          </w:rPr>
          <w:fldChar w:fldCharType="begin"/>
        </w:r>
        <w:r w:rsidR="00533AE6">
          <w:rPr>
            <w:webHidden/>
          </w:rPr>
          <w:instrText xml:space="preserve"> PAGEREF _Toc46933255 \h </w:instrText>
        </w:r>
        <w:r w:rsidR="00533AE6">
          <w:rPr>
            <w:webHidden/>
          </w:rPr>
        </w:r>
        <w:r w:rsidR="00533AE6">
          <w:rPr>
            <w:webHidden/>
          </w:rPr>
          <w:fldChar w:fldCharType="separate"/>
        </w:r>
        <w:r w:rsidR="0045750F">
          <w:rPr>
            <w:webHidden/>
          </w:rPr>
          <w:t>125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6" w:history="1">
        <w:r w:rsidR="00533AE6" w:rsidRPr="00152523">
          <w:rPr>
            <w:rStyle w:val="af2"/>
            <w:rFonts w:asciiTheme="minorEastAsia" w:hAnsiTheme="minorEastAsia" w:hint="eastAsia"/>
          </w:rPr>
          <w:t>（一）基金资产总值</w:t>
        </w:r>
        <w:r w:rsidR="00533AE6">
          <w:rPr>
            <w:webHidden/>
          </w:rPr>
          <w:tab/>
        </w:r>
        <w:r w:rsidR="00533AE6">
          <w:rPr>
            <w:webHidden/>
          </w:rPr>
          <w:fldChar w:fldCharType="begin"/>
        </w:r>
        <w:r w:rsidR="00533AE6">
          <w:rPr>
            <w:webHidden/>
          </w:rPr>
          <w:instrText xml:space="preserve"> PAGEREF _Toc46933256 \h </w:instrText>
        </w:r>
        <w:r w:rsidR="00533AE6">
          <w:rPr>
            <w:webHidden/>
          </w:rPr>
        </w:r>
        <w:r w:rsidR="00533AE6">
          <w:rPr>
            <w:webHidden/>
          </w:rPr>
          <w:fldChar w:fldCharType="separate"/>
        </w:r>
        <w:r w:rsidR="0045750F">
          <w:rPr>
            <w:webHidden/>
          </w:rPr>
          <w:t>125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7" w:history="1">
        <w:r w:rsidR="00533AE6" w:rsidRPr="00152523">
          <w:rPr>
            <w:rStyle w:val="af2"/>
            <w:rFonts w:asciiTheme="minorEastAsia" w:hAnsiTheme="minorEastAsia" w:hint="eastAsia"/>
          </w:rPr>
          <w:t>（二）基金资产净值</w:t>
        </w:r>
        <w:r w:rsidR="00533AE6">
          <w:rPr>
            <w:webHidden/>
          </w:rPr>
          <w:tab/>
        </w:r>
        <w:r w:rsidR="00533AE6">
          <w:rPr>
            <w:webHidden/>
          </w:rPr>
          <w:fldChar w:fldCharType="begin"/>
        </w:r>
        <w:r w:rsidR="00533AE6">
          <w:rPr>
            <w:webHidden/>
          </w:rPr>
          <w:instrText xml:space="preserve"> PAGEREF _Toc46933257 \h </w:instrText>
        </w:r>
        <w:r w:rsidR="00533AE6">
          <w:rPr>
            <w:webHidden/>
          </w:rPr>
        </w:r>
        <w:r w:rsidR="00533AE6">
          <w:rPr>
            <w:webHidden/>
          </w:rPr>
          <w:fldChar w:fldCharType="separate"/>
        </w:r>
        <w:r w:rsidR="0045750F">
          <w:rPr>
            <w:webHidden/>
          </w:rPr>
          <w:t>125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8" w:history="1">
        <w:r w:rsidR="00533AE6" w:rsidRPr="00152523">
          <w:rPr>
            <w:rStyle w:val="af2"/>
            <w:rFonts w:asciiTheme="minorEastAsia" w:hAnsiTheme="minorEastAsia" w:hint="eastAsia"/>
          </w:rPr>
          <w:t>（三）基金财产的账户</w:t>
        </w:r>
        <w:r w:rsidR="00533AE6">
          <w:rPr>
            <w:webHidden/>
          </w:rPr>
          <w:tab/>
        </w:r>
        <w:r w:rsidR="00533AE6">
          <w:rPr>
            <w:webHidden/>
          </w:rPr>
          <w:fldChar w:fldCharType="begin"/>
        </w:r>
        <w:r w:rsidR="00533AE6">
          <w:rPr>
            <w:webHidden/>
          </w:rPr>
          <w:instrText xml:space="preserve"> PAGEREF _Toc46933258 \h </w:instrText>
        </w:r>
        <w:r w:rsidR="00533AE6">
          <w:rPr>
            <w:webHidden/>
          </w:rPr>
        </w:r>
        <w:r w:rsidR="00533AE6">
          <w:rPr>
            <w:webHidden/>
          </w:rPr>
          <w:fldChar w:fldCharType="separate"/>
        </w:r>
        <w:r w:rsidR="0045750F">
          <w:rPr>
            <w:webHidden/>
          </w:rPr>
          <w:t>125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59" w:history="1">
        <w:r w:rsidR="00533AE6" w:rsidRPr="00152523">
          <w:rPr>
            <w:rStyle w:val="af2"/>
            <w:rFonts w:asciiTheme="minorEastAsia" w:hAnsiTheme="minorEastAsia" w:hint="eastAsia"/>
          </w:rPr>
          <w:t>（四）基金财产的保管及处分</w:t>
        </w:r>
        <w:r w:rsidR="00533AE6">
          <w:rPr>
            <w:webHidden/>
          </w:rPr>
          <w:tab/>
        </w:r>
        <w:r w:rsidR="00533AE6">
          <w:rPr>
            <w:webHidden/>
          </w:rPr>
          <w:fldChar w:fldCharType="begin"/>
        </w:r>
        <w:r w:rsidR="00533AE6">
          <w:rPr>
            <w:webHidden/>
          </w:rPr>
          <w:instrText xml:space="preserve"> PAGEREF _Toc46933259 \h </w:instrText>
        </w:r>
        <w:r w:rsidR="00533AE6">
          <w:rPr>
            <w:webHidden/>
          </w:rPr>
        </w:r>
        <w:r w:rsidR="00533AE6">
          <w:rPr>
            <w:webHidden/>
          </w:rPr>
          <w:fldChar w:fldCharType="separate"/>
        </w:r>
        <w:r w:rsidR="0045750F">
          <w:rPr>
            <w:webHidden/>
          </w:rPr>
          <w:t>125</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60" w:history="1">
        <w:r w:rsidR="00533AE6" w:rsidRPr="00152523">
          <w:rPr>
            <w:rStyle w:val="af2"/>
            <w:rFonts w:asciiTheme="minorEastAsia" w:hAnsiTheme="minorEastAsia" w:hint="eastAsia"/>
            <w:bCs/>
          </w:rPr>
          <w:t>十四、基金资产估值</w:t>
        </w:r>
        <w:r w:rsidR="00533AE6">
          <w:rPr>
            <w:webHidden/>
          </w:rPr>
          <w:tab/>
        </w:r>
        <w:r w:rsidR="00533AE6">
          <w:rPr>
            <w:webHidden/>
          </w:rPr>
          <w:fldChar w:fldCharType="begin"/>
        </w:r>
        <w:r w:rsidR="00533AE6">
          <w:rPr>
            <w:webHidden/>
          </w:rPr>
          <w:instrText xml:space="preserve"> PAGEREF _Toc46933260 \h </w:instrText>
        </w:r>
        <w:r w:rsidR="00533AE6">
          <w:rPr>
            <w:webHidden/>
          </w:rPr>
        </w:r>
        <w:r w:rsidR="00533AE6">
          <w:rPr>
            <w:webHidden/>
          </w:rPr>
          <w:fldChar w:fldCharType="separate"/>
        </w:r>
        <w:r w:rsidR="0045750F">
          <w:rPr>
            <w:webHidden/>
          </w:rPr>
          <w:t>126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1" w:history="1">
        <w:r w:rsidR="00533AE6" w:rsidRPr="00152523">
          <w:rPr>
            <w:rStyle w:val="af2"/>
            <w:rFonts w:asciiTheme="minorEastAsia" w:hAnsiTheme="minorEastAsia" w:hint="eastAsia"/>
          </w:rPr>
          <w:t>（一）估值目的</w:t>
        </w:r>
        <w:r w:rsidR="00533AE6">
          <w:rPr>
            <w:webHidden/>
          </w:rPr>
          <w:tab/>
        </w:r>
        <w:r w:rsidR="00533AE6">
          <w:rPr>
            <w:webHidden/>
          </w:rPr>
          <w:fldChar w:fldCharType="begin"/>
        </w:r>
        <w:r w:rsidR="00533AE6">
          <w:rPr>
            <w:webHidden/>
          </w:rPr>
          <w:instrText xml:space="preserve"> PAGEREF _Toc46933261 \h </w:instrText>
        </w:r>
        <w:r w:rsidR="00533AE6">
          <w:rPr>
            <w:webHidden/>
          </w:rPr>
        </w:r>
        <w:r w:rsidR="00533AE6">
          <w:rPr>
            <w:webHidden/>
          </w:rPr>
          <w:fldChar w:fldCharType="separate"/>
        </w:r>
        <w:r w:rsidR="0045750F">
          <w:rPr>
            <w:webHidden/>
          </w:rPr>
          <w:t>126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2" w:history="1">
        <w:r w:rsidR="00533AE6" w:rsidRPr="00152523">
          <w:rPr>
            <w:rStyle w:val="af2"/>
            <w:rFonts w:asciiTheme="minorEastAsia" w:hAnsiTheme="minorEastAsia" w:hint="eastAsia"/>
          </w:rPr>
          <w:t>（二）估值日</w:t>
        </w:r>
        <w:r w:rsidR="00533AE6">
          <w:rPr>
            <w:webHidden/>
          </w:rPr>
          <w:tab/>
        </w:r>
        <w:r w:rsidR="00533AE6">
          <w:rPr>
            <w:webHidden/>
          </w:rPr>
          <w:fldChar w:fldCharType="begin"/>
        </w:r>
        <w:r w:rsidR="00533AE6">
          <w:rPr>
            <w:webHidden/>
          </w:rPr>
          <w:instrText xml:space="preserve"> PAGEREF _Toc46933262 \h </w:instrText>
        </w:r>
        <w:r w:rsidR="00533AE6">
          <w:rPr>
            <w:webHidden/>
          </w:rPr>
        </w:r>
        <w:r w:rsidR="00533AE6">
          <w:rPr>
            <w:webHidden/>
          </w:rPr>
          <w:fldChar w:fldCharType="separate"/>
        </w:r>
        <w:r w:rsidR="0045750F">
          <w:rPr>
            <w:webHidden/>
          </w:rPr>
          <w:t>126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3" w:history="1">
        <w:r w:rsidR="00533AE6" w:rsidRPr="00152523">
          <w:rPr>
            <w:rStyle w:val="af2"/>
            <w:rFonts w:asciiTheme="minorEastAsia" w:hAnsiTheme="minorEastAsia" w:hint="eastAsia"/>
          </w:rPr>
          <w:t>（三）估值对象</w:t>
        </w:r>
        <w:r w:rsidR="00533AE6">
          <w:rPr>
            <w:webHidden/>
          </w:rPr>
          <w:tab/>
        </w:r>
        <w:r w:rsidR="00533AE6">
          <w:rPr>
            <w:webHidden/>
          </w:rPr>
          <w:fldChar w:fldCharType="begin"/>
        </w:r>
        <w:r w:rsidR="00533AE6">
          <w:rPr>
            <w:webHidden/>
          </w:rPr>
          <w:instrText xml:space="preserve"> PAGEREF _Toc46933263 \h </w:instrText>
        </w:r>
        <w:r w:rsidR="00533AE6">
          <w:rPr>
            <w:webHidden/>
          </w:rPr>
        </w:r>
        <w:r w:rsidR="00533AE6">
          <w:rPr>
            <w:webHidden/>
          </w:rPr>
          <w:fldChar w:fldCharType="separate"/>
        </w:r>
        <w:r w:rsidR="0045750F">
          <w:rPr>
            <w:webHidden/>
          </w:rPr>
          <w:t>126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4" w:history="1">
        <w:r w:rsidR="00533AE6" w:rsidRPr="00152523">
          <w:rPr>
            <w:rStyle w:val="af2"/>
            <w:rFonts w:asciiTheme="minorEastAsia" w:hAnsiTheme="minorEastAsia" w:hint="eastAsia"/>
          </w:rPr>
          <w:t>（四）估值方法</w:t>
        </w:r>
        <w:r w:rsidR="00533AE6">
          <w:rPr>
            <w:webHidden/>
          </w:rPr>
          <w:tab/>
        </w:r>
        <w:r w:rsidR="00533AE6">
          <w:rPr>
            <w:webHidden/>
          </w:rPr>
          <w:fldChar w:fldCharType="begin"/>
        </w:r>
        <w:r w:rsidR="00533AE6">
          <w:rPr>
            <w:webHidden/>
          </w:rPr>
          <w:instrText xml:space="preserve"> PAGEREF _Toc46933264 \h </w:instrText>
        </w:r>
        <w:r w:rsidR="00533AE6">
          <w:rPr>
            <w:webHidden/>
          </w:rPr>
        </w:r>
        <w:r w:rsidR="00533AE6">
          <w:rPr>
            <w:webHidden/>
          </w:rPr>
          <w:fldChar w:fldCharType="separate"/>
        </w:r>
        <w:r w:rsidR="0045750F">
          <w:rPr>
            <w:webHidden/>
          </w:rPr>
          <w:t>126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5" w:history="1">
        <w:r w:rsidR="00533AE6" w:rsidRPr="00152523">
          <w:rPr>
            <w:rStyle w:val="af2"/>
            <w:rFonts w:asciiTheme="minorEastAsia" w:hAnsiTheme="minorEastAsia" w:hint="eastAsia"/>
          </w:rPr>
          <w:t>（五）估值程序</w:t>
        </w:r>
        <w:r w:rsidR="00533AE6">
          <w:rPr>
            <w:webHidden/>
          </w:rPr>
          <w:tab/>
        </w:r>
        <w:r w:rsidR="00533AE6">
          <w:rPr>
            <w:webHidden/>
          </w:rPr>
          <w:fldChar w:fldCharType="begin"/>
        </w:r>
        <w:r w:rsidR="00533AE6">
          <w:rPr>
            <w:webHidden/>
          </w:rPr>
          <w:instrText xml:space="preserve"> PAGEREF _Toc46933265 \h </w:instrText>
        </w:r>
        <w:r w:rsidR="00533AE6">
          <w:rPr>
            <w:webHidden/>
          </w:rPr>
        </w:r>
        <w:r w:rsidR="00533AE6">
          <w:rPr>
            <w:webHidden/>
          </w:rPr>
          <w:fldChar w:fldCharType="separate"/>
        </w:r>
        <w:r w:rsidR="0045750F">
          <w:rPr>
            <w:webHidden/>
          </w:rPr>
          <w:t>127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6" w:history="1">
        <w:r w:rsidR="00533AE6" w:rsidRPr="00152523">
          <w:rPr>
            <w:rStyle w:val="af2"/>
            <w:rFonts w:asciiTheme="minorEastAsia" w:hAnsiTheme="minorEastAsia" w:hint="eastAsia"/>
          </w:rPr>
          <w:t>（六）暂停估值的情形</w:t>
        </w:r>
        <w:r w:rsidR="00533AE6">
          <w:rPr>
            <w:webHidden/>
          </w:rPr>
          <w:tab/>
        </w:r>
        <w:r w:rsidR="00533AE6">
          <w:rPr>
            <w:webHidden/>
          </w:rPr>
          <w:fldChar w:fldCharType="begin"/>
        </w:r>
        <w:r w:rsidR="00533AE6">
          <w:rPr>
            <w:webHidden/>
          </w:rPr>
          <w:instrText xml:space="preserve"> PAGEREF _Toc46933266 \h </w:instrText>
        </w:r>
        <w:r w:rsidR="00533AE6">
          <w:rPr>
            <w:webHidden/>
          </w:rPr>
        </w:r>
        <w:r w:rsidR="00533AE6">
          <w:rPr>
            <w:webHidden/>
          </w:rPr>
          <w:fldChar w:fldCharType="separate"/>
        </w:r>
        <w:r w:rsidR="0045750F">
          <w:rPr>
            <w:webHidden/>
          </w:rPr>
          <w:t>127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7" w:history="1">
        <w:r w:rsidR="00533AE6" w:rsidRPr="00152523">
          <w:rPr>
            <w:rStyle w:val="af2"/>
            <w:rFonts w:asciiTheme="minorEastAsia" w:hAnsiTheme="minorEastAsia" w:hint="eastAsia"/>
          </w:rPr>
          <w:t>（七）基金份额净值的确认</w:t>
        </w:r>
        <w:r w:rsidR="00533AE6">
          <w:rPr>
            <w:webHidden/>
          </w:rPr>
          <w:tab/>
        </w:r>
        <w:r w:rsidR="00533AE6">
          <w:rPr>
            <w:webHidden/>
          </w:rPr>
          <w:fldChar w:fldCharType="begin"/>
        </w:r>
        <w:r w:rsidR="00533AE6">
          <w:rPr>
            <w:webHidden/>
          </w:rPr>
          <w:instrText xml:space="preserve"> PAGEREF _Toc46933267 \h </w:instrText>
        </w:r>
        <w:r w:rsidR="00533AE6">
          <w:rPr>
            <w:webHidden/>
          </w:rPr>
        </w:r>
        <w:r w:rsidR="00533AE6">
          <w:rPr>
            <w:webHidden/>
          </w:rPr>
          <w:fldChar w:fldCharType="separate"/>
        </w:r>
        <w:r w:rsidR="0045750F">
          <w:rPr>
            <w:webHidden/>
          </w:rPr>
          <w:t>128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8" w:history="1">
        <w:r w:rsidR="00533AE6" w:rsidRPr="00152523">
          <w:rPr>
            <w:rStyle w:val="af2"/>
            <w:rFonts w:asciiTheme="minorEastAsia" w:hAnsiTheme="minorEastAsia" w:hint="eastAsia"/>
          </w:rPr>
          <w:t>（八）估值错误的处理</w:t>
        </w:r>
        <w:r w:rsidR="00533AE6">
          <w:rPr>
            <w:webHidden/>
          </w:rPr>
          <w:tab/>
        </w:r>
        <w:r w:rsidR="00533AE6">
          <w:rPr>
            <w:webHidden/>
          </w:rPr>
          <w:fldChar w:fldCharType="begin"/>
        </w:r>
        <w:r w:rsidR="00533AE6">
          <w:rPr>
            <w:webHidden/>
          </w:rPr>
          <w:instrText xml:space="preserve"> PAGEREF _Toc46933268 \h </w:instrText>
        </w:r>
        <w:r w:rsidR="00533AE6">
          <w:rPr>
            <w:webHidden/>
          </w:rPr>
        </w:r>
        <w:r w:rsidR="00533AE6">
          <w:rPr>
            <w:webHidden/>
          </w:rPr>
          <w:fldChar w:fldCharType="separate"/>
        </w:r>
        <w:r w:rsidR="0045750F">
          <w:rPr>
            <w:webHidden/>
          </w:rPr>
          <w:t>128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69" w:history="1">
        <w:r w:rsidR="00533AE6" w:rsidRPr="00152523">
          <w:rPr>
            <w:rStyle w:val="af2"/>
            <w:rFonts w:asciiTheme="minorEastAsia" w:hAnsiTheme="minorEastAsia" w:hint="eastAsia"/>
          </w:rPr>
          <w:t>（九）特殊情形的处理</w:t>
        </w:r>
        <w:r w:rsidR="00533AE6">
          <w:rPr>
            <w:webHidden/>
          </w:rPr>
          <w:tab/>
        </w:r>
        <w:r w:rsidR="00533AE6">
          <w:rPr>
            <w:webHidden/>
          </w:rPr>
          <w:fldChar w:fldCharType="begin"/>
        </w:r>
        <w:r w:rsidR="00533AE6">
          <w:rPr>
            <w:webHidden/>
          </w:rPr>
          <w:instrText xml:space="preserve"> PAGEREF _Toc46933269 \h </w:instrText>
        </w:r>
        <w:r w:rsidR="00533AE6">
          <w:rPr>
            <w:webHidden/>
          </w:rPr>
        </w:r>
        <w:r w:rsidR="00533AE6">
          <w:rPr>
            <w:webHidden/>
          </w:rPr>
          <w:fldChar w:fldCharType="separate"/>
        </w:r>
        <w:r w:rsidR="0045750F">
          <w:rPr>
            <w:webHidden/>
          </w:rPr>
          <w:t>128</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70" w:history="1">
        <w:r w:rsidR="00533AE6" w:rsidRPr="00152523">
          <w:rPr>
            <w:rStyle w:val="af2"/>
            <w:rFonts w:asciiTheme="minorEastAsia" w:hAnsiTheme="minorEastAsia" w:hint="eastAsia"/>
            <w:bCs/>
          </w:rPr>
          <w:t>十五、基金的收益与分配</w:t>
        </w:r>
        <w:r w:rsidR="00533AE6">
          <w:rPr>
            <w:webHidden/>
          </w:rPr>
          <w:tab/>
        </w:r>
        <w:r w:rsidR="00533AE6">
          <w:rPr>
            <w:webHidden/>
          </w:rPr>
          <w:fldChar w:fldCharType="begin"/>
        </w:r>
        <w:r w:rsidR="00533AE6">
          <w:rPr>
            <w:webHidden/>
          </w:rPr>
          <w:instrText xml:space="preserve"> PAGEREF _Toc46933270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1" w:history="1">
        <w:r w:rsidR="00533AE6" w:rsidRPr="00152523">
          <w:rPr>
            <w:rStyle w:val="af2"/>
            <w:rFonts w:asciiTheme="minorEastAsia" w:hAnsiTheme="minorEastAsia" w:hint="eastAsia"/>
          </w:rPr>
          <w:t>（一）基金利润的构成</w:t>
        </w:r>
        <w:r w:rsidR="00533AE6">
          <w:rPr>
            <w:webHidden/>
          </w:rPr>
          <w:tab/>
        </w:r>
        <w:r w:rsidR="00533AE6">
          <w:rPr>
            <w:webHidden/>
          </w:rPr>
          <w:fldChar w:fldCharType="begin"/>
        </w:r>
        <w:r w:rsidR="00533AE6">
          <w:rPr>
            <w:webHidden/>
          </w:rPr>
          <w:instrText xml:space="preserve"> PAGEREF _Toc46933271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2" w:history="1">
        <w:r w:rsidR="00533AE6" w:rsidRPr="00152523">
          <w:rPr>
            <w:rStyle w:val="af2"/>
            <w:rFonts w:asciiTheme="minorEastAsia" w:hAnsiTheme="minorEastAsia" w:hint="eastAsia"/>
          </w:rPr>
          <w:t>（二）基金可供分配利润</w:t>
        </w:r>
        <w:r w:rsidR="00533AE6">
          <w:rPr>
            <w:webHidden/>
          </w:rPr>
          <w:tab/>
        </w:r>
        <w:r w:rsidR="00533AE6">
          <w:rPr>
            <w:webHidden/>
          </w:rPr>
          <w:fldChar w:fldCharType="begin"/>
        </w:r>
        <w:r w:rsidR="00533AE6">
          <w:rPr>
            <w:webHidden/>
          </w:rPr>
          <w:instrText xml:space="preserve"> PAGEREF _Toc46933272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3" w:history="1">
        <w:r w:rsidR="00533AE6" w:rsidRPr="00152523">
          <w:rPr>
            <w:rStyle w:val="af2"/>
            <w:rFonts w:asciiTheme="minorEastAsia" w:hAnsiTheme="minorEastAsia" w:hint="eastAsia"/>
          </w:rPr>
          <w:t>（三）收益分配原则</w:t>
        </w:r>
        <w:r w:rsidR="00533AE6">
          <w:rPr>
            <w:webHidden/>
          </w:rPr>
          <w:tab/>
        </w:r>
        <w:r w:rsidR="00533AE6">
          <w:rPr>
            <w:webHidden/>
          </w:rPr>
          <w:fldChar w:fldCharType="begin"/>
        </w:r>
        <w:r w:rsidR="00533AE6">
          <w:rPr>
            <w:webHidden/>
          </w:rPr>
          <w:instrText xml:space="preserve"> PAGEREF _Toc46933273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4" w:history="1">
        <w:r w:rsidR="00533AE6" w:rsidRPr="00152523">
          <w:rPr>
            <w:rStyle w:val="af2"/>
            <w:rFonts w:asciiTheme="minorEastAsia" w:hAnsiTheme="minorEastAsia" w:hint="eastAsia"/>
          </w:rPr>
          <w:t>（四）收益分配方案</w:t>
        </w:r>
        <w:r w:rsidR="00533AE6">
          <w:rPr>
            <w:webHidden/>
          </w:rPr>
          <w:tab/>
        </w:r>
        <w:r w:rsidR="00533AE6">
          <w:rPr>
            <w:webHidden/>
          </w:rPr>
          <w:fldChar w:fldCharType="begin"/>
        </w:r>
        <w:r w:rsidR="00533AE6">
          <w:rPr>
            <w:webHidden/>
          </w:rPr>
          <w:instrText xml:space="preserve"> PAGEREF _Toc46933274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5" w:history="1">
        <w:r w:rsidR="00533AE6" w:rsidRPr="00152523">
          <w:rPr>
            <w:rStyle w:val="af2"/>
            <w:rFonts w:asciiTheme="minorEastAsia" w:hAnsiTheme="minorEastAsia" w:hint="eastAsia"/>
          </w:rPr>
          <w:t>（五）收益分配方案的确定、公告与实施</w:t>
        </w:r>
        <w:r w:rsidR="00533AE6">
          <w:rPr>
            <w:webHidden/>
          </w:rPr>
          <w:tab/>
        </w:r>
        <w:r w:rsidR="00533AE6">
          <w:rPr>
            <w:webHidden/>
          </w:rPr>
          <w:fldChar w:fldCharType="begin"/>
        </w:r>
        <w:r w:rsidR="00533AE6">
          <w:rPr>
            <w:webHidden/>
          </w:rPr>
          <w:instrText xml:space="preserve"> PAGEREF _Toc46933275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6" w:history="1">
        <w:r w:rsidR="00533AE6" w:rsidRPr="00152523">
          <w:rPr>
            <w:rStyle w:val="af2"/>
            <w:rFonts w:asciiTheme="minorEastAsia" w:hAnsiTheme="minorEastAsia" w:hint="eastAsia"/>
          </w:rPr>
          <w:t>（六）收益分配中发生的费用</w:t>
        </w:r>
        <w:r w:rsidR="00533AE6">
          <w:rPr>
            <w:webHidden/>
          </w:rPr>
          <w:tab/>
        </w:r>
        <w:r w:rsidR="00533AE6">
          <w:rPr>
            <w:webHidden/>
          </w:rPr>
          <w:fldChar w:fldCharType="begin"/>
        </w:r>
        <w:r w:rsidR="00533AE6">
          <w:rPr>
            <w:webHidden/>
          </w:rPr>
          <w:instrText xml:space="preserve"> PAGEREF _Toc46933276 \h </w:instrText>
        </w:r>
        <w:r w:rsidR="00533AE6">
          <w:rPr>
            <w:webHidden/>
          </w:rPr>
        </w:r>
        <w:r w:rsidR="00533AE6">
          <w:rPr>
            <w:webHidden/>
          </w:rPr>
          <w:fldChar w:fldCharType="separate"/>
        </w:r>
        <w:r w:rsidR="0045750F">
          <w:rPr>
            <w:webHidden/>
          </w:rPr>
          <w:t>129</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77" w:history="1">
        <w:r w:rsidR="00533AE6" w:rsidRPr="00152523">
          <w:rPr>
            <w:rStyle w:val="af2"/>
            <w:rFonts w:asciiTheme="minorEastAsia" w:hAnsiTheme="minorEastAsia" w:hint="eastAsia"/>
            <w:bCs/>
          </w:rPr>
          <w:t>十六、基金的费用与税收</w:t>
        </w:r>
        <w:r w:rsidR="00533AE6">
          <w:rPr>
            <w:webHidden/>
          </w:rPr>
          <w:tab/>
        </w:r>
        <w:r w:rsidR="00533AE6">
          <w:rPr>
            <w:webHidden/>
          </w:rPr>
          <w:fldChar w:fldCharType="begin"/>
        </w:r>
        <w:r w:rsidR="00533AE6">
          <w:rPr>
            <w:webHidden/>
          </w:rPr>
          <w:instrText xml:space="preserve"> PAGEREF _Toc46933277 \h </w:instrText>
        </w:r>
        <w:r w:rsidR="00533AE6">
          <w:rPr>
            <w:webHidden/>
          </w:rPr>
        </w:r>
        <w:r w:rsidR="00533AE6">
          <w:rPr>
            <w:webHidden/>
          </w:rPr>
          <w:fldChar w:fldCharType="separate"/>
        </w:r>
        <w:r w:rsidR="0045750F">
          <w:rPr>
            <w:webHidden/>
          </w:rPr>
          <w:t>130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8" w:history="1">
        <w:r w:rsidR="00533AE6" w:rsidRPr="00152523">
          <w:rPr>
            <w:rStyle w:val="af2"/>
            <w:rFonts w:asciiTheme="minorEastAsia" w:hAnsiTheme="minorEastAsia" w:hint="eastAsia"/>
          </w:rPr>
          <w:t>（一）与基金运作相关的费用</w:t>
        </w:r>
        <w:r w:rsidR="00533AE6">
          <w:rPr>
            <w:webHidden/>
          </w:rPr>
          <w:tab/>
        </w:r>
        <w:r w:rsidR="00533AE6">
          <w:rPr>
            <w:webHidden/>
          </w:rPr>
          <w:fldChar w:fldCharType="begin"/>
        </w:r>
        <w:r w:rsidR="00533AE6">
          <w:rPr>
            <w:webHidden/>
          </w:rPr>
          <w:instrText xml:space="preserve"> PAGEREF _Toc46933278 \h </w:instrText>
        </w:r>
        <w:r w:rsidR="00533AE6">
          <w:rPr>
            <w:webHidden/>
          </w:rPr>
        </w:r>
        <w:r w:rsidR="00533AE6">
          <w:rPr>
            <w:webHidden/>
          </w:rPr>
          <w:fldChar w:fldCharType="separate"/>
        </w:r>
        <w:r w:rsidR="0045750F">
          <w:rPr>
            <w:webHidden/>
          </w:rPr>
          <w:t>130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79" w:history="1">
        <w:r w:rsidR="00533AE6" w:rsidRPr="00152523">
          <w:rPr>
            <w:rStyle w:val="af2"/>
            <w:rFonts w:asciiTheme="minorEastAsia" w:hAnsiTheme="minorEastAsia" w:hint="eastAsia"/>
          </w:rPr>
          <w:t>（二）与基金销售有关的费用</w:t>
        </w:r>
        <w:r w:rsidR="00533AE6">
          <w:rPr>
            <w:webHidden/>
          </w:rPr>
          <w:tab/>
        </w:r>
        <w:r w:rsidR="00533AE6">
          <w:rPr>
            <w:webHidden/>
          </w:rPr>
          <w:fldChar w:fldCharType="begin"/>
        </w:r>
        <w:r w:rsidR="00533AE6">
          <w:rPr>
            <w:webHidden/>
          </w:rPr>
          <w:instrText xml:space="preserve"> PAGEREF _Toc46933279 \h </w:instrText>
        </w:r>
        <w:r w:rsidR="00533AE6">
          <w:rPr>
            <w:webHidden/>
          </w:rPr>
        </w:r>
        <w:r w:rsidR="00533AE6">
          <w:rPr>
            <w:webHidden/>
          </w:rPr>
          <w:fldChar w:fldCharType="separate"/>
        </w:r>
        <w:r w:rsidR="0045750F">
          <w:rPr>
            <w:webHidden/>
          </w:rPr>
          <w:t>131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0" w:history="1">
        <w:r w:rsidR="00533AE6" w:rsidRPr="00152523">
          <w:rPr>
            <w:rStyle w:val="af2"/>
            <w:rFonts w:asciiTheme="minorEastAsia" w:hAnsiTheme="minorEastAsia" w:hint="eastAsia"/>
          </w:rPr>
          <w:t>（三）基金税收</w:t>
        </w:r>
        <w:r w:rsidR="00533AE6">
          <w:rPr>
            <w:webHidden/>
          </w:rPr>
          <w:tab/>
        </w:r>
        <w:r w:rsidR="00533AE6">
          <w:rPr>
            <w:webHidden/>
          </w:rPr>
          <w:fldChar w:fldCharType="begin"/>
        </w:r>
        <w:r w:rsidR="00533AE6">
          <w:rPr>
            <w:webHidden/>
          </w:rPr>
          <w:instrText xml:space="preserve"> PAGEREF _Toc46933280 \h </w:instrText>
        </w:r>
        <w:r w:rsidR="00533AE6">
          <w:rPr>
            <w:webHidden/>
          </w:rPr>
        </w:r>
        <w:r w:rsidR="00533AE6">
          <w:rPr>
            <w:webHidden/>
          </w:rPr>
          <w:fldChar w:fldCharType="separate"/>
        </w:r>
        <w:r w:rsidR="0045750F">
          <w:rPr>
            <w:webHidden/>
          </w:rPr>
          <w:t>131</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81" w:history="1">
        <w:r w:rsidR="00533AE6" w:rsidRPr="00152523">
          <w:rPr>
            <w:rStyle w:val="af2"/>
            <w:rFonts w:asciiTheme="minorEastAsia" w:hAnsiTheme="minorEastAsia" w:hint="eastAsia"/>
            <w:bCs/>
          </w:rPr>
          <w:t>十七、基金的会计与审计</w:t>
        </w:r>
        <w:r w:rsidR="00533AE6">
          <w:rPr>
            <w:webHidden/>
          </w:rPr>
          <w:tab/>
        </w:r>
        <w:r w:rsidR="00533AE6">
          <w:rPr>
            <w:webHidden/>
          </w:rPr>
          <w:fldChar w:fldCharType="begin"/>
        </w:r>
        <w:r w:rsidR="00533AE6">
          <w:rPr>
            <w:webHidden/>
          </w:rPr>
          <w:instrText xml:space="preserve"> PAGEREF _Toc46933281 \h </w:instrText>
        </w:r>
        <w:r w:rsidR="00533AE6">
          <w:rPr>
            <w:webHidden/>
          </w:rPr>
        </w:r>
        <w:r w:rsidR="00533AE6">
          <w:rPr>
            <w:webHidden/>
          </w:rPr>
          <w:fldChar w:fldCharType="separate"/>
        </w:r>
        <w:r w:rsidR="0045750F">
          <w:rPr>
            <w:webHidden/>
          </w:rPr>
          <w:t>132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2" w:history="1">
        <w:r w:rsidR="00533AE6" w:rsidRPr="00152523">
          <w:rPr>
            <w:rStyle w:val="af2"/>
            <w:rFonts w:asciiTheme="minorEastAsia" w:hAnsiTheme="minorEastAsia" w:hint="eastAsia"/>
          </w:rPr>
          <w:t>（一）基金会计政策</w:t>
        </w:r>
        <w:r w:rsidR="00533AE6">
          <w:rPr>
            <w:webHidden/>
          </w:rPr>
          <w:tab/>
        </w:r>
        <w:r w:rsidR="00533AE6">
          <w:rPr>
            <w:webHidden/>
          </w:rPr>
          <w:fldChar w:fldCharType="begin"/>
        </w:r>
        <w:r w:rsidR="00533AE6">
          <w:rPr>
            <w:webHidden/>
          </w:rPr>
          <w:instrText xml:space="preserve"> PAGEREF _Toc46933282 \h </w:instrText>
        </w:r>
        <w:r w:rsidR="00533AE6">
          <w:rPr>
            <w:webHidden/>
          </w:rPr>
        </w:r>
        <w:r w:rsidR="00533AE6">
          <w:rPr>
            <w:webHidden/>
          </w:rPr>
          <w:fldChar w:fldCharType="separate"/>
        </w:r>
        <w:r w:rsidR="0045750F">
          <w:rPr>
            <w:webHidden/>
          </w:rPr>
          <w:t>132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3" w:history="1">
        <w:r w:rsidR="00533AE6" w:rsidRPr="00152523">
          <w:rPr>
            <w:rStyle w:val="af2"/>
            <w:rFonts w:asciiTheme="minorEastAsia" w:hAnsiTheme="minorEastAsia" w:hint="eastAsia"/>
          </w:rPr>
          <w:t>（二）基金的审计</w:t>
        </w:r>
        <w:r w:rsidR="00533AE6">
          <w:rPr>
            <w:webHidden/>
          </w:rPr>
          <w:tab/>
        </w:r>
        <w:r w:rsidR="00533AE6">
          <w:rPr>
            <w:webHidden/>
          </w:rPr>
          <w:fldChar w:fldCharType="begin"/>
        </w:r>
        <w:r w:rsidR="00533AE6">
          <w:rPr>
            <w:webHidden/>
          </w:rPr>
          <w:instrText xml:space="preserve"> PAGEREF _Toc46933283 \h </w:instrText>
        </w:r>
        <w:r w:rsidR="00533AE6">
          <w:rPr>
            <w:webHidden/>
          </w:rPr>
        </w:r>
        <w:r w:rsidR="00533AE6">
          <w:rPr>
            <w:webHidden/>
          </w:rPr>
          <w:fldChar w:fldCharType="separate"/>
        </w:r>
        <w:r w:rsidR="0045750F">
          <w:rPr>
            <w:webHidden/>
          </w:rPr>
          <w:t>132</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84" w:history="1">
        <w:r w:rsidR="00533AE6" w:rsidRPr="00152523">
          <w:rPr>
            <w:rStyle w:val="af2"/>
            <w:rFonts w:asciiTheme="minorEastAsia" w:hAnsiTheme="minorEastAsia" w:hint="eastAsia"/>
            <w:bCs/>
          </w:rPr>
          <w:t>十八、基金的信息披露</w:t>
        </w:r>
        <w:r w:rsidR="00533AE6">
          <w:rPr>
            <w:webHidden/>
          </w:rPr>
          <w:tab/>
        </w:r>
        <w:r w:rsidR="00533AE6">
          <w:rPr>
            <w:webHidden/>
          </w:rPr>
          <w:fldChar w:fldCharType="begin"/>
        </w:r>
        <w:r w:rsidR="00533AE6">
          <w:rPr>
            <w:webHidden/>
          </w:rPr>
          <w:instrText xml:space="preserve"> PAGEREF _Toc46933284 \h </w:instrText>
        </w:r>
        <w:r w:rsidR="00533AE6">
          <w:rPr>
            <w:webHidden/>
          </w:rPr>
        </w:r>
        <w:r w:rsidR="00533AE6">
          <w:rPr>
            <w:webHidden/>
          </w:rPr>
          <w:fldChar w:fldCharType="separate"/>
        </w:r>
        <w:r w:rsidR="0045750F">
          <w:rPr>
            <w:webHidden/>
          </w:rPr>
          <w:t>133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5" w:history="1">
        <w:r w:rsidR="00533AE6" w:rsidRPr="00152523">
          <w:rPr>
            <w:rStyle w:val="af2"/>
            <w:rFonts w:asciiTheme="minorEastAsia" w:hAnsiTheme="minorEastAsia" w:hint="eastAsia"/>
          </w:rPr>
          <w:t>（一）基金招募说明书、基金合同、基金托管协议、基金产品资料概要</w:t>
        </w:r>
        <w:r w:rsidR="00533AE6">
          <w:rPr>
            <w:webHidden/>
          </w:rPr>
          <w:tab/>
        </w:r>
        <w:r w:rsidR="00533AE6">
          <w:rPr>
            <w:webHidden/>
          </w:rPr>
          <w:fldChar w:fldCharType="begin"/>
        </w:r>
        <w:r w:rsidR="00533AE6">
          <w:rPr>
            <w:webHidden/>
          </w:rPr>
          <w:instrText xml:space="preserve"> PAGEREF _Toc46933285 \h </w:instrText>
        </w:r>
        <w:r w:rsidR="00533AE6">
          <w:rPr>
            <w:webHidden/>
          </w:rPr>
        </w:r>
        <w:r w:rsidR="00533AE6">
          <w:rPr>
            <w:webHidden/>
          </w:rPr>
          <w:fldChar w:fldCharType="separate"/>
        </w:r>
        <w:r w:rsidR="0045750F">
          <w:rPr>
            <w:webHidden/>
          </w:rPr>
          <w:t>133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6" w:history="1">
        <w:r w:rsidR="00533AE6" w:rsidRPr="00152523">
          <w:rPr>
            <w:rStyle w:val="af2"/>
            <w:rFonts w:asciiTheme="minorEastAsia" w:hAnsiTheme="minorEastAsia" w:hint="eastAsia"/>
          </w:rPr>
          <w:t>（二）基金份额发售公告</w:t>
        </w:r>
        <w:r w:rsidR="00533AE6">
          <w:rPr>
            <w:webHidden/>
          </w:rPr>
          <w:tab/>
        </w:r>
        <w:r w:rsidR="00533AE6">
          <w:rPr>
            <w:webHidden/>
          </w:rPr>
          <w:fldChar w:fldCharType="begin"/>
        </w:r>
        <w:r w:rsidR="00533AE6">
          <w:rPr>
            <w:webHidden/>
          </w:rPr>
          <w:instrText xml:space="preserve"> PAGEREF _Toc46933286 \h </w:instrText>
        </w:r>
        <w:r w:rsidR="00533AE6">
          <w:rPr>
            <w:webHidden/>
          </w:rPr>
        </w:r>
        <w:r w:rsidR="00533AE6">
          <w:rPr>
            <w:webHidden/>
          </w:rPr>
          <w:fldChar w:fldCharType="separate"/>
        </w:r>
        <w:r w:rsidR="0045750F">
          <w:rPr>
            <w:webHidden/>
          </w:rPr>
          <w:t>133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7" w:history="1">
        <w:r w:rsidR="00533AE6" w:rsidRPr="00152523">
          <w:rPr>
            <w:rStyle w:val="af2"/>
            <w:rFonts w:asciiTheme="minorEastAsia" w:hAnsiTheme="minorEastAsia" w:hint="eastAsia"/>
          </w:rPr>
          <w:t>（三）基金合同生效公告</w:t>
        </w:r>
        <w:r w:rsidR="00533AE6">
          <w:rPr>
            <w:webHidden/>
          </w:rPr>
          <w:tab/>
        </w:r>
        <w:r w:rsidR="00533AE6">
          <w:rPr>
            <w:webHidden/>
          </w:rPr>
          <w:fldChar w:fldCharType="begin"/>
        </w:r>
        <w:r w:rsidR="00533AE6">
          <w:rPr>
            <w:webHidden/>
          </w:rPr>
          <w:instrText xml:space="preserve"> PAGEREF _Toc46933287 \h </w:instrText>
        </w:r>
        <w:r w:rsidR="00533AE6">
          <w:rPr>
            <w:webHidden/>
          </w:rPr>
        </w:r>
        <w:r w:rsidR="00533AE6">
          <w:rPr>
            <w:webHidden/>
          </w:rPr>
          <w:fldChar w:fldCharType="separate"/>
        </w:r>
        <w:r w:rsidR="0045750F">
          <w:rPr>
            <w:webHidden/>
          </w:rPr>
          <w:t>133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8" w:history="1">
        <w:r w:rsidR="00533AE6" w:rsidRPr="00152523">
          <w:rPr>
            <w:rStyle w:val="af2"/>
            <w:rFonts w:asciiTheme="minorEastAsia" w:hAnsiTheme="minorEastAsia" w:hint="eastAsia"/>
          </w:rPr>
          <w:t>（四）基金净值信息</w:t>
        </w:r>
        <w:r w:rsidR="00533AE6">
          <w:rPr>
            <w:webHidden/>
          </w:rPr>
          <w:tab/>
        </w:r>
        <w:r w:rsidR="00533AE6">
          <w:rPr>
            <w:webHidden/>
          </w:rPr>
          <w:fldChar w:fldCharType="begin"/>
        </w:r>
        <w:r w:rsidR="00533AE6">
          <w:rPr>
            <w:webHidden/>
          </w:rPr>
          <w:instrText xml:space="preserve"> PAGEREF _Toc46933288 \h </w:instrText>
        </w:r>
        <w:r w:rsidR="00533AE6">
          <w:rPr>
            <w:webHidden/>
          </w:rPr>
        </w:r>
        <w:r w:rsidR="00533AE6">
          <w:rPr>
            <w:webHidden/>
          </w:rPr>
          <w:fldChar w:fldCharType="separate"/>
        </w:r>
        <w:r w:rsidR="0045750F">
          <w:rPr>
            <w:webHidden/>
          </w:rPr>
          <w:t>133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89" w:history="1">
        <w:r w:rsidR="00533AE6" w:rsidRPr="00152523">
          <w:rPr>
            <w:rStyle w:val="af2"/>
            <w:rFonts w:asciiTheme="minorEastAsia" w:hAnsiTheme="minorEastAsia" w:hint="eastAsia"/>
          </w:rPr>
          <w:t>（五）</w:t>
        </w:r>
        <w:r w:rsidR="00533AE6" w:rsidRPr="00152523">
          <w:rPr>
            <w:rStyle w:val="af2"/>
            <w:rFonts w:asciiTheme="minorEastAsia" w:hAnsiTheme="minorEastAsia" w:hint="eastAsia"/>
            <w:kern w:val="0"/>
          </w:rPr>
          <w:t>基金定期报告，包括基金年度报告、基金中期报告和基金季度报告</w:t>
        </w:r>
        <w:r w:rsidR="00533AE6">
          <w:rPr>
            <w:webHidden/>
          </w:rPr>
          <w:tab/>
        </w:r>
        <w:r w:rsidR="00533AE6">
          <w:rPr>
            <w:webHidden/>
          </w:rPr>
          <w:fldChar w:fldCharType="begin"/>
        </w:r>
        <w:r w:rsidR="00533AE6">
          <w:rPr>
            <w:webHidden/>
          </w:rPr>
          <w:instrText xml:space="preserve"> PAGEREF _Toc46933289 \h </w:instrText>
        </w:r>
        <w:r w:rsidR="00533AE6">
          <w:rPr>
            <w:webHidden/>
          </w:rPr>
        </w:r>
        <w:r w:rsidR="00533AE6">
          <w:rPr>
            <w:webHidden/>
          </w:rPr>
          <w:fldChar w:fldCharType="separate"/>
        </w:r>
        <w:r w:rsidR="0045750F">
          <w:rPr>
            <w:webHidden/>
          </w:rPr>
          <w:t>134</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0" w:history="1">
        <w:r w:rsidR="00533AE6" w:rsidRPr="00152523">
          <w:rPr>
            <w:rStyle w:val="af2"/>
            <w:rFonts w:asciiTheme="minorEastAsia" w:hAnsiTheme="minorEastAsia" w:hint="eastAsia"/>
          </w:rPr>
          <w:t>（六）</w:t>
        </w:r>
        <w:r w:rsidR="00533AE6" w:rsidRPr="00152523">
          <w:rPr>
            <w:rStyle w:val="af2"/>
            <w:rFonts w:asciiTheme="minorEastAsia" w:hAnsiTheme="minorEastAsia" w:hint="eastAsia"/>
            <w:kern w:val="0"/>
          </w:rPr>
          <w:t>临时报告</w:t>
        </w:r>
        <w:r w:rsidR="00533AE6">
          <w:rPr>
            <w:webHidden/>
          </w:rPr>
          <w:tab/>
        </w:r>
        <w:r w:rsidR="00533AE6">
          <w:rPr>
            <w:webHidden/>
          </w:rPr>
          <w:fldChar w:fldCharType="begin"/>
        </w:r>
        <w:r w:rsidR="00533AE6">
          <w:rPr>
            <w:webHidden/>
          </w:rPr>
          <w:instrText xml:space="preserve"> PAGEREF _Toc46933290 \h </w:instrText>
        </w:r>
        <w:r w:rsidR="00533AE6">
          <w:rPr>
            <w:webHidden/>
          </w:rPr>
        </w:r>
        <w:r w:rsidR="00533AE6">
          <w:rPr>
            <w:webHidden/>
          </w:rPr>
          <w:fldChar w:fldCharType="separate"/>
        </w:r>
        <w:r w:rsidR="0045750F">
          <w:rPr>
            <w:webHidden/>
          </w:rPr>
          <w:t>134</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1" w:history="1">
        <w:r w:rsidR="00533AE6" w:rsidRPr="00152523">
          <w:rPr>
            <w:rStyle w:val="af2"/>
            <w:rFonts w:asciiTheme="minorEastAsia" w:hAnsiTheme="minorEastAsia" w:hint="eastAsia"/>
          </w:rPr>
          <w:t>（七）</w:t>
        </w:r>
        <w:r w:rsidR="00533AE6" w:rsidRPr="00152523">
          <w:rPr>
            <w:rStyle w:val="af2"/>
            <w:rFonts w:asciiTheme="minorEastAsia" w:hAnsiTheme="minorEastAsia" w:hint="eastAsia"/>
            <w:kern w:val="0"/>
          </w:rPr>
          <w:t>澄清公告</w:t>
        </w:r>
        <w:r w:rsidR="00533AE6">
          <w:rPr>
            <w:webHidden/>
          </w:rPr>
          <w:tab/>
        </w:r>
        <w:r w:rsidR="00533AE6">
          <w:rPr>
            <w:webHidden/>
          </w:rPr>
          <w:fldChar w:fldCharType="begin"/>
        </w:r>
        <w:r w:rsidR="00533AE6">
          <w:rPr>
            <w:webHidden/>
          </w:rPr>
          <w:instrText xml:space="preserve"> PAGEREF _Toc46933291 \h </w:instrText>
        </w:r>
        <w:r w:rsidR="00533AE6">
          <w:rPr>
            <w:webHidden/>
          </w:rPr>
        </w:r>
        <w:r w:rsidR="00533AE6">
          <w:rPr>
            <w:webHidden/>
          </w:rPr>
          <w:fldChar w:fldCharType="separate"/>
        </w:r>
        <w:r w:rsidR="0045750F">
          <w:rPr>
            <w:webHidden/>
          </w:rPr>
          <w:t>135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2" w:history="1">
        <w:r w:rsidR="00533AE6" w:rsidRPr="00152523">
          <w:rPr>
            <w:rStyle w:val="af2"/>
            <w:rFonts w:asciiTheme="minorEastAsia" w:hAnsiTheme="minorEastAsia" w:hint="eastAsia"/>
          </w:rPr>
          <w:t>（八）清算报告</w:t>
        </w:r>
        <w:r w:rsidR="00533AE6">
          <w:rPr>
            <w:webHidden/>
          </w:rPr>
          <w:tab/>
        </w:r>
        <w:r w:rsidR="00533AE6">
          <w:rPr>
            <w:webHidden/>
          </w:rPr>
          <w:fldChar w:fldCharType="begin"/>
        </w:r>
        <w:r w:rsidR="00533AE6">
          <w:rPr>
            <w:webHidden/>
          </w:rPr>
          <w:instrText xml:space="preserve"> PAGEREF _Toc46933292 \h </w:instrText>
        </w:r>
        <w:r w:rsidR="00533AE6">
          <w:rPr>
            <w:webHidden/>
          </w:rPr>
        </w:r>
        <w:r w:rsidR="00533AE6">
          <w:rPr>
            <w:webHidden/>
          </w:rPr>
          <w:fldChar w:fldCharType="separate"/>
        </w:r>
        <w:r w:rsidR="0045750F">
          <w:rPr>
            <w:webHidden/>
          </w:rPr>
          <w:t>135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3" w:history="1">
        <w:r w:rsidR="00533AE6" w:rsidRPr="00152523">
          <w:rPr>
            <w:rStyle w:val="af2"/>
            <w:rFonts w:asciiTheme="minorEastAsia" w:hAnsiTheme="minorEastAsia" w:hint="eastAsia"/>
          </w:rPr>
          <w:t>（九）信息披露文件的存放与查阅</w:t>
        </w:r>
        <w:r w:rsidR="00533AE6">
          <w:rPr>
            <w:webHidden/>
          </w:rPr>
          <w:tab/>
        </w:r>
        <w:r w:rsidR="00533AE6">
          <w:rPr>
            <w:webHidden/>
          </w:rPr>
          <w:fldChar w:fldCharType="begin"/>
        </w:r>
        <w:r w:rsidR="00533AE6">
          <w:rPr>
            <w:webHidden/>
          </w:rPr>
          <w:instrText xml:space="preserve"> PAGEREF _Toc46933293 \h </w:instrText>
        </w:r>
        <w:r w:rsidR="00533AE6">
          <w:rPr>
            <w:webHidden/>
          </w:rPr>
        </w:r>
        <w:r w:rsidR="00533AE6">
          <w:rPr>
            <w:webHidden/>
          </w:rPr>
          <w:fldChar w:fldCharType="separate"/>
        </w:r>
        <w:r w:rsidR="0045750F">
          <w:rPr>
            <w:webHidden/>
          </w:rPr>
          <w:t>136</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294" w:history="1">
        <w:r w:rsidR="00533AE6" w:rsidRPr="00152523">
          <w:rPr>
            <w:rStyle w:val="af2"/>
            <w:rFonts w:asciiTheme="minorEastAsia" w:hAnsiTheme="minorEastAsia" w:hint="eastAsia"/>
            <w:bCs/>
          </w:rPr>
          <w:t>十九、风险揭示</w:t>
        </w:r>
        <w:r w:rsidR="00533AE6">
          <w:rPr>
            <w:webHidden/>
          </w:rPr>
          <w:tab/>
        </w:r>
        <w:r w:rsidR="00533AE6">
          <w:rPr>
            <w:webHidden/>
          </w:rPr>
          <w:fldChar w:fldCharType="begin"/>
        </w:r>
        <w:r w:rsidR="00533AE6">
          <w:rPr>
            <w:webHidden/>
          </w:rPr>
          <w:instrText xml:space="preserve"> PAGEREF _Toc46933294 \h </w:instrText>
        </w:r>
        <w:r w:rsidR="00533AE6">
          <w:rPr>
            <w:webHidden/>
          </w:rPr>
        </w:r>
        <w:r w:rsidR="00533AE6">
          <w:rPr>
            <w:webHidden/>
          </w:rPr>
          <w:fldChar w:fldCharType="separate"/>
        </w:r>
        <w:r w:rsidR="0045750F">
          <w:rPr>
            <w:webHidden/>
          </w:rPr>
          <w:t>137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5" w:history="1">
        <w:r w:rsidR="00533AE6" w:rsidRPr="00152523">
          <w:rPr>
            <w:rStyle w:val="af2"/>
            <w:rFonts w:asciiTheme="minorEastAsia" w:hAnsiTheme="minorEastAsia" w:hint="eastAsia"/>
          </w:rPr>
          <w:t>（一）市场风险</w:t>
        </w:r>
        <w:r w:rsidR="00533AE6">
          <w:rPr>
            <w:webHidden/>
          </w:rPr>
          <w:tab/>
        </w:r>
        <w:r w:rsidR="00533AE6">
          <w:rPr>
            <w:webHidden/>
          </w:rPr>
          <w:fldChar w:fldCharType="begin"/>
        </w:r>
        <w:r w:rsidR="00533AE6">
          <w:rPr>
            <w:webHidden/>
          </w:rPr>
          <w:instrText xml:space="preserve"> PAGEREF _Toc46933295 \h </w:instrText>
        </w:r>
        <w:r w:rsidR="00533AE6">
          <w:rPr>
            <w:webHidden/>
          </w:rPr>
        </w:r>
        <w:r w:rsidR="00533AE6">
          <w:rPr>
            <w:webHidden/>
          </w:rPr>
          <w:fldChar w:fldCharType="separate"/>
        </w:r>
        <w:r w:rsidR="0045750F">
          <w:rPr>
            <w:webHidden/>
          </w:rPr>
          <w:t>137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6" w:history="1">
        <w:r w:rsidR="00533AE6" w:rsidRPr="00152523">
          <w:rPr>
            <w:rStyle w:val="af2"/>
            <w:rFonts w:asciiTheme="minorEastAsia" w:hAnsiTheme="minorEastAsia" w:hint="eastAsia"/>
          </w:rPr>
          <w:t>（二）本基金特有的风险</w:t>
        </w:r>
        <w:r w:rsidR="00533AE6">
          <w:rPr>
            <w:webHidden/>
          </w:rPr>
          <w:tab/>
        </w:r>
        <w:r w:rsidR="00533AE6">
          <w:rPr>
            <w:webHidden/>
          </w:rPr>
          <w:fldChar w:fldCharType="begin"/>
        </w:r>
        <w:r w:rsidR="00533AE6">
          <w:rPr>
            <w:webHidden/>
          </w:rPr>
          <w:instrText xml:space="preserve"> PAGEREF _Toc46933296 \h </w:instrText>
        </w:r>
        <w:r w:rsidR="00533AE6">
          <w:rPr>
            <w:webHidden/>
          </w:rPr>
        </w:r>
        <w:r w:rsidR="00533AE6">
          <w:rPr>
            <w:webHidden/>
          </w:rPr>
          <w:fldChar w:fldCharType="separate"/>
        </w:r>
        <w:r w:rsidR="0045750F">
          <w:rPr>
            <w:webHidden/>
          </w:rPr>
          <w:t>137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7" w:history="1">
        <w:r w:rsidR="00533AE6" w:rsidRPr="00152523">
          <w:rPr>
            <w:rStyle w:val="af2"/>
            <w:rFonts w:asciiTheme="minorEastAsia" w:hAnsiTheme="minorEastAsia" w:hint="eastAsia"/>
          </w:rPr>
          <w:t>（三）流动性风险</w:t>
        </w:r>
        <w:r w:rsidR="00533AE6">
          <w:rPr>
            <w:webHidden/>
          </w:rPr>
          <w:tab/>
        </w:r>
        <w:r w:rsidR="00533AE6">
          <w:rPr>
            <w:webHidden/>
          </w:rPr>
          <w:fldChar w:fldCharType="begin"/>
        </w:r>
        <w:r w:rsidR="00533AE6">
          <w:rPr>
            <w:webHidden/>
          </w:rPr>
          <w:instrText xml:space="preserve"> PAGEREF _Toc46933297 \h </w:instrText>
        </w:r>
        <w:r w:rsidR="00533AE6">
          <w:rPr>
            <w:webHidden/>
          </w:rPr>
        </w:r>
        <w:r w:rsidR="00533AE6">
          <w:rPr>
            <w:webHidden/>
          </w:rPr>
          <w:fldChar w:fldCharType="separate"/>
        </w:r>
        <w:r w:rsidR="0045750F">
          <w:rPr>
            <w:webHidden/>
          </w:rPr>
          <w:t>138</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8" w:history="1">
        <w:r w:rsidR="00533AE6" w:rsidRPr="00152523">
          <w:rPr>
            <w:rStyle w:val="af2"/>
            <w:rFonts w:asciiTheme="minorEastAsia" w:hAnsiTheme="minorEastAsia" w:hint="eastAsia"/>
          </w:rPr>
          <w:t>（四）本基金法律文件中涉及基金风险特征的表述与销售机构对基金的风险评级可能不一致的风险</w:t>
        </w:r>
        <w:r w:rsidR="00533AE6">
          <w:rPr>
            <w:webHidden/>
          </w:rPr>
          <w:tab/>
        </w:r>
        <w:r w:rsidR="00533AE6">
          <w:rPr>
            <w:webHidden/>
          </w:rPr>
          <w:fldChar w:fldCharType="begin"/>
        </w:r>
        <w:r w:rsidR="00533AE6">
          <w:rPr>
            <w:webHidden/>
          </w:rPr>
          <w:instrText xml:space="preserve"> PAGEREF _Toc46933298 \h </w:instrText>
        </w:r>
        <w:r w:rsidR="00533AE6">
          <w:rPr>
            <w:webHidden/>
          </w:rPr>
        </w:r>
        <w:r w:rsidR="00533AE6">
          <w:rPr>
            <w:webHidden/>
          </w:rPr>
          <w:fldChar w:fldCharType="separate"/>
        </w:r>
        <w:r w:rsidR="0045750F">
          <w:rPr>
            <w:webHidden/>
          </w:rPr>
          <w:t>139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299" w:history="1">
        <w:r w:rsidR="00533AE6" w:rsidRPr="00152523">
          <w:rPr>
            <w:rStyle w:val="af2"/>
            <w:rFonts w:asciiTheme="minorEastAsia" w:hAnsiTheme="minorEastAsia" w:hint="eastAsia"/>
          </w:rPr>
          <w:t>（五）管理风险</w:t>
        </w:r>
        <w:r w:rsidR="00533AE6">
          <w:rPr>
            <w:webHidden/>
          </w:rPr>
          <w:tab/>
        </w:r>
        <w:r w:rsidR="00533AE6">
          <w:rPr>
            <w:webHidden/>
          </w:rPr>
          <w:fldChar w:fldCharType="begin"/>
        </w:r>
        <w:r w:rsidR="00533AE6">
          <w:rPr>
            <w:webHidden/>
          </w:rPr>
          <w:instrText xml:space="preserve"> PAGEREF _Toc46933299 \h </w:instrText>
        </w:r>
        <w:r w:rsidR="00533AE6">
          <w:rPr>
            <w:webHidden/>
          </w:rPr>
        </w:r>
        <w:r w:rsidR="00533AE6">
          <w:rPr>
            <w:webHidden/>
          </w:rPr>
          <w:fldChar w:fldCharType="separate"/>
        </w:r>
        <w:r w:rsidR="0045750F">
          <w:rPr>
            <w:webHidden/>
          </w:rPr>
          <w:t>140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0" w:history="1">
        <w:r w:rsidR="00533AE6" w:rsidRPr="00152523">
          <w:rPr>
            <w:rStyle w:val="af2"/>
            <w:rFonts w:asciiTheme="minorEastAsia" w:hAnsiTheme="minorEastAsia" w:hint="eastAsia"/>
          </w:rPr>
          <w:t>（六）其他风险</w:t>
        </w:r>
        <w:r w:rsidR="00533AE6">
          <w:rPr>
            <w:webHidden/>
          </w:rPr>
          <w:tab/>
        </w:r>
        <w:r w:rsidR="00533AE6">
          <w:rPr>
            <w:webHidden/>
          </w:rPr>
          <w:fldChar w:fldCharType="begin"/>
        </w:r>
        <w:r w:rsidR="00533AE6">
          <w:rPr>
            <w:webHidden/>
          </w:rPr>
          <w:instrText xml:space="preserve"> PAGEREF _Toc46933300 \h </w:instrText>
        </w:r>
        <w:r w:rsidR="00533AE6">
          <w:rPr>
            <w:webHidden/>
          </w:rPr>
        </w:r>
        <w:r w:rsidR="00533AE6">
          <w:rPr>
            <w:webHidden/>
          </w:rPr>
          <w:fldChar w:fldCharType="separate"/>
        </w:r>
        <w:r w:rsidR="0045750F">
          <w:rPr>
            <w:webHidden/>
          </w:rPr>
          <w:t>140</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01" w:history="1">
        <w:r w:rsidR="00533AE6" w:rsidRPr="00152523">
          <w:rPr>
            <w:rStyle w:val="af2"/>
            <w:rFonts w:asciiTheme="minorEastAsia" w:hAnsiTheme="minorEastAsia" w:hint="eastAsia"/>
            <w:b/>
            <w:bCs/>
          </w:rPr>
          <w:t>二</w:t>
        </w:r>
        <w:r w:rsidR="00533AE6" w:rsidRPr="00152523">
          <w:rPr>
            <w:rStyle w:val="af2"/>
            <w:rFonts w:asciiTheme="minorEastAsia" w:hAnsiTheme="minorEastAsia" w:hint="eastAsia"/>
            <w:bCs/>
          </w:rPr>
          <w:t>十、基金合同的变更、终止与基金财产的清算</w:t>
        </w:r>
        <w:r w:rsidR="00533AE6">
          <w:rPr>
            <w:webHidden/>
          </w:rPr>
          <w:tab/>
        </w:r>
        <w:r w:rsidR="00533AE6">
          <w:rPr>
            <w:webHidden/>
          </w:rPr>
          <w:fldChar w:fldCharType="begin"/>
        </w:r>
        <w:r w:rsidR="00533AE6">
          <w:rPr>
            <w:webHidden/>
          </w:rPr>
          <w:instrText xml:space="preserve"> PAGEREF _Toc46933301 \h </w:instrText>
        </w:r>
        <w:r w:rsidR="00533AE6">
          <w:rPr>
            <w:webHidden/>
          </w:rPr>
        </w:r>
        <w:r w:rsidR="00533AE6">
          <w:rPr>
            <w:webHidden/>
          </w:rPr>
          <w:fldChar w:fldCharType="separate"/>
        </w:r>
        <w:r w:rsidR="0045750F">
          <w:rPr>
            <w:webHidden/>
          </w:rPr>
          <w:t>141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2" w:history="1">
        <w:r w:rsidR="00533AE6" w:rsidRPr="00152523">
          <w:rPr>
            <w:rStyle w:val="af2"/>
            <w:rFonts w:asciiTheme="minorEastAsia" w:hAnsiTheme="minorEastAsia" w:hint="eastAsia"/>
          </w:rPr>
          <w:t>（一）基金合同的变更</w:t>
        </w:r>
        <w:r w:rsidR="00533AE6">
          <w:rPr>
            <w:webHidden/>
          </w:rPr>
          <w:tab/>
        </w:r>
        <w:r w:rsidR="00533AE6">
          <w:rPr>
            <w:webHidden/>
          </w:rPr>
          <w:fldChar w:fldCharType="begin"/>
        </w:r>
        <w:r w:rsidR="00533AE6">
          <w:rPr>
            <w:webHidden/>
          </w:rPr>
          <w:instrText xml:space="preserve"> PAGEREF _Toc46933302 \h </w:instrText>
        </w:r>
        <w:r w:rsidR="00533AE6">
          <w:rPr>
            <w:webHidden/>
          </w:rPr>
        </w:r>
        <w:r w:rsidR="00533AE6">
          <w:rPr>
            <w:webHidden/>
          </w:rPr>
          <w:fldChar w:fldCharType="separate"/>
        </w:r>
        <w:r w:rsidR="0045750F">
          <w:rPr>
            <w:webHidden/>
          </w:rPr>
          <w:t>141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3" w:history="1">
        <w:r w:rsidR="00533AE6" w:rsidRPr="00152523">
          <w:rPr>
            <w:rStyle w:val="af2"/>
            <w:rFonts w:asciiTheme="minorEastAsia" w:hAnsiTheme="minorEastAsia" w:hint="eastAsia"/>
          </w:rPr>
          <w:t>（二）基金合同的终止</w:t>
        </w:r>
        <w:r w:rsidR="00533AE6">
          <w:rPr>
            <w:webHidden/>
          </w:rPr>
          <w:tab/>
        </w:r>
        <w:r w:rsidR="00533AE6">
          <w:rPr>
            <w:webHidden/>
          </w:rPr>
          <w:fldChar w:fldCharType="begin"/>
        </w:r>
        <w:r w:rsidR="00533AE6">
          <w:rPr>
            <w:webHidden/>
          </w:rPr>
          <w:instrText xml:space="preserve"> PAGEREF _Toc46933303 \h </w:instrText>
        </w:r>
        <w:r w:rsidR="00533AE6">
          <w:rPr>
            <w:webHidden/>
          </w:rPr>
        </w:r>
        <w:r w:rsidR="00533AE6">
          <w:rPr>
            <w:webHidden/>
          </w:rPr>
          <w:fldChar w:fldCharType="separate"/>
        </w:r>
        <w:r w:rsidR="0045750F">
          <w:rPr>
            <w:webHidden/>
          </w:rPr>
          <w:t>141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4" w:history="1">
        <w:r w:rsidR="00533AE6" w:rsidRPr="00152523">
          <w:rPr>
            <w:rStyle w:val="af2"/>
            <w:rFonts w:asciiTheme="minorEastAsia" w:hAnsiTheme="minorEastAsia" w:hint="eastAsia"/>
          </w:rPr>
          <w:t>（三）基金财产的清算</w:t>
        </w:r>
        <w:r w:rsidR="00533AE6">
          <w:rPr>
            <w:webHidden/>
          </w:rPr>
          <w:tab/>
        </w:r>
        <w:r w:rsidR="00533AE6">
          <w:rPr>
            <w:webHidden/>
          </w:rPr>
          <w:fldChar w:fldCharType="begin"/>
        </w:r>
        <w:r w:rsidR="00533AE6">
          <w:rPr>
            <w:webHidden/>
          </w:rPr>
          <w:instrText xml:space="preserve"> PAGEREF _Toc46933304 \h </w:instrText>
        </w:r>
        <w:r w:rsidR="00533AE6">
          <w:rPr>
            <w:webHidden/>
          </w:rPr>
        </w:r>
        <w:r w:rsidR="00533AE6">
          <w:rPr>
            <w:webHidden/>
          </w:rPr>
          <w:fldChar w:fldCharType="separate"/>
        </w:r>
        <w:r w:rsidR="0045750F">
          <w:rPr>
            <w:webHidden/>
          </w:rPr>
          <w:t>141</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05" w:history="1">
        <w:r w:rsidR="00533AE6" w:rsidRPr="00152523">
          <w:rPr>
            <w:rStyle w:val="af2"/>
            <w:rFonts w:asciiTheme="minorEastAsia" w:hAnsiTheme="minorEastAsia" w:hint="eastAsia"/>
            <w:bCs/>
          </w:rPr>
          <w:t>二十一、基金合同内容摘要</w:t>
        </w:r>
        <w:r w:rsidR="00533AE6">
          <w:rPr>
            <w:webHidden/>
          </w:rPr>
          <w:tab/>
        </w:r>
        <w:r w:rsidR="00533AE6">
          <w:rPr>
            <w:webHidden/>
          </w:rPr>
          <w:fldChar w:fldCharType="begin"/>
        </w:r>
        <w:r w:rsidR="00533AE6">
          <w:rPr>
            <w:webHidden/>
          </w:rPr>
          <w:instrText xml:space="preserve"> PAGEREF _Toc46933305 \h </w:instrText>
        </w:r>
        <w:r w:rsidR="00533AE6">
          <w:rPr>
            <w:webHidden/>
          </w:rPr>
        </w:r>
        <w:r w:rsidR="00533AE6">
          <w:rPr>
            <w:webHidden/>
          </w:rPr>
          <w:fldChar w:fldCharType="separate"/>
        </w:r>
        <w:r w:rsidR="0045750F">
          <w:rPr>
            <w:webHidden/>
          </w:rPr>
          <w:t>143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6" w:history="1">
        <w:r w:rsidR="00533AE6" w:rsidRPr="00152523">
          <w:rPr>
            <w:rStyle w:val="af2"/>
            <w:rFonts w:asciiTheme="minorEastAsia" w:hAnsiTheme="minorEastAsia" w:hint="eastAsia"/>
          </w:rPr>
          <w:t>（一）基金管理人的权利与义务</w:t>
        </w:r>
        <w:r w:rsidR="00533AE6">
          <w:rPr>
            <w:webHidden/>
          </w:rPr>
          <w:tab/>
        </w:r>
        <w:r w:rsidR="00533AE6">
          <w:rPr>
            <w:webHidden/>
          </w:rPr>
          <w:fldChar w:fldCharType="begin"/>
        </w:r>
        <w:r w:rsidR="00533AE6">
          <w:rPr>
            <w:webHidden/>
          </w:rPr>
          <w:instrText xml:space="preserve"> PAGEREF _Toc46933306 \h </w:instrText>
        </w:r>
        <w:r w:rsidR="00533AE6">
          <w:rPr>
            <w:webHidden/>
          </w:rPr>
        </w:r>
        <w:r w:rsidR="00533AE6">
          <w:rPr>
            <w:webHidden/>
          </w:rPr>
          <w:fldChar w:fldCharType="separate"/>
        </w:r>
        <w:r w:rsidR="0045750F">
          <w:rPr>
            <w:webHidden/>
          </w:rPr>
          <w:t>143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7" w:history="1">
        <w:r w:rsidR="00533AE6" w:rsidRPr="00152523">
          <w:rPr>
            <w:rStyle w:val="af2"/>
            <w:rFonts w:asciiTheme="minorEastAsia" w:hAnsiTheme="minorEastAsia" w:hint="eastAsia"/>
          </w:rPr>
          <w:t>（二）基金托管人的权利与义务</w:t>
        </w:r>
        <w:r w:rsidR="00533AE6">
          <w:rPr>
            <w:webHidden/>
          </w:rPr>
          <w:tab/>
        </w:r>
        <w:r w:rsidR="00533AE6">
          <w:rPr>
            <w:webHidden/>
          </w:rPr>
          <w:fldChar w:fldCharType="begin"/>
        </w:r>
        <w:r w:rsidR="00533AE6">
          <w:rPr>
            <w:webHidden/>
          </w:rPr>
          <w:instrText xml:space="preserve"> PAGEREF _Toc46933307 \h </w:instrText>
        </w:r>
        <w:r w:rsidR="00533AE6">
          <w:rPr>
            <w:webHidden/>
          </w:rPr>
        </w:r>
        <w:r w:rsidR="00533AE6">
          <w:rPr>
            <w:webHidden/>
          </w:rPr>
          <w:fldChar w:fldCharType="separate"/>
        </w:r>
        <w:r w:rsidR="0045750F">
          <w:rPr>
            <w:webHidden/>
          </w:rPr>
          <w:t>145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8" w:history="1">
        <w:r w:rsidR="00533AE6" w:rsidRPr="00152523">
          <w:rPr>
            <w:rStyle w:val="af2"/>
            <w:rFonts w:asciiTheme="minorEastAsia" w:hAnsiTheme="minorEastAsia" w:hint="eastAsia"/>
          </w:rPr>
          <w:t>（三）基金份额持有人的权利与义务</w:t>
        </w:r>
        <w:r w:rsidR="00533AE6">
          <w:rPr>
            <w:webHidden/>
          </w:rPr>
          <w:tab/>
        </w:r>
        <w:r w:rsidR="00533AE6">
          <w:rPr>
            <w:webHidden/>
          </w:rPr>
          <w:fldChar w:fldCharType="begin"/>
        </w:r>
        <w:r w:rsidR="00533AE6">
          <w:rPr>
            <w:webHidden/>
          </w:rPr>
          <w:instrText xml:space="preserve"> PAGEREF _Toc46933308 \h </w:instrText>
        </w:r>
        <w:r w:rsidR="00533AE6">
          <w:rPr>
            <w:webHidden/>
          </w:rPr>
        </w:r>
        <w:r w:rsidR="00533AE6">
          <w:rPr>
            <w:webHidden/>
          </w:rPr>
          <w:fldChar w:fldCharType="separate"/>
        </w:r>
        <w:r w:rsidR="0045750F">
          <w:rPr>
            <w:webHidden/>
          </w:rPr>
          <w:t>146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09" w:history="1">
        <w:r w:rsidR="00533AE6" w:rsidRPr="00152523">
          <w:rPr>
            <w:rStyle w:val="af2"/>
            <w:rFonts w:asciiTheme="minorEastAsia" w:hAnsiTheme="minorEastAsia" w:hint="eastAsia"/>
          </w:rPr>
          <w:t>（四）基金份额持有人大会</w:t>
        </w:r>
        <w:r w:rsidR="00533AE6">
          <w:rPr>
            <w:webHidden/>
          </w:rPr>
          <w:tab/>
        </w:r>
        <w:r w:rsidR="00533AE6">
          <w:rPr>
            <w:webHidden/>
          </w:rPr>
          <w:fldChar w:fldCharType="begin"/>
        </w:r>
        <w:r w:rsidR="00533AE6">
          <w:rPr>
            <w:webHidden/>
          </w:rPr>
          <w:instrText xml:space="preserve"> PAGEREF _Toc46933309 \h </w:instrText>
        </w:r>
        <w:r w:rsidR="00533AE6">
          <w:rPr>
            <w:webHidden/>
          </w:rPr>
        </w:r>
        <w:r w:rsidR="00533AE6">
          <w:rPr>
            <w:webHidden/>
          </w:rPr>
          <w:fldChar w:fldCharType="separate"/>
        </w:r>
        <w:r w:rsidR="0045750F">
          <w:rPr>
            <w:webHidden/>
          </w:rPr>
          <w:t>146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0" w:history="1">
        <w:r w:rsidR="00533AE6" w:rsidRPr="00152523">
          <w:rPr>
            <w:rStyle w:val="af2"/>
            <w:rFonts w:asciiTheme="minorEastAsia" w:hAnsiTheme="minorEastAsia" w:hint="eastAsia"/>
          </w:rPr>
          <w:t>（五）基金合同的变更</w:t>
        </w:r>
        <w:r w:rsidR="00533AE6">
          <w:rPr>
            <w:webHidden/>
          </w:rPr>
          <w:tab/>
        </w:r>
        <w:r w:rsidR="00533AE6">
          <w:rPr>
            <w:webHidden/>
          </w:rPr>
          <w:fldChar w:fldCharType="begin"/>
        </w:r>
        <w:r w:rsidR="00533AE6">
          <w:rPr>
            <w:webHidden/>
          </w:rPr>
          <w:instrText xml:space="preserve"> PAGEREF _Toc46933310 \h </w:instrText>
        </w:r>
        <w:r w:rsidR="00533AE6">
          <w:rPr>
            <w:webHidden/>
          </w:rPr>
        </w:r>
        <w:r w:rsidR="00533AE6">
          <w:rPr>
            <w:webHidden/>
          </w:rPr>
          <w:fldChar w:fldCharType="separate"/>
        </w:r>
        <w:r w:rsidR="0045750F">
          <w:rPr>
            <w:webHidden/>
          </w:rPr>
          <w:t>151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1" w:history="1">
        <w:r w:rsidR="00533AE6" w:rsidRPr="00152523">
          <w:rPr>
            <w:rStyle w:val="af2"/>
            <w:rFonts w:asciiTheme="minorEastAsia" w:hAnsiTheme="minorEastAsia" w:hint="eastAsia"/>
          </w:rPr>
          <w:t>（六）基金合同的终止</w:t>
        </w:r>
        <w:r w:rsidR="00533AE6">
          <w:rPr>
            <w:webHidden/>
          </w:rPr>
          <w:tab/>
        </w:r>
        <w:r w:rsidR="00533AE6">
          <w:rPr>
            <w:webHidden/>
          </w:rPr>
          <w:fldChar w:fldCharType="begin"/>
        </w:r>
        <w:r w:rsidR="00533AE6">
          <w:rPr>
            <w:webHidden/>
          </w:rPr>
          <w:instrText xml:space="preserve"> PAGEREF _Toc46933311 \h </w:instrText>
        </w:r>
        <w:r w:rsidR="00533AE6">
          <w:rPr>
            <w:webHidden/>
          </w:rPr>
        </w:r>
        <w:r w:rsidR="00533AE6">
          <w:rPr>
            <w:webHidden/>
          </w:rPr>
          <w:fldChar w:fldCharType="separate"/>
        </w:r>
        <w:r w:rsidR="0045750F">
          <w:rPr>
            <w:webHidden/>
          </w:rPr>
          <w:t>151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2" w:history="1">
        <w:r w:rsidR="00533AE6" w:rsidRPr="00152523">
          <w:rPr>
            <w:rStyle w:val="af2"/>
            <w:rFonts w:asciiTheme="minorEastAsia" w:hAnsiTheme="minorEastAsia" w:hint="eastAsia"/>
          </w:rPr>
          <w:t>（七）基金财产的清算</w:t>
        </w:r>
        <w:r w:rsidR="00533AE6">
          <w:rPr>
            <w:webHidden/>
          </w:rPr>
          <w:tab/>
        </w:r>
        <w:r w:rsidR="00533AE6">
          <w:rPr>
            <w:webHidden/>
          </w:rPr>
          <w:fldChar w:fldCharType="begin"/>
        </w:r>
        <w:r w:rsidR="00533AE6">
          <w:rPr>
            <w:webHidden/>
          </w:rPr>
          <w:instrText xml:space="preserve"> PAGEREF _Toc46933312 \h </w:instrText>
        </w:r>
        <w:r w:rsidR="00533AE6">
          <w:rPr>
            <w:webHidden/>
          </w:rPr>
        </w:r>
        <w:r w:rsidR="00533AE6">
          <w:rPr>
            <w:webHidden/>
          </w:rPr>
          <w:fldChar w:fldCharType="separate"/>
        </w:r>
        <w:r w:rsidR="0045750F">
          <w:rPr>
            <w:webHidden/>
          </w:rPr>
          <w:t>152</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3" w:history="1">
        <w:r w:rsidR="00533AE6" w:rsidRPr="00152523">
          <w:rPr>
            <w:rStyle w:val="af2"/>
            <w:rFonts w:asciiTheme="minorEastAsia" w:hAnsiTheme="minorEastAsia" w:hint="eastAsia"/>
          </w:rPr>
          <w:t>（八）争议的处理和适用的法律</w:t>
        </w:r>
        <w:r w:rsidR="00533AE6">
          <w:rPr>
            <w:webHidden/>
          </w:rPr>
          <w:tab/>
        </w:r>
        <w:r w:rsidR="00533AE6">
          <w:rPr>
            <w:webHidden/>
          </w:rPr>
          <w:fldChar w:fldCharType="begin"/>
        </w:r>
        <w:r w:rsidR="00533AE6">
          <w:rPr>
            <w:webHidden/>
          </w:rPr>
          <w:instrText xml:space="preserve"> PAGEREF _Toc46933313 \h </w:instrText>
        </w:r>
        <w:r w:rsidR="00533AE6">
          <w:rPr>
            <w:webHidden/>
          </w:rPr>
        </w:r>
        <w:r w:rsidR="00533AE6">
          <w:rPr>
            <w:webHidden/>
          </w:rPr>
          <w:fldChar w:fldCharType="separate"/>
        </w:r>
        <w:r w:rsidR="0045750F">
          <w:rPr>
            <w:webHidden/>
          </w:rPr>
          <w:t>153</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4" w:history="1">
        <w:r w:rsidR="00533AE6" w:rsidRPr="00152523">
          <w:rPr>
            <w:rStyle w:val="af2"/>
            <w:rFonts w:asciiTheme="minorEastAsia" w:hAnsiTheme="minorEastAsia" w:hint="eastAsia"/>
          </w:rPr>
          <w:t>（九）基金合同的存放及查阅方式</w:t>
        </w:r>
        <w:r w:rsidR="00533AE6">
          <w:rPr>
            <w:webHidden/>
          </w:rPr>
          <w:tab/>
        </w:r>
        <w:r w:rsidR="00533AE6">
          <w:rPr>
            <w:webHidden/>
          </w:rPr>
          <w:fldChar w:fldCharType="begin"/>
        </w:r>
        <w:r w:rsidR="00533AE6">
          <w:rPr>
            <w:webHidden/>
          </w:rPr>
          <w:instrText xml:space="preserve"> PAGEREF _Toc46933314 \h </w:instrText>
        </w:r>
        <w:r w:rsidR="00533AE6">
          <w:rPr>
            <w:webHidden/>
          </w:rPr>
        </w:r>
        <w:r w:rsidR="00533AE6">
          <w:rPr>
            <w:webHidden/>
          </w:rPr>
          <w:fldChar w:fldCharType="separate"/>
        </w:r>
        <w:r w:rsidR="0045750F">
          <w:rPr>
            <w:webHidden/>
          </w:rPr>
          <w:t>153</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15" w:history="1">
        <w:r w:rsidR="00533AE6" w:rsidRPr="00152523">
          <w:rPr>
            <w:rStyle w:val="af2"/>
            <w:rFonts w:asciiTheme="minorEastAsia" w:hAnsiTheme="minorEastAsia" w:hint="eastAsia"/>
            <w:bCs/>
          </w:rPr>
          <w:t>二十二、基金托管协议的内容摘要</w:t>
        </w:r>
        <w:r w:rsidR="00533AE6">
          <w:rPr>
            <w:webHidden/>
          </w:rPr>
          <w:tab/>
        </w:r>
        <w:r w:rsidR="00533AE6">
          <w:rPr>
            <w:webHidden/>
          </w:rPr>
          <w:fldChar w:fldCharType="begin"/>
        </w:r>
        <w:r w:rsidR="00533AE6">
          <w:rPr>
            <w:webHidden/>
          </w:rPr>
          <w:instrText xml:space="preserve"> PAGEREF _Toc46933315 \h </w:instrText>
        </w:r>
        <w:r w:rsidR="00533AE6">
          <w:rPr>
            <w:webHidden/>
          </w:rPr>
        </w:r>
        <w:r w:rsidR="00533AE6">
          <w:rPr>
            <w:webHidden/>
          </w:rPr>
          <w:fldChar w:fldCharType="separate"/>
        </w:r>
        <w:r w:rsidR="0045750F">
          <w:rPr>
            <w:webHidden/>
          </w:rPr>
          <w:t>154</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6" w:history="1">
        <w:r w:rsidR="00533AE6" w:rsidRPr="00152523">
          <w:rPr>
            <w:rStyle w:val="af2"/>
            <w:rFonts w:asciiTheme="minorEastAsia" w:hAnsiTheme="minorEastAsia" w:hint="eastAsia"/>
            <w:bCs/>
          </w:rPr>
          <w:t>（一）托管协议当事人</w:t>
        </w:r>
        <w:r w:rsidR="00533AE6">
          <w:rPr>
            <w:webHidden/>
          </w:rPr>
          <w:tab/>
        </w:r>
        <w:r w:rsidR="00533AE6">
          <w:rPr>
            <w:webHidden/>
          </w:rPr>
          <w:fldChar w:fldCharType="begin"/>
        </w:r>
        <w:r w:rsidR="00533AE6">
          <w:rPr>
            <w:webHidden/>
          </w:rPr>
          <w:instrText xml:space="preserve"> PAGEREF _Toc46933316 \h </w:instrText>
        </w:r>
        <w:r w:rsidR="00533AE6">
          <w:rPr>
            <w:webHidden/>
          </w:rPr>
        </w:r>
        <w:r w:rsidR="00533AE6">
          <w:rPr>
            <w:webHidden/>
          </w:rPr>
          <w:fldChar w:fldCharType="separate"/>
        </w:r>
        <w:r w:rsidR="0045750F">
          <w:rPr>
            <w:webHidden/>
          </w:rPr>
          <w:t>154</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7" w:history="1">
        <w:r w:rsidR="00533AE6" w:rsidRPr="00152523">
          <w:rPr>
            <w:rStyle w:val="af2"/>
            <w:rFonts w:asciiTheme="minorEastAsia" w:hAnsiTheme="minorEastAsia" w:hint="eastAsia"/>
          </w:rPr>
          <w:t>（二）基金托管人对基金管理人的业务监督和核查</w:t>
        </w:r>
        <w:r w:rsidR="00533AE6">
          <w:rPr>
            <w:webHidden/>
          </w:rPr>
          <w:tab/>
        </w:r>
        <w:r w:rsidR="00533AE6">
          <w:rPr>
            <w:webHidden/>
          </w:rPr>
          <w:fldChar w:fldCharType="begin"/>
        </w:r>
        <w:r w:rsidR="00533AE6">
          <w:rPr>
            <w:webHidden/>
          </w:rPr>
          <w:instrText xml:space="preserve"> PAGEREF _Toc46933317 \h </w:instrText>
        </w:r>
        <w:r w:rsidR="00533AE6">
          <w:rPr>
            <w:webHidden/>
          </w:rPr>
        </w:r>
        <w:r w:rsidR="00533AE6">
          <w:rPr>
            <w:webHidden/>
          </w:rPr>
          <w:fldChar w:fldCharType="separate"/>
        </w:r>
        <w:r w:rsidR="0045750F">
          <w:rPr>
            <w:webHidden/>
          </w:rPr>
          <w:t>155</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8" w:history="1">
        <w:r w:rsidR="00533AE6" w:rsidRPr="00152523">
          <w:rPr>
            <w:rStyle w:val="af2"/>
            <w:rFonts w:asciiTheme="minorEastAsia" w:hAnsiTheme="minorEastAsia" w:hint="eastAsia"/>
          </w:rPr>
          <w:t>（三）基金管理人对基金托管人的业务核查</w:t>
        </w:r>
        <w:r w:rsidR="00533AE6">
          <w:rPr>
            <w:webHidden/>
          </w:rPr>
          <w:tab/>
        </w:r>
        <w:r w:rsidR="00533AE6">
          <w:rPr>
            <w:webHidden/>
          </w:rPr>
          <w:fldChar w:fldCharType="begin"/>
        </w:r>
        <w:r w:rsidR="00533AE6">
          <w:rPr>
            <w:webHidden/>
          </w:rPr>
          <w:instrText xml:space="preserve"> PAGEREF _Toc46933318 \h </w:instrText>
        </w:r>
        <w:r w:rsidR="00533AE6">
          <w:rPr>
            <w:webHidden/>
          </w:rPr>
        </w:r>
        <w:r w:rsidR="00533AE6">
          <w:rPr>
            <w:webHidden/>
          </w:rPr>
          <w:fldChar w:fldCharType="separate"/>
        </w:r>
        <w:r w:rsidR="0045750F">
          <w:rPr>
            <w:webHidden/>
          </w:rPr>
          <w:t>156</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19" w:history="1">
        <w:r w:rsidR="00533AE6" w:rsidRPr="00152523">
          <w:rPr>
            <w:rStyle w:val="af2"/>
            <w:rFonts w:asciiTheme="minorEastAsia" w:hAnsiTheme="minorEastAsia" w:hint="eastAsia"/>
          </w:rPr>
          <w:t>（四）基金财产保管</w:t>
        </w:r>
        <w:r w:rsidR="00533AE6">
          <w:rPr>
            <w:webHidden/>
          </w:rPr>
          <w:tab/>
        </w:r>
        <w:r w:rsidR="00533AE6">
          <w:rPr>
            <w:webHidden/>
          </w:rPr>
          <w:fldChar w:fldCharType="begin"/>
        </w:r>
        <w:r w:rsidR="00533AE6">
          <w:rPr>
            <w:webHidden/>
          </w:rPr>
          <w:instrText xml:space="preserve"> PAGEREF _Toc46933319 \h </w:instrText>
        </w:r>
        <w:r w:rsidR="00533AE6">
          <w:rPr>
            <w:webHidden/>
          </w:rPr>
        </w:r>
        <w:r w:rsidR="00533AE6">
          <w:rPr>
            <w:webHidden/>
          </w:rPr>
          <w:fldChar w:fldCharType="separate"/>
        </w:r>
        <w:r w:rsidR="0045750F">
          <w:rPr>
            <w:webHidden/>
          </w:rPr>
          <w:t>157</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0" w:history="1">
        <w:r w:rsidR="00533AE6" w:rsidRPr="00152523">
          <w:rPr>
            <w:rStyle w:val="af2"/>
            <w:rFonts w:asciiTheme="minorEastAsia" w:hAnsiTheme="minorEastAsia" w:hint="eastAsia"/>
          </w:rPr>
          <w:t>（五）基金资产净值计算与复核</w:t>
        </w:r>
        <w:r w:rsidR="00533AE6">
          <w:rPr>
            <w:webHidden/>
          </w:rPr>
          <w:tab/>
        </w:r>
        <w:r w:rsidR="00533AE6">
          <w:rPr>
            <w:webHidden/>
          </w:rPr>
          <w:fldChar w:fldCharType="begin"/>
        </w:r>
        <w:r w:rsidR="00533AE6">
          <w:rPr>
            <w:webHidden/>
          </w:rPr>
          <w:instrText xml:space="preserve"> PAGEREF _Toc46933320 \h </w:instrText>
        </w:r>
        <w:r w:rsidR="00533AE6">
          <w:rPr>
            <w:webHidden/>
          </w:rPr>
        </w:r>
        <w:r w:rsidR="00533AE6">
          <w:rPr>
            <w:webHidden/>
          </w:rPr>
          <w:fldChar w:fldCharType="separate"/>
        </w:r>
        <w:r w:rsidR="0045750F">
          <w:rPr>
            <w:webHidden/>
          </w:rPr>
          <w:t>159</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1" w:history="1">
        <w:r w:rsidR="00533AE6" w:rsidRPr="00152523">
          <w:rPr>
            <w:rStyle w:val="af2"/>
            <w:rFonts w:asciiTheme="minorEastAsia" w:hAnsiTheme="minorEastAsia" w:hint="eastAsia"/>
          </w:rPr>
          <w:t>（六）基金份额持有人名册的保管</w:t>
        </w:r>
        <w:r w:rsidR="00533AE6">
          <w:rPr>
            <w:webHidden/>
          </w:rPr>
          <w:tab/>
        </w:r>
        <w:r w:rsidR="00533AE6">
          <w:rPr>
            <w:webHidden/>
          </w:rPr>
          <w:fldChar w:fldCharType="begin"/>
        </w:r>
        <w:r w:rsidR="00533AE6">
          <w:rPr>
            <w:webHidden/>
          </w:rPr>
          <w:instrText xml:space="preserve"> PAGEREF _Toc46933321 \h </w:instrText>
        </w:r>
        <w:r w:rsidR="00533AE6">
          <w:rPr>
            <w:webHidden/>
          </w:rPr>
        </w:r>
        <w:r w:rsidR="00533AE6">
          <w:rPr>
            <w:webHidden/>
          </w:rPr>
          <w:fldChar w:fldCharType="separate"/>
        </w:r>
        <w:r w:rsidR="0045750F">
          <w:rPr>
            <w:webHidden/>
          </w:rPr>
          <w:t>160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2" w:history="1">
        <w:r w:rsidR="00533AE6" w:rsidRPr="00152523">
          <w:rPr>
            <w:rStyle w:val="af2"/>
            <w:rFonts w:asciiTheme="minorEastAsia" w:hAnsiTheme="minorEastAsia" w:hint="eastAsia"/>
          </w:rPr>
          <w:t>（七）争议解决方式</w:t>
        </w:r>
        <w:r w:rsidR="00533AE6">
          <w:rPr>
            <w:webHidden/>
          </w:rPr>
          <w:tab/>
        </w:r>
        <w:r w:rsidR="00533AE6">
          <w:rPr>
            <w:webHidden/>
          </w:rPr>
          <w:fldChar w:fldCharType="begin"/>
        </w:r>
        <w:r w:rsidR="00533AE6">
          <w:rPr>
            <w:webHidden/>
          </w:rPr>
          <w:instrText xml:space="preserve"> PAGEREF _Toc46933322 \h </w:instrText>
        </w:r>
        <w:r w:rsidR="00533AE6">
          <w:rPr>
            <w:webHidden/>
          </w:rPr>
        </w:r>
        <w:r w:rsidR="00533AE6">
          <w:rPr>
            <w:webHidden/>
          </w:rPr>
          <w:fldChar w:fldCharType="separate"/>
        </w:r>
        <w:r w:rsidR="0045750F">
          <w:rPr>
            <w:webHidden/>
          </w:rPr>
          <w:t>160</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3" w:history="1">
        <w:r w:rsidR="00533AE6" w:rsidRPr="00152523">
          <w:rPr>
            <w:rStyle w:val="af2"/>
            <w:rFonts w:asciiTheme="minorEastAsia" w:hAnsiTheme="minorEastAsia" w:hint="eastAsia"/>
          </w:rPr>
          <w:t>（八）托管协议的变更与终止</w:t>
        </w:r>
        <w:r w:rsidR="00533AE6">
          <w:rPr>
            <w:webHidden/>
          </w:rPr>
          <w:tab/>
        </w:r>
        <w:r w:rsidR="00533AE6">
          <w:rPr>
            <w:webHidden/>
          </w:rPr>
          <w:fldChar w:fldCharType="begin"/>
        </w:r>
        <w:r w:rsidR="00533AE6">
          <w:rPr>
            <w:webHidden/>
          </w:rPr>
          <w:instrText xml:space="preserve"> PAGEREF _Toc46933323 \h </w:instrText>
        </w:r>
        <w:r w:rsidR="00533AE6">
          <w:rPr>
            <w:webHidden/>
          </w:rPr>
        </w:r>
        <w:r w:rsidR="00533AE6">
          <w:rPr>
            <w:webHidden/>
          </w:rPr>
          <w:fldChar w:fldCharType="separate"/>
        </w:r>
        <w:r w:rsidR="0045750F">
          <w:rPr>
            <w:webHidden/>
          </w:rPr>
          <w:t>160</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24" w:history="1">
        <w:r w:rsidR="00533AE6" w:rsidRPr="00152523">
          <w:rPr>
            <w:rStyle w:val="af2"/>
            <w:rFonts w:asciiTheme="minorEastAsia" w:hAnsiTheme="minorEastAsia" w:hint="eastAsia"/>
            <w:bCs/>
          </w:rPr>
          <w:t>二十三、对基金份额持有人的服务</w:t>
        </w:r>
        <w:r w:rsidR="00533AE6">
          <w:rPr>
            <w:webHidden/>
          </w:rPr>
          <w:tab/>
        </w:r>
        <w:r w:rsidR="00533AE6">
          <w:rPr>
            <w:webHidden/>
          </w:rPr>
          <w:fldChar w:fldCharType="begin"/>
        </w:r>
        <w:r w:rsidR="00533AE6">
          <w:rPr>
            <w:webHidden/>
          </w:rPr>
          <w:instrText xml:space="preserve"> PAGEREF _Toc46933324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5" w:history="1">
        <w:r w:rsidR="00533AE6" w:rsidRPr="00152523">
          <w:rPr>
            <w:rStyle w:val="af2"/>
            <w:rFonts w:asciiTheme="minorEastAsia" w:hAnsiTheme="minorEastAsia" w:hint="eastAsia"/>
            <w:bCs/>
          </w:rPr>
          <w:t>（一）基金份额持有人投资交易确认服务</w:t>
        </w:r>
        <w:r w:rsidR="00533AE6">
          <w:rPr>
            <w:webHidden/>
          </w:rPr>
          <w:tab/>
        </w:r>
        <w:r w:rsidR="00533AE6">
          <w:rPr>
            <w:webHidden/>
          </w:rPr>
          <w:fldChar w:fldCharType="begin"/>
        </w:r>
        <w:r w:rsidR="00533AE6">
          <w:rPr>
            <w:webHidden/>
          </w:rPr>
          <w:instrText xml:space="preserve"> PAGEREF _Toc46933325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6" w:history="1">
        <w:r w:rsidR="00533AE6" w:rsidRPr="00152523">
          <w:rPr>
            <w:rStyle w:val="af2"/>
            <w:rFonts w:asciiTheme="minorEastAsia" w:hAnsiTheme="minorEastAsia" w:hint="eastAsia"/>
            <w:bCs/>
          </w:rPr>
          <w:t>（二）基金份额持有人交易记录查询服务</w:t>
        </w:r>
        <w:r w:rsidR="00533AE6">
          <w:rPr>
            <w:webHidden/>
          </w:rPr>
          <w:tab/>
        </w:r>
        <w:r w:rsidR="00533AE6">
          <w:rPr>
            <w:webHidden/>
          </w:rPr>
          <w:fldChar w:fldCharType="begin"/>
        </w:r>
        <w:r w:rsidR="00533AE6">
          <w:rPr>
            <w:webHidden/>
          </w:rPr>
          <w:instrText xml:space="preserve"> PAGEREF _Toc46933326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7" w:history="1">
        <w:r w:rsidR="00533AE6" w:rsidRPr="00152523">
          <w:rPr>
            <w:rStyle w:val="af2"/>
            <w:rFonts w:asciiTheme="minorEastAsia" w:hAnsiTheme="minorEastAsia" w:hint="eastAsia"/>
            <w:bCs/>
          </w:rPr>
          <w:t>（三）基金份额持有人对帐单服务</w:t>
        </w:r>
        <w:r w:rsidR="00533AE6">
          <w:rPr>
            <w:webHidden/>
          </w:rPr>
          <w:tab/>
        </w:r>
        <w:r w:rsidR="00533AE6">
          <w:rPr>
            <w:webHidden/>
          </w:rPr>
          <w:fldChar w:fldCharType="begin"/>
        </w:r>
        <w:r w:rsidR="00533AE6">
          <w:rPr>
            <w:webHidden/>
          </w:rPr>
          <w:instrText xml:space="preserve"> PAGEREF _Toc46933327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8" w:history="1">
        <w:r w:rsidR="00533AE6" w:rsidRPr="00152523">
          <w:rPr>
            <w:rStyle w:val="af2"/>
            <w:rFonts w:asciiTheme="minorEastAsia" w:hAnsiTheme="minorEastAsia" w:hint="eastAsia"/>
            <w:bCs/>
          </w:rPr>
          <w:t>（四）定期定额投资计划</w:t>
        </w:r>
        <w:r w:rsidR="00533AE6">
          <w:rPr>
            <w:webHidden/>
          </w:rPr>
          <w:tab/>
        </w:r>
        <w:r w:rsidR="00533AE6">
          <w:rPr>
            <w:webHidden/>
          </w:rPr>
          <w:fldChar w:fldCharType="begin"/>
        </w:r>
        <w:r w:rsidR="00533AE6">
          <w:rPr>
            <w:webHidden/>
          </w:rPr>
          <w:instrText xml:space="preserve"> PAGEREF _Toc46933328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21"/>
        <w:rPr>
          <w:rFonts w:asciiTheme="minorHAnsi" w:eastAsiaTheme="minorEastAsia" w:hAnsiTheme="minorHAnsi" w:cstheme="minorBidi"/>
          <w:smallCaps w:val="0"/>
          <w:szCs w:val="22"/>
        </w:rPr>
      </w:pPr>
      <w:hyperlink w:anchor="_Toc46933329" w:history="1">
        <w:r w:rsidR="00533AE6" w:rsidRPr="00152523">
          <w:rPr>
            <w:rStyle w:val="af2"/>
            <w:rFonts w:asciiTheme="minorEastAsia" w:hAnsiTheme="minorEastAsia" w:hint="eastAsia"/>
            <w:bCs/>
          </w:rPr>
          <w:t>（五）资讯服务</w:t>
        </w:r>
        <w:r w:rsidR="00533AE6">
          <w:rPr>
            <w:webHidden/>
          </w:rPr>
          <w:tab/>
        </w:r>
        <w:r w:rsidR="00533AE6">
          <w:rPr>
            <w:webHidden/>
          </w:rPr>
          <w:fldChar w:fldCharType="begin"/>
        </w:r>
        <w:r w:rsidR="00533AE6">
          <w:rPr>
            <w:webHidden/>
          </w:rPr>
          <w:instrText xml:space="preserve"> PAGEREF _Toc46933329 \h </w:instrText>
        </w:r>
        <w:r w:rsidR="00533AE6">
          <w:rPr>
            <w:webHidden/>
          </w:rPr>
        </w:r>
        <w:r w:rsidR="00533AE6">
          <w:rPr>
            <w:webHidden/>
          </w:rPr>
          <w:fldChar w:fldCharType="separate"/>
        </w:r>
        <w:r w:rsidR="0045750F">
          <w:rPr>
            <w:webHidden/>
          </w:rPr>
          <w:t>161</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30" w:history="1">
        <w:r w:rsidR="00533AE6" w:rsidRPr="00152523">
          <w:rPr>
            <w:rStyle w:val="af2"/>
            <w:rFonts w:asciiTheme="minorEastAsia" w:hAnsiTheme="minorEastAsia" w:hint="eastAsia"/>
            <w:bCs/>
          </w:rPr>
          <w:t>二十四、其他应披露事项</w:t>
        </w:r>
        <w:r w:rsidR="00533AE6">
          <w:rPr>
            <w:webHidden/>
          </w:rPr>
          <w:tab/>
        </w:r>
        <w:r w:rsidR="00533AE6">
          <w:rPr>
            <w:webHidden/>
          </w:rPr>
          <w:fldChar w:fldCharType="begin"/>
        </w:r>
        <w:r w:rsidR="00533AE6">
          <w:rPr>
            <w:webHidden/>
          </w:rPr>
          <w:instrText xml:space="preserve"> PAGEREF _Toc46933330 \h </w:instrText>
        </w:r>
        <w:r w:rsidR="00533AE6">
          <w:rPr>
            <w:webHidden/>
          </w:rPr>
        </w:r>
        <w:r w:rsidR="00533AE6">
          <w:rPr>
            <w:webHidden/>
          </w:rPr>
          <w:fldChar w:fldCharType="separate"/>
        </w:r>
        <w:r w:rsidR="0045750F">
          <w:rPr>
            <w:webHidden/>
          </w:rPr>
          <w:t>162</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31" w:history="1">
        <w:r w:rsidR="00533AE6" w:rsidRPr="00152523">
          <w:rPr>
            <w:rStyle w:val="af2"/>
            <w:rFonts w:asciiTheme="minorEastAsia" w:hAnsiTheme="minorEastAsia" w:hint="eastAsia"/>
          </w:rPr>
          <w:t>二十五、招募说明书存放及查阅方式</w:t>
        </w:r>
        <w:r w:rsidR="00533AE6">
          <w:rPr>
            <w:webHidden/>
          </w:rPr>
          <w:tab/>
        </w:r>
        <w:r w:rsidR="00533AE6">
          <w:rPr>
            <w:webHidden/>
          </w:rPr>
          <w:fldChar w:fldCharType="begin"/>
        </w:r>
        <w:r w:rsidR="00533AE6">
          <w:rPr>
            <w:webHidden/>
          </w:rPr>
          <w:instrText xml:space="preserve"> PAGEREF _Toc46933331 \h </w:instrText>
        </w:r>
        <w:r w:rsidR="00533AE6">
          <w:rPr>
            <w:webHidden/>
          </w:rPr>
        </w:r>
        <w:r w:rsidR="00533AE6">
          <w:rPr>
            <w:webHidden/>
          </w:rPr>
          <w:fldChar w:fldCharType="separate"/>
        </w:r>
        <w:r w:rsidR="0045750F">
          <w:rPr>
            <w:webHidden/>
          </w:rPr>
          <w:t>165</w:t>
        </w:r>
        <w:r w:rsidR="00533AE6">
          <w:rPr>
            <w:webHidden/>
          </w:rPr>
          <w:fldChar w:fldCharType="end"/>
        </w:r>
      </w:hyperlink>
    </w:p>
    <w:p w:rsidR="00533AE6" w:rsidRDefault="00934057">
      <w:pPr>
        <w:pStyle w:val="10"/>
        <w:ind w:firstLine="480"/>
        <w:rPr>
          <w:rFonts w:asciiTheme="minorHAnsi" w:eastAsiaTheme="minorEastAsia" w:hAnsiTheme="minorHAnsi" w:cstheme="minorBidi"/>
          <w:caps w:val="0"/>
          <w:sz w:val="21"/>
          <w:szCs w:val="22"/>
        </w:rPr>
      </w:pPr>
      <w:hyperlink w:anchor="_Toc46933332" w:history="1">
        <w:r w:rsidR="00533AE6" w:rsidRPr="00152523">
          <w:rPr>
            <w:rStyle w:val="af2"/>
            <w:rFonts w:asciiTheme="minorEastAsia" w:hAnsiTheme="minorEastAsia" w:hint="eastAsia"/>
          </w:rPr>
          <w:t>二十六、备查文件</w:t>
        </w:r>
        <w:r w:rsidR="00533AE6">
          <w:rPr>
            <w:webHidden/>
          </w:rPr>
          <w:tab/>
        </w:r>
        <w:r w:rsidR="00533AE6">
          <w:rPr>
            <w:webHidden/>
          </w:rPr>
          <w:fldChar w:fldCharType="begin"/>
        </w:r>
        <w:r w:rsidR="00533AE6">
          <w:rPr>
            <w:webHidden/>
          </w:rPr>
          <w:instrText xml:space="preserve"> PAGEREF _Toc46933332 \h </w:instrText>
        </w:r>
        <w:r w:rsidR="00533AE6">
          <w:rPr>
            <w:webHidden/>
          </w:rPr>
        </w:r>
        <w:r w:rsidR="00533AE6">
          <w:rPr>
            <w:webHidden/>
          </w:rPr>
          <w:fldChar w:fldCharType="separate"/>
        </w:r>
        <w:r w:rsidR="0045750F">
          <w:rPr>
            <w:webHidden/>
          </w:rPr>
          <w:t>166</w:t>
        </w:r>
        <w:r w:rsidR="00533AE6">
          <w:rPr>
            <w:webHidden/>
          </w:rPr>
          <w:fldChar w:fldCharType="end"/>
        </w:r>
      </w:hyperlink>
    </w:p>
    <w:p w:rsidR="00767C2C" w:rsidRPr="00533AE6" w:rsidRDefault="003C6D3F" w:rsidP="005A15F8">
      <w:pPr>
        <w:adjustRightInd w:val="0"/>
        <w:snapToGrid w:val="0"/>
        <w:spacing w:line="360" w:lineRule="auto"/>
        <w:ind w:left="-420" w:firstLine="562"/>
        <w:jc w:val="center"/>
        <w:rPr>
          <w:rFonts w:asciiTheme="minorEastAsia" w:eastAsiaTheme="minorEastAsia" w:hAnsiTheme="minorEastAsia"/>
          <w:b/>
          <w:sz w:val="28"/>
          <w:szCs w:val="28"/>
        </w:rPr>
      </w:pPr>
      <w:r w:rsidRPr="00533AE6">
        <w:rPr>
          <w:rFonts w:asciiTheme="minorEastAsia" w:eastAsiaTheme="minorEastAsia" w:hAnsiTheme="minorEastAsia"/>
          <w:b/>
          <w:sz w:val="28"/>
          <w:szCs w:val="28"/>
        </w:rPr>
        <w:fldChar w:fldCharType="end"/>
      </w:r>
    </w:p>
    <w:p w:rsidR="00266A27" w:rsidRPr="00533AE6" w:rsidRDefault="00266A27" w:rsidP="005A15F8">
      <w:pPr>
        <w:snapToGrid w:val="0"/>
        <w:spacing w:line="360" w:lineRule="auto"/>
        <w:ind w:left="-420" w:firstLine="420"/>
        <w:jc w:val="center"/>
        <w:rPr>
          <w:rFonts w:asciiTheme="minorEastAsia" w:eastAsiaTheme="minorEastAsia" w:hAnsiTheme="minorEastAsia"/>
          <w:szCs w:val="21"/>
        </w:rPr>
        <w:sectPr w:rsidR="00266A27" w:rsidRPr="00533AE6" w:rsidSect="00DF5C3C">
          <w:footerReference w:type="default" r:id="rId15"/>
          <w:footerReference w:type="first" r:id="rId16"/>
          <w:pgSz w:w="11907" w:h="16840" w:code="9"/>
          <w:pgMar w:top="1701" w:right="1814" w:bottom="1701" w:left="1814" w:header="1134" w:footer="1247" w:gutter="0"/>
          <w:pgNumType w:fmt="upperRoman" w:start="1"/>
          <w:cols w:space="425"/>
          <w:titlePg/>
          <w:docGrid w:type="lines" w:linePitch="447"/>
        </w:sectPr>
      </w:pPr>
    </w:p>
    <w:p w:rsidR="00266A27" w:rsidRPr="00533AE6" w:rsidRDefault="00266A27" w:rsidP="005A15F8">
      <w:pPr>
        <w:pStyle w:val="11"/>
        <w:snapToGrid w:val="0"/>
        <w:spacing w:beforeLines="0" w:afterLines="0" w:line="360" w:lineRule="auto"/>
        <w:ind w:left="-420" w:firstLineChars="0" w:firstLine="0"/>
        <w:rPr>
          <w:rFonts w:asciiTheme="minorEastAsia" w:eastAsiaTheme="minorEastAsia" w:hAnsiTheme="minorEastAsia"/>
          <w:b w:val="0"/>
        </w:rPr>
      </w:pPr>
      <w:bookmarkStart w:id="0" w:name="_Toc38432421"/>
      <w:bookmarkStart w:id="1" w:name="_Toc46933199"/>
      <w:r w:rsidRPr="00533AE6">
        <w:rPr>
          <w:rFonts w:asciiTheme="minorEastAsia" w:eastAsiaTheme="minorEastAsia" w:hAnsiTheme="minorEastAsia" w:hint="eastAsia"/>
          <w:b w:val="0"/>
        </w:rPr>
        <w:lastRenderedPageBreak/>
        <w:t>一、绪言</w:t>
      </w:r>
      <w:bookmarkEnd w:id="0"/>
      <w:bookmarkEnd w:id="1"/>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招募说明书》依据《中华人民共和国证券投资基金法》（以下简称《基金法》）、《公开募集证券投资基金运作管理办法》（以下简称《运作办法》）、《证券投资基金销售管理办法》（以下简称《销售办法》）、《</w:t>
      </w:r>
      <w:r w:rsidR="00BD6ED1" w:rsidRPr="00533AE6">
        <w:rPr>
          <w:rFonts w:asciiTheme="minorEastAsia" w:eastAsiaTheme="minorEastAsia" w:hAnsiTheme="minorEastAsia" w:hint="eastAsia"/>
        </w:rPr>
        <w:t>公开募集</w:t>
      </w:r>
      <w:r w:rsidRPr="00533AE6">
        <w:rPr>
          <w:rFonts w:asciiTheme="minorEastAsia" w:eastAsiaTheme="minorEastAsia" w:hAnsiTheme="minorEastAsia"/>
        </w:rPr>
        <w:t>证券投资基金信息披露管理办法》（以下简称《信息披露办法》）</w:t>
      </w:r>
      <w:r w:rsidR="00FC2CC6" w:rsidRPr="00533AE6">
        <w:rPr>
          <w:rFonts w:asciiTheme="minorEastAsia" w:eastAsiaTheme="minorEastAsia" w:hAnsiTheme="minorEastAsia" w:hint="eastAsia"/>
        </w:rPr>
        <w:t>、</w:t>
      </w:r>
      <w:r w:rsidR="00FC2CC6" w:rsidRPr="00533AE6">
        <w:rPr>
          <w:rFonts w:asciiTheme="minorEastAsia" w:eastAsiaTheme="minorEastAsia" w:hAnsiTheme="minorEastAsia" w:hint="eastAsia"/>
          <w:szCs w:val="21"/>
        </w:rPr>
        <w:t>《公开募集开放式证券投资基金流动性风险管理规定》（以下简称《管理规定》）</w:t>
      </w:r>
      <w:r w:rsidRPr="00533AE6">
        <w:rPr>
          <w:rFonts w:asciiTheme="minorEastAsia" w:eastAsiaTheme="minorEastAsia" w:hAnsiTheme="minorEastAsia"/>
        </w:rPr>
        <w:t>、《证券投资基金信息披露内容与格式准则第5号&lt;招募说明书的内容与格式&gt;》等有关法律法规以及《易方达医疗保健行业混合型证券投资基金基金合同》编写。</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66A27" w:rsidRPr="00533AE6" w:rsidRDefault="00124E75"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266A27" w:rsidRPr="00533AE6" w:rsidRDefault="00266A27" w:rsidP="005A15F8">
      <w:pPr>
        <w:pStyle w:val="111"/>
        <w:snapToGrid w:val="0"/>
        <w:spacing w:beforeLines="0" w:afterLines="0" w:line="360" w:lineRule="auto"/>
        <w:ind w:left="-420" w:firstLineChars="0" w:firstLine="0"/>
        <w:rPr>
          <w:rFonts w:asciiTheme="minorEastAsia" w:eastAsiaTheme="minorEastAsia" w:hAnsiTheme="minorEastAsia"/>
          <w:szCs w:val="32"/>
        </w:rPr>
      </w:pPr>
      <w:bookmarkStart w:id="2" w:name="_Toc38432422"/>
      <w:bookmarkStart w:id="3" w:name="_Toc46933200"/>
      <w:r w:rsidRPr="00533AE6">
        <w:rPr>
          <w:rFonts w:asciiTheme="minorEastAsia" w:eastAsiaTheme="minorEastAsia" w:hAnsiTheme="minorEastAsia" w:hint="eastAsia"/>
          <w:szCs w:val="32"/>
        </w:rPr>
        <w:lastRenderedPageBreak/>
        <w:t>二、释义</w:t>
      </w:r>
      <w:bookmarkEnd w:id="2"/>
      <w:bookmarkEnd w:id="3"/>
    </w:p>
    <w:p w:rsidR="00E06EC4" w:rsidRPr="00533AE6" w:rsidRDefault="00E06EC4" w:rsidP="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本《招募说明书》中除非文意另有所指</w:t>
      </w:r>
      <w:r w:rsidRPr="00533AE6">
        <w:rPr>
          <w:rFonts w:asciiTheme="minorEastAsia" w:eastAsiaTheme="minorEastAsia" w:hAnsiTheme="minorEastAsia"/>
          <w:szCs w:val="21"/>
        </w:rPr>
        <w:t>，</w:t>
      </w:r>
      <w:r w:rsidRPr="00533AE6">
        <w:rPr>
          <w:rFonts w:asciiTheme="minorEastAsia" w:eastAsiaTheme="minorEastAsia" w:hAnsiTheme="minorEastAsia" w:hint="eastAsia"/>
          <w:szCs w:val="21"/>
        </w:rPr>
        <w:t>下列词语有如下含义：</w:t>
      </w:r>
    </w:p>
    <w:tbl>
      <w:tblPr>
        <w:tblW w:w="5000" w:type="pct"/>
        <w:tblLayout w:type="fixed"/>
        <w:tblLook w:val="01E0" w:firstRow="1" w:lastRow="1" w:firstColumn="1" w:lastColumn="1" w:noHBand="0" w:noVBand="0"/>
      </w:tblPr>
      <w:tblGrid>
        <w:gridCol w:w="2725"/>
        <w:gridCol w:w="5770"/>
      </w:tblGrid>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基金或本基金：</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易方达医疗保健行业混合型</w:t>
            </w:r>
            <w:r w:rsidRPr="00533AE6">
              <w:rPr>
                <w:rFonts w:asciiTheme="minorEastAsia" w:eastAsiaTheme="minorEastAsia" w:hAnsiTheme="minorEastAsia" w:hint="eastAsia"/>
                <w:kern w:val="0"/>
                <w:szCs w:val="21"/>
              </w:rPr>
              <w:t>证券投资基金；</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基金合同：</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易方达医疗保健行业混合型</w:t>
            </w:r>
            <w:r w:rsidRPr="00533AE6">
              <w:rPr>
                <w:rFonts w:asciiTheme="minorEastAsia" w:eastAsiaTheme="minorEastAsia" w:hAnsiTheme="minorEastAsia" w:hint="eastAsia"/>
                <w:kern w:val="0"/>
                <w:szCs w:val="21"/>
              </w:rPr>
              <w:t>证券投资基金基金合同》及对基金合同的任何有效修订和补充；</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招募说明书：</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易方达医疗保健行业混合型</w:t>
            </w:r>
            <w:r w:rsidRPr="00533AE6">
              <w:rPr>
                <w:rFonts w:asciiTheme="minorEastAsia" w:eastAsiaTheme="minorEastAsia" w:hAnsiTheme="minorEastAsia" w:hint="eastAsia"/>
                <w:kern w:val="0"/>
                <w:szCs w:val="21"/>
              </w:rPr>
              <w:t>证券投资基金招募说明书》及其更新；</w:t>
            </w:r>
          </w:p>
        </w:tc>
      </w:tr>
      <w:tr w:rsidR="00533AE6" w:rsidRPr="00533AE6" w:rsidTr="00A16E43">
        <w:tc>
          <w:tcPr>
            <w:tcW w:w="1604" w:type="pct"/>
          </w:tcPr>
          <w:p w:rsidR="00BD6ED1" w:rsidRPr="00533AE6" w:rsidRDefault="00BD6ED1"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基金产品资料概要：</w:t>
            </w:r>
          </w:p>
        </w:tc>
        <w:tc>
          <w:tcPr>
            <w:tcW w:w="3396" w:type="pct"/>
            <w:vAlign w:val="center"/>
          </w:tcPr>
          <w:p w:rsidR="00BD6ED1" w:rsidRPr="00533AE6" w:rsidRDefault="00BD6ED1"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易方达医疗保健行业混合型</w:t>
            </w:r>
            <w:r w:rsidRPr="00533AE6">
              <w:rPr>
                <w:rFonts w:asciiTheme="minorEastAsia" w:eastAsiaTheme="minorEastAsia" w:hAnsiTheme="minorEastAsia" w:hint="eastAsia"/>
                <w:kern w:val="0"/>
                <w:szCs w:val="21"/>
              </w:rPr>
              <w:t>证券投资基金基金产品资料概要》及其更新；</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发售公告：</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易方达医疗保健行业股票型</w:t>
            </w:r>
            <w:r w:rsidRPr="00533AE6">
              <w:rPr>
                <w:rFonts w:asciiTheme="minorEastAsia" w:eastAsiaTheme="minorEastAsia" w:hAnsiTheme="minorEastAsia" w:hint="eastAsia"/>
                <w:kern w:val="0"/>
                <w:szCs w:val="21"/>
              </w:rPr>
              <w:t>证券投资基金基金份额发售公告》</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托管协议：</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Pr="00533AE6">
              <w:rPr>
                <w:rFonts w:asciiTheme="minorEastAsia" w:eastAsiaTheme="minorEastAsia" w:hAnsiTheme="minorEastAsia" w:hint="eastAsia"/>
                <w:szCs w:val="21"/>
              </w:rPr>
              <w:t>易方达医疗保健行业混合型</w:t>
            </w:r>
            <w:r w:rsidRPr="00533AE6">
              <w:rPr>
                <w:rFonts w:asciiTheme="minorEastAsia" w:eastAsiaTheme="minorEastAsia" w:hAnsiTheme="minorEastAsia" w:hint="eastAsia"/>
                <w:kern w:val="0"/>
                <w:szCs w:val="21"/>
              </w:rPr>
              <w:t>证券投资基金托管协议》及其任何有效修订和补充；</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中国证监会：</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指中国证券监督管理委员会；</w:t>
            </w:r>
          </w:p>
        </w:tc>
      </w:tr>
      <w:tr w:rsidR="00533AE6" w:rsidRPr="00533AE6" w:rsidTr="00A16E43">
        <w:tc>
          <w:tcPr>
            <w:tcW w:w="1604" w:type="pct"/>
          </w:tcPr>
          <w:p w:rsidR="00E06EC4" w:rsidRPr="00533AE6" w:rsidRDefault="005640A5" w:rsidP="00A16E43">
            <w:pPr>
              <w:snapToGrid w:val="0"/>
              <w:spacing w:line="360" w:lineRule="auto"/>
              <w:ind w:leftChars="0" w:left="0" w:firstLineChars="0" w:firstLine="0"/>
              <w:rPr>
                <w:rFonts w:asciiTheme="minorEastAsia" w:eastAsiaTheme="minorEastAsia" w:hAnsiTheme="minorEastAsia"/>
                <w:kern w:val="0"/>
                <w:szCs w:val="21"/>
              </w:rPr>
            </w:pPr>
            <w:r w:rsidRPr="00533AE6">
              <w:rPr>
                <w:rStyle w:val="da"/>
                <w:rFonts w:asciiTheme="minorEastAsia" w:eastAsiaTheme="minorEastAsia" w:hAnsiTheme="minorEastAsia" w:hint="eastAsia"/>
              </w:rPr>
              <w:t>银行业监督管理机构</w:t>
            </w:r>
            <w:r w:rsidR="00E06EC4" w:rsidRPr="00533AE6">
              <w:rPr>
                <w:rFonts w:asciiTheme="minorEastAsia" w:eastAsiaTheme="minorEastAsia" w:hAnsiTheme="minorEastAsia" w:hint="eastAsia"/>
                <w:kern w:val="0"/>
                <w:szCs w:val="21"/>
              </w:rPr>
              <w:t>：</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w:t>
            </w:r>
            <w:r w:rsidR="005640A5" w:rsidRPr="00533AE6">
              <w:rPr>
                <w:rStyle w:val="da"/>
                <w:rFonts w:asciiTheme="minorEastAsia" w:eastAsiaTheme="minorEastAsia" w:hAnsiTheme="minorEastAsia" w:hint="eastAsia"/>
              </w:rPr>
              <w:t>中国人民银行和/或中国银行保险监督管理委员会</w:t>
            </w:r>
            <w:r w:rsidRPr="00533AE6">
              <w:rPr>
                <w:rFonts w:asciiTheme="minorEastAsia" w:eastAsiaTheme="minorEastAsia" w:hAnsiTheme="minorEastAsia" w:hint="eastAsia"/>
                <w:kern w:val="0"/>
                <w:szCs w:val="21"/>
              </w:rPr>
              <w:t>；</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《基金法》：</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指2012年12月28日经第十一届全国人民代表大会常务委员会第三十次会议通过的自2013年6月1日起实施的《中华人民共和国证券投资基金法》及不时做出的修订；</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《销售办法》：</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指中国证监会</w:t>
            </w:r>
            <w:r w:rsidRPr="00533AE6">
              <w:rPr>
                <w:rFonts w:asciiTheme="minorEastAsia" w:eastAsiaTheme="minorEastAsia" w:hAnsiTheme="minorEastAsia"/>
                <w:szCs w:val="21"/>
              </w:rPr>
              <w:t>201</w:t>
            </w:r>
            <w:r w:rsidRPr="00533AE6">
              <w:rPr>
                <w:rFonts w:asciiTheme="minorEastAsia" w:eastAsiaTheme="minorEastAsia" w:hAnsiTheme="minorEastAsia" w:hint="eastAsia"/>
                <w:szCs w:val="21"/>
              </w:rPr>
              <w:t>3年3月15日修订，并于同年6月实施的《证券投资基金销售管理办法》及颁布机关对其不时做出的修订；</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《运作办法》：</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指2014年7月7日由中国证监会公布并于同年8月8日起实施的《公开募集证券投资基金运作管理办法》及不时做出的修订；</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szCs w:val="21"/>
              </w:rPr>
            </w:pPr>
            <w:r w:rsidRPr="00533AE6">
              <w:rPr>
                <w:rFonts w:asciiTheme="minorEastAsia" w:eastAsiaTheme="minorEastAsia" w:hAnsiTheme="minorEastAsia" w:hint="eastAsia"/>
                <w:szCs w:val="21"/>
              </w:rPr>
              <w:t>《信息披露办法》：</w:t>
            </w:r>
          </w:p>
        </w:tc>
        <w:tc>
          <w:tcPr>
            <w:tcW w:w="3396" w:type="pct"/>
            <w:vAlign w:val="center"/>
          </w:tcPr>
          <w:p w:rsidR="00E06EC4" w:rsidRPr="00533AE6" w:rsidRDefault="00BD6ED1" w:rsidP="00BD6ED1">
            <w:pPr>
              <w:snapToGrid w:val="0"/>
              <w:spacing w:line="360" w:lineRule="auto"/>
              <w:ind w:leftChars="0" w:left="0" w:firstLineChars="0" w:firstLine="0"/>
              <w:rPr>
                <w:rFonts w:asciiTheme="minorEastAsia" w:eastAsiaTheme="minorEastAsia" w:hAnsiTheme="minorEastAsia"/>
                <w:szCs w:val="21"/>
              </w:rPr>
            </w:pPr>
            <w:r w:rsidRPr="00533AE6">
              <w:rPr>
                <w:rFonts w:asciiTheme="minorEastAsia" w:eastAsiaTheme="minorEastAsia" w:hAnsiTheme="minorEastAsia" w:hint="eastAsia"/>
                <w:szCs w:val="21"/>
              </w:rPr>
              <w:t>指中国证监</w:t>
            </w:r>
            <w:r w:rsidR="00CC28CA" w:rsidRPr="00533AE6">
              <w:rPr>
                <w:rFonts w:asciiTheme="minorEastAsia" w:eastAsiaTheme="minorEastAsia" w:hAnsiTheme="minorEastAsia" w:hint="eastAsia"/>
                <w:szCs w:val="21"/>
              </w:rPr>
              <w:t>会</w:t>
            </w:r>
            <w:r w:rsidRPr="00533AE6">
              <w:rPr>
                <w:rFonts w:asciiTheme="minorEastAsia" w:eastAsiaTheme="minorEastAsia" w:hAnsiTheme="minorEastAsia" w:hint="eastAsia"/>
                <w:szCs w:val="21"/>
              </w:rPr>
              <w:t>2019年7月26日颁布并于同年9月1日实施的《公开募集证券投资基金信息披露管理办法》及不时作出的修订</w:t>
            </w:r>
            <w:r w:rsidR="00E06EC4" w:rsidRPr="00533AE6">
              <w:rPr>
                <w:rFonts w:asciiTheme="minorEastAsia" w:eastAsiaTheme="minorEastAsia" w:hAnsiTheme="minorEastAsia" w:hint="eastAsia"/>
                <w:szCs w:val="21"/>
              </w:rPr>
              <w:t>；</w:t>
            </w:r>
          </w:p>
        </w:tc>
      </w:tr>
      <w:tr w:rsidR="00533AE6" w:rsidRPr="00533AE6" w:rsidTr="00A16E43">
        <w:tc>
          <w:tcPr>
            <w:tcW w:w="1604" w:type="pct"/>
          </w:tcPr>
          <w:p w:rsidR="00CA1512" w:rsidRPr="00533AE6" w:rsidRDefault="00CA1512"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《管理规定》</w:t>
            </w:r>
            <w:r w:rsidRPr="00533AE6">
              <w:rPr>
                <w:rFonts w:asciiTheme="minorEastAsia" w:eastAsiaTheme="minorEastAsia" w:hAnsiTheme="minorEastAsia"/>
                <w:kern w:val="0"/>
                <w:szCs w:val="21"/>
              </w:rPr>
              <w:t>:</w:t>
            </w:r>
          </w:p>
          <w:p w:rsidR="00CA1512" w:rsidRPr="00533AE6" w:rsidRDefault="00CA1512" w:rsidP="00A16E43">
            <w:pPr>
              <w:snapToGrid w:val="0"/>
              <w:spacing w:line="360" w:lineRule="auto"/>
              <w:ind w:leftChars="0" w:left="0" w:firstLineChars="0" w:firstLine="0"/>
              <w:rPr>
                <w:rFonts w:asciiTheme="minorEastAsia" w:eastAsiaTheme="minorEastAsia" w:hAnsiTheme="minorEastAsia"/>
                <w:kern w:val="0"/>
                <w:szCs w:val="21"/>
              </w:rPr>
            </w:pPr>
          </w:p>
          <w:p w:rsidR="00CA1512" w:rsidRPr="00533AE6" w:rsidRDefault="00CA1512" w:rsidP="00A16E43">
            <w:pPr>
              <w:snapToGrid w:val="0"/>
              <w:spacing w:line="360" w:lineRule="auto"/>
              <w:ind w:leftChars="0" w:left="0" w:firstLineChars="0" w:firstLine="0"/>
              <w:rPr>
                <w:rFonts w:asciiTheme="minorEastAsia" w:eastAsiaTheme="minorEastAsia" w:hAnsiTheme="minorEastAsia"/>
                <w:kern w:val="0"/>
                <w:szCs w:val="21"/>
              </w:rPr>
            </w:pPr>
          </w:p>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元：</w:t>
            </w:r>
          </w:p>
        </w:tc>
        <w:tc>
          <w:tcPr>
            <w:tcW w:w="3396" w:type="pct"/>
            <w:vAlign w:val="center"/>
          </w:tcPr>
          <w:p w:rsidR="00CA1512" w:rsidRPr="00533AE6" w:rsidRDefault="00CA1512"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指中国证监会</w:t>
            </w:r>
            <w:r w:rsidRPr="00533AE6">
              <w:rPr>
                <w:rFonts w:asciiTheme="minorEastAsia" w:eastAsiaTheme="minorEastAsia" w:hAnsiTheme="minorEastAsia"/>
                <w:kern w:val="0"/>
                <w:szCs w:val="21"/>
              </w:rPr>
              <w:t>2017</w:t>
            </w:r>
            <w:r w:rsidRPr="00533AE6">
              <w:rPr>
                <w:rFonts w:asciiTheme="minorEastAsia" w:eastAsiaTheme="minorEastAsia" w:hAnsiTheme="minorEastAsia" w:hint="eastAsia"/>
                <w:kern w:val="0"/>
                <w:szCs w:val="21"/>
              </w:rPr>
              <w:t>年</w:t>
            </w:r>
            <w:r w:rsidRPr="00533AE6">
              <w:rPr>
                <w:rFonts w:asciiTheme="minorEastAsia" w:eastAsiaTheme="minorEastAsia" w:hAnsiTheme="minorEastAsia"/>
                <w:kern w:val="0"/>
                <w:szCs w:val="21"/>
              </w:rPr>
              <w:t>8</w:t>
            </w:r>
            <w:r w:rsidRPr="00533AE6">
              <w:rPr>
                <w:rFonts w:asciiTheme="minorEastAsia" w:eastAsiaTheme="minorEastAsia" w:hAnsiTheme="minorEastAsia" w:hint="eastAsia"/>
                <w:kern w:val="0"/>
                <w:szCs w:val="21"/>
              </w:rPr>
              <w:t>月</w:t>
            </w:r>
            <w:r w:rsidRPr="00533AE6">
              <w:rPr>
                <w:rFonts w:asciiTheme="minorEastAsia" w:eastAsiaTheme="minorEastAsia" w:hAnsiTheme="minorEastAsia"/>
                <w:kern w:val="0"/>
                <w:szCs w:val="21"/>
              </w:rPr>
              <w:t>31</w:t>
            </w:r>
            <w:r w:rsidRPr="00533AE6">
              <w:rPr>
                <w:rFonts w:asciiTheme="minorEastAsia" w:eastAsiaTheme="minorEastAsia" w:hAnsiTheme="minorEastAsia" w:hint="eastAsia"/>
                <w:kern w:val="0"/>
                <w:szCs w:val="21"/>
              </w:rPr>
              <w:t>日颁布、同年</w:t>
            </w:r>
            <w:r w:rsidRPr="00533AE6">
              <w:rPr>
                <w:rFonts w:asciiTheme="minorEastAsia" w:eastAsiaTheme="minorEastAsia" w:hAnsiTheme="minorEastAsia"/>
                <w:kern w:val="0"/>
                <w:szCs w:val="21"/>
              </w:rPr>
              <w:t>10</w:t>
            </w:r>
            <w:r w:rsidRPr="00533AE6">
              <w:rPr>
                <w:rFonts w:asciiTheme="minorEastAsia" w:eastAsiaTheme="minorEastAsia" w:hAnsiTheme="minorEastAsia" w:hint="eastAsia"/>
                <w:kern w:val="0"/>
                <w:szCs w:val="21"/>
              </w:rPr>
              <w:t>月</w:t>
            </w:r>
            <w:r w:rsidRPr="00533AE6">
              <w:rPr>
                <w:rFonts w:asciiTheme="minorEastAsia" w:eastAsiaTheme="minorEastAsia" w:hAnsiTheme="minorEastAsia"/>
                <w:kern w:val="0"/>
                <w:szCs w:val="21"/>
              </w:rPr>
              <w:t>1</w:t>
            </w:r>
            <w:r w:rsidRPr="00533AE6">
              <w:rPr>
                <w:rFonts w:asciiTheme="minorEastAsia" w:eastAsiaTheme="minorEastAsia" w:hAnsiTheme="minorEastAsia" w:hint="eastAsia"/>
                <w:kern w:val="0"/>
                <w:szCs w:val="21"/>
              </w:rPr>
              <w:t>日实施的《公开募集开放式证券投资基金流动性风险管理规定》及颁布机关对其不时做出的修订；</w:t>
            </w:r>
          </w:p>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指人民币元；</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指易方达基金管理有限公司；</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lastRenderedPageBreak/>
              <w:t>基金托管人：</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指中国银行股份有限公司；</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注册登记业务：</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指本基金登记、存管、清算和交收业务，具体内容包括投资者基金账户管理、基金份额注册登记、清算及基金交易确认、发放红利、建立并保管基金份额持有人名册等；</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注册登记机构：</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指办理本基金注册登记业务的机构。本基金的注册登记机构为易方达基金管理有限公司或接受易方达基金管理有限公司委托代为办理本基金注册登记业务的机构；</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投资者、基金投资者：</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指符合法律法规规定的个人投资者、机构投资者、合格境外机构投资者和法律法规或中国证监会允许购买证券投资基金的其他投资者；</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个人投资者：</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指依据中华人民共和国有关法律法规可以投资于证券投资基金的自然人；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机构投资者：</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指在中国境内合法注册登记或经有权政府部门批准设立和有效存续并依法可以投资于证券投资基金的企业法人、事业法人、社会团体或其他组织；</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合格境外机构投资者：</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指符合《合格境外机构投资者境内证券投资管理办法》及相关法律法规规定可以投资于在中国境内依法募集的证券投资基金的中国境外的机构投资者；</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基金份额持有人大会：</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指按照基金合同第九部分之规定召集、召开并由基金份额持有人或其合法的代理人进行表决的会议；</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基金募集期：</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指基金合同和招募说明书中载明，并经中国证监会核准的基金份额募集期限，自基金份额发售之日起最长不超过3个月；</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基金合同生效日：</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指募集结束，</w:t>
            </w:r>
            <w:r w:rsidRPr="00533AE6">
              <w:rPr>
                <w:rFonts w:asciiTheme="minorEastAsia" w:eastAsiaTheme="minorEastAsia" w:hAnsiTheme="minorEastAsia" w:hint="eastAsia"/>
                <w:szCs w:val="21"/>
              </w:rPr>
              <w:t>基金募集的基金份额总额、募集金额和基金份额持有人人数符合相关法律法规和基金合同规定的</w:t>
            </w:r>
            <w:r w:rsidRPr="00533AE6">
              <w:rPr>
                <w:rFonts w:asciiTheme="minorEastAsia" w:eastAsiaTheme="minorEastAsia" w:hAnsiTheme="minorEastAsia" w:hint="eastAsia"/>
                <w:kern w:val="0"/>
                <w:szCs w:val="21"/>
              </w:rPr>
              <w:t>，基金管理人依据《基金法》向中国证监会办理备案手续后，中国证监会的书面确认之日；</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存续期：</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指基金合同生效至终止之间的不定期期限；</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日/天：</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指公历日</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工作日、交易日：</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指上海证券交易所和深圳证券交易所的正常交易日；</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认购：</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指在基金募集期内，投资者按照基金合同的规定申请购买本基金基金份额的行为；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申购：</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指在基金合同生效后的存续期间，投资者申请购买本基金基</w:t>
            </w:r>
            <w:r w:rsidRPr="00533AE6">
              <w:rPr>
                <w:rFonts w:asciiTheme="minorEastAsia" w:eastAsiaTheme="minorEastAsia" w:hAnsiTheme="minorEastAsia" w:hint="eastAsia"/>
                <w:kern w:val="0"/>
                <w:szCs w:val="21"/>
              </w:rPr>
              <w:lastRenderedPageBreak/>
              <w:t>金份额的行为；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lastRenderedPageBreak/>
              <w:t>赎回：</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指在基金合同生效后的存续期间，基金份额持有人</w:t>
            </w:r>
            <w:r w:rsidRPr="00533AE6">
              <w:rPr>
                <w:rFonts w:asciiTheme="minorEastAsia" w:eastAsiaTheme="minorEastAsia" w:hAnsiTheme="minorEastAsia" w:hint="eastAsia"/>
                <w:szCs w:val="21"/>
              </w:rPr>
              <w:t>按基金合同规定的条件要求基金管理人购回</w:t>
            </w:r>
            <w:r w:rsidRPr="00533AE6">
              <w:rPr>
                <w:rFonts w:asciiTheme="minorEastAsia" w:eastAsiaTheme="minorEastAsia" w:hAnsiTheme="minorEastAsia" w:hint="eastAsia"/>
                <w:kern w:val="0"/>
                <w:szCs w:val="21"/>
              </w:rPr>
              <w:t>本基金基金份额的行为；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基金转换：</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指基金份额持有人按基金管理人规定的条件，申请将其持有的基金管理人管理的某一基金的基金份额转换为基金管理人管理的其他基金的基金份额的行为；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转托管：</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指基金份额持有人将其基金账户内的某一基金的基金份额从一个销售机构托管到另一销售机构的行为；</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指令：</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指基金管理人在运用基金财产进行投资时，向基金托管人发出的资金划拨及实物券调拨等指令；</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非直销销售机构：</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Style w:val="da"/>
                <w:rFonts w:asciiTheme="minorEastAsia" w:eastAsiaTheme="minorEastAsia" w:hAnsiTheme="minorEastAsia" w:hint="eastAsia"/>
                <w:szCs w:val="21"/>
              </w:rPr>
              <w:t>指符合《销售办法》和中国证监会规定的其他条件，取得基金销售业务资格并与基金管理人签订了基金销售服务协议，办理基金销售业务的机构</w:t>
            </w:r>
            <w:r w:rsidRPr="00533AE6">
              <w:rPr>
                <w:rFonts w:asciiTheme="minorEastAsia" w:eastAsiaTheme="minorEastAsia" w:hAnsiTheme="minorEastAsia" w:hint="eastAsia"/>
                <w:kern w:val="0"/>
                <w:szCs w:val="21"/>
              </w:rPr>
              <w:t>；</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直销机构：</w:t>
            </w:r>
          </w:p>
        </w:tc>
        <w:tc>
          <w:tcPr>
            <w:tcW w:w="3396" w:type="pct"/>
            <w:vAlign w:val="center"/>
          </w:tcPr>
          <w:p w:rsidR="00E06EC4" w:rsidRPr="00533AE6" w:rsidRDefault="00E06EC4" w:rsidP="00A16E43">
            <w:pPr>
              <w:snapToGrid w:val="0"/>
              <w:spacing w:line="360" w:lineRule="auto"/>
              <w:ind w:leftChars="0" w:left="0" w:firstLineChars="0" w:firstLine="0"/>
              <w:rPr>
                <w:rStyle w:val="da"/>
                <w:rFonts w:asciiTheme="minorEastAsia" w:eastAsiaTheme="minorEastAsia" w:hAnsiTheme="minorEastAsia"/>
                <w:szCs w:val="21"/>
              </w:rPr>
            </w:pPr>
            <w:r w:rsidRPr="00533AE6">
              <w:rPr>
                <w:rStyle w:val="da"/>
                <w:rFonts w:asciiTheme="minorEastAsia" w:eastAsiaTheme="minorEastAsia" w:hAnsiTheme="minorEastAsia" w:hint="eastAsia"/>
                <w:szCs w:val="21"/>
              </w:rPr>
              <w:t>指易方达基金管理有限公司；</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销售机构：</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指直销机构和非直销销售机构；</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基金销售网点：</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指基金管理人的直销网点及</w:t>
            </w:r>
            <w:r w:rsidRPr="00533AE6">
              <w:rPr>
                <w:rStyle w:val="da"/>
                <w:rFonts w:asciiTheme="minorEastAsia" w:eastAsiaTheme="minorEastAsia" w:hAnsiTheme="minorEastAsia" w:hint="eastAsia"/>
                <w:szCs w:val="21"/>
              </w:rPr>
              <w:t>非直销销售机构</w:t>
            </w:r>
            <w:r w:rsidRPr="00533AE6">
              <w:rPr>
                <w:rFonts w:asciiTheme="minorEastAsia" w:eastAsiaTheme="minorEastAsia" w:hAnsiTheme="minorEastAsia" w:hint="eastAsia"/>
                <w:szCs w:val="21"/>
              </w:rPr>
              <w:t>的销售网点</w:t>
            </w:r>
            <w:r w:rsidRPr="00533AE6">
              <w:rPr>
                <w:rFonts w:asciiTheme="minorEastAsia" w:eastAsiaTheme="minorEastAsia" w:hAnsiTheme="minorEastAsia" w:hint="eastAsia"/>
                <w:kern w:val="0"/>
                <w:szCs w:val="21"/>
              </w:rPr>
              <w:t>；</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指定</w:t>
            </w:r>
            <w:r w:rsidR="00BD6ED1" w:rsidRPr="00533AE6">
              <w:rPr>
                <w:rFonts w:asciiTheme="minorEastAsia" w:eastAsiaTheme="minorEastAsia" w:hAnsiTheme="minorEastAsia" w:hint="eastAsia"/>
                <w:kern w:val="0"/>
                <w:szCs w:val="21"/>
              </w:rPr>
              <w:t>媒介</w:t>
            </w:r>
            <w:r w:rsidRPr="00533AE6">
              <w:rPr>
                <w:rFonts w:asciiTheme="minorEastAsia" w:eastAsiaTheme="minorEastAsia" w:hAnsiTheme="minorEastAsia" w:hint="eastAsia"/>
                <w:kern w:val="0"/>
                <w:szCs w:val="21"/>
              </w:rPr>
              <w:t>：</w:t>
            </w:r>
          </w:p>
        </w:tc>
        <w:tc>
          <w:tcPr>
            <w:tcW w:w="3396" w:type="pct"/>
            <w:vAlign w:val="center"/>
          </w:tcPr>
          <w:p w:rsidR="00E06EC4" w:rsidRPr="00533AE6" w:rsidRDefault="00BD6ED1"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指中国证监会指定的用以进行信息披露的全国性报刊及指定互联网网站（包括基金管理人网站、基金托管人网站、中国证监会基金电子披露网站）等媒介；</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基金账户：</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指注册登记机构为基金投资者开立的记录其持有的由该注册登记机构办理注册登记的基金份额余额及其变动情况的账户；</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交易账户：</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指销售机构为投资者开立的记录投资者通过该销售机构办理认购、申购、赎回、转换及转托管等业务而引起的基金份额的变动及结余情况的账户；</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开放日：</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指为投资者办理基金申购、赎回等业务的工作日；</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T日：</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指销售机构在招募说明书规定时间受理投资者申购、赎回或其他业务申请的工作日；</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T+n日</w:t>
            </w:r>
            <w:r w:rsidRPr="00533AE6">
              <w:rPr>
                <w:rFonts w:asciiTheme="minorEastAsia" w:eastAsiaTheme="minorEastAsia" w:hAnsiTheme="minorEastAsia" w:hint="eastAsia"/>
                <w:szCs w:val="21"/>
              </w:rPr>
              <w:t>：</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指T日后（不包括T日）第n个工作日，n指自然数；</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基金利润：</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指基金利息收入、投资收益、公允价值变动收益和其他收入扣除相关费用后的余额；</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基金资产总值：</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szCs w:val="21"/>
              </w:rPr>
            </w:pPr>
            <w:r w:rsidRPr="00533AE6">
              <w:rPr>
                <w:rFonts w:asciiTheme="minorEastAsia" w:eastAsiaTheme="minorEastAsia" w:hAnsiTheme="minorEastAsia" w:hint="eastAsia"/>
                <w:szCs w:val="21"/>
              </w:rPr>
              <w:t>指基金所持有的各类有价证券、银行存款本息、基金的应收</w:t>
            </w:r>
            <w:r w:rsidRPr="00533AE6">
              <w:rPr>
                <w:rFonts w:asciiTheme="minorEastAsia" w:eastAsiaTheme="minorEastAsia" w:hAnsiTheme="minorEastAsia" w:hint="eastAsia"/>
                <w:szCs w:val="21"/>
              </w:rPr>
              <w:lastRenderedPageBreak/>
              <w:t>款项和其他投资所形成的价值总和；</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lastRenderedPageBreak/>
              <w:t>基金资产净值：</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指基金资产总值减去基金负债后的价值；</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基金份额净值</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szCs w:val="21"/>
              </w:rPr>
              <w:t>指以计算日基金资产净值除以计算日基金份额余额所得的单位基金份额的价值；</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基金资产估值：</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指计算、评估基金资产和负债的价值，以确定基金资产净值和基金份额净值的过程；</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法律法规：</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指中华人民共和国现行有效的法律、行政法规、司法解释、地方法规、地方规章、部门规章及其他规范性文件以及对于该等法律法规的不时修改和补充；</w:t>
            </w:r>
          </w:p>
        </w:tc>
      </w:tr>
      <w:tr w:rsidR="00533AE6" w:rsidRPr="00533AE6" w:rsidTr="00A16E43">
        <w:tc>
          <w:tcPr>
            <w:tcW w:w="1604" w:type="pct"/>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不可抗力：</w:t>
            </w:r>
          </w:p>
        </w:tc>
        <w:tc>
          <w:tcPr>
            <w:tcW w:w="3396" w:type="pct"/>
            <w:vAlign w:val="center"/>
          </w:tcPr>
          <w:p w:rsidR="00E06EC4" w:rsidRPr="00533AE6" w:rsidRDefault="00E06EC4"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任何无法预见、无法克服、无法避免的事件和因素，包括但不限于洪水、地震及其他自然灾害、战争、疫情、骚乱、火灾、政府征用、没收、法律法规变化、突发停电、电脑系统或数据传输系统非正常停止以及其他突发事件、证券交易场所非正常暂停或停止交易等。</w:t>
            </w:r>
          </w:p>
        </w:tc>
      </w:tr>
      <w:tr w:rsidR="00A544F0" w:rsidRPr="00533AE6" w:rsidTr="00A16E43">
        <w:tc>
          <w:tcPr>
            <w:tcW w:w="1604" w:type="pct"/>
          </w:tcPr>
          <w:p w:rsidR="00A544F0" w:rsidRPr="00533AE6" w:rsidRDefault="00A544F0"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流动性受限资产:</w:t>
            </w:r>
          </w:p>
        </w:tc>
        <w:tc>
          <w:tcPr>
            <w:tcW w:w="3396" w:type="pct"/>
            <w:vAlign w:val="center"/>
          </w:tcPr>
          <w:p w:rsidR="00A544F0" w:rsidRPr="00533AE6" w:rsidRDefault="00A544F0" w:rsidP="00A16E43">
            <w:pPr>
              <w:snapToGrid w:val="0"/>
              <w:spacing w:line="360" w:lineRule="auto"/>
              <w:ind w:leftChars="0" w:left="0" w:firstLineChars="0" w:firstLine="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指由于法律法规、监管、合同或操作障碍等原因无法以合理价格予以变现的资产，包括但不限于到期日在</w:t>
            </w:r>
            <w:r w:rsidRPr="00533AE6">
              <w:rPr>
                <w:rFonts w:asciiTheme="minorEastAsia" w:eastAsiaTheme="minorEastAsia" w:hAnsiTheme="minorEastAsia"/>
                <w:kern w:val="0"/>
                <w:szCs w:val="21"/>
              </w:rPr>
              <w:t>10</w:t>
            </w:r>
            <w:r w:rsidRPr="00533AE6">
              <w:rPr>
                <w:rFonts w:asciiTheme="minorEastAsia" w:eastAsiaTheme="minorEastAsia" w:hAnsiTheme="minorEastAsia" w:hint="eastAsia"/>
                <w:kern w:val="0"/>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bl>
    <w:p w:rsidR="00E06EC4" w:rsidRPr="00533AE6" w:rsidRDefault="00E06EC4" w:rsidP="005A15F8">
      <w:pPr>
        <w:snapToGrid w:val="0"/>
        <w:spacing w:line="360" w:lineRule="auto"/>
        <w:ind w:left="-420" w:firstLine="420"/>
        <w:rPr>
          <w:rFonts w:asciiTheme="minorEastAsia" w:eastAsiaTheme="minorEastAsia" w:hAnsiTheme="minorEastAsia"/>
          <w:szCs w:val="21"/>
        </w:rPr>
      </w:pPr>
    </w:p>
    <w:p w:rsidR="00E06EC4" w:rsidRPr="00533AE6" w:rsidRDefault="00E06EC4" w:rsidP="005A15F8">
      <w:pPr>
        <w:snapToGrid w:val="0"/>
        <w:spacing w:line="360" w:lineRule="auto"/>
        <w:ind w:left="-420" w:firstLine="420"/>
        <w:rPr>
          <w:rFonts w:asciiTheme="minorEastAsia" w:eastAsiaTheme="minorEastAsia" w:hAnsiTheme="minorEastAsia"/>
          <w:szCs w:val="21"/>
        </w:rPr>
      </w:pPr>
    </w:p>
    <w:p w:rsidR="004B7DBE" w:rsidRPr="00533AE6" w:rsidRDefault="004B7DBE" w:rsidP="005A15F8">
      <w:pPr>
        <w:snapToGrid w:val="0"/>
        <w:spacing w:line="360" w:lineRule="auto"/>
        <w:ind w:left="-420" w:firstLine="420"/>
        <w:rPr>
          <w:rFonts w:asciiTheme="minorEastAsia" w:eastAsiaTheme="minorEastAsia" w:hAnsiTheme="minorEastAsia"/>
        </w:rPr>
        <w:sectPr w:rsidR="004B7DBE" w:rsidRPr="00533AE6" w:rsidSect="00E334F9">
          <w:pgSz w:w="11907" w:h="16840" w:code="9"/>
          <w:pgMar w:top="1701" w:right="1814" w:bottom="1701" w:left="1814" w:header="851" w:footer="992" w:gutter="0"/>
          <w:pgNumType w:start="1"/>
          <w:cols w:space="425"/>
          <w:docGrid w:type="lines" w:linePitch="312"/>
        </w:sectPr>
      </w:pPr>
    </w:p>
    <w:p w:rsidR="00266A27" w:rsidRPr="00533AE6" w:rsidRDefault="00266A27" w:rsidP="005A15F8">
      <w:pPr>
        <w:pStyle w:val="111"/>
        <w:snapToGrid w:val="0"/>
        <w:spacing w:beforeLines="0" w:afterLines="0" w:line="360" w:lineRule="auto"/>
        <w:ind w:left="-420" w:firstLineChars="0" w:firstLine="0"/>
        <w:rPr>
          <w:rFonts w:asciiTheme="minorEastAsia" w:eastAsiaTheme="minorEastAsia" w:hAnsiTheme="minorEastAsia"/>
          <w:szCs w:val="32"/>
        </w:rPr>
      </w:pPr>
      <w:bookmarkStart w:id="4" w:name="_Toc46933201"/>
      <w:r w:rsidRPr="00533AE6">
        <w:rPr>
          <w:rFonts w:asciiTheme="minorEastAsia" w:eastAsiaTheme="minorEastAsia" w:hAnsiTheme="minorEastAsia" w:hint="eastAsia"/>
          <w:szCs w:val="32"/>
        </w:rPr>
        <w:lastRenderedPageBreak/>
        <w:t>三、基金管理人</w:t>
      </w:r>
      <w:bookmarkEnd w:id="4"/>
    </w:p>
    <w:p w:rsidR="00394FFF" w:rsidRPr="00533AE6" w:rsidRDefault="00394FFF" w:rsidP="005A15F8">
      <w:pPr>
        <w:pStyle w:val="20"/>
        <w:snapToGrid w:val="0"/>
        <w:spacing w:beforeLines="0" w:afterLines="0" w:line="360" w:lineRule="auto"/>
        <w:ind w:left="-420" w:firstLineChars="0" w:firstLine="0"/>
        <w:rPr>
          <w:rFonts w:asciiTheme="minorEastAsia" w:eastAsiaTheme="minorEastAsia" w:hAnsiTheme="minorEastAsia"/>
          <w:sz w:val="21"/>
        </w:rPr>
      </w:pPr>
      <w:bookmarkStart w:id="5" w:name="_Toc133292563"/>
      <w:bookmarkStart w:id="6" w:name="_Toc163189520"/>
      <w:bookmarkStart w:id="7" w:name="_Toc46933202"/>
      <w:r w:rsidRPr="00533AE6">
        <w:rPr>
          <w:rFonts w:asciiTheme="minorEastAsia" w:eastAsiaTheme="minorEastAsia" w:hAnsiTheme="minorEastAsia" w:cs="仿宋_GB2312" w:hint="eastAsia"/>
          <w:b w:val="0"/>
          <w:bCs/>
          <w:kern w:val="0"/>
          <w:szCs w:val="24"/>
        </w:rPr>
        <w:t>（一）</w:t>
      </w:r>
      <w:r w:rsidRPr="00533AE6">
        <w:rPr>
          <w:rFonts w:asciiTheme="minorEastAsia" w:eastAsiaTheme="minorEastAsia" w:hAnsiTheme="minorEastAsia" w:cs="仿宋_GB2312"/>
          <w:b w:val="0"/>
          <w:bCs/>
          <w:kern w:val="0"/>
          <w:szCs w:val="24"/>
        </w:rPr>
        <w:t>基金管理人</w:t>
      </w:r>
      <w:r w:rsidRPr="00533AE6">
        <w:rPr>
          <w:rFonts w:asciiTheme="minorEastAsia" w:eastAsiaTheme="minorEastAsia" w:hAnsiTheme="minorEastAsia" w:cs="仿宋_GB2312" w:hint="eastAsia"/>
          <w:b w:val="0"/>
          <w:bCs/>
          <w:kern w:val="0"/>
          <w:szCs w:val="24"/>
        </w:rPr>
        <w:t>基本情况</w:t>
      </w:r>
      <w:bookmarkEnd w:id="5"/>
      <w:bookmarkEnd w:id="6"/>
      <w:bookmarkEnd w:id="7"/>
    </w:p>
    <w:p w:rsidR="00124E75" w:rsidRPr="00533AE6" w:rsidRDefault="00587E38"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kern w:val="0"/>
        </w:rPr>
        <w:t>1、</w:t>
      </w:r>
      <w:r w:rsidR="00B03C61" w:rsidRPr="00533AE6">
        <w:rPr>
          <w:rFonts w:asciiTheme="minorEastAsia" w:eastAsiaTheme="minorEastAsia" w:hAnsiTheme="minorEastAsia" w:hint="eastAsia"/>
          <w:kern w:val="0"/>
        </w:rPr>
        <w:t>基金管理人：</w:t>
      </w:r>
      <w:r w:rsidR="00124E75" w:rsidRPr="00533AE6">
        <w:rPr>
          <w:rFonts w:asciiTheme="minorEastAsia" w:eastAsiaTheme="minorEastAsia" w:hAnsiTheme="minorEastAsia"/>
        </w:rPr>
        <w:t>易方达基金管理有限公司</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注册地址：</w:t>
      </w:r>
      <w:r w:rsidR="00A238F0" w:rsidRPr="00533AE6">
        <w:rPr>
          <w:rFonts w:asciiTheme="minorEastAsia" w:eastAsiaTheme="minorEastAsia" w:hAnsiTheme="minorEastAsia"/>
        </w:rPr>
        <w:t>广东省珠海市横琴新区宝华路6号105室－42891（集中办公区）</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办公地址：广州市天河区珠江新城珠江东路30号广州银行大厦40-43楼</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设立日期：2001年4月17日</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法定代表人：刘晓艳</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联系电话：4008818088</w:t>
      </w:r>
    </w:p>
    <w:p w:rsidR="00124E75" w:rsidRPr="00533AE6" w:rsidRDefault="00124E7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w:t>
      </w:r>
      <w:r w:rsidR="00393684" w:rsidRPr="00533AE6">
        <w:rPr>
          <w:rFonts w:asciiTheme="minorEastAsia" w:eastAsiaTheme="minorEastAsia" w:hAnsiTheme="minorEastAsia" w:hint="eastAsia"/>
        </w:rPr>
        <w:t>李红</w:t>
      </w:r>
      <w:r w:rsidR="00393684" w:rsidRPr="00533AE6">
        <w:rPr>
          <w:rFonts w:asciiTheme="minorEastAsia" w:eastAsiaTheme="minorEastAsia" w:hAnsiTheme="minorEastAsia"/>
        </w:rPr>
        <w:t>枫</w:t>
      </w:r>
    </w:p>
    <w:p w:rsidR="008460CC" w:rsidRPr="00533AE6" w:rsidRDefault="00D55D4E" w:rsidP="005A15F8">
      <w:pPr>
        <w:pStyle w:val="af"/>
        <w:autoSpaceDE w:val="0"/>
        <w:autoSpaceDN w:val="0"/>
        <w:adjustRightInd w:val="0"/>
        <w:snapToGrid w:val="0"/>
        <w:spacing w:line="360" w:lineRule="auto"/>
        <w:ind w:left="-420"/>
        <w:rPr>
          <w:rFonts w:asciiTheme="minorEastAsia" w:eastAsiaTheme="minorEastAsia" w:hAnsiTheme="minorEastAsia"/>
          <w:kern w:val="0"/>
        </w:rPr>
      </w:pPr>
      <w:r w:rsidRPr="00533AE6">
        <w:rPr>
          <w:rFonts w:asciiTheme="minorEastAsia" w:eastAsiaTheme="minorEastAsia" w:hAnsiTheme="minorEastAsia"/>
        </w:rPr>
        <w:t>注册资本：13,244.2万元人民币</w:t>
      </w:r>
    </w:p>
    <w:p w:rsidR="00124E75" w:rsidRPr="00533AE6" w:rsidRDefault="00587E38"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cs="仿宋_GB2312" w:hint="eastAsia"/>
          <w:kern w:val="0"/>
        </w:rPr>
        <w:t>2、</w:t>
      </w:r>
      <w:r w:rsidR="008460CC" w:rsidRPr="00533AE6">
        <w:rPr>
          <w:rFonts w:asciiTheme="minorEastAsia" w:eastAsiaTheme="minorEastAsia" w:hAnsiTheme="minorEastAsia" w:cs="仿宋_GB2312" w:hint="eastAsia"/>
          <w:kern w:val="0"/>
        </w:rPr>
        <w:t>股权结构：</w:t>
      </w:r>
      <w:bookmarkStart w:id="8" w:name="_Toc133292564"/>
      <w:bookmarkStart w:id="9" w:name="_Toc1631895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4042"/>
      </w:tblGrid>
      <w:tr w:rsidR="00533AE6" w:rsidRPr="00533AE6" w:rsidTr="00124E75">
        <w:trPr>
          <w:jc w:val="center"/>
        </w:trPr>
        <w:tc>
          <w:tcPr>
            <w:tcW w:w="2621" w:type="pct"/>
            <w:vAlign w:val="center"/>
          </w:tcPr>
          <w:p w:rsidR="00124E75" w:rsidRPr="00533AE6" w:rsidRDefault="00124E75" w:rsidP="005A15F8">
            <w:pPr>
              <w:snapToGrid w:val="0"/>
              <w:spacing w:line="36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szCs w:val="21"/>
              </w:rPr>
              <w:t>股东名称</w:t>
            </w:r>
          </w:p>
        </w:tc>
        <w:tc>
          <w:tcPr>
            <w:tcW w:w="2379" w:type="pct"/>
            <w:vAlign w:val="center"/>
          </w:tcPr>
          <w:p w:rsidR="00124E75" w:rsidRPr="00533AE6" w:rsidRDefault="00124E75" w:rsidP="005A15F8">
            <w:pPr>
              <w:snapToGrid w:val="0"/>
              <w:spacing w:line="36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szCs w:val="21"/>
              </w:rPr>
              <w:t>出资比例</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广东粤财信托有限公司</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22.6514％</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广发证券股份有限公司</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22.6514％</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盈峰控股集团有限公司</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22.6514％</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广东省广晟资产经营有限公司</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15.1010％</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广州市广永国有资产经营有限公司</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7.5505％</w:t>
            </w:r>
          </w:p>
        </w:tc>
      </w:tr>
      <w:tr w:rsidR="00533AE6" w:rsidRPr="00533AE6">
        <w:trPr>
          <w:jc w:val="center"/>
        </w:trPr>
        <w:tc>
          <w:tcPr>
            <w:tcW w:w="0" w:type="auto"/>
            <w:vAlign w:val="center"/>
          </w:tcPr>
          <w:p w:rsidR="00896494"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珠海祺荣宝股权投资合伙企业（有限合伙）</w:t>
            </w:r>
          </w:p>
        </w:tc>
        <w:tc>
          <w:tcPr>
            <w:tcW w:w="0" w:type="auto"/>
            <w:vAlign w:val="center"/>
          </w:tcPr>
          <w:p w:rsidR="00896494"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1.5087％</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珠海祺泰宝股权投资合伙企业（有限合伙）</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1.6205％</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珠海祺丰宝股权投资合伙企业（有限合伙）</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1.5309％</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珠海聚莱康股权投资合伙企业（有限合伙）</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1.7558％</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珠海聚宁康股权投资合伙企业（有限合伙）</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1.4396％</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珠海聚弘康股权投资合伙企业（有限合伙）</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1.5388％</w:t>
            </w:r>
          </w:p>
        </w:tc>
      </w:tr>
      <w:tr w:rsidR="00533AE6" w:rsidRPr="00533AE6">
        <w:trPr>
          <w:jc w:val="center"/>
        </w:trPr>
        <w:tc>
          <w:tcPr>
            <w:tcW w:w="0" w:type="auto"/>
            <w:vAlign w:val="center"/>
          </w:tcPr>
          <w:p w:rsidR="00D55D4E" w:rsidRPr="00533AE6" w:rsidRDefault="00D55D4E">
            <w:pPr>
              <w:ind w:left="-420" w:firstLine="420"/>
              <w:jc w:val="left"/>
              <w:rPr>
                <w:rFonts w:asciiTheme="minorEastAsia" w:eastAsiaTheme="minorEastAsia" w:hAnsiTheme="minorEastAsia"/>
              </w:rPr>
            </w:pPr>
            <w:r w:rsidRPr="00533AE6">
              <w:rPr>
                <w:rFonts w:asciiTheme="minorEastAsia" w:eastAsiaTheme="minorEastAsia" w:hAnsiTheme="minorEastAsia" w:hint="eastAsia"/>
              </w:rPr>
              <w:t>总</w:t>
            </w:r>
            <w:r w:rsidRPr="00533AE6">
              <w:rPr>
                <w:rFonts w:asciiTheme="minorEastAsia" w:eastAsiaTheme="minorEastAsia" w:hAnsiTheme="minorEastAsia"/>
              </w:rPr>
              <w:t>计</w:t>
            </w:r>
          </w:p>
        </w:tc>
        <w:tc>
          <w:tcPr>
            <w:tcW w:w="0" w:type="auto"/>
            <w:vAlign w:val="center"/>
          </w:tcPr>
          <w:p w:rsidR="00D55D4E" w:rsidRPr="00533AE6" w:rsidRDefault="00D55D4E">
            <w:pPr>
              <w:ind w:left="-420" w:firstLine="420"/>
              <w:jc w:val="center"/>
              <w:rPr>
                <w:rFonts w:asciiTheme="minorEastAsia" w:eastAsiaTheme="minorEastAsia" w:hAnsiTheme="minorEastAsia"/>
              </w:rPr>
            </w:pPr>
            <w:r w:rsidRPr="00533AE6">
              <w:rPr>
                <w:rFonts w:asciiTheme="minorEastAsia" w:eastAsiaTheme="minorEastAsia" w:hAnsiTheme="minorEastAsia"/>
              </w:rPr>
              <w:t>100％</w:t>
            </w:r>
          </w:p>
        </w:tc>
      </w:tr>
    </w:tbl>
    <w:p w:rsidR="00394FFF" w:rsidRPr="00533AE6" w:rsidRDefault="00394FFF" w:rsidP="005A15F8">
      <w:pPr>
        <w:pStyle w:val="20"/>
        <w:snapToGrid w:val="0"/>
        <w:spacing w:beforeLines="0" w:afterLines="0" w:line="360" w:lineRule="auto"/>
        <w:ind w:left="-420" w:firstLineChars="0" w:firstLine="0"/>
        <w:rPr>
          <w:rFonts w:asciiTheme="minorEastAsia" w:eastAsiaTheme="minorEastAsia" w:hAnsiTheme="minorEastAsia" w:cs="仿宋_GB2312"/>
          <w:b w:val="0"/>
          <w:bCs/>
          <w:kern w:val="0"/>
          <w:szCs w:val="24"/>
        </w:rPr>
      </w:pPr>
      <w:bookmarkStart w:id="10" w:name="_Toc46933203"/>
      <w:r w:rsidRPr="00533AE6">
        <w:rPr>
          <w:rFonts w:asciiTheme="minorEastAsia" w:eastAsiaTheme="minorEastAsia" w:hAnsiTheme="minorEastAsia" w:hint="eastAsia"/>
          <w:b w:val="0"/>
          <w:bCs/>
          <w:szCs w:val="21"/>
        </w:rPr>
        <w:t>（二）</w:t>
      </w:r>
      <w:r w:rsidRPr="00533AE6">
        <w:rPr>
          <w:rFonts w:asciiTheme="minorEastAsia" w:eastAsiaTheme="minorEastAsia" w:hAnsiTheme="minorEastAsia"/>
          <w:b w:val="0"/>
          <w:bCs/>
          <w:szCs w:val="21"/>
        </w:rPr>
        <w:t>主要人员情况</w:t>
      </w:r>
      <w:bookmarkEnd w:id="8"/>
      <w:bookmarkEnd w:id="9"/>
      <w:bookmarkEnd w:id="10"/>
    </w:p>
    <w:p w:rsidR="00394FFF" w:rsidRPr="00533AE6" w:rsidRDefault="00394FFF" w:rsidP="005A15F8">
      <w:pPr>
        <w:snapToGrid w:val="0"/>
        <w:spacing w:line="360" w:lineRule="auto"/>
        <w:ind w:left="-420" w:firstLine="420"/>
        <w:rPr>
          <w:rFonts w:asciiTheme="minorEastAsia" w:eastAsiaTheme="minorEastAsia" w:hAnsiTheme="minorEastAsia" w:cs="仿宋_GB2312"/>
          <w:kern w:val="0"/>
          <w:szCs w:val="21"/>
        </w:rPr>
      </w:pPr>
      <w:r w:rsidRPr="00533AE6">
        <w:rPr>
          <w:rFonts w:asciiTheme="minorEastAsia" w:eastAsiaTheme="minorEastAsia" w:hAnsiTheme="minorEastAsia" w:cs="仿宋_GB2312" w:hint="eastAsia"/>
          <w:kern w:val="0"/>
          <w:szCs w:val="21"/>
        </w:rPr>
        <w:t>1</w:t>
      </w:r>
      <w:r w:rsidR="00587E38" w:rsidRPr="00533AE6">
        <w:rPr>
          <w:rFonts w:asciiTheme="minorEastAsia" w:eastAsiaTheme="minorEastAsia" w:hAnsiTheme="minorEastAsia" w:cs="仿宋_GB2312" w:hint="eastAsia"/>
          <w:kern w:val="0"/>
          <w:szCs w:val="21"/>
        </w:rPr>
        <w:t>、</w:t>
      </w:r>
      <w:r w:rsidRPr="00533AE6">
        <w:rPr>
          <w:rFonts w:asciiTheme="minorEastAsia" w:eastAsiaTheme="minorEastAsia" w:hAnsiTheme="minorEastAsia" w:cs="仿宋_GB2312" w:hint="eastAsia"/>
          <w:kern w:val="0"/>
          <w:szCs w:val="21"/>
        </w:rPr>
        <w:t>董事、监事及高级管理人员</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刘晓艳女士，经济学博士，副董事长、总裁。曾任广发证券有限责任公司投资理财部副经</w:t>
      </w:r>
      <w:r w:rsidRPr="00533AE6">
        <w:rPr>
          <w:rFonts w:asciiTheme="minorEastAsia" w:eastAsiaTheme="minorEastAsia" w:hAnsiTheme="minorEastAsia" w:hint="eastAsia"/>
        </w:rPr>
        <w:lastRenderedPageBreak/>
        <w:t>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w:t>
      </w:r>
      <w:r w:rsidRPr="00533AE6">
        <w:rPr>
          <w:rFonts w:asciiTheme="minorEastAsia" w:eastAsiaTheme="minorEastAsia" w:hAnsiTheme="minorEastAsia" w:hint="eastAsia"/>
        </w:rPr>
        <w:lastRenderedPageBreak/>
        <w:t>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w:t>
      </w:r>
      <w:r w:rsidRPr="00533AE6">
        <w:rPr>
          <w:rFonts w:asciiTheme="minorEastAsia" w:eastAsiaTheme="minorEastAsia" w:hAnsiTheme="minorEastAsia" w:hint="eastAsia"/>
        </w:rPr>
        <w:lastRenderedPageBreak/>
        <w:t>任易方达基金管理有限公司常务副总裁，易方达国际控股有限公司董事。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w:t>
      </w:r>
      <w:r w:rsidRPr="00533AE6">
        <w:rPr>
          <w:rFonts w:asciiTheme="minorEastAsia" w:eastAsiaTheme="minorEastAsia" w:hAnsiTheme="minorEastAsia" w:hint="eastAsia"/>
        </w:rPr>
        <w:lastRenderedPageBreak/>
        <w:t>副总经理级高级管理人员。</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533AE6"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F84C0B" w:rsidRPr="00533AE6" w:rsidRDefault="00533AE6" w:rsidP="00533AE6">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2、基金经理</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杨桢霄先生，理学博士。曾任易方达基金管理有限公司投资经理、易方达新兴成长灵活配置混合型证券投资基金基金经理助理、易方达科讯混合型证券投资基金基金经理助理。现任易方达基金管理有限公司易方达医疗保健行业混合型证券投资基金基金经理（自2016年8月20日起任职）、易方达大健康主题灵活配置混合型证券投资基金基金经理（自2017年9月27日起任职）、易方达全球医药行业混合型发起式证券投资基金（QDII）基金经理（自2020年01月20日起任职）、行业研究员。</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lastRenderedPageBreak/>
        <w:t>王俊杰先生，经济学硕士。曾任博时基金管理有限公司研究部研究员。现任易方达基金管理有限公司易方达医疗保健行业混合型证券投资基金的基金经理助理、行业研究员。</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本基金历任基金经理情况：李文健，管理时间为2011年1月28日至2015年3月13日；王勇，管理时间为2015年2月14日至2017年2月16日。</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3、权益投资决策委员会成员</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本公司权益投资决策委员会成员包括：吴欣荣先生、冯波先生、陈皓先生、张坤先生、孙松先生、付浩先生。</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吴欣荣先生，同上。</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张坤先生，同上。</w:t>
      </w:r>
    </w:p>
    <w:p w:rsidR="00071BA6" w:rsidRDefault="00071BA6" w:rsidP="00071BA6">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投资经理。现任易方达基金管理有限公司投资二部总经理、易方达新常态灵活配置混合型证券投资基金基金经理。</w:t>
      </w:r>
    </w:p>
    <w:p w:rsidR="00071BA6" w:rsidRPr="00071BA6" w:rsidRDefault="00071BA6" w:rsidP="00AD3EAB">
      <w:pPr>
        <w:snapToGrid w:val="0"/>
        <w:spacing w:line="360" w:lineRule="auto"/>
        <w:ind w:left="-420" w:firstLine="420"/>
        <w:rPr>
          <w:rFonts w:asciiTheme="minorEastAsia" w:eastAsiaTheme="minorEastAsia" w:hAnsiTheme="minorEastAsia"/>
        </w:rPr>
      </w:pPr>
      <w:r>
        <w:rPr>
          <w:rFonts w:asciiTheme="minorEastAsia" w:eastAsiaTheme="minorEastAsia" w:hAnsiTheme="minorEastAsia"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易方达3年封闭运作战略配售灵活配置混合型证券投资基金（LOF）基金经理。</w:t>
      </w:r>
    </w:p>
    <w:p w:rsidR="00394FFF" w:rsidRPr="00533AE6" w:rsidRDefault="00394FFF"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lastRenderedPageBreak/>
        <w:t>4</w:t>
      </w:r>
      <w:r w:rsidR="00587E38" w:rsidRPr="00533AE6">
        <w:rPr>
          <w:rFonts w:asciiTheme="minorEastAsia" w:eastAsiaTheme="minorEastAsia" w:hAnsiTheme="minorEastAsia" w:hint="eastAsia"/>
        </w:rPr>
        <w:t>、</w:t>
      </w:r>
      <w:r w:rsidRPr="00533AE6">
        <w:rPr>
          <w:rFonts w:asciiTheme="minorEastAsia" w:eastAsiaTheme="minorEastAsia" w:hAnsiTheme="minorEastAsia" w:hint="eastAsia"/>
        </w:rPr>
        <w:t>上述人员之间均不存在近亲属关系。</w:t>
      </w:r>
    </w:p>
    <w:p w:rsidR="00394FFF" w:rsidRPr="00533AE6" w:rsidRDefault="00394FFF" w:rsidP="005A15F8">
      <w:pPr>
        <w:pStyle w:val="20"/>
        <w:snapToGrid w:val="0"/>
        <w:spacing w:beforeLines="0" w:afterLines="0" w:line="360" w:lineRule="auto"/>
        <w:ind w:left="-420" w:firstLineChars="0" w:firstLine="0"/>
        <w:rPr>
          <w:rFonts w:asciiTheme="minorEastAsia" w:eastAsiaTheme="minorEastAsia" w:hAnsiTheme="minorEastAsia" w:cs="仿宋_GB2312"/>
          <w:b w:val="0"/>
          <w:bCs/>
        </w:rPr>
      </w:pPr>
      <w:bookmarkStart w:id="11" w:name="_Toc133292565"/>
      <w:bookmarkStart w:id="12" w:name="_Toc163189522"/>
      <w:bookmarkStart w:id="13" w:name="_Toc46933204"/>
      <w:r w:rsidRPr="00533AE6">
        <w:rPr>
          <w:rFonts w:asciiTheme="minorEastAsia" w:eastAsiaTheme="minorEastAsia" w:hAnsiTheme="minorEastAsia" w:hint="eastAsia"/>
          <w:b w:val="0"/>
          <w:bCs/>
          <w:szCs w:val="21"/>
        </w:rPr>
        <w:t>（三）</w:t>
      </w:r>
      <w:r w:rsidRPr="00533AE6">
        <w:rPr>
          <w:rFonts w:asciiTheme="minorEastAsia" w:eastAsiaTheme="minorEastAsia" w:hAnsiTheme="minorEastAsia"/>
          <w:b w:val="0"/>
          <w:bCs/>
          <w:szCs w:val="21"/>
        </w:rPr>
        <w:t>基金管理人的职责</w:t>
      </w:r>
      <w:bookmarkEnd w:id="11"/>
      <w:bookmarkEnd w:id="12"/>
      <w:bookmarkEnd w:id="13"/>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1、依法募集资金，办理基金份额的发售和登记事宜；</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2、办理基金备案手续；</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3、对所管理的不同基金财产分别管理、分别记账，进行证券投资；</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4、按照基金合同的约定确定基金收益分配方案，及时向基金份额持有人分配收益；</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5、进行基金会计核算并编制基金财务会计报告；</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6、编制</w:t>
      </w:r>
      <w:r w:rsidR="00BD6ED1" w:rsidRPr="00533AE6">
        <w:rPr>
          <w:rFonts w:asciiTheme="minorEastAsia" w:eastAsiaTheme="minorEastAsia" w:hAnsiTheme="minorEastAsia" w:hint="eastAsia"/>
          <w:kern w:val="0"/>
          <w:szCs w:val="21"/>
        </w:rPr>
        <w:t>季度报告、中期报告和年度报告</w:t>
      </w:r>
      <w:r w:rsidRPr="00533AE6">
        <w:rPr>
          <w:rFonts w:asciiTheme="minorEastAsia" w:eastAsiaTheme="minorEastAsia" w:hAnsiTheme="minorEastAsia"/>
        </w:rPr>
        <w:t>；</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7、计算并公告基金</w:t>
      </w:r>
      <w:r w:rsidR="00BD6ED1" w:rsidRPr="00533AE6">
        <w:rPr>
          <w:rFonts w:asciiTheme="minorEastAsia" w:eastAsiaTheme="minorEastAsia" w:hAnsiTheme="minorEastAsia" w:hint="eastAsia"/>
          <w:kern w:val="0"/>
          <w:szCs w:val="21"/>
        </w:rPr>
        <w:t>净值信息</w:t>
      </w:r>
      <w:r w:rsidRPr="00533AE6">
        <w:rPr>
          <w:rFonts w:asciiTheme="minorEastAsia" w:eastAsiaTheme="minorEastAsia" w:hAnsiTheme="minorEastAsia"/>
        </w:rPr>
        <w:t>，确定基金份额申购、赎回价格；</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8、办理与基金财产管理业务活动有关的信息披露事项；</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9、按照规定召集基金份额持有人大会；</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10、保存基金财产管理业务活动的记录、账册、报表和其他相关资料；</w:t>
      </w:r>
    </w:p>
    <w:p w:rsidR="00896494" w:rsidRPr="00533AE6" w:rsidRDefault="00E06EC4">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11、以基金管理人名义，代表基金份额持有人利益行使诉讼权利或者实施其他法律行为；</w:t>
      </w:r>
    </w:p>
    <w:p w:rsidR="00394FFF" w:rsidRPr="00533AE6" w:rsidRDefault="00731E5D" w:rsidP="005A15F8">
      <w:pPr>
        <w:snapToGrid w:val="0"/>
        <w:spacing w:line="360" w:lineRule="auto"/>
        <w:ind w:left="-420" w:firstLine="420"/>
        <w:rPr>
          <w:rFonts w:asciiTheme="minorEastAsia" w:eastAsiaTheme="minorEastAsia" w:hAnsiTheme="minorEastAsia" w:cs="仿宋_GB2312"/>
        </w:rPr>
      </w:pPr>
      <w:r w:rsidRPr="00533AE6">
        <w:rPr>
          <w:rFonts w:asciiTheme="minorEastAsia" w:eastAsiaTheme="minorEastAsia" w:hAnsiTheme="minorEastAsia"/>
        </w:rPr>
        <w:t>12、中国证监会规定的其他职责。</w:t>
      </w:r>
    </w:p>
    <w:p w:rsidR="00394FFF" w:rsidRPr="00533AE6" w:rsidRDefault="00394FFF" w:rsidP="005A15F8">
      <w:pPr>
        <w:pStyle w:val="20"/>
        <w:snapToGrid w:val="0"/>
        <w:spacing w:beforeLines="0" w:afterLines="0" w:line="360" w:lineRule="auto"/>
        <w:ind w:left="-420" w:firstLineChars="0" w:firstLine="0"/>
        <w:rPr>
          <w:rFonts w:asciiTheme="minorEastAsia" w:eastAsiaTheme="minorEastAsia" w:hAnsiTheme="minorEastAsia"/>
          <w:sz w:val="21"/>
        </w:rPr>
      </w:pPr>
      <w:bookmarkStart w:id="14" w:name="_Toc133292566"/>
      <w:bookmarkStart w:id="15" w:name="_Toc163189523"/>
      <w:bookmarkStart w:id="16" w:name="_Toc46933205"/>
      <w:r w:rsidRPr="00533AE6">
        <w:rPr>
          <w:rFonts w:asciiTheme="minorEastAsia" w:eastAsiaTheme="minorEastAsia" w:hAnsiTheme="minorEastAsia" w:hint="eastAsia"/>
          <w:b w:val="0"/>
          <w:bCs/>
          <w:szCs w:val="21"/>
        </w:rPr>
        <w:t>（四）</w:t>
      </w:r>
      <w:r w:rsidRPr="00533AE6">
        <w:rPr>
          <w:rFonts w:asciiTheme="minorEastAsia" w:eastAsiaTheme="minorEastAsia" w:hAnsiTheme="minorEastAsia"/>
          <w:b w:val="0"/>
          <w:bCs/>
          <w:szCs w:val="21"/>
        </w:rPr>
        <w:t>基金管理人的承诺</w:t>
      </w:r>
      <w:bookmarkEnd w:id="14"/>
      <w:bookmarkEnd w:id="15"/>
      <w:bookmarkEnd w:id="16"/>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本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2、本基金管理人承诺严格遵守《证券法》、《基金法》及有关法律法规，建立健全内部控制制度，采取有效措施，防止下列行为发生：</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（1）将其固有财产或者他人财产混同于基金财产从事证券投资；</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（2）不公平地对待其管理的不同基金财产；</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（3）利用基金财产或者职务之便为基金份额持有人以外的第三人谋取利益；</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（4）向基金份额持有人违规承诺收益或者承担损失；</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（5）侵占、挪用基金财产；</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（6）泄露因职务便利获取的未公开信息、利用该信息从事或者明示、暗示他人从事相关的交易活动；</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（7）玩忽职守，不按照规定履行职责；</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（8）法律、行政法规和中国证监会规定禁止的其他行为。</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3、本基金管理人承诺加强人员管理，强化职业操守，督促和约束员工遵守国家有关法律法规及行业规范，诚实信用、勤勉尽责，不从事以下活动：</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（1）越权或违规经营；</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lastRenderedPageBreak/>
        <w:t>（2）违反基金合同或托管协议；</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（3）故意损害基金份额持有人或其他基金相关机构的合法利益；</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（4）在向中国证监会报送的资料中弄虚作假；</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（5）拒绝、干扰、阻挠或严重影响中国证监会依法监管；</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（6）玩忽职守、滥用职权；</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（7）违反现行有效的有关法律法规、基金合同和中国证监会的有关规定，泄漏在任职期间知悉的有关证券、基金的商业秘密，尚未依法公开的基金投资内容、基金投资计划等信息；</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（8）违反证券交易场所业务规则，利用对敲、倒仓等手段操纵市场价格，扰乱市场秩序；</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（9）贬损同行，以抬高自己；</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（10）以不正当手段谋求业务发展；</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（11）有悖社会公德，损害证券投资基金人员形象；</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（12）在公开信息披露和广告中故意含有虚假、误导、欺诈成分；</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（13）其他法律、行政法规以及中国证监会禁止的行为。</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4、基金经理承诺</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（1）依照有关法律法规和基金合同的规定，本着谨慎的原则为基金份额持有人谋取最大利益；</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（2）不利用职务之便为自己及其代理人、受雇人或任何第三人谋取利益；</w:t>
      </w:r>
    </w:p>
    <w:p w:rsidR="00896494" w:rsidRPr="00533AE6" w:rsidRDefault="00E06EC4">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（3）不违反现行有效的有关法律法规、基金合同和中国证监会的有关规定，泄漏在任职期间知悉的有关证券、基金的商业秘密、尚未依法公开的基金投资内容、基金投资计划等信息；</w:t>
      </w:r>
    </w:p>
    <w:p w:rsidR="00394FFF" w:rsidRPr="00533AE6" w:rsidRDefault="00731E5D" w:rsidP="005A15F8">
      <w:pPr>
        <w:autoSpaceDE w:val="0"/>
        <w:autoSpaceDN w:val="0"/>
        <w:adjustRightInd w:val="0"/>
        <w:snapToGrid w:val="0"/>
        <w:spacing w:line="36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rPr>
        <w:t>（4）不从事损害基金财产和基金份额持有人利益的证券交易及其他活动。</w:t>
      </w:r>
    </w:p>
    <w:p w:rsidR="00394FFF" w:rsidRPr="00533AE6" w:rsidRDefault="00394FFF"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17" w:name="_Toc133292567"/>
      <w:bookmarkStart w:id="18" w:name="_Toc163189524"/>
      <w:bookmarkStart w:id="19" w:name="_Toc46933206"/>
      <w:r w:rsidRPr="00533AE6">
        <w:rPr>
          <w:rFonts w:asciiTheme="minorEastAsia" w:eastAsiaTheme="minorEastAsia" w:hAnsiTheme="minorEastAsia" w:hint="eastAsia"/>
          <w:b w:val="0"/>
          <w:bCs/>
          <w:szCs w:val="21"/>
        </w:rPr>
        <w:t>（五）</w:t>
      </w:r>
      <w:r w:rsidRPr="00533AE6">
        <w:rPr>
          <w:rFonts w:asciiTheme="minorEastAsia" w:eastAsiaTheme="minorEastAsia" w:hAnsiTheme="minorEastAsia"/>
          <w:b w:val="0"/>
          <w:bCs/>
          <w:szCs w:val="21"/>
        </w:rPr>
        <w:t>基金管理人的内部控制制度</w:t>
      </w:r>
      <w:bookmarkEnd w:id="17"/>
      <w:bookmarkEnd w:id="18"/>
      <w:bookmarkEnd w:id="19"/>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E06EC4" w:rsidRPr="00533AE6" w:rsidRDefault="00E06EC4" w:rsidP="00E06EC4">
      <w:pPr>
        <w:autoSpaceDE w:val="0"/>
        <w:autoSpaceDN w:val="0"/>
        <w:adjustRightInd w:val="0"/>
        <w:snapToGrid w:val="0"/>
        <w:spacing w:line="360" w:lineRule="auto"/>
        <w:ind w:left="-420" w:firstLine="420"/>
        <w:jc w:val="left"/>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1、公司内部控制的总体目标</w:t>
      </w:r>
    </w:p>
    <w:p w:rsidR="00E06EC4" w:rsidRPr="00533AE6" w:rsidRDefault="00E06EC4" w:rsidP="00E06EC4">
      <w:pPr>
        <w:numPr>
          <w:ilvl w:val="1"/>
          <w:numId w:val="9"/>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保证公司经营管理活动的合法合规性；</w:t>
      </w:r>
    </w:p>
    <w:p w:rsidR="00E06EC4" w:rsidRPr="00533AE6" w:rsidRDefault="00E06EC4" w:rsidP="00E06EC4">
      <w:pPr>
        <w:numPr>
          <w:ilvl w:val="1"/>
          <w:numId w:val="9"/>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保证基金份额持有人的合法权益不受侵犯；</w:t>
      </w:r>
    </w:p>
    <w:p w:rsidR="00E06EC4" w:rsidRPr="00533AE6" w:rsidRDefault="00E06EC4" w:rsidP="00E06EC4">
      <w:pPr>
        <w:numPr>
          <w:ilvl w:val="1"/>
          <w:numId w:val="9"/>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实现公司稳健、持续发展，维护股东权益；</w:t>
      </w:r>
    </w:p>
    <w:p w:rsidR="00E06EC4" w:rsidRPr="00533AE6" w:rsidRDefault="00E06EC4" w:rsidP="00E06EC4">
      <w:pPr>
        <w:numPr>
          <w:ilvl w:val="1"/>
          <w:numId w:val="9"/>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促进公司全体员工恪守职业操守，正直诚信，廉洁自律，勤勉尽责；</w:t>
      </w:r>
    </w:p>
    <w:p w:rsidR="00E06EC4" w:rsidRPr="00533AE6" w:rsidRDefault="00E06EC4" w:rsidP="00E06EC4">
      <w:pPr>
        <w:numPr>
          <w:ilvl w:val="1"/>
          <w:numId w:val="9"/>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保护公司最重要的资本：公司声誉。</w:t>
      </w:r>
    </w:p>
    <w:p w:rsidR="00E06EC4" w:rsidRPr="00533AE6" w:rsidRDefault="00E06EC4" w:rsidP="00E06EC4">
      <w:pPr>
        <w:autoSpaceDE w:val="0"/>
        <w:autoSpaceDN w:val="0"/>
        <w:adjustRightInd w:val="0"/>
        <w:snapToGrid w:val="0"/>
        <w:spacing w:line="360" w:lineRule="auto"/>
        <w:ind w:left="-420" w:firstLine="420"/>
        <w:jc w:val="left"/>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2、公司内部控制遵循的原则</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全面性原则：内部控制必须覆盖公司的所有部门和岗位，渗透各项业务过程和业</w:t>
      </w:r>
      <w:r w:rsidRPr="00533AE6">
        <w:rPr>
          <w:rFonts w:asciiTheme="minorEastAsia" w:eastAsiaTheme="minorEastAsia" w:hAnsiTheme="minorEastAsia"/>
        </w:rPr>
        <w:lastRenderedPageBreak/>
        <w:t>务环节，并普遍适用于公司每一位职员；</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相互制约原则：公司设置的各部门、各岗位权责分明、相互制衡。</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独立性原则：公司根据业务的需要设立相对独立的机构、部门和岗位；公司内部部门和岗位的设置必须权责分明；</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E06EC4" w:rsidRPr="00533AE6" w:rsidRDefault="00E06EC4" w:rsidP="00E06EC4">
      <w:pPr>
        <w:numPr>
          <w:ilvl w:val="0"/>
          <w:numId w:val="26"/>
        </w:numPr>
        <w:tabs>
          <w:tab w:val="clear" w:pos="851"/>
          <w:tab w:val="num" w:pos="993"/>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rPr>
        <w:t>成本效益原则：公司运用科学化的经营管理方法降低运作成本，提高经济效益，力争以合理的控制成本达到最佳的内部控制效果。</w:t>
      </w:r>
    </w:p>
    <w:p w:rsidR="00E06EC4" w:rsidRPr="00533AE6" w:rsidRDefault="00E06EC4" w:rsidP="00E06EC4">
      <w:pPr>
        <w:autoSpaceDE w:val="0"/>
        <w:autoSpaceDN w:val="0"/>
        <w:adjustRightInd w:val="0"/>
        <w:snapToGrid w:val="0"/>
        <w:spacing w:line="360" w:lineRule="auto"/>
        <w:ind w:left="-420" w:firstLine="420"/>
        <w:jc w:val="left"/>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3、内部控制的制度体系</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E06EC4" w:rsidRPr="00533AE6" w:rsidRDefault="00E06EC4" w:rsidP="00E06EC4">
      <w:pPr>
        <w:autoSpaceDE w:val="0"/>
        <w:autoSpaceDN w:val="0"/>
        <w:adjustRightInd w:val="0"/>
        <w:snapToGrid w:val="0"/>
        <w:spacing w:line="360" w:lineRule="auto"/>
        <w:ind w:left="-420" w:firstLine="420"/>
        <w:jc w:val="left"/>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4、关于授权、研究、投资、交易等方面的控制点</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szCs w:val="21"/>
        </w:rPr>
      </w:pPr>
      <w:r w:rsidRPr="00533AE6">
        <w:rPr>
          <w:rFonts w:asciiTheme="minorEastAsia" w:eastAsiaTheme="minorEastAsia" w:hAnsiTheme="minorEastAsia" w:hint="eastAsia"/>
        </w:rPr>
        <w:t>授权制度</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hint="eastAsia"/>
        </w:rPr>
        <w:t>公司研究业务</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w:t>
      </w:r>
      <w:r w:rsidRPr="00533AE6">
        <w:rPr>
          <w:rFonts w:asciiTheme="minorEastAsia" w:eastAsiaTheme="minorEastAsia" w:hAnsiTheme="minorEastAsia" w:hint="eastAsia"/>
          <w:szCs w:val="21"/>
        </w:rPr>
        <w:lastRenderedPageBreak/>
        <w:t>流渠道；建立研究报告质量评价体系，不断提高研究水平。</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hint="eastAsia"/>
        </w:rPr>
        <w:t>基金投资业务</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szCs w:val="21"/>
        </w:rPr>
      </w:pPr>
      <w:r w:rsidRPr="00533AE6">
        <w:rPr>
          <w:rFonts w:asciiTheme="minorEastAsia" w:eastAsiaTheme="minorEastAsia" w:hAnsiTheme="minorEastAsia" w:hint="eastAsia"/>
        </w:rPr>
        <w:t>交易业务</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szCs w:val="21"/>
        </w:rPr>
      </w:pPr>
      <w:r w:rsidRPr="00533AE6">
        <w:rPr>
          <w:rFonts w:asciiTheme="minorEastAsia" w:eastAsiaTheme="minorEastAsia" w:hAnsiTheme="minorEastAsia" w:hint="eastAsia"/>
        </w:rPr>
        <w:t>基金会计核算</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E06EC4" w:rsidRPr="00533AE6" w:rsidRDefault="00E06EC4" w:rsidP="00E06EC4">
      <w:pPr>
        <w:numPr>
          <w:ilvl w:val="0"/>
          <w:numId w:val="27"/>
        </w:numPr>
        <w:tabs>
          <w:tab w:val="left" w:pos="735"/>
        </w:tabs>
        <w:snapToGrid w:val="0"/>
        <w:spacing w:line="360" w:lineRule="auto"/>
        <w:ind w:leftChars="0" w:left="-420" w:firstLineChars="0" w:firstLine="420"/>
        <w:rPr>
          <w:rFonts w:asciiTheme="minorEastAsia" w:eastAsiaTheme="minorEastAsia" w:hAnsiTheme="minorEastAsia"/>
          <w:szCs w:val="21"/>
        </w:rPr>
      </w:pPr>
      <w:r w:rsidRPr="00533AE6">
        <w:rPr>
          <w:rFonts w:asciiTheme="minorEastAsia" w:eastAsiaTheme="minorEastAsia" w:hAnsiTheme="minorEastAsia" w:hint="eastAsia"/>
        </w:rPr>
        <w:t>信息披露</w:t>
      </w:r>
    </w:p>
    <w:p w:rsidR="00E06EC4" w:rsidRPr="00533AE6" w:rsidRDefault="00E06EC4" w:rsidP="00E06EC4">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2B4828" w:rsidRPr="00533AE6" w:rsidRDefault="002B4828" w:rsidP="002B4828">
      <w:pPr>
        <w:numPr>
          <w:ilvl w:val="0"/>
          <w:numId w:val="27"/>
        </w:numPr>
        <w:tabs>
          <w:tab w:val="left" w:pos="735"/>
        </w:tabs>
        <w:snapToGrid w:val="0"/>
        <w:spacing w:line="360" w:lineRule="auto"/>
        <w:ind w:leftChars="0" w:left="-420" w:firstLineChars="0" w:firstLine="420"/>
        <w:rPr>
          <w:rFonts w:asciiTheme="minorEastAsia" w:eastAsiaTheme="minorEastAsia" w:hAnsiTheme="minorEastAsia"/>
        </w:rPr>
      </w:pPr>
      <w:r w:rsidRPr="00533AE6">
        <w:rPr>
          <w:rFonts w:asciiTheme="minorEastAsia" w:eastAsiaTheme="minorEastAsia" w:hAnsiTheme="minorEastAsia" w:hint="eastAsia"/>
        </w:rPr>
        <w:t>监察与合规管理</w:t>
      </w:r>
    </w:p>
    <w:p w:rsidR="002B4828" w:rsidRPr="00533AE6" w:rsidRDefault="002B4828" w:rsidP="002B4828">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2B4828" w:rsidRPr="00533AE6" w:rsidRDefault="00713E37" w:rsidP="002B4828">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2B4828" w:rsidRPr="00533AE6" w:rsidRDefault="00713E37" w:rsidP="002B4828">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2B4828" w:rsidRPr="00533AE6" w:rsidRDefault="002B4828" w:rsidP="002B4828">
      <w:pPr>
        <w:pStyle w:val="af"/>
        <w:autoSpaceDE w:val="0"/>
        <w:autoSpaceDN w:val="0"/>
        <w:adjustRightInd w:val="0"/>
        <w:snapToGrid w:val="0"/>
        <w:spacing w:line="360" w:lineRule="auto"/>
        <w:ind w:left="-420"/>
        <w:rPr>
          <w:rFonts w:asciiTheme="minorEastAsia" w:eastAsiaTheme="minorEastAsia" w:hAnsiTheme="minorEastAsia"/>
          <w:szCs w:val="21"/>
        </w:rPr>
      </w:pPr>
      <w:r w:rsidRPr="00533AE6">
        <w:rPr>
          <w:rFonts w:asciiTheme="minorEastAsia" w:eastAsiaTheme="minorEastAsia" w:hAnsiTheme="minorEastAsia" w:hint="eastAsia"/>
          <w:szCs w:val="21"/>
        </w:rPr>
        <w:t>公司董事会和管理层充分重视和支持监察与合规管理工作，对违反法律、法规和公司内部</w:t>
      </w:r>
      <w:r w:rsidRPr="00533AE6">
        <w:rPr>
          <w:rFonts w:asciiTheme="minorEastAsia" w:eastAsiaTheme="minorEastAsia" w:hAnsiTheme="minorEastAsia" w:hint="eastAsia"/>
          <w:szCs w:val="21"/>
        </w:rPr>
        <w:lastRenderedPageBreak/>
        <w:t>控制制度的，追究有关部门和人员的责任。</w:t>
      </w:r>
    </w:p>
    <w:p w:rsidR="00E06EC4" w:rsidRPr="00533AE6" w:rsidRDefault="00E06EC4" w:rsidP="00E06EC4">
      <w:pPr>
        <w:autoSpaceDE w:val="0"/>
        <w:autoSpaceDN w:val="0"/>
        <w:adjustRightInd w:val="0"/>
        <w:snapToGrid w:val="0"/>
        <w:spacing w:line="360" w:lineRule="auto"/>
        <w:ind w:left="-420" w:firstLine="420"/>
        <w:jc w:val="left"/>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5、基金管理人关于内部控制制度声明书</w:t>
      </w:r>
    </w:p>
    <w:p w:rsidR="00E06EC4" w:rsidRPr="00533AE6" w:rsidRDefault="00E06EC4" w:rsidP="00E06EC4">
      <w:pPr>
        <w:numPr>
          <w:ilvl w:val="0"/>
          <w:numId w:val="28"/>
        </w:numPr>
        <w:tabs>
          <w:tab w:val="left" w:pos="735"/>
        </w:tabs>
        <w:snapToGrid w:val="0"/>
        <w:spacing w:line="360" w:lineRule="auto"/>
        <w:ind w:leftChars="0" w:left="-420" w:firstLineChars="0" w:firstLine="420"/>
        <w:rPr>
          <w:rFonts w:asciiTheme="minorEastAsia" w:eastAsiaTheme="minorEastAsia" w:hAnsiTheme="minorEastAsia"/>
          <w:szCs w:val="21"/>
        </w:rPr>
      </w:pPr>
      <w:r w:rsidRPr="00533AE6">
        <w:rPr>
          <w:rFonts w:asciiTheme="minorEastAsia" w:eastAsiaTheme="minorEastAsia" w:hAnsiTheme="minorEastAsia" w:hint="eastAsia"/>
        </w:rPr>
        <w:t>本公司承诺以上关于内部控制制度的披露真实、准确；</w:t>
      </w:r>
    </w:p>
    <w:p w:rsidR="00E06EC4" w:rsidRPr="00533AE6" w:rsidRDefault="00E06EC4" w:rsidP="00E06EC4">
      <w:pPr>
        <w:numPr>
          <w:ilvl w:val="0"/>
          <w:numId w:val="28"/>
        </w:numPr>
        <w:tabs>
          <w:tab w:val="left" w:pos="735"/>
        </w:tabs>
        <w:snapToGrid w:val="0"/>
        <w:spacing w:line="360" w:lineRule="auto"/>
        <w:ind w:leftChars="0" w:left="-420" w:firstLineChars="0" w:firstLine="420"/>
        <w:rPr>
          <w:rFonts w:asciiTheme="minorEastAsia" w:eastAsiaTheme="minorEastAsia" w:hAnsiTheme="minorEastAsia"/>
        </w:rPr>
        <w:sectPr w:rsidR="00E06EC4" w:rsidRPr="00533AE6" w:rsidSect="00E334F9">
          <w:pgSz w:w="11907" w:h="16840" w:code="9"/>
          <w:pgMar w:top="1701" w:right="1814" w:bottom="1701" w:left="1814" w:header="1134" w:footer="1247" w:gutter="0"/>
          <w:cols w:space="425"/>
          <w:docGrid w:type="lines" w:linePitch="312"/>
        </w:sectPr>
      </w:pPr>
      <w:r w:rsidRPr="00533AE6">
        <w:rPr>
          <w:rFonts w:asciiTheme="minorEastAsia" w:eastAsiaTheme="minorEastAsia" w:hAnsiTheme="minorEastAsia" w:hint="eastAsia"/>
        </w:rPr>
        <w:t>本公司承诺根据市场变化和公司业务发展不断完善内部控制制度。</w:t>
      </w:r>
    </w:p>
    <w:p w:rsidR="00266A27" w:rsidRPr="00533AE6" w:rsidRDefault="00266A27" w:rsidP="005A15F8">
      <w:pPr>
        <w:pStyle w:val="1"/>
        <w:snapToGrid w:val="0"/>
        <w:spacing w:beforeLines="0" w:afterLines="0" w:line="360" w:lineRule="auto"/>
        <w:ind w:left="-420" w:firstLineChars="0" w:firstLine="0"/>
        <w:rPr>
          <w:rFonts w:asciiTheme="minorEastAsia" w:eastAsiaTheme="minorEastAsia" w:hAnsiTheme="minorEastAsia"/>
        </w:rPr>
      </w:pPr>
      <w:bookmarkStart w:id="20" w:name="_Toc46933207"/>
      <w:r w:rsidRPr="00533AE6">
        <w:rPr>
          <w:rFonts w:asciiTheme="minorEastAsia" w:eastAsiaTheme="minorEastAsia" w:hAnsiTheme="minorEastAsia" w:hint="eastAsia"/>
          <w:bCs/>
        </w:rPr>
        <w:lastRenderedPageBreak/>
        <w:t>四、基金托管人</w:t>
      </w:r>
      <w:bookmarkEnd w:id="20"/>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（一）基本情况</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名称：中国银行股份有限公司（简称</w:t>
      </w:r>
      <w:r w:rsidRPr="00533AE6">
        <w:rPr>
          <w:rStyle w:val="da"/>
          <w:rFonts w:asciiTheme="minorEastAsia" w:eastAsiaTheme="minorEastAsia" w:hAnsiTheme="minorEastAsia"/>
        </w:rPr>
        <w:t>“</w:t>
      </w:r>
      <w:r w:rsidRPr="00533AE6">
        <w:rPr>
          <w:rStyle w:val="da"/>
          <w:rFonts w:asciiTheme="minorEastAsia" w:eastAsiaTheme="minorEastAsia" w:hAnsiTheme="minorEastAsia" w:hint="eastAsia"/>
        </w:rPr>
        <w:t>中国银行</w:t>
      </w:r>
      <w:r w:rsidRPr="00533AE6">
        <w:rPr>
          <w:rStyle w:val="da"/>
          <w:rFonts w:asciiTheme="minorEastAsia" w:eastAsiaTheme="minorEastAsia" w:hAnsiTheme="minorEastAsia"/>
        </w:rPr>
        <w:t>”</w:t>
      </w:r>
      <w:r w:rsidRPr="00533AE6">
        <w:rPr>
          <w:rStyle w:val="da"/>
          <w:rFonts w:asciiTheme="minorEastAsia" w:eastAsiaTheme="minorEastAsia" w:hAnsiTheme="minorEastAsia" w:hint="eastAsia"/>
        </w:rPr>
        <w:t>）</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住所及办公地址：北京市西城区复兴门内大街</w:t>
      </w:r>
      <w:r w:rsidRPr="00533AE6">
        <w:rPr>
          <w:rStyle w:val="da"/>
          <w:rFonts w:asciiTheme="minorEastAsia" w:eastAsiaTheme="minorEastAsia" w:hAnsiTheme="minorEastAsia"/>
        </w:rPr>
        <w:t>1</w:t>
      </w:r>
      <w:r w:rsidRPr="00533AE6">
        <w:rPr>
          <w:rStyle w:val="da"/>
          <w:rFonts w:asciiTheme="minorEastAsia" w:eastAsiaTheme="minorEastAsia" w:hAnsiTheme="minorEastAsia" w:hint="eastAsia"/>
        </w:rPr>
        <w:t>号</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首次注册登记日期：</w:t>
      </w:r>
      <w:smartTag w:uri="urn:schemas-microsoft-com:office:smarttags" w:element="chsdate">
        <w:smartTagPr>
          <w:attr w:name="IsROCDate" w:val="False"/>
          <w:attr w:name="IsLunarDate" w:val="False"/>
          <w:attr w:name="Day" w:val="31"/>
          <w:attr w:name="Month" w:val="10"/>
          <w:attr w:name="Year" w:val="1983"/>
        </w:smartTagPr>
        <w:r w:rsidRPr="00533AE6">
          <w:rPr>
            <w:rStyle w:val="da"/>
            <w:rFonts w:asciiTheme="minorEastAsia" w:eastAsiaTheme="minorEastAsia" w:hAnsiTheme="minorEastAsia"/>
          </w:rPr>
          <w:t>1983</w:t>
        </w:r>
        <w:r w:rsidRPr="00533AE6">
          <w:rPr>
            <w:rStyle w:val="da"/>
            <w:rFonts w:asciiTheme="minorEastAsia" w:eastAsiaTheme="minorEastAsia" w:hAnsiTheme="minorEastAsia" w:hint="eastAsia"/>
          </w:rPr>
          <w:t>年</w:t>
        </w:r>
        <w:r w:rsidRPr="00533AE6">
          <w:rPr>
            <w:rStyle w:val="da"/>
            <w:rFonts w:asciiTheme="minorEastAsia" w:eastAsiaTheme="minorEastAsia" w:hAnsiTheme="minorEastAsia"/>
          </w:rPr>
          <w:t>10</w:t>
        </w:r>
        <w:r w:rsidRPr="00533AE6">
          <w:rPr>
            <w:rStyle w:val="da"/>
            <w:rFonts w:asciiTheme="minorEastAsia" w:eastAsiaTheme="minorEastAsia" w:hAnsiTheme="minorEastAsia" w:hint="eastAsia"/>
          </w:rPr>
          <w:t>月</w:t>
        </w:r>
        <w:r w:rsidRPr="00533AE6">
          <w:rPr>
            <w:rStyle w:val="da"/>
            <w:rFonts w:asciiTheme="minorEastAsia" w:eastAsiaTheme="minorEastAsia" w:hAnsiTheme="minorEastAsia"/>
          </w:rPr>
          <w:t>31</w:t>
        </w:r>
        <w:r w:rsidRPr="00533AE6">
          <w:rPr>
            <w:rStyle w:val="da"/>
            <w:rFonts w:asciiTheme="minorEastAsia" w:eastAsiaTheme="minorEastAsia" w:hAnsiTheme="minorEastAsia" w:hint="eastAsia"/>
          </w:rPr>
          <w:t>日</w:t>
        </w:r>
      </w:smartTag>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注册资本：人民币贰仟玖佰肆拾叁亿捌仟柒佰柒拾玖万壹仟贰佰肆拾壹元整</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法定代表人：刘连舸</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基金托管业务批准文号：中国证监会证监基字【</w:t>
      </w:r>
      <w:r w:rsidRPr="00533AE6">
        <w:rPr>
          <w:rStyle w:val="da"/>
          <w:rFonts w:asciiTheme="minorEastAsia" w:eastAsiaTheme="minorEastAsia" w:hAnsiTheme="minorEastAsia"/>
        </w:rPr>
        <w:t>1998</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 xml:space="preserve">24 </w:t>
      </w:r>
      <w:r w:rsidRPr="00533AE6">
        <w:rPr>
          <w:rStyle w:val="da"/>
          <w:rFonts w:asciiTheme="minorEastAsia" w:eastAsiaTheme="minorEastAsia" w:hAnsiTheme="minorEastAsia" w:hint="eastAsia"/>
        </w:rPr>
        <w:t>号</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托管部门信息披露联系人：</w:t>
      </w:r>
      <w:r w:rsidRPr="00533AE6">
        <w:rPr>
          <w:rFonts w:asciiTheme="minorEastAsia" w:eastAsiaTheme="minorEastAsia" w:hAnsiTheme="minorEastAsia" w:hint="eastAsia"/>
          <w:szCs w:val="21"/>
        </w:rPr>
        <w:t>许俊</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传真：（</w:t>
      </w:r>
      <w:r w:rsidRPr="00533AE6">
        <w:rPr>
          <w:rStyle w:val="da"/>
          <w:rFonts w:asciiTheme="minorEastAsia" w:eastAsiaTheme="minorEastAsia" w:hAnsiTheme="minorEastAsia"/>
        </w:rPr>
        <w:t>010</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66594942</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中国银行客服电话：</w:t>
      </w:r>
      <w:r w:rsidRPr="00533AE6">
        <w:rPr>
          <w:rStyle w:val="da"/>
          <w:rFonts w:asciiTheme="minorEastAsia" w:eastAsiaTheme="minorEastAsia" w:hAnsiTheme="minorEastAsia"/>
        </w:rPr>
        <w:t>95566</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（二）基金托管部门及主要人员情况</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中国银行托管业务部设立于</w:t>
      </w:r>
      <w:r w:rsidRPr="00533AE6">
        <w:rPr>
          <w:rStyle w:val="da"/>
          <w:rFonts w:asciiTheme="minorEastAsia" w:eastAsiaTheme="minorEastAsia" w:hAnsiTheme="minorEastAsia"/>
        </w:rPr>
        <w:t>1998</w:t>
      </w:r>
      <w:r w:rsidRPr="00533AE6">
        <w:rPr>
          <w:rStyle w:val="da"/>
          <w:rFonts w:asciiTheme="minorEastAsia" w:eastAsiaTheme="minorEastAsia" w:hAnsiTheme="minorEastAsia" w:hint="eastAsia"/>
        </w:rPr>
        <w:t>年，现有员工</w:t>
      </w:r>
      <w:r w:rsidRPr="00533AE6">
        <w:rPr>
          <w:rStyle w:val="da"/>
          <w:rFonts w:asciiTheme="minorEastAsia" w:eastAsiaTheme="minorEastAsia" w:hAnsiTheme="minorEastAsia"/>
        </w:rPr>
        <w:t>110</w:t>
      </w:r>
      <w:r w:rsidRPr="00533AE6">
        <w:rPr>
          <w:rStyle w:val="da"/>
          <w:rFonts w:asciiTheme="minorEastAsia" w:eastAsiaTheme="minorEastAsia" w:hAnsiTheme="minorEastAsia" w:hint="eastAsia"/>
        </w:rPr>
        <w:t>余人，大部分员工具有丰富的银行、证券、基金、信托从业经验，且具有海外工作、学习或培训经历，</w:t>
      </w:r>
      <w:r w:rsidRPr="00533AE6">
        <w:rPr>
          <w:rStyle w:val="da"/>
          <w:rFonts w:asciiTheme="minorEastAsia" w:eastAsiaTheme="minorEastAsia" w:hAnsiTheme="minorEastAsia"/>
        </w:rPr>
        <w:t>60</w:t>
      </w:r>
      <w:r w:rsidRPr="00533AE6">
        <w:rPr>
          <w:rStyle w:val="da"/>
          <w:rFonts w:asciiTheme="minorEastAsia" w:eastAsiaTheme="minorEastAsia" w:hAnsiTheme="minorEastAsia" w:hint="eastAsia"/>
        </w:rPr>
        <w:t>％以上的员工具有硕士以上学位或高级职称。为给客户提供专业化的托管服务，中国银行已在境内、外分行开展托管业务。</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533AE6">
        <w:rPr>
          <w:rStyle w:val="da"/>
          <w:rFonts w:asciiTheme="minorEastAsia" w:eastAsiaTheme="minorEastAsia" w:hAnsiTheme="minorEastAsia"/>
        </w:rPr>
        <w:t>QFII</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RQFII</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QDII</w:t>
      </w:r>
      <w:r w:rsidRPr="00533AE6">
        <w:rPr>
          <w:rStyle w:val="da"/>
          <w:rFonts w:asciiTheme="minorEastAsia" w:eastAsiaTheme="minorEastAsia" w:hAnsiTheme="minorEastAsia" w:hint="eastAsia"/>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（三）证券投资基金托管情况</w:t>
      </w:r>
    </w:p>
    <w:p w:rsidR="00713E37" w:rsidRPr="00533AE6" w:rsidRDefault="00713E37" w:rsidP="00713E37">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（四）托管业务的内部控制制度</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w:t>
      </w:r>
      <w:r w:rsidRPr="00533AE6">
        <w:rPr>
          <w:rStyle w:val="da"/>
          <w:rFonts w:asciiTheme="minorEastAsia" w:eastAsiaTheme="minorEastAsia" w:hAnsiTheme="minorEastAsia" w:hint="eastAsia"/>
        </w:rPr>
        <w:lastRenderedPageBreak/>
        <w:t>计等措施强化托管业务全员、全面、全程的风险管控。</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rPr>
        <w:t>2007</w:t>
      </w:r>
      <w:r w:rsidRPr="00533AE6">
        <w:rPr>
          <w:rStyle w:val="da"/>
          <w:rFonts w:asciiTheme="minorEastAsia" w:eastAsiaTheme="minorEastAsia" w:hAnsiTheme="minorEastAsia" w:hint="eastAsia"/>
        </w:rPr>
        <w:t>年起，中国银行连续聘请外部会计会计师事务所开展托管业务内部控制审阅工作。先后获得基于</w:t>
      </w:r>
      <w:r w:rsidRPr="00533AE6">
        <w:rPr>
          <w:rStyle w:val="da"/>
          <w:rFonts w:asciiTheme="minorEastAsia" w:eastAsiaTheme="minorEastAsia" w:hAnsiTheme="minorEastAsia"/>
        </w:rPr>
        <w:t xml:space="preserve"> </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SAS70</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AAF01/06</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 xml:space="preserve"> </w:t>
      </w:r>
      <w:r w:rsidRPr="00533AE6">
        <w:rPr>
          <w:rStyle w:val="da"/>
          <w:rFonts w:asciiTheme="minorEastAsia" w:eastAsiaTheme="minorEastAsia" w:hAnsiTheme="minorEastAsia" w:hint="eastAsia"/>
        </w:rPr>
        <w:t>“</w:t>
      </w:r>
      <w:r w:rsidRPr="00533AE6">
        <w:rPr>
          <w:rStyle w:val="da"/>
          <w:rFonts w:asciiTheme="minorEastAsia" w:eastAsiaTheme="minorEastAsia" w:hAnsiTheme="minorEastAsia"/>
        </w:rPr>
        <w:t>ISAE3402</w:t>
      </w:r>
      <w:r w:rsidRPr="00533AE6">
        <w:rPr>
          <w:rStyle w:val="da"/>
          <w:rFonts w:asciiTheme="minorEastAsia" w:eastAsiaTheme="minorEastAsia" w:hAnsiTheme="minorEastAsia" w:hint="eastAsia"/>
        </w:rPr>
        <w:t>”和“</w:t>
      </w:r>
      <w:r w:rsidRPr="00533AE6">
        <w:rPr>
          <w:rStyle w:val="da"/>
          <w:rFonts w:asciiTheme="minorEastAsia" w:eastAsiaTheme="minorEastAsia" w:hAnsiTheme="minorEastAsia"/>
        </w:rPr>
        <w:t>SSAE16</w:t>
      </w:r>
      <w:r w:rsidRPr="00533AE6">
        <w:rPr>
          <w:rStyle w:val="da"/>
          <w:rFonts w:asciiTheme="minorEastAsia" w:eastAsiaTheme="minorEastAsia" w:hAnsiTheme="minorEastAsia" w:hint="eastAsia"/>
        </w:rPr>
        <w:t>”等国际主流内控审阅准则的无保留意见的审阅报告。</w:t>
      </w:r>
      <w:r w:rsidRPr="00533AE6">
        <w:rPr>
          <w:rStyle w:val="da"/>
          <w:rFonts w:asciiTheme="minorEastAsia" w:eastAsiaTheme="minorEastAsia" w:hAnsiTheme="minorEastAsia"/>
        </w:rPr>
        <w:t>2017</w:t>
      </w:r>
      <w:r w:rsidRPr="00533AE6">
        <w:rPr>
          <w:rStyle w:val="da"/>
          <w:rFonts w:asciiTheme="minorEastAsia" w:eastAsiaTheme="minorEastAsia" w:hAnsiTheme="minorEastAsia" w:hint="eastAsia"/>
        </w:rPr>
        <w:t>年，中国银行继续获得了基于“</w:t>
      </w:r>
      <w:r w:rsidRPr="00533AE6">
        <w:rPr>
          <w:rStyle w:val="da"/>
          <w:rFonts w:asciiTheme="minorEastAsia" w:eastAsiaTheme="minorEastAsia" w:hAnsiTheme="minorEastAsia"/>
        </w:rPr>
        <w:t>ISAE3402</w:t>
      </w:r>
      <w:r w:rsidRPr="00533AE6">
        <w:rPr>
          <w:rStyle w:val="da"/>
          <w:rFonts w:asciiTheme="minorEastAsia" w:eastAsiaTheme="minorEastAsia" w:hAnsiTheme="minorEastAsia" w:hint="eastAsia"/>
        </w:rPr>
        <w:t>”和“</w:t>
      </w:r>
      <w:r w:rsidRPr="00533AE6">
        <w:rPr>
          <w:rStyle w:val="da"/>
          <w:rFonts w:asciiTheme="minorEastAsia" w:eastAsiaTheme="minorEastAsia" w:hAnsiTheme="minorEastAsia"/>
        </w:rPr>
        <w:t>SSAE16</w:t>
      </w:r>
      <w:r w:rsidRPr="00533AE6">
        <w:rPr>
          <w:rStyle w:val="da"/>
          <w:rFonts w:asciiTheme="minorEastAsia" w:eastAsiaTheme="minorEastAsia" w:hAnsiTheme="minorEastAsia" w:hint="eastAsia"/>
        </w:rPr>
        <w:t>”双准则的内部控制审计报告。中国银行托管业务内控制度完善，内控措施严密，能够有效保证托管资产的安全。</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（五）托管人对管理人运作基金进行监督的方法和程序</w:t>
      </w:r>
    </w:p>
    <w:p w:rsidR="00713E37" w:rsidRPr="00533AE6" w:rsidRDefault="00713E37" w:rsidP="00713E37">
      <w:pPr>
        <w:spacing w:line="360" w:lineRule="auto"/>
        <w:ind w:left="-420" w:firstLine="420"/>
        <w:rPr>
          <w:rStyle w:val="da"/>
          <w:rFonts w:asciiTheme="minorEastAsia" w:eastAsiaTheme="minorEastAsia" w:hAnsiTheme="minorEastAsia"/>
        </w:rPr>
      </w:pPr>
      <w:r w:rsidRPr="00533AE6">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533AE6">
        <w:rPr>
          <w:rStyle w:val="da"/>
          <w:rFonts w:asciiTheme="minorEastAsia" w:eastAsiaTheme="minorEastAsia" w:hAnsiTheme="minorEastAsia"/>
        </w:rPr>
        <w:t>,</w:t>
      </w:r>
      <w:r w:rsidRPr="00533AE6">
        <w:rPr>
          <w:rStyle w:val="da"/>
          <w:rFonts w:asciiTheme="minorEastAsia" w:eastAsiaTheme="minorEastAsia" w:hAnsiTheme="minorEastAsia" w:hint="eastAsia"/>
        </w:rPr>
        <w:t>应当及时通知基金管理人，并及时向国务院证券监督管理机构报告。</w:t>
      </w:r>
    </w:p>
    <w:p w:rsidR="00266A27" w:rsidRPr="00533AE6" w:rsidRDefault="00266A27" w:rsidP="005A15F8">
      <w:pPr>
        <w:pStyle w:val="111"/>
        <w:snapToGrid w:val="0"/>
        <w:spacing w:beforeLines="0" w:afterLines="0" w:line="360" w:lineRule="auto"/>
        <w:ind w:left="-420" w:firstLineChars="0" w:firstLine="0"/>
        <w:rPr>
          <w:rFonts w:asciiTheme="minorEastAsia" w:eastAsiaTheme="minorEastAsia" w:hAnsiTheme="minorEastAsia"/>
          <w:b/>
          <w:szCs w:val="32"/>
        </w:rPr>
      </w:pPr>
      <w:bookmarkStart w:id="21" w:name="_Toc46933208"/>
      <w:r w:rsidRPr="00533AE6">
        <w:rPr>
          <w:rFonts w:asciiTheme="minorEastAsia" w:eastAsiaTheme="minorEastAsia" w:hAnsiTheme="minorEastAsia" w:hint="eastAsia"/>
          <w:szCs w:val="21"/>
        </w:rPr>
        <w:lastRenderedPageBreak/>
        <w:t>五、相关服务机构</w:t>
      </w:r>
      <w:bookmarkEnd w:id="21"/>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22" w:name="_Toc46933209"/>
      <w:r w:rsidRPr="00533AE6">
        <w:rPr>
          <w:rFonts w:asciiTheme="minorEastAsia" w:eastAsiaTheme="minorEastAsia" w:hAnsiTheme="minorEastAsia" w:hint="eastAsia"/>
          <w:b w:val="0"/>
          <w:bCs/>
          <w:szCs w:val="21"/>
        </w:rPr>
        <w:t>（一）基金份额</w:t>
      </w:r>
      <w:r w:rsidR="005B078F" w:rsidRPr="00533AE6">
        <w:rPr>
          <w:rFonts w:asciiTheme="minorEastAsia" w:eastAsiaTheme="minorEastAsia" w:hAnsiTheme="minorEastAsia" w:hint="eastAsia"/>
          <w:b w:val="0"/>
          <w:bCs/>
          <w:szCs w:val="21"/>
        </w:rPr>
        <w:t>销</w:t>
      </w:r>
      <w:r w:rsidRPr="00533AE6">
        <w:rPr>
          <w:rFonts w:asciiTheme="minorEastAsia" w:eastAsiaTheme="minorEastAsia" w:hAnsiTheme="minorEastAsia" w:hint="eastAsia"/>
          <w:b w:val="0"/>
          <w:bCs/>
          <w:szCs w:val="21"/>
        </w:rPr>
        <w:t>售机构</w:t>
      </w:r>
      <w:bookmarkEnd w:id="22"/>
    </w:p>
    <w:p w:rsidR="0077239A" w:rsidRPr="00533AE6" w:rsidRDefault="00587E38"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szCs w:val="21"/>
        </w:rPr>
        <w:t>1、</w:t>
      </w:r>
      <w:r w:rsidR="0077239A" w:rsidRPr="00533AE6">
        <w:rPr>
          <w:rFonts w:asciiTheme="minorEastAsia" w:eastAsiaTheme="minorEastAsia" w:hAnsiTheme="minorEastAsia"/>
        </w:rPr>
        <w:t>直销机构：易方达基金管理有限公司</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注册地址：</w:t>
      </w:r>
      <w:r w:rsidR="00596733" w:rsidRPr="00533AE6">
        <w:rPr>
          <w:rFonts w:asciiTheme="minorEastAsia" w:eastAsiaTheme="minorEastAsia" w:hAnsiTheme="minorEastAsia"/>
        </w:rPr>
        <w:t>广东省珠海市横琴新区宝华路6号105室－42891（集中办公区）</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办公地址：广州市天河区珠江新城珠江东路30号广州银行大厦40-43楼</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法定代表人：刘晓艳</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电话：020-85102506</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传真：4008818099</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w:t>
      </w:r>
      <w:r w:rsidR="00122C7D" w:rsidRPr="00533AE6">
        <w:rPr>
          <w:rFonts w:asciiTheme="minorEastAsia" w:eastAsiaTheme="minorEastAsia" w:hAnsiTheme="minorEastAsia"/>
        </w:rPr>
        <w:t>王峰</w:t>
      </w:r>
    </w:p>
    <w:p w:rsidR="00DD6486" w:rsidRPr="00533AE6" w:rsidRDefault="0077239A"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网址：www.efunds.com.cn</w:t>
      </w:r>
    </w:p>
    <w:p w:rsidR="00DD6486" w:rsidRPr="00533AE6" w:rsidRDefault="00DD6486"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直销机构网点信息：</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（1）易方达基金管理有限公司广州直销中心</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办公地址：广州市天河区珠江新城珠江东路30号广州银行大厦40楼</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电话：020-85102506</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传真：4008818099</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w:t>
      </w:r>
      <w:r w:rsidR="00122C7D" w:rsidRPr="00533AE6">
        <w:rPr>
          <w:rFonts w:asciiTheme="minorEastAsia" w:eastAsiaTheme="minorEastAsia" w:hAnsiTheme="minorEastAsia"/>
        </w:rPr>
        <w:t>王峰</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（2）易方达基金管理有限公司北京直销中心</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w:t>
      </w:r>
      <w:r w:rsidR="00141D5C" w:rsidRPr="00533AE6">
        <w:rPr>
          <w:rFonts w:asciiTheme="minorEastAsia" w:eastAsiaTheme="minorEastAsia" w:hAnsiTheme="minorEastAsia" w:hint="eastAsia"/>
        </w:rPr>
        <w:t>北京市西城区武定侯街2号泰康国际大厦18层</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电话：010-63213377</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传真：4008818099</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联系人：刘蕾</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（3）易方达基金管理有限公司上海直销中心</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办公地址：上海市浦东新区世纪大道88号金茂大厦46楼</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电话：021-50476668</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传真：4008818099</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w:t>
      </w:r>
      <w:r w:rsidR="00471558" w:rsidRPr="00533AE6">
        <w:rPr>
          <w:rFonts w:asciiTheme="minorEastAsia" w:eastAsiaTheme="minorEastAsia" w:hAnsiTheme="minorEastAsia" w:hint="eastAsia"/>
        </w:rPr>
        <w:t>王程</w:t>
      </w:r>
    </w:p>
    <w:p w:rsidR="00896494" w:rsidRPr="00533AE6" w:rsidRDefault="00E06EC4"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（4）易方达基金管理有限公司网上交易系统</w:t>
      </w:r>
    </w:p>
    <w:p w:rsidR="00266A27" w:rsidRPr="00533AE6" w:rsidRDefault="0077239A" w:rsidP="00A16E4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网址：www.efunds.com.cn</w:t>
      </w:r>
    </w:p>
    <w:p w:rsidR="00EB017F" w:rsidRPr="00533AE6" w:rsidRDefault="00266A27" w:rsidP="005A15F8">
      <w:pPr>
        <w:snapToGrid w:val="0"/>
        <w:spacing w:line="360" w:lineRule="auto"/>
        <w:ind w:left="-420" w:firstLine="422"/>
        <w:rPr>
          <w:rFonts w:asciiTheme="minorEastAsia" w:eastAsiaTheme="minorEastAsia" w:hAnsiTheme="minorEastAsia"/>
          <w:b/>
          <w:szCs w:val="21"/>
        </w:rPr>
      </w:pPr>
      <w:r w:rsidRPr="00533AE6">
        <w:rPr>
          <w:rFonts w:asciiTheme="minorEastAsia" w:eastAsiaTheme="minorEastAsia" w:hAnsiTheme="minorEastAsia" w:hint="eastAsia"/>
          <w:b/>
          <w:szCs w:val="21"/>
        </w:rPr>
        <w:lastRenderedPageBreak/>
        <w:t>2</w:t>
      </w:r>
      <w:r w:rsidR="00587E38" w:rsidRPr="00533AE6">
        <w:rPr>
          <w:rFonts w:asciiTheme="minorEastAsia" w:eastAsiaTheme="minorEastAsia" w:hAnsiTheme="minorEastAsia" w:hint="eastAsia"/>
          <w:b/>
          <w:szCs w:val="21"/>
        </w:rPr>
        <w:t>、</w:t>
      </w:r>
      <w:r w:rsidR="00FD44F0" w:rsidRPr="00533AE6">
        <w:rPr>
          <w:rFonts w:asciiTheme="minorEastAsia" w:eastAsiaTheme="minorEastAsia" w:hAnsiTheme="minorEastAsia" w:hint="eastAsia"/>
          <w:b/>
          <w:szCs w:val="21"/>
        </w:rPr>
        <w:t>非直销销售</w:t>
      </w:r>
      <w:r w:rsidR="00EB017F" w:rsidRPr="00533AE6">
        <w:rPr>
          <w:rFonts w:asciiTheme="minorEastAsia" w:eastAsiaTheme="minorEastAsia" w:hAnsiTheme="minorEastAsia" w:hint="eastAsia"/>
          <w:b/>
          <w:szCs w:val="21"/>
        </w:rPr>
        <w:t>机构</w:t>
      </w:r>
      <w:r w:rsidR="004B40EC" w:rsidRPr="00533AE6">
        <w:rPr>
          <w:rFonts w:asciiTheme="minorEastAsia" w:eastAsiaTheme="minorEastAsia" w:hAnsiTheme="minorEastAsia" w:hint="eastAsia"/>
          <w:b/>
          <w:szCs w:val="21"/>
        </w:rPr>
        <w:t>（以下排序不分先后）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 中国银行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注册地址：北京市西城区复兴门内大街1号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办公地址：北京市西城区复兴门内大街1号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法定代表人：刘连舸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网址：www.boc.cn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 渤海银行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注册地址：天津市河东区海河东路218号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办公地址：天津市河东区海河东路218号渤海银行大厦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法定代表人：李伏安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联系电话：022-58316666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客户服务电话：95541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传真：022-58316569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网址：www.cbhb.com.cn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 广发银行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注册地址：广东省广州市越秀区东风东路713号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办公地址：广东省广州市越秀区东风东路713号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法定代表人：尹兆君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客户服务电话：400-830-8003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网址：www.cgbchina.com.cn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 恒丰银行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注册地址：济南市历下区泺源大街8号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办公地址：山东省烟台市莱山区港城东大街289号南山世纪大厦A座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联系人：李胜贤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电话：021-63890179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传真：021-63890196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网址：www.hfbank.com.cn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 华夏银行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注册地址：北京市东城区建国门内大街22号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办公地址：北京市东城区建国门内大街22号华夏银行大厦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法定代表人：李民吉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联系人：刘湘波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传真：010-85238680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网址：www.hxb.com.cn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 交通银行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注册地址：中国（上海）自由贸易试验区银城中路188号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办公地址：中国（上海）自由贸易试验区银城中路188号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法定代表人：任德奇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联系人：王菁</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联系电话：021-58781234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客户服务电话：95559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网址：www.bankcomm.com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 平安银行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注册地址：广东省深圳市罗湖区深南东路5047号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办公地址：广东省深圳市罗湖区深南东路5047号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法定代表人：谢永林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联系人：赵杨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联系电话：0755-22166574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客户服务电话：95511-3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传真：021-50979507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网址：bank.pingan.com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 浦发银行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注册地址：上海市中山东一路12号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办公地址：上海市中山东一路12号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法定代表人：郑杨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联系人：赵守良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联系电话：021-61618888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传真：021-63604196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网址：www.spdb.com.cn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 兴业银行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注册地址：福州市湖东路154号中山大厦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办公地址：上海市银城路167号兴业银行大厦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法定代表人：陶以平（代为履行法定代表人职权）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联系人：孙琪虹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网址：www.cib.com.cn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 招商银行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注册地址：深圳市福田区深南大道7088号招商银行大厦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办公地址：深圳市福田区深南大道7088号招商银行大厦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法定代表人：李建红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联系人：季平伟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网址：www.cmbchina.com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 浙商银行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注册地址：浙江省杭州市萧山区鸿宁路1788号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办公地址：浙江杭州市庆春路288号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法定代表人：沈仁康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联系人：沈崟杰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联系电话：0571- 88261822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客户服务电话：95527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传真：0571-87659954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网址：www.czbank.com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 中国工商银行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注册地址：北京西城区复兴门内大街55号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办公地址：北京西城区复兴门内大街55号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法定代表人：陈四清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网址：www.icbc.com.cn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 中国光大银行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注册地址：北京市西城区太平桥大街25号、甲25号中国光大中心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办公地址：北京市西城区太平桥大街25号金融街F3大厦（中国光大中心）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法定代表人：李晓鹏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联系人：朱红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联系电话：010-63636153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传真：010-63639709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网址：www.cebbank.com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 中国建设银行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注册地址：北京市西城区金融大街25号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办公地址：北京市西城区闹市口大街1号院1号楼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法定代表人：田国立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联系人：王未雨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 中国民生银行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注册地址：北京市西城区复兴门内大街2号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办公地址：北京市西城区复兴门内大街2号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法定代表人：洪崎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联系人：徐野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网址：www.cmbc.com.cn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 中国农业银行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注册地址：北京市东城区建国门内大街69号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办公地址：北京市东城区建国门内大街69号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法定代表人：周慕冰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联系人：李紫钰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传真：010-85109219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网址：www.abchina.com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 中国邮政储蓄银行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法定代表人：张金良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传真：010-68858057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网址：www.psbc.com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 中信银行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注册地址：北京市东城区朝阳门北大街9号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办公地址：北京市东城区朝阳门北大街9号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法定代表人：李庆萍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联系人：王晓琳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传真：010-85230049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网址：bank.ecitic.com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 包商银行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注册地址：内蒙古自治区包头市青山区钢铁大街6号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办公地址：内蒙古自治区包头市青山区钢铁大街6号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法定代表人：周学东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联系人：张晶</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联系电话：0472-5189165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传真：010-84596546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网址：www.bsb.com.cn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 北京银行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注册地址：北京市西城区金融大街甲17号首层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办公地址：北京市西城区金融大街丙17号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法定代表人：张东宁</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网址：www.bankofbeijing.com.cn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 长安银行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注册地址：西安市高新技术产业开发区高新四路13号1幢1单元10101室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办公地址：西安市高新技术产业开发区高新四路13号朗臣大厦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法定代表人：赵永军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联系人：闫石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客户服务电话：400-05-96669；（029）96669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传真：029-88609566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网址：http://www.ccabchina.com/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 长沙银行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注册地址：长沙市岳麓区滨江路53号楷林商务中心B座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办公地址：长沙市岳麓区滨江路长沙银行大厦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法定代表人：朱玉国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联系人：龙秀芳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联系电话：0731-89736250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客户服务电话：0731-96511（湖南省内）、40067-96511（全国）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网址：www.bankofchangsha.com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 成都农商银行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注册地址：成都市武侯区科华中路88号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办公地址：成都市武侯区科华中路88号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联系人：杨琪</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联系电话：028-85315412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客户服务电话：95392   4006-028-666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传真：028-85390961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网址：http://www.cdrcb.com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(24) 大连银行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注册地址：辽宁省大连市中山区中山路88号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办公地址：大连市中山区中山路88号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法定代表人：崔磊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联系人：卜书慧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联系电话：0411-82311936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客户服务电话：400-664-0099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网址：www.bankofdl.com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(25) 德州银行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注册地址：山东省德州市三八东路1266号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办公地址：山东省德州市三八东路1266号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法定代表人：董合平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联系人：王方震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电话：0534-2297326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客户服务电话：400-01-96588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网址：www.dzbchina.com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(26) 东莞农村商业银行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注册地址：广东省东莞市东城区鸿福东路2号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办公地址：广东省东莞市东城区鸿福东路2号东莞农商银行大厦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法定代表人：王耀球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联系人：钟燕珊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客户服务电话：0769-961122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网址：www.drcbank.com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(27) 东莞银行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注册地址：东莞市莞城区体育路21号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办公地址：东莞市莞城区体育路21号东莞银行大厦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法定代表人：卢国锋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联系人：朱杰霞</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联系电话：0769-22865177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网址：www.dongguanbank.cn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(28) 佛山农商银行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注册地址：佛山市禅城区华远东路5号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办公地址：佛山市禅城区华远东路5号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法定代表人：李川</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联系人：陈棠熙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客户服务电话：96138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网址：www.foshanbank.cn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(29) 福建海峡银行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注册地址：福建省福州市台江区江滨中大道358号海峡银行大厦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办公地址：福建省福州市台江区江滨中大道358号福建海峡银行8楼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法定代表人：俞敏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联系人：黄钰雯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联系电话：0591-87332762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客户服务电话：400-893-9999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传真：0591-87330926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网址：www.fjhxbank.com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(30) 富阳农商银行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注册地址：杭州市富阳区鹿山街道依江路501号第1幢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办公地址：杭州市富阳区鹿山街道依江路501号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法定代表人：丁松茂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联系电话：0571-63280253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客户服务电话：96596、4008896596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网址：www.fyrcbk.com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(31) 广东华兴银行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注册地址：广东省汕头市龙湖区黄山路28号四层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办公地址：广州市天河区天河路533号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法定代表人：周泽荣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联系人：许悦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联系电话：020-38173552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客户服务电话：400-830-8001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传真：020-38173857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网址：www.ghbank.com.cn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(32) 广东南粤银行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注册地址：广东省湛江市经济技术开发区乐山大道60号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办公地址：广东省湛江市经济技术开发区乐山大道60号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法定代表人：蒋丹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联系电话：020-28308757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客户服务电话：4000-961818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网址：www.gdnybank.com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(33) 广州农商银行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注册地址：广州市黄埔区映日路9号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办公地址：广州市天河区珠江新城华夏路1号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法定代表人：王继康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联系电话：020-22389067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传真：020-22389031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网址：www.grcbank.com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(34) 广州银行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注册地址：广州市天河区珠江东路30号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办公地址：广州市天河区珠江东路30号广州银行大厦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法定代表人：黄子励</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联系人：唐荟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客户服务电话：96699（广东）400-83-96699（全国）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网址：www.gzcb.com.cn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(35) 贵阳银行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注册地址：贵州省贵阳市观山湖区长岭北路中天•会展城B区金融商务区东区1-6栋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办公地址：贵州省贵阳市中华北路77号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法定代表人： 张正海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联系人：何西</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电话：0851-86858673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客户服务电话：40011-96033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传真：0851-86858673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网址：http://www.96033.cn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(36) 哈尔滨银行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注册地址：哈尔滨市道里区尚志大街160号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办公地址：哈尔滨市道里区上江街888号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法定代表人：郭志文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联系人：何岩岩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电话：0451-87792450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传真：0451-87792682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网址：www.hrbb.com.cn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(37) 汉口银行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注册地址：武汉市江汉区建设大道933号武汉商业银行大厦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办公地址：武汉市江汉区建设大道933号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法定代表人：陈新民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联系电话：027-82656785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客户服务电话：4006096558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传真：027-82656213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网址：http://www.hkbchina.com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(38) 杭州联合银行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注册地址：浙江省杭州市上城区建国中路99号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办公地址：杭州市建国中路99号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法定代表人：张海林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联系人：吴徐立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联系电话：0571-87923324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传真：0571-87923214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网址：www.urcb.com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(39) 杭州银行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注册地址：浙江省杭州市下城区庆春路46号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办公地址：杭州市下城区庆春路46号杭州银行大厦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法定代表人：陈震山</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联系人：蒋梦君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联系电话：0571-85120718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客户服务电话：95398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传真：0571-85106576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网址：www.hzbank.com.cn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(40) 河北银行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注册地址：石家庄市平安北大街28号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办公地址：石家庄市平安北大街28号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法定代表人：乔志强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联系电话：0311-88627587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客户服务电话：400-612-9999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传真：0311-67806407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网址：www.hebbank.com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(41) 华融湘江银行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注册地址：长沙市天心区芙蓉南路一段828号杰座大厦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办公地址：湖南省长沙市湘府东路二段208号万境财智中心南栋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法定代表人：黄卫忠</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联系人：闾娇蓉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联系电话：0731-89828182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客户服务电话：0731-96599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传真：0731-89828806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网址：www.hrxjbank.com.cn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(42) 吉林银行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注册地址：吉林省长春市经济技术开发区东南湖大路1817号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办公地址：吉林省长春市经济技术开发区东南湖大路1817号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法定代表人：陈宇龙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联系人：孟明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联系电话：0431-84992680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客户服务电话：400-88-96666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传真：0431-84992649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网址：www.jlbank.com.cn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(43) 嘉兴银行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注册地址：浙江省嘉兴市昌盛南路1001号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办公地址：浙江省嘉兴市昌盛南路1001号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法定代表人：夏林生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联系人：余舟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联系电话：0573-82080201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客户服务电话：0573-96528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网址：http://www.bojx.com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(44) 江南农村商业银行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注册地址：常州市和平中路413号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办公地址：常州市和平中路413号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法定代表人：陆向阳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电话：0519-80585939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客户服务电话：0519-96005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传真：0519-89995170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网址：http://www.jnbank.com.cn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(45) 江苏银行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注册地址：南京市中华路26号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办公地址：南京市中华路26号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法定代表人：夏平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联系人：展海军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联系电话：025-58587039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客户服务电话：95319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传真：025-58587820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网址：www.jsbchina.cn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(46) 江西银行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注册地址：江西省南昌市红谷滩新区金融大街699号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办公地址：江西省南昌市红谷滩新区金融大街699号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法定代表人：陈晓明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联系人：陈云波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联系电话：0791-86796029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传真：0791-86790795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网址：www.jx-bank.com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(47) 金华银行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注册地址：浙江省金华市丹溪路1388号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办公地址：浙江省金华市金东区光南路668号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法定代表人：徐雅清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联系人：何赛丽、陈霞</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联系电话：0579-82178270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客户服务电话：400-711-6668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传真：0579-82178321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网址：www.jhccb.com.cn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(48) 锦州银行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注册地址：辽宁省锦州市科技路68号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办公地址：辽宁省锦州市科技路68号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法定代表人：魏学坤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联系人：庞璐璐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客户服务电话：400-66-96178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网址：www.jinzhoubank.com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(49) 晋商银行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注册地址：山西省太原市小店区长风街59号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办公地址：山西省太原市小店区长风街59号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法定代表人：阎俊生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联系人：董嘉文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联系电话：0351-6819579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客户服务电话：9510-5588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传真：0351-6819926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网址：www.jshbank.com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(50) 九台农商银行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注册地址：吉林省长春市九台区新华大街504号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办公地址：吉林省长春市高新开发区蔚山路2559号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法定代表人：高兵</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联系人：曲凌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客户服务电话：0431-96888-0-2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网址：http://www.jtnsh.com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(51) 昆仑银行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注册地址：新疆克拉玛依市世纪大道7号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办公地址：北京市西城区金融大街1号B座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法定代表人：蒋尚军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联系人：张碧华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联系电话：010-89026813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传真：010-89025421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网址：www.klb.cn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(52) 昆山农村商业银行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注册地址：江苏省昆山市前进东路828号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办公地址：江苏省昆山市前进东路828号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法定代表人：张哲清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联系人：黄怡</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客户服务电话：0512-96079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网址：www.ksrcb.com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(53) 乐清农商银行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注册地址：浙江省乐清市城南街道伯乐西路99号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办公地址：浙江省乐清市城南街道伯乐西路99号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法定代表人：高剑飞</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联系人：金晓娇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联系电话：0577-61566028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传真：0577-61566063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网址：www.yqbank.com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(54) 临海农商银行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注册地址：浙江省临海市古城街道巾山中路2号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办公地址：浙江省临海市古城街道巾山中路2号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法定代表人：王晔玮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电话：0576-85317606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传真：0576-85317599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 http://www.lhrcb.com/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(55) 龙江银行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注册地址：黑龙江省哈尔滨市道里区友谊路436号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办公地址：黑龙江省哈尔滨市道里区友谊路436号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法定代表人：张建辉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联系人：闫勇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联系电话：0451-85706107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客户服务电话：400-645-8888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传真：0451-85706036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网址：http://www.lj-bank.com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(56) 龙湾农商银行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注册地址：浙江省温州市龙湾区永中街道永宁西路555号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办公地址：浙江省温州市龙湾区永中街道永宁西路555号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法定代表人：朱朋远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联系人：胡俊杰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联系电话：0577-86923223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传真：0577-86921250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网址：www.lwrcb.com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(57) 鹿城农商银行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注册地址：浙江省温州市鹿城区会展路1500号富银大厦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办公地址：温州市车站大道547号信合大厦A幢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法定代表人：陈宏强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联系人：董雷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联系电话：0577-88077675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网址：http://www.lcrcbank.com/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(58) 洛阳银行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注册地址：洛阳市洛阳新区开元大道与通济街交叉口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办公地址：河南省洛阳市开元大道256号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法定代表人：王建甫</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联系人：郭文博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联系电话：0379-65921977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客户服务电话：0379-96699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传真：0379-65938595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网址：www.bankofluoyang.com.cn/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(59) 南海农商银行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注册地址：广东省佛山市南海区桂城街道南海大道北26号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办公地址：广东省佛山市南海区桂城街道南海大道北26号农商银行大厦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法定代表人：李宜心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联系人：廖雪</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电话：0757-86266566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客户服务电话：96138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传真：0757-86250627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网址：www.nanhaibank.com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(60) 南京银行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注册地址：南京市玄武区中山路288号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办公地址：南京市玄武区中山路288号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法定代表人：胡升荣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联系人：赵世光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客户服务电话：95302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网址：www.njcb.com.cn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(61) 南洋商业银行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注册地址：中国（上海）自由贸易试验区世纪大道800号三层、六层至九层（不含六层A座）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办公地址：中国（上海）自由贸易试验区世纪大道800号三层、六层至九层（不含六层A座）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法定代表人：陈孝周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联系人：马小明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联系电话：021-38566452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客户服务电话：8008207898（内地固话用户）、4008207898（内地手机用户）、（86551）64360499（港澳台及境外）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传真：021-38566400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网址：http://www.ncbchina.cn/cn/index.html</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(62) 宁波银行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注册地址：浙江省宁波市鄞州区宁东路345号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办公地址：浙江省宁波市鄞州区宁东路345号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法定代表人：陆华裕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联系人：夏禾</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网址：www.nbcb.com.cn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(63) 宁夏银行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注册地址：银川市金凤区北京中路157号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办公地址：银川市金凤区北京中路157号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法定代表人：居光华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联系人：蒋阳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联系电话：0951-5165256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客户服务电话：4008096558、0951-96558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网址：http://www.bankofnx.com.cn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(64) 齐商银行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注册地址：淄博市张店区中心路105号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办公地址：山东省淄博市张店区金晶大道105号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法定代表人：杲传勇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联系人：焦浦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联系电话：0533-2178888-9907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客户服务电话：400-86-96588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传真：0533-2180303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网址：www.qsbank.cc</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(65) 青岛农商银行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注册地址：山东省青岛市崂山区秦岭路6号1号楼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办公地址：山东省青岛市崂山区秦岭路6号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法定代表人：刘仲生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联系人：严菲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联系电话：0532-66957360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客户服务电话：0532-96668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传真：0532-66957229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网址：www.qrcb.com.cn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(66) 青岛银行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注册地址：山东省青岛市崂山区秦岭路6号3号楼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办公地址：山东省青岛市崂山区秦岭路6号3号楼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法定代表人：郭少泉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联系人：陈界交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联系电话：0532-68629956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客户服务电话：96588（青岛）400-66-96588（全国）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网址：http://www.qdccb.com/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(67) 泉州银行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注册地址：泉州市丰泽区云鹿路3号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办公地址：泉州市丰泽区云鹿路3号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法定代表人：傅子能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联系人：董培姗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联系电话：0595-22551071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客户服务电话：400-88-96312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传真：0595-22578871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网址：http://www.qzccbank.com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(68) 日照银行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注册地址：山东省日照市烟台路197号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办公地址：山东省日照市烟台路197号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联系人：孔颖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联系电话：0633-8081590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客户服务电话：400-68-96588（全国）、0633-96588（日照）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传真：0633-8081276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网址：http://www.bankofrizhao.com.cn/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(69) 瑞安农商银行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注册地址：瑞安市安阳街道万松东路148号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办公地址：瑞安市安阳街道万松东路148号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法定代表人：王光领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联系人：吴小娜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联系电话：0577-66681245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客户服务电话：4008057702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(70) 瑞丰银行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注册地址：浙江省绍兴市柯桥区笛扬路1363号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办公地址：浙江省绍兴市柯桥区笛扬路1363号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法定代表人：章伟东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联系人：孟建潮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联系电话：0575-81105323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传真：0575-84788134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网址：www.borf.cn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(71) 上海农村商业银行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注册地址：上海市黄浦区中山东二路70号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办公地址：上海市黄浦区中山东二路70号上海农商银行大厦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法定代表人：徐力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联系人：施传荣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联系电话：021-61899999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客户服务电话：021-962999、4006962999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开放式基金业务传真：021-50105124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(72) 上海银行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注册地址：中国（上海）自由贸易试验区银城中路168号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办公地址：上海市浦东新区银城中路168号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法定代表人：金煜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联系电话：021-68475732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客户服务电话：95594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网址：http://www.bosc.cn/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(73) 顺德农村商业银行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注册地址：广东佛山市顺德区大良德和居委会拥翠路2号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办公地址：广东佛山市顺德区大良德和居委会拥翠路2号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法定代表人：姚真勇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联系人：杨素苗、区敏欣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联系电话：0757-22382524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客户服务电话：0757-22223388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传真：0757-22388235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网址：www.sdebank.com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(74) 四川天府银行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注册地址：四川省南充市涪江路1号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办公地址：四川省成都市锦江区东大街下东大街258号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法定代表人：邢敏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联系人：周乃雍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联系电话：028-67676038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客户服务电话：400-16-96869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网址：www.tf.cn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(75) 苏州银行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注册地址：江苏省苏州市工业园区钟园路728号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办公地址：江苏省苏州市工业园区钟园路728号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法定代表人：王兰凤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联系人：吴骏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联系电话：0512-69868373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客户服务电话：96067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传真：0512-69868373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网址：www.suzhoubank.com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(76) 天津银行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注册地址：天津市河西区友谊路15号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办公地址：天津市河西区友谊路15号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法定代表人：李宗唐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联系电话：022-28405684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客户服务电话：956056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传真：022-28405631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网址：www.bank-of-tianjin.com.cn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(77) 威海市商业银行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注册地址：威海市宝泉路9号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办公地址：威海市宝泉路9号财政大厦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法定代表人：谭先国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联系人：冯十卉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联系电话：0531-68978175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客户服务电话：山东省内96636、中国境内40000-96636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传真：0531-68978176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网址：www.whccb.com，www.whccb.com.cn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(78) 潍坊银行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注册地址：山东省潍坊市奎文区胜利东街5139号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办公地址：山东省潍坊市奎文区胜利东街5139号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法定代表人：郭虎英</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联系人：井靖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联系电话：0536-8051904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客户服务电话：400-61-96588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传真：0536-8056061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网址：www.wfccb.com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(79) 萧山农商银行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注册地址：萧山区人民路258号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办公地址：浙江省杭州市萧山区人民路258号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法定代表人：王云龙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联系人：朱光锋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联系电话：0571-82739513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网址：http://www.zjxsbank.com/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(80) 新昌农商银行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注册地址：浙江省绍兴市新昌县七星街道七星路18号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办公地址：浙江省绍兴市新昌县七星街道七星路18号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法定代表人：陆斌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联系人：陈春华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联系电话：0575-86266991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客户服务电话：96596、0575-86266928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传真：0575-86383121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网址：http://xcbank.com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(81) 烟台银行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注册地址：山东省烟台市芝罘区海港路25号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办公地址：山东省烟台市芝罘区海港路25号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法定代表人：吴明理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联系人：张卓智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联系电话：0535-6699671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客户服务电话：4008-311-777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传真：0535-6699884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网址：www.yantaibank.net</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(82) 鄞州银行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注册地址：宁波市鄞州区民惠西路88号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办公地址：宁波市鄞州区民惠西路88号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法定代表人：周建斌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联系人：朱霓虹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联系电话：0574-87412569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网址：www.beeb.com.cn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(83) 余杭农村商业银行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注册地址：杭州市余杭区南苑街道南大街72号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办公地址：杭州市余杭区南苑街道南大街72号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法定代表人：来煜标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联系人：蔡亮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联系电话：0571-86209980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客户服务电话：96596，4008896596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网址：www.yhrcb.com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(84) 云南红塔银行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注册地址：云南省玉溪市东风南路2号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办公地址：云南省昆明市盘龙区世博路低碳中心A座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法定代表人：李光林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联系人：马杰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联系电话：0871-65236624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客户服务电话：0877-96522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网址：www.ynhtbank.com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(85) 浙江稠州商业银行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注册地址：浙江省义乌市江滨路义乌乐园东侧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办公地址：杭州市上城区望潮路158号稠银大厦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法定代表人：金子军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联系人：谢圆圆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联系电话：0571-87117661/13777805250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客户服务电话：0571-96527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传真：0571-87117607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网址：http://www.czcb.com.cn/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(86) 浙江泰隆商业银行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注册地址：浙江省台州市路桥区南官大道188号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办公地址：浙江省台州市路桥区南官大道188号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联系人：陈妍宇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联系电话：0571-87219677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网址：www.zjtlcb.com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(87) 郑州银行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注册地址：河南省郑州市郑东新区商务外环路22号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办公地址：河南省郑州市郑东新区商务外环路22号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法定代表人：王天宇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联系人：庞骏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联系电话：0371-67009917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客户服务电话：95097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传真：0371-67009097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网址：http://www.zzbank.cn/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(88) 中原银行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注册地址：河南省郑州市郑东新区CBD商务外环路23号中科金座大厦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办公地址：河南省郑州市郑东新区CBD商务外环路23号中科金座大厦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法定代表人：窦荣兴</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联系电话：0371-61910217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网址：www.zybank.com.cn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(89) 重庆农村商业银行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注册地址：重庆市江北区金沙门路36号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办公地址：重庆市江北区金沙门路36号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法定代表人：刘建忠</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联系人：范亮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联系电话：023-61110146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客户服务电话：95389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传真：023-61110146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网址：www.cqrcb.com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(90) 珠海华润银行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注册地址：广东省珠海市吉大九洲大道东1346号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办公地址：广东省珠海市吉大九洲大道东1346号珠海华润银行大厦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法定代表人：刘晓勇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联系电话：4008800338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客户服务电话：96588（广东省外请加拨0756），400-8800-338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网址：www.crbank.com.cn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(91) 安信证券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注册地址：深圳市福田区金田路4018号安联大厦35层、28层A02单元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办公地址：深圳市福田区金田路4018号安联大厦35层、28层A02单元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          深圳市福田区深南大道2008号中国凤凰大厦1栋9层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法定代表人：黄炎勋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联系人：陈剑虹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联系电话：0755-82825551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传真：0755-82558355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网址：www.essence.com.cn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(92) 渤海证券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注册地址：天津市经济技术开发区第二大街42号写字楼101室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办公地址：天津市南开区宾水西道8号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法定代表人：安志勇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联系电话：022-28451922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客户服务电话：400-651-5988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传真：022-28451892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网址：www.ewww.com.cn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(93) 财达证券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注册地址：河北省石家庄市桥西区自强路35号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办公地址：河北省石家庄市桥西区自强路35号庄家金融大厦23-26层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法定代表人：翟建强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联系人：李卓颖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联系电话：0311-66008561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客户服务电话：95363（河北省内）；0311-95363（河北省外）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传真：0311-66006414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网址：www.s10000.com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(94) 财通证券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注册地址：杭州市西湖区天目山路198号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办公地址：杭州市西湖区天目山路198号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法定代表人：陆建强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联系人：陶志华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联系电话：0571－87789160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网址：www.ctsec.com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(95) 财信证券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注册地址：长沙市芙蓉中路二段80号顺天国际财富中心26层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办公地址：长沙市芙蓉中路二段80号顺天国际财富中心26-28层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法定代表人：刘宛晨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联系人：郭静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联系电话：0731-84403347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传真：0731-84403439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网址：www.cfzq.com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(96) 长城国瑞证券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注册地址：厦门市思明区莲前西路2号莲富大厦17楼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办公地址：厦门市思明区深田路46号深田国际大厦20楼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联系人：邱震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联系电话：0592-2079259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客户服务电话：400-0099-886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传真：0592-2079602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网址：www.gwgsc.com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(97) 长城证券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注册地址：深圳市福田区福田街道金田路2026号能源大厦南塔楼10-19层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办公地址：深圳市福田区福田街道金田路2026号能源大厦南塔楼10-19层长城证券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法定代表人：曹宏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联系人：梁浩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联系电话：0755-83530715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客户服务电话：400-6666-888或95514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传真：0755--83515567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网址：www.cgws.com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(98) 长江证券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注册地址：湖北省武汉市新华路特8号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办公地址：湖北省武汉市新华路特8号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法定代表人：李新华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联系人：奚博宇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联系电话：027-65799999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客户服务电话：95579或4008-888-999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传真：027-85481900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网址：www.95579.com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(99) 川财证券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注册地址：中国（四川）自由贸易试验区成都高新区交子大道177号中海国际中心B座17楼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办公地址：四川省成都高新区交子大道177号中海国际中心B座17楼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法定代表人：孟建军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联系人：匡婷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联系电话：028-86583053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客户服务电话：028-962708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网址：www.cczq.com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(100) 大通证券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注册地址：辽宁省大连市沙河口区会展路129号大连国际金融中心A座-大连期货大厦38、39层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办公地址：辽宁省大连市沙河口区会展路129号大连国际金融中心A座-大连期货大厦38、39层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联系人：谢立军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联系电话：0411-39991807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客户服务电话：4008-169-169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传真：0411-39673214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网址：www.daton.com.cn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(101) 大同证券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注册地址：山西省大同市城区迎宾街15号桐城中央21层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办公地址：山西省太原市小店区长治路111号山西世贸中心A座F12、F13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法定代表人：董祥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联系人：薛津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联系电话：0351-4130322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客户服务电话：4007121212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传真：0351-7219891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网址：www.dtsbc.com.cn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(102) 德邦证券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注册地址：上海市普陀区曹杨路510号南半幢9楼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办公地址：上海市福山路500号城建国际中心29楼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法定代表人：武晓春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联系人：刘熠</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联系电话：021-68761616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客户服务电话：400-8888-128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传真：021-68767880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网址：http://www.tebon.com.cn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(103) 第一创业证券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注册地址：深圳市福田区福华一路115号投行大厦20楼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办公地址：深圳市福田区福华一路115号投行大厦20楼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法定代表人：刘学民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联系人：单晶</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联系电话：0755-23838750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客户服务电话：95358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网址：www.firstcapital.com.cn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(104) 东北证券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注册地址：长春市生态大街6666号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办公地址：长春市生态大街6666号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法定代表人：李福春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联系人：安岩岩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联系电话：0431-85096517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客户服务电话：95360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传真：0431-85096795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网址：www.nesc.cn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(105) 东方证券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注册地址：上海市中山南路318号2号楼22层、23层、25层-29层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办公地址：上海市中山南路318号2号楼22层、23层、25层-29层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法定代表人：潘鑫军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联系人：龚玉君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联系电话：021-63325888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传真：021-63326729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网址：http://www.dfzq.com.cn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(106) 东莞证券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注册地址：东莞市莞城区可园南路一号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办公地址：东莞市莞城区可园南路1号金源中心30楼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法定代表人：陈照星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联系电话：0769-22115712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传真：0769-22115712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网址：www.dgzq.com.cn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(107) 东海证券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注册地址：江苏省常州市延陵西路23号投资广场18层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办公地址：上海市浦东新区东方路1928号东海证券大厦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法定代表人：钱俊文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联系人：王一彦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联系电话：021-20333333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客户服务电话：95531、400-8888-588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传真：021-50498825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网址：www.longone.com.cn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(108) 东吴证券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注册地址：苏州工业园区星阳街5号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办公地址：苏州工业园区星阳街5号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法定代表人：范力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联系人：陆晓</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联系电话：0512-62938521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客户服务电话：95330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传真：0512-65588021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网址：www.dwzq.com.cn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(109) 东兴证券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注册地址：北京市西城区金融大街5号（新盛大厦）12、15层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办公地址：北京市西城区金融大街5号新盛大厦B座10层、12层、15层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法定代表人：魏庆华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联系人：夏锐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联系电话：010-66559079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客户服务电话：95309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传真：010-66555133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网址：www.dxzq.net</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(110) 方正证券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注册地址：湖南省长沙市天心区湘江中路二段36号华远华中心4、5号楼3701-3717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办公地址：北京市朝阳区北四环中路27号盘古大观A座40F</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法定代表人：施华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联系电话：010-59355412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传真：010-56437030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网址：www.foundersc.com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(111) 光大证券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注册地址：上海市静安区新闸路1508号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办公地址：上海市静安区新闸路1508号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法定代表人：刘秋明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联系人：郁疆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联系电话：021-22169999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网址：www.ebscn.com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(112) 广发证券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注册地址：广东省广州市黄埔区中新广州知识城腾飞一街2号618室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办公地址：广州市天河区马场路26号广发证券大厦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法定代表人：孙树明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联系人：黄岚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客户服务电话：95575或02095575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网址：www.gf.com.cn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(113) 国都证券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注册地址：北京市东城区东直门南大街3号国华投资大厦9层10层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办公地址：北京市东城区东直门南大街3号国华投资大厦9层10层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法定代表人：翁振杰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联系人：黄静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联系电话：010-84183333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客户服务电话：400-818-8118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传真：010-84183311-3122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网址：www.guodu.com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(114) 国海证券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注册地址：广西桂林市辅星路13号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办公地址：深圳市福田区竹子林四路光大银行大厦3楼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法定代表人：何春梅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联系人：田密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联系电话：0755-83716916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客户服务电话：95563或0771-95563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网址：www.ghzq.com.cn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(115) 国金证券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注册地址：成都市青羊区东城根上街95号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办公地址：成都市青羊区东城根上街95号成证大厦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法定代表人：冉云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联系人：杜晶、黎建平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联系电话：028-86690057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客户服务电话：95310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传真：028-86690126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网址：www.gjzq.com.cn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(116) 国开证券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注册地址：北京市西城区阜成门外大街29号1-9层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办公地址：北京市西城区阜成门外大街29号1-9层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法定代表人：张宝荣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联系人：刘欣灿</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联系电话：010-88300715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客户服务电话：400-88-95593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传真：010-88300694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网址：www.gkzq.com.cn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(117) 国融证券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注册地址：内蒙古自治区呼和浩特市武川县腾飞大道1号4楼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办公地址：北京市西城区宣武门西大街甲129号金隅大厦16层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法定代表人：张智河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联系人：李思萱</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联系电话：010-83991848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客户服务电话：95385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传真：010-66412537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网址：www.grzq.com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(118) 国盛证券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注册地址：江西省南昌市新建区子实路1589号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办公地址：江西省南昌市红谷滩新区凤凰中大道1115号北京银行大厦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法定代表人：徐丽峰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联系人：占文驰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联系电话：0791-88250812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传真：0791-86281305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网址：www.gszq.com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(119) 国泰君安证券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注册地址：中国（上海）自由贸易试验区商城路618号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办公地址：上海市静安区南京西路768号国泰君安大厦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法定代表人：贺青</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联系人：芮敏祺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传真：021-38670666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网址：www.gtja.com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(120) 国信证券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注册地址：深圳市罗湖区红岭中路1012号国信证券大厦十六层至二十六层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办公地址：深圳市罗湖区红岭中路1012号国信证券大厦十六层至二十六层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法定代表人：何如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联系电话：0755-82130833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传真：0755-82133952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网址：www.guosen.com.cn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(121) 国元证券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注册地址：安徽省合肥市梅山路18号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办公地址：安徽省合肥市梅山路18号安徽国际金融中心A座国元证券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法定代表人：俞仕新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联系人：李蔡</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传真：0551-2272100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网址：www.gyzq.com.cn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(122) 海通证券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注册地址：上海市广东路689号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办公地址：上海市广东路689号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联系人：金芸、李笑鸣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联系电话：021-23219000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传真：021-23219100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网址：www.htsec.com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(123) 华安证券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注册地址：安徽省合肥市政务文化新区天鹅湖路198号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办公地址：安徽省合肥市政务文化新区天鹅湖路198号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法定代表人：章宏韬</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联系人：范超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联系电话：0551-65161821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传真：0551-65161825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网址：www.hazq.com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(124) 华宝证券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注册地址：中国（上海）自由贸易试验区世纪大道100号57层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办公地址：中国（上海）自由贸易试验区世纪大道100号57层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法定代表人：刘加海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联系人：刘闻川</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联系电话：021-20657517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客户服务电话：400-820-9898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传真：021-20515593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网址：www.cnhbstock.com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(125) 华福证券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注册地址：福建省福州市鼓楼区鼓屏路27号1#楼3层、4层、5层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办公地址：上海市浦东新区陆家嘴环路1088号招商银行大厦18-19楼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法定代表人：黄金琳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联系电话：021-20655183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传真：021-20655196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网址：www.hfzq.com.cn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(126) 华林证券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注册地址：拉萨市柳梧新区国际总部城3幢1单元5-5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办公地址：深圳市福田区民田路178号华融大厦6楼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法定代表人：林立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联系人：胡倩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联系电话：0755-83255199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客户服务电话：400-188-3888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网址：www.chinalin.com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(127) 华龙证券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注册地址：兰州市城关区东岗西路638号兰州财富中心21楼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办公地址：兰州市城关区东岗西路638号兰州财富中心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法定代表人：陈牧原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联系人：范坤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联系电话：0931-4890208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客户服务电话：95368、400-689-8888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传真：0931-4890628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网址：www.hlzq.com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(128) 华融证券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办公地址：北京市朝阳区朝阳门北大街18号中国人保寿险大厦12至18层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法定代表人：张海文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联系人：孙燕波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联系电话：010-85556048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客户服务电话：95390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传真：010-85556088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网址：www.hrsec.com.cn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(129) 华泰证券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注册地址：南京市江东中路228号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办公地址：南京市建邺区江东中路228号华泰证券广场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联系人：庞晓芸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联系电话：0755-82492193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客户服务电话：95597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传真：025-83387523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网址：www.htsc.com.cn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(130) 华西证券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注册地址：四川省成都市高新区天府二街198号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办公地址：四川省成都市高新区天府二街198号华西证券大厦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法定代表人：杨炯洋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联系人：张彬</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联系电话：010-58124967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客户服务电话：95584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传真：028-86150040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网址：www.hx168.com.cn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(131) 华鑫证券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注册地址：深圳市福田区莲花街道福中社区深南大道2008号中国凤凰大厦1栋20C-1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办公地址：上海市徐汇区宛平南路8号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法定代表人：俞洋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联系人：杨莉娟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联系电话：021-54967552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客户服务电话：95323（全国）、400-109-9918（全国）、029-68918888（西安）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传真：021-54967293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网址：www.cfsc.com.cn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(132) 华信证券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注册地址：上海浦东新区世纪大道100号环球金融中心9楼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办公地址：上海市黄浦区南京西路399号明天广场23楼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法定代表人：陈灿辉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联系人：徐璐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联系电话：021-63898952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客户服务电话：400-820-5999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传真：021-68776977转8952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网址：www.shhxzq.com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(133) 江海证券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注册地址：黑龙江省哈尔滨市香坊区赣水路56号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办公地址：黑龙江省哈尔滨市松北区创新三路833号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法定代表人：赵洪波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联系人：姜志伟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联系电话：0451-87765732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客户服务电话：956007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传真：0451-82337279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网址：www.jhzq.com.cn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(134) 金元证券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注册地址：海口市南宝路36号证券大厦4楼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办公地址：深圳市深南大道4001号时代金融中心大厦17楼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法定代表人：王作义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联系电话：0755-83025693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客户服务电话：95372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传真：0755-83025625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网址：www.jyzq.cn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(135) 九州证券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注册地址：青海省西宁市南川工业园区创业路108号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办公地址：北京市朝阳区安立路30号仰山公园东一门2号楼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法定代表人：魏先锋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联系人：张思思</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联系电话：010-57672272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客户服务电话：95305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网址：www.jzsec.com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(136) 开源证券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注册地址：陕西省西安市高新区锦业路1号都市之门B座5层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办公地址：陕西省西安市高新区锦业路1号都市之门B座5层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联系电话：029-88365809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网址：www.kysec.cn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(137) 联储证券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注册地址：广东省深圳市福田区福田街道岗厦社区深南大道南侧金地中心大厦9楼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办公地址：上海市浦东新区陆家嘴环路333号金砖大厦8楼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法定代表人：吕春卫</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联系人：张婉婷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联系电话：010-86499765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客户服务电话：400-620-6868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网址：www.lczq.com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(138) 南京证券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注册地址：南京市江东中路389号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办公地址：南京市江东中路389号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法定代表人：李剑锋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联系人：王万君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联系电话：025-58519523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传真：025-83369725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网址：www.njzq.com.cn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(139) 平安证券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注册地址：深圳市福田区福田街道益田路5023号平安金融中心B座第22-25层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办公地址：深圳市福田区金田路4036号荣超大厦16-20层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法定代表人：何之江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联系电话：021-38643230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客户服务电话：95511-8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传真：021-58991896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网址：stock.pingan.com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(140) 瑞银证券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注册地址：北京市西城区金融大街7号英蓝国际金融中心12层、15层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办公地址：北京市西城区金融大街7号英蓝国际金融中心12层、15层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法定代表人：钱于军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联系人：谢丹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联系电话：0755-22158878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客户服务电话：400-887-8827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传真：010-58328170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网址：https://www.ubs.com/ubssecurities</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(141) 山西证券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注册地址：太原市府西街69号山西国际贸易中心东塔楼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办公地址：太原市府西街69号山西国际贸易中心东塔楼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法定代表人：侯巍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联系人：谢武兵</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联系电话：0351-8686721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客户服务电话：95573或400-666-1618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传真：0351-8686619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网址：www.i618.com.cn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(142) 上海证券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注册地址：上海市黄浦区四川中路213号7楼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办公地址：上海市四川中路213号久事商务大厦7楼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法定代表人：李俊杰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联系人：邵珍珍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联系电话：021-53686888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客户服务电话：4008-918-918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传真：021-53686100、021-53686200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网址：https://www.shzq.com/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(143) 申万宏源西部证券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注册地址：新疆乌鲁木齐市高新区（新市区）北京南路358号大成国际大厦20楼2005室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办公地址：新疆乌鲁木齐市高新区（新市区）北京南路358号大成国际大厦20楼2005室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联系人：王怀春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联系电话：0991-2307105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客户服务电话：4008-000-562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传真：010-88085195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网址：www.hysec.com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(144) 申万宏源证券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注册地址：上海市徐汇区长乐路989号45层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办公地址：上海市徐汇区长乐路989号世纪商贸广场45层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法定代表人：杨玉成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联系人：胡馨文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联系电话：021-33388252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客户服务电话：95523、4008895523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传真：021-33388224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网址：www.swhysc.com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(145) 世纪证券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注册地址：深圳市前海深港合作区南山街道桂湾五路128号前海深港基金小镇对冲基金中心406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办公地址：深圳市福田区深南大道招商银行大厦40-42层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联系人：徐玲娟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联系电话：0755-83199553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客户服务电话：4008323000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网址：www.csco.com.cn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(146) 首创证券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注册地址：北京市西城区德胜门外大街115号德胜尚城E座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办公地址：北京市西城区德胜门外大街115号德胜尚城E座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法定代表人：毕劲松</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联系电话：010-59366070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客户服务电话：400-620-0620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传真：010-59366055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网址：http://www.sczq.com.cn/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(147) 天风证券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注册地址：湖北省武汉市东湖新技术开发区关东园路2号高科大厦四楼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办公地址：湖北省武汉市武昌区中南路99号保利广场A座37楼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法定代表人：余磊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联系人：王雅薇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联系电话：027-87617017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客户服务电话：95391/400-800-5000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传真：027-87618863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网址：http://www.tfzq.com/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(148) 万联证券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注册地址：广州市天河区珠江东路11号18、19楼全层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办公地址：广州市天河区珠江东路13号高德置地广场E栋12层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法定代表人：罗钦城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联系人：甘蕾</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联系电话：020-38286026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传真：020-38286588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网址：www.wlzq.cn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(149) 五矿证券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注册地址：深圳市福田区金田路4028号荣超经贸中心办公楼47层01单元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办公地址：深圳市福田区金田路4028号荣超经贸中心办公楼47层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法定代表人：黄海洲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联系人：戴佳璐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联系电话：0755-88311518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客户服务电话：40018-40028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传真：0755-82545500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网址：www.wkzq.com.cn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(150) 西部证券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注册地址：陕西省西安市新城区东新街319号8幢10000室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办公地址：陕西省西安市新城区东新街319号8幢10000室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法定代表人：徐朝晖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联系人：梁承华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联系电话：029-87211526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传真：029-87211478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网址：www.westsecu.com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(151) 西南证券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注册地址：重庆市江北区桥北苑8号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办公地址：重庆市江北区桥北苑8号西南证券大厦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法定代表人：廖庆轩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联系人：周青</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联系电话：023-63786633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客户服务电话：4008096096或95355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传真：023-63786212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网址：www.swsc.com.cn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(152) 湘财证券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注册地址：湖南省长沙市天心区湘府中路198号新南城商务中心A栋11楼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办公地址：湖南省长沙市天心区湘府中路198号新南城商务中心A栋11楼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法定代表人：孙永祥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联系人：江恩前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联系电话：021-38784580-8920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客户服务电话：95351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传真：021-68865680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网址：www.xcsc.com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(153) 信达证券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注册地址：北京市西城区闹市口大街9号院1号楼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办公地址：北京市西城区闹市口大街9号院1号楼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法定代表人：肖林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联系人：尹旭航</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联系电话：010-63081000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传真：010-63080978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网址：www.cindasc.com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(154) 兴业证券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注册地址：福州市湖东路268号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办公地址：上海浦东新区长柳路36号兴业证券大厦20楼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法定代表人：杨华辉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联系人：乔琳雪</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联系电话：021-38565547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客户服务电话：95562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网址：www.xyzq.com.cn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(155) 银河证券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注册地址：北京市西城区金融大街35号2-6层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办公地址：北京市西城区金融大街35号国际企业大厦C座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法定代表人：陈共炎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联系人：辛国政</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联系电话：010-83574507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客户服务电话：4008-888-888或95551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网址：www.chinastock.com.cn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(156) 粤开证券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注册地址：惠州市江北东江三路55号广播电视新闻中心西面一层大堂和三、四层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办公地址：广东省广州市黄埔区科学大道60号开发区金控中心21-23层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法定代表人：严亦斌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联系人：彭莲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联系电话：0755-83331195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公司网址：http://www.ykzq.com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(157) 招商证券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注册地址：深圳市福田区福田街道福华一路111号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办公地址：深圳市福田区福田街道福华一路111号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法定代表人：霍达</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联系人：黄婵君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联系电话：0755-82943666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客户服务电话：95565、400-8888-111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传真：0755-82943636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网址：www.newone.com.cn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(158) 浙商证券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注册地址：浙江省杭州市江干区五星路201号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办公地址：浙江省杭州市江干区五星路201号浙商证券大楼8楼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法定代表人：吴承根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联系人：高扬</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联系电话：0571-87902974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客户服务电话：95345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传真：0571-87901913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网址：www.stocke.com.cn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(159) 中航证券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注册地址：江西省南昌市红谷滩新区红谷中大道1619号南昌国际金融大厦A栋41层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办公地址：江西省南昌市红谷滩新区红谷中大道1619号南昌国际金融大厦A栋41层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法定代表人：王晓峰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联系人：王紫雯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联系电话：15611538682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客户服务电话：95335或400-88-95335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传真：010-59562637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网址：www.avicsec.com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(160) 中金财富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注册地址：深圳市福田区益田路与福中路交界处荣超商务中心A栋第18-21层及第04层01.02.03.05.11.12.13.15.16.18.19.20.21.22.23单元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办公地址：深圳福田区益田路6003号荣超商务中心A座4层、18-21层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法定代表人：高涛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联系人：万玉琳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联系电话：0755-82026907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网址：https://www.ciccwm.com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(161) 中金公司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注册地址：北京市朝阳区建国门外大街1号国贸大厦2座27层及28层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办公地址：北京市朝阳区建国门外大街甲6号SK大厦38层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法定代表人：沈如军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联系人：杨涵宇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联系电话：010-65051166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客户服务电话：4009101166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网址：www.cicc.com.cn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(162) 中山证券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注册地址：深圳市南山区粤海街道蔚蓝海岸社区创业路1777号海信南方大厦21、22层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办公地址：深圳市南山区创业路1777号海信南方大厦21、22层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法定代表人：林炳城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联系人：罗艺琳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电话：0755-82943755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传真：0755-82960582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网址：www.zszq.com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(163) 中泰证券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注册地址：济南市市中区经七路86号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办公地址：山东省济南市经七路86号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联系人：许曼华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联系电话：021-20315290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客户服务电话：95538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传真：0531-68889095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网址：www.zts.com.cn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(164) 中天证券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注册地址：辽宁省沈阳市和平区光荣街23甲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办公地址：辽宁省沈阳市和平区光荣街23甲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法定代表人：马功勋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联系人：李泓灏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联系电话：024-23255256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客户服务电话：024-95346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传真：024-23255606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网址：www.iztzq.com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(165) 中信建投证券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注册地址：北京市朝阳区安立路66号4号楼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办公地址：北京市朝阳门内大街188号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法定代表人：王常青</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联系电话：010－85130554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客户服务电话：95587或4008-888-108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网址：http://www.csc108.com/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(166) 中信证券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注册地址：广东省深圳市福田区中心三路8号卓越时代广场（二期）北座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办公地址：北京市朝阳区亮马桥路48号中信证券大厦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法定代表人：张佑君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联系人：王一通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联系电话：010-60838888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客户服务电话：95548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传真：010-60836029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网址：www.cs.ecitic.com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(167) 中信证券华南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注册地址：广州市天河区珠江西路5号广州国际金融中心主塔19层、20层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办公地址：广州市天河区珠江西路5号广州国际金融中心主塔19层、20层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法定代表人：胡伏云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联系人：陈靖</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联系电话：020-88836999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客户服务电话：95548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传真：020-88836984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网址：www.gzs.com.cn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(168) 中信证券（山东）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注册地址：青岛市崂山区深圳路222号1号楼2001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办公地址：青岛市市南区东海西路28号龙翔广场东座5层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法定代表人：姜晓林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联系人：焦刚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联系电话：0531-89606166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客户服务电话：95548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传真：0532-85022605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网址：http://sd.citics.com/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(169) 中银证券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注册地址：上海市浦东新区银城中路200号中银大厦39层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办公地址：上海市浦东新区银城中路200号中银大厦39-40层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法定代表人：宁敏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联系人：王炜哲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客户服务电话：400-620-8888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传真：021-50372474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网址：www.bocichina.com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(170) 中邮证券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注册地址：陕西省西安市唐延路5号（陕西邮政信息大厦9-11层）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办公地址：北京市东城区珠市口东大街17号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法定代表人：丁奇文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联系人：岳帅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 010-67017788-6068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客户服务电话：4008-888-005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传真：010-67017788-9696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网址：www.cnpsec.com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(171) 中原证券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注册地址：郑州市郑东新区商务外环路10号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办公地址：河南省郑州市郑东新区商务外环路10号中原广发金融大厦19楼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法定代表人：菅明军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联系人：程月艳  李盼盼 党静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联系电话：0371-69099882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客户服务电话：95377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传真：0371-65585899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网址：www.ccnew.com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(172) </w:t>
      </w:r>
      <w:r w:rsidR="00C74A69" w:rsidRPr="00533AE6">
        <w:rPr>
          <w:rFonts w:asciiTheme="minorEastAsia" w:eastAsiaTheme="minorEastAsia" w:hAnsiTheme="minorEastAsia" w:hint="eastAsia"/>
        </w:rPr>
        <w:t>度小满基金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注册地址：北京市海淀区西北旺东路10号院西区4号楼1层103室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办公地址：北京市海淀区西北旺东路10号院西区4号楼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法定代表人：葛新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联系人：孙博超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联系电话：010-59403028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客户服务电话：95055-4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网址：www.baiyingfund.com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(173) 长量基金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注册地址：上海市浦东新区高翔路526号2幢220室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办公地址：上海市浦东新区东方路1267号陆家嘴金融服务广场二期11层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法定代表人：张跃伟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联系人：党敏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联系电话：021-20691935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客户服务电话：400-820-2899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传真：021-20691861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网址：www.erichfund.com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(174) 朝阳永续</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注册地址：浦东新区上丰路977号1幢B座812室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办公地址：上海市浦东新区碧波路690号4幢201-2A室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法定代表人：孙晓慧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联系人：陆纪青</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联系电话：021-80234888-6813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客户服务电话：400-699-1888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网址：www.998fund.com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(175) 创金启富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注册地址：北京市西城区白纸坊东街2号院6号楼712室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办公地址：北京市西城区白纸坊东街2号院6号楼712室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法定代表人：梁蓉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联系人：杨凤椅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联系电话：010-66154828-8047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客户服务电话：400-6262-818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传真：010-63583991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网址：www.5irich.com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(176) 大泰金石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注册地址：南京市建邺区江东中路102号708室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办公地址：上海市浦东新区峨山路505号东方纯一大厦15楼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法定代表人：陈达伟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联系人：孟召社</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联系电话：021-20324176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客户服务电话：400-995-9220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传真：021-20324199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网址：www.dtfunds.com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(177) 大智慧基金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注册地址：中国（上海）自由贸易试验区杨高南路428号1号楼1102单元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办公地址：中国（上海）自由贸易试验区杨高南路428号1号楼1102单元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法定代表人：申健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联系人：张蜓</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联系电话：021-20219988-35374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客户服务电话：021-20292031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传真：021-20219923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网址：https://www.wg.com.cn/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(178) 蛋卷基金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注册地址：北京市朝阳区创远路34号院6号楼15层1501室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办公地址：北京市朝阳区创远路 34 号院融新科技中心 C 座 17 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法定代表人：钟斐斐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联系人：侯芳芳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联系电话：010-61840688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客户服务电话：400-159-9288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网址：https://danjuanapp.com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(179) 鼎信汇金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注册地址：北京市海淀区太月园3号楼5层521室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办公地址：北京市海淀区太月园3号楼5层521室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法定代表人：齐凌峰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联系人：阮志凌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联系电话：010-82050520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客户服务电话：400-158-5050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传真：010-82086110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网址：www.9ifund.com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(180) 东证期货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注册地址：中国（上海）自由贸易试验区浦电路500号上海期货大厦14层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办公地址：上海市黄浦区中山南路318号2号楼22楼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法定代表人：卢大印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联系人：张敏圆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联系电话：021-63325888-4259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客户服务电话：4008859999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传真：021-63326752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网址：www.dzqh.com.cn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(181) 泛华普益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注册地址：四川省成都市成华区建设路9号高地中心1101室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办公地址：成都市金牛区花照壁西顺街399号1栋1单元龙湖西宸天街B座1201号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法定代表人：于海锋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联系电话：15114053620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客户服务电话：400-080-3388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网址：www.puyifund.com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(182) 富济基金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注册地址：深圳市福田区福田街道岗厦社区金田路3088号中洲大厦3203A单元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办公地址：深圳市福田区福田街道岗厦社区金田路3088号中洲大厦3203A单元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法定代表人：祝中村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联系人：曾瑶敏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联系电话：0755-83999907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客户服务电话：0755-83999907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传真：0755-83999926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网址：www.fujifund.cn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(183) 海银基金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注册地址：中国（上海）自由贸易试验区银城中路8号402室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办公地址：上海市浦东新区银城中路8号海银金融中心4楼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法定代表人：巩巧丽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联系人：毛林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联系电话：021-80133597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客户服务电话：400-808-1016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传真：021-80133413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网址：www.fundhaiyin.com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(184) 好买基金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注册地址：上海市虹口区欧阳路196号26号楼2楼41号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办公地址：上海市浦东南路1118号鄂尔多斯国际大厦903～906室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法定代表人：杨文斌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联系人：高源</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联系电话：021-36696312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客户服务电话：400-700-9665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传真：021-68596919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网址：www.ehowbuy.com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(185) 和讯信息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注册地址：北京市朝阳区朝外大街22号1002室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办公地址：北京市朝阳区朝外大街22号泛利大厦10层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联系人：陈慧慧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联系电话：010-85657353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客户服务电话：400-920-0022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传真：010-65884788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网址：http://licaike.hexun.com/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(186) 恒天明泽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注册地址：北京市经济技术开发区宏达北路10号五层5122室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办公地址：北京市朝阳区东三环北路甲19号SOHO嘉盛中心30层3001室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法定代表人：周斌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联系人：陈霞</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联系电话：010-59313555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客户服务电话：400-8980-618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传真：010-59313586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网址：www.chtwm.com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(187) 弘业期货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注册地址：江苏省南京市秦淮区中华路50号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办公地址：江苏省南京市秦淮区中华路50号弘业大厦9楼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法人代表：周剑秋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联系人：张苏怡</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联系电话：025-52278981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客户服务电话：400-828-1288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网址：www.ftol.com.cn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(188) 虹点基金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注册地址：北京市朝阳区东三环北路17号10层1015室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办公地址：北京市朝阳区东三环北路17号10层1015室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法定代表人：何静</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联系人：王重阳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联系电话：010-65951887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客户服务电话：400-618-0707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网址：www.hongdianfund.com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(189) 华瑞保险销售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注册地址：上海市嘉定区南翔镇众仁路399号运通星财富广场1号楼B座13、14层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办公地址：上海市浦东新区向城路288号国华人寿金融大厦8层806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法定代表人：路昊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联系人：茆勇强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联系电话：021-68595698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客户服务电话：952303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传真：021-68595766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网址：www.huaruisales.com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(190) 华夏财富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注册地址：上海市虹口区东大名路687号1幢2楼268室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办公地址：北京市西城区金融大街33号通泰大厦B座8层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法定代表人：毛淮平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联系人：张静怡</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联系电话：010-88066326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客户服务电话：400-817-5666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传真：010-63136184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网址：www.amcfortune.com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(191) 徽商期货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注册地址：安徽省合肥市芜湖路258号3号楼6-7层，6号楼1-2层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办公地址：合肥市芜湖路258号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法人代表：吴国华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联系人：申倩倩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联系电话：0551-62865215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客户服务电话：400-887-8707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网址：www.hsqh.net</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(192) 汇成基金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注册地址：北京市海淀区中关村大街11号11层1108号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办公地址：北京市西城区西直门外大街1号院2号楼 19层 19C13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法定代表人：王伟刚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联系人：王骁骁</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联系电话：010-56251471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客户服务电话：400-619-9059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网址：www.hcfunds.com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(193) 汇付基金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注册地址：上海市黄浦区黄河路333号201室A区056单元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办公地址：上海市徐汇区宜山路700号普天信息产业园2期C5栋 汇付天下总部大楼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法定代表人：金佶</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联系人：甄宝林</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联系电话：021-34013996-3011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客户服务电话：021-34013999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传真：021-33323837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网址：www.hotjijin.com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(194) 济安财富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注册地址：北京市朝阳区太阳宫中路16号院1号楼3层307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办公地址：北京市朝阳区太阳宫中路16号院1号楼冠捷大厦3层307单元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法定代表人：杨健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联系人：李海燕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联系电话：010-65309516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客户服务电话：400-673-7010（济安财富官网）  400-071-6766（腾讯财经）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传真：010-65330699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网址：www.jianfortune.com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(195) 加和基金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注册地址：北京市西城区德胜门外大街13号院1号楼5层505室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办公地址：北京市西城区德胜门外大街13号院1号楼5层505室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法定代表人：曲阳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联系人：王梓骄</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联系电话：010-80456756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客户服务电话：400-803-1188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传真：010-80456278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网址：www.bzfunds.com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(196) 嘉实财富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注册地址：中国（上海）自由贸易试验区世纪大道8号上海国金中心办公楼二期53层5312-15单元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办公地址：北京市朝阳区建国路91号金地中心A座6层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法定代表人：赵学军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联系电话：010-60842306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客户服务电话：400-021-8850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传真：010-85712195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网址：www.harvestwm.cn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(197) 金百临</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注册地址：无锡市滨湖区锦溪路99号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办公地址：江苏省无锡市太湖新城锦溪道楝泽路9号楼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法人代表：费晓燕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联系人：邹云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联系电话：0510-81188088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客户服务电话：0510-9688988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网址：www.jsjbl.com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(198) 金观诚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注册地址：杭州拱墅区登云路45号金诚集团（锦昌大厦）1幢10楼1001室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办公地址：杭州拱墅区登云路55号金诚集团（锦昌大厦）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法定代表人：蒋雪琦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联系人：来舒岚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联系电话：0571-88337888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客户服务电话：4000680058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传真：0571-88337666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网址：http://www.jincheng-fund.com/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(199) 久富财富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注册地址：上海市浦东新区莱阳路2819号1幢109室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办公地址：上海市浦东新区民生路1403号上海信息大厦1215室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法定代表人：赵惠蓉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联系人：赵惠蓉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联系电话：021-68682279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客户服务电话：400-102-1813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传真：021-68682297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网址：www.jfcta.com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(200) 凯石财富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注册地址：上海市黄浦区西藏南路765号602-115室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办公地址：上海市黄浦区延安东路1号凯石大厦4楼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法定代表人：陈继武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联系人：冯强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联系电话：021-63333389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客户服务电话：4006-433-389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传真：021-63333390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网址：www.vstonewealth.com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(201) 肯特瑞基金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注册地址：北京市海淀区西三旗建材城中路12号17号平房157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办公地址：北京市大兴区亦庄经济开发区科创十一街十八号院京东集团总部A座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法定代表人：王苏宁</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联系人：娄云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联系电话：010-89189291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网址：http://fund.jd.com/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(202) 利得基金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注册地址：上海市宝山区蕴川路5475号1033室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办公地址：上海市虹口区东大名路1098号浦江国际金融广场53层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法定代表人：李兴春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联系人：陈孜明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联系电话：86-021-50583533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客户服务电话：95733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传真：86-21-61101630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网址：www.leadfund.com.cn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(203) 联泰基金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注册地址：中国（上海）自由贸易试验区富特北路277号3层310室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办公地址：上海市长宁区福泉北路518号8座3楼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法定代表人：尹彬彬</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联系人：陈东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联系电话：021-52822063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客户服务电话：400-118-1188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传真：021-52975270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网址：www.66zichan.com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(204) 陆基金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注册地址：中国（上海）自由贸易试验区陆家嘴环路1333号14楼09单元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办公地址：中国（上海）自由贸易试验区陆家嘴环路1333号14楼09单元</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法定代表人：王之光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联系人：宁博宇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联系电话：021-20665952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客户服务电话：4008219031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传真：021-22066653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网址：www.lufunds.com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(205) 蚂蚁基金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注册地址：浙江省杭州市余杭区五常街道文一西路969号3幢5层599室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办公地址：浙江省杭州市西湖区万塘路18号黄龙时代广场B座6F</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法定代表人：祖国明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联系人：韩爱彬</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联系电话：0571-26888888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客户服务电话：4000-766-123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网址：http://www.fund123.cn/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(206) 民商基金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注册地址：上海市黄浦区北京东路666号H区（东座）6楼A31室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 xml:space="preserve">办公地址：上海市浦东新区张杨路707号生命人寿大厦32楼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法定代表人：贲惠琴</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联系人：林志枫</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联系电话：021-50206003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客户服务电话：021-50206003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传真：021-50206001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网址：http://www.msftec.com/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(207) 诺亚正行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注册地址：上海市虹口区飞虹路360弄9号3724室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办公地址：上海市杨浦区长阳路1687号长阳谷2号楼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法定代表人：汪静波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联系电话：021-80358523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客户服务电话：400-821-5399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传真：021-38509777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网址：www.noah-fund.com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(208) 浦领基金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注册地址：北京市朝阳区望京东园四区13号楼A座9层908室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办公地址：北京市朝阳区望京浦项中心A座9层04-08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法定代表人：聂婉君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联系人：李艳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联系电话：010-59497361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客户服务电话：400-012-5899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传真：010-64788016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网址：www.zscffund.com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(209) 钱景基金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注册地址：北京市海淀区中关村东路18号1号楼11层B-1108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办公地址：北京市海淀区中关村东路18号财智国际大厦B-1108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法定代表人：王利刚</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联系人：白皓</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联系电话：010-59422766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客户服务电话：400-893-6885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传真：010-62565181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网址：www.qianjing.com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(210) 深圳新兰德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注册地址：深圳市福田区福田街道民田路178号华融大厦27层2704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办公地址：北京市西城区宣武门外大街28号富卓大厦A座7层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法定代表人：洪弘</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联系人：张燕</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联系电话：010-83363099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客户服务电话：400-166-1188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传真：010-83363010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网址：http://8.jrj.com.cn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(211) 晟视天下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注册地址：北京市怀柔区九渡河镇黄坎村735号03室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办公地址：北京市朝阳区朝外大街甲六号万通中心D座21层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法定代表人：蒋煜</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联系人：史俊杰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联系电话：010-58170936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客户服务电话：010-58170761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传真：010-58170800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网址：www.shengshiview.com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(212) 苏宁基金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注册地址：南京市玄武区苏宁大道1-5号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办公地址：南京市玄武区苏宁大道1-5号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联系人：冯鹏鹏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联系电话：025-66996699-882796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网址：www.snjijin.com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(213) 腾安基金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注册地址：深圳市前海深港合作区前湾一路1号A栋201室（入驻深圳市前海商务秘书有限公司）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办公地址：深圳市南山区海天二路33号腾讯滨海大厦15楼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法定代表人：刘明军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联系人：谭广锋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客户服务电话：95017（拨通后转1转8）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公司网址：https://www.txfund.com/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(214) 天天基金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注册地址：上海市徐汇区龙田路190号2号楼2层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办公地址：上海市徐汇区宛平南路88号东方财富大厦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法定代表人：其实</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联系人：屠彦洋</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联系电话：021-54509977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客户服务电话：95021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传真：021-64385308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网址：www.1234567.com.cn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(215) 通华财富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注册地址：上海市虹口区同丰路667弄107号201室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办公地址：上海市浦东新区金沪路55号通华科技大厦2楼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法定代表人：沈丹义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联系人：杨涛、庄洁茹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联系电话：021-60810586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客户服务电话：400-101-9301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传真：021-60810695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网址：www.tonghuafund.com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(216) 同花顺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注册地址：浙江省杭州市文二西路1号903室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办公地址：杭州市余杭区五常街道同顺街18号同花顺大楼4层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法定代表人：吴强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联系人：吴强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联系电话：0571-88911818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客户服务电话：952555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传真：0571-86800423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网址：www.5ifund.com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(217) 途牛基金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注册地址：江苏省南京市玄武区玄武大道699-1号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办公地址：江苏省南京市玄武区玄武大道699-32号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法人代表：宋时琳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联系人：贺杰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联系电话：025-86853960-66727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客户服务电话：4007-999-999转3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网址：http://jr.tuniu.com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(218) 挖财基金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注册地址：中国（上海）自由贸易试验区杨高南路799号5楼04室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办公地址：上海市浦东新区杨高南路799号陆家嘴世纪金融广场3号楼5层04室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 xml:space="preserve">法定代表人：吕柳霞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联系人：曾芸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联系电话：021-50810687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客户服务电话：021-50810673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网址：www.wacaijijin.com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(219) 万得基金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注册地址：中国（上海）自由贸易试验区福山路33号11楼B座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办公地址：上海市浦东新区浦明路1500号万得大厦11楼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联系人：徐亚丹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联系电话：021-50712782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客户服务电话：400-799-1888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网址：www.520fund.com.cn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(220) 万家财富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注册地址：天津自贸区（中心商务区）迎宾大道1988号滨海浙商大厦公寓2-2413室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办公地址：北京市西城区丰盛胡同28号太平洋保险大厦A座5层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联系人：王芳芳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联系电话：010-59013828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客户服务电话：010-59013895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网址：http://www.wanjiawealth.com/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(221) 新浪仓石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注册地址：北京市海淀区东北旺西路中关村软件园二期（西扩）N-1、N-2地块新浪总部科研楼5层518室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办公地址：北京市海淀区西北旺东路10号院东区3号楼为明大厦C座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法定代表人：赵芯蕊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联系人：赵芯蕊</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联系电话：010-62625768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客户服务电话：010-62675369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传真：010-62676582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网址：www.xincai.com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(222) 鑫鼎盛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注册地址：厦门市思明区鹭江道2号厦门第一广场西座1501-1502室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办公地址：厦门市思明区鹭江道2号厦门第一广场西座1501-1502室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 xml:space="preserve">法定代表人：陈洪生 </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联系人：梁云波</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联系电话：0592-3122757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客户服务电话：400-6533-789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网址：www.xds.com.cn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(223) 阳光人寿保险</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注册地址：海南省三亚市迎宾路360-1号三亚阳光金融广场16层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办公地址：北京市朝阳区朝阳门外大街乙12号院1号昆泰国际大厦12层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法定代表人：李科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联系人：王超</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联系电话：010-85632771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客户服务电话：95510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传真：010-85632773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网址：http://fund.sinosig.com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(224) 一路财富</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注册地址：北京市海淀区宝盛南路1号院20号楼9层101-14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办公地址：北京市海淀区宝盛南路奥北科技园20号楼国泰大厦9层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法定代表人：吴雪秀</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联系人：董宣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联系电话：010-88312877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客户服务电话：400-001-1566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传真：010-88312099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网址：www.yilucaifu.com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(225) 宜投基金销售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注册地址：深圳市前海深港合作区前湾一路1号A栋201室（入驻深圳市前海商务秘书有限公司）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办公地址：深圳市福田区嘉里建设广场2座15楼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法定代表人：雷凤潮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联系人：梁菲菲</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联系电话：0755-88603874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客户服务电话：4008-955-811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网址：www.yitfund.com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(226) 宜信普泽</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注册地址：北京市朝阳区西大望路1号9层公寓1008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办公地址：北京市朝阳区西大望路1号9层公寓1008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法定代表人：戎兵</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联系人：魏晨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联系电话：010-52413385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客户服务电话：400-6099-200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传真：010-85800047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网址：www.yixinfund.com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(227) 奕丰金融</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注册地址：深圳市前海深港合作区前湾一路1号A栋201室（入驻深圳市前海商务秘书有限公司）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办公地址：深圳市南山区海德三道航天科技广场A座17楼1704室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法定代表人：TEO WEE HOWE</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联系人：叶健</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联系电话：0755-89460507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客户服务电话：400-684-0500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传真：0755-21674453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网址：www.ifastps.com.cn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(228) 盈米基金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注册地址：珠海市横琴新区宝华路6号105室-3491（集中办公区）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办公地址：广州市海珠区琶洲大道东路1号保利国际广场南塔1201-1203室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法定代表人：肖雯</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联系人：邱湘湘</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联系电话：020-89629099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客户服务电话：020-89629066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传真：020-89629011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网址：www.yingmi.cn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(229) 云湾基金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注册地址：中国（上海）自由贸易试验区新金桥路27号、明月路1257号1幢1层103-1、103-2办公区</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办公地址：上海市浦东新区新金桥路27号1号楼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法定代表人：冯轶明</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联系人：范泽杰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联系电话：021-20530186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客户服务电话：400-820-1515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传真：021-20539999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网址：http://www.zhengtongfunds.com/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(230) 增财基金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注册地址：北京市西城区南礼士路66号建威大厦1208室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办公地址：北京市西城区南礼士路66号建威大厦1208-1209室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法定代表人：罗细安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联系人：闫丽敏</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联系电话：010-67000988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客户服务电话：400-001-8811</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传真：010-67000988-6000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网址：www.zcvc.com.cn</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(231) 展恒基金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注册地址：北京市朝阳区安苑路11号西楼6层604、607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办公地址：北京市朝阳区北四环中路27号盘古大观3205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法定代表人：闫振杰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联系人：武文佳</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联系电话：010-59601399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客户服务电话：400-818-8000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传真：0351-4110714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网址：www.myfund.com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(232) 中国国际期货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注册地址：北京市朝阳区建国门外光华路14号1幢6层609号、610号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办公地址：北京市朝阳区建国门外光华路14号1幢1层、2层、9层、11层、12层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法定代表人：王兵</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联系人：霍丽文</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联系电话：010-65807827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客户服务电话：95162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传真：010-59539806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网址：http://www.cifco.net/</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(233) 中期时代基金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注册地址：北京市朝阳区建国门外光华路14号1幢11层1103号</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办公地址：北京市朝阳区建国门外光华路14号1幢4层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法定代表人：田宏莉</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联系人：尹庆</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联系电话：010-65807865</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客户服务电话：95162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传真：010-65807864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网址：www.jrtoo.com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(234) 中信建投期货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注册地址：重庆市渝中区中山三路107号上站大楼平街11-B，名义层11-A，8-B4，9-B、C</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办公地址：重庆市渝中区中山三路107号皇冠大厦11楼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法定代表人：王广学</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联系人：刘芸</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联系电话：023-86769637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客户服务电话：400-8877-780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传真：023-86769629</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网址：www.cfc108.com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(235) 中信期货</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注册地址：广东省深圳市福田区中心三路8号卓越时代广场（二期）北座13层1301-1305室、14层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办公地址：深圳市福田区中心三路8号卓越时代广场（二期）北座13层1301-1305室、14层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法定代表人：张皓</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联系人：刘宏莹</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联系电话：010-6083 3754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客户服务电话：400-990-8826</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传真：021-60819988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网址：www.citicsf.com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(236) 中正达广</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注册地址：上海市徐汇区龙腾大道2815号302室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办公地址：上海市徐汇区龙腾大道2815号302室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法定代表人：黄欣</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联系人：戴珉微</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联系电话：021-33768132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客户服务电话：400-6767-523</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传真：021-33768132-802</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网址：www.zhongzhengfund.com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(237) 中证金牛</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注册地址：北京市丰台区东管头1号2号楼2-45室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办公地址：北京市西城区宣武门外大街甲1号环球财讯中心A座5层</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法定代表人：钱昊旻</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联系人：沈晨</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联系电话：010-59336544</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客户服务电话：4008-909-998</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网址：www.jnlc.com</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(238) 众禄基金</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注册地址：深圳市罗湖区笋岗街道笋西社区梨园路8号HALO广场一期四层12-13室</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办公地址：深圳市罗湖区梨园路HALO广场4楼</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法定代表人：薛峰</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联系人：龚江江</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联系电话：0755-33227950</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客户服务电话：4006-788-887</w:t>
      </w:r>
    </w:p>
    <w:p w:rsidR="00225D73" w:rsidRPr="00533AE6" w:rsidRDefault="00225D73" w:rsidP="00225D7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传真：0755-33227951</w:t>
      </w:r>
    </w:p>
    <w:p w:rsidR="00713E37" w:rsidRPr="00533AE6" w:rsidRDefault="00225D73" w:rsidP="00533AE6">
      <w:pPr>
        <w:spacing w:line="360" w:lineRule="auto"/>
        <w:ind w:leftChars="0" w:left="0" w:firstLineChars="0" w:firstLine="0"/>
        <w:rPr>
          <w:rFonts w:asciiTheme="minorEastAsia" w:eastAsiaTheme="minorEastAsia" w:hAnsiTheme="minorEastAsia"/>
        </w:rPr>
      </w:pPr>
      <w:r w:rsidRPr="00533AE6">
        <w:rPr>
          <w:rFonts w:asciiTheme="minorEastAsia" w:eastAsiaTheme="minorEastAsia" w:hAnsiTheme="minorEastAsia" w:hint="eastAsia"/>
        </w:rPr>
        <w:t>网址：www.zlfund.cn    www.jjmmw.com</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23" w:name="_Toc38432429"/>
      <w:bookmarkStart w:id="24" w:name="_Toc46933210"/>
      <w:r w:rsidRPr="00533AE6">
        <w:rPr>
          <w:rFonts w:asciiTheme="minorEastAsia" w:eastAsiaTheme="minorEastAsia" w:hAnsiTheme="minorEastAsia" w:hint="eastAsia"/>
          <w:b w:val="0"/>
          <w:bCs/>
          <w:szCs w:val="21"/>
        </w:rPr>
        <w:t>（二）基金注册登记机构</w:t>
      </w:r>
      <w:bookmarkEnd w:id="23"/>
      <w:bookmarkEnd w:id="24"/>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名称：易方达基金管理有限公司</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注册地址：</w:t>
      </w:r>
      <w:r w:rsidR="00596733" w:rsidRPr="00533AE6">
        <w:rPr>
          <w:rFonts w:asciiTheme="minorEastAsia" w:eastAsiaTheme="minorEastAsia" w:hAnsiTheme="minorEastAsia"/>
        </w:rPr>
        <w:t>广东省珠海市横琴新区宝华路6号105室-42891（集中办公区）</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办公地址：广州市天河区珠江新城珠江东路30号广州银行大厦40-43楼</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法定代表人：刘晓艳</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电话：4008818088</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传真：020-38799249</w:t>
      </w:r>
    </w:p>
    <w:p w:rsidR="00266A27" w:rsidRPr="00533AE6" w:rsidRDefault="0077239A"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联系人：余贤高</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25" w:name="_Toc38432430"/>
      <w:bookmarkStart w:id="26" w:name="_Toc46933211"/>
      <w:r w:rsidRPr="00533AE6">
        <w:rPr>
          <w:rFonts w:asciiTheme="minorEastAsia" w:eastAsiaTheme="minorEastAsia" w:hAnsiTheme="minorEastAsia" w:hint="eastAsia"/>
          <w:b w:val="0"/>
          <w:bCs/>
          <w:szCs w:val="21"/>
        </w:rPr>
        <w:t>（三）律师事务所和经办律师</w:t>
      </w:r>
      <w:bookmarkEnd w:id="25"/>
      <w:bookmarkEnd w:id="26"/>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律师事务所：上海源泰律师事务所</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地址：上海市浦东新区浦东南路256号华夏银行大厦14层</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负责人：廖海</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电话：（021）51150298</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传真：（021）51150398</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经办律师：梁丽金、刘佳</w:t>
      </w:r>
    </w:p>
    <w:p w:rsidR="00766E3D" w:rsidRPr="00533AE6" w:rsidRDefault="0077239A" w:rsidP="0059673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联系人：廖海</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27" w:name="_Toc38432431"/>
      <w:bookmarkStart w:id="28" w:name="_Toc46933212"/>
      <w:r w:rsidRPr="00533AE6">
        <w:rPr>
          <w:rFonts w:asciiTheme="minorEastAsia" w:eastAsiaTheme="minorEastAsia" w:hAnsiTheme="minorEastAsia" w:hint="eastAsia"/>
          <w:b w:val="0"/>
          <w:bCs/>
          <w:szCs w:val="21"/>
        </w:rPr>
        <w:lastRenderedPageBreak/>
        <w:t>（四）会计师事务所和经办注册会计师</w:t>
      </w:r>
      <w:bookmarkEnd w:id="27"/>
      <w:bookmarkEnd w:id="28"/>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会计师事务所：普华永道中天会计师事务所(特殊普通合伙)</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住所：上海市湖滨路202号普华永道中心11楼</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办公地址：上海市湖滨路202号普华永道中心11楼</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首席合伙人：李丹</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电话：（021）23238888</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传真：（021）23238800</w:t>
      </w:r>
    </w:p>
    <w:p w:rsidR="0077239A" w:rsidRPr="00533AE6" w:rsidRDefault="0077239A"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经办注册会计师：</w:t>
      </w:r>
      <w:r w:rsidR="002A1CE5" w:rsidRPr="00533AE6">
        <w:rPr>
          <w:rFonts w:asciiTheme="minorEastAsia" w:eastAsiaTheme="minorEastAsia" w:hAnsiTheme="minorEastAsia"/>
        </w:rPr>
        <w:t>陈熹、周祎</w:t>
      </w:r>
    </w:p>
    <w:p w:rsidR="0077239A" w:rsidRPr="00533AE6" w:rsidRDefault="0077239A"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联系人：周祎</w:t>
      </w:r>
      <w:r w:rsidRPr="00533AE6">
        <w:rPr>
          <w:rFonts w:asciiTheme="minorEastAsia" w:eastAsiaTheme="minorEastAsia" w:hAnsiTheme="minorEastAsia"/>
        </w:rPr>
        <w:br w:type="page"/>
      </w:r>
    </w:p>
    <w:p w:rsidR="00266A27" w:rsidRPr="00533AE6" w:rsidRDefault="00266A27" w:rsidP="005A15F8">
      <w:pPr>
        <w:pStyle w:val="111"/>
        <w:pageBreakBefore w:val="0"/>
        <w:snapToGrid w:val="0"/>
        <w:spacing w:beforeLines="0" w:afterLines="0" w:line="360" w:lineRule="auto"/>
        <w:ind w:left="-420" w:firstLineChars="0" w:firstLine="0"/>
        <w:rPr>
          <w:rFonts w:asciiTheme="minorEastAsia" w:eastAsiaTheme="minorEastAsia" w:hAnsiTheme="minorEastAsia"/>
          <w:bCs/>
          <w:szCs w:val="21"/>
        </w:rPr>
      </w:pPr>
      <w:bookmarkStart w:id="29" w:name="_Toc38432432"/>
      <w:bookmarkStart w:id="30" w:name="_Toc46933213"/>
      <w:r w:rsidRPr="00533AE6">
        <w:rPr>
          <w:rFonts w:asciiTheme="minorEastAsia" w:eastAsiaTheme="minorEastAsia" w:hAnsiTheme="minorEastAsia" w:hint="eastAsia"/>
          <w:bCs/>
          <w:szCs w:val="21"/>
        </w:rPr>
        <w:lastRenderedPageBreak/>
        <w:t>六、基金的募集</w:t>
      </w:r>
      <w:bookmarkEnd w:id="29"/>
      <w:bookmarkEnd w:id="30"/>
    </w:p>
    <w:p w:rsidR="00635D92" w:rsidRPr="00533AE6" w:rsidRDefault="00635D92" w:rsidP="005A15F8">
      <w:pPr>
        <w:spacing w:line="360" w:lineRule="auto"/>
        <w:ind w:left="-420" w:firstLine="420"/>
        <w:rPr>
          <w:rFonts w:asciiTheme="minorEastAsia" w:eastAsiaTheme="minorEastAsia" w:hAnsiTheme="minorEastAsia"/>
        </w:rPr>
      </w:pPr>
      <w:bookmarkStart w:id="31" w:name="_Toc38432433"/>
      <w:r w:rsidRPr="00533AE6">
        <w:rPr>
          <w:rFonts w:asciiTheme="minorEastAsia" w:eastAsiaTheme="minorEastAsia" w:hAnsiTheme="minorEastAsia"/>
        </w:rPr>
        <w:t>本基金由基金管理人依照《基金法》、《运作办法》、《销售办法》、基金合同的相关规定、并经中国证券监督管理委员会</w:t>
      </w:r>
      <w:r w:rsidR="009A1960" w:rsidRPr="00533AE6">
        <w:rPr>
          <w:rFonts w:asciiTheme="minorEastAsia" w:eastAsiaTheme="minorEastAsia" w:hAnsiTheme="minorEastAsia" w:hint="eastAsia"/>
        </w:rPr>
        <w:t>2010年12月8日</w:t>
      </w:r>
      <w:r w:rsidRPr="00533AE6">
        <w:rPr>
          <w:rFonts w:asciiTheme="minorEastAsia" w:eastAsiaTheme="minorEastAsia" w:hAnsiTheme="minorEastAsia"/>
        </w:rPr>
        <w:t>《关于核准易方达医疗保健行业股票型证券投资基金募集的批复》（证监许可[2010]1755号）核准募集。</w:t>
      </w:r>
    </w:p>
    <w:p w:rsidR="00635D92" w:rsidRPr="00533AE6" w:rsidRDefault="00635D92"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本基金为</w:t>
      </w:r>
      <w:r w:rsidRPr="00533AE6">
        <w:rPr>
          <w:rFonts w:asciiTheme="minorEastAsia" w:eastAsiaTheme="minorEastAsia" w:hAnsiTheme="minorEastAsia"/>
        </w:rPr>
        <w:t>契约型开放式混合型基金</w:t>
      </w:r>
      <w:r w:rsidRPr="00533AE6">
        <w:rPr>
          <w:rFonts w:asciiTheme="minorEastAsia" w:eastAsiaTheme="minorEastAsia" w:hAnsiTheme="minorEastAsia" w:hint="eastAsia"/>
        </w:rPr>
        <w:t>。基金的存续期为不定期。</w:t>
      </w:r>
    </w:p>
    <w:p w:rsidR="00635D92" w:rsidRPr="00533AE6" w:rsidRDefault="00635D92"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本基金募集期间每份基金份额的初始面值为人民币1.00元。</w:t>
      </w:r>
    </w:p>
    <w:p w:rsidR="00635D92" w:rsidRPr="00533AE6" w:rsidRDefault="00635D92"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本基金募集期自2011年1月4日至2011年1月26日。</w:t>
      </w:r>
      <w:r w:rsidRPr="00533AE6">
        <w:rPr>
          <w:rFonts w:asciiTheme="minorEastAsia" w:eastAsiaTheme="minorEastAsia" w:hAnsiTheme="minorEastAsia"/>
        </w:rPr>
        <w:t>募集对象为符合法律法规规定的个人投资者、机构投资者、合格境外机构投资者和法律法规或中国证监会允许购买证券投资基金的其他投资者。</w:t>
      </w:r>
      <w:r w:rsidRPr="00533AE6">
        <w:rPr>
          <w:rFonts w:asciiTheme="minorEastAsia" w:eastAsiaTheme="minorEastAsia" w:hAnsiTheme="minorEastAsia"/>
        </w:rPr>
        <w:br w:type="page"/>
      </w:r>
    </w:p>
    <w:p w:rsidR="00266A27" w:rsidRPr="00533AE6" w:rsidRDefault="00266A27" w:rsidP="005A15F8">
      <w:pPr>
        <w:pStyle w:val="111"/>
        <w:pageBreakBefore w:val="0"/>
        <w:snapToGrid w:val="0"/>
        <w:spacing w:beforeLines="0" w:afterLines="0" w:line="360" w:lineRule="auto"/>
        <w:ind w:left="-420" w:firstLineChars="0" w:firstLine="0"/>
        <w:rPr>
          <w:rFonts w:asciiTheme="minorEastAsia" w:eastAsiaTheme="minorEastAsia" w:hAnsiTheme="minorEastAsia"/>
          <w:bCs/>
          <w:szCs w:val="21"/>
        </w:rPr>
      </w:pPr>
      <w:bookmarkStart w:id="32" w:name="_Toc46933214"/>
      <w:bookmarkEnd w:id="31"/>
      <w:r w:rsidRPr="00533AE6">
        <w:rPr>
          <w:rFonts w:asciiTheme="minorEastAsia" w:eastAsiaTheme="minorEastAsia" w:hAnsiTheme="minorEastAsia" w:hint="eastAsia"/>
          <w:bCs/>
          <w:szCs w:val="21"/>
        </w:rPr>
        <w:lastRenderedPageBreak/>
        <w:t>七、基金合同的生效</w:t>
      </w:r>
      <w:bookmarkEnd w:id="32"/>
    </w:p>
    <w:p w:rsidR="00B55DAF" w:rsidRPr="00533AE6" w:rsidRDefault="00B55DAF"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33" w:name="_Toc46933215"/>
      <w:bookmarkStart w:id="34" w:name="_Toc133292585"/>
      <w:bookmarkStart w:id="35" w:name="_Toc38432438"/>
      <w:r w:rsidRPr="00533AE6">
        <w:rPr>
          <w:rFonts w:asciiTheme="minorEastAsia" w:eastAsiaTheme="minorEastAsia" w:hAnsiTheme="minorEastAsia" w:hint="eastAsia"/>
          <w:b w:val="0"/>
          <w:bCs/>
          <w:szCs w:val="21"/>
        </w:rPr>
        <w:t>（一）基金合同生效</w:t>
      </w:r>
      <w:bookmarkEnd w:id="33"/>
    </w:p>
    <w:bookmarkEnd w:id="34"/>
    <w:p w:rsidR="00B16973" w:rsidRPr="00533AE6" w:rsidRDefault="00635D92"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本基金基金合同于2011年1月28日正式生效。自基金合同生效日起，本基金管理人正式开始管理本基金。</w:t>
      </w:r>
    </w:p>
    <w:p w:rsidR="00B55DAF" w:rsidRPr="00533AE6" w:rsidRDefault="00B55DAF" w:rsidP="005A15F8">
      <w:pPr>
        <w:pStyle w:val="20"/>
        <w:snapToGrid w:val="0"/>
        <w:spacing w:beforeLines="0" w:afterLines="0" w:line="360" w:lineRule="auto"/>
        <w:ind w:left="-420" w:firstLineChars="0" w:firstLine="0"/>
        <w:rPr>
          <w:rFonts w:asciiTheme="minorEastAsia" w:eastAsiaTheme="minorEastAsia" w:hAnsiTheme="minorEastAsia"/>
          <w:b w:val="0"/>
          <w:bCs/>
          <w:szCs w:val="21"/>
        </w:rPr>
      </w:pPr>
      <w:bookmarkStart w:id="36" w:name="_Toc46933216"/>
      <w:r w:rsidRPr="00533AE6">
        <w:rPr>
          <w:rFonts w:asciiTheme="minorEastAsia" w:eastAsiaTheme="minorEastAsia" w:hAnsiTheme="minorEastAsia" w:hint="eastAsia"/>
          <w:b w:val="0"/>
          <w:bCs/>
          <w:szCs w:val="21"/>
        </w:rPr>
        <w:t>（二）基金存续期内的基金份额持有人数量和资产规模</w:t>
      </w:r>
      <w:bookmarkEnd w:id="36"/>
    </w:p>
    <w:p w:rsidR="00896494" w:rsidRPr="00533AE6" w:rsidRDefault="00E06EC4">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C90471" w:rsidRPr="00533AE6" w:rsidRDefault="00635D92"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t>法律法规或监管部门另有规定的，按其规定办理。</w:t>
      </w:r>
    </w:p>
    <w:bookmarkEnd w:id="35"/>
    <w:p w:rsidR="007F21A0" w:rsidRPr="00533AE6" w:rsidRDefault="007F21A0" w:rsidP="005A15F8">
      <w:pPr>
        <w:pStyle w:val="1"/>
        <w:snapToGrid w:val="0"/>
        <w:spacing w:beforeLines="0" w:afterLines="0" w:line="360" w:lineRule="auto"/>
        <w:ind w:left="-420" w:firstLineChars="0" w:firstLine="0"/>
        <w:rPr>
          <w:rFonts w:asciiTheme="minorEastAsia" w:eastAsiaTheme="minorEastAsia" w:hAnsiTheme="minorEastAsia"/>
          <w:bCs/>
        </w:rPr>
        <w:sectPr w:rsidR="007F21A0" w:rsidRPr="00533AE6" w:rsidSect="00F67DBE">
          <w:pgSz w:w="11907" w:h="16840" w:code="9"/>
          <w:pgMar w:top="1701" w:right="1814" w:bottom="1701" w:left="1814" w:header="1134" w:footer="1247" w:gutter="0"/>
          <w:cols w:space="425"/>
          <w:docGrid w:type="lines" w:linePitch="312"/>
        </w:sectPr>
      </w:pPr>
    </w:p>
    <w:p w:rsidR="00266A27" w:rsidRPr="00533AE6" w:rsidRDefault="00266A27" w:rsidP="005A15F8">
      <w:pPr>
        <w:pStyle w:val="1"/>
        <w:snapToGrid w:val="0"/>
        <w:spacing w:beforeLines="0" w:afterLines="0" w:line="360" w:lineRule="auto"/>
        <w:ind w:left="-420" w:firstLineChars="0" w:firstLine="0"/>
        <w:rPr>
          <w:rFonts w:asciiTheme="minorEastAsia" w:eastAsiaTheme="minorEastAsia" w:hAnsiTheme="minorEastAsia"/>
          <w:bCs/>
        </w:rPr>
      </w:pPr>
      <w:bookmarkStart w:id="37" w:name="_Toc46933217"/>
      <w:r w:rsidRPr="00533AE6">
        <w:rPr>
          <w:rFonts w:asciiTheme="minorEastAsia" w:eastAsiaTheme="minorEastAsia" w:hAnsiTheme="minorEastAsia" w:hint="eastAsia"/>
          <w:bCs/>
        </w:rPr>
        <w:lastRenderedPageBreak/>
        <w:t>八、基金份额的申购、赎回</w:t>
      </w:r>
      <w:bookmarkEnd w:id="37"/>
    </w:p>
    <w:p w:rsidR="00F80542" w:rsidRPr="00533AE6" w:rsidRDefault="000B4230"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38" w:name="_Toc46933218"/>
      <w:r w:rsidRPr="00533AE6">
        <w:rPr>
          <w:rFonts w:asciiTheme="minorEastAsia" w:eastAsiaTheme="minorEastAsia" w:hAnsiTheme="minorEastAsia" w:hint="eastAsia"/>
          <w:b w:val="0"/>
        </w:rPr>
        <w:t>（一）基金投资者范围</w:t>
      </w:r>
      <w:bookmarkEnd w:id="38"/>
    </w:p>
    <w:p w:rsidR="00922FB8" w:rsidRPr="00533AE6" w:rsidRDefault="00EE5F5F"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符合法律法规规定的个人投资者、机构投资者、合格境外机构投资者和法律法规或中国证监会允许购买证券投资基金的其他投资者。</w:t>
      </w:r>
    </w:p>
    <w:p w:rsidR="00F80542"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rPr>
      </w:pPr>
      <w:bookmarkStart w:id="39" w:name="_Toc46933219"/>
      <w:r w:rsidRPr="00533AE6">
        <w:rPr>
          <w:rFonts w:asciiTheme="minorEastAsia" w:eastAsiaTheme="minorEastAsia" w:hAnsiTheme="minorEastAsia" w:hint="eastAsia"/>
          <w:b w:val="0"/>
        </w:rPr>
        <w:t>（</w:t>
      </w:r>
      <w:r w:rsidR="000B4230" w:rsidRPr="00533AE6">
        <w:rPr>
          <w:rFonts w:asciiTheme="minorEastAsia" w:eastAsiaTheme="minorEastAsia" w:hAnsiTheme="minorEastAsia" w:hint="eastAsia"/>
          <w:b w:val="0"/>
        </w:rPr>
        <w:t>二</w:t>
      </w:r>
      <w:r w:rsidRPr="00533AE6">
        <w:rPr>
          <w:rFonts w:asciiTheme="minorEastAsia" w:eastAsiaTheme="minorEastAsia" w:hAnsiTheme="minorEastAsia" w:hint="eastAsia"/>
          <w:b w:val="0"/>
        </w:rPr>
        <w:t>）申购、赎回的场所</w:t>
      </w:r>
      <w:bookmarkEnd w:id="39"/>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1.基金管理人的直销中心及网上交易系统；</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2.各非直销销售机构开办开放式基金业务的营业网点。</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基金管理人可根据情况变更基金的销售机构，</w:t>
      </w:r>
      <w:r w:rsidR="00BD6ED1" w:rsidRPr="00533AE6">
        <w:rPr>
          <w:rFonts w:asciiTheme="minorEastAsia" w:eastAsiaTheme="minorEastAsia" w:hAnsiTheme="minorEastAsia" w:hint="eastAsia"/>
          <w:kern w:val="0"/>
          <w:szCs w:val="21"/>
        </w:rPr>
        <w:t>并在基金管理人网站公示</w:t>
      </w:r>
      <w:r w:rsidRPr="00533AE6">
        <w:rPr>
          <w:rFonts w:asciiTheme="minorEastAsia" w:eastAsiaTheme="minorEastAsia" w:hAnsiTheme="minorEastAsia"/>
        </w:rPr>
        <w:t>。</w:t>
      </w:r>
    </w:p>
    <w:p w:rsidR="00FE5546" w:rsidRPr="00533AE6" w:rsidRDefault="00EE5F5F"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投资者还可通过基金管理人或者指定的基金销售机构以电话或互联网等其他电子交易方式进行申购、赎回，具体以各销售机构的规定为准。</w:t>
      </w:r>
    </w:p>
    <w:p w:rsidR="00F80542"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0" w:name="_Toc46933220"/>
      <w:r w:rsidRPr="00533AE6">
        <w:rPr>
          <w:rFonts w:asciiTheme="minorEastAsia" w:eastAsiaTheme="minorEastAsia" w:hAnsiTheme="minorEastAsia" w:hint="eastAsia"/>
          <w:b w:val="0"/>
        </w:rPr>
        <w:t>（</w:t>
      </w:r>
      <w:r w:rsidR="00FE5546" w:rsidRPr="00533AE6">
        <w:rPr>
          <w:rFonts w:asciiTheme="minorEastAsia" w:eastAsiaTheme="minorEastAsia" w:hAnsiTheme="minorEastAsia" w:hint="eastAsia"/>
          <w:b w:val="0"/>
        </w:rPr>
        <w:t>三</w:t>
      </w:r>
      <w:r w:rsidRPr="00533AE6">
        <w:rPr>
          <w:rFonts w:asciiTheme="minorEastAsia" w:eastAsiaTheme="minorEastAsia" w:hAnsiTheme="minorEastAsia" w:hint="eastAsia"/>
          <w:b w:val="0"/>
        </w:rPr>
        <w:t>）申购、赎回的时间</w:t>
      </w:r>
      <w:bookmarkEnd w:id="40"/>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本基金已于2011年3月28日开始办理日常申购和赎回业务。</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上海证券交易所和深圳证券交易所同时开放交易的工作日为本基金的开放日（基金管理人根据法律法规或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公告。</w:t>
      </w:r>
    </w:p>
    <w:p w:rsidR="00FE5546" w:rsidRPr="00533AE6" w:rsidRDefault="00346D94"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投资者在基金合同约定之外的日期和时间提出申购、赎回或者转换申请的，其基金份额申购、赎回价格为下次办理基金份额申购、赎回时间所在开放日的价格。</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41" w:name="_Toc46933221"/>
      <w:r w:rsidRPr="00533AE6">
        <w:rPr>
          <w:rFonts w:asciiTheme="minorEastAsia" w:eastAsiaTheme="minorEastAsia" w:hAnsiTheme="minorEastAsia" w:hint="eastAsia"/>
          <w:b w:val="0"/>
          <w:bCs/>
        </w:rPr>
        <w:t>（</w:t>
      </w:r>
      <w:r w:rsidR="00AB21C7" w:rsidRPr="00533AE6">
        <w:rPr>
          <w:rFonts w:asciiTheme="minorEastAsia" w:eastAsiaTheme="minorEastAsia" w:hAnsiTheme="minorEastAsia" w:hint="eastAsia"/>
          <w:b w:val="0"/>
          <w:bCs/>
        </w:rPr>
        <w:t>四</w:t>
      </w:r>
      <w:r w:rsidRPr="00533AE6">
        <w:rPr>
          <w:rFonts w:asciiTheme="minorEastAsia" w:eastAsiaTheme="minorEastAsia" w:hAnsiTheme="minorEastAsia" w:hint="eastAsia"/>
          <w:b w:val="0"/>
          <w:bCs/>
        </w:rPr>
        <w:t>）申购、赎回的原则</w:t>
      </w:r>
      <w:bookmarkEnd w:id="41"/>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1、“未知价”原则，即基金的申购与赎回价格以申请当日基金份额净值为基准进行计算；</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2、基金采用金额申购和份额赎回的方式，即申购以金额申请，赎回以份额申请；</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3、基金份额持有人赎回时，除指定赎回外，基金管理人按“先进先出”的原则，对该持有人账户在该销售机构托管的基金份额进行处理，即先确认的份额先赎回，后确认的份额后赎回，以确定所适用的赎回费率；</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4、当日的申购与赎回申请可以在当日业务办理时间结束前撤销，在当日的业务办理时间结束后不得撤销；</w:t>
      </w:r>
    </w:p>
    <w:p w:rsidR="00DA3BCB" w:rsidRPr="00533AE6" w:rsidRDefault="00346D94"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基金管理人在不损害基金份额持有人权益的情况下可更改上述原则，但必须按照《信息披露办法》或其他相关规定在新的原则实施前在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上公告。</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2" w:name="_Toc46933222"/>
      <w:r w:rsidRPr="00533AE6">
        <w:rPr>
          <w:rFonts w:asciiTheme="minorEastAsia" w:eastAsiaTheme="minorEastAsia" w:hAnsiTheme="minorEastAsia" w:hint="eastAsia"/>
          <w:b w:val="0"/>
        </w:rPr>
        <w:t>（</w:t>
      </w:r>
      <w:r w:rsidR="00AB21C7" w:rsidRPr="00533AE6">
        <w:rPr>
          <w:rFonts w:asciiTheme="minorEastAsia" w:eastAsiaTheme="minorEastAsia" w:hAnsiTheme="minorEastAsia" w:hint="eastAsia"/>
          <w:b w:val="0"/>
        </w:rPr>
        <w:t>五</w:t>
      </w:r>
      <w:r w:rsidRPr="00533AE6">
        <w:rPr>
          <w:rFonts w:asciiTheme="minorEastAsia" w:eastAsiaTheme="minorEastAsia" w:hAnsiTheme="minorEastAsia" w:hint="eastAsia"/>
          <w:b w:val="0"/>
        </w:rPr>
        <w:t>）申购、赎回的程序</w:t>
      </w:r>
      <w:bookmarkEnd w:id="42"/>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1、申购、赎回的申请方式</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lastRenderedPageBreak/>
        <w:t>基金投资者必须根据基金管理人和基金销售机构规定的手续，在开放日的业务办理时间提出申购、赎回的申请。</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投资者在提交申购申请时，须按销售机构规定的方式备足申购资金；提交赎回申请时,帐户中必须有足够的基金份额余额，否则所提交的申购、赎回的申请无效而不予成交。</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2、申购、赎回申请的确认</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T日规定时间受理的申请，正常情况下，注册登记机构在T+1日内（包括该日）为投资者对该交易的有效性进行确认，基金投资者可在T+2日后（包括该日）到销售网点柜台或以销售机构规定的其他方式查询申请的确认情况。</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基金销售机构对申购申请的受理并不代表该申请一定成功，而仅代表销售机构确实接收到申购申请。申购的确认以基金注册登记机构的确认结果为准。</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3、申购和赎回的款项支付</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申购采用全额缴款方式，若申购资金在规定时间内未全额到账则申购不成功，若申购不成功或无效，投资者已缴付的申购款项本金将退回投资者账户。</w:t>
      </w:r>
    </w:p>
    <w:p w:rsidR="00FE5546" w:rsidRPr="00533AE6" w:rsidRDefault="00346D94"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投资者T日赎回申请成功后，基金管理人将通过基金注册登记机构及相关基金销售机构在T＋7日（包括该日）内支付赎回款项。在发生巨额赎回的情形时，款项的支付办法参照《基金合同》的有关条款处理。</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3" w:name="_Toc46933223"/>
      <w:r w:rsidRPr="00533AE6">
        <w:rPr>
          <w:rFonts w:asciiTheme="minorEastAsia" w:eastAsiaTheme="minorEastAsia" w:hAnsiTheme="minorEastAsia" w:hint="eastAsia"/>
          <w:b w:val="0"/>
        </w:rPr>
        <w:t>（</w:t>
      </w:r>
      <w:r w:rsidR="00AB21C7" w:rsidRPr="00533AE6">
        <w:rPr>
          <w:rFonts w:asciiTheme="minorEastAsia" w:eastAsiaTheme="minorEastAsia" w:hAnsiTheme="minorEastAsia" w:hint="eastAsia"/>
          <w:b w:val="0"/>
        </w:rPr>
        <w:t>六</w:t>
      </w:r>
      <w:r w:rsidRPr="00533AE6">
        <w:rPr>
          <w:rFonts w:asciiTheme="minorEastAsia" w:eastAsiaTheme="minorEastAsia" w:hAnsiTheme="minorEastAsia" w:hint="eastAsia"/>
          <w:b w:val="0"/>
        </w:rPr>
        <w:t>）申购、赎回的数额限制</w:t>
      </w:r>
      <w:bookmarkEnd w:id="43"/>
    </w:p>
    <w:p w:rsidR="00FE5546" w:rsidRPr="00533AE6" w:rsidRDefault="00FE5546"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hint="eastAsia"/>
        </w:rPr>
        <w:t>1</w:t>
      </w:r>
      <w:r w:rsidR="00157641" w:rsidRPr="00533AE6">
        <w:rPr>
          <w:rFonts w:asciiTheme="minorEastAsia" w:eastAsiaTheme="minorEastAsia" w:hAnsiTheme="minorEastAsia" w:hint="eastAsia"/>
        </w:rPr>
        <w:t>、</w:t>
      </w:r>
      <w:r w:rsidRPr="00533AE6">
        <w:rPr>
          <w:rFonts w:asciiTheme="minorEastAsia" w:eastAsiaTheme="minorEastAsia" w:hAnsiTheme="minorEastAsia" w:hint="eastAsia"/>
        </w:rPr>
        <w:t>申购基金的金额限制</w:t>
      </w:r>
    </w:p>
    <w:p w:rsidR="00896494" w:rsidRPr="00533AE6" w:rsidRDefault="00E06EC4">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t>投资者通过非直销销售机构或本公司网上交易系统首次申购的单笔最低金额为1元人民币，追加申购单笔最低金额为1元人民币；通过直销中心首次申购的单笔最低金额为50000元人民币，追加申购单笔最低金额为1000元人民币。在符合法律法规规定的前提下，各销售机构对最低申购限额及交易级差有其他规定的,需同时遵循该销售机构的相关规定。（以上金额均含申购费）</w:t>
      </w:r>
    </w:p>
    <w:p w:rsidR="00896494" w:rsidRPr="00533AE6" w:rsidRDefault="00E06EC4">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t>投资者将当期分配的基金收益转购基金份额或采用定期定额投资计划时，不受最低申购金额的限制。</w:t>
      </w:r>
    </w:p>
    <w:p w:rsidR="00FE5546" w:rsidRPr="00533AE6" w:rsidRDefault="00346D94"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t>投资者可多次申购，对单个投资者累计持有份额不设上限限制。</w:t>
      </w:r>
      <w:r w:rsidR="001677AC" w:rsidRPr="00533AE6">
        <w:rPr>
          <w:rFonts w:asciiTheme="minorEastAsia" w:eastAsiaTheme="minorEastAsia" w:hAnsiTheme="minorEastAsia" w:hint="eastAsia"/>
          <w:szCs w:val="21"/>
        </w:rPr>
        <w:t>但对于可能导致单一投资者持有基金份额的比例达到或者超过</w:t>
      </w:r>
      <w:r w:rsidR="001677AC" w:rsidRPr="00533AE6">
        <w:rPr>
          <w:rFonts w:asciiTheme="minorEastAsia" w:eastAsiaTheme="minorEastAsia" w:hAnsiTheme="minorEastAsia"/>
          <w:szCs w:val="21"/>
        </w:rPr>
        <w:t>50%，或者变相规避50%集中度的情形，基金管理人有权采取控制措施。</w:t>
      </w:r>
      <w:r w:rsidR="001677AC" w:rsidRPr="00533AE6">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533AE6">
        <w:rPr>
          <w:rFonts w:asciiTheme="minorEastAsia" w:eastAsiaTheme="minorEastAsia" w:hAnsiTheme="minorEastAsia"/>
        </w:rPr>
        <w:t>法律法规、中国证监会另有规定的除外。</w:t>
      </w:r>
    </w:p>
    <w:p w:rsidR="00FE5546" w:rsidRPr="00533AE6" w:rsidRDefault="00FE5546" w:rsidP="005A15F8">
      <w:pPr>
        <w:snapToGrid w:val="0"/>
        <w:spacing w:line="360" w:lineRule="auto"/>
        <w:ind w:left="-420" w:firstLineChars="202" w:firstLine="424"/>
        <w:rPr>
          <w:rFonts w:asciiTheme="minorEastAsia" w:eastAsiaTheme="minorEastAsia" w:hAnsiTheme="minorEastAsia"/>
        </w:rPr>
      </w:pPr>
      <w:bookmarkStart w:id="44" w:name="OLE_LINK2"/>
      <w:r w:rsidRPr="00533AE6">
        <w:rPr>
          <w:rFonts w:asciiTheme="minorEastAsia" w:eastAsiaTheme="minorEastAsia" w:hAnsiTheme="minorEastAsia" w:hint="eastAsia"/>
        </w:rPr>
        <w:t>2</w:t>
      </w:r>
      <w:r w:rsidR="00157641" w:rsidRPr="00533AE6">
        <w:rPr>
          <w:rFonts w:asciiTheme="minorEastAsia" w:eastAsiaTheme="minorEastAsia" w:hAnsiTheme="minorEastAsia" w:hint="eastAsia"/>
        </w:rPr>
        <w:t>、</w:t>
      </w:r>
      <w:r w:rsidRPr="00533AE6">
        <w:rPr>
          <w:rFonts w:asciiTheme="minorEastAsia" w:eastAsiaTheme="minorEastAsia" w:hAnsiTheme="minorEastAsia" w:hint="eastAsia"/>
        </w:rPr>
        <w:t>赎回的份额限制</w:t>
      </w:r>
    </w:p>
    <w:bookmarkEnd w:id="44"/>
    <w:p w:rsidR="00346D94" w:rsidRPr="00533AE6" w:rsidRDefault="00346D94"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rPr>
        <w:lastRenderedPageBreak/>
        <w:t>投资者可将其全部或部分基金份额赎回。单笔赎回或转换不得少于1份(如该账户在该销售机构托管的该基金余额不足1份，则必须一次性赎回或转出该基金全部份额)；若某笔赎回将导致投资者在该销售机构托管的该基金余额不足1份时，基金管理人有权将投资者在该销售机构托管的该基金剩余份额一次性全部赎回。在符合法律法规规定的前提下，各销售机构对赎回份额限制有其他规定的，需同时遵循该销售机构的相关规定。</w:t>
      </w:r>
    </w:p>
    <w:p w:rsidR="00FE5546" w:rsidRPr="00533AE6" w:rsidRDefault="00346D94"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hint="eastAsia"/>
        </w:rPr>
        <w:t>3、</w:t>
      </w:r>
      <w:r w:rsidRPr="00533AE6">
        <w:rPr>
          <w:rFonts w:asciiTheme="minorEastAsia" w:eastAsiaTheme="minorEastAsia" w:hAnsiTheme="minorEastAsia"/>
        </w:rPr>
        <w:t>基金管理人可根据市场情况制定或调整上述申购、赎回的程序及有关限制，</w:t>
      </w:r>
      <w:r w:rsidR="001677AC" w:rsidRPr="00533AE6">
        <w:rPr>
          <w:rFonts w:asciiTheme="minorEastAsia" w:eastAsiaTheme="minorEastAsia" w:hAnsiTheme="minorEastAsia" w:hint="eastAsia"/>
          <w:szCs w:val="21"/>
        </w:rPr>
        <w:t>或者新增基金规模控制措施，</w:t>
      </w:r>
      <w:r w:rsidRPr="00533AE6">
        <w:rPr>
          <w:rFonts w:asciiTheme="minorEastAsia" w:eastAsiaTheme="minorEastAsia" w:hAnsiTheme="minorEastAsia"/>
        </w:rPr>
        <w:t>但应按照《信息披露办法》或其他相关规定在调整生效前</w:t>
      </w:r>
      <w:r w:rsidR="00BD6ED1" w:rsidRPr="00533AE6">
        <w:rPr>
          <w:rFonts w:asciiTheme="minorEastAsia" w:eastAsiaTheme="minorEastAsia" w:hAnsiTheme="minorEastAsia" w:hint="eastAsia"/>
        </w:rPr>
        <w:t>在</w:t>
      </w:r>
      <w:r w:rsidR="00BD6ED1" w:rsidRPr="00533AE6">
        <w:rPr>
          <w:rFonts w:asciiTheme="minorEastAsia" w:eastAsiaTheme="minorEastAsia" w:hAnsiTheme="minorEastAsia" w:hint="eastAsia"/>
          <w:kern w:val="0"/>
          <w:szCs w:val="21"/>
        </w:rPr>
        <w:t>指定媒介公告</w:t>
      </w:r>
      <w:r w:rsidRPr="00533AE6">
        <w:rPr>
          <w:rFonts w:asciiTheme="minorEastAsia" w:eastAsiaTheme="minorEastAsia" w:hAnsiTheme="minorEastAsia"/>
        </w:rPr>
        <w:t>。</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5" w:name="_Toc46933224"/>
      <w:r w:rsidRPr="00533AE6">
        <w:rPr>
          <w:rFonts w:asciiTheme="minorEastAsia" w:eastAsiaTheme="minorEastAsia" w:hAnsiTheme="minorEastAsia" w:hint="eastAsia"/>
          <w:b w:val="0"/>
        </w:rPr>
        <w:t>（</w:t>
      </w:r>
      <w:r w:rsidR="00AB21C7" w:rsidRPr="00533AE6">
        <w:rPr>
          <w:rFonts w:asciiTheme="minorEastAsia" w:eastAsiaTheme="minorEastAsia" w:hAnsiTheme="minorEastAsia" w:hint="eastAsia"/>
          <w:b w:val="0"/>
        </w:rPr>
        <w:t>七</w:t>
      </w:r>
      <w:r w:rsidRPr="00533AE6">
        <w:rPr>
          <w:rFonts w:asciiTheme="minorEastAsia" w:eastAsiaTheme="minorEastAsia" w:hAnsiTheme="minorEastAsia" w:hint="eastAsia"/>
          <w:b w:val="0"/>
        </w:rPr>
        <w:t>）申购、赎回的费率</w:t>
      </w:r>
      <w:bookmarkEnd w:id="45"/>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本基金的申购、赎回费率设置如下表所示：</w:t>
      </w:r>
    </w:p>
    <w:p w:rsidR="00FE5546" w:rsidRPr="00533AE6" w:rsidRDefault="006E1F1B"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1、</w:t>
      </w:r>
      <w:r w:rsidR="00FE5546" w:rsidRPr="00533AE6">
        <w:rPr>
          <w:rFonts w:asciiTheme="minorEastAsia" w:eastAsiaTheme="minorEastAsia" w:hAnsiTheme="minorEastAsia"/>
          <w:szCs w:val="21"/>
        </w:rPr>
        <w:t>申购费率为：</w:t>
      </w:r>
    </w:p>
    <w:p w:rsidR="00896494" w:rsidRPr="00533AE6" w:rsidRDefault="00E06EC4">
      <w:pPr>
        <w:autoSpaceDE w:val="0"/>
        <w:autoSpaceDN w:val="0"/>
        <w:snapToGrid w:val="0"/>
        <w:spacing w:line="360" w:lineRule="auto"/>
        <w:ind w:left="-420" w:firstLine="420"/>
        <w:textAlignment w:val="bottom"/>
        <w:rPr>
          <w:rFonts w:asciiTheme="minorEastAsia" w:eastAsiaTheme="minorEastAsia" w:hAnsiTheme="minorEastAsia"/>
        </w:rPr>
      </w:pPr>
      <w:r w:rsidRPr="00533AE6">
        <w:rPr>
          <w:rFonts w:asciiTheme="minorEastAsia" w:eastAsiaTheme="minorEastAsia" w:hAnsiTheme="minorEastAsia"/>
        </w:rPr>
        <w:t>本基金对通过直销中心申购的特定投资群体与除此之外的其他投资者实施差别的申购费率。</w:t>
      </w:r>
    </w:p>
    <w:p w:rsidR="006E1F1B" w:rsidRPr="00533AE6" w:rsidRDefault="00566209" w:rsidP="005A15F8">
      <w:pPr>
        <w:autoSpaceDE w:val="0"/>
        <w:autoSpaceDN w:val="0"/>
        <w:snapToGrid w:val="0"/>
        <w:spacing w:line="360" w:lineRule="auto"/>
        <w:ind w:left="-420" w:firstLine="420"/>
        <w:textAlignment w:val="bottom"/>
        <w:rPr>
          <w:rFonts w:asciiTheme="minorEastAsia" w:eastAsiaTheme="minorEastAsia" w:hAnsiTheme="minorEastAsia"/>
        </w:rPr>
      </w:pPr>
      <w:r w:rsidRPr="00533AE6">
        <w:rPr>
          <w:rFonts w:asciiTheme="minorEastAsia" w:eastAsiaTheme="minorEastAsia" w:hAnsiTheme="minor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566209" w:rsidRPr="00533AE6" w:rsidRDefault="00566209"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533AE6" w:rsidRPr="00533AE6" w:rsidTr="00153667">
        <w:trPr>
          <w:trHeight w:val="462"/>
          <w:jc w:val="center"/>
        </w:trPr>
        <w:tc>
          <w:tcPr>
            <w:tcW w:w="3806"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bCs/>
                <w:kern w:val="0"/>
                <w:szCs w:val="21"/>
              </w:rPr>
              <w:t>申购金额M（元）（含申购费）</w:t>
            </w:r>
          </w:p>
        </w:tc>
        <w:tc>
          <w:tcPr>
            <w:tcW w:w="3735"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bCs/>
                <w:kern w:val="0"/>
                <w:szCs w:val="21"/>
              </w:rPr>
              <w:t>申购费率</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M＜100万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0.15%</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100万≤M＜500万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0.12%</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500万≤M＜1000万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0.03%</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M≥1000万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每笔1000元</w:t>
            </w:r>
          </w:p>
        </w:tc>
      </w:tr>
    </w:tbl>
    <w:p w:rsidR="00566209" w:rsidRPr="00533AE6" w:rsidRDefault="00566209"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533AE6" w:rsidRPr="00533AE6" w:rsidTr="00153667">
        <w:trPr>
          <w:trHeight w:val="462"/>
          <w:jc w:val="center"/>
        </w:trPr>
        <w:tc>
          <w:tcPr>
            <w:tcW w:w="3806"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bCs/>
                <w:kern w:val="0"/>
                <w:szCs w:val="21"/>
              </w:rPr>
              <w:t>申购金额M（元）（含申购费）</w:t>
            </w:r>
          </w:p>
        </w:tc>
        <w:tc>
          <w:tcPr>
            <w:tcW w:w="3735"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bCs/>
                <w:kern w:val="0"/>
                <w:szCs w:val="21"/>
              </w:rPr>
              <w:t>申购费率</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M＜100万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1.5%</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100万≤M＜500万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1.2%</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500万≤M＜1000万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0.3%</w:t>
            </w:r>
          </w:p>
        </w:tc>
      </w:tr>
      <w:tr w:rsidR="00533AE6" w:rsidRPr="00533AE6">
        <w:trPr>
          <w:jc w:val="center"/>
        </w:trPr>
        <w:tc>
          <w:tcPr>
            <w:tcW w:w="380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M≥1000万</w:t>
            </w:r>
          </w:p>
        </w:tc>
        <w:tc>
          <w:tcPr>
            <w:tcW w:w="3735"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1000元/笔</w:t>
            </w:r>
          </w:p>
        </w:tc>
      </w:tr>
    </w:tbl>
    <w:p w:rsidR="00566209" w:rsidRPr="00533AE6" w:rsidRDefault="006E1F1B" w:rsidP="005A15F8">
      <w:pPr>
        <w:snapToGrid w:val="0"/>
        <w:spacing w:line="360" w:lineRule="auto"/>
        <w:ind w:left="-420" w:firstLineChars="202" w:firstLine="424"/>
        <w:rPr>
          <w:rFonts w:asciiTheme="minorEastAsia" w:eastAsiaTheme="minorEastAsia" w:hAnsiTheme="minorEastAsia"/>
        </w:rPr>
      </w:pPr>
      <w:r w:rsidRPr="00533AE6">
        <w:rPr>
          <w:rFonts w:asciiTheme="minorEastAsia" w:eastAsiaTheme="minorEastAsia" w:hAnsiTheme="minorEastAsia" w:hint="eastAsia"/>
          <w:szCs w:val="21"/>
        </w:rPr>
        <w:t>2、</w:t>
      </w:r>
      <w:r w:rsidR="00FE5546" w:rsidRPr="00533AE6">
        <w:rPr>
          <w:rFonts w:asciiTheme="minorEastAsia" w:eastAsiaTheme="minorEastAsia" w:hAnsiTheme="minorEastAsia"/>
          <w:szCs w:val="21"/>
        </w:rPr>
        <w:t>赎回</w:t>
      </w:r>
      <w:r w:rsidR="00FE5546" w:rsidRPr="00533AE6">
        <w:rPr>
          <w:rFonts w:asciiTheme="minorEastAsia" w:eastAsiaTheme="minorEastAsia" w:hAnsiTheme="minorEastAsia" w:hint="eastAsia"/>
          <w:szCs w:val="21"/>
        </w:rPr>
        <w:t>费率为</w:t>
      </w:r>
      <w:r w:rsidR="00FE5546" w:rsidRPr="00533AE6">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533AE6" w:rsidRPr="00533AE6" w:rsidTr="00153667">
        <w:trPr>
          <w:trHeight w:val="462"/>
          <w:jc w:val="center"/>
        </w:trPr>
        <w:tc>
          <w:tcPr>
            <w:tcW w:w="3806"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kern w:val="0"/>
                <w:szCs w:val="21"/>
              </w:rPr>
              <w:t>持有时间（天）</w:t>
            </w:r>
          </w:p>
        </w:tc>
        <w:tc>
          <w:tcPr>
            <w:tcW w:w="3735" w:type="dxa"/>
          </w:tcPr>
          <w:p w:rsidR="00566209" w:rsidRPr="00533AE6" w:rsidRDefault="00566209" w:rsidP="005A15F8">
            <w:pPr>
              <w:widowControl/>
              <w:snapToGrid w:val="0"/>
              <w:spacing w:line="360" w:lineRule="auto"/>
              <w:ind w:left="-420" w:firstLine="420"/>
              <w:jc w:val="center"/>
              <w:rPr>
                <w:rFonts w:asciiTheme="minorEastAsia" w:eastAsiaTheme="minorEastAsia" w:hAnsiTheme="minorEastAsia"/>
                <w:kern w:val="0"/>
                <w:szCs w:val="21"/>
              </w:rPr>
            </w:pPr>
            <w:r w:rsidRPr="00533AE6">
              <w:rPr>
                <w:rFonts w:asciiTheme="minorEastAsia" w:eastAsiaTheme="minorEastAsia" w:hAnsiTheme="minorEastAsia"/>
                <w:kern w:val="0"/>
                <w:szCs w:val="21"/>
              </w:rPr>
              <w:t>赎回费率</w:t>
            </w:r>
          </w:p>
        </w:tc>
      </w:tr>
      <w:tr w:rsidR="00533AE6" w:rsidRPr="00533AE6">
        <w:trPr>
          <w:jc w:val="center"/>
        </w:trPr>
        <w:tc>
          <w:tcPr>
            <w:tcW w:w="3806"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0</w:t>
            </w:r>
            <w:r w:rsidRPr="00533AE6">
              <w:rPr>
                <w:rFonts w:asciiTheme="minorEastAsia" w:eastAsiaTheme="minorEastAsia" w:hAnsiTheme="minorEastAsia" w:hint="eastAsia"/>
              </w:rPr>
              <w:t>-</w:t>
            </w:r>
            <w:r w:rsidRPr="00533AE6">
              <w:rPr>
                <w:rFonts w:asciiTheme="minorEastAsia" w:eastAsiaTheme="minorEastAsia" w:hAnsiTheme="minorEastAsia"/>
              </w:rPr>
              <w:t>6</w:t>
            </w:r>
          </w:p>
        </w:tc>
        <w:tc>
          <w:tcPr>
            <w:tcW w:w="3735"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1.5%</w:t>
            </w:r>
          </w:p>
        </w:tc>
      </w:tr>
      <w:tr w:rsidR="00533AE6" w:rsidRPr="00533AE6">
        <w:trPr>
          <w:jc w:val="center"/>
        </w:trPr>
        <w:tc>
          <w:tcPr>
            <w:tcW w:w="3806"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7-364</w:t>
            </w:r>
          </w:p>
        </w:tc>
        <w:tc>
          <w:tcPr>
            <w:tcW w:w="3735"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0.5%</w:t>
            </w:r>
          </w:p>
        </w:tc>
      </w:tr>
      <w:tr w:rsidR="00533AE6" w:rsidRPr="00533AE6">
        <w:trPr>
          <w:jc w:val="center"/>
        </w:trPr>
        <w:tc>
          <w:tcPr>
            <w:tcW w:w="3806"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365-729</w:t>
            </w:r>
          </w:p>
        </w:tc>
        <w:tc>
          <w:tcPr>
            <w:tcW w:w="3735"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0.25%</w:t>
            </w:r>
          </w:p>
        </w:tc>
      </w:tr>
      <w:tr w:rsidR="00533AE6" w:rsidRPr="00533AE6">
        <w:trPr>
          <w:jc w:val="center"/>
        </w:trPr>
        <w:tc>
          <w:tcPr>
            <w:tcW w:w="3806"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730</w:t>
            </w:r>
            <w:r w:rsidRPr="00533AE6">
              <w:rPr>
                <w:rFonts w:asciiTheme="minorEastAsia" w:eastAsiaTheme="minorEastAsia" w:hAnsiTheme="minorEastAsia" w:hint="eastAsia"/>
              </w:rPr>
              <w:t>及</w:t>
            </w:r>
            <w:r w:rsidRPr="00533AE6">
              <w:rPr>
                <w:rFonts w:asciiTheme="minorEastAsia" w:eastAsiaTheme="minorEastAsia" w:hAnsiTheme="minorEastAsia"/>
              </w:rPr>
              <w:t>以上</w:t>
            </w:r>
          </w:p>
        </w:tc>
        <w:tc>
          <w:tcPr>
            <w:tcW w:w="3735" w:type="dxa"/>
            <w:vAlign w:val="center"/>
          </w:tcPr>
          <w:p w:rsidR="00EC7AB4" w:rsidRPr="00533AE6" w:rsidRDefault="00EC7AB4" w:rsidP="00EC7AB4">
            <w:pPr>
              <w:ind w:left="-420" w:firstLine="420"/>
              <w:jc w:val="center"/>
              <w:rPr>
                <w:rFonts w:asciiTheme="minorEastAsia" w:eastAsiaTheme="minorEastAsia" w:hAnsiTheme="minorEastAsia"/>
              </w:rPr>
            </w:pPr>
            <w:r w:rsidRPr="00533AE6">
              <w:rPr>
                <w:rFonts w:asciiTheme="minorEastAsia" w:eastAsiaTheme="minorEastAsia" w:hAnsiTheme="minorEastAsia"/>
              </w:rPr>
              <w:t>0%</w:t>
            </w:r>
          </w:p>
        </w:tc>
      </w:tr>
    </w:tbl>
    <w:p w:rsidR="006E1F1B" w:rsidRPr="00533AE6" w:rsidRDefault="006E1F1B"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lastRenderedPageBreak/>
        <w:t>3、其他说明：</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rPr>
        <w:t>在申购费按金额分档的情况下，如果投资者多次申购，申购费适用单笔申购金额所对应的费率。</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hint="eastAsia"/>
        </w:rPr>
        <w:t>公告。</w:t>
      </w:r>
    </w:p>
    <w:p w:rsidR="00566209" w:rsidRPr="00533AE6" w:rsidRDefault="00566209"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6" w:name="_Toc46933225"/>
      <w:r w:rsidRPr="00533AE6">
        <w:rPr>
          <w:rFonts w:asciiTheme="minorEastAsia" w:eastAsiaTheme="minorEastAsia" w:hAnsiTheme="minorEastAsia" w:hint="eastAsia"/>
          <w:b w:val="0"/>
        </w:rPr>
        <w:t>（</w:t>
      </w:r>
      <w:r w:rsidR="00FE5546" w:rsidRPr="00533AE6">
        <w:rPr>
          <w:rFonts w:asciiTheme="minorEastAsia" w:eastAsiaTheme="minorEastAsia" w:hAnsiTheme="minorEastAsia" w:hint="eastAsia"/>
          <w:b w:val="0"/>
        </w:rPr>
        <w:t>八</w:t>
      </w:r>
      <w:r w:rsidRPr="00533AE6">
        <w:rPr>
          <w:rFonts w:asciiTheme="minorEastAsia" w:eastAsiaTheme="minorEastAsia" w:hAnsiTheme="minorEastAsia" w:hint="eastAsia"/>
          <w:b w:val="0"/>
        </w:rPr>
        <w:t>）申购份额、赎回金额的计算方式</w:t>
      </w:r>
      <w:bookmarkEnd w:id="46"/>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1</w:t>
      </w:r>
      <w:r w:rsidR="00157641"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申购份额的计算</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本基金的申购金额包括申购费用和净申购金额，其中：</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净申购金额=申购金额/（1+申购费率）</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申购费用=申购金额-净申购金额</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申购份数=净申购金额/T日基金份额净值</w:t>
      </w:r>
    </w:p>
    <w:p w:rsidR="00FE5546" w:rsidRPr="00533AE6" w:rsidRDefault="008519AE"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对于1000万元（含）以上的申购，净申购金额=申购金额-绝对数额的申购费金额</w:t>
      </w:r>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举例说明：</w:t>
      </w:r>
    </w:p>
    <w:p w:rsidR="00883A93" w:rsidRPr="00533AE6" w:rsidRDefault="00883A93"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（1）</w:t>
      </w:r>
      <w:r w:rsidRPr="00533AE6">
        <w:rPr>
          <w:rFonts w:asciiTheme="minorEastAsia" w:eastAsiaTheme="minorEastAsia" w:hAnsiTheme="minorEastAsia" w:hint="eastAsia"/>
        </w:rPr>
        <w:t>某投资者（其他投资者）的申购情形：</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533AE6" w:rsidRPr="00533AE6" w:rsidTr="00550FC0">
        <w:trPr>
          <w:jc w:val="center"/>
        </w:trPr>
        <w:tc>
          <w:tcPr>
            <w:tcW w:w="1581"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申购金额</w:t>
            </w:r>
          </w:p>
        </w:tc>
        <w:tc>
          <w:tcPr>
            <w:tcW w:w="1134"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申购费率</w:t>
            </w:r>
          </w:p>
        </w:tc>
        <w:tc>
          <w:tcPr>
            <w:tcW w:w="1418"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净申购金额</w:t>
            </w:r>
          </w:p>
        </w:tc>
        <w:tc>
          <w:tcPr>
            <w:tcW w:w="1660"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申购费用</w:t>
            </w:r>
          </w:p>
        </w:tc>
        <w:tc>
          <w:tcPr>
            <w:tcW w:w="1660"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基金份额净值</w:t>
            </w:r>
          </w:p>
        </w:tc>
        <w:tc>
          <w:tcPr>
            <w:tcW w:w="1422" w:type="dxa"/>
          </w:tcPr>
          <w:p w:rsidR="00FE5546" w:rsidRPr="00533AE6" w:rsidRDefault="00FE5546" w:rsidP="005A15F8">
            <w:pPr>
              <w:snapToGrid w:val="0"/>
              <w:spacing w:line="360" w:lineRule="auto"/>
              <w:ind w:left="-420" w:firstLine="422"/>
              <w:jc w:val="center"/>
              <w:rPr>
                <w:rFonts w:asciiTheme="minorEastAsia" w:eastAsiaTheme="minorEastAsia" w:hAnsiTheme="minorEastAsia"/>
                <w:b/>
                <w:szCs w:val="21"/>
              </w:rPr>
            </w:pPr>
            <w:r w:rsidRPr="00533AE6">
              <w:rPr>
                <w:rFonts w:asciiTheme="minorEastAsia" w:eastAsiaTheme="minorEastAsia" w:hAnsiTheme="minorEastAsia" w:hint="eastAsia"/>
                <w:b/>
                <w:szCs w:val="21"/>
              </w:rPr>
              <w:t>申购份数</w:t>
            </w:r>
          </w:p>
        </w:tc>
      </w:tr>
      <w:tr w:rsidR="00533AE6" w:rsidRPr="00533AE6">
        <w:trPr>
          <w:jc w:val="center"/>
        </w:trPr>
        <w:tc>
          <w:tcPr>
            <w:tcW w:w="1581"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10,000元</w:t>
            </w:r>
          </w:p>
        </w:tc>
        <w:tc>
          <w:tcPr>
            <w:tcW w:w="1134"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1.5%</w:t>
            </w:r>
          </w:p>
        </w:tc>
        <w:tc>
          <w:tcPr>
            <w:tcW w:w="1418"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9,852.22元</w:t>
            </w:r>
          </w:p>
        </w:tc>
        <w:tc>
          <w:tcPr>
            <w:tcW w:w="166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147.78元</w:t>
            </w:r>
          </w:p>
        </w:tc>
        <w:tc>
          <w:tcPr>
            <w:tcW w:w="166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22"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9,852.22份</w:t>
            </w:r>
          </w:p>
        </w:tc>
      </w:tr>
      <w:tr w:rsidR="00533AE6" w:rsidRPr="00533AE6">
        <w:trPr>
          <w:jc w:val="center"/>
        </w:trPr>
        <w:tc>
          <w:tcPr>
            <w:tcW w:w="1581"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10,000,000元</w:t>
            </w:r>
          </w:p>
        </w:tc>
        <w:tc>
          <w:tcPr>
            <w:tcW w:w="1134"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18"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9,999,000元</w:t>
            </w:r>
          </w:p>
        </w:tc>
        <w:tc>
          <w:tcPr>
            <w:tcW w:w="166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66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22"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9,999,000份</w:t>
            </w:r>
          </w:p>
        </w:tc>
      </w:tr>
    </w:tbl>
    <w:p w:rsidR="00883A93" w:rsidRPr="00533AE6" w:rsidRDefault="00883A93"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（2）某投资人（通过基金管理人的直销中心申购本基金的特定投资群体）的申购情形：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某投资人（通过基金管理人的直销中心申购本基金的特定投资群体）投资5万元申购本基金，对应的申购费率为0.15%，假设申购当日基金份额净值为1.050元，则其可得到的申购份额为：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净申购金额=50000÷（1+0.15%）=49925.11元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申购费用=50000-49925.11=74.89元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申购份额=49925.11÷1.050=47547.72份</w:t>
      </w:r>
    </w:p>
    <w:p w:rsidR="00636861" w:rsidRPr="00533AE6" w:rsidRDefault="00636861"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申购费用以人民币元为单位，四舍五入，保留至小数点后二位；申购份数采取四舍五入的方法保留小数点后二位，由此误差产生的损失由基金财产承担，产生的收益归基金财产所有。</w:t>
      </w:r>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2</w:t>
      </w:r>
      <w:r w:rsidR="00157641"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基金赎回金额的计算</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本基金的净赎回金额为赎回总额扣减赎回费用，其中：</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lastRenderedPageBreak/>
        <w:t>赎回总金额=赎回份额×T日基金份额净值</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赎回费用=赎回总金额×赎回费率</w:t>
      </w:r>
    </w:p>
    <w:p w:rsidR="006604F7" w:rsidRPr="00533AE6" w:rsidRDefault="000240D9"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rPr>
        <w:t>净赎回金额=赎回总金额-赎回费用</w:t>
      </w:r>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533AE6" w:rsidRPr="00533AE6" w:rsidTr="00550FC0">
        <w:trPr>
          <w:jc w:val="center"/>
        </w:trPr>
        <w:tc>
          <w:tcPr>
            <w:tcW w:w="1243" w:type="dxa"/>
          </w:tcPr>
          <w:p w:rsidR="00FE5546" w:rsidRPr="00533AE6" w:rsidRDefault="00FE5546"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szCs w:val="21"/>
              </w:rPr>
              <w:t>赎回份额</w:t>
            </w:r>
          </w:p>
        </w:tc>
        <w:tc>
          <w:tcPr>
            <w:tcW w:w="1650" w:type="dxa"/>
          </w:tcPr>
          <w:p w:rsidR="00FE5546" w:rsidRPr="00533AE6" w:rsidRDefault="00FE5546"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szCs w:val="21"/>
              </w:rPr>
              <w:t>基金份额净值</w:t>
            </w:r>
          </w:p>
        </w:tc>
        <w:tc>
          <w:tcPr>
            <w:tcW w:w="1436" w:type="dxa"/>
          </w:tcPr>
          <w:p w:rsidR="00FE5546" w:rsidRPr="00533AE6" w:rsidRDefault="00FE5546"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szCs w:val="21"/>
              </w:rPr>
              <w:t>持有时间</w:t>
            </w:r>
          </w:p>
        </w:tc>
        <w:tc>
          <w:tcPr>
            <w:tcW w:w="1437" w:type="dxa"/>
          </w:tcPr>
          <w:p w:rsidR="00FE5546" w:rsidRPr="00533AE6" w:rsidRDefault="00FE5546"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szCs w:val="21"/>
              </w:rPr>
              <w:t>赎回费率</w:t>
            </w:r>
          </w:p>
        </w:tc>
        <w:tc>
          <w:tcPr>
            <w:tcW w:w="1409" w:type="dxa"/>
          </w:tcPr>
          <w:p w:rsidR="00FE5546" w:rsidRPr="00533AE6" w:rsidRDefault="00FE5546"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szCs w:val="21"/>
              </w:rPr>
              <w:t>赎回费</w:t>
            </w:r>
            <w:r w:rsidRPr="00533AE6">
              <w:rPr>
                <w:rFonts w:asciiTheme="minorEastAsia" w:eastAsiaTheme="minorEastAsia" w:hAnsiTheme="minorEastAsia" w:hint="eastAsia"/>
                <w:szCs w:val="21"/>
              </w:rPr>
              <w:t>用</w:t>
            </w:r>
          </w:p>
        </w:tc>
        <w:tc>
          <w:tcPr>
            <w:tcW w:w="1457" w:type="dxa"/>
          </w:tcPr>
          <w:p w:rsidR="00FE5546" w:rsidRPr="00533AE6" w:rsidRDefault="000A40A0"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净</w:t>
            </w:r>
            <w:r w:rsidR="00FE5546" w:rsidRPr="00533AE6">
              <w:rPr>
                <w:rFonts w:asciiTheme="minorEastAsia" w:eastAsiaTheme="minorEastAsia" w:hAnsiTheme="minorEastAsia"/>
                <w:szCs w:val="21"/>
              </w:rPr>
              <w:t>赎回</w:t>
            </w:r>
            <w:r w:rsidR="00FE5546" w:rsidRPr="00533AE6">
              <w:rPr>
                <w:rFonts w:asciiTheme="minorEastAsia" w:eastAsiaTheme="minorEastAsia" w:hAnsiTheme="minorEastAsia" w:hint="eastAsia"/>
                <w:szCs w:val="21"/>
              </w:rPr>
              <w:t>金</w:t>
            </w:r>
            <w:r w:rsidR="00FE5546" w:rsidRPr="00533AE6">
              <w:rPr>
                <w:rFonts w:asciiTheme="minorEastAsia" w:eastAsiaTheme="minorEastAsia" w:hAnsiTheme="minorEastAsia"/>
                <w:szCs w:val="21"/>
              </w:rPr>
              <w:t>额</w:t>
            </w:r>
          </w:p>
        </w:tc>
      </w:tr>
      <w:tr w:rsidR="00533AE6" w:rsidRPr="00533AE6">
        <w:trPr>
          <w:jc w:val="center"/>
        </w:trPr>
        <w:tc>
          <w:tcPr>
            <w:tcW w:w="1243"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w:t>
            </w:r>
          </w:p>
        </w:tc>
        <w:tc>
          <w:tcPr>
            <w:tcW w:w="165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3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100天</w:t>
            </w:r>
          </w:p>
        </w:tc>
        <w:tc>
          <w:tcPr>
            <w:tcW w:w="143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0.5%</w:t>
            </w:r>
          </w:p>
        </w:tc>
        <w:tc>
          <w:tcPr>
            <w:tcW w:w="1409"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50元</w:t>
            </w:r>
          </w:p>
        </w:tc>
        <w:tc>
          <w:tcPr>
            <w:tcW w:w="145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9,950元</w:t>
            </w:r>
          </w:p>
        </w:tc>
      </w:tr>
      <w:tr w:rsidR="00533AE6" w:rsidRPr="00533AE6">
        <w:trPr>
          <w:jc w:val="center"/>
        </w:trPr>
        <w:tc>
          <w:tcPr>
            <w:tcW w:w="1243"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w:t>
            </w:r>
          </w:p>
        </w:tc>
        <w:tc>
          <w:tcPr>
            <w:tcW w:w="165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3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500天</w:t>
            </w:r>
          </w:p>
        </w:tc>
        <w:tc>
          <w:tcPr>
            <w:tcW w:w="143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0.25%</w:t>
            </w:r>
          </w:p>
        </w:tc>
        <w:tc>
          <w:tcPr>
            <w:tcW w:w="1409"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25元</w:t>
            </w:r>
          </w:p>
        </w:tc>
        <w:tc>
          <w:tcPr>
            <w:tcW w:w="145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9,975元</w:t>
            </w:r>
          </w:p>
        </w:tc>
      </w:tr>
      <w:tr w:rsidR="00533AE6" w:rsidRPr="00533AE6">
        <w:trPr>
          <w:jc w:val="center"/>
        </w:trPr>
        <w:tc>
          <w:tcPr>
            <w:tcW w:w="1243"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w:t>
            </w:r>
          </w:p>
        </w:tc>
        <w:tc>
          <w:tcPr>
            <w:tcW w:w="1650"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1.000元</w:t>
            </w:r>
          </w:p>
        </w:tc>
        <w:tc>
          <w:tcPr>
            <w:tcW w:w="1436"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800天</w:t>
            </w:r>
          </w:p>
        </w:tc>
        <w:tc>
          <w:tcPr>
            <w:tcW w:w="143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w:t>
            </w:r>
          </w:p>
        </w:tc>
        <w:tc>
          <w:tcPr>
            <w:tcW w:w="1409"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0</w:t>
            </w:r>
          </w:p>
        </w:tc>
        <w:tc>
          <w:tcPr>
            <w:tcW w:w="1457" w:type="dxa"/>
            <w:vAlign w:val="center"/>
          </w:tcPr>
          <w:p w:rsidR="00896494" w:rsidRPr="00533AE6" w:rsidRDefault="00E06EC4">
            <w:pPr>
              <w:ind w:left="-420" w:firstLine="420"/>
              <w:jc w:val="center"/>
              <w:rPr>
                <w:rFonts w:asciiTheme="minorEastAsia" w:eastAsiaTheme="minorEastAsia" w:hAnsiTheme="minorEastAsia"/>
              </w:rPr>
            </w:pPr>
            <w:r w:rsidRPr="00533AE6">
              <w:rPr>
                <w:rFonts w:asciiTheme="minorEastAsia" w:eastAsiaTheme="minorEastAsia" w:hAnsiTheme="minorEastAsia"/>
              </w:rPr>
              <w:t>10,000元</w:t>
            </w:r>
          </w:p>
        </w:tc>
      </w:tr>
    </w:tbl>
    <w:p w:rsidR="00FE5546" w:rsidRPr="00533AE6" w:rsidRDefault="00717542"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szCs w:val="21"/>
        </w:rPr>
        <w:t>赎回总金额、赎回费用以人民币元为单位，四舍五入，保留小数点后两位，由此误差产生的损失由基金财产承担，产生的收益归基金财产所有。</w:t>
      </w:r>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szCs w:val="21"/>
        </w:rPr>
        <w:t>3</w:t>
      </w:r>
      <w:r w:rsidR="00157641" w:rsidRPr="00533AE6">
        <w:rPr>
          <w:rFonts w:asciiTheme="minorEastAsia" w:eastAsiaTheme="minorEastAsia" w:hAnsiTheme="minorEastAsia"/>
          <w:szCs w:val="21"/>
        </w:rPr>
        <w:t>、</w:t>
      </w:r>
      <w:r w:rsidR="00B8571F" w:rsidRPr="00533AE6">
        <w:rPr>
          <w:rFonts w:asciiTheme="minorEastAsia" w:eastAsiaTheme="minorEastAsia" w:hAnsiTheme="minorEastAsia"/>
          <w:szCs w:val="21"/>
        </w:rPr>
        <w:t>T日的基金份额净值在当天收市后计算，并在T+1日内公告。遇特殊情况，可以适当延迟计算或公告。其计算公式为：</w:t>
      </w:r>
    </w:p>
    <w:p w:rsidR="00896494" w:rsidRPr="00533AE6" w:rsidRDefault="00E06EC4">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szCs w:val="21"/>
        </w:rPr>
        <w:t>基金份额净值=计算日基金资产净值÷计算日基金总份额</w:t>
      </w:r>
    </w:p>
    <w:p w:rsidR="00FE5546" w:rsidRPr="00533AE6" w:rsidRDefault="00FE5546" w:rsidP="005A15F8">
      <w:pPr>
        <w:snapToGrid w:val="0"/>
        <w:spacing w:line="360" w:lineRule="auto"/>
        <w:ind w:left="-420" w:firstLineChars="202" w:firstLine="424"/>
        <w:rPr>
          <w:rFonts w:asciiTheme="minorEastAsia" w:eastAsiaTheme="minorEastAsia" w:hAnsiTheme="minorEastAsia"/>
          <w:szCs w:val="21"/>
        </w:rPr>
      </w:pPr>
      <w:r w:rsidRPr="00533AE6">
        <w:rPr>
          <w:rFonts w:asciiTheme="minorEastAsia" w:eastAsiaTheme="minorEastAsia" w:hAnsiTheme="minorEastAsia"/>
          <w:szCs w:val="21"/>
        </w:rPr>
        <w:t>4</w:t>
      </w:r>
      <w:r w:rsidR="00157641" w:rsidRPr="00533AE6">
        <w:rPr>
          <w:rFonts w:asciiTheme="minorEastAsia" w:eastAsiaTheme="minorEastAsia" w:hAnsiTheme="minorEastAsia"/>
          <w:szCs w:val="21"/>
        </w:rPr>
        <w:t>、</w:t>
      </w:r>
      <w:r w:rsidR="00B8571F" w:rsidRPr="00533AE6">
        <w:rPr>
          <w:rFonts w:asciiTheme="minorEastAsia" w:eastAsiaTheme="minorEastAsia" w:hAnsiTheme="minorEastAsia"/>
          <w:szCs w:val="21"/>
        </w:rPr>
        <w:t>本基金的申购费由申购人承担，不计入基金财产；本基金的赎回费由赎回人承担，在基金份额持有人赎回基金份额时收取，</w:t>
      </w:r>
      <w:r w:rsidR="00A70257" w:rsidRPr="00533AE6">
        <w:rPr>
          <w:rFonts w:asciiTheme="minorEastAsia" w:eastAsiaTheme="minorEastAsia" w:hAnsiTheme="minorEastAsia" w:hint="eastAsia"/>
          <w:szCs w:val="21"/>
        </w:rPr>
        <w:t>对持有期少于</w:t>
      </w:r>
      <w:r w:rsidR="00A70257" w:rsidRPr="00533AE6">
        <w:rPr>
          <w:rFonts w:asciiTheme="minorEastAsia" w:eastAsiaTheme="minorEastAsia" w:hAnsiTheme="minorEastAsia"/>
          <w:szCs w:val="21"/>
        </w:rPr>
        <w:t>7</w:t>
      </w:r>
      <w:r w:rsidR="00A70257" w:rsidRPr="00533AE6">
        <w:rPr>
          <w:rFonts w:asciiTheme="minorEastAsia" w:eastAsiaTheme="minorEastAsia" w:hAnsiTheme="minorEastAsia" w:hint="eastAsia"/>
          <w:szCs w:val="21"/>
        </w:rPr>
        <w:t>天（不含）的基金份额持有人所收取赎回费用全额计入基金财产；对持有期在</w:t>
      </w:r>
      <w:r w:rsidR="00A70257" w:rsidRPr="00533AE6">
        <w:rPr>
          <w:rFonts w:asciiTheme="minorEastAsia" w:eastAsiaTheme="minorEastAsia" w:hAnsiTheme="minorEastAsia"/>
          <w:szCs w:val="21"/>
        </w:rPr>
        <w:t>7</w:t>
      </w:r>
      <w:r w:rsidR="00A70257" w:rsidRPr="00533AE6">
        <w:rPr>
          <w:rFonts w:asciiTheme="minorEastAsia" w:eastAsiaTheme="minorEastAsia" w:hAnsiTheme="minorEastAsia" w:hint="eastAsia"/>
          <w:szCs w:val="21"/>
        </w:rPr>
        <w:t>天以上（含）的基金份额持有人</w:t>
      </w:r>
      <w:r w:rsidR="008B697E" w:rsidRPr="00533AE6">
        <w:rPr>
          <w:rFonts w:asciiTheme="minorEastAsia" w:eastAsiaTheme="minorEastAsia" w:hAnsiTheme="minorEastAsia" w:hint="eastAsia"/>
          <w:szCs w:val="21"/>
        </w:rPr>
        <w:t>所收取</w:t>
      </w:r>
      <w:r w:rsidR="00B8571F" w:rsidRPr="00533AE6">
        <w:rPr>
          <w:rFonts w:asciiTheme="minorEastAsia" w:eastAsiaTheme="minorEastAsia" w:hAnsiTheme="minorEastAsia"/>
          <w:szCs w:val="21"/>
        </w:rPr>
        <w:t>赎回费总额的25%归基金财产，其余用于支付注册登记费和其他必要的手续费。</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szCs w:val="21"/>
        </w:rPr>
      </w:pPr>
      <w:bookmarkStart w:id="47" w:name="_Toc46933226"/>
      <w:r w:rsidRPr="00533AE6">
        <w:rPr>
          <w:rFonts w:asciiTheme="minorEastAsia" w:eastAsiaTheme="minorEastAsia" w:hAnsiTheme="minorEastAsia" w:hint="eastAsia"/>
          <w:b w:val="0"/>
        </w:rPr>
        <w:t>（</w:t>
      </w:r>
      <w:r w:rsidR="00FE5546" w:rsidRPr="00533AE6">
        <w:rPr>
          <w:rFonts w:asciiTheme="minorEastAsia" w:eastAsiaTheme="minorEastAsia" w:hAnsiTheme="minorEastAsia" w:hint="eastAsia"/>
          <w:b w:val="0"/>
        </w:rPr>
        <w:t>九</w:t>
      </w:r>
      <w:r w:rsidRPr="00533AE6">
        <w:rPr>
          <w:rFonts w:asciiTheme="minorEastAsia" w:eastAsiaTheme="minorEastAsia" w:hAnsiTheme="minorEastAsia" w:hint="eastAsia"/>
          <w:b w:val="0"/>
        </w:rPr>
        <w:t>）申购、赎回的注册登记</w:t>
      </w:r>
      <w:bookmarkEnd w:id="47"/>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1、投资者T日申购基金成功后，正常情况下，基金注册登记机构在T＋1日为投资者增加权益并办理注册登记手续，投资者自T＋2日起有权赎回该部分基金份额。</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2、投资者T日赎回基金成功后，正常情况下，基金注册登记机构在T＋1日为投资者扣除权益并办理相应的注册登记手续。</w:t>
      </w:r>
    </w:p>
    <w:p w:rsidR="00A10B2C" w:rsidRPr="00533AE6" w:rsidRDefault="00A10B2C"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3、基金管理人可在法律法规允许的范围内，对上述注册登记办理时间进行调整，并最迟于开始实施前3个工作日在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上公告。</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48" w:name="_Toc46933227"/>
      <w:r w:rsidRPr="00533AE6">
        <w:rPr>
          <w:rFonts w:asciiTheme="minorEastAsia" w:eastAsiaTheme="minorEastAsia" w:hAnsiTheme="minorEastAsia" w:hint="eastAsia"/>
          <w:b w:val="0"/>
        </w:rPr>
        <w:t>（</w:t>
      </w:r>
      <w:r w:rsidR="00FE5546" w:rsidRPr="00533AE6">
        <w:rPr>
          <w:rFonts w:asciiTheme="minorEastAsia" w:eastAsiaTheme="minorEastAsia" w:hAnsiTheme="minorEastAsia" w:hint="eastAsia"/>
          <w:b w:val="0"/>
        </w:rPr>
        <w:t>十</w:t>
      </w:r>
      <w:r w:rsidRPr="00533AE6">
        <w:rPr>
          <w:rFonts w:asciiTheme="minorEastAsia" w:eastAsiaTheme="minorEastAsia" w:hAnsiTheme="minorEastAsia" w:hint="eastAsia"/>
          <w:b w:val="0"/>
        </w:rPr>
        <w:t>）巨额赎回的认定及处理方式</w:t>
      </w:r>
      <w:bookmarkEnd w:id="48"/>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1、巨额赎回的认定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单个开放日中，本基金的基金份额净赎回申请（赎回申请总份额扣除申购总份额后的余额）与净转出申请（转出申请总份额扣除转入申请总份额后的余额）之和超过上一日基金总份额的10%，为巨额赎回。</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2、巨额赎回的处理方式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出现巨额赎回时，基金管理人可以根据本基金当时的资产组合状况决定接受全额赎回或部</w:t>
      </w:r>
      <w:r w:rsidRPr="00533AE6">
        <w:rPr>
          <w:rFonts w:asciiTheme="minorEastAsia" w:eastAsiaTheme="minorEastAsia" w:hAnsiTheme="minorEastAsia"/>
        </w:rPr>
        <w:lastRenderedPageBreak/>
        <w:t>分延期赎回。</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（1）接受全额赎回：当基金管理人认为有能力兑付投资者的全部赎回申请时，按正常赎回程序执行。</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若本基金发生巨额赎回且单个基金份额持有人的赎回申请超过上一开放日基金总份额</w:t>
      </w:r>
      <w:r w:rsidRPr="00533AE6">
        <w:rPr>
          <w:rFonts w:asciiTheme="minorEastAsia" w:eastAsiaTheme="minorEastAsia" w:hAnsiTheme="minorEastAsia"/>
        </w:rPr>
        <w:t>10%</w:t>
      </w:r>
      <w:r w:rsidRPr="00533AE6">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（3）当发生巨额赎回并延期办理时，基金管理人应当通过邮寄、传真或招募说明书规定的其他方式，在3个工作日内通知基金份额持有人，说明有关处理方法，</w:t>
      </w:r>
      <w:r w:rsidR="00BD6ED1" w:rsidRPr="00533AE6">
        <w:rPr>
          <w:rFonts w:asciiTheme="minorEastAsia" w:eastAsiaTheme="minorEastAsia" w:hAnsiTheme="minorEastAsia" w:hint="eastAsia"/>
          <w:kern w:val="0"/>
          <w:szCs w:val="21"/>
        </w:rPr>
        <w:t>并在2日内在指定媒介予以上公告</w:t>
      </w:r>
      <w:r w:rsidRPr="00533AE6">
        <w:rPr>
          <w:rFonts w:asciiTheme="minorEastAsia" w:eastAsiaTheme="minorEastAsia" w:hAnsiTheme="minorEastAsia"/>
        </w:rPr>
        <w:t>。</w:t>
      </w:r>
    </w:p>
    <w:p w:rsidR="008A0E09" w:rsidRPr="00533AE6" w:rsidRDefault="00A10B2C"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（4）暂停接受和延缓支付：本基金连续2个开放日以上发生巨额赎回，如基金管理人认为有必要，可暂停接受赎回申请；已经接受的赎回申请可以延缓支付赎回款项，但延缓期限不得超过20个工作日，并应当在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上公告。</w:t>
      </w:r>
    </w:p>
    <w:p w:rsidR="008A0E09" w:rsidRPr="00533AE6" w:rsidRDefault="00266A27" w:rsidP="005A15F8">
      <w:pPr>
        <w:pStyle w:val="20"/>
        <w:snapToGrid w:val="0"/>
        <w:spacing w:beforeLines="0" w:afterLines="0" w:line="360" w:lineRule="auto"/>
        <w:ind w:left="-420" w:firstLine="560"/>
        <w:rPr>
          <w:rFonts w:asciiTheme="minorEastAsia" w:eastAsiaTheme="minorEastAsia" w:hAnsiTheme="minorEastAsia"/>
          <w:b w:val="0"/>
          <w:kern w:val="0"/>
          <w:szCs w:val="21"/>
        </w:rPr>
      </w:pPr>
      <w:bookmarkStart w:id="49" w:name="_Toc46933228"/>
      <w:r w:rsidRPr="00533AE6">
        <w:rPr>
          <w:rFonts w:asciiTheme="minorEastAsia" w:eastAsiaTheme="minorEastAsia" w:hAnsiTheme="minorEastAsia" w:hint="eastAsia"/>
          <w:b w:val="0"/>
        </w:rPr>
        <w:t>（</w:t>
      </w:r>
      <w:r w:rsidR="00FE5546" w:rsidRPr="00533AE6">
        <w:rPr>
          <w:rFonts w:asciiTheme="minorEastAsia" w:eastAsiaTheme="minorEastAsia" w:hAnsiTheme="minorEastAsia" w:hint="eastAsia"/>
          <w:b w:val="0"/>
        </w:rPr>
        <w:t>十一</w:t>
      </w:r>
      <w:r w:rsidRPr="00533AE6">
        <w:rPr>
          <w:rFonts w:asciiTheme="minorEastAsia" w:eastAsiaTheme="minorEastAsia" w:hAnsiTheme="minorEastAsia" w:hint="eastAsia"/>
          <w:b w:val="0"/>
        </w:rPr>
        <w:t>）</w:t>
      </w:r>
      <w:r w:rsidR="008A0E09" w:rsidRPr="00533AE6">
        <w:rPr>
          <w:rFonts w:asciiTheme="minorEastAsia" w:eastAsiaTheme="minorEastAsia" w:hAnsiTheme="minorEastAsia" w:hint="eastAsia"/>
          <w:b w:val="0"/>
          <w:kern w:val="0"/>
          <w:szCs w:val="21"/>
        </w:rPr>
        <w:t>拒绝或暂停申购、暂停赎回或延缓支付赎回款项的情形及处理</w:t>
      </w:r>
      <w:bookmarkEnd w:id="49"/>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1、发生下列情况时，基金管理人可拒绝或暂停接受基金投资者的申购申请：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（1）因不可抗力导致基金管理人无法受理投资者的申购申请；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（2）证券交易场所交易时间临时停市，导致基金管理人无法计算当日基金资产净值；</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（3）发生基金合同规定的暂停基金资产估值情况；</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（4）基金财产规模过大，使基金管理人无法找到合适的投资品种，或其他可能对基金业绩产生负面影响，从而损害现有基金份额持有人的利益的情形；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（5）基金管理人认为会有损于现有基金份额持有人利益的某笔或数笔申购；</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6）</w:t>
      </w:r>
      <w:r w:rsidRPr="00533AE6">
        <w:rPr>
          <w:rFonts w:asciiTheme="minorEastAsia" w:eastAsiaTheme="minorEastAsia" w:hAnsiTheme="minorEastAsia" w:hint="eastAsia"/>
        </w:rPr>
        <w:t>基金管理人接受某笔或者某些申购申请有可能导致单一投资者持有基金份额的比例达到或者超过</w:t>
      </w:r>
      <w:r w:rsidRPr="00533AE6">
        <w:rPr>
          <w:rFonts w:asciiTheme="minorEastAsia" w:eastAsiaTheme="minorEastAsia" w:hAnsiTheme="minorEastAsia"/>
        </w:rPr>
        <w:t>50%，或者变相规避50%集中度的情形时。</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7）当一笔新的</w:t>
      </w:r>
      <w:r w:rsidRPr="00533AE6">
        <w:rPr>
          <w:rFonts w:asciiTheme="minorEastAsia" w:eastAsiaTheme="minorEastAsia" w:hAnsiTheme="minorEastAsia" w:hint="eastAsia"/>
        </w:rPr>
        <w:t>申购申请被确认成功，使本基金总规模超过基金管理人规定的本基金总规模上限时；或使本基金单日申购金额或</w:t>
      </w:r>
      <w:r w:rsidRPr="00533AE6">
        <w:rPr>
          <w:rFonts w:asciiTheme="minorEastAsia" w:eastAsiaTheme="minorEastAsia" w:hAnsiTheme="minorEastAsia"/>
        </w:rPr>
        <w:t>净申购比例</w:t>
      </w:r>
      <w:r w:rsidRPr="00533AE6">
        <w:rPr>
          <w:rFonts w:asciiTheme="minorEastAsia" w:eastAsiaTheme="minorEastAsia" w:hAnsiTheme="minorEastAsia" w:hint="eastAsia"/>
        </w:rPr>
        <w:t>超过基金管理人规定的当日申购金额或</w:t>
      </w:r>
      <w:r w:rsidRPr="00533AE6">
        <w:rPr>
          <w:rFonts w:asciiTheme="minorEastAsia" w:eastAsiaTheme="minorEastAsia" w:hAnsiTheme="minorEastAsia"/>
        </w:rPr>
        <w:t>净申</w:t>
      </w:r>
      <w:r w:rsidRPr="00533AE6">
        <w:rPr>
          <w:rFonts w:asciiTheme="minorEastAsia" w:eastAsiaTheme="minorEastAsia" w:hAnsiTheme="minorEastAsia"/>
        </w:rPr>
        <w:lastRenderedPageBreak/>
        <w:t>购比例</w:t>
      </w:r>
      <w:r w:rsidRPr="00533AE6">
        <w:rPr>
          <w:rFonts w:asciiTheme="minorEastAsia" w:eastAsiaTheme="minorEastAsia" w:hAnsiTheme="minorEastAsia" w:hint="eastAsia"/>
        </w:rPr>
        <w:t>上限时；或该投资人累计持有的份额超过单个投资人累计持有的份额上限时；或该投资人当日申购金额超过单个投资人单日或</w:t>
      </w:r>
      <w:r w:rsidRPr="00533AE6">
        <w:rPr>
          <w:rFonts w:asciiTheme="minorEastAsia" w:eastAsiaTheme="minorEastAsia" w:hAnsiTheme="minorEastAsia"/>
        </w:rPr>
        <w:t>单笔</w:t>
      </w:r>
      <w:r w:rsidRPr="00533AE6">
        <w:rPr>
          <w:rFonts w:asciiTheme="minorEastAsia" w:eastAsiaTheme="minorEastAsia" w:hAnsiTheme="minorEastAsia" w:hint="eastAsia"/>
        </w:rPr>
        <w:t>申购金额上限时。</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8）</w:t>
      </w:r>
      <w:r w:rsidRPr="00533AE6">
        <w:rPr>
          <w:rFonts w:asciiTheme="minorEastAsia" w:eastAsiaTheme="minorEastAsia" w:hAnsiTheme="minorEastAsia" w:hint="eastAsia"/>
        </w:rPr>
        <w:t>当前一估值日基金资产净值</w:t>
      </w:r>
      <w:r w:rsidRPr="00533AE6">
        <w:rPr>
          <w:rFonts w:asciiTheme="minorEastAsia" w:eastAsiaTheme="minorEastAsia" w:hAnsiTheme="minorEastAsia"/>
        </w:rPr>
        <w:t>50%</w:t>
      </w:r>
      <w:r w:rsidRPr="00533AE6">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896494" w:rsidRPr="00533AE6" w:rsidRDefault="00522FF3">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9）</w:t>
      </w:r>
      <w:r w:rsidR="00E06EC4" w:rsidRPr="00533AE6">
        <w:rPr>
          <w:rFonts w:asciiTheme="minorEastAsia" w:eastAsiaTheme="minorEastAsia" w:hAnsiTheme="minorEastAsia"/>
        </w:rPr>
        <w:t>法律法规规定或经中国证监会认定的其他情形。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基金管理人决定拒绝或暂停接受某些投资者的申购申请时，申购款项将退回投资者账户。发生上述</w:t>
      </w:r>
      <w:r w:rsidR="00522FF3" w:rsidRPr="00533AE6">
        <w:rPr>
          <w:rFonts w:asciiTheme="minorEastAsia" w:eastAsiaTheme="minorEastAsia" w:hAnsiTheme="minorEastAsia" w:hint="eastAsia"/>
          <w:kern w:val="0"/>
          <w:szCs w:val="18"/>
        </w:rPr>
        <w:t>（</w:t>
      </w:r>
      <w:r w:rsidR="00522FF3" w:rsidRPr="00533AE6">
        <w:rPr>
          <w:rFonts w:asciiTheme="minorEastAsia" w:eastAsiaTheme="minorEastAsia" w:hAnsiTheme="minorEastAsia"/>
          <w:kern w:val="0"/>
          <w:szCs w:val="18"/>
        </w:rPr>
        <w:t>1</w:t>
      </w:r>
      <w:r w:rsidR="00522FF3" w:rsidRPr="00533AE6">
        <w:rPr>
          <w:rFonts w:asciiTheme="minorEastAsia" w:eastAsiaTheme="minorEastAsia" w:hAnsiTheme="minorEastAsia" w:hint="eastAsia"/>
          <w:kern w:val="0"/>
          <w:szCs w:val="18"/>
        </w:rPr>
        <w:t>）、</w:t>
      </w:r>
      <w:r w:rsidR="00522FF3" w:rsidRPr="00533AE6">
        <w:rPr>
          <w:rFonts w:asciiTheme="minorEastAsia" w:eastAsiaTheme="minorEastAsia" w:hAnsiTheme="minorEastAsia"/>
          <w:kern w:val="0"/>
          <w:szCs w:val="18"/>
        </w:rPr>
        <w:t>（2）、（3）、</w:t>
      </w:r>
      <w:r w:rsidR="00522FF3" w:rsidRPr="00533AE6">
        <w:rPr>
          <w:rFonts w:asciiTheme="minorEastAsia" w:eastAsiaTheme="minorEastAsia" w:hAnsiTheme="minorEastAsia" w:hint="eastAsia"/>
          <w:kern w:val="0"/>
          <w:szCs w:val="18"/>
        </w:rPr>
        <w:t>（</w:t>
      </w:r>
      <w:r w:rsidR="00522FF3" w:rsidRPr="00533AE6">
        <w:rPr>
          <w:rFonts w:asciiTheme="minorEastAsia" w:eastAsiaTheme="minorEastAsia" w:hAnsiTheme="minorEastAsia"/>
          <w:kern w:val="0"/>
          <w:szCs w:val="18"/>
        </w:rPr>
        <w:t>4</w:t>
      </w:r>
      <w:r w:rsidR="00522FF3" w:rsidRPr="00533AE6">
        <w:rPr>
          <w:rFonts w:asciiTheme="minorEastAsia" w:eastAsiaTheme="minorEastAsia" w:hAnsiTheme="minorEastAsia" w:hint="eastAsia"/>
          <w:kern w:val="0"/>
          <w:szCs w:val="18"/>
        </w:rPr>
        <w:t>）、</w:t>
      </w:r>
      <w:r w:rsidR="00522FF3" w:rsidRPr="00533AE6">
        <w:rPr>
          <w:rFonts w:asciiTheme="minorEastAsia" w:eastAsiaTheme="minorEastAsia" w:hAnsiTheme="minorEastAsia"/>
          <w:kern w:val="0"/>
          <w:szCs w:val="18"/>
        </w:rPr>
        <w:t>（7）、（8）、</w:t>
      </w:r>
      <w:r w:rsidR="00522FF3" w:rsidRPr="00533AE6">
        <w:rPr>
          <w:rFonts w:asciiTheme="minorEastAsia" w:eastAsiaTheme="minorEastAsia" w:hAnsiTheme="minorEastAsia" w:hint="eastAsia"/>
          <w:kern w:val="0"/>
          <w:szCs w:val="18"/>
        </w:rPr>
        <w:t>（</w:t>
      </w:r>
      <w:r w:rsidR="00522FF3" w:rsidRPr="00533AE6">
        <w:rPr>
          <w:rFonts w:asciiTheme="minorEastAsia" w:eastAsiaTheme="minorEastAsia" w:hAnsiTheme="minorEastAsia"/>
          <w:kern w:val="0"/>
          <w:szCs w:val="18"/>
        </w:rPr>
        <w:t>9）</w:t>
      </w:r>
      <w:r w:rsidRPr="00533AE6">
        <w:rPr>
          <w:rFonts w:asciiTheme="minorEastAsia" w:eastAsiaTheme="minorEastAsia" w:hAnsiTheme="minorEastAsia"/>
        </w:rPr>
        <w:t>项情形，基金管理人决定暂停接受申购申请时，应当依法公告。在暂停申购的情形消除时，基金管理人应及时恢复申购业务的办理并依法公告。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基金管理人拒绝或暂停接受申购的方式包括：</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（1）拒绝接受、暂停接受某笔或某数笔申购申请；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（2）拒绝接受、暂停接受某个或某数个工作日的全部申购申请；</w:t>
      </w:r>
    </w:p>
    <w:p w:rsidR="00763C90" w:rsidRPr="00533AE6" w:rsidRDefault="00A10B2C"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（3）按比例拒绝接受、暂停接受某个或某数个工作日的申购申请。</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2、发生下列情形时，基金管理人可暂停接受基金投资者的赎回申请或延缓支付赎回款项：</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（1）因不可抗力导致基金管理人无法支付赎回款项；</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（2）证券交易场所交易时间临时停市，导致基金管理人无法计算当日基金资产净值；</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（3）基金连续发生巨额赎回，根据基金合同规定，可以暂停接受赎回申请的情况；</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（4）发生基金合同规定的暂停基金资产估值的情况；</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5）</w:t>
      </w:r>
      <w:r w:rsidRPr="00533AE6">
        <w:rPr>
          <w:rFonts w:asciiTheme="minorEastAsia" w:eastAsiaTheme="minorEastAsia" w:hAnsiTheme="minorEastAsia" w:hint="eastAsia"/>
        </w:rPr>
        <w:t>当前一估值日基金资产净值</w:t>
      </w:r>
      <w:r w:rsidRPr="00533AE6">
        <w:rPr>
          <w:rFonts w:asciiTheme="minorEastAsia" w:eastAsiaTheme="minorEastAsia" w:hAnsiTheme="minorEastAsia"/>
        </w:rPr>
        <w:t>50%</w:t>
      </w:r>
      <w:r w:rsidRPr="00533AE6">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896494" w:rsidRPr="00533AE6" w:rsidRDefault="003C6D3F" w:rsidP="00D959B5">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00D959B5" w:rsidRPr="00533AE6">
        <w:rPr>
          <w:rFonts w:asciiTheme="minorEastAsia" w:eastAsiaTheme="minorEastAsia" w:hAnsiTheme="minorEastAsia"/>
        </w:rPr>
        <w:t>6</w:t>
      </w:r>
      <w:r w:rsidRPr="00533AE6">
        <w:rPr>
          <w:rFonts w:asciiTheme="minorEastAsia" w:eastAsiaTheme="minorEastAsia" w:hAnsiTheme="minorEastAsia"/>
        </w:rPr>
        <w:t>）</w:t>
      </w:r>
      <w:r w:rsidR="00E06EC4" w:rsidRPr="00533AE6">
        <w:rPr>
          <w:rFonts w:asciiTheme="minorEastAsia" w:eastAsiaTheme="minorEastAsia" w:hAnsiTheme="minorEastAsia"/>
        </w:rPr>
        <w:t>法律法规规定或经中国证监会认定的其他情形。</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发生上述情形之一的，基金管理人应当在当日向中国证监会备案，并及时公告。已接受的赎回申请，基金管理人应当足额支付；如暂时不能足额支付，应当按单个赎回申请人已被接受的赎回申请量占已接受的赎回申请总量的比例分配给赎回申请人，其余部分在后续工作日予以支付。</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在暂停赎回的情况消除时，基金管理人应及时恢复赎回业务的办理并及时公告。</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3、暂停基金的申购、赎回，基金管理人应按规定公告。</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4、暂停申购或赎回期间结束，基金重新开放时，基金管理人应依法公告。</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（1）如果发生暂停的时间为一天，基金管理人将于重新开放日，在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刊登基金重新开放申购或赎回的公告，并公告最近一个工作日的基金份额净值。</w:t>
      </w:r>
    </w:p>
    <w:p w:rsidR="00896494" w:rsidRPr="00533AE6" w:rsidRDefault="00E06EC4">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（2）如果发生暂停的时间超过一天但少于两周，暂停结束，基金重新开放申购或赎回时，</w:t>
      </w:r>
      <w:r w:rsidRPr="00533AE6">
        <w:rPr>
          <w:rFonts w:asciiTheme="minorEastAsia" w:eastAsiaTheme="minorEastAsia" w:hAnsiTheme="minorEastAsia"/>
        </w:rPr>
        <w:lastRenderedPageBreak/>
        <w:t>基金管理人应按照《信息披露办法》或其他相关规定于重新开放申购或赎回日前在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刊登基金重新开放申购或赎回的公告，并在重新开放申购或赎回日公告最近一个工作日的基金份额净值。</w:t>
      </w:r>
    </w:p>
    <w:p w:rsidR="00A10B2C" w:rsidRPr="00533AE6" w:rsidRDefault="00A10B2C" w:rsidP="005A15F8">
      <w:pPr>
        <w:snapToGrid w:val="0"/>
        <w:spacing w:line="360" w:lineRule="auto"/>
        <w:ind w:left="-420" w:firstLine="420"/>
        <w:rPr>
          <w:rFonts w:asciiTheme="minorEastAsia" w:eastAsiaTheme="minorEastAsia" w:hAnsiTheme="minorEastAsia"/>
          <w:sz w:val="24"/>
        </w:rPr>
      </w:pPr>
      <w:r w:rsidRPr="00533AE6">
        <w:rPr>
          <w:rFonts w:asciiTheme="minorEastAsia" w:eastAsiaTheme="minorEastAsia" w:hAnsiTheme="minorEastAsia"/>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按照《信息披露办法》或其他相关规定提前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刊登基金重新开放申购或赎回的公告，并在重新开放申购或赎回日公告最近一个工作日的基金份额净值。</w:t>
      </w:r>
    </w:p>
    <w:p w:rsidR="00266A27" w:rsidRPr="00533AE6" w:rsidRDefault="006E02E8" w:rsidP="005A15F8">
      <w:pPr>
        <w:pStyle w:val="1"/>
        <w:pageBreakBefore/>
        <w:widowControl/>
        <w:snapToGrid w:val="0"/>
        <w:spacing w:beforeLines="0" w:afterLines="0" w:line="360" w:lineRule="auto"/>
        <w:ind w:left="-420" w:firstLineChars="0" w:firstLine="0"/>
        <w:rPr>
          <w:rFonts w:asciiTheme="minorEastAsia" w:eastAsiaTheme="minorEastAsia" w:hAnsiTheme="minorEastAsia"/>
        </w:rPr>
      </w:pPr>
      <w:bookmarkStart w:id="50" w:name="_Toc236639827"/>
      <w:bookmarkStart w:id="51" w:name="_Toc236640272"/>
      <w:bookmarkStart w:id="52" w:name="_Toc236640728"/>
      <w:bookmarkStart w:id="53" w:name="_Toc236641051"/>
      <w:bookmarkStart w:id="54" w:name="_Toc91334992"/>
      <w:bookmarkStart w:id="55" w:name="_Toc46933229"/>
      <w:bookmarkEnd w:id="50"/>
      <w:bookmarkEnd w:id="51"/>
      <w:bookmarkEnd w:id="52"/>
      <w:bookmarkEnd w:id="53"/>
      <w:r w:rsidRPr="00533AE6">
        <w:rPr>
          <w:rFonts w:asciiTheme="minorEastAsia" w:eastAsiaTheme="minorEastAsia" w:hAnsiTheme="minorEastAsia" w:hint="eastAsia"/>
        </w:rPr>
        <w:lastRenderedPageBreak/>
        <w:t>九、</w:t>
      </w:r>
      <w:r w:rsidR="00266A27" w:rsidRPr="00533AE6">
        <w:rPr>
          <w:rFonts w:asciiTheme="minorEastAsia" w:eastAsiaTheme="minorEastAsia" w:hAnsiTheme="minorEastAsia" w:hint="eastAsia"/>
        </w:rPr>
        <w:t>基金转换</w:t>
      </w:r>
      <w:bookmarkEnd w:id="54"/>
      <w:bookmarkEnd w:id="55"/>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56" w:name="_Toc198959616"/>
      <w:bookmarkStart w:id="57" w:name="_Toc229996707"/>
      <w:bookmarkStart w:id="58" w:name="_Toc245693553"/>
      <w:bookmarkStart w:id="59" w:name="_Toc258398101"/>
      <w:bookmarkStart w:id="60" w:name="_Toc264906008"/>
      <w:bookmarkStart w:id="61" w:name="_Toc294024325"/>
      <w:bookmarkStart w:id="62" w:name="_Toc46933230"/>
      <w:r w:rsidRPr="00533AE6">
        <w:rPr>
          <w:rFonts w:asciiTheme="minorEastAsia" w:eastAsiaTheme="minorEastAsia" w:hAnsiTheme="minorEastAsia" w:hint="eastAsia"/>
        </w:rPr>
        <w:t>（一）</w:t>
      </w:r>
      <w:r w:rsidRPr="00533AE6">
        <w:rPr>
          <w:rFonts w:asciiTheme="minorEastAsia" w:eastAsiaTheme="minorEastAsia" w:hAnsiTheme="minorEastAsia"/>
        </w:rPr>
        <w:t>基金转换开始日及</w:t>
      </w:r>
      <w:r w:rsidRPr="00533AE6">
        <w:rPr>
          <w:rFonts w:asciiTheme="minorEastAsia" w:eastAsiaTheme="minorEastAsia" w:hAnsiTheme="minorEastAsia" w:hint="eastAsia"/>
        </w:rPr>
        <w:t>时间</w:t>
      </w:r>
      <w:bookmarkEnd w:id="56"/>
      <w:bookmarkEnd w:id="57"/>
      <w:bookmarkEnd w:id="58"/>
      <w:bookmarkEnd w:id="59"/>
      <w:bookmarkEnd w:id="60"/>
      <w:bookmarkEnd w:id="61"/>
      <w:bookmarkEnd w:id="62"/>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本基金已于2011年3月28日开始办理转换业务，具体实施办法参见相关公告。</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本基金转换业务的开放日为上海证券交易所和深圳证券交易所同时开放交易的工作日（基金管理人根据法律法规或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公告。</w:t>
      </w:r>
    </w:p>
    <w:p w:rsidR="007F21A0" w:rsidRPr="00533AE6" w:rsidRDefault="003625B5" w:rsidP="005A15F8">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投资者需在转出基金和转入基金均有交易的当日，方可办理基金转换业务。</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63" w:name="_Toc198959617"/>
      <w:bookmarkStart w:id="64" w:name="_Toc229996708"/>
      <w:bookmarkStart w:id="65" w:name="_Toc245693554"/>
      <w:bookmarkStart w:id="66" w:name="_Toc258398102"/>
      <w:bookmarkStart w:id="67" w:name="_Toc264906009"/>
      <w:bookmarkStart w:id="68" w:name="_Toc294024326"/>
      <w:bookmarkStart w:id="69" w:name="_Toc46933231"/>
      <w:r w:rsidRPr="00533AE6">
        <w:rPr>
          <w:rFonts w:asciiTheme="minorEastAsia" w:eastAsiaTheme="minorEastAsia" w:hAnsiTheme="minorEastAsia" w:hint="eastAsia"/>
        </w:rPr>
        <w:t>（二）</w:t>
      </w:r>
      <w:r w:rsidRPr="00533AE6">
        <w:rPr>
          <w:rFonts w:asciiTheme="minorEastAsia" w:eastAsiaTheme="minorEastAsia" w:hAnsiTheme="minorEastAsia"/>
        </w:rPr>
        <w:t>基金转换的原则</w:t>
      </w:r>
      <w:bookmarkEnd w:id="63"/>
      <w:bookmarkEnd w:id="64"/>
      <w:bookmarkEnd w:id="65"/>
      <w:bookmarkEnd w:id="66"/>
      <w:bookmarkEnd w:id="67"/>
      <w:bookmarkEnd w:id="68"/>
      <w:bookmarkEnd w:id="69"/>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1、基金转换以份额为单位进行申请。投资者可以发起多次基金转换业务，基金转换费用按每笔申请单独计算。转换费用以人民币元为单位，计算结果按照四舍五入方法，保留小数点后两位。</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2、当日的转换申请可以在当日交易结束时间前撤销，在当日的交易时间结束后不得撤销。</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3、基金转换采取未知价法，即基金的转换价格以转换申请受理当日各转出、转入基金的份额净值为基准进行计算。</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4、基金转换只能在同一销售机构进行。转换的两只基金必须都是该销售机构销售的同一基金管理人管理的、在同一注册登记机构注册登记的基金。</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5、投资者办理基金转换业务时，转出方的基金必须处于可赎回状态，转入方的基金必须处于可申购状态。</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6、转换业务遵循“先进先出”的业务规则，即份额注册日期在前的先转换出，份额注册日期在后的后转换出，如果转换申请当日，同时有赎回申请的情况下，则遵循先赎回后转换的处理原则。</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7、基金份额在转换后，转入的基金份额的持有期将自转入的基金份额被确认之日起重新开始计算。</w:t>
      </w:r>
    </w:p>
    <w:p w:rsidR="007F21A0" w:rsidRPr="00533AE6" w:rsidRDefault="003625B5" w:rsidP="005A15F8">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基金管理人可在不损害基金份额持有人权益的情况下更改上述原则，但应在调整生效前在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上予以公告。</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70" w:name="_Toc198959618"/>
      <w:bookmarkStart w:id="71" w:name="_Toc229996709"/>
      <w:bookmarkStart w:id="72" w:name="_Toc245693555"/>
      <w:bookmarkStart w:id="73" w:name="_Toc258398103"/>
      <w:bookmarkStart w:id="74" w:name="_Toc264906010"/>
      <w:bookmarkStart w:id="75" w:name="_Toc294024327"/>
      <w:bookmarkStart w:id="76" w:name="_Toc46933232"/>
      <w:r w:rsidRPr="00533AE6">
        <w:rPr>
          <w:rFonts w:asciiTheme="minorEastAsia" w:eastAsiaTheme="minorEastAsia" w:hAnsiTheme="minorEastAsia" w:hint="eastAsia"/>
        </w:rPr>
        <w:t>（三）基金转换的程序</w:t>
      </w:r>
      <w:bookmarkEnd w:id="70"/>
      <w:bookmarkEnd w:id="71"/>
      <w:bookmarkEnd w:id="72"/>
      <w:bookmarkEnd w:id="73"/>
      <w:bookmarkEnd w:id="74"/>
      <w:bookmarkEnd w:id="75"/>
      <w:bookmarkEnd w:id="76"/>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1、基金转换的申请方式</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基金投资者必须根据基金管理人和基金销售机构规定的手续，在开放日的业务办理时间提出转换的申请。</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lastRenderedPageBreak/>
        <w:t>提交基金转换申请时，账户中必须有足够可用的转出基金份额余额。</w:t>
      </w:r>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2、基金转换申请的确认</w:t>
      </w:r>
    </w:p>
    <w:p w:rsidR="007F21A0" w:rsidRPr="00533AE6" w:rsidRDefault="003625B5" w:rsidP="005A15F8">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77" w:name="_Toc198959619"/>
      <w:bookmarkStart w:id="78" w:name="_Toc229996710"/>
      <w:bookmarkStart w:id="79" w:name="_Toc245693556"/>
      <w:bookmarkStart w:id="80" w:name="_Toc258398104"/>
      <w:bookmarkStart w:id="81" w:name="_Toc264906011"/>
      <w:bookmarkStart w:id="82" w:name="_Toc294024328"/>
      <w:bookmarkStart w:id="83" w:name="_Toc46933233"/>
      <w:r w:rsidRPr="00533AE6">
        <w:rPr>
          <w:rFonts w:asciiTheme="minorEastAsia" w:eastAsiaTheme="minorEastAsia" w:hAnsiTheme="minorEastAsia" w:hint="eastAsia"/>
        </w:rPr>
        <w:t>（四）基金转换的数额限制</w:t>
      </w:r>
      <w:bookmarkEnd w:id="77"/>
      <w:bookmarkEnd w:id="78"/>
      <w:bookmarkEnd w:id="79"/>
      <w:bookmarkEnd w:id="80"/>
      <w:bookmarkEnd w:id="81"/>
      <w:bookmarkEnd w:id="82"/>
      <w:bookmarkEnd w:id="83"/>
    </w:p>
    <w:p w:rsidR="00896494" w:rsidRPr="00533AE6" w:rsidRDefault="00E06EC4">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该销售机构托管的该基金余额不足1份时，基金管理人有权将投资者在该销售机构托管的该基金剩余份额一次性全部赎回。</w:t>
      </w:r>
    </w:p>
    <w:p w:rsidR="007F21A0" w:rsidRPr="00533AE6" w:rsidRDefault="003625B5" w:rsidP="005A15F8">
      <w:pPr>
        <w:pStyle w:val="af0"/>
        <w:snapToGrid w:val="0"/>
        <w:spacing w:line="360" w:lineRule="auto"/>
        <w:ind w:left="-420"/>
        <w:rPr>
          <w:rFonts w:asciiTheme="minorEastAsia" w:eastAsiaTheme="minorEastAsia" w:hAnsiTheme="minorEastAsia"/>
        </w:rPr>
      </w:pPr>
      <w:r w:rsidRPr="00533AE6">
        <w:rPr>
          <w:rFonts w:asciiTheme="minorEastAsia" w:eastAsiaTheme="minorEastAsia" w:hAnsiTheme="minorEastAsia"/>
        </w:rPr>
        <w:t>基金管理人可根据市场情况制定或调整上述基金转换的程序及有关限制，但应在调整生效前在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上予以公告。</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84" w:name="_Toc87367293"/>
      <w:bookmarkStart w:id="85" w:name="_Toc198959620"/>
      <w:bookmarkStart w:id="86" w:name="_Toc229996711"/>
      <w:bookmarkStart w:id="87" w:name="_Toc245693557"/>
      <w:bookmarkStart w:id="88" w:name="_Toc258398105"/>
      <w:bookmarkStart w:id="89" w:name="_Toc264906012"/>
      <w:bookmarkStart w:id="90" w:name="_Toc294024329"/>
      <w:bookmarkStart w:id="91" w:name="_Toc46933234"/>
      <w:r w:rsidRPr="00533AE6">
        <w:rPr>
          <w:rFonts w:asciiTheme="minorEastAsia" w:eastAsiaTheme="minorEastAsia" w:hAnsiTheme="minorEastAsia" w:hint="eastAsia"/>
        </w:rPr>
        <w:t>（五）基金转换费率</w:t>
      </w:r>
      <w:bookmarkEnd w:id="84"/>
      <w:bookmarkEnd w:id="85"/>
      <w:bookmarkEnd w:id="86"/>
      <w:bookmarkEnd w:id="87"/>
      <w:bookmarkEnd w:id="88"/>
      <w:bookmarkEnd w:id="89"/>
      <w:bookmarkEnd w:id="90"/>
      <w:bookmarkEnd w:id="91"/>
    </w:p>
    <w:p w:rsidR="00896494" w:rsidRPr="00533AE6" w:rsidRDefault="00E06EC4">
      <w:pPr>
        <w:autoSpaceDE w:val="0"/>
        <w:autoSpaceDN w:val="0"/>
        <w:snapToGrid w:val="0"/>
        <w:spacing w:line="360" w:lineRule="auto"/>
        <w:ind w:left="-420" w:firstLine="420"/>
        <w:textAlignment w:val="bottom"/>
        <w:rPr>
          <w:rFonts w:asciiTheme="minorEastAsia" w:eastAsiaTheme="minorEastAsia" w:hAnsiTheme="minorEastAsia"/>
        </w:rPr>
      </w:pPr>
      <w:r w:rsidRPr="00533AE6">
        <w:rPr>
          <w:rFonts w:asciiTheme="minorEastAsia" w:eastAsiaTheme="minorEastAsia" w:hAnsiTheme="minorEastAsia"/>
        </w:rPr>
        <w:t>基金转换费由基金份额持有人承担，由转出基金赎回费用及基金申购补差费用构成，其中转出基金赎回费按照</w:t>
      </w:r>
      <w:r w:rsidR="00451695" w:rsidRPr="00533AE6">
        <w:rPr>
          <w:rFonts w:asciiTheme="minorEastAsia" w:eastAsiaTheme="minorEastAsia" w:hAnsiTheme="minorEastAsia" w:hint="eastAsia"/>
        </w:rPr>
        <w:t>各</w:t>
      </w:r>
      <w:r w:rsidR="00451695" w:rsidRPr="00533AE6">
        <w:rPr>
          <w:rFonts w:asciiTheme="minorEastAsia" w:eastAsiaTheme="minorEastAsia" w:hAnsiTheme="minorEastAsia"/>
        </w:rPr>
        <w:t>基金的</w:t>
      </w:r>
      <w:r w:rsidRPr="00533AE6">
        <w:rPr>
          <w:rFonts w:asciiTheme="minorEastAsia" w:eastAsiaTheme="minorEastAsia" w:hAnsiTheme="minorEastAsia"/>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896494" w:rsidRPr="00533AE6" w:rsidRDefault="00E06EC4">
      <w:pPr>
        <w:autoSpaceDE w:val="0"/>
        <w:autoSpaceDN w:val="0"/>
        <w:snapToGrid w:val="0"/>
        <w:spacing w:line="360" w:lineRule="auto"/>
        <w:ind w:left="-420" w:firstLine="420"/>
        <w:textAlignment w:val="bottom"/>
        <w:rPr>
          <w:rFonts w:asciiTheme="minorEastAsia" w:eastAsiaTheme="minorEastAsia" w:hAnsiTheme="minorEastAsia"/>
        </w:rPr>
      </w:pPr>
      <w:r w:rsidRPr="00533AE6">
        <w:rPr>
          <w:rFonts w:asciiTheme="minorEastAsia" w:eastAsiaTheme="minorEastAsia" w:hAnsiTheme="minorEastAsia"/>
        </w:rPr>
        <w:t>基金管理人可以在基金合同规定的范围内调整上述费率。上述费率如发生变更，应在调整生效前在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上予以公告。</w:t>
      </w:r>
    </w:p>
    <w:p w:rsidR="007F21A0" w:rsidRPr="00533AE6" w:rsidRDefault="003625B5" w:rsidP="005A15F8">
      <w:pPr>
        <w:autoSpaceDE w:val="0"/>
        <w:autoSpaceDN w:val="0"/>
        <w:snapToGrid w:val="0"/>
        <w:spacing w:line="360" w:lineRule="auto"/>
        <w:ind w:left="-420" w:firstLine="420"/>
        <w:textAlignment w:val="bottom"/>
        <w:rPr>
          <w:rFonts w:asciiTheme="minorEastAsia" w:eastAsiaTheme="minorEastAsia" w:hAnsiTheme="minorEastAsia"/>
        </w:rPr>
      </w:pPr>
      <w:bookmarkStart w:id="92" w:name="_Toc182826360"/>
      <w:bookmarkStart w:id="93" w:name="_Toc198959621"/>
      <w:r w:rsidRPr="00533AE6">
        <w:rPr>
          <w:rFonts w:asciiTheme="minorEastAsia" w:eastAsiaTheme="minorEastAsia" w:hAnsiTheme="minor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94" w:name="_Toc229996712"/>
      <w:bookmarkStart w:id="95" w:name="_Toc245693558"/>
      <w:bookmarkStart w:id="96" w:name="_Toc258398106"/>
      <w:bookmarkStart w:id="97" w:name="_Toc264906013"/>
      <w:bookmarkStart w:id="98" w:name="_Toc294024330"/>
      <w:bookmarkStart w:id="99" w:name="_Toc46933235"/>
      <w:r w:rsidRPr="00533AE6">
        <w:rPr>
          <w:rFonts w:asciiTheme="minorEastAsia" w:eastAsiaTheme="minorEastAsia" w:hAnsiTheme="minorEastAsia" w:hint="eastAsia"/>
        </w:rPr>
        <w:t>（六）基金转换份额的计算方式</w:t>
      </w:r>
      <w:bookmarkEnd w:id="92"/>
      <w:bookmarkEnd w:id="93"/>
      <w:bookmarkEnd w:id="94"/>
      <w:bookmarkEnd w:id="95"/>
      <w:bookmarkEnd w:id="96"/>
      <w:bookmarkEnd w:id="97"/>
      <w:bookmarkEnd w:id="98"/>
      <w:bookmarkEnd w:id="99"/>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计算公式：</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A＝［B×C×(1-D)/（1+G）+F］/E</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H＝B×C×D</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J＝[B×C×(1-D)/(1+G)]×G</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其中，A为转入的基金份额；B为转出的基金份额；C为转换申请当日转出基金的基金份额净值；D为转出基金的对应赎回费率，G为对应的申购补差费率；E为转换申请当日转入基金的基金份额净值；</w:t>
      </w:r>
      <w:r w:rsidR="00D73865" w:rsidRPr="00533AE6">
        <w:rPr>
          <w:rFonts w:asciiTheme="minorEastAsia" w:eastAsiaTheme="minorEastAsia" w:hAnsiTheme="minorEastAsia" w:hint="eastAsia"/>
        </w:rPr>
        <w:t>F为货币市场基金全部转出时注册登记机构已支付的未付收益</w:t>
      </w:r>
      <w:r w:rsidRPr="00533AE6">
        <w:rPr>
          <w:rFonts w:asciiTheme="minorEastAsia" w:eastAsiaTheme="minorEastAsia" w:hAnsiTheme="minorEastAsia"/>
        </w:rPr>
        <w:t>（仅限转出基金为</w:t>
      </w:r>
      <w:r w:rsidRPr="00533AE6">
        <w:rPr>
          <w:rFonts w:asciiTheme="minorEastAsia" w:eastAsiaTheme="minorEastAsia" w:hAnsiTheme="minorEastAsia"/>
        </w:rPr>
        <w:lastRenderedPageBreak/>
        <w:t>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w:t>
      </w:r>
      <w:r w:rsidR="00F51AEB" w:rsidRPr="00533AE6">
        <w:rPr>
          <w:rFonts w:asciiTheme="minorEastAsia" w:eastAsiaTheme="minorEastAsia" w:hAnsiTheme="minorEastAsia" w:hint="eastAsia"/>
        </w:rPr>
        <w:t>和易方达易理财货币市场基金</w:t>
      </w:r>
      <w:r w:rsidRPr="00533AE6">
        <w:rPr>
          <w:rFonts w:asciiTheme="minorEastAsia" w:eastAsiaTheme="minorEastAsia" w:hAnsiTheme="minorEastAsia"/>
        </w:rPr>
        <w:t>）或者短期理财基金转出时对应的累计未付收益（转出基金为易方达月月利理财债券型基金和易方达掌柜季季盈理财债券型基金）；H为转出基金赎回费；J为申购补差费。</w:t>
      </w:r>
    </w:p>
    <w:p w:rsidR="00D73865" w:rsidRPr="00533AE6" w:rsidRDefault="00D7386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说明：</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1、基金转换费用由转出基金赎回费用及基金申购补差费用构成。</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2、转入基金时，从申购费用低的基金向申购费用高的基金转换时，每次收取申购补差费用；从申购费用高的基金向申购费用低的基金转换时，不收取申购补差费用</w:t>
      </w:r>
      <w:r w:rsidR="00471558" w:rsidRPr="00533AE6">
        <w:rPr>
          <w:rFonts w:asciiTheme="minorEastAsia" w:eastAsiaTheme="minorEastAsia" w:hAnsiTheme="minorEastAsia" w:hint="eastAsia"/>
        </w:rPr>
        <w:t>（注：对通过直销中心申购实施差别申购费率的特定投资群体基金份额的申购费，以除通过直销中心申购的特定投资群体之外的其他投资者申购费为比较标准）</w:t>
      </w:r>
      <w:r w:rsidRPr="00533AE6">
        <w:rPr>
          <w:rFonts w:asciiTheme="minorEastAsia" w:eastAsiaTheme="minorEastAsia" w:hAnsiTheme="minorEastAsia"/>
        </w:rPr>
        <w:t>。申购补差费用按照转换金额对应的转出基金与转入基金的申购费率差额进行补差，具体收取情况视每次转换时两只基金的申购费率的差异情况而定并见相关公告。</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4、投资者可以发起多次基金转换业务，基金转换费用按每笔申请单独计算。转换费用以人民币元为单位，计算结果按照四舍五入方法，保留小数点后两位。</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举例说明：假定某投资者在T日转出10,000份易方达医疗保健行业混合型基金至易方达策略成长二号混合型基金份额，转出基金T日的基金份额净值为1.100元，转入易方达策略成长二号混合型基金T日的基金份额净值为1.020元，假设该转出基金的赎回费率为0.5%，申购补差费率为0.5%，则可获得转入基金的易方达策略成长二号混合型基金基金份额计算如下：</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转换金额＝转出基金申请份额×转出基金份额净值=10,000×1.100＝11,000.00元</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转出基金赎回费＝转换金额×转出基金赎回费率=11,000.00×0.5%=55.00元</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lastRenderedPageBreak/>
        <w:t>申购补差费=（转换金额—转出基金赎回费）×申购补差费率÷（１＋申购补差费率）=（11,000.00-55.00）×0.5%÷(1+0.5%)=54.45元</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转换费＝转出基金赎回费+申购补差费=55.00+54.45＝109.45元</w:t>
      </w:r>
    </w:p>
    <w:p w:rsidR="00896494" w:rsidRPr="00533AE6" w:rsidRDefault="00E06EC4">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转入金额=转换金额-转换费=11,000.00-109.45=10,890.55元</w:t>
      </w:r>
    </w:p>
    <w:p w:rsidR="007F21A0" w:rsidRPr="00533AE6" w:rsidRDefault="003625B5"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转入份额=转入金额÷转入基金份额净值=10,890.55÷1.020=10,677.01份</w:t>
      </w:r>
    </w:p>
    <w:p w:rsidR="00033128" w:rsidRPr="00533AE6" w:rsidRDefault="00033128" w:rsidP="005A15F8">
      <w:pPr>
        <w:spacing w:line="360" w:lineRule="auto"/>
        <w:ind w:left="-420" w:firstLine="420"/>
        <w:rPr>
          <w:rFonts w:asciiTheme="minorEastAsia" w:eastAsiaTheme="minorEastAsia" w:hAnsiTheme="minorEastAsia"/>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185"/>
        <w:gridCol w:w="1155"/>
        <w:gridCol w:w="1440"/>
        <w:gridCol w:w="1185"/>
        <w:gridCol w:w="1335"/>
      </w:tblGrid>
      <w:tr w:rsidR="00533AE6" w:rsidRPr="00533AE6" w:rsidTr="00153667">
        <w:trPr>
          <w:trHeight w:val="413"/>
        </w:trPr>
        <w:tc>
          <w:tcPr>
            <w:tcW w:w="1080" w:type="dxa"/>
            <w:vMerge w:val="restart"/>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转出</w:t>
            </w:r>
            <w:r w:rsidRPr="00533AE6">
              <w:rPr>
                <w:rFonts w:asciiTheme="minorEastAsia" w:eastAsiaTheme="minorEastAsia" w:hAnsiTheme="minorEastAsia"/>
              </w:rPr>
              <w:t>份额</w:t>
            </w:r>
          </w:p>
        </w:tc>
        <w:tc>
          <w:tcPr>
            <w:tcW w:w="900" w:type="dxa"/>
            <w:vMerge w:val="restart"/>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转出</w:t>
            </w:r>
            <w:r w:rsidRPr="00533AE6">
              <w:rPr>
                <w:rFonts w:asciiTheme="minorEastAsia" w:eastAsiaTheme="minorEastAsia" w:hAnsiTheme="minorEastAsia"/>
              </w:rPr>
              <w:t>基金</w:t>
            </w:r>
            <w:r w:rsidRPr="00533AE6">
              <w:rPr>
                <w:rFonts w:asciiTheme="minorEastAsia" w:eastAsiaTheme="minorEastAsia" w:hAnsiTheme="minorEastAsia" w:hint="eastAsia"/>
              </w:rPr>
              <w:t>份额</w:t>
            </w:r>
            <w:r w:rsidRPr="00533AE6">
              <w:rPr>
                <w:rFonts w:asciiTheme="minorEastAsia" w:eastAsiaTheme="minorEastAsia" w:hAnsiTheme="minorEastAsia"/>
              </w:rPr>
              <w:t>净值</w:t>
            </w:r>
          </w:p>
        </w:tc>
        <w:tc>
          <w:tcPr>
            <w:tcW w:w="1440" w:type="dxa"/>
            <w:vMerge w:val="restart"/>
          </w:tcPr>
          <w:p w:rsidR="003625B5" w:rsidRPr="00533AE6" w:rsidRDefault="003625B5" w:rsidP="00D41CD1">
            <w:pPr>
              <w:snapToGrid w:val="0"/>
              <w:spacing w:line="360" w:lineRule="auto"/>
              <w:ind w:leftChars="0" w:left="0"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转换金额</w:t>
            </w:r>
          </w:p>
        </w:tc>
        <w:tc>
          <w:tcPr>
            <w:tcW w:w="2340" w:type="dxa"/>
            <w:gridSpan w:val="2"/>
          </w:tcPr>
          <w:p w:rsidR="003625B5" w:rsidRPr="00533AE6" w:rsidRDefault="003625B5" w:rsidP="00D41CD1">
            <w:pPr>
              <w:snapToGrid w:val="0"/>
              <w:spacing w:line="360" w:lineRule="auto"/>
              <w:ind w:leftChars="0" w:left="0"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转换费</w:t>
            </w:r>
          </w:p>
        </w:tc>
        <w:tc>
          <w:tcPr>
            <w:tcW w:w="1440" w:type="dxa"/>
            <w:vMerge w:val="restart"/>
          </w:tcPr>
          <w:p w:rsidR="003625B5" w:rsidRPr="00533AE6" w:rsidRDefault="003625B5" w:rsidP="00D41CD1">
            <w:pPr>
              <w:snapToGrid w:val="0"/>
              <w:spacing w:line="360" w:lineRule="auto"/>
              <w:ind w:leftChars="0" w:left="0"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转入金额</w:t>
            </w:r>
          </w:p>
        </w:tc>
        <w:tc>
          <w:tcPr>
            <w:tcW w:w="1185" w:type="dxa"/>
            <w:vMerge w:val="restart"/>
          </w:tcPr>
          <w:p w:rsidR="003625B5" w:rsidRPr="00533AE6" w:rsidRDefault="003625B5" w:rsidP="00D41CD1">
            <w:pPr>
              <w:snapToGrid w:val="0"/>
              <w:spacing w:line="360" w:lineRule="auto"/>
              <w:ind w:leftChars="0" w:left="0"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转入</w:t>
            </w:r>
            <w:r w:rsidRPr="00533AE6">
              <w:rPr>
                <w:rFonts w:asciiTheme="minorEastAsia" w:eastAsiaTheme="minorEastAsia" w:hAnsiTheme="minorEastAsia"/>
              </w:rPr>
              <w:t>基金</w:t>
            </w:r>
            <w:r w:rsidRPr="00533AE6">
              <w:rPr>
                <w:rFonts w:asciiTheme="minorEastAsia" w:eastAsiaTheme="minorEastAsia" w:hAnsiTheme="minorEastAsia" w:hint="eastAsia"/>
              </w:rPr>
              <w:t>份额</w:t>
            </w:r>
            <w:r w:rsidRPr="00533AE6">
              <w:rPr>
                <w:rFonts w:asciiTheme="minorEastAsia" w:eastAsiaTheme="minorEastAsia" w:hAnsiTheme="minorEastAsia"/>
              </w:rPr>
              <w:t>净值</w:t>
            </w:r>
          </w:p>
        </w:tc>
        <w:tc>
          <w:tcPr>
            <w:tcW w:w="1335" w:type="dxa"/>
            <w:vMerge w:val="restart"/>
          </w:tcPr>
          <w:p w:rsidR="003625B5" w:rsidRPr="00533AE6" w:rsidRDefault="003625B5" w:rsidP="00D41CD1">
            <w:pPr>
              <w:snapToGrid w:val="0"/>
              <w:spacing w:line="360" w:lineRule="auto"/>
              <w:ind w:leftChars="0" w:left="0"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转入份额</w:t>
            </w:r>
          </w:p>
        </w:tc>
      </w:tr>
      <w:tr w:rsidR="00533AE6" w:rsidRPr="00533AE6" w:rsidTr="00153667">
        <w:trPr>
          <w:trHeight w:val="412"/>
        </w:trPr>
        <w:tc>
          <w:tcPr>
            <w:tcW w:w="1080"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c>
          <w:tcPr>
            <w:tcW w:w="900"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c>
          <w:tcPr>
            <w:tcW w:w="1440"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c>
          <w:tcPr>
            <w:tcW w:w="118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转出基金</w:t>
            </w:r>
            <w:r w:rsidRPr="00533AE6">
              <w:rPr>
                <w:rFonts w:asciiTheme="minorEastAsia" w:eastAsiaTheme="minorEastAsia" w:hAnsiTheme="minorEastAsia"/>
              </w:rPr>
              <w:t>赎回费</w:t>
            </w:r>
          </w:p>
        </w:tc>
        <w:tc>
          <w:tcPr>
            <w:tcW w:w="115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hint="eastAsia"/>
              </w:rPr>
              <w:t>申购</w:t>
            </w:r>
            <w:r w:rsidRPr="00533AE6">
              <w:rPr>
                <w:rFonts w:asciiTheme="minorEastAsia" w:eastAsiaTheme="minorEastAsia" w:hAnsiTheme="minorEastAsia"/>
              </w:rPr>
              <w:t>补差费</w:t>
            </w:r>
          </w:p>
        </w:tc>
        <w:tc>
          <w:tcPr>
            <w:tcW w:w="1440"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c>
          <w:tcPr>
            <w:tcW w:w="1185"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c>
          <w:tcPr>
            <w:tcW w:w="1335" w:type="dxa"/>
            <w:vMerge/>
          </w:tcPr>
          <w:p w:rsidR="003625B5" w:rsidRPr="00533AE6" w:rsidRDefault="003625B5" w:rsidP="005A15F8">
            <w:pPr>
              <w:snapToGrid w:val="0"/>
              <w:spacing w:line="360" w:lineRule="auto"/>
              <w:ind w:left="-420" w:firstLine="420"/>
              <w:rPr>
                <w:rFonts w:asciiTheme="minorEastAsia" w:eastAsiaTheme="minorEastAsia" w:hAnsiTheme="minorEastAsia"/>
              </w:rPr>
            </w:pPr>
          </w:p>
        </w:tc>
      </w:tr>
      <w:tr w:rsidR="00533AE6" w:rsidRPr="00533AE6" w:rsidTr="00153667">
        <w:tc>
          <w:tcPr>
            <w:tcW w:w="1080"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10,000份</w:t>
            </w:r>
          </w:p>
        </w:tc>
        <w:tc>
          <w:tcPr>
            <w:tcW w:w="900"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1.100元</w:t>
            </w:r>
          </w:p>
        </w:tc>
        <w:tc>
          <w:tcPr>
            <w:tcW w:w="1440"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11,000.00元</w:t>
            </w:r>
          </w:p>
        </w:tc>
        <w:tc>
          <w:tcPr>
            <w:tcW w:w="118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55.00元</w:t>
            </w:r>
          </w:p>
        </w:tc>
        <w:tc>
          <w:tcPr>
            <w:tcW w:w="115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54.45元</w:t>
            </w:r>
          </w:p>
        </w:tc>
        <w:tc>
          <w:tcPr>
            <w:tcW w:w="1440"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10,890.55元</w:t>
            </w:r>
          </w:p>
        </w:tc>
        <w:tc>
          <w:tcPr>
            <w:tcW w:w="118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1.020元</w:t>
            </w:r>
          </w:p>
        </w:tc>
        <w:tc>
          <w:tcPr>
            <w:tcW w:w="1335" w:type="dxa"/>
          </w:tcPr>
          <w:p w:rsidR="003625B5" w:rsidRPr="00533AE6" w:rsidRDefault="003625B5" w:rsidP="00D41CD1">
            <w:pPr>
              <w:snapToGrid w:val="0"/>
              <w:spacing w:line="360" w:lineRule="auto"/>
              <w:ind w:leftChars="-45" w:left="-94" w:rightChars="-57" w:right="-120" w:firstLineChars="0" w:firstLine="0"/>
              <w:rPr>
                <w:rFonts w:asciiTheme="minorEastAsia" w:eastAsiaTheme="minorEastAsia" w:hAnsiTheme="minorEastAsia"/>
              </w:rPr>
            </w:pPr>
            <w:r w:rsidRPr="00533AE6">
              <w:rPr>
                <w:rFonts w:asciiTheme="minorEastAsia" w:eastAsiaTheme="minorEastAsia" w:hAnsiTheme="minorEastAsia"/>
              </w:rPr>
              <w:t>10,677.01份</w:t>
            </w:r>
          </w:p>
        </w:tc>
      </w:tr>
    </w:tbl>
    <w:p w:rsidR="00713E37" w:rsidRPr="00533AE6" w:rsidRDefault="00713E37" w:rsidP="00713E37">
      <w:pPr>
        <w:adjustRightInd w:val="0"/>
        <w:snapToGrid w:val="0"/>
        <w:spacing w:line="360" w:lineRule="auto"/>
        <w:ind w:leftChars="0" w:left="0" w:firstLine="420"/>
        <w:rPr>
          <w:rFonts w:asciiTheme="minorEastAsia" w:eastAsiaTheme="minorEastAsia" w:hAnsiTheme="minorEastAsia"/>
        </w:rPr>
      </w:pPr>
      <w:r w:rsidRPr="00533AE6">
        <w:rPr>
          <w:rFonts w:asciiTheme="minorEastAsia" w:eastAsiaTheme="minorEastAsia" w:hAnsiTheme="minorEastAsia" w:hint="eastAsia"/>
        </w:rPr>
        <w:t>注：本基金转出至易方达平稳增长混合、易方达策略成长混合、易方达上证</w:t>
      </w:r>
      <w:r w:rsidRPr="00533AE6">
        <w:rPr>
          <w:rFonts w:asciiTheme="minorEastAsia" w:eastAsiaTheme="minorEastAsia" w:hAnsiTheme="minorEastAsia"/>
        </w:rPr>
        <w:t>50</w:t>
      </w:r>
      <w:r w:rsidRPr="00533AE6">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533AE6">
        <w:rPr>
          <w:rFonts w:asciiTheme="minorEastAsia" w:eastAsiaTheme="minorEastAsia" w:hAnsiTheme="minorEastAsia"/>
        </w:rPr>
        <w:t>1</w:t>
      </w:r>
      <w:r w:rsidRPr="00533AE6">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533AE6">
        <w:rPr>
          <w:rFonts w:asciiTheme="minorEastAsia" w:eastAsiaTheme="minorEastAsia" w:hAnsiTheme="minorEastAsia"/>
        </w:rPr>
        <w:t>1</w:t>
      </w:r>
      <w:r w:rsidRPr="00533AE6">
        <w:rPr>
          <w:rFonts w:asciiTheme="minorEastAsia" w:eastAsiaTheme="minorEastAsia" w:hAnsiTheme="minorEastAsia" w:hint="eastAsia"/>
        </w:rPr>
        <w:t>年定期债券、易方达黄金</w:t>
      </w:r>
      <w:r w:rsidRPr="00533AE6">
        <w:rPr>
          <w:rFonts w:asciiTheme="minorEastAsia" w:eastAsiaTheme="minorEastAsia" w:hAnsiTheme="minorEastAsia"/>
        </w:rPr>
        <w:t>ETF</w:t>
      </w:r>
      <w:r w:rsidRPr="00533AE6">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533AE6">
        <w:rPr>
          <w:rFonts w:asciiTheme="minorEastAsia" w:eastAsiaTheme="minorEastAsia" w:hAnsiTheme="minorEastAsia"/>
        </w:rPr>
        <w:t>300</w:t>
      </w:r>
      <w:r w:rsidRPr="00533AE6">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533AE6">
        <w:rPr>
          <w:rFonts w:asciiTheme="minorEastAsia" w:eastAsiaTheme="minorEastAsia" w:hAnsiTheme="minorEastAsia"/>
        </w:rPr>
        <w:t>300</w:t>
      </w:r>
      <w:r w:rsidRPr="00533AE6">
        <w:rPr>
          <w:rFonts w:asciiTheme="minorEastAsia" w:eastAsiaTheme="minorEastAsia" w:hAnsiTheme="minorEastAsia" w:hint="eastAsia"/>
        </w:rPr>
        <w:t>医药</w:t>
      </w:r>
      <w:r w:rsidRPr="00533AE6">
        <w:rPr>
          <w:rFonts w:asciiTheme="minorEastAsia" w:eastAsiaTheme="minorEastAsia" w:hAnsiTheme="minorEastAsia"/>
        </w:rPr>
        <w:t>ETF</w:t>
      </w:r>
      <w:r w:rsidRPr="00533AE6">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533AE6">
        <w:rPr>
          <w:rFonts w:asciiTheme="minorEastAsia" w:eastAsiaTheme="minorEastAsia" w:hAnsiTheme="minorEastAsia"/>
        </w:rPr>
        <w:t>3-5</w:t>
      </w:r>
      <w:r w:rsidRPr="00533AE6">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533AE6">
        <w:rPr>
          <w:rFonts w:asciiTheme="minorEastAsia" w:eastAsiaTheme="minorEastAsia" w:hAnsiTheme="minorEastAsia"/>
        </w:rPr>
        <w:t>6</w:t>
      </w:r>
      <w:r w:rsidRPr="00533AE6">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533AE6">
        <w:rPr>
          <w:rFonts w:asciiTheme="minorEastAsia" w:eastAsiaTheme="minorEastAsia" w:hAnsiTheme="minorEastAsia"/>
        </w:rPr>
        <w:t>7-10</w:t>
      </w:r>
      <w:r w:rsidRPr="00533AE6">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w:t>
      </w:r>
      <w:r w:rsidRPr="00533AE6">
        <w:rPr>
          <w:rFonts w:asciiTheme="minorEastAsia" w:eastAsiaTheme="minorEastAsia" w:hAnsiTheme="minorEastAsia" w:hint="eastAsia"/>
        </w:rPr>
        <w:lastRenderedPageBreak/>
        <w:t>易方达鑫转招利混合、易方达恒惠定开债券发起式、易方达安瑞短债债券、易方达科融混合、易方达安悦超短债债券、易方达</w:t>
      </w:r>
      <w:r w:rsidRPr="00533AE6">
        <w:rPr>
          <w:rFonts w:asciiTheme="minorEastAsia" w:eastAsiaTheme="minorEastAsia" w:hAnsiTheme="minorEastAsia"/>
        </w:rPr>
        <w:t>MSCI</w:t>
      </w:r>
      <w:r w:rsidRPr="00533AE6">
        <w:rPr>
          <w:rFonts w:asciiTheme="minorEastAsia" w:eastAsiaTheme="minorEastAsia" w:hAnsiTheme="minorEastAsia" w:hint="eastAsia"/>
        </w:rPr>
        <w:t>中国</w:t>
      </w:r>
      <w:r w:rsidRPr="00533AE6">
        <w:rPr>
          <w:rFonts w:asciiTheme="minorEastAsia" w:eastAsiaTheme="minorEastAsia" w:hAnsiTheme="minorEastAsia"/>
        </w:rPr>
        <w:t>A</w:t>
      </w:r>
      <w:r w:rsidRPr="00533AE6">
        <w:rPr>
          <w:rFonts w:asciiTheme="minorEastAsia" w:eastAsiaTheme="minorEastAsia" w:hAnsiTheme="minorEastAsia" w:hint="eastAsia"/>
        </w:rPr>
        <w:t>股国际通</w:t>
      </w:r>
      <w:r w:rsidRPr="00533AE6">
        <w:rPr>
          <w:rFonts w:asciiTheme="minorEastAsia" w:eastAsiaTheme="minorEastAsia" w:hAnsiTheme="minorEastAsia"/>
        </w:rPr>
        <w:t>ETF</w:t>
      </w:r>
      <w:r w:rsidRPr="00533AE6">
        <w:rPr>
          <w:rFonts w:asciiTheme="minorEastAsia" w:eastAsiaTheme="minorEastAsia" w:hAnsiTheme="minorEastAsia" w:hint="eastAsia"/>
        </w:rPr>
        <w:t>联接发起式、易方达中证</w:t>
      </w:r>
      <w:r w:rsidRPr="00533AE6">
        <w:rPr>
          <w:rFonts w:asciiTheme="minorEastAsia" w:eastAsiaTheme="minorEastAsia" w:hAnsiTheme="minorEastAsia"/>
        </w:rPr>
        <w:t>500ETF</w:t>
      </w:r>
      <w:r w:rsidRPr="00533AE6">
        <w:rPr>
          <w:rFonts w:asciiTheme="minorEastAsia" w:eastAsiaTheme="minorEastAsia" w:hAnsiTheme="minorEastAsia" w:hint="eastAsia"/>
        </w:rPr>
        <w:t>联接发起式、易方达恒利</w:t>
      </w:r>
      <w:r w:rsidRPr="00533AE6">
        <w:rPr>
          <w:rFonts w:asciiTheme="minorEastAsia" w:eastAsiaTheme="minorEastAsia" w:hAnsiTheme="minorEastAsia"/>
        </w:rPr>
        <w:t>3</w:t>
      </w:r>
      <w:r w:rsidRPr="00533AE6">
        <w:rPr>
          <w:rFonts w:asciiTheme="minorEastAsia" w:eastAsiaTheme="minorEastAsia" w:hAnsiTheme="minorEastAsia" w:hint="eastAsia"/>
        </w:rPr>
        <w:t>个月定开债券发起式、易方达中债</w:t>
      </w:r>
      <w:r w:rsidRPr="00533AE6">
        <w:rPr>
          <w:rFonts w:asciiTheme="minorEastAsia" w:eastAsiaTheme="minorEastAsia" w:hAnsiTheme="minorEastAsia"/>
        </w:rPr>
        <w:t>1-3</w:t>
      </w:r>
      <w:r w:rsidRPr="00533AE6">
        <w:rPr>
          <w:rFonts w:asciiTheme="minorEastAsia" w:eastAsiaTheme="minorEastAsia" w:hAnsiTheme="minorEastAsia" w:hint="eastAsia"/>
        </w:rPr>
        <w:t>年国开行债券指数、易方达中债</w:t>
      </w:r>
      <w:r w:rsidRPr="00533AE6">
        <w:rPr>
          <w:rFonts w:asciiTheme="minorEastAsia" w:eastAsiaTheme="minorEastAsia" w:hAnsiTheme="minorEastAsia"/>
        </w:rPr>
        <w:t>3-5</w:t>
      </w:r>
      <w:r w:rsidRPr="00533AE6">
        <w:rPr>
          <w:rFonts w:asciiTheme="minorEastAsia" w:eastAsiaTheme="minorEastAsia" w:hAnsiTheme="minorEastAsia" w:hint="eastAsia"/>
        </w:rPr>
        <w:t>年国开行债券指数、易方达中债</w:t>
      </w:r>
      <w:r w:rsidRPr="00533AE6">
        <w:rPr>
          <w:rFonts w:asciiTheme="minorEastAsia" w:eastAsiaTheme="minorEastAsia" w:hAnsiTheme="minorEastAsia"/>
        </w:rPr>
        <w:t>1-3</w:t>
      </w:r>
      <w:r w:rsidRPr="00533AE6">
        <w:rPr>
          <w:rFonts w:asciiTheme="minorEastAsia" w:eastAsiaTheme="minorEastAsia" w:hAnsiTheme="minorEastAsia" w:hint="eastAsia"/>
        </w:rPr>
        <w:t>年政金债指数、易方达中债</w:t>
      </w:r>
      <w:r w:rsidRPr="00533AE6">
        <w:rPr>
          <w:rFonts w:asciiTheme="minorEastAsia" w:eastAsiaTheme="minorEastAsia" w:hAnsiTheme="minorEastAsia"/>
        </w:rPr>
        <w:t>3-5</w:t>
      </w:r>
      <w:r w:rsidRPr="00533AE6">
        <w:rPr>
          <w:rFonts w:asciiTheme="minorEastAsia" w:eastAsiaTheme="minorEastAsia" w:hAnsiTheme="minorEastAsia" w:hint="eastAsia"/>
        </w:rPr>
        <w:t>年政金债指数、易方达上证</w:t>
      </w:r>
      <w:r w:rsidRPr="00533AE6">
        <w:rPr>
          <w:rFonts w:asciiTheme="minorEastAsia" w:eastAsiaTheme="minorEastAsia" w:hAnsiTheme="minorEastAsia"/>
        </w:rPr>
        <w:t>50ETF</w:t>
      </w:r>
      <w:r w:rsidRPr="00533AE6">
        <w:rPr>
          <w:rFonts w:asciiTheme="minorEastAsia" w:eastAsiaTheme="minorEastAsia" w:hAnsiTheme="minorEastAsia" w:hint="eastAsia"/>
        </w:rPr>
        <w:t>联接发起式、易方达恒兴</w:t>
      </w:r>
      <w:r w:rsidRPr="00533AE6">
        <w:rPr>
          <w:rFonts w:asciiTheme="minorEastAsia" w:eastAsiaTheme="minorEastAsia" w:hAnsiTheme="minorEastAsia"/>
        </w:rPr>
        <w:t>3</w:t>
      </w:r>
      <w:r w:rsidRPr="00533AE6">
        <w:rPr>
          <w:rFonts w:asciiTheme="minorEastAsia" w:eastAsiaTheme="minorEastAsia" w:hAnsiTheme="minorEastAsia" w:hint="eastAsia"/>
        </w:rPr>
        <w:t>个月定开债券发起式、易方达</w:t>
      </w:r>
      <w:r w:rsidRPr="00533AE6">
        <w:rPr>
          <w:rFonts w:asciiTheme="minorEastAsia" w:eastAsiaTheme="minorEastAsia" w:hAnsiTheme="minorEastAsia"/>
        </w:rPr>
        <w:t>ESG</w:t>
      </w:r>
      <w:r w:rsidRPr="00533AE6">
        <w:rPr>
          <w:rFonts w:asciiTheme="minorEastAsia" w:eastAsiaTheme="minorEastAsia" w:hAnsiTheme="minorEastAsia" w:hint="eastAsia"/>
        </w:rPr>
        <w:t>责任投资股票发起式、易方达中证国企一带一路</w:t>
      </w:r>
      <w:r w:rsidRPr="00533AE6">
        <w:rPr>
          <w:rFonts w:asciiTheme="minorEastAsia" w:eastAsiaTheme="minorEastAsia" w:hAnsiTheme="minorEastAsia"/>
        </w:rPr>
        <w:t>ETF</w:t>
      </w:r>
      <w:r w:rsidRPr="00533AE6">
        <w:rPr>
          <w:rFonts w:asciiTheme="minorEastAsia" w:eastAsiaTheme="minorEastAsia" w:hAnsiTheme="minorEastAsia" w:hint="eastAsia"/>
        </w:rPr>
        <w:t>联接、易方达中证</w:t>
      </w:r>
      <w:r w:rsidRPr="00533AE6">
        <w:rPr>
          <w:rFonts w:asciiTheme="minorEastAsia" w:eastAsiaTheme="minorEastAsia" w:hAnsiTheme="minorEastAsia"/>
        </w:rPr>
        <w:t>800ETF</w:t>
      </w:r>
      <w:r w:rsidRPr="00533AE6">
        <w:rPr>
          <w:rFonts w:asciiTheme="minorEastAsia" w:eastAsiaTheme="minorEastAsia" w:hAnsiTheme="minorEastAsia" w:hint="eastAsia"/>
        </w:rPr>
        <w:t>联接发起式、易方达恒盛</w:t>
      </w:r>
      <w:r w:rsidRPr="00533AE6">
        <w:rPr>
          <w:rFonts w:asciiTheme="minorEastAsia" w:eastAsiaTheme="minorEastAsia" w:hAnsiTheme="minorEastAsia"/>
        </w:rPr>
        <w:t>3</w:t>
      </w:r>
      <w:r w:rsidRPr="00533AE6">
        <w:rPr>
          <w:rFonts w:asciiTheme="minorEastAsia" w:eastAsiaTheme="minorEastAsia" w:hAnsiTheme="minorEastAsia" w:hint="eastAsia"/>
        </w:rPr>
        <w:t>个月定开混合发起式、易方达研究精选股票、易方达裕富债券、易方达高端制造混合发起式、易方达消费精选股票、</w:t>
      </w:r>
      <w:r w:rsidR="00F51AEB" w:rsidRPr="00533AE6">
        <w:rPr>
          <w:rFonts w:asciiTheme="minorEastAsia" w:eastAsiaTheme="minorEastAsia" w:hAnsiTheme="minorEastAsia" w:hint="eastAsia"/>
        </w:rPr>
        <w:t>易方达金融行业股票发起式、易方达年年恒夏纯债一年定开债券发起式、</w:t>
      </w:r>
      <w:r w:rsidRPr="00533AE6">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533AE6">
        <w:rPr>
          <w:rFonts w:asciiTheme="minorEastAsia" w:eastAsiaTheme="minorEastAsia" w:hAnsiTheme="minorEastAsia"/>
        </w:rPr>
        <w:t>100ETF</w:t>
      </w:r>
      <w:r w:rsidRPr="00533AE6">
        <w:rPr>
          <w:rFonts w:asciiTheme="minorEastAsia" w:eastAsiaTheme="minorEastAsia" w:hAnsiTheme="minorEastAsia" w:hint="eastAsia"/>
        </w:rPr>
        <w:t>联接、易方达沪深</w:t>
      </w:r>
      <w:r w:rsidRPr="00533AE6">
        <w:rPr>
          <w:rFonts w:asciiTheme="minorEastAsia" w:eastAsiaTheme="minorEastAsia" w:hAnsiTheme="minorEastAsia"/>
        </w:rPr>
        <w:t>300ETF</w:t>
      </w:r>
      <w:r w:rsidRPr="00533AE6">
        <w:rPr>
          <w:rFonts w:asciiTheme="minorEastAsia" w:eastAsiaTheme="minorEastAsia" w:hAnsiTheme="minorEastAsia" w:hint="eastAsia"/>
        </w:rPr>
        <w:t>发起式联接、易方达上证中盘</w:t>
      </w:r>
      <w:r w:rsidRPr="00533AE6">
        <w:rPr>
          <w:rFonts w:asciiTheme="minorEastAsia" w:eastAsiaTheme="minorEastAsia" w:hAnsiTheme="minorEastAsia"/>
        </w:rPr>
        <w:t>ETF</w:t>
      </w:r>
      <w:r w:rsidRPr="00533AE6">
        <w:rPr>
          <w:rFonts w:asciiTheme="minorEastAsia" w:eastAsiaTheme="minorEastAsia" w:hAnsiTheme="minorEastAsia" w:hint="eastAsia"/>
        </w:rPr>
        <w:t>联接、易方达消费行业股票、易方达资源行业混合、易方达创业板</w:t>
      </w:r>
      <w:r w:rsidRPr="00533AE6">
        <w:rPr>
          <w:rFonts w:asciiTheme="minorEastAsia" w:eastAsiaTheme="minorEastAsia" w:hAnsiTheme="minorEastAsia"/>
        </w:rPr>
        <w:t>ETF</w:t>
      </w:r>
      <w:r w:rsidRPr="00533AE6">
        <w:rPr>
          <w:rFonts w:asciiTheme="minorEastAsia" w:eastAsiaTheme="minorEastAsia" w:hAnsiTheme="minorEastAsia" w:hint="eastAsia"/>
        </w:rPr>
        <w:t>联接、易方达安心回报债券、易方达科讯混合、易方达沪深</w:t>
      </w:r>
      <w:r w:rsidRPr="00533AE6">
        <w:rPr>
          <w:rFonts w:asciiTheme="minorEastAsia" w:eastAsiaTheme="minorEastAsia" w:hAnsiTheme="minorEastAsia"/>
        </w:rPr>
        <w:t>300</w:t>
      </w:r>
      <w:r w:rsidRPr="00533AE6">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7F21A0" w:rsidRPr="00533AE6" w:rsidRDefault="007F21A0" w:rsidP="00307BF6">
      <w:pPr>
        <w:pStyle w:val="20"/>
        <w:snapToGrid w:val="0"/>
        <w:spacing w:beforeLines="0" w:afterLines="0" w:line="360" w:lineRule="auto"/>
        <w:ind w:left="-420" w:firstLine="562"/>
        <w:rPr>
          <w:rFonts w:asciiTheme="minorEastAsia" w:eastAsiaTheme="minorEastAsia" w:hAnsiTheme="minorEastAsia"/>
        </w:rPr>
      </w:pPr>
      <w:bookmarkStart w:id="100" w:name="_Toc198959622"/>
      <w:bookmarkStart w:id="101" w:name="_Toc229996713"/>
      <w:bookmarkStart w:id="102" w:name="_Toc245693559"/>
      <w:bookmarkStart w:id="103" w:name="_Toc258398107"/>
      <w:bookmarkStart w:id="104" w:name="_Toc264906014"/>
      <w:bookmarkStart w:id="105" w:name="_Toc294024331"/>
      <w:bookmarkStart w:id="106" w:name="_Toc46933236"/>
      <w:r w:rsidRPr="00533AE6">
        <w:rPr>
          <w:rFonts w:asciiTheme="minorEastAsia" w:eastAsiaTheme="minorEastAsia" w:hAnsiTheme="minorEastAsia" w:hint="eastAsia"/>
        </w:rPr>
        <w:t>（七）基金转换的注册登记</w:t>
      </w:r>
      <w:bookmarkEnd w:id="100"/>
      <w:bookmarkEnd w:id="101"/>
      <w:bookmarkEnd w:id="102"/>
      <w:bookmarkEnd w:id="103"/>
      <w:bookmarkEnd w:id="104"/>
      <w:bookmarkEnd w:id="105"/>
      <w:bookmarkEnd w:id="106"/>
    </w:p>
    <w:p w:rsidR="00896494" w:rsidRPr="00533AE6" w:rsidRDefault="00E06EC4">
      <w:pPr>
        <w:pStyle w:val="ac"/>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投资者T日申请基金转换成功后，注册登记机构将在T＋1工作日为投资者办理减少转出基金份额、增加转入基金份额的权益登记手续，一般情况下，投资者自T＋2工作日起有权赎回转入部分的基金份额。</w:t>
      </w:r>
    </w:p>
    <w:p w:rsidR="007F21A0" w:rsidRPr="00533AE6" w:rsidRDefault="002D733F" w:rsidP="005A15F8">
      <w:pPr>
        <w:pStyle w:val="ac"/>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基金管理人可在法律法规允许的范围内，对上述注册登记办理时间进行调整，并应在调整生效前在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上予以公告。</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107" w:name="_Toc198959623"/>
      <w:bookmarkStart w:id="108" w:name="_Toc229996714"/>
      <w:bookmarkStart w:id="109" w:name="_Toc245693560"/>
      <w:bookmarkStart w:id="110" w:name="_Toc258398108"/>
      <w:bookmarkStart w:id="111" w:name="_Toc264906015"/>
      <w:bookmarkStart w:id="112" w:name="_Toc294024332"/>
      <w:bookmarkStart w:id="113" w:name="_Toc46933237"/>
      <w:r w:rsidRPr="00533AE6">
        <w:rPr>
          <w:rFonts w:asciiTheme="minorEastAsia" w:eastAsiaTheme="minorEastAsia" w:hAnsiTheme="minorEastAsia" w:hint="eastAsia"/>
        </w:rPr>
        <w:t>（八）基金转换</w:t>
      </w:r>
      <w:r w:rsidRPr="00533AE6">
        <w:rPr>
          <w:rFonts w:asciiTheme="minorEastAsia" w:eastAsiaTheme="minorEastAsia" w:hAnsiTheme="minorEastAsia"/>
        </w:rPr>
        <w:t>与巨额赎回</w:t>
      </w:r>
      <w:bookmarkEnd w:id="107"/>
      <w:bookmarkEnd w:id="108"/>
      <w:bookmarkEnd w:id="109"/>
      <w:bookmarkEnd w:id="110"/>
      <w:bookmarkEnd w:id="111"/>
      <w:bookmarkEnd w:id="112"/>
      <w:bookmarkEnd w:id="113"/>
    </w:p>
    <w:p w:rsidR="007F21A0" w:rsidRPr="00533AE6" w:rsidRDefault="00917138"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当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7F21A0" w:rsidRPr="00533AE6" w:rsidRDefault="007F21A0" w:rsidP="005A15F8">
      <w:pPr>
        <w:pStyle w:val="20"/>
        <w:snapToGrid w:val="0"/>
        <w:spacing w:beforeLines="0" w:afterLines="0" w:line="360" w:lineRule="auto"/>
        <w:ind w:left="-420" w:firstLine="562"/>
        <w:rPr>
          <w:rFonts w:asciiTheme="minorEastAsia" w:eastAsiaTheme="minorEastAsia" w:hAnsiTheme="minorEastAsia"/>
        </w:rPr>
      </w:pPr>
      <w:bookmarkStart w:id="114" w:name="_Toc198959624"/>
      <w:bookmarkStart w:id="115" w:name="_Toc229996715"/>
      <w:bookmarkStart w:id="116" w:name="_Toc245693561"/>
      <w:bookmarkStart w:id="117" w:name="_Toc258398109"/>
      <w:bookmarkStart w:id="118" w:name="_Toc264906016"/>
      <w:bookmarkStart w:id="119" w:name="_Toc294024333"/>
      <w:bookmarkStart w:id="120" w:name="_Toc46933238"/>
      <w:r w:rsidRPr="00533AE6">
        <w:rPr>
          <w:rFonts w:asciiTheme="minorEastAsia" w:eastAsiaTheme="minorEastAsia" w:hAnsiTheme="minorEastAsia" w:hint="eastAsia"/>
        </w:rPr>
        <w:t>（九）拒绝或暂停基金转换的情形</w:t>
      </w:r>
      <w:bookmarkEnd w:id="114"/>
      <w:bookmarkEnd w:id="115"/>
      <w:bookmarkEnd w:id="116"/>
      <w:bookmarkEnd w:id="117"/>
      <w:bookmarkEnd w:id="118"/>
      <w:bookmarkEnd w:id="119"/>
      <w:bookmarkEnd w:id="120"/>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发生下列情况时，基金管理人可拒绝或暂停接受基金投资者的转换申请：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1、因不可抗力导致基金管理人无法受理投资者的转换申请。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2、证券交易场所交易时间临时停市，导致基金管理人无法计算当日基金资产净值。</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3、发生基金合同规定的暂停基金资产估值情况。</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4、基金财产规模过大，使基金管理人无法找到合适的投资品种，或其他可能对基金业绩产</w:t>
      </w:r>
      <w:r w:rsidRPr="00533AE6">
        <w:rPr>
          <w:rFonts w:asciiTheme="minorEastAsia" w:eastAsiaTheme="minorEastAsia" w:hAnsiTheme="minorEastAsia"/>
        </w:rPr>
        <w:lastRenderedPageBreak/>
        <w:t>生负面影响，从而损害现有基金份额持有人的利益的情形。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5、基金连续发生巨额赎回，根据本基金合同规定，可以暂停接受转换申请的情况。</w:t>
      </w:r>
    </w:p>
    <w:p w:rsidR="007C7289" w:rsidRPr="00533AE6" w:rsidRDefault="007C7289" w:rsidP="007C7289">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6</w:t>
      </w:r>
      <w:r w:rsidRPr="00533AE6">
        <w:rPr>
          <w:rFonts w:asciiTheme="minorEastAsia" w:eastAsiaTheme="minorEastAsia" w:hAnsiTheme="minorEastAsia" w:hint="eastAsia"/>
        </w:rPr>
        <w:t>、</w:t>
      </w:r>
      <w:r w:rsidRPr="00533AE6">
        <w:rPr>
          <w:rFonts w:asciiTheme="minorEastAsia" w:eastAsiaTheme="minorEastAsia" w:hAnsiTheme="minorEastAsia"/>
        </w:rPr>
        <w:t>基金管理人接受某笔或者某些转换转入申请有可能导致单一投资者持有基金份额的比例达到或者超过50%，或者变相规避50%集中度的情形时。</w:t>
      </w:r>
    </w:p>
    <w:p w:rsidR="007C7289" w:rsidRPr="00533AE6" w:rsidRDefault="007C7289" w:rsidP="007C7289">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7</w:t>
      </w:r>
      <w:r w:rsidRPr="00533AE6">
        <w:rPr>
          <w:rFonts w:asciiTheme="minorEastAsia" w:eastAsiaTheme="minorEastAsia" w:hAnsiTheme="minorEastAsia" w:hint="eastAsia"/>
        </w:rPr>
        <w:t>、当一笔新的转换</w:t>
      </w:r>
      <w:r w:rsidRPr="00533AE6">
        <w:rPr>
          <w:rFonts w:asciiTheme="minorEastAsia" w:eastAsiaTheme="minorEastAsia" w:hAnsiTheme="minorEastAsia"/>
        </w:rPr>
        <w:t>转入</w:t>
      </w:r>
      <w:r w:rsidRPr="00533AE6">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C7289" w:rsidRPr="00533AE6" w:rsidRDefault="007C7289" w:rsidP="007C7289">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8</w:t>
      </w:r>
      <w:r w:rsidRPr="00533AE6">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896494" w:rsidRPr="00533AE6" w:rsidRDefault="007C7289">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9</w:t>
      </w:r>
      <w:r w:rsidR="00E06EC4" w:rsidRPr="00533AE6">
        <w:rPr>
          <w:rFonts w:asciiTheme="minorEastAsia" w:eastAsiaTheme="minorEastAsia" w:hAnsiTheme="minorEastAsia"/>
        </w:rPr>
        <w:t>、法律法规规定或经中国证监会认定的其他情形。</w:t>
      </w:r>
    </w:p>
    <w:p w:rsidR="00266A27" w:rsidRPr="00533AE6" w:rsidRDefault="00917138"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发生上述</w:t>
      </w:r>
      <w:r w:rsidR="00A40B1D" w:rsidRPr="00533AE6">
        <w:rPr>
          <w:rFonts w:asciiTheme="minorEastAsia" w:eastAsiaTheme="minorEastAsia" w:hAnsiTheme="minorEastAsia"/>
          <w:kern w:val="0"/>
          <w:szCs w:val="18"/>
        </w:rPr>
        <w:t>1</w:t>
      </w:r>
      <w:r w:rsidR="00A40B1D" w:rsidRPr="00533AE6">
        <w:rPr>
          <w:rFonts w:asciiTheme="minorEastAsia" w:eastAsiaTheme="minorEastAsia" w:hAnsiTheme="minorEastAsia" w:hint="eastAsia"/>
          <w:kern w:val="0"/>
          <w:szCs w:val="18"/>
        </w:rPr>
        <w:t>、</w:t>
      </w:r>
      <w:r w:rsidR="00A40B1D" w:rsidRPr="00533AE6">
        <w:rPr>
          <w:rFonts w:asciiTheme="minorEastAsia" w:eastAsiaTheme="minorEastAsia" w:hAnsiTheme="minorEastAsia"/>
          <w:kern w:val="0"/>
          <w:szCs w:val="18"/>
        </w:rPr>
        <w:t>2、3、4</w:t>
      </w:r>
      <w:r w:rsidR="00A40B1D" w:rsidRPr="00533AE6">
        <w:rPr>
          <w:rFonts w:asciiTheme="minorEastAsia" w:eastAsiaTheme="minorEastAsia" w:hAnsiTheme="minorEastAsia" w:hint="eastAsia"/>
          <w:kern w:val="0"/>
          <w:szCs w:val="18"/>
        </w:rPr>
        <w:t>、</w:t>
      </w:r>
      <w:r w:rsidR="00A40B1D" w:rsidRPr="00533AE6">
        <w:rPr>
          <w:rFonts w:asciiTheme="minorEastAsia" w:eastAsiaTheme="minorEastAsia" w:hAnsiTheme="minorEastAsia"/>
          <w:kern w:val="0"/>
          <w:szCs w:val="18"/>
        </w:rPr>
        <w:t>5、7、8</w:t>
      </w:r>
      <w:r w:rsidR="00A40B1D" w:rsidRPr="00533AE6">
        <w:rPr>
          <w:rFonts w:asciiTheme="minorEastAsia" w:eastAsiaTheme="minorEastAsia" w:hAnsiTheme="minorEastAsia" w:hint="eastAsia"/>
          <w:kern w:val="0"/>
          <w:szCs w:val="18"/>
        </w:rPr>
        <w:t>、</w:t>
      </w:r>
      <w:r w:rsidR="00A40B1D" w:rsidRPr="00533AE6">
        <w:rPr>
          <w:rFonts w:asciiTheme="minorEastAsia" w:eastAsiaTheme="minorEastAsia" w:hAnsiTheme="minorEastAsia"/>
          <w:kern w:val="0"/>
          <w:szCs w:val="18"/>
        </w:rPr>
        <w:t>9</w:t>
      </w:r>
      <w:r w:rsidR="008F0C3D" w:rsidRPr="00533AE6">
        <w:rPr>
          <w:rFonts w:asciiTheme="minorEastAsia" w:eastAsiaTheme="minorEastAsia" w:hAnsiTheme="minorEastAsia" w:hint="eastAsia"/>
          <w:kern w:val="0"/>
          <w:szCs w:val="18"/>
        </w:rPr>
        <w:t>项</w:t>
      </w:r>
      <w:r w:rsidRPr="00533AE6">
        <w:rPr>
          <w:rFonts w:asciiTheme="minorEastAsia" w:eastAsiaTheme="minorEastAsia" w:hAnsiTheme="minorEastAsia"/>
        </w:rPr>
        <w:t>暂停基金转换时，基金管理人应当在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刊登相关公告。</w:t>
      </w:r>
    </w:p>
    <w:p w:rsidR="00266A27" w:rsidRPr="00533AE6" w:rsidRDefault="00495ABE" w:rsidP="005A15F8">
      <w:pPr>
        <w:pStyle w:val="1"/>
        <w:pageBreakBefore/>
        <w:widowControl/>
        <w:snapToGrid w:val="0"/>
        <w:spacing w:beforeLines="0" w:afterLines="0" w:line="360" w:lineRule="auto"/>
        <w:ind w:left="-420" w:firstLineChars="0" w:firstLine="0"/>
        <w:rPr>
          <w:rFonts w:asciiTheme="minorEastAsia" w:eastAsiaTheme="minorEastAsia" w:hAnsiTheme="minorEastAsia"/>
          <w:bCs/>
          <w:szCs w:val="21"/>
        </w:rPr>
      </w:pPr>
      <w:bookmarkStart w:id="121" w:name="_Toc86560070"/>
      <w:bookmarkStart w:id="122" w:name="_Toc86635162"/>
      <w:bookmarkStart w:id="123" w:name="_Toc91335002"/>
      <w:bookmarkStart w:id="124" w:name="_Toc46933239"/>
      <w:r w:rsidRPr="00533AE6">
        <w:rPr>
          <w:rFonts w:asciiTheme="minorEastAsia" w:eastAsiaTheme="minorEastAsia" w:hAnsiTheme="minorEastAsia" w:hint="eastAsia"/>
        </w:rPr>
        <w:lastRenderedPageBreak/>
        <w:t>十、</w:t>
      </w:r>
      <w:r w:rsidR="00266A27" w:rsidRPr="00533AE6">
        <w:rPr>
          <w:rFonts w:asciiTheme="minorEastAsia" w:eastAsiaTheme="minorEastAsia" w:hAnsiTheme="minorEastAsia" w:hint="eastAsia"/>
        </w:rPr>
        <w:t>基金的非交易过户、转托管</w:t>
      </w:r>
      <w:r w:rsidR="00E46530" w:rsidRPr="00533AE6">
        <w:rPr>
          <w:rFonts w:asciiTheme="minorEastAsia" w:eastAsiaTheme="minorEastAsia" w:hAnsiTheme="minorEastAsia" w:hint="eastAsia"/>
        </w:rPr>
        <w:t>及</w:t>
      </w:r>
      <w:r w:rsidR="00ED3D63" w:rsidRPr="00533AE6">
        <w:rPr>
          <w:rFonts w:asciiTheme="minorEastAsia" w:eastAsiaTheme="minorEastAsia" w:hAnsiTheme="minorEastAsia" w:hint="eastAsia"/>
          <w:bCs/>
          <w:szCs w:val="21"/>
        </w:rPr>
        <w:t>冻结与解冻</w:t>
      </w:r>
      <w:bookmarkEnd w:id="121"/>
      <w:bookmarkEnd w:id="122"/>
      <w:bookmarkEnd w:id="123"/>
      <w:bookmarkEnd w:id="124"/>
    </w:p>
    <w:p w:rsidR="00F64A47" w:rsidRPr="00533AE6" w:rsidRDefault="00F64A47" w:rsidP="005A15F8">
      <w:pPr>
        <w:snapToGrid w:val="0"/>
        <w:spacing w:line="360" w:lineRule="auto"/>
        <w:ind w:left="-420" w:firstLine="420"/>
        <w:rPr>
          <w:rFonts w:asciiTheme="minorEastAsia" w:eastAsiaTheme="minorEastAsia" w:hAnsiTheme="minorEastAsia"/>
        </w:rPr>
      </w:pP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（一）注册登记机构只受理继承、捐赠、司法强制执行和经注册登记机构认可的其他情况下的非交易过户。其中：</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“继承”指基金份额持有人死亡,其持有的基金份额由其合法的继承人继承；</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“捐赠”仅指基金份额持有人将其合法持有的基金份额捐赠给福利性质的基金会或社会团体的情形；</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“司法强制执行”是指司法机构依据生效司法文书将基金份额持有人持有的基金份额强制划转给其他自然人、法人、社会团体或其他组织。</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办理非交易过户业务必须提供注册登记机构规定的相关资料。</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（二）符合条件的非交易过户申请自申请受理日起两个月内办理；申请人按注册登记机构规定的标准缴纳过户费用。</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（三）基金份额持有人可以办理其基金份额在不同销售机构的转托管手续。基金销售机构可以按照其业务规则规定的标准收取转托管费。</w:t>
      </w:r>
    </w:p>
    <w:p w:rsidR="00896494" w:rsidRPr="00533AE6" w:rsidRDefault="00E06EC4">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四）注册登记机构只受理国家有权机关依法要求的基金账户或基金份额的冻结与解冻，以及注册登记机构认可的、符合法律法规的其他情况下的冻结与解冻。基金账户或基金份额被冻结的，被冻结部分产生的权益（包括现金分红和红利再投资）一并冻结。</w:t>
      </w:r>
    </w:p>
    <w:p w:rsidR="007B186E" w:rsidRPr="00533AE6" w:rsidRDefault="00790D35" w:rsidP="005A15F8">
      <w:pPr>
        <w:snapToGrid w:val="0"/>
        <w:spacing w:line="360" w:lineRule="auto"/>
        <w:ind w:left="-420" w:firstLineChars="150" w:firstLine="315"/>
        <w:rPr>
          <w:rFonts w:asciiTheme="minorEastAsia" w:eastAsiaTheme="minorEastAsia" w:hAnsiTheme="minorEastAsia"/>
        </w:rPr>
      </w:pPr>
      <w:r w:rsidRPr="00533AE6">
        <w:rPr>
          <w:rFonts w:asciiTheme="minorEastAsia" w:eastAsiaTheme="minorEastAsia" w:hAnsiTheme="minorEastAsia"/>
          <w:kern w:val="0"/>
          <w:szCs w:val="21"/>
        </w:rPr>
        <w:t>（五）如相关法律法规允许基金管理人办理基金份额的质押业务或其他基金业务，基金管理人将制定和实施相应的业务规则。</w:t>
      </w:r>
    </w:p>
    <w:p w:rsidR="007F21A0" w:rsidRPr="00533AE6" w:rsidRDefault="007F21A0" w:rsidP="005A15F8">
      <w:pPr>
        <w:pStyle w:val="1"/>
        <w:snapToGrid w:val="0"/>
        <w:spacing w:beforeLines="0" w:afterLines="0" w:line="360" w:lineRule="auto"/>
        <w:ind w:left="-420" w:firstLineChars="0" w:firstLine="0"/>
        <w:rPr>
          <w:rFonts w:asciiTheme="minorEastAsia" w:eastAsiaTheme="minorEastAsia" w:hAnsiTheme="minorEastAsia"/>
          <w:bCs/>
        </w:rPr>
        <w:sectPr w:rsidR="007F21A0" w:rsidRPr="00533AE6" w:rsidSect="00F67DBE">
          <w:pgSz w:w="11907" w:h="16840" w:code="9"/>
          <w:pgMar w:top="1701" w:right="1814" w:bottom="1701" w:left="1814" w:header="1134" w:footer="1247" w:gutter="0"/>
          <w:cols w:space="425"/>
          <w:docGrid w:type="lines" w:linePitch="312"/>
        </w:sectPr>
      </w:pPr>
      <w:bookmarkStart w:id="125" w:name="_Toc52310853"/>
    </w:p>
    <w:p w:rsidR="00266A27" w:rsidRPr="00533AE6" w:rsidRDefault="00266A27" w:rsidP="005A15F8">
      <w:pPr>
        <w:pStyle w:val="1"/>
        <w:snapToGrid w:val="0"/>
        <w:spacing w:beforeLines="0" w:afterLines="0" w:line="360" w:lineRule="auto"/>
        <w:ind w:left="-420" w:firstLineChars="0" w:firstLine="0"/>
        <w:rPr>
          <w:rFonts w:asciiTheme="minorEastAsia" w:eastAsiaTheme="minorEastAsia" w:hAnsiTheme="minorEastAsia"/>
        </w:rPr>
      </w:pPr>
      <w:bookmarkStart w:id="126" w:name="_Toc46933240"/>
      <w:r w:rsidRPr="00533AE6">
        <w:rPr>
          <w:rFonts w:asciiTheme="minorEastAsia" w:eastAsiaTheme="minorEastAsia" w:hAnsiTheme="minorEastAsia" w:hint="eastAsia"/>
          <w:bCs/>
        </w:rPr>
        <w:lastRenderedPageBreak/>
        <w:t>十一、基金的投资</w:t>
      </w:r>
      <w:bookmarkEnd w:id="126"/>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szCs w:val="21"/>
        </w:rPr>
      </w:pPr>
      <w:bookmarkStart w:id="127" w:name="_Toc46933241"/>
      <w:bookmarkStart w:id="128" w:name="_Toc52310848"/>
      <w:bookmarkStart w:id="129" w:name="_Toc64861723"/>
      <w:r w:rsidRPr="00533AE6">
        <w:rPr>
          <w:rFonts w:asciiTheme="minorEastAsia" w:eastAsiaTheme="minorEastAsia" w:hAnsiTheme="minorEastAsia" w:hint="eastAsia"/>
          <w:b w:val="0"/>
          <w:szCs w:val="21"/>
        </w:rPr>
        <w:t>（一）投资目标</w:t>
      </w:r>
      <w:bookmarkEnd w:id="127"/>
    </w:p>
    <w:p w:rsidR="00421CC9" w:rsidRPr="00533AE6" w:rsidRDefault="00790D35"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本基金主要投资医疗保健行业股票，在严格控制风险的前提下，追求超越业绩比较基准的投资回报。</w:t>
      </w:r>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szCs w:val="21"/>
        </w:rPr>
      </w:pPr>
      <w:bookmarkStart w:id="130" w:name="_Toc46933242"/>
      <w:r w:rsidRPr="00533AE6">
        <w:rPr>
          <w:rFonts w:asciiTheme="minorEastAsia" w:eastAsiaTheme="minorEastAsia" w:hAnsiTheme="minorEastAsia" w:hint="eastAsia"/>
          <w:b w:val="0"/>
          <w:szCs w:val="21"/>
        </w:rPr>
        <w:t>（二）投资范围</w:t>
      </w:r>
      <w:bookmarkEnd w:id="130"/>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的投资范围为具有良好流动性的金融工具，包括国内依法发行、上市的股票、债券、权证、资产支持证券、货币市场工具、股指期货及法律法规或中国证监会允许基金投资的其他金融工具。本基金可以投资在创业板市场发行、上市的股票及创业板上市公司发行的债券。</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本基金根据相关法律法规或中国证监会要求履行相关手续后，还可以投资于法律法规或中国证监会未来允许基金投资的其它金融工具。</w:t>
      </w:r>
    </w:p>
    <w:p w:rsidR="00D44277" w:rsidRPr="00533AE6" w:rsidRDefault="00790D35"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本基金为混合型基金，股票资产占基金资产净值的比例为60%—95%，现金以及到期日在一年以内的政府债券不低于基金资产净值的5%</w:t>
      </w:r>
      <w:r w:rsidR="00046ACC" w:rsidRPr="00533AE6">
        <w:rPr>
          <w:rFonts w:asciiTheme="minorEastAsia" w:eastAsiaTheme="minorEastAsia" w:hAnsiTheme="minorEastAsia" w:hint="eastAsia"/>
          <w:kern w:val="0"/>
          <w:szCs w:val="21"/>
        </w:rPr>
        <w:t>，现金不包括结算备付金、存出保证金、应收申购款等</w:t>
      </w:r>
      <w:r w:rsidRPr="00533AE6">
        <w:rPr>
          <w:rFonts w:asciiTheme="minorEastAsia" w:eastAsiaTheme="minorEastAsia" w:hAnsiTheme="minorEastAsia"/>
        </w:rPr>
        <w:t>，权证、股指期货及其他金融工具的投资比例依照法律法规或监管机构的规定执行。本基金投资于上海申银万国证券研究所有限公司（以下简称“申万研究”）界定的医药生物行业股票的比例不低于股票资产的85%。</w:t>
      </w:r>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szCs w:val="21"/>
        </w:rPr>
      </w:pPr>
      <w:bookmarkStart w:id="131" w:name="_Toc46933243"/>
      <w:r w:rsidRPr="00533AE6">
        <w:rPr>
          <w:rFonts w:asciiTheme="minorEastAsia" w:eastAsiaTheme="minorEastAsia" w:hAnsiTheme="minorEastAsia" w:hint="eastAsia"/>
          <w:b w:val="0"/>
          <w:szCs w:val="21"/>
        </w:rPr>
        <w:t>（三）投资理念</w:t>
      </w:r>
      <w:bookmarkEnd w:id="131"/>
    </w:p>
    <w:p w:rsidR="00421CC9" w:rsidRPr="00533AE6" w:rsidRDefault="00790D35"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本基金通过投资具有较强竞争优势的医疗保健行业上市公司，把握中国医疗保健行业发展中的投资机会，力争实现基金资产的长期稳健增值。</w:t>
      </w:r>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szCs w:val="21"/>
        </w:rPr>
      </w:pPr>
      <w:bookmarkStart w:id="132" w:name="_Toc46933244"/>
      <w:r w:rsidRPr="00533AE6">
        <w:rPr>
          <w:rFonts w:asciiTheme="minorEastAsia" w:eastAsiaTheme="minorEastAsia" w:hAnsiTheme="minorEastAsia" w:hint="eastAsia"/>
          <w:b w:val="0"/>
          <w:szCs w:val="21"/>
        </w:rPr>
        <w:t>（四）投资策略</w:t>
      </w:r>
      <w:bookmarkEnd w:id="132"/>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1、资产配置策略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本基金基于定量与定性相结合的宏观及市场分析，确定组合中股票、债券、货币市场工具及其他金融工具的比例，追求更高收益，回避市场风险。</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资产配置中，本基金主要考虑：（1）宏观经济指标，包括GDP增长率、工业增加值、PPI、CPI、市场利率变化、进出口贸易数据、金融政策等，以判断经济波动对市场的影响；（2）微观经济指标，包括各行业主要企业的盈利变化情况及盈利预期；（3）市场方面指标，包括股票及债券市场的涨跌及预期收益率、市场整体估值水平及与国外市场的比较、市场资金供求关系及其变化；（4）政策因素，与证券市场密切相关的各种政策出台对市场的影响等。</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2、股票投资策略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（1）医疗保健行业股票的界定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本基金所指的医疗保健行业由从事医疗保健相关产品或服务研发、生产或销售的公司组成，包括化学制药行业、中药行业、生物制品行业、医药商业行业、医疗器械行业和医疗服务行业。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lastRenderedPageBreak/>
        <w:t>本基金进行医疗保健行业上市公司分类方法为：1）考虑上市公司最近2年的主营业务收入和主营业务利润的构成，当某一行业的主营业务收入和主营业务利润占该公司主营业务收入和主营业务利润的比例均超过50％时，直接归入该行业；2）当主营业务收入和主营业务利润比例不一致时，以利润指标为准，但适当考虑公司的发展规划和市场看法；3）当多个行业的收入和利润均较为接近时，考虑该公司的发展规划及控股公司的背景情况；4）当多个行业的收入和利润均较为接近且没有明显的发展规划和控股公司的背景时，归入综合类；5）当上市公司的投资收益超过主营业务利润时，考虑该投资收益来源的行业背景，如集中地来自于某一个行业，则归入该行业；如果不是集中地来自于某一个行业，则考虑该公司的发展规划和控股公司的背景，如果没有明显的发展规划和控股公司的背景时，归入综合类。</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采取的对医疗保健行业及股票的划分方法与申万研究医药生物行业的划分方法相同，为方便投资者了解本基金的股票投资方向，本基金规定，投资于申万研究界定的医药生物行业股票的比例不低于股票资产的85%。</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如果申万研究调整或停止行业分类，或者基金管理人认为有更适当的医疗保健行业划分标准，基金管理人有权对医疗保健行业的界定方法进行变更并及时公告。</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如因基金管理人界定医疗保健行业的方法调整或者上市公司经营发生变化等，本基金持有申万研究界定的医药生物行业股票的比例低于股票资产的85%，本基金将在三十个交易日之内进行调整。</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（2）行业配置策略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医疗保健行业根据所提供的产品与服务类别不同，可划分为不同的细分子行业。本基金将综合考虑以下因素，进行股票资产在各细分子行业间的配置。</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1）经济因素</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医疗保健行业各细分子行业受宏观经济形势影响，在经济周期各个阶段的表现不同，预期收益率存在较大差异。本基金将重点配置经济周期各个阶段预期收益率较高的子行业。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2）社会因素和政策因素</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医疗保健行业受社会因素和政策因素影响。社会因素包括人口因素、消费习惯等；政策因素包括政府产业政策、行业管理政策等。社会因素和政策因素对医疗保健行业各细分子行业的影响程度不同。本基金将动态关注社会因素影响和政府政策变化趋势，超配受惠于社会因素和政府政策变化的子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3）市场需求趋势</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医疗保健行业各细分子行业市场需求的变化趋势不同，有的表现为刚性需求，有的呈现较大弹性，导致不同子行业成长性出现差异。本基金将重点投资市场需求稳定或保持较高增长的细分子行业。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4）行业竞争格局</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lastRenderedPageBreak/>
        <w:t>医疗保健行业各细分子行业内部的竞争格局不同，行业利润率存在较大差异。本基金将重点投资行业进入壁垒较高、利润率稳定或保持增长的行业。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5）技术水平及其发展趋势</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技术进步情况影响医疗保健行业的长期生命力。医疗保健行业技术进步情况受市场需求、产业政策及国际化程度等因素影响。本基金将关注医疗保健行业各细分子行业的技术水平变化及其发展趋势，重点投资整体技术水平提高较快且发展趋势良好的子行业。</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（3）个股选择策略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在行业配置的基础上，本基金主要通过考虑以下因素对医疗保健行业上市公司的投资价值进行综合评估。在此基础上，本基金将精选具有较强竞争优势的上市公司。</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1）产品的竞争优势</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公司由于品牌、技术、营销、专利等因素，其产品在细分子行业具有显著的竞争优势，而且该优势能够在未来较长时间内继续保持。</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2）产品的生命周期</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医疗保健行业产品的生命周期一般包括导入期、成长期、成熟期和衰退期。产品处于成长期或成熟期的公司将是本基金的投资重点。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3）销售能力</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公司已建立完善的营销体系，能够最大限度地利用销售资源，整体销售能力较强，市场占有率较高。较强的销售能力不仅有助于增强公司的竞争优势，而且有助于延长产品的生命周期。</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4）管理能力</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公司已建立高效的管理团队，管理能力较强，在战略管理、生产管理、质量管理、技术管理、成本管理、营销管理等方面具有竞争对手无法比拟的优势。</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5）研发能力</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公司研发能力较强、对市场需求变化反应迅速，不仅能够根据市场需求变化对老产品进行快速改进，而且能够不断仿制或自主开发新产品。</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6）成长潜力</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公司成长性强，预期营业收入增长率或利润增长率高于行业平均水平，且具有可持续性。</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7）盈利能力</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公司盈利能力强，预期营业利润率或净资产收益率高于行业平均水平，且未来提升潜力较大。</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8）财务结构</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公司资产负债结构相对合理，财务风险较小。</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9）法人治理结构</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公司已建立起完善的法人治理结构，经营活动高效、有序。公司管理层稳定，且关心股东</w:t>
      </w:r>
      <w:r w:rsidRPr="00533AE6">
        <w:rPr>
          <w:rFonts w:asciiTheme="minorEastAsia" w:eastAsiaTheme="minorEastAsia" w:hAnsiTheme="minorEastAsia"/>
        </w:rPr>
        <w:lastRenderedPageBreak/>
        <w:t>利益。</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（4）估值水平分析</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精选医疗保健行业股票的基础上，基金管理人将对备选股票进行估值分析，采用的估值方法包括市盈率法（P/E）、市净率法（P/B）、市盈率－长期成长法（PEG）、企业价值/销售收入(EV/SALES)、企业价值/息税折旧摊销前利润法（EV/EBITDA）、自由现金流贴现模型（FCFF、FCFE）或股利贴现模型（DDM）等。</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通过估值水平分析，基金管理人将发掘出价值被低估或估值合理的股票。</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（5）股票组合的构建与调整</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将根据对医疗保健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3、债券投资策略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在券种选择上，本基金以长期利率趋势分析为基础，结合经济变化趋势、货币政策及不同债券品种的收益率水平、流动性和信用风险等因素，合理运用投资管理策略，实施积极主动的债券投资管理。</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随着国内债券市场的深入发展和结构性变迁，更多债券新品种和交易形式将增加债券投资盈利模式，本基金会密切跟踪市场动态变化，选择合适的介入机会，谋求高于市场平均水平的投资回报。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4、衍生产品投资策略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rsidR="00421CC9" w:rsidRPr="00533AE6" w:rsidRDefault="00790D35"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权证为本基金辅助性投资工具。权证的投资原则为有利于基金资产增值、控制下跌风险、实现保值和锁定收益。</w:t>
      </w:r>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3" w:name="_Toc46933245"/>
      <w:r w:rsidRPr="00533AE6">
        <w:rPr>
          <w:rFonts w:asciiTheme="minorEastAsia" w:eastAsiaTheme="minorEastAsia" w:hAnsiTheme="minorEastAsia" w:hint="eastAsia"/>
          <w:b w:val="0"/>
        </w:rPr>
        <w:lastRenderedPageBreak/>
        <w:t>（五）业绩比较基准</w:t>
      </w:r>
      <w:bookmarkEnd w:id="133"/>
    </w:p>
    <w:p w:rsidR="00790D35" w:rsidRPr="00533AE6" w:rsidRDefault="00790D35"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申万医药生物行业指数收益率×80%+中债总指数收益率×20%</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股票部分主要投资于医疗保健行业股票。申万医药生物行业指数对医疗保健行业股票具有较强的代表性，适合作为本基金股票部分的业绩比较基准。固定收益部分的业绩比较基准则采用了市场上通用的中债总指数。此外，本基金还按照预期的大类资产平均配置比例设置了业绩比较基准的权重。</w:t>
      </w:r>
    </w:p>
    <w:p w:rsidR="005C2B23" w:rsidRPr="00533AE6" w:rsidRDefault="00790D35"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如果指数编制单位停止计算编制该指数或更改指数名称、或有更适当的、更能为市场普遍接受的业绩比较基准推出，本基金管理人可以依据维护投资者合法权益的原则，调整业绩比较基准并及时公告。</w:t>
      </w:r>
    </w:p>
    <w:p w:rsidR="00DF19AD" w:rsidRPr="00533AE6" w:rsidRDefault="00DF19AD"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4" w:name="_Toc46933246"/>
      <w:r w:rsidRPr="00533AE6">
        <w:rPr>
          <w:rFonts w:asciiTheme="minorEastAsia" w:eastAsiaTheme="minorEastAsia" w:hAnsiTheme="minorEastAsia" w:hint="eastAsia"/>
          <w:b w:val="0"/>
        </w:rPr>
        <w:t>（六）风险收益特征</w:t>
      </w:r>
      <w:bookmarkEnd w:id="134"/>
    </w:p>
    <w:p w:rsidR="00421CC9" w:rsidRPr="00533AE6" w:rsidRDefault="00790D35"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本基金为混合基金，理论上其风险收益水平高于债券基金和货币市场基金，低于股票基金。同时，本基金为行业基金，在享受医疗保健行业收益的同时，也必须承担单一行业带来的风险。</w:t>
      </w:r>
    </w:p>
    <w:p w:rsidR="00DF19AD" w:rsidRPr="00533AE6" w:rsidRDefault="00871B3D"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5" w:name="_Toc46933247"/>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七</w:t>
      </w:r>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投资决策依据</w:t>
      </w:r>
      <w:bookmarkEnd w:id="135"/>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1、国家有关法律、法规和《基金合同》的规定；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2、政治形势、政策趋势和宏观经济形势；</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3、行业和上市公司基本面；</w:t>
      </w:r>
    </w:p>
    <w:p w:rsidR="00421CC9" w:rsidRPr="00533AE6" w:rsidRDefault="00790D35"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4、证券市场发展趋势。</w:t>
      </w:r>
    </w:p>
    <w:p w:rsidR="00DF19AD" w:rsidRPr="00533AE6" w:rsidRDefault="007F21A0"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6" w:name="_Toc46933248"/>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八</w:t>
      </w:r>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投资决策流程</w:t>
      </w:r>
      <w:bookmarkEnd w:id="136"/>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1、资产配置决策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基金经理制定资产配置计划，按制度提交审议并实施。</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2、类别资产投资决策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基金经理根据前述各类资产的投资策略，分别进行股票、债券和货币市场工具等资产类别的投资决策。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（1）股票投资决策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1）基金经理对影响医疗保健行业各子行业的因素进行综合分析，确定并调整各子行业资产配置比例；</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2）基金经理从医疗保健行业各子行业中选择具有较强竞争优势且估值具有吸引力的上市公司进行投资；</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3）基金经理根据各子行业及上市公司基本面变化、股票估值水平变化以及对组合风险的评估，持续地对组合进行优化调整。</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（2）债券及货币市场工具的投资决策</w:t>
      </w:r>
    </w:p>
    <w:p w:rsidR="00421CC9" w:rsidRPr="00533AE6" w:rsidRDefault="0015366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基金经理根据宏观研究员及债券研究员提供的研究报告，结合自身的分析判断，选择具体的债券（含可转债）和货币市场工具品种构造投资组合。</w:t>
      </w:r>
    </w:p>
    <w:p w:rsidR="00DB7A06" w:rsidRPr="00533AE6" w:rsidRDefault="00871B3D"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7" w:name="_Toc46933249"/>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九</w:t>
      </w:r>
      <w:r w:rsidRPr="00533AE6">
        <w:rPr>
          <w:rFonts w:asciiTheme="minorEastAsia" w:eastAsiaTheme="minorEastAsia" w:hAnsiTheme="minorEastAsia" w:hint="eastAsia"/>
          <w:b w:val="0"/>
        </w:rPr>
        <w:t>）</w:t>
      </w:r>
      <w:r w:rsidR="00DB7A06" w:rsidRPr="00533AE6">
        <w:rPr>
          <w:rFonts w:asciiTheme="minorEastAsia" w:eastAsiaTheme="minorEastAsia" w:hAnsiTheme="minorEastAsia" w:hint="eastAsia"/>
          <w:b w:val="0"/>
        </w:rPr>
        <w:t>投资禁止行为与限制</w:t>
      </w:r>
      <w:bookmarkEnd w:id="137"/>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1、禁止用本基金财产从事以下行为</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（1）承销证券；</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（2）向他人贷款或者提供担保；</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（3）从事承担无限责任的投资；</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（4）买卖其他基金份额，但是国务院另有规定的除外；</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（5）向基金管理人、基金托管人出资或者买卖基金管理人、基金托管人发行的股票或者债券；</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（6）买卖与基金管理人、基金托管人有控股关系的股东或者与基金管理人、基金托管人有其他重大利害关系的公司发行的证券或者承销期内承销的证券；</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（7）从事内幕交易、操纵证券交易价格及其他不正当的证券交易活动；</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（8）依照法律、行政法规有关法律法规规定，由国务院证券监督管理机构规定禁止的其他活动。</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2、基金投资组合比例限制</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（1）持有一家上市公司的股票，其市值不超过基金资产净值的10%；</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（2）本基金与基金管理人管理的其他基金持有一家公司发行的证券总和，不超过该证券的10%；</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（3）基金财产参与股票发行申购，本基金所申报的金额不超过基金总资产，本基金所申报的股票数量不超过拟发行股票公司本次发行股票的总量；</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（4）进入全国银行间同业市场的债券回购融入的资金余额不得超过基金资产净值的40%；</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5）本基金投资权证，在任何交易日买入的总金额，不超过上一交易日基金资产净值的0.5%，基金持有的全部权证的市值不超过基金资产净值的3％，本基金管理人管理的全部基金持有同一权证的比例不超过该权证的10％；</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6）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5A6EF0"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（7）在任何交易日日终，持有的买入股指期货合约价值，不得超过基金资产净值的10%；在任何交易日日终，持有的买入期货合约价值与有价证券市值之和,不得超过基金资产净值的</w:t>
      </w:r>
      <w:r w:rsidRPr="00533AE6">
        <w:rPr>
          <w:rFonts w:asciiTheme="minorEastAsia" w:eastAsiaTheme="minorEastAsia" w:hAnsiTheme="minorEastAsia"/>
        </w:rPr>
        <w:lastRenderedPageBreak/>
        <w:t>95％，其中，有价证券指股票、债券（不含到期日在一年以内的政府债券）、权证、资产支持证券、买入返售金融资产（不含质押式回购）等；在任何交易日日终，持有的卖出期货合约价值不得超过基金持有的股票总市值的20％；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r w:rsidR="00F54925" w:rsidRPr="00533AE6">
        <w:rPr>
          <w:rFonts w:asciiTheme="minorEastAsia" w:eastAsiaTheme="minorEastAsia" w:hAnsiTheme="minorEastAsia" w:hint="eastAsia"/>
        </w:rPr>
        <w:t>。</w:t>
      </w:r>
    </w:p>
    <w:p w:rsidR="00896494" w:rsidRPr="00533AE6" w:rsidRDefault="00711766">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w:t>
      </w:r>
      <w:r w:rsidRPr="00533AE6">
        <w:rPr>
          <w:rFonts w:asciiTheme="minorEastAsia" w:eastAsiaTheme="minorEastAsia" w:hAnsiTheme="minorEastAsia"/>
          <w:kern w:val="0"/>
          <w:szCs w:val="21"/>
        </w:rPr>
        <w:t>8</w:t>
      </w:r>
      <w:r w:rsidRPr="00533AE6">
        <w:rPr>
          <w:rFonts w:asciiTheme="minorEastAsia" w:eastAsiaTheme="minorEastAsia" w:hAnsiTheme="minorEastAsia" w:hint="eastAsia"/>
          <w:kern w:val="0"/>
          <w:szCs w:val="21"/>
        </w:rPr>
        <w:t>）</w:t>
      </w:r>
      <w:r w:rsidR="00E06EC4" w:rsidRPr="00533AE6">
        <w:rPr>
          <w:rFonts w:asciiTheme="minorEastAsia" w:eastAsiaTheme="minorEastAsia" w:hAnsiTheme="minorEastAsia"/>
        </w:rPr>
        <w:t>每个交易日日终在扣除股指期货合约需缴纳的交易保证金后，应当保持不低于基金资产净值5%的现金或到期日在一年以内的政府债券</w:t>
      </w:r>
      <w:r w:rsidR="005A6EF0" w:rsidRPr="00533AE6">
        <w:rPr>
          <w:rFonts w:asciiTheme="minorEastAsia" w:eastAsiaTheme="minorEastAsia" w:hAnsiTheme="minorEastAsia" w:hint="eastAsia"/>
          <w:kern w:val="0"/>
          <w:szCs w:val="21"/>
        </w:rPr>
        <w:t>，现金不包括结算备付金、存出保证金、应收申购款等</w:t>
      </w:r>
      <w:r w:rsidR="00E06EC4" w:rsidRPr="00533AE6">
        <w:rPr>
          <w:rFonts w:asciiTheme="minorEastAsia" w:eastAsiaTheme="minorEastAsia" w:hAnsiTheme="minorEastAsia"/>
        </w:rPr>
        <w:t>。</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9</w:t>
      </w:r>
      <w:r w:rsidRPr="00533AE6">
        <w:rPr>
          <w:rFonts w:asciiTheme="minorEastAsia" w:eastAsiaTheme="minorEastAsia" w:hAnsiTheme="minorEastAsia" w:hint="eastAsia"/>
        </w:rPr>
        <w:t>）本基金管理人管理的全部开放式基金持有一家上市公司发行的可流通股票，不得超过该上市公司可流通股票的</w:t>
      </w:r>
      <w:r w:rsidRPr="00533AE6">
        <w:rPr>
          <w:rFonts w:asciiTheme="minorEastAsia" w:eastAsiaTheme="minorEastAsia" w:hAnsiTheme="minorEastAsia"/>
        </w:rPr>
        <w:t>15%</w:t>
      </w:r>
      <w:r w:rsidRPr="00533AE6">
        <w:rPr>
          <w:rFonts w:asciiTheme="minorEastAsia" w:eastAsiaTheme="minorEastAsia" w:hAnsiTheme="minorEastAsia" w:hint="eastAsia"/>
        </w:rPr>
        <w:t>；本基金管理人管理的全部投资组合持有一家上市公司发行的可流通股票，不得超过该上市公司可流通股票的</w:t>
      </w:r>
      <w:r w:rsidRPr="00533AE6">
        <w:rPr>
          <w:rFonts w:asciiTheme="minorEastAsia" w:eastAsiaTheme="minorEastAsia" w:hAnsiTheme="minorEastAsia"/>
        </w:rPr>
        <w:t>30%</w:t>
      </w:r>
      <w:r w:rsidRPr="00533AE6">
        <w:rPr>
          <w:rFonts w:asciiTheme="minorEastAsia" w:eastAsiaTheme="minorEastAsia" w:hAnsiTheme="minorEastAsia" w:hint="eastAsia"/>
        </w:rPr>
        <w:t>。</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10</w:t>
      </w:r>
      <w:r w:rsidRPr="00533AE6">
        <w:rPr>
          <w:rFonts w:asciiTheme="minorEastAsia" w:eastAsiaTheme="minorEastAsia" w:hAnsiTheme="minorEastAsia" w:hint="eastAsia"/>
        </w:rPr>
        <w:t>）本基金主动投资于流动性受限资产的市值合计不得超过该基金资产净值的</w:t>
      </w:r>
      <w:r w:rsidRPr="00533AE6">
        <w:rPr>
          <w:rFonts w:asciiTheme="minorEastAsia" w:eastAsiaTheme="minorEastAsia" w:hAnsiTheme="minorEastAsia"/>
        </w:rPr>
        <w:t>15%</w:t>
      </w:r>
      <w:r w:rsidRPr="00533AE6">
        <w:rPr>
          <w:rFonts w:asciiTheme="minorEastAsia" w:eastAsiaTheme="minorEastAsia" w:hAnsiTheme="minorEastAsia" w:hint="eastAsia"/>
        </w:rPr>
        <w:t>。</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FE37C0" w:rsidRPr="00533AE6" w:rsidRDefault="003C6D3F" w:rsidP="0019369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11</w:t>
      </w:r>
      <w:r w:rsidRPr="00533AE6">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896494" w:rsidRPr="00533AE6" w:rsidRDefault="00E06EC4">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w:t>
      </w:r>
      <w:r w:rsidR="005A6EF0" w:rsidRPr="00533AE6">
        <w:rPr>
          <w:rFonts w:asciiTheme="minorEastAsia" w:eastAsiaTheme="minorEastAsia" w:hAnsiTheme="minorEastAsia"/>
        </w:rPr>
        <w:t>12</w:t>
      </w:r>
      <w:r w:rsidRPr="00533AE6">
        <w:rPr>
          <w:rFonts w:asciiTheme="minorEastAsia" w:eastAsiaTheme="minorEastAsia" w:hAnsiTheme="minorEastAsia"/>
        </w:rPr>
        <w:t>）法律法规和基金合同规定的其他投资比例限制。</w:t>
      </w:r>
    </w:p>
    <w:p w:rsidR="00DB7A06" w:rsidRPr="00533AE6" w:rsidRDefault="00153667"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3、若将来法律法规或中国证监会的相关规定发生修改或变更，致使本款前述约定的投资禁止行为和投资组合比例限制被修改或取消，基金管理人在依法履行相应程序后，本基金可相应调整禁止行为和投资限制规定。</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8" w:name="_Toc46933250"/>
      <w:r w:rsidRPr="00533AE6">
        <w:rPr>
          <w:rFonts w:asciiTheme="minorEastAsia" w:eastAsiaTheme="minorEastAsia" w:hAnsiTheme="minorEastAsia" w:hint="eastAsia"/>
          <w:b w:val="0"/>
        </w:rPr>
        <w:t>（十）投资组合比例调整</w:t>
      </w:r>
      <w:bookmarkEnd w:id="138"/>
    </w:p>
    <w:p w:rsidR="00DB7A06" w:rsidRPr="00533AE6" w:rsidRDefault="0015366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基金管理人应当自基金合同生效之日起六个月内使基金的投资组合比例符合基金合同的约定。</w:t>
      </w:r>
      <w:r w:rsidR="00BC1924" w:rsidRPr="00533AE6">
        <w:rPr>
          <w:rFonts w:asciiTheme="minorEastAsia" w:eastAsiaTheme="minorEastAsia" w:hAnsiTheme="minorEastAsia" w:hint="eastAsia"/>
          <w:kern w:val="0"/>
          <w:szCs w:val="21"/>
        </w:rPr>
        <w:t>除上述（</w:t>
      </w:r>
      <w:r w:rsidR="00BC1924" w:rsidRPr="00533AE6">
        <w:rPr>
          <w:rFonts w:asciiTheme="minorEastAsia" w:eastAsiaTheme="minorEastAsia" w:hAnsiTheme="minorEastAsia"/>
          <w:kern w:val="0"/>
          <w:szCs w:val="21"/>
        </w:rPr>
        <w:t>3</w:t>
      </w:r>
      <w:r w:rsidR="00BC1924" w:rsidRPr="00533AE6">
        <w:rPr>
          <w:rFonts w:asciiTheme="minorEastAsia" w:eastAsiaTheme="minorEastAsia" w:hAnsiTheme="minorEastAsia" w:hint="eastAsia"/>
          <w:kern w:val="0"/>
          <w:szCs w:val="21"/>
        </w:rPr>
        <w:t>）、（</w:t>
      </w:r>
      <w:r w:rsidR="00BC1924" w:rsidRPr="00533AE6">
        <w:rPr>
          <w:rFonts w:asciiTheme="minorEastAsia" w:eastAsiaTheme="minorEastAsia" w:hAnsiTheme="minorEastAsia"/>
          <w:kern w:val="0"/>
          <w:szCs w:val="21"/>
        </w:rPr>
        <w:t>8</w:t>
      </w:r>
      <w:r w:rsidR="00BC1924" w:rsidRPr="00533AE6">
        <w:rPr>
          <w:rFonts w:asciiTheme="minorEastAsia" w:eastAsiaTheme="minorEastAsia" w:hAnsiTheme="minorEastAsia" w:hint="eastAsia"/>
          <w:kern w:val="0"/>
          <w:szCs w:val="21"/>
        </w:rPr>
        <w:t>）、（</w:t>
      </w:r>
      <w:r w:rsidR="00BC1924" w:rsidRPr="00533AE6">
        <w:rPr>
          <w:rFonts w:asciiTheme="minorEastAsia" w:eastAsiaTheme="minorEastAsia" w:hAnsiTheme="minorEastAsia"/>
          <w:kern w:val="0"/>
          <w:szCs w:val="21"/>
        </w:rPr>
        <w:t>10</w:t>
      </w:r>
      <w:r w:rsidR="00BC1924" w:rsidRPr="00533AE6">
        <w:rPr>
          <w:rFonts w:asciiTheme="minorEastAsia" w:eastAsiaTheme="minorEastAsia" w:hAnsiTheme="minorEastAsia" w:hint="eastAsia"/>
          <w:kern w:val="0"/>
          <w:szCs w:val="21"/>
        </w:rPr>
        <w:t>）、</w:t>
      </w:r>
      <w:r w:rsidR="00BC1924" w:rsidRPr="00533AE6">
        <w:rPr>
          <w:rFonts w:asciiTheme="minorEastAsia" w:eastAsiaTheme="minorEastAsia" w:hAnsiTheme="minorEastAsia"/>
          <w:kern w:val="0"/>
          <w:szCs w:val="21"/>
        </w:rPr>
        <w:t>（11）</w:t>
      </w:r>
      <w:r w:rsidR="00BC1924" w:rsidRPr="00533AE6">
        <w:rPr>
          <w:rFonts w:asciiTheme="minorEastAsia" w:eastAsiaTheme="minorEastAsia" w:hAnsiTheme="minorEastAsia" w:hint="eastAsia"/>
          <w:kern w:val="0"/>
          <w:szCs w:val="21"/>
        </w:rPr>
        <w:t>以外，</w:t>
      </w:r>
      <w:r w:rsidRPr="00533AE6">
        <w:rPr>
          <w:rFonts w:asciiTheme="minorEastAsia" w:eastAsiaTheme="minorEastAsia" w:hAnsiTheme="minorEastAsia"/>
        </w:rPr>
        <w:t>因证券市场波动、上市公司合并、基金规模变动等基金管理人之外的因素致使基金投资不符合基金合同约定的投资比例规定的，基金管理人应当在十个交易日内进行调整。法律法规或监管机构另有规定时，从其规定。</w:t>
      </w:r>
    </w:p>
    <w:p w:rsidR="00DF19AD" w:rsidRPr="00533AE6" w:rsidRDefault="007F21A0"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39" w:name="_Toc46933251"/>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十一</w:t>
      </w:r>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基金管理人代表基金行使股东权利的处理原则及方法</w:t>
      </w:r>
      <w:bookmarkEnd w:id="139"/>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1、基金管理人按照国家有关规定代表基金独立行使股东权利，保护基金份额持有人的利益；</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2、不谋求对上市公司的控股，不参与所投资上市公司的经营管理；</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3、有利于基金财产的安全与增值；</w:t>
      </w:r>
    </w:p>
    <w:p w:rsidR="00DF19AD" w:rsidRPr="00533AE6" w:rsidRDefault="0015366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4、不通过关联交易为自身、雇员、授权代理人或任何存在利害关系的第三人牟取任何不当利益。</w:t>
      </w:r>
    </w:p>
    <w:p w:rsidR="00DF19AD" w:rsidRPr="00533AE6" w:rsidRDefault="007F21A0"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0" w:name="_Toc46933252"/>
      <w:r w:rsidRPr="00533AE6">
        <w:rPr>
          <w:rFonts w:asciiTheme="minorEastAsia" w:eastAsiaTheme="minorEastAsia" w:hAnsiTheme="minorEastAsia" w:hint="eastAsia"/>
          <w:b w:val="0"/>
        </w:rPr>
        <w:lastRenderedPageBreak/>
        <w:t>（</w:t>
      </w:r>
      <w:r w:rsidR="00DF19AD" w:rsidRPr="00533AE6">
        <w:rPr>
          <w:rFonts w:asciiTheme="minorEastAsia" w:eastAsiaTheme="minorEastAsia" w:hAnsiTheme="minorEastAsia" w:hint="eastAsia"/>
          <w:b w:val="0"/>
        </w:rPr>
        <w:t>十二</w:t>
      </w:r>
      <w:r w:rsidRPr="00533AE6">
        <w:rPr>
          <w:rFonts w:asciiTheme="minorEastAsia" w:eastAsiaTheme="minorEastAsia" w:hAnsiTheme="minorEastAsia" w:hint="eastAsia"/>
          <w:b w:val="0"/>
        </w:rPr>
        <w:t>）</w:t>
      </w:r>
      <w:r w:rsidR="00DF19AD" w:rsidRPr="00533AE6">
        <w:rPr>
          <w:rFonts w:asciiTheme="minorEastAsia" w:eastAsiaTheme="minorEastAsia" w:hAnsiTheme="minorEastAsia" w:hint="eastAsia"/>
          <w:b w:val="0"/>
        </w:rPr>
        <w:t>基金的融资、融券</w:t>
      </w:r>
      <w:bookmarkEnd w:id="140"/>
    </w:p>
    <w:p w:rsidR="00DF19AD" w:rsidRPr="00533AE6" w:rsidRDefault="0015366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本基金可以根据有关法律法规和政策的规定进行融资、融券。</w:t>
      </w:r>
    </w:p>
    <w:p w:rsidR="0029693A" w:rsidRPr="00533AE6" w:rsidRDefault="0029693A"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1" w:name="_Toc294024351"/>
      <w:bookmarkStart w:id="142" w:name="_Toc46933253"/>
      <w:r w:rsidRPr="00533AE6">
        <w:rPr>
          <w:rFonts w:asciiTheme="minorEastAsia" w:eastAsiaTheme="minorEastAsia" w:hAnsiTheme="minorEastAsia" w:hint="eastAsia"/>
          <w:b w:val="0"/>
        </w:rPr>
        <w:t>（十</w:t>
      </w:r>
      <w:r w:rsidR="00750968" w:rsidRPr="00533AE6">
        <w:rPr>
          <w:rFonts w:asciiTheme="minorEastAsia" w:eastAsiaTheme="minorEastAsia" w:hAnsiTheme="minorEastAsia" w:hint="eastAsia"/>
          <w:b w:val="0"/>
        </w:rPr>
        <w:t>三</w:t>
      </w:r>
      <w:r w:rsidRPr="00533AE6">
        <w:rPr>
          <w:rFonts w:asciiTheme="minorEastAsia" w:eastAsiaTheme="minorEastAsia" w:hAnsiTheme="minorEastAsia" w:hint="eastAsia"/>
          <w:b w:val="0"/>
        </w:rPr>
        <w:t>）基金投资组合报告（未经审计）</w:t>
      </w:r>
      <w:bookmarkEnd w:id="141"/>
      <w:bookmarkEnd w:id="142"/>
    </w:p>
    <w:p w:rsidR="00896494" w:rsidRPr="00533AE6" w:rsidRDefault="00E06EC4">
      <w:pPr>
        <w:autoSpaceDE w:val="0"/>
        <w:autoSpaceDN w:val="0"/>
        <w:adjustRightInd w:val="0"/>
        <w:spacing w:line="360" w:lineRule="auto"/>
        <w:ind w:left="-420" w:firstLine="420"/>
        <w:jc w:val="left"/>
        <w:rPr>
          <w:rFonts w:asciiTheme="minorEastAsia" w:eastAsiaTheme="minorEastAsia" w:hAnsiTheme="minorEastAsia"/>
          <w:szCs w:val="21"/>
        </w:rPr>
      </w:pPr>
      <w:r w:rsidRPr="00533AE6">
        <w:rPr>
          <w:rFonts w:asciiTheme="minorEastAsia" w:eastAsiaTheme="minorEastAsia" w:hAnsiTheme="minorEastAsia"/>
        </w:rPr>
        <w:t>本基金管理人的董事会及董事保证本报告所载资料不存在虚假记载、误导性陈述或重大遗漏，并对其内容的真实性、准确性和完整性承担个别及连带责任。</w:t>
      </w:r>
    </w:p>
    <w:p w:rsidR="00896494" w:rsidRPr="00533AE6" w:rsidRDefault="00E06EC4">
      <w:pPr>
        <w:autoSpaceDE w:val="0"/>
        <w:autoSpaceDN w:val="0"/>
        <w:adjustRightInd w:val="0"/>
        <w:spacing w:line="360" w:lineRule="auto"/>
        <w:ind w:left="-420" w:firstLine="420"/>
        <w:jc w:val="left"/>
        <w:rPr>
          <w:rFonts w:asciiTheme="minorEastAsia" w:eastAsiaTheme="minorEastAsia" w:hAnsiTheme="minorEastAsia"/>
          <w:szCs w:val="21"/>
        </w:rPr>
      </w:pPr>
      <w:r w:rsidRPr="00533AE6">
        <w:rPr>
          <w:rFonts w:asciiTheme="minorEastAsia" w:eastAsiaTheme="minorEastAsia" w:hAnsiTheme="minorEastAsia"/>
        </w:rPr>
        <w:t>本基金的托管人中国银行股份有限公司根据本基金合同的规定，复核了本报告的内容，保证复核内容不存在虚假记载、误导性陈述或者重大遗漏。</w:t>
      </w:r>
    </w:p>
    <w:p w:rsidR="00325E57" w:rsidRPr="00533AE6" w:rsidRDefault="00713E37" w:rsidP="005A15F8">
      <w:pPr>
        <w:autoSpaceDE w:val="0"/>
        <w:autoSpaceDN w:val="0"/>
        <w:adjustRightInd w:val="0"/>
        <w:spacing w:line="360" w:lineRule="auto"/>
        <w:ind w:left="-420" w:firstLine="420"/>
        <w:jc w:val="left"/>
        <w:rPr>
          <w:rFonts w:asciiTheme="minorEastAsia" w:eastAsiaTheme="minorEastAsia" w:hAnsiTheme="minorEastAsia"/>
          <w:szCs w:val="21"/>
        </w:rPr>
      </w:pPr>
      <w:r w:rsidRPr="00533AE6">
        <w:rPr>
          <w:rFonts w:asciiTheme="minorEastAsia" w:eastAsiaTheme="minorEastAsia" w:hAnsiTheme="minorEastAsia"/>
        </w:rPr>
        <w:t>本投资组合报告有关数据的期间为2020年1月1日至2020年3月31日</w:t>
      </w:r>
      <w:r w:rsidR="00054E1F" w:rsidRPr="00533AE6">
        <w:rPr>
          <w:rFonts w:asciiTheme="minorEastAsia" w:eastAsiaTheme="minorEastAsia" w:hAnsiTheme="minorEastAsia" w:hint="eastAsia"/>
        </w:rPr>
        <w:t>。</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占基金总资产的比例（%）</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3,438,988,417.73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88.71</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pPr>
              <w:spacing w:before="29" w:line="300" w:lineRule="auto"/>
              <w:ind w:left="-420" w:firstLine="420"/>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3,438,988,417.73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88.71</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90,746,043.90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2.34</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pPr>
              <w:spacing w:before="29" w:line="300" w:lineRule="auto"/>
              <w:ind w:left="-420" w:firstLine="420"/>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90,746,043.90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2.34</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pPr>
              <w:spacing w:before="29" w:line="300" w:lineRule="auto"/>
              <w:ind w:left="-420" w:firstLine="420"/>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713E37" w:rsidRPr="00533AE6" w:rsidRDefault="00713E37">
            <w:pPr>
              <w:spacing w:before="29" w:line="300" w:lineRule="auto"/>
              <w:ind w:leftChars="50" w:left="105" w:firstLine="420"/>
              <w:rPr>
                <w:rFonts w:asciiTheme="minorEastAsia" w:eastAsiaTheme="minorEastAsia" w:hAnsiTheme="minorEastAsia"/>
                <w:kern w:val="0"/>
              </w:rPr>
            </w:pPr>
            <w:r w:rsidRPr="00533AE6">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pPr>
              <w:spacing w:before="29" w:line="300" w:lineRule="auto"/>
              <w:ind w:left="-420" w:firstLine="420"/>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290,773,405.12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7.50</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56,214,865.67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1.45</w:t>
            </w:r>
          </w:p>
        </w:tc>
      </w:tr>
      <w:tr w:rsidR="00533AE6" w:rsidRPr="00533AE6" w:rsidTr="00713E3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3,876,722,732.42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100.00</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2、报告期末按行业分类的股票投资组合</w:t>
      </w:r>
    </w:p>
    <w:p w:rsidR="00713E37" w:rsidRPr="00533AE6" w:rsidRDefault="00713E37" w:rsidP="00713E37">
      <w:pPr>
        <w:spacing w:line="300" w:lineRule="auto"/>
        <w:ind w:left="-420" w:firstLine="420"/>
        <w:jc w:val="left"/>
        <w:rPr>
          <w:rFonts w:asciiTheme="minorEastAsia" w:eastAsiaTheme="minorEastAsia" w:hAnsiTheme="minorEastAsia" w:cstheme="minorBidi"/>
          <w:bCs/>
          <w:kern w:val="0"/>
        </w:rPr>
      </w:pPr>
      <w:r w:rsidRPr="00533AE6">
        <w:rPr>
          <w:rFonts w:asciiTheme="minorEastAsia" w:eastAsiaTheme="minorEastAsia" w:hAnsiTheme="minorEastAsia" w:hint="eastAsia"/>
          <w:bCs/>
          <w:kern w:val="0"/>
        </w:rPr>
        <w:t>（1）报告期末按行业分类的境内股票投资组合</w:t>
      </w:r>
    </w:p>
    <w:tbl>
      <w:tblPr>
        <w:tblW w:w="79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3222"/>
        <w:gridCol w:w="2705"/>
        <w:gridCol w:w="1420"/>
      </w:tblGrid>
      <w:tr w:rsidR="00533AE6" w:rsidRPr="00533AE6" w:rsidTr="00713E37">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占基金资产净值比例（％）</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p w:rsidR="00713E37" w:rsidRPr="00533AE6" w:rsidRDefault="00713E37">
            <w:pPr>
              <w:spacing w:line="300" w:lineRule="auto"/>
              <w:ind w:left="-420" w:firstLine="420"/>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p w:rsidR="00713E37" w:rsidRPr="00533AE6" w:rsidRDefault="00713E37">
            <w:pPr>
              <w:spacing w:line="300" w:lineRule="auto"/>
              <w:ind w:left="-420" w:firstLine="420"/>
              <w:jc w:val="right"/>
              <w:rPr>
                <w:rFonts w:asciiTheme="minorEastAsia" w:eastAsiaTheme="minorEastAsia" w:hAnsiTheme="minorEastAsia"/>
                <w:kern w:val="0"/>
              </w:rPr>
            </w:pP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2,794,637,398.78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72.76</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86,931,639.43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2.26</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0.13</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58,112,399.52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1.51</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4,126,274.04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0.11</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225,388,841.51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5.87</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264,697,132.13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6.89</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3E37" w:rsidRPr="00533AE6" w:rsidRDefault="00713E37">
            <w:pPr>
              <w:adjustRightInd w:val="0"/>
              <w:snapToGrid w:val="0"/>
              <w:spacing w:line="300" w:lineRule="auto"/>
              <w:ind w:left="-420" w:firstLine="420"/>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13E37" w:rsidRPr="00533AE6" w:rsidRDefault="00713E37">
            <w:pPr>
              <w:adjustRightInd w:val="0"/>
              <w:snapToGrid w:val="0"/>
              <w:spacing w:line="300" w:lineRule="auto"/>
              <w:ind w:left="-420" w:firstLine="420"/>
              <w:rPr>
                <w:rFonts w:asciiTheme="minorEastAsia" w:eastAsiaTheme="minorEastAsia" w:hAnsiTheme="minorEastAsia"/>
                <w:kern w:val="0"/>
              </w:rPr>
            </w:pPr>
            <w:r w:rsidRPr="00533AE6">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3,438,988,417.73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13E37" w:rsidRPr="00533AE6" w:rsidRDefault="00713E37">
            <w:pPr>
              <w:spacing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89.54</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3、报告期末按公允价值占基金资产净值比例大小排序的前十名股票投资明细</w:t>
      </w:r>
    </w:p>
    <w:tbl>
      <w:tblPr>
        <w:tblW w:w="7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1164"/>
        <w:gridCol w:w="1291"/>
        <w:gridCol w:w="1543"/>
        <w:gridCol w:w="1796"/>
        <w:gridCol w:w="1417"/>
      </w:tblGrid>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cstheme="minorBidi"/>
                <w:kern w:val="0"/>
              </w:rPr>
            </w:pPr>
            <w:r w:rsidRPr="00533AE6">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占基金资产净值比例（％）</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2"/>
              </w:rPr>
            </w:pPr>
            <w:r w:rsidRPr="00533AE6">
              <w:rPr>
                <w:rFonts w:asciiTheme="minorEastAsia" w:eastAsiaTheme="minorEastAsia" w:hAnsiTheme="minorEastAsia" w:hint="eastAsia"/>
                <w:kern w:val="0"/>
              </w:rPr>
              <w:t>600276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恒瑞医药</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3,831,923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352,651,873.69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9.18</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000661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长春高新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506,556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277,592,688.00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7.23</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688029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南微医学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1,586,435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243,200,485.50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6.33</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600216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浙江医药</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11,820,085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221,626,593.75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5.77</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603259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药明康德</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2,198,997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198,987,238.53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5.18</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300482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万孚生物</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2,540,827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196,964,909.04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5.13</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300760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迈瑞医疗</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621,691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162,696,534.70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4.24</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300326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凯利泰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7,705,258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158,265,999.32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4.12</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002001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新和成</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5,755,830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157,134,159.00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4.09</w:t>
            </w:r>
          </w:p>
        </w:tc>
      </w:tr>
      <w:tr w:rsidR="00533AE6" w:rsidRPr="00533AE6" w:rsidTr="00713E37">
        <w:tc>
          <w:tcPr>
            <w:tcW w:w="85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600763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通策医疗</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1,218,133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131,290,374.74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3.42</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4、报告期末按债券品种分类的债券投资组合</w:t>
      </w:r>
    </w:p>
    <w:tbl>
      <w:tblPr>
        <w:tblStyle w:val="aff1"/>
        <w:tblW w:w="7995" w:type="dxa"/>
        <w:jc w:val="center"/>
        <w:tblLayout w:type="fixed"/>
        <w:tblLook w:val="04A0" w:firstRow="1" w:lastRow="0" w:firstColumn="1" w:lastColumn="0" w:noHBand="0" w:noVBand="1"/>
      </w:tblPr>
      <w:tblGrid>
        <w:gridCol w:w="760"/>
        <w:gridCol w:w="2966"/>
        <w:gridCol w:w="2685"/>
        <w:gridCol w:w="1584"/>
      </w:tblGrid>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lastRenderedPageBreak/>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占基金资产净值比例(％)</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90,119,000.00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2.35</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pPr>
              <w:spacing w:before="312" w:after="312" w:line="300" w:lineRule="auto"/>
              <w:ind w:left="-420" w:firstLine="420"/>
              <w:jc w:val="center"/>
              <w:rPr>
                <w:rFonts w:asciiTheme="minorEastAsia" w:eastAsiaTheme="minorEastAsia" w:hAnsiTheme="minorEastAsia"/>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90,119,000.00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2.35</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627,043.90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0.02</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90,746,043.90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312" w:after="312"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2.36</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5、报告期末按公允价值占基金资产净值比例大小排序的前五名债券投资明细</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5"/>
        <w:gridCol w:w="1198"/>
        <w:gridCol w:w="1197"/>
        <w:gridCol w:w="1461"/>
        <w:gridCol w:w="1853"/>
        <w:gridCol w:w="1381"/>
      </w:tblGrid>
      <w:tr w:rsidR="00533AE6" w:rsidRPr="00533AE6" w:rsidTr="00713E37">
        <w:tc>
          <w:tcPr>
            <w:tcW w:w="9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cstheme="minorBidi"/>
                <w:kern w:val="0"/>
              </w:rPr>
            </w:pPr>
            <w:r w:rsidRPr="00533AE6">
              <w:rPr>
                <w:rFonts w:asciiTheme="minorEastAsia" w:eastAsiaTheme="minorEastAsia" w:hAnsiTheme="minorEastAsia" w:hint="eastAsia"/>
                <w:kern w:val="0"/>
              </w:rPr>
              <w:lastRenderedPageBreak/>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债券名称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数量（张）</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公允价值（元）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占基金资产净值比例（％）</w:t>
            </w:r>
          </w:p>
        </w:tc>
      </w:tr>
      <w:tr w:rsidR="00533AE6" w:rsidRPr="00533AE6" w:rsidTr="00713E37">
        <w:tc>
          <w:tcPr>
            <w:tcW w:w="9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2"/>
              </w:rPr>
            </w:pPr>
            <w:r w:rsidRPr="00533AE6">
              <w:rPr>
                <w:rFonts w:asciiTheme="minorEastAsia" w:eastAsiaTheme="minorEastAsia" w:hAnsiTheme="minorEastAsia" w:hint="eastAsia"/>
                <w:kern w:val="0"/>
              </w:rPr>
              <w:t>170205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17国开05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800,000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80,104,000.00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2.09</w:t>
            </w:r>
          </w:p>
        </w:tc>
      </w:tr>
      <w:tr w:rsidR="00533AE6" w:rsidRPr="00533AE6" w:rsidTr="00713E37">
        <w:tc>
          <w:tcPr>
            <w:tcW w:w="9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190304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19进出04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10,015,000.00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0.26</w:t>
            </w:r>
          </w:p>
        </w:tc>
      </w:tr>
      <w:tr w:rsidR="00533AE6" w:rsidRPr="00533AE6" w:rsidTr="00713E37">
        <w:tc>
          <w:tcPr>
            <w:tcW w:w="9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110057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现代转债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3,570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417,118.80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0.01</w:t>
            </w:r>
          </w:p>
        </w:tc>
      </w:tr>
      <w:tr w:rsidR="00533AE6" w:rsidRPr="00533AE6" w:rsidTr="00713E37">
        <w:tc>
          <w:tcPr>
            <w:tcW w:w="95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113024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核建转债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1,990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209,925.10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0.01</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6、报告期末按公允价值占基金资产净值比例大小排序的前十名资产支持证券投资明细</w:t>
      </w:r>
    </w:p>
    <w:p w:rsidR="00713E37" w:rsidRPr="00533AE6" w:rsidRDefault="00713E37" w:rsidP="00713E37">
      <w:pPr>
        <w:spacing w:line="300" w:lineRule="auto"/>
        <w:ind w:left="-420" w:firstLine="420"/>
        <w:rPr>
          <w:rFonts w:asciiTheme="minorEastAsia" w:eastAsiaTheme="minorEastAsia" w:hAnsiTheme="minorEastAsia" w:cstheme="minorBidi"/>
        </w:rPr>
      </w:pPr>
      <w:r w:rsidRPr="00533AE6">
        <w:rPr>
          <w:rFonts w:asciiTheme="minorEastAsia" w:eastAsiaTheme="minorEastAsia" w:hAnsiTheme="minorEastAsia" w:hint="eastAsia"/>
        </w:rPr>
        <w:t>本基金本报告期末未持有资产支持证券。</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7、报告期末按公允价值占基金资产净值比例大小排序的前五名贵金属投资明细</w:t>
      </w:r>
    </w:p>
    <w:p w:rsidR="00713E37" w:rsidRPr="00533AE6" w:rsidRDefault="00713E37" w:rsidP="00713E37">
      <w:pPr>
        <w:spacing w:line="30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本基金本报告期末未持有贵金属。</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8、报告期末按公允价值占基金资产净值比例大小排序的前五名权证投资明细</w:t>
      </w:r>
    </w:p>
    <w:p w:rsidR="00713E37" w:rsidRPr="00533AE6" w:rsidRDefault="00713E37" w:rsidP="00713E37">
      <w:pPr>
        <w:spacing w:line="30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本基金本报告期末未持有权证。</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9、报告期末本基金投资的股指期货交易情况说明</w:t>
      </w:r>
    </w:p>
    <w:p w:rsidR="00713E37" w:rsidRPr="00533AE6" w:rsidRDefault="00713E37" w:rsidP="00713E37">
      <w:pPr>
        <w:spacing w:line="30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rPr>
        <w:t>本基金本报告期末未投资股指期货。</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10、报告期末本基金投资的国债期货交易情况说明</w:t>
      </w:r>
    </w:p>
    <w:p w:rsidR="00713E37" w:rsidRPr="00533AE6" w:rsidRDefault="00713E37" w:rsidP="00713E37">
      <w:pPr>
        <w:spacing w:line="30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rPr>
        <w:t>本基金本报告期末未投资国债期货。</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11、投资组合报告附注</w:t>
      </w:r>
    </w:p>
    <w:p w:rsidR="00713E37" w:rsidRPr="00533AE6" w:rsidRDefault="00713E37" w:rsidP="00713E37">
      <w:pPr>
        <w:spacing w:line="300" w:lineRule="auto"/>
        <w:ind w:left="-420" w:firstLine="420"/>
        <w:jc w:val="left"/>
        <w:rPr>
          <w:rFonts w:asciiTheme="minorEastAsia" w:eastAsiaTheme="minorEastAsia" w:hAnsiTheme="minorEastAsia"/>
        </w:rPr>
      </w:pPr>
      <w:r w:rsidRPr="00533AE6">
        <w:rPr>
          <w:rFonts w:asciiTheme="minorEastAsia" w:eastAsiaTheme="minorEastAsia" w:hAnsiTheme="minorEastAsia" w:hint="eastAsia"/>
        </w:rPr>
        <w:t>（1）本基金投资的前十名证券的发行主体本期没有出现被监管部门立案调查，或在报告编制日前一年内受到公开谴责、处罚的情形。</w:t>
      </w:r>
    </w:p>
    <w:p w:rsidR="00713E37" w:rsidRPr="00533AE6" w:rsidRDefault="00713E37" w:rsidP="00713E37">
      <w:pPr>
        <w:spacing w:line="300" w:lineRule="auto"/>
        <w:ind w:left="-420" w:firstLine="420"/>
        <w:jc w:val="left"/>
        <w:rPr>
          <w:rFonts w:asciiTheme="minorEastAsia" w:eastAsiaTheme="minorEastAsia" w:hAnsiTheme="minorEastAsia"/>
        </w:rPr>
      </w:pPr>
      <w:r w:rsidRPr="00533AE6">
        <w:rPr>
          <w:rFonts w:asciiTheme="minorEastAsia" w:eastAsiaTheme="minorEastAsia" w:hAnsiTheme="minorEastAsia" w:hint="eastAsia"/>
        </w:rPr>
        <w:t>（2）本基金投资的前十名股票没有超出基金合同规定的备选股票库。</w:t>
      </w:r>
    </w:p>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2303"/>
        <w:gridCol w:w="4537"/>
      </w:tblGrid>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金额（元）</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406,583.97</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953,299.84</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3,257,002.14</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51,597,979.72</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w:t>
            </w:r>
          </w:p>
        </w:tc>
      </w:tr>
      <w:tr w:rsidR="00533AE6" w:rsidRPr="00533AE6" w:rsidTr="00713E37">
        <w:tc>
          <w:tcPr>
            <w:tcW w:w="1235"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left"/>
              <w:rPr>
                <w:rFonts w:asciiTheme="minorEastAsia" w:eastAsiaTheme="minorEastAsia" w:hAnsiTheme="minorEastAsia"/>
                <w:kern w:val="0"/>
              </w:rPr>
            </w:pPr>
            <w:r w:rsidRPr="00533AE6">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autoSpaceDE w:val="0"/>
              <w:autoSpaceDN w:val="0"/>
              <w:adjustRightInd w:val="0"/>
              <w:spacing w:before="29" w:line="300" w:lineRule="auto"/>
              <w:ind w:left="-420" w:firstLine="420"/>
              <w:jc w:val="right"/>
              <w:rPr>
                <w:rFonts w:asciiTheme="minorEastAsia" w:eastAsiaTheme="minorEastAsia" w:hAnsiTheme="minorEastAsia"/>
                <w:kern w:val="0"/>
              </w:rPr>
            </w:pPr>
            <w:r w:rsidRPr="00533AE6">
              <w:rPr>
                <w:rFonts w:asciiTheme="minorEastAsia" w:eastAsiaTheme="minorEastAsia" w:hAnsiTheme="minorEastAsia" w:hint="eastAsia"/>
                <w:kern w:val="0"/>
              </w:rPr>
              <w:t>56,214,865.67</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（4）报告期末持有的处于转股期的可转换债券明细</w:t>
      </w:r>
    </w:p>
    <w:tbl>
      <w:tblPr>
        <w:tblW w:w="79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624"/>
        <w:gridCol w:w="1558"/>
        <w:gridCol w:w="1594"/>
        <w:gridCol w:w="1523"/>
      </w:tblGrid>
      <w:tr w:rsidR="00533AE6" w:rsidRPr="00533AE6" w:rsidTr="00713E37">
        <w:tc>
          <w:tcPr>
            <w:tcW w:w="1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cstheme="minorBidi"/>
                <w:kern w:val="0"/>
              </w:rPr>
            </w:pPr>
            <w:r w:rsidRPr="00533AE6">
              <w:rPr>
                <w:rFonts w:asciiTheme="minorEastAsia" w:eastAsiaTheme="minorEastAsia" w:hAnsiTheme="minorEastAsia" w:hint="eastAsia"/>
                <w:kern w:val="0"/>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公允价值（元）</w:t>
            </w:r>
          </w:p>
        </w:tc>
        <w:tc>
          <w:tcPr>
            <w:tcW w:w="162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before="29" w:line="300" w:lineRule="auto"/>
              <w:ind w:left="-420" w:firstLine="420"/>
              <w:jc w:val="center"/>
              <w:rPr>
                <w:rFonts w:asciiTheme="minorEastAsia" w:eastAsiaTheme="minorEastAsia" w:hAnsiTheme="minorEastAsia"/>
                <w:kern w:val="0"/>
              </w:rPr>
            </w:pPr>
            <w:r w:rsidRPr="00533AE6">
              <w:rPr>
                <w:rFonts w:asciiTheme="minorEastAsia" w:eastAsiaTheme="minorEastAsia" w:hAnsiTheme="minorEastAsia" w:hint="eastAsia"/>
                <w:kern w:val="0"/>
              </w:rPr>
              <w:t>占基金资产净</w:t>
            </w:r>
            <w:r w:rsidRPr="00533AE6">
              <w:rPr>
                <w:rFonts w:asciiTheme="minorEastAsia" w:eastAsiaTheme="minorEastAsia" w:hAnsiTheme="minorEastAsia" w:hint="eastAsia"/>
                <w:kern w:val="0"/>
              </w:rPr>
              <w:lastRenderedPageBreak/>
              <w:t>值比例（%）</w:t>
            </w:r>
          </w:p>
        </w:tc>
      </w:tr>
      <w:tr w:rsidR="00533AE6" w:rsidRPr="00533AE6" w:rsidTr="00713E37">
        <w:tc>
          <w:tcPr>
            <w:tcW w:w="1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kern w:val="0"/>
              </w:rPr>
              <w:lastRenderedPageBreak/>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szCs w:val="22"/>
              </w:rPr>
            </w:pPr>
            <w:r w:rsidRPr="00533AE6">
              <w:rPr>
                <w:rFonts w:asciiTheme="minorEastAsia" w:eastAsiaTheme="minorEastAsia" w:hAnsiTheme="minorEastAsia" w:hint="eastAsia"/>
                <w:kern w:val="0"/>
              </w:rPr>
              <w:t>110057</w:t>
            </w:r>
          </w:p>
        </w:tc>
        <w:tc>
          <w:tcPr>
            <w:tcW w:w="165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现代转债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417,118.80</w:t>
            </w:r>
          </w:p>
        </w:tc>
        <w:tc>
          <w:tcPr>
            <w:tcW w:w="162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0.01</w:t>
            </w:r>
          </w:p>
        </w:tc>
      </w:tr>
      <w:tr w:rsidR="00533AE6" w:rsidRPr="00533AE6" w:rsidTr="00713E37">
        <w:tc>
          <w:tcPr>
            <w:tcW w:w="180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113024</w:t>
            </w:r>
          </w:p>
        </w:tc>
        <w:tc>
          <w:tcPr>
            <w:tcW w:w="1658"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center"/>
              <w:rPr>
                <w:rFonts w:asciiTheme="minorEastAsia" w:eastAsiaTheme="minorEastAsia" w:hAnsiTheme="minorEastAsia"/>
              </w:rPr>
            </w:pPr>
            <w:r w:rsidRPr="00533AE6">
              <w:rPr>
                <w:rFonts w:asciiTheme="minorEastAsia" w:eastAsiaTheme="minorEastAsia" w:hAnsiTheme="minorEastAsia" w:hint="eastAsia"/>
                <w:kern w:val="0"/>
              </w:rPr>
              <w:t>核建转债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209,925.10</w:t>
            </w:r>
          </w:p>
        </w:tc>
        <w:tc>
          <w:tcPr>
            <w:tcW w:w="1621" w:type="dxa"/>
            <w:tcBorders>
              <w:top w:val="single" w:sz="4" w:space="0" w:color="auto"/>
              <w:left w:val="single" w:sz="4" w:space="0" w:color="auto"/>
              <w:bottom w:val="single" w:sz="4" w:space="0" w:color="auto"/>
              <w:right w:val="single" w:sz="4" w:space="0" w:color="auto"/>
            </w:tcBorders>
            <w:vAlign w:val="center"/>
            <w:hideMark/>
          </w:tcPr>
          <w:p w:rsidR="00713E37" w:rsidRPr="00533AE6" w:rsidRDefault="00713E37">
            <w:pPr>
              <w:spacing w:line="30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kern w:val="0"/>
              </w:rPr>
              <w:t>0.01</w:t>
            </w:r>
          </w:p>
        </w:tc>
      </w:tr>
    </w:tbl>
    <w:p w:rsidR="00713E37" w:rsidRPr="00533AE6" w:rsidRDefault="00713E37" w:rsidP="00713E37">
      <w:pPr>
        <w:autoSpaceDE w:val="0"/>
        <w:autoSpaceDN w:val="0"/>
        <w:adjustRightInd w:val="0"/>
        <w:spacing w:line="300" w:lineRule="auto"/>
        <w:ind w:left="-420" w:firstLine="420"/>
        <w:jc w:val="left"/>
        <w:rPr>
          <w:rFonts w:asciiTheme="minorEastAsia" w:eastAsiaTheme="minorEastAsia" w:hAnsiTheme="minorEastAsia"/>
          <w:bCs/>
          <w:kern w:val="0"/>
        </w:rPr>
      </w:pPr>
      <w:r w:rsidRPr="00533AE6">
        <w:rPr>
          <w:rFonts w:asciiTheme="minorEastAsia" w:eastAsiaTheme="minorEastAsia" w:hAnsiTheme="minorEastAsia" w:hint="eastAsia"/>
          <w:bCs/>
          <w:kern w:val="0"/>
        </w:rPr>
        <w:t>（5）报告期末前十名股票中存在流通受限情况的说明</w:t>
      </w:r>
    </w:p>
    <w:p w:rsidR="00713E37" w:rsidRPr="00533AE6" w:rsidRDefault="00713E37" w:rsidP="00713E37">
      <w:pPr>
        <w:spacing w:line="300" w:lineRule="auto"/>
        <w:ind w:left="-420" w:firstLine="420"/>
        <w:rPr>
          <w:rFonts w:asciiTheme="minorEastAsia" w:eastAsiaTheme="minorEastAsia" w:hAnsiTheme="minorEastAsia" w:cstheme="minorBidi"/>
        </w:rPr>
      </w:pPr>
      <w:r w:rsidRPr="00533AE6">
        <w:rPr>
          <w:rFonts w:asciiTheme="minorEastAsia" w:eastAsiaTheme="minorEastAsia" w:hAnsiTheme="minorEastAsia" w:hint="eastAsia"/>
        </w:rPr>
        <w:t>本基金本报告期末前十名股票中不存在流通受限情况。</w:t>
      </w:r>
    </w:p>
    <w:p w:rsidR="005243EA" w:rsidRPr="00533AE6" w:rsidRDefault="005243EA">
      <w:pPr>
        <w:widowControl/>
        <w:ind w:leftChars="0" w:left="0" w:firstLineChars="0" w:firstLine="0"/>
        <w:jc w:val="left"/>
        <w:rPr>
          <w:rFonts w:asciiTheme="minorEastAsia" w:eastAsiaTheme="minorEastAsia" w:hAnsiTheme="minorEastAsia"/>
          <w:szCs w:val="22"/>
        </w:rPr>
      </w:pPr>
      <w:r w:rsidRPr="00533AE6">
        <w:rPr>
          <w:rFonts w:asciiTheme="minorEastAsia" w:eastAsiaTheme="minorEastAsia" w:hAnsiTheme="minorEastAsia"/>
          <w:szCs w:val="22"/>
        </w:rPr>
        <w:br w:type="page"/>
      </w:r>
    </w:p>
    <w:p w:rsidR="00713E37" w:rsidRPr="00533AE6" w:rsidRDefault="00713E37" w:rsidP="00713E37">
      <w:pPr>
        <w:spacing w:line="300" w:lineRule="auto"/>
        <w:ind w:left="-420" w:firstLine="420"/>
        <w:rPr>
          <w:rFonts w:asciiTheme="minorEastAsia" w:eastAsiaTheme="minorEastAsia" w:hAnsiTheme="minorEastAsia"/>
          <w:szCs w:val="22"/>
        </w:rPr>
      </w:pPr>
    </w:p>
    <w:p w:rsidR="008E366C" w:rsidRPr="00533AE6" w:rsidRDefault="008E366C"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43" w:name="_Toc46933254"/>
      <w:r w:rsidRPr="00533AE6">
        <w:rPr>
          <w:rFonts w:asciiTheme="minorEastAsia" w:eastAsiaTheme="minorEastAsia" w:hAnsiTheme="minorEastAsia" w:hint="eastAsia"/>
          <w:bCs/>
        </w:rPr>
        <w:t>十</w:t>
      </w:r>
      <w:r w:rsidR="00750968" w:rsidRPr="00533AE6">
        <w:rPr>
          <w:rFonts w:asciiTheme="minorEastAsia" w:eastAsiaTheme="minorEastAsia" w:hAnsiTheme="minorEastAsia" w:hint="eastAsia"/>
          <w:bCs/>
        </w:rPr>
        <w:t>二</w:t>
      </w:r>
      <w:r w:rsidRPr="00533AE6">
        <w:rPr>
          <w:rFonts w:asciiTheme="minorEastAsia" w:eastAsiaTheme="minorEastAsia" w:hAnsiTheme="minorEastAsia" w:hint="eastAsia"/>
          <w:bCs/>
        </w:rPr>
        <w:t>、基金的</w:t>
      </w:r>
      <w:r w:rsidR="00690966" w:rsidRPr="00533AE6">
        <w:rPr>
          <w:rFonts w:asciiTheme="minorEastAsia" w:eastAsiaTheme="minorEastAsia" w:hAnsiTheme="minorEastAsia" w:hint="eastAsia"/>
          <w:bCs/>
        </w:rPr>
        <w:t>业绩</w:t>
      </w:r>
      <w:bookmarkEnd w:id="143"/>
    </w:p>
    <w:p w:rsidR="00144126" w:rsidRPr="00533AE6" w:rsidRDefault="00153667" w:rsidP="005A15F8">
      <w:pPr>
        <w:autoSpaceDE w:val="0"/>
        <w:autoSpaceDN w:val="0"/>
        <w:adjustRightInd w:val="0"/>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bookmarkEnd w:id="125"/>
    <w:bookmarkEnd w:id="128"/>
    <w:bookmarkEnd w:id="129"/>
    <w:p w:rsidR="00153667" w:rsidRPr="00533AE6" w:rsidRDefault="00153667"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本基金合同生效日为2011年1月28日，</w:t>
      </w:r>
      <w:r w:rsidR="00713E37" w:rsidRPr="00533AE6">
        <w:rPr>
          <w:rFonts w:asciiTheme="minorEastAsia" w:eastAsiaTheme="minorEastAsia" w:hAnsiTheme="minorEastAsia"/>
        </w:rPr>
        <w:t>基金合同生效以来（截至</w:t>
      </w:r>
      <w:r w:rsidR="00533AE6" w:rsidRPr="00533AE6">
        <w:rPr>
          <w:rFonts w:asciiTheme="minorEastAsia" w:eastAsiaTheme="minorEastAsia" w:hAnsiTheme="minorEastAsia" w:hint="eastAsia"/>
        </w:rPr>
        <w:t>2020年6月30日</w:t>
      </w:r>
      <w:r w:rsidR="00713E37" w:rsidRPr="00533AE6">
        <w:rPr>
          <w:rFonts w:asciiTheme="minorEastAsia" w:eastAsiaTheme="minorEastAsia" w:hAnsiTheme="minorEastAsia"/>
        </w:rPr>
        <w:t>）的投资业绩及与同期基准的比较如下表所示</w:t>
      </w:r>
      <w:r w:rsidRPr="00533AE6">
        <w:rPr>
          <w:rFonts w:asciiTheme="minorEastAsia" w:eastAsiaTheme="minorEastAsia" w:hAnsiTheme="minorEastAsia"/>
        </w:rPr>
        <w:t>：</w:t>
      </w:r>
    </w:p>
    <w:tbl>
      <w:tblPr>
        <w:tblW w:w="99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332"/>
        <w:gridCol w:w="1440"/>
        <w:gridCol w:w="1445"/>
        <w:gridCol w:w="1075"/>
        <w:gridCol w:w="1260"/>
        <w:gridCol w:w="1080"/>
      </w:tblGrid>
      <w:tr w:rsidR="00533AE6" w:rsidRPr="00533AE6" w:rsidTr="00EE4714">
        <w:trPr>
          <w:trHeight w:val="1128"/>
        </w:trPr>
        <w:tc>
          <w:tcPr>
            <w:tcW w:w="2304" w:type="dxa"/>
            <w:tcBorders>
              <w:top w:val="single" w:sz="4" w:space="0" w:color="auto"/>
              <w:left w:val="single" w:sz="4" w:space="0" w:color="auto"/>
              <w:bottom w:val="single" w:sz="4" w:space="0" w:color="auto"/>
              <w:right w:val="single" w:sz="4" w:space="0" w:color="auto"/>
            </w:tcBorders>
          </w:tcPr>
          <w:p w:rsidR="00153667" w:rsidRPr="00533AE6" w:rsidRDefault="00153667" w:rsidP="004D4D08">
            <w:pPr>
              <w:ind w:left="-420" w:firstLineChars="100" w:firstLine="210"/>
              <w:jc w:val="center"/>
              <w:rPr>
                <w:rFonts w:asciiTheme="minorEastAsia" w:eastAsiaTheme="minorEastAsia" w:hAnsiTheme="minorEastAsia"/>
                <w:szCs w:val="21"/>
              </w:rPr>
            </w:pPr>
          </w:p>
          <w:p w:rsidR="00153667" w:rsidRPr="00533AE6" w:rsidRDefault="00153667" w:rsidP="00A16E43">
            <w:pPr>
              <w:ind w:left="-420" w:firstLineChars="300" w:firstLine="630"/>
              <w:jc w:val="center"/>
              <w:rPr>
                <w:rFonts w:asciiTheme="minorEastAsia" w:eastAsiaTheme="minorEastAsia" w:hAnsiTheme="minorEastAsia"/>
                <w:szCs w:val="21"/>
              </w:rPr>
            </w:pPr>
            <w:r w:rsidRPr="00533AE6">
              <w:rPr>
                <w:rFonts w:asciiTheme="minorEastAsia" w:eastAsiaTheme="minorEastAsia" w:hAnsiTheme="minorEastAsia"/>
                <w:szCs w:val="21"/>
              </w:rPr>
              <w:t>阶段</w:t>
            </w:r>
          </w:p>
          <w:p w:rsidR="00153667" w:rsidRPr="00533AE6" w:rsidRDefault="00153667" w:rsidP="00A16E43">
            <w:pPr>
              <w:ind w:left="-420" w:firstLine="420"/>
              <w:jc w:val="center"/>
              <w:rPr>
                <w:rFonts w:asciiTheme="minorEastAsia" w:eastAsiaTheme="minorEastAsia" w:hAnsiTheme="minorEastAsia"/>
                <w:szCs w:val="21"/>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EE4714">
            <w:pPr>
              <w:ind w:leftChars="0" w:left="0" w:firstLineChars="0" w:hanging="2"/>
              <w:jc w:val="center"/>
              <w:rPr>
                <w:rFonts w:asciiTheme="minorEastAsia" w:eastAsiaTheme="minorEastAsia" w:hAnsiTheme="minorEastAsia"/>
                <w:szCs w:val="21"/>
              </w:rPr>
            </w:pPr>
            <w:r w:rsidRPr="00533AE6">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EE4714">
            <w:pPr>
              <w:ind w:leftChars="0" w:left="0" w:firstLineChars="0" w:hanging="2"/>
              <w:jc w:val="center"/>
              <w:rPr>
                <w:rFonts w:asciiTheme="minorEastAsia" w:eastAsiaTheme="minorEastAsia" w:hAnsiTheme="minorEastAsia"/>
                <w:szCs w:val="21"/>
              </w:rPr>
            </w:pPr>
            <w:r w:rsidRPr="00533AE6">
              <w:rPr>
                <w:rFonts w:asciiTheme="minorEastAsia" w:eastAsiaTheme="minorEastAsia" w:hAnsiTheme="minorEastAsia"/>
                <w:szCs w:val="21"/>
              </w:rPr>
              <w:t>净值增长率标准差(2)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EE4714">
            <w:pPr>
              <w:ind w:leftChars="0" w:left="0" w:firstLineChars="0" w:hanging="2"/>
              <w:jc w:val="center"/>
              <w:rPr>
                <w:rFonts w:asciiTheme="minorEastAsia" w:eastAsiaTheme="minorEastAsia" w:hAnsiTheme="minorEastAsia"/>
                <w:szCs w:val="21"/>
              </w:rPr>
            </w:pPr>
            <w:r w:rsidRPr="00533AE6">
              <w:rPr>
                <w:rFonts w:asciiTheme="minorEastAsia" w:eastAsiaTheme="minorEastAsia" w:hAnsiTheme="minorEastAsia"/>
                <w:szCs w:val="21"/>
              </w:rPr>
              <w:t>业绩比较基准收益率(3)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EE4714">
            <w:pPr>
              <w:ind w:leftChars="0" w:left="0" w:firstLineChars="0" w:hanging="2"/>
              <w:jc w:val="center"/>
              <w:rPr>
                <w:rFonts w:asciiTheme="minorEastAsia" w:eastAsiaTheme="minorEastAsia" w:hAnsiTheme="minorEastAsia"/>
                <w:szCs w:val="21"/>
              </w:rPr>
            </w:pPr>
            <w:r w:rsidRPr="00533AE6">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4D4D08">
            <w:pPr>
              <w:ind w:left="-420" w:firstLineChars="100" w:firstLine="210"/>
              <w:jc w:val="center"/>
              <w:rPr>
                <w:rFonts w:asciiTheme="minorEastAsia" w:eastAsiaTheme="minorEastAsia" w:hAnsiTheme="minorEastAsia"/>
                <w:szCs w:val="21"/>
              </w:rPr>
            </w:pPr>
          </w:p>
          <w:p w:rsidR="00153667" w:rsidRPr="00533AE6" w:rsidRDefault="00153667" w:rsidP="004D4D08">
            <w:pPr>
              <w:ind w:left="-420" w:firstLineChars="100" w:firstLine="210"/>
              <w:jc w:val="center"/>
              <w:rPr>
                <w:rFonts w:asciiTheme="minorEastAsia" w:eastAsiaTheme="minorEastAsia" w:hAnsiTheme="minorEastAsia"/>
                <w:szCs w:val="21"/>
              </w:rPr>
            </w:pPr>
            <w:r w:rsidRPr="00533AE6">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53667" w:rsidRPr="00533AE6" w:rsidRDefault="00153667" w:rsidP="004D4D08">
            <w:pPr>
              <w:ind w:left="-420" w:firstLineChars="100" w:firstLine="210"/>
              <w:jc w:val="center"/>
              <w:rPr>
                <w:rFonts w:asciiTheme="minorEastAsia" w:eastAsiaTheme="minorEastAsia" w:hAnsiTheme="minorEastAsia"/>
                <w:szCs w:val="21"/>
              </w:rPr>
            </w:pPr>
          </w:p>
          <w:p w:rsidR="00153667" w:rsidRPr="00533AE6" w:rsidRDefault="00153667" w:rsidP="004D4D08">
            <w:pPr>
              <w:ind w:left="-420" w:firstLineChars="100" w:firstLine="210"/>
              <w:jc w:val="center"/>
              <w:rPr>
                <w:rFonts w:asciiTheme="minorEastAsia" w:eastAsiaTheme="minorEastAsia" w:hAnsiTheme="minorEastAsia"/>
                <w:szCs w:val="21"/>
              </w:rPr>
            </w:pPr>
            <w:r w:rsidRPr="00533AE6">
              <w:rPr>
                <w:rFonts w:asciiTheme="minorEastAsia" w:eastAsiaTheme="minorEastAsia" w:hAnsiTheme="minorEastAsia"/>
                <w:szCs w:val="21"/>
              </w:rPr>
              <w:t>(2)-(4)</w:t>
            </w:r>
          </w:p>
        </w:tc>
      </w:tr>
      <w:tr w:rsidR="00533AE6" w:rsidRPr="00533AE6" w:rsidTr="00EE4714">
        <w:tc>
          <w:tcPr>
            <w:tcW w:w="2304" w:type="dxa"/>
            <w:vAlign w:val="center"/>
          </w:tcPr>
          <w:p w:rsidR="00896494" w:rsidRPr="00533AE6" w:rsidRDefault="00860BFF" w:rsidP="00533AE6">
            <w:pPr>
              <w:ind w:left="-420" w:firstLine="420"/>
              <w:jc w:val="center"/>
              <w:rPr>
                <w:rFonts w:asciiTheme="minorEastAsia" w:eastAsiaTheme="minorEastAsia" w:hAnsiTheme="minorEastAsia"/>
              </w:rPr>
            </w:pPr>
            <w:r w:rsidRPr="00533AE6">
              <w:rPr>
                <w:rFonts w:asciiTheme="minorEastAsia" w:eastAsiaTheme="minorEastAsia" w:hAnsiTheme="minorEastAsia" w:hint="eastAsia"/>
              </w:rPr>
              <w:t>自基金合同生效日</w:t>
            </w:r>
            <w:r w:rsidR="00E06EC4" w:rsidRPr="00533AE6">
              <w:rPr>
                <w:rFonts w:asciiTheme="minorEastAsia" w:eastAsiaTheme="minorEastAsia" w:hAnsiTheme="minorEastAsia"/>
              </w:rPr>
              <w:t>至2011年12月31日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-13.70%</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0.79%</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-17.34%</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1.10%</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3.64%</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-0.31%</w:t>
            </w:r>
          </w:p>
        </w:tc>
      </w:tr>
      <w:tr w:rsidR="00533AE6" w:rsidRPr="00533AE6" w:rsidTr="00EE4714">
        <w:tc>
          <w:tcPr>
            <w:tcW w:w="2304" w:type="dxa"/>
            <w:vAlign w:val="center"/>
          </w:tcPr>
          <w:p w:rsidR="00896494" w:rsidRPr="00533AE6" w:rsidRDefault="00E06EC4"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2012年1月1日至2012年12月31日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10.89%</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1.24%</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6.64%</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1.16%</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4.25%</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0.08%</w:t>
            </w:r>
          </w:p>
        </w:tc>
      </w:tr>
      <w:tr w:rsidR="00533AE6" w:rsidRPr="00533AE6" w:rsidTr="00EE4714">
        <w:tc>
          <w:tcPr>
            <w:tcW w:w="2304" w:type="dxa"/>
            <w:vAlign w:val="center"/>
          </w:tcPr>
          <w:p w:rsidR="00896494" w:rsidRPr="00533AE6" w:rsidRDefault="00E06EC4"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2013年1月1日至2013年12月31日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34.48%</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1.43%</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28.19%</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1.21%</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6.29%</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0.22%</w:t>
            </w:r>
          </w:p>
        </w:tc>
      </w:tr>
      <w:tr w:rsidR="00533AE6" w:rsidRPr="00533AE6" w:rsidTr="00EE4714">
        <w:tc>
          <w:tcPr>
            <w:tcW w:w="2304" w:type="dxa"/>
            <w:vAlign w:val="center"/>
          </w:tcPr>
          <w:p w:rsidR="00896494" w:rsidRPr="00533AE6" w:rsidRDefault="00E06EC4"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2014年1月1日至2014年12月31日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-2.02%</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1.12%</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14.31%</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0.92%</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-16.33%</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0.20%</w:t>
            </w:r>
          </w:p>
        </w:tc>
      </w:tr>
      <w:tr w:rsidR="00533AE6" w:rsidRPr="00533AE6" w:rsidTr="00EE4714">
        <w:tc>
          <w:tcPr>
            <w:tcW w:w="2304" w:type="dxa"/>
            <w:vAlign w:val="center"/>
          </w:tcPr>
          <w:p w:rsidR="00896494" w:rsidRPr="00533AE6" w:rsidRDefault="00E06EC4"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2015年1月1日至2015年12月31日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34.26%</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2.97%</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46.25%</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2.14%</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-11.99%</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0.83%</w:t>
            </w:r>
          </w:p>
        </w:tc>
      </w:tr>
      <w:tr w:rsidR="00533AE6" w:rsidRPr="00533AE6" w:rsidTr="00EE4714">
        <w:tc>
          <w:tcPr>
            <w:tcW w:w="2304" w:type="dxa"/>
            <w:vAlign w:val="center"/>
          </w:tcPr>
          <w:p w:rsidR="00896494" w:rsidRPr="00533AE6" w:rsidRDefault="00E06EC4"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2016年1月1日至2016年12月31日</w:t>
            </w:r>
          </w:p>
        </w:tc>
        <w:tc>
          <w:tcPr>
            <w:tcW w:w="1332"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-24.69%</w:t>
            </w:r>
          </w:p>
        </w:tc>
        <w:tc>
          <w:tcPr>
            <w:tcW w:w="144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1.80%</w:t>
            </w:r>
          </w:p>
        </w:tc>
        <w:tc>
          <w:tcPr>
            <w:tcW w:w="144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-11.13%</w:t>
            </w:r>
          </w:p>
        </w:tc>
        <w:tc>
          <w:tcPr>
            <w:tcW w:w="1075"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1.39%</w:t>
            </w:r>
          </w:p>
        </w:tc>
        <w:tc>
          <w:tcPr>
            <w:tcW w:w="126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-13.56%</w:t>
            </w:r>
          </w:p>
        </w:tc>
        <w:tc>
          <w:tcPr>
            <w:tcW w:w="1080" w:type="dxa"/>
            <w:vAlign w:val="center"/>
          </w:tcPr>
          <w:p w:rsidR="00896494" w:rsidRPr="00533AE6" w:rsidRDefault="00E06EC4" w:rsidP="00A16E43">
            <w:pPr>
              <w:ind w:left="-420" w:firstLine="420"/>
              <w:jc w:val="center"/>
              <w:rPr>
                <w:rFonts w:asciiTheme="minorEastAsia" w:eastAsiaTheme="minorEastAsia" w:hAnsiTheme="minorEastAsia"/>
              </w:rPr>
            </w:pPr>
            <w:r w:rsidRPr="00533AE6">
              <w:rPr>
                <w:rFonts w:asciiTheme="minorEastAsia" w:eastAsiaTheme="minorEastAsia" w:hAnsiTheme="minorEastAsia"/>
              </w:rPr>
              <w:t>0.41%</w:t>
            </w:r>
          </w:p>
        </w:tc>
      </w:tr>
      <w:tr w:rsidR="00533AE6" w:rsidRPr="00533AE6" w:rsidTr="00EE4714">
        <w:tc>
          <w:tcPr>
            <w:tcW w:w="2304" w:type="dxa"/>
            <w:vAlign w:val="center"/>
          </w:tcPr>
          <w:p w:rsidR="00033128" w:rsidRPr="00533AE6" w:rsidRDefault="00033128"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2017年1月1日至2017年12月31日</w:t>
            </w:r>
          </w:p>
        </w:tc>
        <w:tc>
          <w:tcPr>
            <w:tcW w:w="1332" w:type="dxa"/>
            <w:vAlign w:val="center"/>
          </w:tcPr>
          <w:p w:rsidR="00033128" w:rsidRPr="00533AE6" w:rsidRDefault="00033128" w:rsidP="00033128">
            <w:pPr>
              <w:ind w:left="-420" w:firstLine="420"/>
              <w:jc w:val="center"/>
              <w:rPr>
                <w:rFonts w:asciiTheme="minorEastAsia" w:eastAsiaTheme="minorEastAsia" w:hAnsiTheme="minorEastAsia"/>
              </w:rPr>
            </w:pPr>
            <w:r w:rsidRPr="00533AE6">
              <w:rPr>
                <w:rFonts w:asciiTheme="minorEastAsia" w:eastAsiaTheme="minorEastAsia" w:hAnsiTheme="minorEastAsia"/>
              </w:rPr>
              <w:t>27.45%</w:t>
            </w:r>
          </w:p>
        </w:tc>
        <w:tc>
          <w:tcPr>
            <w:tcW w:w="1440" w:type="dxa"/>
            <w:vAlign w:val="center"/>
          </w:tcPr>
          <w:p w:rsidR="00033128" w:rsidRPr="00533AE6" w:rsidRDefault="00033128">
            <w:pPr>
              <w:ind w:left="-420" w:firstLine="420"/>
              <w:jc w:val="center"/>
              <w:rPr>
                <w:rFonts w:asciiTheme="minorEastAsia" w:eastAsiaTheme="minorEastAsia" w:hAnsiTheme="minorEastAsia"/>
              </w:rPr>
            </w:pPr>
            <w:r w:rsidRPr="00533AE6">
              <w:rPr>
                <w:rFonts w:asciiTheme="minorEastAsia" w:eastAsiaTheme="minorEastAsia" w:hAnsiTheme="minorEastAsia"/>
              </w:rPr>
              <w:t>0.85%</w:t>
            </w:r>
          </w:p>
        </w:tc>
        <w:tc>
          <w:tcPr>
            <w:tcW w:w="1445" w:type="dxa"/>
            <w:vAlign w:val="center"/>
          </w:tcPr>
          <w:p w:rsidR="00033128" w:rsidRPr="00533AE6" w:rsidRDefault="00033128">
            <w:pPr>
              <w:ind w:left="-420" w:firstLine="420"/>
              <w:jc w:val="center"/>
              <w:rPr>
                <w:rFonts w:asciiTheme="minorEastAsia" w:eastAsiaTheme="minorEastAsia" w:hAnsiTheme="minorEastAsia"/>
              </w:rPr>
            </w:pPr>
            <w:r w:rsidRPr="00533AE6">
              <w:rPr>
                <w:rFonts w:asciiTheme="minorEastAsia" w:eastAsiaTheme="minorEastAsia" w:hAnsiTheme="minorEastAsia"/>
              </w:rPr>
              <w:t>2.00%</w:t>
            </w:r>
          </w:p>
        </w:tc>
        <w:tc>
          <w:tcPr>
            <w:tcW w:w="1075" w:type="dxa"/>
            <w:vAlign w:val="center"/>
          </w:tcPr>
          <w:p w:rsidR="00033128" w:rsidRPr="00533AE6" w:rsidRDefault="00033128">
            <w:pPr>
              <w:ind w:left="-420" w:firstLine="420"/>
              <w:jc w:val="center"/>
              <w:rPr>
                <w:rFonts w:asciiTheme="minorEastAsia" w:eastAsiaTheme="minorEastAsia" w:hAnsiTheme="minorEastAsia"/>
              </w:rPr>
            </w:pPr>
            <w:r w:rsidRPr="00533AE6">
              <w:rPr>
                <w:rFonts w:asciiTheme="minorEastAsia" w:eastAsiaTheme="minorEastAsia" w:hAnsiTheme="minorEastAsia"/>
              </w:rPr>
              <w:t>0.63%</w:t>
            </w:r>
          </w:p>
        </w:tc>
        <w:tc>
          <w:tcPr>
            <w:tcW w:w="1260" w:type="dxa"/>
            <w:vAlign w:val="center"/>
          </w:tcPr>
          <w:p w:rsidR="00033128" w:rsidRPr="00533AE6" w:rsidRDefault="00033128">
            <w:pPr>
              <w:ind w:left="-420" w:firstLine="420"/>
              <w:jc w:val="center"/>
              <w:rPr>
                <w:rFonts w:asciiTheme="minorEastAsia" w:eastAsiaTheme="minorEastAsia" w:hAnsiTheme="minorEastAsia"/>
              </w:rPr>
            </w:pPr>
            <w:r w:rsidRPr="00533AE6">
              <w:rPr>
                <w:rFonts w:asciiTheme="minorEastAsia" w:eastAsiaTheme="minorEastAsia" w:hAnsiTheme="minorEastAsia"/>
              </w:rPr>
              <w:t>25.45%</w:t>
            </w:r>
          </w:p>
        </w:tc>
        <w:tc>
          <w:tcPr>
            <w:tcW w:w="1080" w:type="dxa"/>
            <w:vAlign w:val="center"/>
          </w:tcPr>
          <w:p w:rsidR="00033128" w:rsidRPr="00533AE6" w:rsidRDefault="00033128">
            <w:pPr>
              <w:ind w:left="-420" w:firstLine="420"/>
              <w:jc w:val="center"/>
              <w:rPr>
                <w:rFonts w:asciiTheme="minorEastAsia" w:eastAsiaTheme="minorEastAsia" w:hAnsiTheme="minorEastAsia"/>
              </w:rPr>
            </w:pPr>
            <w:r w:rsidRPr="00533AE6">
              <w:rPr>
                <w:rFonts w:asciiTheme="minorEastAsia" w:eastAsiaTheme="minorEastAsia" w:hAnsiTheme="minorEastAsia"/>
              </w:rPr>
              <w:t>0.22%</w:t>
            </w:r>
          </w:p>
        </w:tc>
      </w:tr>
      <w:tr w:rsidR="00533AE6" w:rsidRPr="00533AE6" w:rsidTr="00EE4714">
        <w:tc>
          <w:tcPr>
            <w:tcW w:w="2304" w:type="dxa"/>
            <w:vAlign w:val="center"/>
          </w:tcPr>
          <w:p w:rsidR="007A5950" w:rsidRPr="00533AE6" w:rsidRDefault="007A5950"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2018年1月1日至2018年12月31日</w:t>
            </w:r>
          </w:p>
        </w:tc>
        <w:tc>
          <w:tcPr>
            <w:tcW w:w="1332"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-14.40%</w:t>
            </w:r>
          </w:p>
        </w:tc>
        <w:tc>
          <w:tcPr>
            <w:tcW w:w="1440"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1.63%</w:t>
            </w:r>
          </w:p>
        </w:tc>
        <w:tc>
          <w:tcPr>
            <w:tcW w:w="1445"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-20.90%</w:t>
            </w:r>
          </w:p>
        </w:tc>
        <w:tc>
          <w:tcPr>
            <w:tcW w:w="1075"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1.35%</w:t>
            </w:r>
          </w:p>
        </w:tc>
        <w:tc>
          <w:tcPr>
            <w:tcW w:w="1260"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6.50%</w:t>
            </w:r>
          </w:p>
        </w:tc>
        <w:tc>
          <w:tcPr>
            <w:tcW w:w="1080" w:type="dxa"/>
            <w:vAlign w:val="center"/>
          </w:tcPr>
          <w:p w:rsidR="007A5950" w:rsidRPr="00533AE6" w:rsidRDefault="007A5950" w:rsidP="007A5950">
            <w:pPr>
              <w:ind w:left="-420" w:firstLine="420"/>
              <w:jc w:val="center"/>
              <w:rPr>
                <w:rFonts w:asciiTheme="minorEastAsia" w:eastAsiaTheme="minorEastAsia" w:hAnsiTheme="minorEastAsia"/>
              </w:rPr>
            </w:pPr>
            <w:r w:rsidRPr="00533AE6">
              <w:rPr>
                <w:rFonts w:asciiTheme="minorEastAsia" w:eastAsiaTheme="minorEastAsia" w:hAnsiTheme="minorEastAsia"/>
              </w:rPr>
              <w:t>0.28%</w:t>
            </w:r>
          </w:p>
        </w:tc>
      </w:tr>
      <w:tr w:rsidR="00533AE6" w:rsidRPr="00533AE6" w:rsidTr="00EE4714">
        <w:tc>
          <w:tcPr>
            <w:tcW w:w="2304" w:type="dxa"/>
            <w:vAlign w:val="center"/>
          </w:tcPr>
          <w:p w:rsidR="00D20B0C" w:rsidRPr="00533AE6" w:rsidRDefault="00713E37" w:rsidP="00533AE6">
            <w:pPr>
              <w:ind w:left="-420" w:firstLine="420"/>
              <w:jc w:val="center"/>
              <w:rPr>
                <w:rFonts w:asciiTheme="minorEastAsia" w:eastAsiaTheme="minorEastAsia" w:hAnsiTheme="minorEastAsia"/>
              </w:rPr>
            </w:pPr>
            <w:r w:rsidRPr="00533AE6">
              <w:rPr>
                <w:rFonts w:asciiTheme="minorEastAsia" w:eastAsiaTheme="minorEastAsia" w:hAnsiTheme="minorEastAsia"/>
              </w:rPr>
              <w:t>2019年1月1日至2019年12月31日</w:t>
            </w:r>
          </w:p>
        </w:tc>
        <w:tc>
          <w:tcPr>
            <w:tcW w:w="1332"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58.30%</w:t>
            </w:r>
          </w:p>
        </w:tc>
        <w:tc>
          <w:tcPr>
            <w:tcW w:w="1440"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1.37%</w:t>
            </w:r>
          </w:p>
        </w:tc>
        <w:tc>
          <w:tcPr>
            <w:tcW w:w="1445"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29.70%</w:t>
            </w:r>
          </w:p>
        </w:tc>
        <w:tc>
          <w:tcPr>
            <w:tcW w:w="1075"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1.14%</w:t>
            </w:r>
          </w:p>
        </w:tc>
        <w:tc>
          <w:tcPr>
            <w:tcW w:w="1260"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28.60%</w:t>
            </w:r>
          </w:p>
        </w:tc>
        <w:tc>
          <w:tcPr>
            <w:tcW w:w="1080" w:type="dxa"/>
            <w:vAlign w:val="center"/>
          </w:tcPr>
          <w:p w:rsidR="00D20B0C" w:rsidRPr="00533AE6" w:rsidRDefault="00713E37" w:rsidP="008774E4">
            <w:pPr>
              <w:ind w:left="-420" w:firstLine="420"/>
              <w:jc w:val="right"/>
              <w:rPr>
                <w:rFonts w:asciiTheme="minorEastAsia" w:eastAsiaTheme="minorEastAsia" w:hAnsiTheme="minorEastAsia"/>
              </w:rPr>
            </w:pPr>
            <w:r w:rsidRPr="00533AE6">
              <w:rPr>
                <w:rFonts w:asciiTheme="minorEastAsia" w:eastAsiaTheme="minorEastAsia" w:hAnsiTheme="minorEastAsia"/>
              </w:rPr>
              <w:t>0.23%</w:t>
            </w:r>
          </w:p>
        </w:tc>
      </w:tr>
      <w:tr w:rsidR="00533AE6" w:rsidRPr="00533AE6" w:rsidTr="00533AE6">
        <w:tc>
          <w:tcPr>
            <w:tcW w:w="2304" w:type="dxa"/>
            <w:vAlign w:val="center"/>
          </w:tcPr>
          <w:p w:rsidR="00533AE6" w:rsidRPr="00533AE6" w:rsidRDefault="00533AE6" w:rsidP="00533AE6">
            <w:pPr>
              <w:ind w:left="-420" w:firstLine="420"/>
              <w:jc w:val="center"/>
              <w:rPr>
                <w:rFonts w:asciiTheme="minorEastAsia" w:eastAsiaTheme="minorEastAsia" w:hAnsiTheme="minorEastAsia"/>
              </w:rPr>
            </w:pPr>
            <w:r w:rsidRPr="00533AE6">
              <w:rPr>
                <w:rFonts w:asciiTheme="minorEastAsia" w:eastAsiaTheme="minorEastAsia" w:hAnsiTheme="minorEastAsia" w:hint="eastAsia"/>
              </w:rPr>
              <w:t>2020年1月1日至2020年6月30日</w:t>
            </w:r>
          </w:p>
        </w:tc>
        <w:tc>
          <w:tcPr>
            <w:tcW w:w="1332"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57.67%</w:t>
            </w:r>
          </w:p>
        </w:tc>
        <w:tc>
          <w:tcPr>
            <w:tcW w:w="144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1.72%</w:t>
            </w:r>
          </w:p>
        </w:tc>
        <w:tc>
          <w:tcPr>
            <w:tcW w:w="1445"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32.39%</w:t>
            </w:r>
          </w:p>
        </w:tc>
        <w:tc>
          <w:tcPr>
            <w:tcW w:w="1075"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1.30%</w:t>
            </w:r>
          </w:p>
        </w:tc>
        <w:tc>
          <w:tcPr>
            <w:tcW w:w="126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25.28%</w:t>
            </w:r>
          </w:p>
        </w:tc>
        <w:tc>
          <w:tcPr>
            <w:tcW w:w="108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0.42%</w:t>
            </w:r>
          </w:p>
        </w:tc>
      </w:tr>
      <w:tr w:rsidR="00533AE6" w:rsidRPr="00533AE6" w:rsidTr="00533AE6">
        <w:tc>
          <w:tcPr>
            <w:tcW w:w="2304" w:type="dxa"/>
            <w:vAlign w:val="center"/>
          </w:tcPr>
          <w:p w:rsidR="00533AE6" w:rsidRPr="00533AE6" w:rsidRDefault="00533AE6" w:rsidP="00533AE6">
            <w:pPr>
              <w:ind w:left="-420" w:firstLine="420"/>
              <w:jc w:val="center"/>
              <w:rPr>
                <w:rFonts w:asciiTheme="minorEastAsia" w:eastAsiaTheme="minorEastAsia" w:hAnsiTheme="minorEastAsia"/>
              </w:rPr>
            </w:pPr>
            <w:r w:rsidRPr="00533AE6">
              <w:rPr>
                <w:rFonts w:asciiTheme="minorEastAsia" w:eastAsiaTheme="minorEastAsia" w:hAnsiTheme="minorEastAsia" w:hint="eastAsia"/>
              </w:rPr>
              <w:t>自基金合同生效日至2020年6月30日</w:t>
            </w:r>
          </w:p>
        </w:tc>
        <w:tc>
          <w:tcPr>
            <w:tcW w:w="1332"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247.20%</w:t>
            </w:r>
          </w:p>
        </w:tc>
        <w:tc>
          <w:tcPr>
            <w:tcW w:w="144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1.60%</w:t>
            </w:r>
          </w:p>
        </w:tc>
        <w:tc>
          <w:tcPr>
            <w:tcW w:w="1445"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130.18%</w:t>
            </w:r>
          </w:p>
        </w:tc>
        <w:tc>
          <w:tcPr>
            <w:tcW w:w="1075"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1.29%</w:t>
            </w:r>
          </w:p>
        </w:tc>
        <w:tc>
          <w:tcPr>
            <w:tcW w:w="126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117.02%</w:t>
            </w:r>
          </w:p>
        </w:tc>
        <w:tc>
          <w:tcPr>
            <w:tcW w:w="1080" w:type="dxa"/>
            <w:vAlign w:val="center"/>
          </w:tcPr>
          <w:p w:rsidR="00533AE6" w:rsidRPr="00533AE6" w:rsidRDefault="00533AE6" w:rsidP="00533AE6">
            <w:pPr>
              <w:ind w:left="-420" w:firstLine="420"/>
              <w:jc w:val="right"/>
              <w:rPr>
                <w:rFonts w:asciiTheme="minorEastAsia" w:eastAsiaTheme="minorEastAsia" w:hAnsiTheme="minorEastAsia"/>
              </w:rPr>
            </w:pPr>
            <w:r w:rsidRPr="00533AE6">
              <w:rPr>
                <w:rFonts w:asciiTheme="minorEastAsia" w:eastAsiaTheme="minorEastAsia" w:hAnsiTheme="minorEastAsia"/>
              </w:rPr>
              <w:t>0.31%</w:t>
            </w:r>
          </w:p>
        </w:tc>
      </w:tr>
    </w:tbl>
    <w:p w:rsidR="003D37DC" w:rsidRPr="00533AE6" w:rsidRDefault="00153667" w:rsidP="005A15F8">
      <w:pPr>
        <w:pStyle w:val="30"/>
        <w:snapToGrid w:val="0"/>
        <w:spacing w:after="0" w:line="360" w:lineRule="auto"/>
        <w:ind w:left="-420" w:firstLine="320"/>
        <w:rPr>
          <w:rFonts w:asciiTheme="minorEastAsia" w:eastAsiaTheme="minorEastAsia" w:hAnsiTheme="minorEastAsia"/>
        </w:rPr>
      </w:pPr>
      <w:r w:rsidRPr="00533AE6">
        <w:rPr>
          <w:rFonts w:asciiTheme="minorEastAsia" w:eastAsiaTheme="minorEastAsia" w:hAnsiTheme="minorEastAsia"/>
          <w:szCs w:val="21"/>
        </w:rPr>
        <w:br w:type="page"/>
      </w:r>
    </w:p>
    <w:p w:rsidR="00266A27" w:rsidRPr="00533AE6" w:rsidRDefault="00266A27"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44" w:name="_Toc46933255"/>
      <w:r w:rsidRPr="00533AE6">
        <w:rPr>
          <w:rFonts w:asciiTheme="minorEastAsia" w:eastAsiaTheme="minorEastAsia" w:hAnsiTheme="minorEastAsia" w:hint="eastAsia"/>
          <w:bCs/>
        </w:rPr>
        <w:lastRenderedPageBreak/>
        <w:t>十</w:t>
      </w:r>
      <w:r w:rsidR="006376F9" w:rsidRPr="00533AE6">
        <w:rPr>
          <w:rFonts w:asciiTheme="minorEastAsia" w:eastAsiaTheme="minorEastAsia" w:hAnsiTheme="minorEastAsia" w:hint="eastAsia"/>
          <w:bCs/>
        </w:rPr>
        <w:t>三</w:t>
      </w:r>
      <w:r w:rsidRPr="00533AE6">
        <w:rPr>
          <w:rFonts w:asciiTheme="minorEastAsia" w:eastAsiaTheme="minorEastAsia" w:hAnsiTheme="minorEastAsia" w:hint="eastAsia"/>
          <w:bCs/>
        </w:rPr>
        <w:t>、基金的财产</w:t>
      </w:r>
      <w:bookmarkEnd w:id="144"/>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5" w:name="_Toc46933256"/>
      <w:r w:rsidRPr="00533AE6">
        <w:rPr>
          <w:rFonts w:asciiTheme="minorEastAsia" w:eastAsiaTheme="minorEastAsia" w:hAnsiTheme="minorEastAsia" w:hint="eastAsia"/>
          <w:b w:val="0"/>
        </w:rPr>
        <w:t>（一）基金资产总值</w:t>
      </w:r>
      <w:bookmarkEnd w:id="145"/>
    </w:p>
    <w:p w:rsidR="00DB7A06" w:rsidRPr="00533AE6" w:rsidRDefault="00153667"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本基金的基金资产总值指基金所持有的各类有价证券、银行存款本息、基金的应收款项和其他投资所形成的价值总和。</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6" w:name="_Toc46933257"/>
      <w:r w:rsidRPr="00533AE6">
        <w:rPr>
          <w:rFonts w:asciiTheme="minorEastAsia" w:eastAsiaTheme="minorEastAsia" w:hAnsiTheme="minorEastAsia" w:hint="eastAsia"/>
          <w:b w:val="0"/>
        </w:rPr>
        <w:t>（二）基金资产净值</w:t>
      </w:r>
      <w:bookmarkEnd w:id="146"/>
    </w:p>
    <w:p w:rsidR="00DB7A06" w:rsidRPr="00533AE6" w:rsidRDefault="00153667"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本基金的基金资产净值是指基金资产总值减去负债后的价值。</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7" w:name="_Toc46933258"/>
      <w:r w:rsidRPr="00533AE6">
        <w:rPr>
          <w:rFonts w:asciiTheme="minorEastAsia" w:eastAsiaTheme="minorEastAsia" w:hAnsiTheme="minorEastAsia" w:hint="eastAsia"/>
          <w:b w:val="0"/>
        </w:rPr>
        <w:t>（三）基金财产的账户</w:t>
      </w:r>
      <w:bookmarkEnd w:id="147"/>
    </w:p>
    <w:p w:rsidR="00DB7A06" w:rsidRPr="00533AE6" w:rsidRDefault="00153667"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本基金根据相关法律法规、规范性文件开立基金资金账户以及证券账户，与基金管理人和基金托管人自有的财产账户以及其他基金财产账户独立。</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48" w:name="_Toc46933259"/>
      <w:r w:rsidRPr="00533AE6">
        <w:rPr>
          <w:rFonts w:asciiTheme="minorEastAsia" w:eastAsiaTheme="minorEastAsia" w:hAnsiTheme="minorEastAsia" w:hint="eastAsia"/>
          <w:b w:val="0"/>
        </w:rPr>
        <w:t>（四）基金财产的保管及处分</w:t>
      </w:r>
      <w:bookmarkEnd w:id="148"/>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1、本基金财产独立于基金管理人及基金托管人的固有财产，并由基金托管人保管。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2、基金管理人、基金托管人因基金财产的管理、运用或者其他情形而取得的财产和收益，归基金财产。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3、基金管理人、基金托管人因依法解散、被依法撤销或者被依法宣告破产等原因进行清算的，基金财产不属于其清算范围。</w:t>
      </w:r>
    </w:p>
    <w:p w:rsidR="00153667" w:rsidRPr="00533AE6" w:rsidRDefault="0015366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4、基金财产的债权不得与基金管理人、基金托管人固有财产的债务相抵销；不同基金财产的债权债务，不得相互抵销。非因基金财产本身承担的债务，不得对基金财产强制执行。</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49" w:name="_Toc46933260"/>
      <w:r w:rsidRPr="00533AE6">
        <w:rPr>
          <w:rFonts w:asciiTheme="minorEastAsia" w:eastAsiaTheme="minorEastAsia" w:hAnsiTheme="minorEastAsia" w:hint="eastAsia"/>
          <w:bCs/>
        </w:rPr>
        <w:lastRenderedPageBreak/>
        <w:t>十四</w:t>
      </w:r>
      <w:r w:rsidR="00266A27" w:rsidRPr="00533AE6">
        <w:rPr>
          <w:rFonts w:asciiTheme="minorEastAsia" w:eastAsiaTheme="minorEastAsia" w:hAnsiTheme="minorEastAsia" w:hint="eastAsia"/>
          <w:bCs/>
        </w:rPr>
        <w:t>、基金资产估值</w:t>
      </w:r>
      <w:bookmarkEnd w:id="149"/>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50" w:name="_Toc44229106"/>
      <w:bookmarkStart w:id="151" w:name="_Toc44229201"/>
      <w:bookmarkStart w:id="152" w:name="_Toc44229107"/>
      <w:bookmarkStart w:id="153" w:name="_Toc44229202"/>
      <w:bookmarkStart w:id="154" w:name="_Toc44229108"/>
      <w:bookmarkStart w:id="155" w:name="_Toc44229203"/>
      <w:bookmarkStart w:id="156" w:name="_Toc44229109"/>
      <w:bookmarkStart w:id="157" w:name="_Toc44229204"/>
      <w:bookmarkStart w:id="158" w:name="_Toc44229110"/>
      <w:bookmarkStart w:id="159" w:name="_Toc44229205"/>
      <w:bookmarkStart w:id="160" w:name="_Toc44229111"/>
      <w:bookmarkStart w:id="161" w:name="_Toc44229206"/>
      <w:bookmarkStart w:id="162" w:name="_Toc44229112"/>
      <w:bookmarkStart w:id="163" w:name="_Toc44229207"/>
      <w:bookmarkStart w:id="164" w:name="_Toc44229113"/>
      <w:bookmarkStart w:id="165" w:name="_Toc44229208"/>
      <w:bookmarkStart w:id="166" w:name="_Toc97031289"/>
      <w:bookmarkStart w:id="167" w:name="_Toc97107249"/>
      <w:bookmarkStart w:id="168" w:name="_Toc4693326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533AE6">
        <w:rPr>
          <w:rFonts w:asciiTheme="minorEastAsia" w:eastAsiaTheme="minorEastAsia" w:hAnsiTheme="minorEastAsia" w:hint="eastAsia"/>
          <w:b w:val="0"/>
        </w:rPr>
        <w:t>（一）估值目的</w:t>
      </w:r>
      <w:bookmarkEnd w:id="168"/>
    </w:p>
    <w:p w:rsidR="00DB7A06" w:rsidRPr="00533AE6" w:rsidRDefault="006F1E3C"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基金估值的目的是为了准确、真实地反映基金相关金融资产和金融负债的公允价值。开放式基金份额申购、赎回价格应按基金估值后确定的基金份额净值计算。</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69" w:name="_Toc46933262"/>
      <w:r w:rsidRPr="00533AE6">
        <w:rPr>
          <w:rFonts w:asciiTheme="minorEastAsia" w:eastAsiaTheme="minorEastAsia" w:hAnsiTheme="minorEastAsia" w:hint="eastAsia"/>
          <w:b w:val="0"/>
        </w:rPr>
        <w:t>（二）估值日</w:t>
      </w:r>
      <w:bookmarkEnd w:id="169"/>
    </w:p>
    <w:p w:rsidR="00DB7A06" w:rsidRPr="00533AE6" w:rsidRDefault="006F1E3C"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本基金的估值日为相关的证券交易场所的正常交易日以及国家法律法规规定需要对外披露基金净值的非交易日。</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0" w:name="_Toc46933263"/>
      <w:r w:rsidRPr="00533AE6">
        <w:rPr>
          <w:rFonts w:asciiTheme="minorEastAsia" w:eastAsiaTheme="minorEastAsia" w:hAnsiTheme="minorEastAsia" w:hint="eastAsia"/>
          <w:b w:val="0"/>
        </w:rPr>
        <w:t>（三）估值对象</w:t>
      </w:r>
      <w:bookmarkEnd w:id="170"/>
    </w:p>
    <w:p w:rsidR="00DB7A06" w:rsidRPr="00533AE6" w:rsidRDefault="006F1E3C"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rPr>
        <w:t>基金所持有的金融资产和金融负债。</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1" w:name="_Toc46933264"/>
      <w:r w:rsidRPr="00533AE6">
        <w:rPr>
          <w:rFonts w:asciiTheme="minorEastAsia" w:eastAsiaTheme="minorEastAsia" w:hAnsiTheme="minorEastAsia" w:hint="eastAsia"/>
          <w:b w:val="0"/>
        </w:rPr>
        <w:t>（四）估值方法</w:t>
      </w:r>
      <w:bookmarkEnd w:id="171"/>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本基金按以下方式进行估值：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1、证券交易所上市的有价证券的估值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交易所上市的股票、权证，以其估值日在证券交易所挂牌的收盘价估值；估值日无交易，但最近交易日后经济环境未发生重大变化且证券发行机构未发生影响证券价格的重大事件的，以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2）交易所上市实行净价交易的债券按估值日收盘价估值，估值日无交易，但最近交易日后经济环境未发生重大变化且证券发行机构未发生影响证券价格的重大事件的，按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交易所上市未实行净价交易的债券按估值日收盘价减去债券收盘价中所含的债券应收利息得到的净价进行估值；估值日无交易，但最近交易日后经济环境未发生重大变化且证券发行机构未发生影响证券价格的重大事件的，按有交易的最近交易日所采用的净价估值；估值日无交易，且最近交易日后经济环境发生了重大变化或证券发行机构发生了影响证券价格的重大事件，可参考类似投资品种的现行市价及重大变化因素，调整最近交易日所采用的净价，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（4）交易所以大宗交易方式交易的资产支持证券，采用估值技术确定公允价值，在估值技术难以可靠计量公允价值的情况下，按成本估值。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（5）交易所上市不存在活跃市场的其他有价证券，采用估值技术确定公允价值。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lastRenderedPageBreak/>
        <w:t>2、处于未上市期间的有价证券应区分如下情况处理：</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（1）送股、转增股、配股和公开增发的新股，按估值日在证券交易所挂牌的同一股票的估值价格估值；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（2）首次公开发行未上市的股票、债券和权证，采用估值技术确定公允价值，在估值技术难以可靠计量公允价值的情况下，按成本估值。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（3）首次公开发行有明确锁定期的股票，同一股票在交易所上市后，按估值日在证券交易所挂牌的同一股票的估值价格估值；非公开发行有明确锁定期的股票，按监管机构或行业协会有关规定确定公允价值。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3、因持有股票而享有的配股权，以及停止交易、但未行权的权证，采用估值技术确定公允价值。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4、全国银行间债券市场交易的债券、资产支持证券等固定收益品种，采用估值技术确定公允价值。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5、同一债券同时在两个或两个以上市场交易的，按债券所处的市场分别估值。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6、期货合约以结算价格估值。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7、如有确凿证据表明按上述方法进行估值不能客观反映其公允价值的，基金管理人可根据具体情况与基金托管人商定后，按最能反映公允价值的价格估值。</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8、相关法律法规以及监管部门有强制规定的，从其规定。如有新增事项，按国家最新规定估值。</w:t>
      </w:r>
    </w:p>
    <w:p w:rsidR="00DB7A06"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根据《基金法》，基金管理人计算并公告基金资产净值，基金托管人复核基金管理人计算的基金资产净值。因此，就与本基金有关的会计问题，如经相关各方在平等基础上充分讨论后，仍无法达成一致的意见，按照基金管理人对基金资产净值的计算结果对外予以公布。</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2" w:name="_Toc46933265"/>
      <w:r w:rsidRPr="00533AE6">
        <w:rPr>
          <w:rFonts w:asciiTheme="minorEastAsia" w:eastAsiaTheme="minorEastAsia" w:hAnsiTheme="minorEastAsia" w:hint="eastAsia"/>
          <w:b w:val="0"/>
        </w:rPr>
        <w:t>（五）估值程序</w:t>
      </w:r>
      <w:bookmarkEnd w:id="172"/>
    </w:p>
    <w:p w:rsidR="00DB7A06"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3" w:name="_Toc46933266"/>
      <w:r w:rsidRPr="00533AE6">
        <w:rPr>
          <w:rFonts w:asciiTheme="minorEastAsia" w:eastAsiaTheme="minorEastAsia" w:hAnsiTheme="minorEastAsia" w:hint="eastAsia"/>
          <w:b w:val="0"/>
        </w:rPr>
        <w:t>（六）暂停估值的情形</w:t>
      </w:r>
      <w:bookmarkEnd w:id="173"/>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1、基金投资所涉及的证券交易所遇法定节假日或因其他原因暂停营业时；</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2、因不可抗力或其他情形致使基金管理人、基金托管人无法准确评估基金财产价值时；</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3、占基金相当比例的投资品种的估值出现重大转变，而基金管理人为保障投资者的利益，已决定延迟估值；</w:t>
      </w:r>
    </w:p>
    <w:p w:rsidR="00D21CEA" w:rsidRPr="00533AE6" w:rsidRDefault="00D21CEA" w:rsidP="00D21CEA">
      <w:pPr>
        <w:spacing w:before="100" w:beforeAutospacing="1" w:after="100" w:afterAutospacing="1" w:line="400" w:lineRule="exact"/>
        <w:ind w:left="-420" w:firstLineChars="0" w:firstLine="420"/>
        <w:rPr>
          <w:rFonts w:asciiTheme="minorEastAsia" w:eastAsiaTheme="minorEastAsia" w:hAnsiTheme="minorEastAsia"/>
          <w:kern w:val="0"/>
          <w:szCs w:val="21"/>
        </w:rPr>
      </w:pPr>
      <w:r w:rsidRPr="00533AE6">
        <w:rPr>
          <w:rFonts w:asciiTheme="minorEastAsia" w:eastAsiaTheme="minorEastAsia" w:hAnsiTheme="minorEastAsia"/>
          <w:kern w:val="0"/>
          <w:szCs w:val="21"/>
        </w:rPr>
        <w:lastRenderedPageBreak/>
        <w:t>4</w:t>
      </w:r>
      <w:r w:rsidRPr="00533AE6">
        <w:rPr>
          <w:rFonts w:asciiTheme="minorEastAsia" w:eastAsiaTheme="minorEastAsia" w:hAnsiTheme="minorEastAsia" w:hint="eastAsia"/>
          <w:kern w:val="0"/>
          <w:szCs w:val="21"/>
        </w:rPr>
        <w:t>、当前一估值日基金资产净值</w:t>
      </w:r>
      <w:r w:rsidRPr="00533AE6">
        <w:rPr>
          <w:rFonts w:asciiTheme="minorEastAsia" w:eastAsiaTheme="minorEastAsia" w:hAnsiTheme="minorEastAsia"/>
          <w:kern w:val="0"/>
          <w:szCs w:val="21"/>
        </w:rPr>
        <w:t>50%</w:t>
      </w:r>
      <w:r w:rsidRPr="00533AE6">
        <w:rPr>
          <w:rFonts w:asciiTheme="minorEastAsia" w:eastAsiaTheme="minorEastAsia" w:hAnsiTheme="minorEastAsia" w:hint="eastAsia"/>
          <w:kern w:val="0"/>
          <w:szCs w:val="21"/>
        </w:rPr>
        <w:t>以上的资产出现无可参考的活跃市场价格且采用估值技术仍导致公允价值存在重大不确定性时，经与基金托管人协商一致的；</w:t>
      </w:r>
    </w:p>
    <w:p w:rsidR="00DB7A06" w:rsidRPr="00533AE6" w:rsidRDefault="00D21CEA"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5</w:t>
      </w:r>
      <w:r w:rsidR="006F1E3C" w:rsidRPr="00533AE6">
        <w:rPr>
          <w:rFonts w:asciiTheme="minorEastAsia" w:eastAsiaTheme="minorEastAsia" w:hAnsiTheme="minorEastAsia"/>
        </w:rPr>
        <w:t>、中国证监会认定的其他情形。</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4" w:name="_Toc46933267"/>
      <w:r w:rsidRPr="00533AE6">
        <w:rPr>
          <w:rFonts w:asciiTheme="minorEastAsia" w:eastAsiaTheme="minorEastAsia" w:hAnsiTheme="minorEastAsia" w:hint="eastAsia"/>
          <w:b w:val="0"/>
        </w:rPr>
        <w:t>（七）基金份额净值的确认</w:t>
      </w:r>
      <w:bookmarkEnd w:id="174"/>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用于基金信息披露的基金份额净值由基金管理人负责计算，基金托管人进行复核。基金管理人应于每个工作日交易结束后计算当日的基金份额净值并发送给基金托管人（申购、赎回开始前为每周最后一个工作日）。基金托管人对净值计算结果复核确认后发送给基金管理人，由基金管理人对基金份额净值予以公布。</w:t>
      </w:r>
    </w:p>
    <w:p w:rsidR="00DB7A06"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基金份额净值的计算精确到0.001元，小数点后第四位四舍五入。国家另有规定的，从其规定。</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5" w:name="_Toc46933268"/>
      <w:r w:rsidRPr="00533AE6">
        <w:rPr>
          <w:rFonts w:asciiTheme="minorEastAsia" w:eastAsiaTheme="minorEastAsia" w:hAnsiTheme="minorEastAsia" w:hint="eastAsia"/>
          <w:b w:val="0"/>
        </w:rPr>
        <w:t>（八）估值错误的处理</w:t>
      </w:r>
      <w:bookmarkEnd w:id="175"/>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1、当基金资产的估值导致基金份额净值小数点后三位（含第三位）内发生差错时，视为基金份额净值估值错误。</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DB7A06"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3、前述内容如法律法规或监管机构另有规定的，按其规定处理。</w:t>
      </w:r>
    </w:p>
    <w:p w:rsidR="00DB7A06" w:rsidRPr="00533AE6" w:rsidRDefault="00DB7A06"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6" w:name="_Toc46933269"/>
      <w:r w:rsidRPr="00533AE6">
        <w:rPr>
          <w:rFonts w:asciiTheme="minorEastAsia" w:eastAsiaTheme="minorEastAsia" w:hAnsiTheme="minorEastAsia" w:hint="eastAsia"/>
          <w:b w:val="0"/>
        </w:rPr>
        <w:t>（九）特殊情形的处理</w:t>
      </w:r>
      <w:bookmarkEnd w:id="176"/>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rPr>
      </w:pPr>
      <w:r w:rsidRPr="00533AE6">
        <w:rPr>
          <w:rFonts w:asciiTheme="minorEastAsia" w:eastAsiaTheme="minorEastAsia" w:hAnsiTheme="minorEastAsia"/>
        </w:rPr>
        <w:t>1、基金管理人按本条第（四）款有关估值方法规定的第7项条款进行估值时，所造成的误差不作为基金份额净值错误处理。</w:t>
      </w:r>
    </w:p>
    <w:p w:rsidR="006F1E3C"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rPr>
      </w:pPr>
      <w:r w:rsidRPr="00533AE6">
        <w:rPr>
          <w:rFonts w:asciiTheme="minorEastAsia" w:eastAsiaTheme="minorEastAsia" w:hAnsiTheme="minorEastAsia"/>
        </w:rPr>
        <w:t>2、由于不可抗力原因，或由于证券交易所或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77" w:name="_Toc46933270"/>
      <w:r w:rsidRPr="00533AE6">
        <w:rPr>
          <w:rFonts w:asciiTheme="minorEastAsia" w:eastAsiaTheme="minorEastAsia" w:hAnsiTheme="minorEastAsia" w:hint="eastAsia"/>
          <w:bCs/>
        </w:rPr>
        <w:lastRenderedPageBreak/>
        <w:t>十五</w:t>
      </w:r>
      <w:r w:rsidR="00266A27" w:rsidRPr="00533AE6">
        <w:rPr>
          <w:rFonts w:asciiTheme="minorEastAsia" w:eastAsiaTheme="minorEastAsia" w:hAnsiTheme="minorEastAsia" w:hint="eastAsia"/>
          <w:bCs/>
        </w:rPr>
        <w:t>、基金的收益与分配</w:t>
      </w:r>
      <w:bookmarkEnd w:id="177"/>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78" w:name="_Toc46933271"/>
      <w:bookmarkStart w:id="179" w:name="_Toc84149664"/>
      <w:bookmarkStart w:id="180" w:name="_Toc86584639"/>
      <w:r w:rsidRPr="00533AE6">
        <w:rPr>
          <w:rFonts w:asciiTheme="minorEastAsia" w:eastAsiaTheme="minorEastAsia" w:hAnsiTheme="minorEastAsia" w:hint="eastAsia"/>
          <w:b w:val="0"/>
        </w:rPr>
        <w:t>（一）基金利润的构成</w:t>
      </w:r>
      <w:bookmarkEnd w:id="178"/>
    </w:p>
    <w:p w:rsidR="007A1A93"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基金利润指基金利息收入、投资收益、公允价值变动收益和其他收入扣除相关费用后的余额。基金已实现收益指基金利润减去公允价值变动收益后的余额。</w:t>
      </w:r>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1" w:name="_Toc46933272"/>
      <w:r w:rsidRPr="00533AE6">
        <w:rPr>
          <w:rFonts w:asciiTheme="minorEastAsia" w:eastAsiaTheme="minorEastAsia" w:hAnsiTheme="minorEastAsia" w:hint="eastAsia"/>
          <w:b w:val="0"/>
        </w:rPr>
        <w:t>（二）基金可供分配利润</w:t>
      </w:r>
      <w:bookmarkEnd w:id="181"/>
    </w:p>
    <w:p w:rsidR="007A1A93"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基金可供分配利润指截至收益分配基准日基金未分配利润与未分配利润中已实现收益的孰低数。</w:t>
      </w:r>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2" w:name="_Toc46933273"/>
      <w:r w:rsidRPr="00533AE6">
        <w:rPr>
          <w:rFonts w:asciiTheme="minorEastAsia" w:eastAsiaTheme="minorEastAsia" w:hAnsiTheme="minorEastAsia" w:hint="eastAsia"/>
          <w:b w:val="0"/>
        </w:rPr>
        <w:t>（三）收益分配原则</w:t>
      </w:r>
      <w:bookmarkEnd w:id="182"/>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1、基金收益分配采用现金方式或红利再投资方式，基金份额持有人可自行选择收益分配方式；基金份额持有人事先未做出选择的，默认的分红方式为现金红利；</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2、每一基金份额享有同等分配权；</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3、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4、基金收益分配基准日的基金份额净值减去每单位基金份额收益分配金额后不能低于面值；</w:t>
      </w:r>
    </w:p>
    <w:p w:rsidR="007A1A93"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5、法律法规或监管机构另有规定的，从其规定。</w:t>
      </w:r>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3" w:name="_Toc46933274"/>
      <w:r w:rsidRPr="00533AE6">
        <w:rPr>
          <w:rFonts w:asciiTheme="minorEastAsia" w:eastAsiaTheme="minorEastAsia" w:hAnsiTheme="minorEastAsia" w:hint="eastAsia"/>
          <w:b w:val="0"/>
        </w:rPr>
        <w:t>（四）收益分配方案</w:t>
      </w:r>
      <w:bookmarkEnd w:id="183"/>
    </w:p>
    <w:p w:rsidR="007A1A93"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基金收益分配方案中应载明基金收益分配基准日可供分配利润、基金收益分配对象、分配时间、分配数额及比例、分配方式等内容。</w:t>
      </w:r>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4" w:name="_Toc46933275"/>
      <w:r w:rsidRPr="00533AE6">
        <w:rPr>
          <w:rFonts w:asciiTheme="minorEastAsia" w:eastAsiaTheme="minorEastAsia" w:hAnsiTheme="minorEastAsia" w:hint="eastAsia"/>
          <w:b w:val="0"/>
        </w:rPr>
        <w:t>（五）收益分配方案的确定、公告与实施</w:t>
      </w:r>
      <w:bookmarkEnd w:id="184"/>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基金收益分配方案由基金管理人拟定，并由基金托管人复核后确定，基金管理人</w:t>
      </w:r>
      <w:r w:rsidR="00BD6ED1" w:rsidRPr="00533AE6">
        <w:rPr>
          <w:rFonts w:asciiTheme="minorEastAsia" w:eastAsiaTheme="minorEastAsia" w:hAnsiTheme="minorEastAsia" w:hint="eastAsia"/>
          <w:kern w:val="0"/>
          <w:szCs w:val="21"/>
        </w:rPr>
        <w:t>在2日内在指定媒介公告</w:t>
      </w:r>
      <w:r w:rsidRPr="00533AE6">
        <w:rPr>
          <w:rFonts w:asciiTheme="minorEastAsia" w:eastAsiaTheme="minorEastAsia" w:hAnsiTheme="minorEastAsia"/>
        </w:rPr>
        <w:t>。</w:t>
      </w:r>
    </w:p>
    <w:p w:rsidR="00896494" w:rsidRPr="00533AE6" w:rsidRDefault="00E06EC4">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本基金收益分配的发放日距离收益分配基准日的时间不超过15个工作日。</w:t>
      </w:r>
    </w:p>
    <w:p w:rsidR="007A1A93"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cs="Arial"/>
          <w:kern w:val="0"/>
          <w:szCs w:val="21"/>
        </w:rPr>
      </w:pPr>
      <w:r w:rsidRPr="00533AE6">
        <w:rPr>
          <w:rFonts w:asciiTheme="minorEastAsia" w:eastAsiaTheme="minorEastAsia" w:hAnsiTheme="minorEastAsia"/>
        </w:rPr>
        <w:t>法律法规或监管机关另有规定的，从其规定。</w:t>
      </w:r>
    </w:p>
    <w:p w:rsidR="007A1A93" w:rsidRPr="00533AE6" w:rsidRDefault="007A1A93"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5" w:name="_Toc46933276"/>
      <w:r w:rsidRPr="00533AE6">
        <w:rPr>
          <w:rFonts w:asciiTheme="minorEastAsia" w:eastAsiaTheme="minorEastAsia" w:hAnsiTheme="minorEastAsia" w:hint="eastAsia"/>
          <w:b w:val="0"/>
        </w:rPr>
        <w:t>（六）收益分配中发生的费用</w:t>
      </w:r>
      <w:bookmarkEnd w:id="185"/>
    </w:p>
    <w:p w:rsidR="006F1E3C" w:rsidRPr="00533AE6" w:rsidRDefault="006F1E3C" w:rsidP="005A15F8">
      <w:pPr>
        <w:autoSpaceDE w:val="0"/>
        <w:autoSpaceDN w:val="0"/>
        <w:snapToGrid w:val="0"/>
        <w:spacing w:line="360" w:lineRule="auto"/>
        <w:ind w:left="-420" w:firstLine="420"/>
        <w:jc w:val="left"/>
        <w:rPr>
          <w:rFonts w:asciiTheme="minorEastAsia" w:eastAsiaTheme="minorEastAsia" w:hAnsiTheme="minorEastAsia"/>
        </w:rPr>
      </w:pPr>
      <w:r w:rsidRPr="00533AE6">
        <w:rPr>
          <w:rFonts w:asciiTheme="minorEastAsia" w:eastAsiaTheme="minorEastAsia" w:hAnsiTheme="minorEastAsia"/>
        </w:rPr>
        <w:t>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基金管理人的相关业务规则执行。</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86" w:name="_Toc46933277"/>
      <w:bookmarkEnd w:id="179"/>
      <w:bookmarkEnd w:id="180"/>
      <w:r w:rsidRPr="00533AE6">
        <w:rPr>
          <w:rFonts w:asciiTheme="minorEastAsia" w:eastAsiaTheme="minorEastAsia" w:hAnsiTheme="minorEastAsia" w:hint="eastAsia"/>
          <w:bCs/>
        </w:rPr>
        <w:lastRenderedPageBreak/>
        <w:t>十六</w:t>
      </w:r>
      <w:r w:rsidR="00266A27" w:rsidRPr="00533AE6">
        <w:rPr>
          <w:rFonts w:asciiTheme="minorEastAsia" w:eastAsiaTheme="minorEastAsia" w:hAnsiTheme="minorEastAsia" w:hint="eastAsia"/>
          <w:bCs/>
        </w:rPr>
        <w:t>、基金的费用与税收</w:t>
      </w:r>
      <w:bookmarkEnd w:id="186"/>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87" w:name="_Toc84149669"/>
      <w:bookmarkStart w:id="188" w:name="_Toc86584633"/>
      <w:bookmarkStart w:id="189" w:name="_Toc46933278"/>
      <w:r w:rsidRPr="00533AE6">
        <w:rPr>
          <w:rFonts w:asciiTheme="minorEastAsia" w:eastAsiaTheme="minorEastAsia" w:hAnsiTheme="minorEastAsia" w:hint="eastAsia"/>
          <w:b w:val="0"/>
        </w:rPr>
        <w:t>（一）与基金运作相关的费用</w:t>
      </w:r>
      <w:bookmarkEnd w:id="187"/>
      <w:bookmarkEnd w:id="188"/>
      <w:bookmarkEnd w:id="189"/>
    </w:p>
    <w:p w:rsidR="00266A27" w:rsidRPr="00533AE6" w:rsidRDefault="00266A2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1</w:t>
      </w:r>
      <w:r w:rsidR="00103950"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基金费用的种类</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(1)基金管理人的管理费；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(2)基金托管人的托管费；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(3)因基金的证券交易或结算而产生的费用；</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(4)基金合同生效以后的信息披露费用；</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(5)基金份额持有人大会费用；</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(6)基金合同生效以后的会计师费和律师费；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(7)基金资产的资金汇划费用；</w:t>
      </w:r>
    </w:p>
    <w:p w:rsidR="007A1A93"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(8)按照国家有关法律法规规定可以列入的其他费用。</w:t>
      </w:r>
    </w:p>
    <w:p w:rsidR="00E15065" w:rsidRPr="00533AE6" w:rsidRDefault="00266A2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2</w:t>
      </w:r>
      <w:r w:rsidR="00103950"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基金费用计提方法、计提标准和支付方式</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(1)基金管理人的管理费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基金管理人的基金管理费按基金资产净值的1.5%年费率计提。</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在通常情况下，基金管理费按前一日基金资产净值的1.5%年费率计提。计算方法如下：</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H＝E×1.5%÷当年天数</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H为每日应计提的基金管理费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E为前一日基金资产净值</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基金管理费每日计提，按月支付。经基金管理人与基金托管人核对一致后，由基金托管人于次月首日起3个工作日内从基金财产中一次性支付给基金管理人。</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(2)基金托管人的基金托管费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基金托管人的基金托管费按基金资产净值的0.25%年费率计提。</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在通常情况下，基金托管费按前一日基金资产净值的0.25%年费率计提。计算方法如下：</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H=E×0.25%÷当年天数</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H为每日应计提的基金托管费</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E为前一日的基金资产净值</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基金托管费每日计提，按月支付。经基金管理人与基金托管人核对一致后，由基金托管人于次月首日起3个工作日内从基金财产中一次性支付给基金托管人。</w:t>
      </w:r>
    </w:p>
    <w:p w:rsidR="006F1E3C"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(3)本条第1款第(3)至第(8)项费用由基金管理人和基金托管人根据有关法规及相应协议的规定，列入当期基金费用。</w:t>
      </w:r>
    </w:p>
    <w:p w:rsidR="00266A27" w:rsidRPr="00533AE6" w:rsidRDefault="00266A2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3</w:t>
      </w:r>
      <w:r w:rsidR="00103950"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不列入基金费用的项目</w:t>
      </w:r>
    </w:p>
    <w:p w:rsidR="00E15065"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本条第1款约定以外的其他费用，以及基金管理人和基金托管人因未履行或未完全履行义</w:t>
      </w:r>
      <w:r w:rsidRPr="00533AE6">
        <w:rPr>
          <w:rFonts w:asciiTheme="minorEastAsia" w:eastAsiaTheme="minorEastAsia" w:hAnsiTheme="minorEastAsia"/>
        </w:rPr>
        <w:lastRenderedPageBreak/>
        <w:t>务导致的费用支出或基金财产的损失，以及处理与基金运作无关的事项发生的费用等不列入基金费用。</w:t>
      </w:r>
    </w:p>
    <w:p w:rsidR="00266A27" w:rsidRPr="00533AE6" w:rsidRDefault="00266A27" w:rsidP="005A15F8">
      <w:pPr>
        <w:snapToGrid w:val="0"/>
        <w:spacing w:line="360" w:lineRule="auto"/>
        <w:ind w:left="-420" w:firstLine="420"/>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4</w:t>
      </w:r>
      <w:r w:rsidR="00103950" w:rsidRPr="00533AE6">
        <w:rPr>
          <w:rFonts w:asciiTheme="minorEastAsia" w:eastAsiaTheme="minorEastAsia" w:hAnsiTheme="minorEastAsia" w:hint="eastAsia"/>
          <w:kern w:val="0"/>
          <w:szCs w:val="21"/>
        </w:rPr>
        <w:t>、</w:t>
      </w:r>
      <w:r w:rsidRPr="00533AE6">
        <w:rPr>
          <w:rFonts w:asciiTheme="minorEastAsia" w:eastAsiaTheme="minorEastAsia" w:hAnsiTheme="minorEastAsia" w:hint="eastAsia"/>
          <w:szCs w:val="21"/>
        </w:rPr>
        <w:t>基金费用的调整</w:t>
      </w:r>
    </w:p>
    <w:p w:rsidR="00E15065"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基金管理人和基金托管人可协商酌情调低基金管理费和基金托管费，无须召开基金份额持有人大会。</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0" w:name="_Toc46933279"/>
      <w:r w:rsidRPr="00533AE6">
        <w:rPr>
          <w:rFonts w:asciiTheme="minorEastAsia" w:eastAsiaTheme="minorEastAsia" w:hAnsiTheme="minorEastAsia" w:hint="eastAsia"/>
          <w:b w:val="0"/>
        </w:rPr>
        <w:t>（二）与基金销售有关的费用</w:t>
      </w:r>
      <w:bookmarkEnd w:id="190"/>
    </w:p>
    <w:p w:rsidR="006F1E3C" w:rsidRPr="00533AE6" w:rsidRDefault="006F1E3C"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本基金申购费、赎回费、转换费的费率水平、计算公式、收取方式和使用方式请详见本招募说明书“八、基金份额的申购、赎回”中的“（七）申购、赎回的费率”、“（八）申购份额、赎回金额的计算方式”和“九、基金的转换”中的“（五）基金转换费率”、“（六）基金转换份额的计算方式”相关规定。</w:t>
      </w:r>
    </w:p>
    <w:p w:rsidR="00F50110" w:rsidRPr="00533AE6" w:rsidRDefault="006F1E3C" w:rsidP="005A15F8">
      <w:pPr>
        <w:snapToGrid w:val="0"/>
        <w:spacing w:line="360" w:lineRule="auto"/>
        <w:ind w:left="-420" w:firstLine="420"/>
        <w:rPr>
          <w:rFonts w:asciiTheme="minorEastAsia" w:eastAsiaTheme="minorEastAsia" w:hAnsiTheme="minorEastAsia" w:cs="宋体"/>
          <w:kern w:val="0"/>
          <w:szCs w:val="21"/>
        </w:rPr>
      </w:pPr>
      <w:r w:rsidRPr="00533AE6">
        <w:rPr>
          <w:rFonts w:asciiTheme="minorEastAsia" w:eastAsiaTheme="minorEastAsia" w:hAnsiTheme="minorEastAsia" w:hint="eastAsia"/>
        </w:rPr>
        <w:t>2、</w:t>
      </w:r>
      <w:r w:rsidR="004D4D08" w:rsidRPr="00533AE6">
        <w:rPr>
          <w:rFonts w:asciiTheme="minorEastAsia" w:eastAsiaTheme="minorEastAsia" w:hAnsiTheme="minorEastAsia" w:hint="eastAsia"/>
          <w:szCs w:val="21"/>
        </w:rPr>
        <w:t>投资者通过本公司网上交易系统</w:t>
      </w:r>
      <w:r w:rsidR="004D4D08" w:rsidRPr="00533AE6">
        <w:rPr>
          <w:rFonts w:asciiTheme="minorEastAsia" w:eastAsiaTheme="minorEastAsia" w:hAnsiTheme="minorEastAsia" w:cs="宋体" w:hint="eastAsia"/>
          <w:kern w:val="0"/>
          <w:szCs w:val="21"/>
        </w:rPr>
        <w:t>（www.efunds.com.cn）进行申购、赎回和转换的交易费率，请具体参照我公司网站上的相关说明。</w:t>
      </w:r>
    </w:p>
    <w:p w:rsidR="005D08B4" w:rsidRPr="00533AE6" w:rsidRDefault="00072939" w:rsidP="005A15F8">
      <w:pPr>
        <w:snapToGrid w:val="0"/>
        <w:spacing w:line="360" w:lineRule="auto"/>
        <w:ind w:left="-420" w:firstLine="420"/>
        <w:rPr>
          <w:rFonts w:asciiTheme="minorEastAsia" w:eastAsiaTheme="minorEastAsia" w:hAnsiTheme="minorEastAsia"/>
          <w:szCs w:val="21"/>
        </w:rPr>
      </w:pPr>
      <w:bookmarkStart w:id="191" w:name="_Toc84149673"/>
      <w:bookmarkStart w:id="192" w:name="_Toc86584637"/>
      <w:r w:rsidRPr="00533AE6">
        <w:rPr>
          <w:rFonts w:asciiTheme="minorEastAsia" w:eastAsiaTheme="minorEastAsia" w:hAnsiTheme="minorEastAsia"/>
          <w:szCs w:val="21"/>
        </w:rPr>
        <w:t>3</w:t>
      </w:r>
      <w:r w:rsidR="00103950" w:rsidRPr="00533AE6">
        <w:rPr>
          <w:rFonts w:asciiTheme="minorEastAsia" w:eastAsiaTheme="minorEastAsia" w:hAnsiTheme="minorEastAsia"/>
          <w:szCs w:val="21"/>
        </w:rPr>
        <w:t>、</w:t>
      </w:r>
      <w:r w:rsidR="00303A82" w:rsidRPr="00533AE6">
        <w:rPr>
          <w:rFonts w:asciiTheme="minorEastAsia" w:eastAsiaTheme="minorEastAsia" w:hAnsiTheme="minorEastAsia"/>
          <w:szCs w:val="21"/>
        </w:rPr>
        <w:t>基金管理人可以根据《基金合同》的相关约定调整上述费率或收费方式。上述费率如发生变更，基金管理人应按照《信息披露办法》或其他相关规定于新的费率或收费方式实施前在</w:t>
      </w:r>
      <w:r w:rsidR="00CC3018" w:rsidRPr="00533AE6">
        <w:rPr>
          <w:rFonts w:asciiTheme="minorEastAsia" w:eastAsiaTheme="minorEastAsia" w:hAnsiTheme="minorEastAsia" w:hint="eastAsia"/>
          <w:kern w:val="0"/>
          <w:szCs w:val="21"/>
        </w:rPr>
        <w:t>指定媒介</w:t>
      </w:r>
      <w:r w:rsidR="00303A82" w:rsidRPr="00533AE6">
        <w:rPr>
          <w:rFonts w:asciiTheme="minorEastAsia" w:eastAsiaTheme="minorEastAsia" w:hAnsiTheme="minorEastAsia"/>
          <w:szCs w:val="21"/>
        </w:rPr>
        <w:t>公告。</w:t>
      </w:r>
    </w:p>
    <w:p w:rsidR="006E3AE9" w:rsidRPr="00533AE6" w:rsidRDefault="006F1E3C"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rPr>
        <w:t>4、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3" w:name="_Toc46933280"/>
      <w:r w:rsidRPr="00533AE6">
        <w:rPr>
          <w:rFonts w:asciiTheme="minorEastAsia" w:eastAsiaTheme="minorEastAsia" w:hAnsiTheme="minorEastAsia" w:hint="eastAsia"/>
          <w:b w:val="0"/>
        </w:rPr>
        <w:t>（三）基金税收</w:t>
      </w:r>
      <w:bookmarkEnd w:id="191"/>
      <w:bookmarkEnd w:id="192"/>
      <w:bookmarkEnd w:id="193"/>
    </w:p>
    <w:p w:rsidR="00520CBD" w:rsidRPr="00533AE6" w:rsidRDefault="00520CBD"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本基金运作过程中涉及的各纳税主体，依照国家法律法规的规定履行纳税义务。</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94" w:name="_Toc46933281"/>
      <w:r w:rsidRPr="00533AE6">
        <w:rPr>
          <w:rFonts w:asciiTheme="minorEastAsia" w:eastAsiaTheme="minorEastAsia" w:hAnsiTheme="minorEastAsia" w:hint="eastAsia"/>
          <w:bCs/>
        </w:rPr>
        <w:lastRenderedPageBreak/>
        <w:t>十七</w:t>
      </w:r>
      <w:r w:rsidR="00266A27" w:rsidRPr="00533AE6">
        <w:rPr>
          <w:rFonts w:asciiTheme="minorEastAsia" w:eastAsiaTheme="minorEastAsia" w:hAnsiTheme="minorEastAsia" w:hint="eastAsia"/>
          <w:bCs/>
        </w:rPr>
        <w:t>、基金的会计与审计</w:t>
      </w:r>
      <w:bookmarkEnd w:id="194"/>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5" w:name="_Toc46933282"/>
      <w:r w:rsidRPr="00533AE6">
        <w:rPr>
          <w:rFonts w:asciiTheme="minorEastAsia" w:eastAsiaTheme="minorEastAsia" w:hAnsiTheme="minorEastAsia" w:hint="eastAsia"/>
          <w:b w:val="0"/>
        </w:rPr>
        <w:t>（一）基金会计政策</w:t>
      </w:r>
      <w:bookmarkEnd w:id="195"/>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1、基金的会计年度为公历每年1月1日至12月31日。</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2、基金核算以人民币为记账本位币，以人民币元为记账单位。</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3、会计核算制度按国家有关的会计核算制度执行。</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4、本基金独立建账、独立核算。</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5、本基金会计责任人为基金管理人。</w:t>
      </w:r>
    </w:p>
    <w:p w:rsidR="008A3F22" w:rsidRPr="00533AE6" w:rsidRDefault="00520CBD"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6、基金管理人应保留完整的会计账目、凭证并进行日常的会计核算，按照有关法律法规规定编制基金会计报表，基金托管人定期与基金管理人就基金的会计核算、报表编制等进行核对并以书面方式确认。</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6" w:name="_Toc46933283"/>
      <w:r w:rsidRPr="00533AE6">
        <w:rPr>
          <w:rFonts w:asciiTheme="minorEastAsia" w:eastAsiaTheme="minorEastAsia" w:hAnsiTheme="minorEastAsia" w:hint="eastAsia"/>
          <w:b w:val="0"/>
        </w:rPr>
        <w:t>（二）基金</w:t>
      </w:r>
      <w:r w:rsidR="00D80529" w:rsidRPr="00533AE6">
        <w:rPr>
          <w:rFonts w:asciiTheme="minorEastAsia" w:eastAsiaTheme="minorEastAsia" w:hAnsiTheme="minorEastAsia" w:hint="eastAsia"/>
          <w:b w:val="0"/>
        </w:rPr>
        <w:t>的</w:t>
      </w:r>
      <w:r w:rsidRPr="00533AE6">
        <w:rPr>
          <w:rFonts w:asciiTheme="minorEastAsia" w:eastAsiaTheme="minorEastAsia" w:hAnsiTheme="minorEastAsia" w:hint="eastAsia"/>
          <w:b w:val="0"/>
        </w:rPr>
        <w:t>审计</w:t>
      </w:r>
      <w:bookmarkEnd w:id="196"/>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1、基金管理人聘请与基金管理人、基金托管人相独立的、具有从事证券</w:t>
      </w:r>
      <w:r w:rsidRPr="00533AE6">
        <w:rPr>
          <w:rFonts w:asciiTheme="minorEastAsia" w:eastAsiaTheme="minorEastAsia" w:hAnsiTheme="minorEastAsia" w:hint="eastAsia"/>
        </w:rPr>
        <w:t>、期货相关业务资格</w:t>
      </w:r>
      <w:r w:rsidRPr="00533AE6">
        <w:rPr>
          <w:rFonts w:asciiTheme="minorEastAsia" w:eastAsiaTheme="minorEastAsia" w:hAnsiTheme="minorEastAsia"/>
        </w:rPr>
        <w:t>的会计师事务所及其注册会计师等对基金年度财务报表及其他规定事项进行审计</w:t>
      </w:r>
      <w:r w:rsidRPr="00533AE6">
        <w:rPr>
          <w:rFonts w:asciiTheme="minorEastAsia" w:eastAsiaTheme="minorEastAsia" w:hAnsiTheme="minorEastAsia" w:hint="eastAsia"/>
        </w:rPr>
        <w:t>。</w:t>
      </w:r>
    </w:p>
    <w:p w:rsidR="00896494" w:rsidRPr="00533AE6" w:rsidRDefault="00BD6ED1">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w:t>
      </w:r>
      <w:r w:rsidRPr="00533AE6">
        <w:rPr>
          <w:rFonts w:asciiTheme="minorEastAsia" w:eastAsiaTheme="minorEastAsia" w:hAnsiTheme="minorEastAsia" w:hint="eastAsia"/>
        </w:rPr>
        <w:t>基金管理人认为有充足理由更换会计师事务所，应在更换会计师事务所后</w:t>
      </w:r>
      <w:r w:rsidRPr="00533AE6">
        <w:rPr>
          <w:rFonts w:asciiTheme="minorEastAsia" w:eastAsiaTheme="minorEastAsia" w:hAnsiTheme="minorEastAsia"/>
        </w:rPr>
        <w:t>2日内公告。</w:t>
      </w:r>
    </w:p>
    <w:p w:rsidR="00520CBD" w:rsidRPr="00533AE6" w:rsidRDefault="00520CBD"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3、会计师事务所更换经办注册会计师，应事先征得基金管理人同意。</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197" w:name="_Toc46933284"/>
      <w:r w:rsidRPr="00533AE6">
        <w:rPr>
          <w:rFonts w:asciiTheme="minorEastAsia" w:eastAsiaTheme="minorEastAsia" w:hAnsiTheme="minorEastAsia" w:hint="eastAsia"/>
          <w:bCs/>
        </w:rPr>
        <w:lastRenderedPageBreak/>
        <w:t>十八</w:t>
      </w:r>
      <w:r w:rsidR="00266A27" w:rsidRPr="00533AE6">
        <w:rPr>
          <w:rFonts w:asciiTheme="minorEastAsia" w:eastAsiaTheme="minorEastAsia" w:hAnsiTheme="minorEastAsia" w:hint="eastAsia"/>
          <w:bCs/>
        </w:rPr>
        <w:t>、基金的信息披露</w:t>
      </w:r>
      <w:bookmarkEnd w:id="197"/>
    </w:p>
    <w:p w:rsidR="008A3F22" w:rsidRPr="00533AE6" w:rsidRDefault="00520CBD"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基金信息披露义务人应当在中国证监会规定时间内，根据基金合同的约定将应予披露的基金信息通过</w:t>
      </w:r>
      <w:r w:rsidR="00BD6ED1" w:rsidRPr="00533AE6">
        <w:rPr>
          <w:rFonts w:asciiTheme="minorEastAsia" w:eastAsiaTheme="minorEastAsia" w:hAnsiTheme="minorEastAsia" w:hint="eastAsia"/>
        </w:rPr>
        <w:t>指定媒介</w:t>
      </w:r>
      <w:r w:rsidRPr="00533AE6">
        <w:rPr>
          <w:rFonts w:asciiTheme="minorEastAsia" w:eastAsiaTheme="minorEastAsia" w:hAnsiTheme="minorEastAsia"/>
        </w:rPr>
        <w:t>披露，并保证投资者能够按照基金合同约定的时间和方式查阅或者复制公开披露的信息资料。</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8" w:name="_Toc46933285"/>
      <w:r w:rsidRPr="00533AE6">
        <w:rPr>
          <w:rFonts w:asciiTheme="minorEastAsia" w:eastAsiaTheme="minorEastAsia" w:hAnsiTheme="minorEastAsia" w:hint="eastAsia"/>
          <w:b w:val="0"/>
        </w:rPr>
        <w:t>（一）基金招募说明书、基金合同、基金托管协议</w:t>
      </w:r>
      <w:r w:rsidR="00BD6ED1" w:rsidRPr="00533AE6">
        <w:rPr>
          <w:rFonts w:asciiTheme="minorEastAsia" w:eastAsiaTheme="minorEastAsia" w:hAnsiTheme="minorEastAsia" w:hint="eastAsia"/>
          <w:szCs w:val="21"/>
        </w:rPr>
        <w:t>、基金产品资料概要</w:t>
      </w:r>
      <w:bookmarkEnd w:id="198"/>
    </w:p>
    <w:p w:rsidR="00BD6ED1" w:rsidRPr="00533AE6" w:rsidRDefault="00BD6ED1" w:rsidP="00BD6ED1">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D6ED1" w:rsidRPr="00533AE6" w:rsidRDefault="00BD6ED1" w:rsidP="00BD6ED1">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8A3F22" w:rsidRPr="00533AE6" w:rsidRDefault="00E06EC4"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募集申请经中国证监会核准后，基金管理人应当在基金份额发售的3日前，将招募说明书、基金合同摘要登载在指定报刊和网站上；基金管理人、基金托管人应当将基金合同、基金托管协议登载在各自公司网站上。</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199" w:name="_Toc46933286"/>
      <w:r w:rsidRPr="00533AE6">
        <w:rPr>
          <w:rFonts w:asciiTheme="minorEastAsia" w:eastAsiaTheme="minorEastAsia" w:hAnsiTheme="minorEastAsia" w:hint="eastAsia"/>
          <w:b w:val="0"/>
        </w:rPr>
        <w:t>（二）基金份额发售公告</w:t>
      </w:r>
      <w:bookmarkEnd w:id="199"/>
    </w:p>
    <w:p w:rsidR="008A3F22" w:rsidRPr="00533AE6" w:rsidRDefault="00520CBD"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基金管理人应当就基金份额发售的具体事宜编制基金份额发售公告，并在披露招募说明书的当日登载于指定报刊和网站上。</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0" w:name="_Toc46933287"/>
      <w:r w:rsidRPr="00533AE6">
        <w:rPr>
          <w:rFonts w:asciiTheme="minorEastAsia" w:eastAsiaTheme="minorEastAsia" w:hAnsiTheme="minorEastAsia" w:hint="eastAsia"/>
          <w:b w:val="0"/>
        </w:rPr>
        <w:t>（三）基金合同生效公告</w:t>
      </w:r>
      <w:bookmarkEnd w:id="200"/>
    </w:p>
    <w:p w:rsidR="008A3F22" w:rsidRPr="00533AE6" w:rsidRDefault="00520CBD"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基金管理人应当在基金合同生效的次日在</w:t>
      </w:r>
      <w:r w:rsidR="00BD6ED1"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rPr>
        <w:t>上登载基金合同生效公告。</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1" w:name="_Toc46933288"/>
      <w:r w:rsidRPr="00533AE6">
        <w:rPr>
          <w:rFonts w:asciiTheme="minorEastAsia" w:eastAsiaTheme="minorEastAsia" w:hAnsiTheme="minorEastAsia" w:hint="eastAsia"/>
          <w:b w:val="0"/>
        </w:rPr>
        <w:t>（四）</w:t>
      </w:r>
      <w:r w:rsidR="00BD6ED1" w:rsidRPr="00533AE6">
        <w:rPr>
          <w:rFonts w:asciiTheme="minorEastAsia" w:eastAsiaTheme="minorEastAsia" w:hAnsiTheme="minorEastAsia" w:hint="eastAsia"/>
          <w:szCs w:val="21"/>
        </w:rPr>
        <w:t>基金净值信息</w:t>
      </w:r>
      <w:bookmarkEnd w:id="201"/>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8A3F22" w:rsidRPr="00533AE6" w:rsidRDefault="00BD6ED1"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2" w:name="_Toc46933289"/>
      <w:r w:rsidRPr="00533AE6">
        <w:rPr>
          <w:rFonts w:asciiTheme="minorEastAsia" w:eastAsiaTheme="minorEastAsia" w:hAnsiTheme="minorEastAsia" w:hint="eastAsia"/>
          <w:b w:val="0"/>
        </w:rPr>
        <w:lastRenderedPageBreak/>
        <w:t>（五）</w:t>
      </w:r>
      <w:r w:rsidR="00BD6ED1" w:rsidRPr="00533AE6">
        <w:rPr>
          <w:rFonts w:asciiTheme="minorEastAsia" w:eastAsiaTheme="minorEastAsia" w:hAnsiTheme="minorEastAsia" w:hint="eastAsia"/>
          <w:kern w:val="0"/>
          <w:szCs w:val="21"/>
        </w:rPr>
        <w:t>基金定期报告，包括基金年度报告、基金中期报告和基金季度报告</w:t>
      </w:r>
      <w:bookmarkEnd w:id="202"/>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基金管理人应当在季度结束之日起15个工作日内，编制完成基金季度报告，将季度报告登载在指定网站上，并将季度报告提示性公告登载在指定报刊上。</w:t>
      </w:r>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《基金合同》生效不足2个月的，基金管理人可以不编制当期季度报告、中期报告或者年度报告。</w:t>
      </w:r>
    </w:p>
    <w:p w:rsidR="00BD6ED1" w:rsidRPr="00533AE6" w:rsidRDefault="00BD6ED1" w:rsidP="008F0F4D">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A3F22" w:rsidRPr="00533AE6" w:rsidRDefault="00BD6ED1"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基金管理人应当在基金年度报告和中期报告中披露基金组合资产情况及其流动性风险分析等。</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3" w:name="_Toc46933290"/>
      <w:r w:rsidRPr="00533AE6">
        <w:rPr>
          <w:rFonts w:asciiTheme="minorEastAsia" w:eastAsiaTheme="minorEastAsia" w:hAnsiTheme="minorEastAsia" w:hint="eastAsia"/>
          <w:b w:val="0"/>
        </w:rPr>
        <w:t>（六）</w:t>
      </w:r>
      <w:r w:rsidR="00BD6ED1" w:rsidRPr="00533AE6">
        <w:rPr>
          <w:rFonts w:asciiTheme="minorEastAsia" w:eastAsiaTheme="minorEastAsia" w:hAnsiTheme="minorEastAsia" w:hint="eastAsia"/>
          <w:kern w:val="0"/>
          <w:szCs w:val="21"/>
        </w:rPr>
        <w:t>临时报告</w:t>
      </w:r>
      <w:bookmarkEnd w:id="203"/>
    </w:p>
    <w:p w:rsidR="00BD6ED1" w:rsidRPr="00533AE6" w:rsidRDefault="00BD6ED1" w:rsidP="008F0F4D">
      <w:pPr>
        <w:spacing w:line="360" w:lineRule="auto"/>
        <w:ind w:left="-420" w:firstLine="42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本基金发生重大事件，有关信息披露义务人应当在2日内编制临时报告书，并登载在指定报刊和指定网站上。</w:t>
      </w:r>
    </w:p>
    <w:p w:rsidR="00BD6ED1" w:rsidRPr="00533AE6" w:rsidRDefault="00BD6ED1" w:rsidP="008F0F4D">
      <w:pPr>
        <w:spacing w:line="360" w:lineRule="auto"/>
        <w:ind w:left="-420" w:firstLineChars="0" w:firstLine="42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前款所称重大事件，是指可能对基金份额持有人权益或者基金份额的价格产生重大影响的下列事件：</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基金份额持有人大会的召开及决定的事项；</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基金合同终止、基金清算；</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转换基金运作方式、基金合并；</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更换基金管理人、基金托管人、基金份额登记机构，基金改聘会计师事务所；</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基金管理人委托基金服务机构代为办理基金的份额登记、核算、估值等事项，基金托管人委托基金服务机构代为办理基金的核算、估值、复核等事项；</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基金管理人、基金托管人的法定名称、住所发生变更；</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基金管理公司变更持有百分之五以上股权的股东、基金管理人的实际控制人变更；</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lastRenderedPageBreak/>
        <w:t>基金募集期延长或提前结束募集；</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基金管理人的高级管理人员、基金经理和基金托管人专门基金托管部门负责人发生变动；</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基金管理人的董事在最近</w:t>
      </w:r>
      <w:r w:rsidRPr="00533AE6">
        <w:rPr>
          <w:rFonts w:asciiTheme="minorEastAsia" w:eastAsiaTheme="minorEastAsia" w:hAnsiTheme="minorEastAsia"/>
          <w:kern w:val="0"/>
          <w:szCs w:val="21"/>
        </w:rPr>
        <w:t>12</w:t>
      </w:r>
      <w:r w:rsidRPr="00533AE6">
        <w:rPr>
          <w:rFonts w:asciiTheme="minorEastAsia" w:eastAsiaTheme="minorEastAsia" w:hAnsiTheme="minorEastAsia" w:hint="eastAsia"/>
          <w:kern w:val="0"/>
          <w:szCs w:val="21"/>
        </w:rPr>
        <w:t>个月内变更超过百分之五十，基金管理人、基金托管人专门基金托管部门的主要业务人员在最近</w:t>
      </w:r>
      <w:r w:rsidRPr="00533AE6">
        <w:rPr>
          <w:rFonts w:asciiTheme="minorEastAsia" w:eastAsiaTheme="minorEastAsia" w:hAnsiTheme="minorEastAsia"/>
          <w:kern w:val="0"/>
          <w:szCs w:val="21"/>
        </w:rPr>
        <w:t>12</w:t>
      </w:r>
      <w:r w:rsidRPr="00533AE6">
        <w:rPr>
          <w:rFonts w:asciiTheme="minorEastAsia" w:eastAsiaTheme="minorEastAsia" w:hAnsiTheme="minorEastAsia" w:hint="eastAsia"/>
          <w:kern w:val="0"/>
          <w:szCs w:val="21"/>
        </w:rPr>
        <w:t>个月内变动超过百分之三十；</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涉及基金财产、基金管理业务、基金托管业务的诉讼或仲裁；</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基金收益分配事项；</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管理费、托管费、申购费、赎回费等费用计提标准、计提方式和费率发生变更；</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基金份额净值计价错误达基金份额净值百分之零点五；</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本基金开始办理申购、赎回；</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本基金暂停接受申购、赎回申请或重新接受申购、赎回申请；</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调整基金份额类别的设置；</w:t>
      </w:r>
    </w:p>
    <w:p w:rsidR="00BD6ED1"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基金推出新业务或服务；</w:t>
      </w:r>
    </w:p>
    <w:p w:rsidR="008A3F22" w:rsidRPr="00533AE6" w:rsidRDefault="00BD6ED1" w:rsidP="008F0F4D">
      <w:pPr>
        <w:pStyle w:val="aff4"/>
        <w:numPr>
          <w:ilvl w:val="2"/>
          <w:numId w:val="57"/>
        </w:numPr>
        <w:spacing w:line="360" w:lineRule="auto"/>
        <w:ind w:leftChars="0" w:left="420" w:firstLineChars="0"/>
        <w:contextualSpacing/>
        <w:rPr>
          <w:rFonts w:asciiTheme="minorEastAsia" w:eastAsiaTheme="minorEastAsia" w:hAnsiTheme="minorEastAsia"/>
          <w:kern w:val="0"/>
          <w:szCs w:val="21"/>
        </w:rPr>
      </w:pPr>
      <w:r w:rsidRPr="00533AE6">
        <w:rPr>
          <w:rFonts w:asciiTheme="minorEastAsia" w:eastAsiaTheme="minorEastAsia" w:hAnsiTheme="minorEastAsia" w:hint="eastAsia"/>
          <w:kern w:val="0"/>
          <w:szCs w:val="21"/>
        </w:rPr>
        <w:t>基金信息披露义务人认为可能对基金份额持有人权益或者基金份额的价格产生重大影响的其他事项或中国证监会规定的其他事项。</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4" w:name="_Toc46933291"/>
      <w:r w:rsidRPr="00533AE6">
        <w:rPr>
          <w:rFonts w:asciiTheme="minorEastAsia" w:eastAsiaTheme="minorEastAsia" w:hAnsiTheme="minorEastAsia" w:hint="eastAsia"/>
          <w:b w:val="0"/>
        </w:rPr>
        <w:t>（七）</w:t>
      </w:r>
      <w:r w:rsidR="00BD6ED1" w:rsidRPr="00533AE6">
        <w:rPr>
          <w:rFonts w:asciiTheme="minorEastAsia" w:eastAsiaTheme="minorEastAsia" w:hAnsiTheme="minorEastAsia" w:hint="eastAsia"/>
          <w:kern w:val="0"/>
          <w:szCs w:val="21"/>
        </w:rPr>
        <w:t>澄清公告</w:t>
      </w:r>
      <w:bookmarkEnd w:id="204"/>
    </w:p>
    <w:p w:rsidR="00BD6ED1" w:rsidRPr="00533AE6" w:rsidRDefault="00BD6ED1"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D6ED1" w:rsidRPr="00533AE6" w:rsidRDefault="00BD6ED1" w:rsidP="008F0F4D">
      <w:pPr>
        <w:pStyle w:val="20"/>
        <w:snapToGrid w:val="0"/>
        <w:spacing w:beforeLines="0" w:afterLines="0" w:line="360" w:lineRule="auto"/>
        <w:ind w:left="-420" w:firstLineChars="0" w:firstLine="0"/>
        <w:rPr>
          <w:rFonts w:asciiTheme="minorEastAsia" w:eastAsiaTheme="minorEastAsia" w:hAnsiTheme="minorEastAsia"/>
        </w:rPr>
      </w:pPr>
      <w:bookmarkStart w:id="205" w:name="_Toc46933292"/>
      <w:r w:rsidRPr="00533AE6">
        <w:rPr>
          <w:rFonts w:asciiTheme="minorEastAsia" w:eastAsiaTheme="minorEastAsia" w:hAnsiTheme="minorEastAsia" w:hint="eastAsia"/>
          <w:b w:val="0"/>
        </w:rPr>
        <w:t>（八）清算报告</w:t>
      </w:r>
      <w:bookmarkEnd w:id="205"/>
    </w:p>
    <w:p w:rsidR="008A3F22" w:rsidRPr="00533AE6" w:rsidRDefault="00BD6ED1" w:rsidP="00BD6ED1">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kern w:val="0"/>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8A3F22" w:rsidRPr="00533AE6" w:rsidRDefault="008A3F2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06" w:name="_Toc46933293"/>
      <w:r w:rsidRPr="00533AE6">
        <w:rPr>
          <w:rFonts w:asciiTheme="minorEastAsia" w:eastAsiaTheme="minorEastAsia" w:hAnsiTheme="minorEastAsia" w:hint="eastAsia"/>
          <w:b w:val="0"/>
        </w:rPr>
        <w:lastRenderedPageBreak/>
        <w:t>（</w:t>
      </w:r>
      <w:r w:rsidR="00BD6ED1" w:rsidRPr="00533AE6">
        <w:rPr>
          <w:rFonts w:asciiTheme="minorEastAsia" w:eastAsiaTheme="minorEastAsia" w:hAnsiTheme="minorEastAsia" w:hint="eastAsia"/>
          <w:b w:val="0"/>
        </w:rPr>
        <w:t>九</w:t>
      </w:r>
      <w:r w:rsidRPr="00533AE6">
        <w:rPr>
          <w:rFonts w:asciiTheme="minorEastAsia" w:eastAsiaTheme="minorEastAsia" w:hAnsiTheme="minorEastAsia" w:hint="eastAsia"/>
          <w:b w:val="0"/>
        </w:rPr>
        <w:t>）信息披露文件的存放与查阅</w:t>
      </w:r>
      <w:bookmarkEnd w:id="206"/>
    </w:p>
    <w:p w:rsidR="00520CBD" w:rsidRPr="00533AE6" w:rsidRDefault="00BD6ED1"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kern w:val="0"/>
          <w:szCs w:val="21"/>
        </w:rPr>
        <w:t>依法必须披露的信息发布后，基金管理人、基金托管人应当按照相关法律法规规定将信息置备于公司办公场所，供社会公众查阅、复制。</w:t>
      </w:r>
      <w:r w:rsidR="00520CBD"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rPr>
      </w:pPr>
      <w:bookmarkStart w:id="207" w:name="_Toc46933294"/>
      <w:r w:rsidRPr="00533AE6">
        <w:rPr>
          <w:rFonts w:asciiTheme="minorEastAsia" w:eastAsiaTheme="minorEastAsia" w:hAnsiTheme="minorEastAsia" w:hint="eastAsia"/>
          <w:bCs/>
        </w:rPr>
        <w:lastRenderedPageBreak/>
        <w:t>十九</w:t>
      </w:r>
      <w:r w:rsidR="00266A27" w:rsidRPr="00533AE6">
        <w:rPr>
          <w:rFonts w:asciiTheme="minorEastAsia" w:eastAsiaTheme="minorEastAsia" w:hAnsiTheme="minorEastAsia" w:hint="eastAsia"/>
          <w:bCs/>
        </w:rPr>
        <w:t>、风险揭示</w:t>
      </w:r>
      <w:bookmarkEnd w:id="207"/>
    </w:p>
    <w:p w:rsidR="002B698B" w:rsidRPr="00533AE6" w:rsidRDefault="002B698B"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08" w:name="_Toc76367385"/>
      <w:bookmarkStart w:id="209" w:name="_Toc92074917"/>
      <w:bookmarkStart w:id="210" w:name="_Toc231784428"/>
      <w:bookmarkStart w:id="211" w:name="_Toc238870123"/>
      <w:bookmarkStart w:id="212" w:name="_Toc46933295"/>
      <w:r w:rsidRPr="00533AE6">
        <w:rPr>
          <w:rFonts w:asciiTheme="minorEastAsia" w:eastAsiaTheme="minorEastAsia" w:hAnsiTheme="minorEastAsia" w:hint="eastAsia"/>
          <w:b w:val="0"/>
        </w:rPr>
        <w:t>（一）市场风险</w:t>
      </w:r>
      <w:bookmarkEnd w:id="208"/>
      <w:bookmarkEnd w:id="209"/>
      <w:bookmarkEnd w:id="210"/>
      <w:bookmarkEnd w:id="211"/>
      <w:bookmarkEnd w:id="212"/>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基金主要投资于证券市场，而证券市场价格因受到经济因素、政治因素、投资者心理和交易制度等各种因素的影响而产生波动，从而导致基金收益水平发生变化，产生风险。主要的风险因素包括：</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1、政策风险。因财政政策、货币政策、产业政策、地区发展政策等国家宏观政策发生变化，导致市场价格波动，影响基金收益而产生风险。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2、经济周期风险。随着经济运行的周期性变化，证券市场的收益水平也呈周期性变化，基金投资的收益水平也会随之变化，从而产生风险。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3、利率风险。金融市场利率的波动会导致证券市场价格和收益率的变动。利率直接影响着债券的价格和收益率，影响着企业的融资成本和利润。基金投资于债券和股票，其收益水平可能会受到利率变化的影响。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2B698B" w:rsidRPr="00533AE6" w:rsidRDefault="004331C0"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5、购买力风险。基金份额持有人收益将主要通过现金形式来分配，而现金可能因为通货膨胀因素而使其购买力下降,从而使基金的实际收益下降。</w:t>
      </w:r>
    </w:p>
    <w:p w:rsidR="002B698B" w:rsidRPr="00533AE6" w:rsidRDefault="002B698B"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13" w:name="_Toc76367386"/>
      <w:bookmarkStart w:id="214" w:name="_Toc92074918"/>
      <w:bookmarkStart w:id="215" w:name="_Toc231784429"/>
      <w:bookmarkStart w:id="216" w:name="_Toc238870124"/>
      <w:bookmarkStart w:id="217" w:name="_Toc46933296"/>
      <w:r w:rsidRPr="00533AE6">
        <w:rPr>
          <w:rFonts w:asciiTheme="minorEastAsia" w:eastAsiaTheme="minorEastAsia" w:hAnsiTheme="minorEastAsia" w:hint="eastAsia"/>
          <w:b w:val="0"/>
        </w:rPr>
        <w:t>（二）本基金特有的风险</w:t>
      </w:r>
      <w:bookmarkEnd w:id="213"/>
      <w:bookmarkEnd w:id="214"/>
      <w:bookmarkEnd w:id="215"/>
      <w:bookmarkEnd w:id="216"/>
      <w:bookmarkEnd w:id="217"/>
    </w:p>
    <w:p w:rsidR="00423AC2" w:rsidRPr="00533AE6" w:rsidRDefault="00142676"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w:t>
      </w:r>
      <w:r w:rsidR="004A3B17" w:rsidRPr="00533AE6">
        <w:rPr>
          <w:rFonts w:asciiTheme="minorEastAsia" w:eastAsiaTheme="minorEastAsia" w:hAnsiTheme="minorEastAsia"/>
        </w:rPr>
        <w:t>本基金为混合基金，股票投资比例不低于60%，受股票市场系统性风险影响较大。</w:t>
      </w:r>
      <w:r w:rsidRPr="00533AE6">
        <w:rPr>
          <w:rFonts w:asciiTheme="minorEastAsia" w:eastAsiaTheme="minorEastAsia" w:hAnsiTheme="minorEastAsia" w:hint="eastAsia"/>
        </w:rPr>
        <w:t>此外</w:t>
      </w:r>
      <w:r w:rsidR="004A3B17" w:rsidRPr="00533AE6">
        <w:rPr>
          <w:rFonts w:asciiTheme="minorEastAsia" w:eastAsiaTheme="minorEastAsia" w:hAnsiTheme="minorEastAsia"/>
        </w:rPr>
        <w:t>，由于本基金为行业基金，股票资产主要投资于医疗保健行业股票，本基金须承受政府政策变化等影响医疗保健行业的因素带来的行业风险。当医疗保健行业股票整体表现较差时，本基金的净值增长率可能低于主要投资对象非医疗保健行业股票的基金。如果管理人判断失误，本基金投资回报可能低于业绩比较基准。</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科创板股票在发行、上市、交易、退市等方面的规则与其他板块存在差异，基金投资科创板股票的风险包括但不限于：</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1</w:t>
      </w:r>
      <w:r w:rsidRPr="00533AE6">
        <w:rPr>
          <w:rFonts w:asciiTheme="minorEastAsia" w:eastAsiaTheme="minorEastAsia" w:hAnsiTheme="minorEastAsia" w:hint="eastAsia"/>
        </w:rPr>
        <w:t>）科创板企业退市风险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科创板退市制度较主板更为严格，退市时间更短，退市速度更快，退市情形更多，且不再</w:t>
      </w:r>
      <w:r w:rsidRPr="00533AE6">
        <w:rPr>
          <w:rFonts w:asciiTheme="minorEastAsia" w:eastAsiaTheme="minorEastAsia" w:hAnsiTheme="minorEastAsia" w:hint="eastAsia"/>
        </w:rPr>
        <w:lastRenderedPageBreak/>
        <w:t>设置暂停上市、恢复上市和重新上市环节。一旦所投资的科创板股票进入退市流程，将面临退出难度较大、成本较高的风险。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2</w:t>
      </w:r>
      <w:r w:rsidRPr="00533AE6">
        <w:rPr>
          <w:rFonts w:asciiTheme="minorEastAsia" w:eastAsiaTheme="minorEastAsia" w:hAnsiTheme="minorEastAsia" w:hint="eastAsia"/>
        </w:rPr>
        <w:t>）市场风险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533AE6">
        <w:rPr>
          <w:rFonts w:asciiTheme="minorEastAsia" w:eastAsiaTheme="minorEastAsia" w:hAnsiTheme="minorEastAsia"/>
        </w:rPr>
        <w:t>A</w:t>
      </w:r>
      <w:r w:rsidRPr="00533AE6">
        <w:rPr>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533AE6">
        <w:rPr>
          <w:rFonts w:asciiTheme="minorEastAsia" w:eastAsiaTheme="minorEastAsia" w:hAnsiTheme="minorEastAsia"/>
        </w:rPr>
        <w:t>5</w:t>
      </w:r>
      <w:r w:rsidRPr="00533AE6">
        <w:rPr>
          <w:rFonts w:asciiTheme="minorEastAsia" w:eastAsiaTheme="minorEastAsia" w:hAnsiTheme="minorEastAsia" w:hint="eastAsia"/>
        </w:rPr>
        <w:t>个交易日不设涨跌幅限制，其后涨跌幅限制为</w:t>
      </w:r>
      <w:r w:rsidRPr="00533AE6">
        <w:rPr>
          <w:rFonts w:asciiTheme="minorEastAsia" w:eastAsiaTheme="minorEastAsia" w:hAnsiTheme="minorEastAsia"/>
        </w:rPr>
        <w:t>20%</w:t>
      </w:r>
      <w:r w:rsidRPr="00533AE6">
        <w:rPr>
          <w:rFonts w:asciiTheme="minorEastAsia" w:eastAsiaTheme="minorEastAsia" w:hAnsiTheme="minorEastAsia" w:hint="eastAsia"/>
        </w:rPr>
        <w:t>）、科创板股票上市首日即可作为融资融券标的，可能导致较大的股票价格波动。</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3</w:t>
      </w:r>
      <w:r w:rsidRPr="00533AE6">
        <w:rPr>
          <w:rFonts w:asciiTheme="minorEastAsia" w:eastAsiaTheme="minorEastAsia" w:hAnsiTheme="minorEastAsia" w:hint="eastAsia"/>
        </w:rPr>
        <w:t>）流动性风险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w:t>
      </w:r>
      <w:r w:rsidRPr="00533AE6">
        <w:rPr>
          <w:rFonts w:asciiTheme="minorEastAsia" w:eastAsiaTheme="minorEastAsia" w:hAnsiTheme="minorEastAsia"/>
        </w:rPr>
        <w:t>4</w:t>
      </w:r>
      <w:r w:rsidRPr="00533AE6">
        <w:rPr>
          <w:rFonts w:asciiTheme="minorEastAsia" w:eastAsiaTheme="minorEastAsia" w:hAnsiTheme="minorEastAsia" w:hint="eastAsia"/>
        </w:rPr>
        <w:t>）监管规则变化的风险</w:t>
      </w:r>
    </w:p>
    <w:p w:rsidR="00142676" w:rsidRPr="00533AE6" w:rsidRDefault="00142676" w:rsidP="00AD3EAB">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2B698B" w:rsidRPr="00533AE6" w:rsidRDefault="002B698B"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18" w:name="_Toc76367387"/>
      <w:bookmarkStart w:id="219" w:name="_Toc92074919"/>
      <w:bookmarkStart w:id="220" w:name="_Toc238870125"/>
      <w:bookmarkStart w:id="221" w:name="_Toc46933297"/>
      <w:r w:rsidRPr="00533AE6">
        <w:rPr>
          <w:rFonts w:asciiTheme="minorEastAsia" w:eastAsiaTheme="minorEastAsia" w:hAnsiTheme="minorEastAsia" w:hint="eastAsia"/>
          <w:b w:val="0"/>
        </w:rPr>
        <w:t>（三）流动性风险</w:t>
      </w:r>
      <w:bookmarkEnd w:id="218"/>
      <w:bookmarkEnd w:id="219"/>
      <w:bookmarkEnd w:id="220"/>
      <w:bookmarkEnd w:id="221"/>
    </w:p>
    <w:p w:rsidR="00D15D03" w:rsidRPr="00533AE6" w:rsidRDefault="00D15D03" w:rsidP="00D15D03">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1、流动性风险评估</w:t>
      </w:r>
    </w:p>
    <w:p w:rsidR="00D15D03" w:rsidRPr="00533AE6" w:rsidRDefault="00D15D03" w:rsidP="00D15D03">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本基金为混合基金，可投资于股票、债券、货币市场工具等，一般情况下，这些资产市场流动性较好。</w:t>
      </w:r>
    </w:p>
    <w:p w:rsidR="006045B0" w:rsidRPr="00533AE6" w:rsidRDefault="00D15D03" w:rsidP="00D15D03">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但本基金投资于上述资产时，仍存在以下流动性风险</w:t>
      </w:r>
      <w:r w:rsidR="004331C0" w:rsidRPr="00533AE6">
        <w:rPr>
          <w:rFonts w:asciiTheme="minorEastAsia" w:eastAsiaTheme="minorEastAsia" w:hAnsiTheme="minorEastAsia"/>
        </w:rPr>
        <w:t>：一是基金管理人建仓时或为实现收益而进行组合调整时，可能由于</w:t>
      </w:r>
      <w:r w:rsidRPr="00533AE6">
        <w:rPr>
          <w:rFonts w:asciiTheme="minorEastAsia" w:eastAsiaTheme="minorEastAsia" w:hAnsiTheme="minorEastAsia" w:hint="eastAsia"/>
        </w:rPr>
        <w:t>特定投资标的</w:t>
      </w:r>
      <w:r w:rsidR="004331C0" w:rsidRPr="00533AE6">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w:t>
      </w:r>
      <w:r w:rsidR="00A24FB8" w:rsidRPr="00533AE6">
        <w:rPr>
          <w:rFonts w:asciiTheme="minorEastAsia" w:eastAsiaTheme="minorEastAsia" w:hAnsiTheme="minorEastAsia" w:hint="eastAsia"/>
        </w:rPr>
        <w:t>、</w:t>
      </w:r>
      <w:r w:rsidR="004331C0" w:rsidRPr="00533AE6">
        <w:rPr>
          <w:rFonts w:asciiTheme="minorEastAsia" w:eastAsiaTheme="minorEastAsia" w:hAnsiTheme="minorEastAsia"/>
        </w:rPr>
        <w:t>债券</w:t>
      </w:r>
      <w:r w:rsidR="00A24FB8" w:rsidRPr="00533AE6">
        <w:rPr>
          <w:rFonts w:asciiTheme="minorEastAsia" w:eastAsiaTheme="minorEastAsia" w:hAnsiTheme="minorEastAsia"/>
        </w:rPr>
        <w:t>或其他资产</w:t>
      </w:r>
      <w:r w:rsidR="004331C0" w:rsidRPr="00533AE6">
        <w:rPr>
          <w:rFonts w:asciiTheme="minorEastAsia" w:eastAsiaTheme="minorEastAsia" w:hAnsiTheme="minorEastAsia"/>
        </w:rPr>
        <w:t>。两者均可能使基金净值受到不利影响。</w:t>
      </w:r>
    </w:p>
    <w:p w:rsidR="002063B5" w:rsidRPr="00533AE6" w:rsidRDefault="002063B5" w:rsidP="002063B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2、巨额赎回情形下的流动性风险管理措施</w:t>
      </w:r>
    </w:p>
    <w:p w:rsidR="002063B5" w:rsidRPr="00533AE6" w:rsidRDefault="002063B5" w:rsidP="002063B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w:t>
      </w:r>
      <w:r w:rsidRPr="00533AE6">
        <w:rPr>
          <w:rFonts w:asciiTheme="minorEastAsia" w:eastAsiaTheme="minorEastAsia" w:hAnsiTheme="minorEastAsia" w:hint="eastAsia"/>
        </w:rPr>
        <w:lastRenderedPageBreak/>
        <w:t>实施延期办理。具体情形、程序见招募说明书“八、基金份额的申购、赎回”之“（十）巨额赎回的认定及处理方式”。</w:t>
      </w:r>
    </w:p>
    <w:p w:rsidR="002063B5" w:rsidRPr="00533AE6" w:rsidRDefault="002063B5" w:rsidP="002063B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2063B5" w:rsidRPr="00533AE6" w:rsidRDefault="002063B5" w:rsidP="002063B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3、除巨额赎回情形外实施备用的流动性风险管理工具的情形、程序及对投资者的潜在影响</w:t>
      </w:r>
    </w:p>
    <w:p w:rsidR="002063B5" w:rsidRPr="00533AE6" w:rsidRDefault="002063B5" w:rsidP="002063B5">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2063B5" w:rsidRPr="00533AE6" w:rsidRDefault="002063B5" w:rsidP="002063B5">
      <w:pPr>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szCs w:val="21"/>
        </w:rPr>
        <w:t>暂停接受赎回申请、延缓支付赎回款项等工具的情形、程序见招募说明书“八、基金份额的申购、赎回”之“</w:t>
      </w:r>
      <w:r w:rsidRPr="00533AE6">
        <w:rPr>
          <w:rFonts w:asciiTheme="minorEastAsia" w:eastAsiaTheme="minorEastAsia" w:hAnsiTheme="minorEastAsia" w:hint="eastAsia"/>
        </w:rPr>
        <w:t>（十一）拒绝或暂停申购、暂停赎回</w:t>
      </w:r>
      <w:r w:rsidRPr="00533AE6">
        <w:rPr>
          <w:rFonts w:asciiTheme="minorEastAsia" w:eastAsiaTheme="minorEastAsia" w:hAnsiTheme="minorEastAsia" w:hint="eastAsia"/>
          <w:szCs w:val="21"/>
        </w:rPr>
        <w:t>或延缓支付赎回款项</w:t>
      </w:r>
      <w:r w:rsidRPr="00533AE6">
        <w:rPr>
          <w:rFonts w:asciiTheme="minorEastAsia" w:eastAsiaTheme="minorEastAsia" w:hAnsiTheme="minorEastAsia" w:hint="eastAsia"/>
        </w:rPr>
        <w:t>的情形及处理”的相关规定。</w:t>
      </w:r>
      <w:r w:rsidRPr="00533AE6">
        <w:rPr>
          <w:rFonts w:asciiTheme="minorEastAsia" w:eastAsiaTheme="minorEastAsia" w:hAnsiTheme="minorEastAsia" w:hint="eastAsia"/>
          <w:szCs w:val="21"/>
        </w:rPr>
        <w:t>若本基金暂停赎回申请，投</w:t>
      </w:r>
      <w:r w:rsidRPr="00533AE6">
        <w:rPr>
          <w:rFonts w:asciiTheme="minorEastAsia" w:eastAsiaTheme="minorEastAsia" w:hAnsiTheme="minorEastAsia" w:hint="eastAsia"/>
        </w:rPr>
        <w:t>资者在暂停赎回期间将无法赎回其持有的基金份额。若</w:t>
      </w:r>
      <w:r w:rsidRPr="00533AE6">
        <w:rPr>
          <w:rFonts w:asciiTheme="minorEastAsia" w:eastAsiaTheme="minorEastAsia" w:hAnsiTheme="minorEastAsia" w:hint="eastAsia"/>
          <w:szCs w:val="21"/>
        </w:rPr>
        <w:t>本基金延缓支付赎回款项，赎回款支付时间将后延，可能对投资者的资金安排带来不利影响。</w:t>
      </w:r>
    </w:p>
    <w:p w:rsidR="002063B5" w:rsidRPr="00533AE6" w:rsidRDefault="002063B5" w:rsidP="002063B5">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FE37C0" w:rsidRPr="00533AE6" w:rsidRDefault="002063B5" w:rsidP="00193698">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暂停基金估值</w:t>
      </w:r>
      <w:r w:rsidR="00A71366" w:rsidRPr="00533AE6">
        <w:rPr>
          <w:rFonts w:asciiTheme="minorEastAsia" w:eastAsiaTheme="minorEastAsia" w:hAnsiTheme="minorEastAsia" w:hint="eastAsia"/>
          <w:szCs w:val="21"/>
        </w:rPr>
        <w:t>的情形、程序见招募说明书“十四、基金资产</w:t>
      </w:r>
      <w:r w:rsidRPr="00533AE6">
        <w:rPr>
          <w:rFonts w:asciiTheme="minorEastAsia" w:eastAsiaTheme="minorEastAsia" w:hAnsiTheme="minorEastAsia" w:hint="eastAsia"/>
          <w:szCs w:val="21"/>
        </w:rPr>
        <w:t>估值”之“（六）暂停估值的情形”的相关规定。若本基金暂停基金估值，一方面投资者将无法知晓本基金的基金份额净值，</w:t>
      </w:r>
      <w:r w:rsidR="00DB19EB" w:rsidRPr="00533AE6">
        <w:rPr>
          <w:rFonts w:asciiTheme="minorEastAsia" w:eastAsiaTheme="minorEastAsia" w:hAnsiTheme="minorEastAsia" w:hint="eastAsia"/>
          <w:szCs w:val="21"/>
        </w:rPr>
        <w:t>另一方面基金将</w:t>
      </w:r>
      <w:r w:rsidR="00DB19EB" w:rsidRPr="00533AE6">
        <w:rPr>
          <w:rFonts w:asciiTheme="minorEastAsia" w:eastAsiaTheme="minorEastAsia" w:hAnsiTheme="minorEastAsia" w:hint="eastAsia"/>
        </w:rPr>
        <w:t>延缓支付赎回款项或</w:t>
      </w:r>
      <w:r w:rsidR="00DB19EB" w:rsidRPr="00533AE6">
        <w:rPr>
          <w:rFonts w:asciiTheme="minorEastAsia" w:eastAsiaTheme="minorEastAsia" w:hAnsiTheme="minorEastAsia" w:hint="eastAsia"/>
          <w:szCs w:val="21"/>
        </w:rPr>
        <w:t>暂停接受申购赎回申请，</w:t>
      </w:r>
      <w:r w:rsidR="00DB19EB" w:rsidRPr="00533AE6">
        <w:rPr>
          <w:rFonts w:asciiTheme="minorEastAsia" w:eastAsiaTheme="minorEastAsia" w:hAnsiTheme="minorEastAsia" w:hint="eastAsia"/>
        </w:rPr>
        <w:t>延缓支付赎回款项可能影响投资者的资金安排，</w:t>
      </w:r>
      <w:r w:rsidR="00DB19EB" w:rsidRPr="00533AE6">
        <w:rPr>
          <w:rFonts w:asciiTheme="minorEastAsia" w:eastAsiaTheme="minorEastAsia" w:hAnsiTheme="minorEastAsia" w:hint="eastAsia"/>
          <w:szCs w:val="21"/>
        </w:rPr>
        <w:t>暂停接受申购赎回申请将导致投资者无法申购或赎回本基金。</w:t>
      </w:r>
    </w:p>
    <w:p w:rsidR="00BD6ED1" w:rsidRPr="00533AE6" w:rsidRDefault="00BD6ED1" w:rsidP="008F0F4D">
      <w:pPr>
        <w:pStyle w:val="20"/>
        <w:snapToGrid w:val="0"/>
        <w:spacing w:beforeLines="0" w:afterLines="0" w:line="360" w:lineRule="auto"/>
        <w:ind w:left="-420" w:firstLineChars="0" w:firstLine="0"/>
        <w:rPr>
          <w:rFonts w:asciiTheme="minorEastAsia" w:eastAsiaTheme="minorEastAsia" w:hAnsiTheme="minorEastAsia"/>
          <w:kern w:val="0"/>
          <w:szCs w:val="21"/>
        </w:rPr>
      </w:pPr>
      <w:bookmarkStart w:id="222" w:name="_Toc46933298"/>
      <w:r w:rsidRPr="00533AE6">
        <w:rPr>
          <w:rFonts w:asciiTheme="minorEastAsia" w:eastAsiaTheme="minorEastAsia" w:hAnsiTheme="minorEastAsia" w:hint="eastAsia"/>
          <w:b w:val="0"/>
        </w:rPr>
        <w:t>（</w:t>
      </w:r>
      <w:r w:rsidR="00051250" w:rsidRPr="00533AE6">
        <w:rPr>
          <w:rFonts w:asciiTheme="minorEastAsia" w:eastAsiaTheme="minorEastAsia" w:hAnsiTheme="minorEastAsia" w:hint="eastAsia"/>
          <w:b w:val="0"/>
        </w:rPr>
        <w:t>四</w:t>
      </w:r>
      <w:r w:rsidRPr="00533AE6">
        <w:rPr>
          <w:rFonts w:asciiTheme="minorEastAsia" w:eastAsiaTheme="minorEastAsia" w:hAnsiTheme="minorEastAsia" w:hint="eastAsia"/>
          <w:b w:val="0"/>
        </w:rPr>
        <w:t>）本基金法律文件中涉及基金风险特征的表述与销售机构对基金的风险评级可能不一致的风险</w:t>
      </w:r>
      <w:bookmarkEnd w:id="222"/>
    </w:p>
    <w:p w:rsidR="00BD6ED1" w:rsidRPr="00533AE6" w:rsidRDefault="00BD6ED1" w:rsidP="00BD6ED1">
      <w:pPr>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w:t>
      </w:r>
      <w:r w:rsidRPr="00533AE6">
        <w:rPr>
          <w:rFonts w:asciiTheme="minorEastAsia" w:eastAsiaTheme="minorEastAsia" w:hAnsiTheme="minorEastAsia" w:hint="eastAsia"/>
        </w:rPr>
        <w:lastRenderedPageBreak/>
        <w:t>品风险之间的匹配检验，并须及时关注销售机构对于本基金风险评级的调整情况，谨慎作出投资决策。</w:t>
      </w:r>
    </w:p>
    <w:p w:rsidR="002B698B" w:rsidRPr="00533AE6" w:rsidRDefault="002B698B"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23" w:name="_Toc76367388"/>
      <w:bookmarkStart w:id="224" w:name="_Toc92074920"/>
      <w:bookmarkStart w:id="225" w:name="_Toc238870126"/>
      <w:bookmarkStart w:id="226" w:name="_Toc46933299"/>
      <w:r w:rsidRPr="00533AE6">
        <w:rPr>
          <w:rFonts w:asciiTheme="minorEastAsia" w:eastAsiaTheme="minorEastAsia" w:hAnsiTheme="minorEastAsia" w:hint="eastAsia"/>
          <w:b w:val="0"/>
        </w:rPr>
        <w:t>（</w:t>
      </w:r>
      <w:r w:rsidR="00051250" w:rsidRPr="00533AE6">
        <w:rPr>
          <w:rFonts w:asciiTheme="minorEastAsia" w:eastAsiaTheme="minorEastAsia" w:hAnsiTheme="minorEastAsia" w:hint="eastAsia"/>
          <w:b w:val="0"/>
        </w:rPr>
        <w:t>五</w:t>
      </w:r>
      <w:r w:rsidRPr="00533AE6">
        <w:rPr>
          <w:rFonts w:asciiTheme="minorEastAsia" w:eastAsiaTheme="minorEastAsia" w:hAnsiTheme="minorEastAsia" w:hint="eastAsia"/>
          <w:b w:val="0"/>
        </w:rPr>
        <w:t>）管理风险</w:t>
      </w:r>
      <w:bookmarkEnd w:id="223"/>
      <w:bookmarkEnd w:id="224"/>
      <w:bookmarkEnd w:id="225"/>
      <w:bookmarkEnd w:id="226"/>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1、在基金管理运作过程中，基金管理人的知识、经验、判断、决策、技能等，会影响其对信息的占有以及对经济形势、证券价格走势的判断，从而影响基金收益水平；</w:t>
      </w:r>
    </w:p>
    <w:p w:rsidR="002B698B" w:rsidRPr="00533AE6" w:rsidRDefault="004331C0"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2、基金管理人和基金托管人的管理手段和管理技术等因素的变化也会影响基金收益水平。</w:t>
      </w:r>
    </w:p>
    <w:p w:rsidR="002B698B" w:rsidRPr="00533AE6" w:rsidRDefault="002B698B"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27" w:name="_Toc76367389"/>
      <w:bookmarkStart w:id="228" w:name="_Toc92074921"/>
      <w:bookmarkStart w:id="229" w:name="_Toc231784430"/>
      <w:bookmarkStart w:id="230" w:name="_Toc238870127"/>
      <w:bookmarkStart w:id="231" w:name="_Toc46933300"/>
      <w:r w:rsidRPr="00533AE6">
        <w:rPr>
          <w:rFonts w:asciiTheme="minorEastAsia" w:eastAsiaTheme="minorEastAsia" w:hAnsiTheme="minorEastAsia" w:hint="eastAsia"/>
          <w:b w:val="0"/>
        </w:rPr>
        <w:t>（</w:t>
      </w:r>
      <w:r w:rsidR="00051250" w:rsidRPr="00533AE6">
        <w:rPr>
          <w:rFonts w:asciiTheme="minorEastAsia" w:eastAsiaTheme="minorEastAsia" w:hAnsiTheme="minorEastAsia" w:hint="eastAsia"/>
          <w:b w:val="0"/>
        </w:rPr>
        <w:t>六</w:t>
      </w:r>
      <w:r w:rsidRPr="00533AE6">
        <w:rPr>
          <w:rFonts w:asciiTheme="minorEastAsia" w:eastAsiaTheme="minorEastAsia" w:hAnsiTheme="minorEastAsia" w:hint="eastAsia"/>
          <w:b w:val="0"/>
        </w:rPr>
        <w:t>）其他风险</w:t>
      </w:r>
      <w:bookmarkEnd w:id="227"/>
      <w:bookmarkEnd w:id="228"/>
      <w:bookmarkEnd w:id="229"/>
      <w:bookmarkEnd w:id="230"/>
      <w:bookmarkEnd w:id="231"/>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1、因技术因素而产生的风险，如电脑系统不可靠产生的风险；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2、因战争、自然灾害等不可抗力导致的基金管理人、基金托管人、基金服务机构等机构无法正常工作，从而影响基金运作的风险；</w:t>
      </w:r>
    </w:p>
    <w:p w:rsidR="004A3B17" w:rsidRPr="00533AE6" w:rsidRDefault="004A3B1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3、因金融市场危机、代理商违约、基金托管人违约等超出基金管理人自身控制能力的因素出现，可能导致基金或者基金份额持有人利益受损的风险。</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232" w:name="_Toc46933301"/>
      <w:r w:rsidRPr="00533AE6">
        <w:rPr>
          <w:rFonts w:asciiTheme="minorEastAsia" w:eastAsiaTheme="minorEastAsia" w:hAnsiTheme="minorEastAsia" w:hint="eastAsia"/>
          <w:b/>
          <w:bCs/>
        </w:rPr>
        <w:lastRenderedPageBreak/>
        <w:t>二</w:t>
      </w:r>
      <w:r w:rsidR="00266A27" w:rsidRPr="00533AE6">
        <w:rPr>
          <w:rFonts w:asciiTheme="minorEastAsia" w:eastAsiaTheme="minorEastAsia" w:hAnsiTheme="minorEastAsia" w:hint="eastAsia"/>
          <w:bCs/>
        </w:rPr>
        <w:t>十、基金合同的</w:t>
      </w:r>
      <w:r w:rsidR="002B698B" w:rsidRPr="00533AE6">
        <w:rPr>
          <w:rFonts w:asciiTheme="minorEastAsia" w:eastAsiaTheme="minorEastAsia" w:hAnsiTheme="minorEastAsia" w:hint="eastAsia"/>
          <w:bCs/>
        </w:rPr>
        <w:t>变更、</w:t>
      </w:r>
      <w:r w:rsidR="00266A27" w:rsidRPr="00533AE6">
        <w:rPr>
          <w:rFonts w:asciiTheme="minorEastAsia" w:eastAsiaTheme="minorEastAsia" w:hAnsiTheme="minorEastAsia" w:hint="eastAsia"/>
          <w:bCs/>
        </w:rPr>
        <w:t>终止与基金财产的清算</w:t>
      </w:r>
      <w:bookmarkEnd w:id="232"/>
    </w:p>
    <w:p w:rsidR="008F13F2" w:rsidRPr="00533AE6" w:rsidRDefault="008F13F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33" w:name="_Toc97031319"/>
      <w:bookmarkStart w:id="234" w:name="_Toc97107279"/>
      <w:bookmarkStart w:id="235" w:name="_Toc46933302"/>
      <w:bookmarkStart w:id="236" w:name="_Toc86584659"/>
      <w:bookmarkStart w:id="237" w:name="_Toc238870129"/>
      <w:bookmarkEnd w:id="233"/>
      <w:bookmarkEnd w:id="234"/>
      <w:r w:rsidRPr="00533AE6">
        <w:rPr>
          <w:rFonts w:asciiTheme="minorEastAsia" w:eastAsiaTheme="minorEastAsia" w:hAnsiTheme="minorEastAsia" w:hint="eastAsia"/>
          <w:b w:val="0"/>
        </w:rPr>
        <w:t>（一）基金合同的变更</w:t>
      </w:r>
      <w:bookmarkEnd w:id="235"/>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1、变更基金合同涉及法律法规规定或基金合同约定应经基金份额持有人大会决议通过的事项的，应召开基金份额持有人大会决议通过。</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2、变更基金合同的基金份额持有人大会决议应报中国证监会备案，并自表决通过之日起生效。</w:t>
      </w:r>
    </w:p>
    <w:p w:rsidR="00642539" w:rsidRPr="00533AE6" w:rsidRDefault="004A3B1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3、但如因相应的法律法规发生变动或属于基金合同约定的不需召开基金份额持有人大会的情形，经基金管理人和基金托管人同意修改后公布，并报中国证监会备案。</w:t>
      </w:r>
    </w:p>
    <w:p w:rsidR="008F13F2" w:rsidRPr="00533AE6" w:rsidRDefault="008F13F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38" w:name="_Toc46933303"/>
      <w:r w:rsidRPr="00533AE6">
        <w:rPr>
          <w:rFonts w:asciiTheme="minorEastAsia" w:eastAsiaTheme="minorEastAsia" w:hAnsiTheme="minorEastAsia" w:hint="eastAsia"/>
          <w:b w:val="0"/>
        </w:rPr>
        <w:t>（二）基金合同的终止</w:t>
      </w:r>
      <w:bookmarkEnd w:id="238"/>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有下列情形之一的，基金合同应当终止：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1、基金份额持有人大会决定终止；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2、基金管理人、基金托管人职责终止，在六个月内没有新基金管理人、基金托管人承接的；</w:t>
      </w:r>
    </w:p>
    <w:p w:rsidR="008F13F2" w:rsidRPr="00533AE6" w:rsidRDefault="004A3B1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3、法律法规和基金合同规定的其他情形。</w:t>
      </w:r>
    </w:p>
    <w:p w:rsidR="008F13F2" w:rsidRPr="00533AE6" w:rsidRDefault="008F13F2" w:rsidP="005A15F8">
      <w:pPr>
        <w:pStyle w:val="20"/>
        <w:snapToGrid w:val="0"/>
        <w:spacing w:beforeLines="0" w:afterLines="0" w:line="360" w:lineRule="auto"/>
        <w:ind w:left="-420" w:firstLineChars="0" w:firstLine="0"/>
        <w:rPr>
          <w:rFonts w:asciiTheme="minorEastAsia" w:eastAsiaTheme="minorEastAsia" w:hAnsiTheme="minorEastAsia"/>
          <w:b w:val="0"/>
        </w:rPr>
      </w:pPr>
      <w:bookmarkStart w:id="239" w:name="_Toc46933304"/>
      <w:r w:rsidRPr="00533AE6">
        <w:rPr>
          <w:rFonts w:asciiTheme="minorEastAsia" w:eastAsiaTheme="minorEastAsia" w:hAnsiTheme="minorEastAsia" w:hint="eastAsia"/>
          <w:b w:val="0"/>
        </w:rPr>
        <w:t>（三）基金财产的清算</w:t>
      </w:r>
      <w:bookmarkEnd w:id="239"/>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1、基金合同终止，基金管理人应当按法律法规和基金合同的有关规定组织清算组对基金财产进行清算。</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2、基金财产清算组</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自基金合同终止事由之日起30个工作日内由基金管理人组织成立基金财产清算组，在基金财产清算组接管基金财产之前，基金管理人和基金托管人应按照基金合同和托管协议的规定继续履行保护基金财产安全的职责。</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（2）基金财产清算组成员由基金管理人、基金托管人、具有从事证券相关业务资格的注册会计师、律师以及中国证监会指定的人员组成。基金财产清算组可以聘用必要的工作人员。</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（3）基金财产清算组负责基金财产的保管、清理、估价、变现和分配。基金财产清算组可以依法进行必要的民事活动。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3、清算程序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（1）基金合同终止情形发生后，由基金财产清算组统一接管基金财产；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（2）基金财产清算组根据基金财产的情况确定清算期限；</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（3）基金财产清算组对基金财产进行清理和确认；</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（4）对基金财产进行评估和变现；</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（5）制作清算报告；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（6）聘请会计师事务所对清算报告进行外部审计，聘请律师事务所对清算报告出具法律意</w:t>
      </w:r>
      <w:r w:rsidRPr="00533AE6">
        <w:rPr>
          <w:rFonts w:asciiTheme="minorEastAsia" w:eastAsiaTheme="minorEastAsia" w:hAnsiTheme="minorEastAsia"/>
        </w:rPr>
        <w:lastRenderedPageBreak/>
        <w:t>见书；</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（7）将清算报告报中国证监会备案并公告；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（8）对基金财产进行分配。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4、清算费用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清算费用是指基金财产清算组在进行基金清算过程中发生的所有合理费用，清算费用由基金财产清算组优先从基金财产中支付。</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5、基金剩余财产的分配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基金财产按下列顺序清偿：</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（1）支付清算费用；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（2）交纳所欠税款；</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（3）清偿基金债务；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（4）按基金份额持有人持有的基金份额比例进行分配。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基金财产未按前款（1）、（2）、（3）项规定清偿前，不分配给基金份额持有人。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对于基金缴存于中国证券登记结算有限责任公司的最低结算备付金和交易席位保证金等，在中国证券登记结算有限责任公司对其进行调整后方可收回。</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6、基金财产清算的公告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基金财产清算组做出的清算报告经会计师事务所审计，律师事务所出具法律意见书后，报中国证监会备案并公告。</w:t>
      </w:r>
    </w:p>
    <w:p w:rsidR="004A3B17" w:rsidRPr="00533AE6" w:rsidRDefault="004A3B1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7、基金财产清算账册及文件由基金托管人保存15年以上。</w:t>
      </w:r>
      <w:r w:rsidRPr="00533AE6">
        <w:rPr>
          <w:rFonts w:asciiTheme="minorEastAsia" w:eastAsiaTheme="minorEastAsia" w:hAnsiTheme="minorEastAsia"/>
        </w:rPr>
        <w:br w:type="page"/>
      </w:r>
    </w:p>
    <w:p w:rsidR="00266A27" w:rsidRPr="00533AE6" w:rsidRDefault="00266A27" w:rsidP="005A15F8">
      <w:pPr>
        <w:pStyle w:val="1"/>
        <w:snapToGrid w:val="0"/>
        <w:spacing w:beforeLines="0" w:afterLines="0" w:line="360" w:lineRule="auto"/>
        <w:ind w:left="-420" w:firstLineChars="0" w:firstLine="0"/>
        <w:rPr>
          <w:rFonts w:asciiTheme="minorEastAsia" w:eastAsiaTheme="minorEastAsia" w:hAnsiTheme="minorEastAsia"/>
          <w:sz w:val="21"/>
          <w:szCs w:val="21"/>
        </w:rPr>
      </w:pPr>
      <w:bookmarkStart w:id="240" w:name="_Toc200522988"/>
      <w:bookmarkStart w:id="241" w:name="_Toc46933305"/>
      <w:bookmarkEnd w:id="236"/>
      <w:bookmarkEnd w:id="237"/>
      <w:r w:rsidRPr="00533AE6">
        <w:rPr>
          <w:rFonts w:asciiTheme="minorEastAsia" w:eastAsiaTheme="minorEastAsia" w:hAnsiTheme="minorEastAsia" w:hint="eastAsia"/>
          <w:bCs/>
        </w:rPr>
        <w:lastRenderedPageBreak/>
        <w:t>二十</w:t>
      </w:r>
      <w:r w:rsidR="006376F9" w:rsidRPr="00533AE6">
        <w:rPr>
          <w:rFonts w:asciiTheme="minorEastAsia" w:eastAsiaTheme="minorEastAsia" w:hAnsiTheme="minorEastAsia" w:hint="eastAsia"/>
          <w:bCs/>
        </w:rPr>
        <w:t>一</w:t>
      </w:r>
      <w:r w:rsidRPr="00533AE6">
        <w:rPr>
          <w:rFonts w:asciiTheme="minorEastAsia" w:eastAsiaTheme="minorEastAsia" w:hAnsiTheme="minorEastAsia" w:hint="eastAsia"/>
          <w:bCs/>
        </w:rPr>
        <w:t>、基金合同内容摘要</w:t>
      </w:r>
      <w:bookmarkEnd w:id="240"/>
      <w:bookmarkEnd w:id="241"/>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2" w:name="_Toc46933306"/>
      <w:r w:rsidRPr="00533AE6">
        <w:rPr>
          <w:rFonts w:asciiTheme="minorEastAsia" w:eastAsiaTheme="minorEastAsia" w:hAnsiTheme="minorEastAsia" w:hint="eastAsia"/>
          <w:b w:val="0"/>
        </w:rPr>
        <w:t>（一）基金管理人的权利与义务</w:t>
      </w:r>
      <w:bookmarkEnd w:id="242"/>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1、基金管理人的权利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（1）依法募集基金，办理基金备案手续；</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（2）依照法律法规和基金合同独立管理运用基金财产；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（3）根据法律法规和基金合同的规定，制订、修改并公布有关基金认购、申购、赎回、转托管、基金转换、非交易过户、冻结、收益分配等方面的业务规则；</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（4）依照《基金合同》收取基金管理费以及法律法规规定或中国证监会批准的其他费用；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（5）根据法律法规和基金合同的规定销售基金份额；</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在基金合同的有效期内，在不违反公平、合理原则以及不妨碍基金托管人遵守相关法律法规及其行业监管要求的基础上，基金管理人有权对基金托管人履行基金合同的情况进行必要的监督。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（7）根据基金合同的规定选择适当的基金代销机构并有权依照代销协议和有关法律法规对基金代销机构行为进行必要的监督和检查；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（8）自行担任基金注册登记机构或选择、更换基金注册登记代理机构，办理基金注册登记业务，并按照基金合同规定对基金注册登记代理机构进行必要的监督和检查；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（9）在基金合同约定的范围内，拒绝或暂停受理申购和赎回的申请；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（10）在法律法规允许的前提下，为基金份额持有人的利益依法为基金进行融资、融券；</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（11）依据法律法规和基金合同的规定，制订基金收益分配方案；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（12）按照法律法规代表基金行使因投资于证券所产生的权利；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（13）在基金托管人职责终止时，提名新的基金托管人；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（14）依据法律法规和基金合同的规定，召集基金份额持有人大会；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（15）以基金管理人的名义，代表基金份额持有人利益行使诉讼权利或者实施其他法律行为；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（16）选择、更换律师、审计师、证券经纪商或其他为基金提供服务的外部机构并确定有关费率；</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（17）法律法规、基金合同规定的其他权利。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2、基金管理人的义务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（1）依法申请并募集基金，办理或者委托经国务院证券监督管理机构认定的其他机构代为办理基金份额的发售、申购、赎回和登记事宜；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（2）办理基金备案手续；</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（3）自基金合同生效之日起，以诚实信用、勤勉尽责的原则管理和运用基金财产；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（4）配备足够的具有专业资格的人员进行基金投资分析、决策，以专业化的经营方式管理和运作基金财产；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（5）建立健全内部风险控制、监察与稽核、财务管理及人事管理等制度，保证所管理的基金财产和基金管理人的财产相互独立，对所管理的不同基金分别管理、分别记账，进行证券投资；</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（6）按基金合同的约定确定基金收益分配方案，及时向基金份额持有人分配基金收益；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（7）除依据《基金法》、基金合同及其他有关规定外，不得为自己及任何第三人谋取利益，不得委托第三人运作基金财产；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（8）进行基金会计核算并编制基金的财务会计报告；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（9）依法接受基金托管人的监督；</w:t>
      </w:r>
    </w:p>
    <w:p w:rsidR="00CC3018" w:rsidRPr="00533AE6" w:rsidRDefault="00CC3018" w:rsidP="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（10）编制季度报告、中期报告和年度报告；</w:t>
      </w:r>
    </w:p>
    <w:p w:rsidR="00CC3018" w:rsidRPr="00533AE6" w:rsidRDefault="00CC3018" w:rsidP="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（11）采取适当合理的措施使计算开放式基金份额认购、申购、赎回和注销价格的方法符合基金合同等法律文件的规定；</w:t>
      </w:r>
    </w:p>
    <w:p w:rsidR="00896494" w:rsidRPr="00533AE6" w:rsidRDefault="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（12）计算并公告基金净值信息，确定基金份额申购、赎回价格；</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（13）严格按照《基金法》、基金合同及其他有关规定，履行信息披露及报告义务；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（14）保守基金商业秘密，不泄露基金投资计划、投资意向等。除基金法、基金合同及其他有关规定另有规定外，在基金信息公开披露前应予以保密，不得向他人泄露；</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（15）按规定受理申购和赎回申请，及时、足额支付赎回款项；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（16）保存基金财产管理业务活动的记录、账册、报表、代表基金签订的重大合同及其他相关资料；</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（17）依据《基金法》、基金合同及其他有关规定召集基金份额持有人大会或配合基金托管人、基金份额持有人依法召集基金份额持有人大会；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（18）以基金管理人名义，代表基金份额持有人利益行使诉讼权利或实施其他法律行为；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（19）组织并参加基金财产清算小组，参与基金财产的保管、清理、估价、变现和分配；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（20）因违反基金合同导致基金财产的损失或损害基金份额持有人的合法权益，应承担赔偿责任，其赔偿责任不因其退任而免除；</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（21）基金托管人违反基金合同造成基金财产损失时，应为基金份额持有人利益向基金托管人追偿；</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（22）法律法规、基金合同及中国证监会规定的其他义务。</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3" w:name="_Toc46933307"/>
      <w:r w:rsidRPr="00533AE6">
        <w:rPr>
          <w:rFonts w:asciiTheme="minorEastAsia" w:eastAsiaTheme="minorEastAsia" w:hAnsiTheme="minorEastAsia" w:hint="eastAsia"/>
          <w:b w:val="0"/>
        </w:rPr>
        <w:lastRenderedPageBreak/>
        <w:t>（二）基金托管人的权利与义务</w:t>
      </w:r>
      <w:bookmarkEnd w:id="243"/>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1、基金托管人的权利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（1）依据法律法规和基金合同的规定安全保管基金财产；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（2）依照基金合同的约定获得基金托管费；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（3）监督基金管理人对本基金的投资运作；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（4）在基金管理人职责终止时，提名新的基金管理人；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（5）依据法律法规和基金合同的规定召集基金份额持有人大会；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（6）法律法规、基金合同规定的其他权利。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2、基金托管人的义务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（1）安全保管基金财产；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（2）设立专门的基金托管部，具有符合要求的营业场所，配备足够的、合格的熟悉基金托管业务的专职人员，负责基金财产托管事宜；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（3）按规定开设基金财产的资金账户和证券账户；</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（4）除依据《基金法》、基金合同及其他有关规定外，不得以基金财产为自己及任何第三人谋取非法利益，不得委托第三人托管基金财产；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（5）对所托管的不同基金财产分别设置账户，确保基金财产的完整和独立；</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（6）保管由基金管理人代表基金签订的与基金有关的重大合同及有关凭证；</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（7）保存基金托管业务活动的记录、账册、报表和其他相关资料；</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（8）按照基金合同的约定，根据基金管理人的指令，及时办理清算、交割事宜；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（9）保守基金商业秘密。除《基金法》、基金合同及其他有关规定另有规定外，在基金信息公开披露前应予以保密，不得向他人泄露；</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（10）根据法律法规及基金合同的约定，办理与基金托管业务活动有关的信息披露事项；</w:t>
      </w:r>
    </w:p>
    <w:p w:rsidR="00CC3018" w:rsidRPr="00533AE6" w:rsidRDefault="00CC3018" w:rsidP="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对基金财务会计报告、季度报告、中期报告和年度报告的相关内容出具意见，说明基金管理人在各重要方面的运作是否严格按照基金合同的规定进行；如果基金管理人有未执行基金合同规定的行为，还应当说明基金托管人是否采取了适当的措施；</w:t>
      </w:r>
    </w:p>
    <w:p w:rsidR="00CC3018" w:rsidRPr="00533AE6" w:rsidRDefault="00CC3018" w:rsidP="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（12）建立并保存基金份额持有人名册；</w:t>
      </w:r>
    </w:p>
    <w:p w:rsidR="00896494" w:rsidRPr="00533AE6" w:rsidRDefault="00CC301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（13）复核基金管理人计算的基金资产净值、基金份额净值、基金份额申购、赎回价格；</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（14）按规定制作相关账册并与基金管理人核对；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（15）依据基金管理人的指令或有关规定向基金份额持有人支付基金收益和赎回款项；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（16）按照规定召集基金份额持有人大会或配合基金份额持有人依法自行召集基金份额持有人大会；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（17）按照法律法规监督基金管理人的投资运作；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（18）因违反基金合同导致基金财产损失，应承担赔偿责任，其责任不因其退任而免除；</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（19）因基金管理人违反基金合同造成基金财产损失时，应为基金向基金管理人追偿；</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（20）法律法规、基金合同及中国证监会规定的其他义务。</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4" w:name="_Toc46933308"/>
      <w:r w:rsidRPr="00533AE6">
        <w:rPr>
          <w:rFonts w:asciiTheme="minorEastAsia" w:eastAsiaTheme="minorEastAsia" w:hAnsiTheme="minorEastAsia" w:hint="eastAsia"/>
          <w:b w:val="0"/>
        </w:rPr>
        <w:t>（三）基金份额持有人的权利与义务</w:t>
      </w:r>
      <w:bookmarkEnd w:id="244"/>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投资者购买本基金基金份额的行为即视为对基金合同的承认和接受，基金投资者自依据基金合同取得基金份额，即成为基金份额持有人和基金合同当事人。基金份额持有人作为当事人并不以在基金合同上书面签章为必要条件。每份基金份额具有同等的合法权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1、基金份额持有人的权利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（1）分享基金财产收益；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（2）参与分配清算后的剩余基金财产；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（3）依法转让或者申请赎回其持有的基金份额；</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（4）按照规定要求召开基金份额持有人大会；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（5）出席或者委派代表出席基金份额持有人大会，对基金份额持有人大会审议事项行使表决权；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（6）查阅或者复制公开披露的基金信息资料；</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（7）监督基金管理人的投资运作；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（8）对基金管理人、基金托管人、基金份额销售机构损害其合法权益的行为依法提起诉讼；</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（9）法律法规、基金合同规定的其他权利。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2、基金份额持有人的义务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（1）遵守法律法规、基金合同及其他有关规定；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（2）交纳基金认购、申购款项及法律法规、基金合同、招募说明书规定的费用；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（3）在持有的基金份额范围内，承担基金亏损或者基金合同终止的有限责任；</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（4）不从事任何有损基金、其他基金份额持有人及其他基金合同当事人合法利益的活动；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（5）执行基金份额持有人大会的决议；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（6）返还在基金交易过程中因任何原因获得的不当得利；</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（7）遵守基金管理人、销售机构和注册登记机构的相关交易及业务规则；</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（8）法律法规及基金合同规定的其他义务。</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5" w:name="_Toc46933309"/>
      <w:r w:rsidRPr="00533AE6">
        <w:rPr>
          <w:rFonts w:asciiTheme="minorEastAsia" w:eastAsiaTheme="minorEastAsia" w:hAnsiTheme="minorEastAsia" w:hint="eastAsia"/>
          <w:b w:val="0"/>
        </w:rPr>
        <w:t>（四）基金份额持有人大会</w:t>
      </w:r>
      <w:bookmarkEnd w:id="245"/>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1、本基金的基金份额持有人大会，由本基金的基金份额持有人或其合法的代理人组成。基金份额持有人持有的每一基金份额拥有平等的投票权。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2、当出现或需要决定下列事由之一时，应召开基金份额持有人大会：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(1)终止基金合同；</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(2)转换基金运作方式；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(3)提高基金管理人、基金托管人的报酬标准，但根据法律法规的要求提高该等报酬标准的除外；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(4)更换基金管理人、基金托管人；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(5)变更基金类别；</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(6)变更基金投资目标、范围或策略；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(7)变更基金份额持有人大会程序；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(8)本基金与其他基金合并；</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(9)对基金合同当事人权利、义务产生重大影响的事项；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(10)法律法规或中国证监会规定的其他应当召开基金份额持有人大会的事项。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3、有以下情形之一的，可由基金管理人和基金托管人协商后修改基金合同，不需召开基金份额持有人大会：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（1）调低基金管理费率、基金托管费率；</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（2）在法律法规和基金合同规定的范围内变更本基金的申购费率、降低赎回费率或变更收费方式；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（3）因相应的法律法规发生变动而应当对基金合同进行修改；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（4）对基金合同的修改对基金份额持有人利益无实质性不利影响；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（5）除法律法规或基金合同规定应当召开基金份额持有人大会以外的其他情形。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4、召集人及召集方式：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（1）除法律法规或基金合同另有约定外，基金份额持有人大会由基金管理人召集。</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（2）基金管理人未按规定召集或不能召集时，基金托管人认为有必要召开的，应当自行召集。</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决定召集的，应当自出具书面决定之日起60日内召开；基金管理人决定不召集，基金托管人仍认为有必要召开的，应当自行召集，并自出具书面决定之日起六十日内召开并告知基金管理人，基金管理人应当配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代表基金份额10%以上（本条中“以上”均包括本数，下同）的基金份额持有人认为有必要召开基金份额持有人大会的，应当向基金管理人提出书面提议。基金管理人应当自收到书面提议之日起10日内决定是否召集，并书面告知提出提议的基金份额持有人代表和基金托管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基金管理人决定召集的，应当自出具书面决定之日起60日内召开；基金管理人决定不召集，代表基金份额10%以上的基金份额持有人仍认为有必要召开的，应当向基金托管人提出书面提议。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基金托管人应当自收到书面提议之日起10日内决定是否召集，并书面告知提出提议的基金份额持有人代表和基金管理人；基金托管人决定召集的，应当自出具书面决定之日起60日内召开。</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代表基金份额10%以上的基金份额持有人就同一事项书面要求召开基金份额持有人大会，而基金管理人、基金托管人都不召集的，代表基金份额10%以上的基金份额持有人有权自行召集，并至少提前30日报中国证监会备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（6）基金份额持有人依法自行召集基金份额持有人大会的，基金管理人、基金托管人应当配合，不得阻碍、干扰。</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（7）基金份额持有人大会的召集人负责选择确定开会时间、地点、方式和权益登记日。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5、会议通知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（1）召开基金份额持有人大会，召集人应当于会议召开前30天在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hint="eastAsia"/>
        </w:rPr>
        <w:t>上公告。基金份额持有人大会不得就未经公告的事项进行表决。基金份额持有人大会通知至少载明以下内容：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1）会议召开的时间、地点、方式；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2）会议拟审议的主要事项、议事程序和表决方式；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3）有权出席基金份额持有人大会的基金份额持有人的权益登记日；</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4）代理投票授权委托书的内容要求（包括但不限于代理人身份、代理权限和代理有效期限等）、送达时间和地点；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5）会务常设联系人姓名、电话；</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（2）如采用通讯表决方式，会议通知还应载明具体通讯方式、委托的公证机关及其联系方式和联系人、书面表决意见的寄交和收取方式、投票表决的截止日以及表决票的送达地址等内容。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如召集人为基金管理人，还应另行书面通知基金托管人作为监督人到指定地点对书面表决意见的计票进行监督；如召集人为基金托管人，则应另行书面通知基金管理人作为监督人到指定地点对书面表决意见的计票进行监督；如召集人为基金份额持有人，则应另行书面通知基金管理人和基金托管人作为监督人到指定地点对书面表决意见的计票进行监督。基金管理人或基金托管人拒不派代表对书面表决意见的计票进行监督的，不影响计票和表决效力。</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6、开会方式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基金份额持有人大会的召开方式包括现场开会和通讯方式开会。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现场开会。现场开会由基金份额持有人本人出席或通过授权委派其代理人出席，现场开会时基金管理人和基金托管人的授权代表应当出席，基金管理人或托管人拒不派代表出席的，不影响表决效力。现场开会同时符合以下条件时，可以进行基金份额持有人大会议程：</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1）亲自出席会议者持有基金份额的凭证和受托出席会议者出具的委托人持有基金份额的凭证和授权委托书等文件符合法律法规、基金合同和会议通知的规定；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2）经核对，汇总到会者出示的在权益登记日持有基金份额的凭证显示，全部有效凭证所代表的基金份额占权益登记日基金总份额的50%以上。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(2)通讯开会。通讯方式开会指按照基金合同的相关规定以通讯的书面方式进行表决。</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在同时符合以下条件时，通讯开会的方式视为有效：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1）召集人按基金合同规定公布会议通知后，在两个工作日内连续公布相关提示性公告；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2）召集人按照会议通知规定的方式收取基金份额持有人的书面表决意见；</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3）本人直接出具书面意见或授权他人代表出具书面意见的基金份额持有人所代表的基金份额占权益登记日基金总份额的50%以上；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5）会议通知公布前已报中国证监会备案。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如果开会条件达不到上述的条件，则召集人可另行确定并公告重新表决的时间(至少应在25个工作日后)，且确定有权出席会议的基金份额持有人资格的权益登记日应保持不变。</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7、议事内容与程序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（1）议事内容及提案权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1）议事内容限为基金合同规定的基金份额持有人大会召开事由范围内的事项。</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基金托管人、代表权益登记日基金总份额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审核后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3）对于基金份额持有人提交的提案，大会召集人应当按照以下原则对提案进行审核：</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A.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B.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代表权益登记日基金总份额10%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6</w:t>
      </w:r>
      <w:r w:rsidRPr="00533AE6">
        <w:rPr>
          <w:rFonts w:asciiTheme="minorEastAsia" w:eastAsiaTheme="minorEastAsia" w:hAnsiTheme="minorEastAsia" w:hint="eastAsia"/>
        </w:rPr>
        <w:lastRenderedPageBreak/>
        <w:t>个月。法律法规另有规定的除外。</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5）基金份额持有人大会不得对未事先公告的议事内容进行表决。</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（2）议事程序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1）现场开会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现场开会的方式下，基金份额持有人大会的主持人为召集人授权出席大会的代表。首先由大会主持人按照规定程序确定和公布监票人，然后由大会主持人宣读提案，经讨论后进行表决，经合法执业的律师见证后形成大会决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2）通讯开会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通讯方式开会的情况下，首先由召集人在会议通知中公布提案，在所通知的表决截止日期后第二个工作日在大会聘请的公证机关及监督人的监督下由召集人统计全部有效表决并形成决议。如监督人经通知但拒绝到场监督，不影响在公证机关监督下形成的决议的有效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8、表决</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(1)基金份额持有人所持每份基金份额享有平等的表决权。</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(2)基金份额持有人大会决议分为一般决议和特别决议：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1）特别决议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对于特别决议应当经参加大会的基金份额持有人所持表决权的三分之二以上（含三分之二）通过。更换基金管理人或者基金托管人、转换基金运作方式、终止基金合同或本基金与其他基金合并应当经特别决议通过方为有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2）一般决议</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对于一般决议应当经参加大会的基金份额持有人所持表决权的50%以上通过。</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(3)基金份额持有人大会采取记名方式进行投票表决。</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(4)基金份额持有人大会的各项提案或同一项提案内并列的各项议题应当分开审议、逐项表决。</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9、计票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(1)现场开会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如基金份额持有人大会由基金管理人或基金托管人召集，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代表担任监票人。基金管理人或基金托管人拒不出席大会的，不影响计票的效力。</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2）监票人应当在基金份额持有人表决后立即进行清点并由大会主持人当场公布计票结果。</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(2)通讯方式开会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在通讯方式开会的情况下，计票方式为：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由大会召集人指定的两名计票员在监督人授权代表的监督下进行计票，并由公证机关对其计票过程予以公证。基金管理人或基金托管人拒派代表对书面表决意见的计票进行监督的，不影响计票和表决效力。</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10、生效与公告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(1)基金份额持有人大会按照《基金法》等有关法律法规规定及基金合同约定表决通过的事项，召集人应当自通过之日起5日内报中国证监会备案。基金份额持有人大会决定的事项自表决通过之日起生效。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(2)生效的基金份额持有人大会决议对全体基金份额持有人、基金管理人、基金托管人均有法律约束力。基金管理人、基金托管人和基金份额持有人应当执行生效的基金份额持有人大会的决定。</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(3)基金份额持有人大会决议应当自生效之日起2日内，由基金份额持有人大会召集人在</w:t>
      </w:r>
      <w:r w:rsidR="00CC3018" w:rsidRPr="00533AE6">
        <w:rPr>
          <w:rFonts w:asciiTheme="minorEastAsia" w:eastAsiaTheme="minorEastAsia" w:hAnsiTheme="minorEastAsia" w:hint="eastAsia"/>
          <w:kern w:val="0"/>
          <w:szCs w:val="21"/>
        </w:rPr>
        <w:t>指定媒介</w:t>
      </w:r>
      <w:r w:rsidRPr="00533AE6">
        <w:rPr>
          <w:rFonts w:asciiTheme="minorEastAsia" w:eastAsiaTheme="minorEastAsia" w:hAnsiTheme="minorEastAsia" w:hint="eastAsia"/>
        </w:rPr>
        <w:t>上公告。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(4)如果采用通讯方式进行表决，在公告基金份额持有人大会决议时，必须将公证书全文、公证机关、公证员姓名等一同公告。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11、法律法规或监管机构对基金份额持有人大会另有规定的，从其规定。</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6" w:name="_Toc46933310"/>
      <w:r w:rsidRPr="00533AE6">
        <w:rPr>
          <w:rFonts w:asciiTheme="minorEastAsia" w:eastAsiaTheme="minorEastAsia" w:hAnsiTheme="minorEastAsia" w:hint="eastAsia"/>
          <w:b w:val="0"/>
        </w:rPr>
        <w:t>（五）基金合同的变更</w:t>
      </w:r>
      <w:bookmarkEnd w:id="246"/>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1、变更基金合同涉及法律法规规定或基金合同约定应经基金份额持有人大会决议通过的事项的，应召开基金份额持有人大会决议通过。</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2、变更基金合同的基金份额持有人大会决议应报中国证监会备案，并自表决通过之日起生效。</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3、但如因相应的法律法规发生变动或属于基金合同约定的不需召开基金份额持有人大会的情形，经基金管理人和基金托管人同意修改后公布，并报中国证监会备案。</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7" w:name="_Toc46933311"/>
      <w:r w:rsidRPr="00533AE6">
        <w:rPr>
          <w:rFonts w:asciiTheme="minorEastAsia" w:eastAsiaTheme="minorEastAsia" w:hAnsiTheme="minorEastAsia" w:hint="eastAsia"/>
          <w:b w:val="0"/>
        </w:rPr>
        <w:t>（六）基金合同的终止</w:t>
      </w:r>
      <w:bookmarkEnd w:id="247"/>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有下列情形之一的，基金合同应当终止：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1、基金份额持有人大会决定终止；</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2、基金管理人、基金托管人职责终止，在六个月内没有新基金管理人、基金托管人承接的；</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3、法律法规和基金合同规定的其他情形。</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8" w:name="_Toc46933312"/>
      <w:r w:rsidRPr="00533AE6">
        <w:rPr>
          <w:rFonts w:asciiTheme="minorEastAsia" w:eastAsiaTheme="minorEastAsia" w:hAnsiTheme="minorEastAsia" w:hint="eastAsia"/>
          <w:b w:val="0"/>
        </w:rPr>
        <w:t>（七）基金财产的清算</w:t>
      </w:r>
      <w:bookmarkEnd w:id="248"/>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1、基金合同终止，基金管理人应当按法律法规和基金合同的有关规定组织清算组对基金财产进行清算。</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2、基金财产清算组</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自基金合同终止事由之日起30个工作日内由基金管理人组织成立基金财产清算组，在基金财产清算组接管基金财产之前，基金管理人和基金托管人应按照基金合同和托管协议的规定继续履行保护基金财产安全的职责。</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（2）基金财产清算组成员由基金管理人、基金托管人、具有从事证券相关业务资格的注册会计师、律师以及中国证监会指定的人员组成。基金财产清算组可以聘用必要的工作人员。</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（3）基金财产清算组负责基金财产的保管、清理、估价、变现和分配。基金财产清算组可以依法进行必要的民事活动。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3、清算程序</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（1）基金合同终止情形发生后，由基金财产清算组统一接管基金财产；</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（2）基金财产清算组根据基金财产的情况确定清算期限；</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（3）基金财产清算组对基金财产进行清理和确认；</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（4）对基金财产进行评估和变现；</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（5）制作清算报告；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（6）聘请会计师事务所对清算报告进行外部审计，聘请律师事务所对清算报告出具法律意见书；</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（7）将清算报告报中国证监会备案并公告；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（8）对基金财产进行分配。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4、清算费用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清算费用是指基金财产清算组在进行基金清算过程中发生的所有合理费用，清算费用由基金财产清算组优先从基金财产中支付。</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5、基金剩余财产的分配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基金财产按下列顺序清偿：</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（1）支付清算费用；</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（2）交纳所欠税款；</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（3）清偿基金债务；</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（4）按基金份额持有人持有的基金份额比例进行分配。</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基金财产未按前款（1）、（2）、（3）项规定清偿前，不分配给基金份额持有人。</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对于基金缴存于中国证券登记结算有限责任公司的最低结算备付金和交易席位保证金等，在中国证券登记结算有限责任公司对其进行调整后方可收回。</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6、基金财产清算的公告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基金财产清算组做出的清算报告经会计师事务所审计，律师事务所出具法律意见书后，报中国证监会备案并公告。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7、基金财产清算账册及文件由基金托管人保存15年以上。</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49" w:name="_Toc46933313"/>
      <w:r w:rsidRPr="00533AE6">
        <w:rPr>
          <w:rFonts w:asciiTheme="minorEastAsia" w:eastAsiaTheme="minorEastAsia" w:hAnsiTheme="minorEastAsia" w:hint="eastAsia"/>
          <w:b w:val="0"/>
        </w:rPr>
        <w:t>（八）争议的处理和适用的法律</w:t>
      </w:r>
      <w:bookmarkEnd w:id="249"/>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1、基金合同适用中华人民共和国法律并从其解释。</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合同的当事人之间因基金合同产生的或与基金合同有关的争议可通过友好协商解决，但若自一方书面提出协商解决争议之日起60日内争议未能以协商方式解决的，则任何一方有权将争议提交位于北京的中国国际经济贸易仲裁委员会，按照其时有效的仲裁规则进行仲裁。仲裁裁决是终局的，对仲裁各方当事人均具有约束力。</w:t>
      </w:r>
    </w:p>
    <w:p w:rsidR="00896494" w:rsidRPr="00533AE6" w:rsidRDefault="00E06EC4">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3、除争议所涉内容之外，基金合同的其他部分应当由基金合同当事人继续履行。</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50" w:name="_Toc46933314"/>
      <w:r w:rsidRPr="00533AE6">
        <w:rPr>
          <w:rFonts w:asciiTheme="minorEastAsia" w:eastAsiaTheme="minorEastAsia" w:hAnsiTheme="minorEastAsia" w:hint="eastAsia"/>
          <w:b w:val="0"/>
        </w:rPr>
        <w:t>（九）基金合同的存放及查阅方式</w:t>
      </w:r>
      <w:bookmarkEnd w:id="250"/>
    </w:p>
    <w:p w:rsidR="004A3B17" w:rsidRPr="00533AE6" w:rsidRDefault="004A3B17"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基金合同存放在基金管理人和基金托管人住所，投资者在支付工本费后，可在合理时间内取得上述文件复印件，基金合同条款及内容应以基金合同正本为准。</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251" w:name="_Toc238870145"/>
      <w:bookmarkStart w:id="252" w:name="_Toc46933315"/>
      <w:r w:rsidRPr="00533AE6">
        <w:rPr>
          <w:rFonts w:asciiTheme="minorEastAsia" w:eastAsiaTheme="minorEastAsia" w:hAnsiTheme="minorEastAsia" w:hint="eastAsia"/>
          <w:bCs/>
        </w:rPr>
        <w:lastRenderedPageBreak/>
        <w:t>二十二</w:t>
      </w:r>
      <w:r w:rsidR="00266A27" w:rsidRPr="00533AE6">
        <w:rPr>
          <w:rFonts w:asciiTheme="minorEastAsia" w:eastAsiaTheme="minorEastAsia" w:hAnsiTheme="minorEastAsia" w:hint="eastAsia"/>
          <w:bCs/>
        </w:rPr>
        <w:t>、基金托管协议的内容摘要</w:t>
      </w:r>
      <w:bookmarkEnd w:id="251"/>
      <w:bookmarkEnd w:id="252"/>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sz w:val="24"/>
        </w:rPr>
      </w:pPr>
      <w:bookmarkStart w:id="253" w:name="_Toc40511576"/>
      <w:bookmarkStart w:id="254" w:name="_Toc238870146"/>
      <w:bookmarkStart w:id="255" w:name="_Toc46933316"/>
      <w:r w:rsidRPr="00533AE6">
        <w:rPr>
          <w:rFonts w:asciiTheme="minorEastAsia" w:eastAsiaTheme="minorEastAsia" w:hAnsiTheme="minorEastAsia" w:hint="eastAsia"/>
          <w:b w:val="0"/>
          <w:bCs/>
        </w:rPr>
        <w:t>（一）托管协议当事人</w:t>
      </w:r>
      <w:bookmarkEnd w:id="253"/>
      <w:bookmarkEnd w:id="254"/>
      <w:bookmarkEnd w:id="255"/>
    </w:p>
    <w:p w:rsidR="00266A27" w:rsidRPr="00533AE6" w:rsidRDefault="00266A2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1</w:t>
      </w:r>
      <w:r w:rsidR="007A6905"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基金管理人（或简称“管理人”）</w:t>
      </w:r>
    </w:p>
    <w:p w:rsidR="007E7B9F" w:rsidRPr="00533AE6" w:rsidRDefault="007E7B9F" w:rsidP="005A15F8">
      <w:pPr>
        <w:spacing w:line="360" w:lineRule="auto"/>
        <w:ind w:left="-420" w:firstLine="420"/>
        <w:rPr>
          <w:rFonts w:asciiTheme="minorEastAsia" w:eastAsiaTheme="minorEastAsia" w:hAnsiTheme="minorEastAsia"/>
        </w:rPr>
      </w:pPr>
      <w:bookmarkStart w:id="256" w:name="_Toc15118236"/>
      <w:r w:rsidRPr="00533AE6">
        <w:rPr>
          <w:rFonts w:asciiTheme="minorEastAsia" w:eastAsiaTheme="minorEastAsia" w:hAnsiTheme="minorEastAsia"/>
        </w:rPr>
        <w:t>名称：易方达基金管理有限公司</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住所：</w:t>
      </w:r>
      <w:r w:rsidR="00EE4714" w:rsidRPr="00533AE6">
        <w:rPr>
          <w:rStyle w:val="da"/>
          <w:rFonts w:asciiTheme="minorEastAsia" w:eastAsiaTheme="minorEastAsia" w:hAnsiTheme="minorEastAsia" w:hint="eastAsia"/>
          <w:szCs w:val="21"/>
        </w:rPr>
        <w:t>广东省珠海市横琴新区宝华路6号105室－42891（集中办公区）</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法定代表人：刘晓艳</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成立时间：2001年4月17日</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批准设立机关：中国证券监督管理委员会</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批准设立文号：证监基金字[2001]4号</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组织形式：有限责任公司</w:t>
      </w:r>
    </w:p>
    <w:p w:rsidR="007E7B9F" w:rsidRPr="00533AE6" w:rsidRDefault="00D55D4E"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注册资本：13,244.2万元人民币</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经营范围：</w:t>
      </w:r>
      <w:r w:rsidR="00EE4714" w:rsidRPr="00533AE6">
        <w:rPr>
          <w:rStyle w:val="da"/>
          <w:rFonts w:asciiTheme="minorEastAsia" w:eastAsiaTheme="minorEastAsia" w:hAnsiTheme="minorEastAsia" w:hint="eastAsia"/>
        </w:rPr>
        <w:t>公开募集证券投资基金管理、基金销售、特定客户资产管理</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存续期间：持续经营</w:t>
      </w:r>
    </w:p>
    <w:bookmarkEnd w:id="256"/>
    <w:p w:rsidR="00266A27" w:rsidRPr="00533AE6" w:rsidRDefault="00266A27"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2</w:t>
      </w:r>
      <w:r w:rsidR="007A6905"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基金托管人（或简称“托管人”）</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名称：中国银行股份有限公司</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住所：北京市西城区复兴门内大街1号</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法定代表人：</w:t>
      </w:r>
      <w:r w:rsidR="00131B7A" w:rsidRPr="00533AE6">
        <w:rPr>
          <w:rFonts w:asciiTheme="minorEastAsia" w:eastAsiaTheme="minorEastAsia" w:hAnsiTheme="minorEastAsia" w:hint="eastAsia"/>
          <w:szCs w:val="21"/>
        </w:rPr>
        <w:t>刘连舸</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成立时间：1983年10月31日</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基金托管业务批准文号：中国证监会证监基字【1998】24号</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组织形式：股份有限公司</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注册资本：人民币贰仟玖佰肆拾叁亿捌仟柒佰柒拾玖万壹仟贰佰肆拾壹元整</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w:t>
      </w:r>
      <w:r w:rsidRPr="00533AE6">
        <w:rPr>
          <w:rFonts w:asciiTheme="minorEastAsia" w:eastAsiaTheme="minorEastAsia" w:hAnsiTheme="minorEastAsia"/>
        </w:rPr>
        <w:lastRenderedPageBreak/>
        <w:t>法律许可的一切银行业务；在港澳地区的分行依据当地法令可发行或参与代理发行当地货币；经中国人民银行批准的其他业务。</w:t>
      </w:r>
    </w:p>
    <w:p w:rsidR="007E7B9F" w:rsidRPr="00533AE6" w:rsidRDefault="007E7B9F" w:rsidP="005A15F8">
      <w:pPr>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存续期间：持续经营</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57" w:name="_Toc46933317"/>
      <w:r w:rsidRPr="00533AE6">
        <w:rPr>
          <w:rFonts w:asciiTheme="minorEastAsia" w:eastAsiaTheme="minorEastAsia" w:hAnsiTheme="minorEastAsia" w:hint="eastAsia"/>
          <w:b w:val="0"/>
        </w:rPr>
        <w:t>（二）基金托管人对基金管理人的业务监督和核查</w:t>
      </w:r>
      <w:bookmarkEnd w:id="257"/>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1、基金托管人根据有关法律法规的规定及《基金合同》的约定，建立相关的技术系统，对基金管理人的投资运作进行监督。主要包括以下方面：</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对基金的投资范围、投资对象进行监督。基金管理人应将拟投资的股票库、上海申银万国证券研究所有限公司界定的医药生物行业股票库、债券库等各投资品种的具体范围提供给基金托管人。基金管理人可以根据实际情况的变化，对各投资品种的具体范围予以更新和调整，并通知基金托管人。基金托管人根据上述投资范围对基金的投资进行监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（2）对基金投融资比例进行监督；</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其中，基金托管人根据《公开募集开放式证券投资基金流动性风险管理规定》对投资组合的比例做如下监督：</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1）现金不包括结算备付金、存出保证金、应收申购款等；</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2）基金管理人管理的且由本基金托管人托管的全部开放式基金持有一家上市公司发行的可流通股票，不得超过该上市公司可流通股票的15%；基金管理人管理的且由本基金托管人托管的全部投资组合持有一家上市公司发行的可流通股票，不得超过该上市公司可流通股票的30%；</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3）</w:t>
      </w:r>
      <w:r w:rsidRPr="00533AE6">
        <w:rPr>
          <w:rFonts w:asciiTheme="minorEastAsia" w:eastAsiaTheme="minorEastAsia" w:hAnsiTheme="minorEastAsia" w:hint="eastAsia"/>
        </w:rPr>
        <w:t>本基金主动投资于流动性受限资产的市值合计不得超过该基金资产净值的</w:t>
      </w:r>
      <w:r w:rsidRPr="00533AE6">
        <w:rPr>
          <w:rFonts w:asciiTheme="minorEastAsia" w:eastAsiaTheme="minorEastAsia" w:hAnsiTheme="minorEastAsia"/>
        </w:rPr>
        <w:t>15%。</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FE37C0" w:rsidRPr="00533AE6" w:rsidRDefault="003C6D3F" w:rsidP="0019369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4）</w:t>
      </w:r>
      <w:r w:rsidRPr="00533AE6">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（3）对基金投资禁止行为进行监督。为对基金禁止从事的关联交易进行监督，基金管理人和基金托管人应相互提供与本机构有控股关系的股东或与本机构有其他重大利害关系的公司名单；</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通知基金托管人。基金管理人参与银行间债券市场交易的交易对手应符合交易对手库的范围。基金托管人对基金管理人参与银行间</w:t>
      </w:r>
      <w:r w:rsidRPr="00533AE6">
        <w:rPr>
          <w:rFonts w:asciiTheme="minorEastAsia" w:eastAsiaTheme="minorEastAsia" w:hAnsiTheme="minorEastAsia" w:hint="eastAsia"/>
        </w:rPr>
        <w:lastRenderedPageBreak/>
        <w:t>债券市场交易的交易对手是否符合交易对手库进行监督；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（5）基金托管人对银行间市场交易的交易方式的控制按如下约定进行监督。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应按照审慎的风险控制原则，对银行间交易对手的资信状况进行评估，控制交易对手的资信风险，确定与各类交易对手所适用的交易结算方式，在具体的交易中，应尽力争取对基金有利的交易方式。由于交易对手资信风险引起的损失，基金托管人不承担赔偿责任。</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（7）对法律法规规定及《基金合同》约定的基金投资的其他方面进行监督。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托管人在上述第1、2款的监督和核查中发现基金管理人违反法律法规的规定、《基金合同》及本协议的约定，应及时通知基金管理人限期纠正，基金管理人收到通知后应及时核对确认并以书面形式对基金托管人发出回函并改正。在限期内，基金托管人有权随时对通知事项进行复查。基金管理人对基金托管人通知的违规事项未能在限期内纠正的，基金托管人应及时向中国证监会报告。</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托管人发现基金管理人的投资指令违反法律法规、《基金合同》及本协议的规定，应当拒绝执行，立即通知基金管理人，并依照法律法规的规定及时向中国证监会报告。基金托管人发现基金管理人依据交易程序已经生效的指令违反法律法规和其他有关规定，或者违反《基金合同》、本协议约定的，应当立即通知基金管理人，并依照法律法规的规定及时向中国证监会报告。</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58" w:name="_Toc46933318"/>
      <w:r w:rsidRPr="00533AE6">
        <w:rPr>
          <w:rFonts w:asciiTheme="minorEastAsia" w:eastAsiaTheme="minorEastAsia" w:hAnsiTheme="minorEastAsia" w:hint="eastAsia"/>
          <w:b w:val="0"/>
        </w:rPr>
        <w:t>（三）基金管理人对基金托管人的业务核查</w:t>
      </w:r>
      <w:bookmarkEnd w:id="258"/>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2、基金管理人发现基金托管人擅自挪用基金财产、未对基金财产实行分账管理、无正当理</w:t>
      </w:r>
      <w:r w:rsidRPr="00533AE6">
        <w:rPr>
          <w:rFonts w:asciiTheme="minorEastAsia" w:eastAsiaTheme="minorEastAsia" w:hAnsiTheme="minorEastAsia" w:hint="eastAsia"/>
        </w:rPr>
        <w:lastRenderedPageBreak/>
        <w:t>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3、基金托管人应积极配合基金管理人的核查行为，包括但不限于：提交相关资料以供基金管理人核查托管财产的完整性和真实性，在规定时间内答复基金管理人并改正。</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59" w:name="_Toc46933319"/>
      <w:r w:rsidRPr="00533AE6">
        <w:rPr>
          <w:rFonts w:asciiTheme="minorEastAsia" w:eastAsiaTheme="minorEastAsia" w:hAnsiTheme="minorEastAsia" w:hint="eastAsia"/>
          <w:b w:val="0"/>
        </w:rPr>
        <w:t>（四）基金财产保管</w:t>
      </w:r>
      <w:bookmarkEnd w:id="259"/>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1、基金财产保管的原则</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(1)基金财产应独立于基金管理人、基金托管人的固有财产。</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(2)基金托管人应安全保管基金财产，未经基金管理人的合法合规指令或法律法规、《基金合同》及本协议另有规定，不得自行运用、处分、分配基金的任何财产。</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(3)基金托管人按照规定开设基金财产的资金账户和证券账户。</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(4)基金托管人对所托管的不同基金财产分别设置账户，确保基金财产的完整与独立。</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(5)除依据《基金法》、《运作办法》、《基金合同》及其他有关法律法规规定外，基金托管人不得委托第三人托管基金财产。</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2、基金合同生效前募集资金的验资和入账</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(2)基金管理人应将属于本基金财产的全部资金划入在基金托管人处为本基金开立的基金银行账户中，并确保划入的资金与验资确认金额相一致。</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3、基金的银行账户的开设和管理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(1)基金托管人应负责本基金的银行账户的开设和管理。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(4)基金银行账户的管理应符合法律法规的有关规定。</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lastRenderedPageBreak/>
        <w:t>4、基金进行定期存款投资的账户开设和管理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托管人根据基金管理人的指令以基金名义在基金托管人认可的存款银行的指定营业网点开立存款账户，并负责该账户的日常管理以及银行预留印鉴的保管和使用。基金管理人应派专人协助办理开户事宜。在上述账户开立和账户相关信息变更过程中，基金管理人应提前向基金托管人提供开户或账户变更所需的相关资料，并对基金托管人给予积极配合和协助。</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5、基金证券账户和资金账户的开设和管理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(1)基金托管人应当代表本基金，以基金托管人和本基金联名的方式在中国证券登记结算有限责任公司开设证券账户。</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(2)本基金证券账户的开立和使用，限于满足开展本基金业务的需要。基金托管人和基金管理人不得出借或转让本基金的证券账户，亦不得使用本基金的证券账户进行本基金业务以外的活动。</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(4)在本托管协议生效日之后，本基金被允许从事其他投资品种的投资业务的，涉及相关账户的开设、使用的，按照有关规定办理；若无相关规定，则基金托管人应当比照并遵守上述关于账户开设、使用的规定。</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6、债券托管专户的开设和管理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7、基金财产投资的有关有价凭证的保管</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基金财产投资的实物证券、银行定期存款存单等有价凭证由基金托管人负责妥善保管。基金托管人对其以外机构实际有效控制的有价凭证不承担责任。</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8、与基金财产有关的重大合同及有关凭证的保管</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60" w:name="_Toc46933320"/>
      <w:r w:rsidRPr="00533AE6">
        <w:rPr>
          <w:rFonts w:asciiTheme="minorEastAsia" w:eastAsiaTheme="minorEastAsia" w:hAnsiTheme="minorEastAsia" w:hint="eastAsia"/>
          <w:b w:val="0"/>
        </w:rPr>
        <w:lastRenderedPageBreak/>
        <w:t>（五）基金资产净值计算与复核</w:t>
      </w:r>
      <w:bookmarkEnd w:id="260"/>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1、基金资产净值是指基金资产总值减去负债后的价值。基金份额净值是指计算日基金资产净值除以计算日该基金份额总数后的价值。</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管理人应每个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结束后计算得出当日的该基金份额净值，并在盖章后以传真方式发送给基金托管人。基金托管人应在收到上述传真后对净值计算结果进行复核，并在盖章后以传真方式将复核结果传送给基金管理人，由基金管理人对外公布。月末、年中和年末估值复核与基金会计账目的核对同时进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3、当相关法律法规或《基金合同》规定的估值方法不能客观反映基金财产公允价值时，基金管理人可根据具体情况，并与基金托管人商定后，按最能反映公允价值的价格估值。</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4、基金管理人、基金托管人发现基金估值违反《基金合同》订明的估值方法、程序以及相关法律法规的规定或者未能充分维护基金份额持有人利益时，双方应及时进行协商和纠正。</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5、当基金资产的估值导致基金份额净值小数点后三位（含第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7、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61" w:name="_Toc46933321"/>
      <w:r w:rsidRPr="00533AE6">
        <w:rPr>
          <w:rFonts w:asciiTheme="minorEastAsia" w:eastAsiaTheme="minorEastAsia" w:hAnsiTheme="minorEastAsia" w:hint="eastAsia"/>
          <w:b w:val="0"/>
        </w:rPr>
        <w:lastRenderedPageBreak/>
        <w:t>（六）基金份额持有人名册的保管</w:t>
      </w:r>
      <w:bookmarkEnd w:id="261"/>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1、基金份额持有人名册的内容</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基金份额持有人名册的内容包括但不限于基金份额持有人的名称和持有的基金份额。</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基金份额持有人名册包括以下几类：</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（1）基金募集期结束时的基金份额持有人名册；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（2）基金权益登记日的基金份额持有人名册；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（3）基金份额持有人大会登记日的基金份额持有人名册；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（4）每半年度最后一个交易日的基金份额持有人名册。</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2、基金份额持有人名册的提供</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3、基金份额持有人名册的保管</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62" w:name="_Toc46933322"/>
      <w:r w:rsidRPr="00533AE6">
        <w:rPr>
          <w:rFonts w:asciiTheme="minorEastAsia" w:eastAsiaTheme="minorEastAsia" w:hAnsiTheme="minorEastAsia" w:hint="eastAsia"/>
          <w:b w:val="0"/>
        </w:rPr>
        <w:t>（七）争议解决方式</w:t>
      </w:r>
      <w:bookmarkEnd w:id="262"/>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896494" w:rsidRPr="00533AE6" w:rsidRDefault="00E06EC4" w:rsidP="00E06EC4">
      <w:pPr>
        <w:pStyle w:val="20"/>
        <w:snapToGrid w:val="0"/>
        <w:spacing w:beforeLines="0" w:afterLines="0" w:line="360" w:lineRule="auto"/>
        <w:ind w:left="-420" w:firstLineChars="0" w:firstLine="0"/>
        <w:rPr>
          <w:rFonts w:asciiTheme="minorEastAsia" w:eastAsiaTheme="minorEastAsia" w:hAnsiTheme="minorEastAsia"/>
          <w:b w:val="0"/>
        </w:rPr>
      </w:pPr>
      <w:bookmarkStart w:id="263" w:name="_Toc46933323"/>
      <w:r w:rsidRPr="00533AE6">
        <w:rPr>
          <w:rFonts w:asciiTheme="minorEastAsia" w:eastAsiaTheme="minorEastAsia" w:hAnsiTheme="minorEastAsia" w:hint="eastAsia"/>
          <w:b w:val="0"/>
        </w:rPr>
        <w:t>（八）托管协议的变更与终止</w:t>
      </w:r>
      <w:bookmarkEnd w:id="263"/>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1、托管协议的变更</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本协议双方当事人经协商一致，可以对协议进行变更。变更后的新协议，其内容不得与《基金合同》的规定有任何冲突。变更后的新协议应当报中国证监会核准或备案。</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2、托管协议的终止</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发生以下情况，本托管协议应当终止：</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(1)《基金合同》终止；</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(2)本基金更换基金托管人；</w:t>
      </w:r>
    </w:p>
    <w:p w:rsidR="00896494" w:rsidRPr="00533AE6" w:rsidRDefault="00E06EC4">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(3)本基金更换基金管理人；</w:t>
      </w:r>
    </w:p>
    <w:p w:rsidR="007E7B9F" w:rsidRPr="00533AE6" w:rsidRDefault="007E7B9F" w:rsidP="005A15F8">
      <w:pPr>
        <w:adjustRightInd w:val="0"/>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hint="eastAsia"/>
        </w:rPr>
        <w:t>(4)发生《基金法》、《运作办法》或其他法律法规规定的终止事项。</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bCs/>
        </w:rPr>
      </w:pPr>
      <w:bookmarkStart w:id="264" w:name="_Toc46933324"/>
      <w:r w:rsidRPr="00533AE6">
        <w:rPr>
          <w:rFonts w:asciiTheme="minorEastAsia" w:eastAsiaTheme="minorEastAsia" w:hAnsiTheme="minorEastAsia" w:hint="eastAsia"/>
          <w:bCs/>
        </w:rPr>
        <w:lastRenderedPageBreak/>
        <w:t>二十三</w:t>
      </w:r>
      <w:r w:rsidR="00266A27" w:rsidRPr="00533AE6">
        <w:rPr>
          <w:rFonts w:asciiTheme="minorEastAsia" w:eastAsiaTheme="minorEastAsia" w:hAnsiTheme="minorEastAsia" w:hint="eastAsia"/>
          <w:bCs/>
        </w:rPr>
        <w:t>、对基金份额持有人的服务</w:t>
      </w:r>
      <w:bookmarkStart w:id="265" w:name="_Toc38186634"/>
      <w:bookmarkEnd w:id="264"/>
    </w:p>
    <w:p w:rsidR="00266A27" w:rsidRPr="00533AE6" w:rsidRDefault="00266A27" w:rsidP="005A15F8">
      <w:pPr>
        <w:pStyle w:val="ac"/>
        <w:autoSpaceDE w:val="0"/>
        <w:autoSpaceDN w:val="0"/>
        <w:adjustRightInd w:val="0"/>
        <w:snapToGrid w:val="0"/>
        <w:spacing w:after="0" w:line="360" w:lineRule="auto"/>
        <w:ind w:left="-420" w:firstLineChars="200"/>
        <w:rPr>
          <w:rFonts w:asciiTheme="minorEastAsia" w:eastAsiaTheme="minorEastAsia" w:hAnsiTheme="minorEastAsia"/>
          <w:szCs w:val="21"/>
        </w:rPr>
      </w:pPr>
      <w:r w:rsidRPr="00533AE6">
        <w:rPr>
          <w:rFonts w:asciiTheme="minorEastAsia" w:eastAsiaTheme="minorEastAsia" w:hAnsiTheme="minorEastAsia" w:hint="eastAsia"/>
          <w:szCs w:val="21"/>
        </w:rPr>
        <w:t>基金管理人承诺为基金份额持有人提供一系列的服务。以下是主要的服务内容，基金管理人根据基金份额持有人的需要和市场的变化，有权增加、修改这些服务项目：</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66" w:name="_Toc46933325"/>
      <w:r w:rsidRPr="00533AE6">
        <w:rPr>
          <w:rFonts w:asciiTheme="minorEastAsia" w:eastAsiaTheme="minorEastAsia" w:hAnsiTheme="minorEastAsia" w:hint="eastAsia"/>
          <w:b w:val="0"/>
          <w:bCs/>
        </w:rPr>
        <w:t>（一）基金份额持有人投资交易确认服务</w:t>
      </w:r>
      <w:bookmarkEnd w:id="266"/>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基金注册登记机构保留基金份额持有人名册上列明的所有基金份额持有人的基金交易记录。</w:t>
      </w:r>
    </w:p>
    <w:p w:rsidR="00266A27" w:rsidRPr="00533AE6" w:rsidRDefault="007E7B9F"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基金管理人直销网点应根据在基金管理人直销网点进行交易的投资者的要求提供成交确认单。基金非直销销售机构应根据在销售网点进行交易的投资者的要求提供成交确认单。</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67" w:name="_Toc46933326"/>
      <w:r w:rsidRPr="00533AE6">
        <w:rPr>
          <w:rFonts w:asciiTheme="minorEastAsia" w:eastAsiaTheme="minorEastAsia" w:hAnsiTheme="minorEastAsia" w:hint="eastAsia"/>
          <w:b w:val="0"/>
          <w:bCs/>
        </w:rPr>
        <w:t>（二）基金份额持有人交易记录查询服务</w:t>
      </w:r>
      <w:bookmarkEnd w:id="267"/>
    </w:p>
    <w:p w:rsidR="00266A27" w:rsidRPr="00533AE6" w:rsidRDefault="007E7B9F" w:rsidP="005A15F8">
      <w:pPr>
        <w:pStyle w:val="ac"/>
        <w:autoSpaceDE w:val="0"/>
        <w:autoSpaceDN w:val="0"/>
        <w:adjustRightInd w:val="0"/>
        <w:snapToGrid w:val="0"/>
        <w:spacing w:after="0" w:line="360" w:lineRule="auto"/>
        <w:ind w:left="-420" w:firstLineChars="200"/>
        <w:rPr>
          <w:rFonts w:asciiTheme="minorEastAsia" w:eastAsiaTheme="minorEastAsia" w:hAnsiTheme="minorEastAsia"/>
          <w:szCs w:val="21"/>
        </w:rPr>
      </w:pPr>
      <w:r w:rsidRPr="00533AE6">
        <w:rPr>
          <w:rFonts w:asciiTheme="minorEastAsia" w:eastAsiaTheme="minorEastAsia" w:hAnsiTheme="minorEastAsia"/>
        </w:rPr>
        <w:t>本基金份额持有人可通过基金管理人的客户服务中心查询历史交易记录。</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68" w:name="_Toc46933327"/>
      <w:r w:rsidRPr="00533AE6">
        <w:rPr>
          <w:rFonts w:asciiTheme="minorEastAsia" w:eastAsiaTheme="minorEastAsia" w:hAnsiTheme="minorEastAsia" w:hint="eastAsia"/>
          <w:b w:val="0"/>
          <w:bCs/>
        </w:rPr>
        <w:t>（三）基金份额持有人对帐单服务</w:t>
      </w:r>
      <w:bookmarkEnd w:id="268"/>
    </w:p>
    <w:p w:rsidR="00A579B1" w:rsidRPr="00533AE6" w:rsidRDefault="00A579B1" w:rsidP="005A15F8">
      <w:pPr>
        <w:pStyle w:val="ac"/>
        <w:autoSpaceDE w:val="0"/>
        <w:autoSpaceDN w:val="0"/>
        <w:adjustRightInd w:val="0"/>
        <w:snapToGrid w:val="0"/>
        <w:spacing w:after="0" w:line="360" w:lineRule="auto"/>
        <w:ind w:left="-420" w:firstLineChars="200"/>
        <w:rPr>
          <w:rFonts w:asciiTheme="minorEastAsia" w:eastAsiaTheme="minorEastAsia" w:hAnsiTheme="minorEastAsia"/>
          <w:szCs w:val="21"/>
        </w:rPr>
      </w:pPr>
      <w:r w:rsidRPr="00533AE6">
        <w:rPr>
          <w:rFonts w:asciiTheme="minorEastAsia" w:eastAsiaTheme="minorEastAsia" w:hAnsiTheme="minorEastAsia"/>
          <w:szCs w:val="21"/>
        </w:rPr>
        <w:t>1</w:t>
      </w:r>
      <w:r w:rsidR="007A6905"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基金份额持有人可登录本公司网站（</w:t>
      </w:r>
      <w:r w:rsidRPr="00533AE6">
        <w:rPr>
          <w:rFonts w:asciiTheme="minorEastAsia" w:eastAsiaTheme="minorEastAsia" w:hAnsiTheme="minorEastAsia"/>
          <w:szCs w:val="21"/>
        </w:rPr>
        <w:t>http://www.efunds.com.cn</w:t>
      </w:r>
      <w:r w:rsidRPr="00533AE6">
        <w:rPr>
          <w:rFonts w:asciiTheme="minorEastAsia" w:eastAsiaTheme="minorEastAsia" w:hAnsiTheme="minorEastAsia" w:hint="eastAsia"/>
          <w:szCs w:val="21"/>
        </w:rPr>
        <w:t>）查阅对账单。</w:t>
      </w:r>
    </w:p>
    <w:p w:rsidR="00A579B1" w:rsidRPr="00533AE6" w:rsidRDefault="00A579B1" w:rsidP="005A15F8">
      <w:pPr>
        <w:pStyle w:val="ac"/>
        <w:autoSpaceDE w:val="0"/>
        <w:autoSpaceDN w:val="0"/>
        <w:adjustRightInd w:val="0"/>
        <w:snapToGrid w:val="0"/>
        <w:spacing w:after="0" w:line="360" w:lineRule="auto"/>
        <w:ind w:left="-420" w:firstLineChars="200"/>
        <w:rPr>
          <w:rFonts w:asciiTheme="minorEastAsia" w:eastAsiaTheme="minorEastAsia" w:hAnsiTheme="minorEastAsia"/>
          <w:szCs w:val="21"/>
        </w:rPr>
      </w:pPr>
      <w:r w:rsidRPr="00533AE6">
        <w:rPr>
          <w:rFonts w:asciiTheme="minorEastAsia" w:eastAsiaTheme="minorEastAsia" w:hAnsiTheme="minorEastAsia"/>
          <w:szCs w:val="21"/>
        </w:rPr>
        <w:t>2</w:t>
      </w:r>
      <w:r w:rsidR="007A6905" w:rsidRPr="00533AE6">
        <w:rPr>
          <w:rFonts w:asciiTheme="minorEastAsia" w:eastAsiaTheme="minorEastAsia" w:hAnsiTheme="minorEastAsia" w:hint="eastAsia"/>
          <w:szCs w:val="21"/>
        </w:rPr>
        <w:t>、</w:t>
      </w:r>
      <w:r w:rsidRPr="00533AE6">
        <w:rPr>
          <w:rFonts w:asciiTheme="minorEastAsia" w:eastAsiaTheme="minorEastAsia" w:hAnsiTheme="minorEastAsia" w:hint="eastAsia"/>
          <w:szCs w:val="21"/>
        </w:rPr>
        <w:t>基金份额持有人也可向本公司定制电子对账单。</w:t>
      </w:r>
    </w:p>
    <w:p w:rsidR="0098655E" w:rsidRPr="00533AE6" w:rsidRDefault="0098655E"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hint="eastAsia"/>
          <w:szCs w:val="21"/>
        </w:rPr>
        <w:t>具体查阅和定制账单的方法可参见本公司网站或拨打客服热线咨询。</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69" w:name="_Toc46933328"/>
      <w:r w:rsidRPr="00533AE6">
        <w:rPr>
          <w:rFonts w:asciiTheme="minorEastAsia" w:eastAsiaTheme="minorEastAsia" w:hAnsiTheme="minorEastAsia" w:hint="eastAsia"/>
          <w:b w:val="0"/>
          <w:bCs/>
        </w:rPr>
        <w:t>（</w:t>
      </w:r>
      <w:r w:rsidR="0035667A" w:rsidRPr="00533AE6">
        <w:rPr>
          <w:rFonts w:asciiTheme="minorEastAsia" w:eastAsiaTheme="minorEastAsia" w:hAnsiTheme="minorEastAsia" w:hint="eastAsia"/>
          <w:b w:val="0"/>
          <w:bCs/>
        </w:rPr>
        <w:t>四</w:t>
      </w:r>
      <w:r w:rsidRPr="00533AE6">
        <w:rPr>
          <w:rFonts w:asciiTheme="minorEastAsia" w:eastAsiaTheme="minorEastAsia" w:hAnsiTheme="minorEastAsia" w:hint="eastAsia"/>
          <w:b w:val="0"/>
          <w:bCs/>
        </w:rPr>
        <w:t>）定期定额投资计划</w:t>
      </w:r>
      <w:bookmarkEnd w:id="269"/>
    </w:p>
    <w:p w:rsidR="007B7355" w:rsidRPr="00533AE6" w:rsidRDefault="007E7B9F"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266A27" w:rsidRPr="00533AE6" w:rsidRDefault="00266A27" w:rsidP="005A15F8">
      <w:pPr>
        <w:pStyle w:val="20"/>
        <w:snapToGrid w:val="0"/>
        <w:spacing w:beforeLines="0" w:afterLines="0" w:line="360" w:lineRule="auto"/>
        <w:ind w:left="-420" w:firstLineChars="0" w:firstLine="0"/>
        <w:rPr>
          <w:rFonts w:asciiTheme="minorEastAsia" w:eastAsiaTheme="minorEastAsia" w:hAnsiTheme="minorEastAsia"/>
          <w:b w:val="0"/>
          <w:bCs/>
        </w:rPr>
      </w:pPr>
      <w:bookmarkStart w:id="270" w:name="_Toc46933329"/>
      <w:r w:rsidRPr="00533AE6">
        <w:rPr>
          <w:rFonts w:asciiTheme="minorEastAsia" w:eastAsiaTheme="minorEastAsia" w:hAnsiTheme="minorEastAsia" w:hint="eastAsia"/>
          <w:b w:val="0"/>
          <w:bCs/>
        </w:rPr>
        <w:t>（</w:t>
      </w:r>
      <w:r w:rsidR="0035667A" w:rsidRPr="00533AE6">
        <w:rPr>
          <w:rFonts w:asciiTheme="minorEastAsia" w:eastAsiaTheme="minorEastAsia" w:hAnsiTheme="minorEastAsia" w:hint="eastAsia"/>
          <w:b w:val="0"/>
          <w:bCs/>
        </w:rPr>
        <w:t>五</w:t>
      </w:r>
      <w:r w:rsidRPr="00533AE6">
        <w:rPr>
          <w:rFonts w:asciiTheme="minorEastAsia" w:eastAsiaTheme="minorEastAsia" w:hAnsiTheme="minorEastAsia" w:hint="eastAsia"/>
          <w:b w:val="0"/>
          <w:bCs/>
        </w:rPr>
        <w:t>）资讯服务</w:t>
      </w:r>
      <w:bookmarkEnd w:id="270"/>
    </w:p>
    <w:p w:rsidR="00896494" w:rsidRPr="00533AE6" w:rsidRDefault="00E06EC4">
      <w:pPr>
        <w:pStyle w:val="ac"/>
        <w:autoSpaceDE w:val="0"/>
        <w:autoSpaceDN w:val="0"/>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1、客户服务电话</w:t>
      </w:r>
    </w:p>
    <w:p w:rsidR="00896494" w:rsidRPr="00533AE6" w:rsidRDefault="00E06EC4">
      <w:pPr>
        <w:pStyle w:val="ac"/>
        <w:autoSpaceDE w:val="0"/>
        <w:autoSpaceDN w:val="0"/>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投资者如果想了解申购与赎回的交易情况、基金账户余额、基金产品与服务等信息，或反馈投资过程中需要投诉与建议的情况，可拨打如下电话：4008818088（免长途话费）。投资者如果认为自己不能准确理解本基金《招募说明书》、《基金合同》的具体内容，也可拨打上述电话详询。</w:t>
      </w:r>
    </w:p>
    <w:p w:rsidR="00896494" w:rsidRPr="00533AE6" w:rsidRDefault="00E06EC4">
      <w:pPr>
        <w:pStyle w:val="ac"/>
        <w:autoSpaceDE w:val="0"/>
        <w:autoSpaceDN w:val="0"/>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2、互联网站及电子信箱</w:t>
      </w:r>
    </w:p>
    <w:p w:rsidR="00896494" w:rsidRPr="00533AE6" w:rsidRDefault="00E06EC4">
      <w:pPr>
        <w:pStyle w:val="ac"/>
        <w:autoSpaceDE w:val="0"/>
        <w:autoSpaceDN w:val="0"/>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网址：http://www.efunds.com.cn</w:t>
      </w:r>
    </w:p>
    <w:p w:rsidR="007E7B9F" w:rsidRPr="00533AE6" w:rsidRDefault="007E7B9F" w:rsidP="005A15F8">
      <w:pPr>
        <w:pStyle w:val="ac"/>
        <w:autoSpaceDE w:val="0"/>
        <w:autoSpaceDN w:val="0"/>
        <w:snapToGrid w:val="0"/>
        <w:spacing w:after="0" w:line="360" w:lineRule="auto"/>
        <w:ind w:left="-420" w:firstLineChars="200"/>
        <w:rPr>
          <w:rFonts w:asciiTheme="minorEastAsia" w:eastAsiaTheme="minorEastAsia" w:hAnsiTheme="minorEastAsia"/>
        </w:rPr>
      </w:pPr>
      <w:r w:rsidRPr="00533AE6">
        <w:rPr>
          <w:rFonts w:asciiTheme="minorEastAsia" w:eastAsiaTheme="minorEastAsia" w:hAnsiTheme="minorEastAsia"/>
        </w:rPr>
        <w:t>电子信箱：service@efunds.com.cn</w:t>
      </w:r>
      <w:r w:rsidRPr="00533AE6">
        <w:rPr>
          <w:rFonts w:asciiTheme="minorEastAsia" w:eastAsiaTheme="minorEastAsia" w:hAnsiTheme="minorEastAsia"/>
        </w:rPr>
        <w:br w:type="page"/>
      </w:r>
    </w:p>
    <w:p w:rsidR="00BB7EBF" w:rsidRPr="00533AE6" w:rsidRDefault="00F17377" w:rsidP="005A15F8">
      <w:pPr>
        <w:pStyle w:val="1"/>
        <w:tabs>
          <w:tab w:val="center" w:pos="4139"/>
          <w:tab w:val="left" w:pos="7065"/>
        </w:tabs>
        <w:snapToGrid w:val="0"/>
        <w:spacing w:beforeLines="0" w:afterLines="0" w:line="360" w:lineRule="auto"/>
        <w:ind w:left="-420" w:firstLineChars="0" w:firstLine="0"/>
        <w:jc w:val="left"/>
        <w:rPr>
          <w:rFonts w:asciiTheme="minorEastAsia" w:eastAsiaTheme="minorEastAsia" w:hAnsiTheme="minorEastAsia"/>
          <w:bCs/>
        </w:rPr>
      </w:pPr>
      <w:bookmarkStart w:id="271" w:name="_Toc38438275"/>
      <w:bookmarkStart w:id="272" w:name="_Toc38438612"/>
      <w:bookmarkStart w:id="273" w:name="_Toc38438949"/>
      <w:bookmarkStart w:id="274" w:name="_Toc38439286"/>
      <w:bookmarkStart w:id="275" w:name="_Toc38439623"/>
      <w:bookmarkStart w:id="276" w:name="_Toc38439960"/>
      <w:bookmarkStart w:id="277" w:name="_Toc38440297"/>
      <w:bookmarkStart w:id="278" w:name="_Toc38440630"/>
      <w:bookmarkStart w:id="279" w:name="_Toc38440829"/>
      <w:bookmarkStart w:id="280" w:name="_Toc38441161"/>
      <w:bookmarkStart w:id="281" w:name="_Toc38441493"/>
      <w:bookmarkStart w:id="282" w:name="_Toc38441821"/>
      <w:bookmarkStart w:id="283" w:name="_Toc38442153"/>
      <w:bookmarkStart w:id="284" w:name="_Toc38442485"/>
      <w:bookmarkStart w:id="285" w:name="_Toc38442816"/>
      <w:bookmarkStart w:id="286" w:name="_Toc38443147"/>
      <w:bookmarkStart w:id="287" w:name="_Toc38443478"/>
      <w:bookmarkStart w:id="288" w:name="_Toc38443809"/>
      <w:bookmarkStart w:id="289" w:name="_Toc38438277"/>
      <w:bookmarkStart w:id="290" w:name="_Toc38438614"/>
      <w:bookmarkStart w:id="291" w:name="_Toc38438951"/>
      <w:bookmarkStart w:id="292" w:name="_Toc38439288"/>
      <w:bookmarkStart w:id="293" w:name="_Toc38439625"/>
      <w:bookmarkStart w:id="294" w:name="_Toc38439962"/>
      <w:bookmarkStart w:id="295" w:name="_Toc38440299"/>
      <w:bookmarkStart w:id="296" w:name="_Toc38440632"/>
      <w:bookmarkStart w:id="297" w:name="_Toc38440831"/>
      <w:bookmarkStart w:id="298" w:name="_Toc38441163"/>
      <w:bookmarkStart w:id="299" w:name="_Toc38441495"/>
      <w:bookmarkStart w:id="300" w:name="_Toc38441823"/>
      <w:bookmarkStart w:id="301" w:name="_Toc38442155"/>
      <w:bookmarkStart w:id="302" w:name="_Toc38442487"/>
      <w:bookmarkStart w:id="303" w:name="_Toc38442818"/>
      <w:bookmarkStart w:id="304" w:name="_Toc38443149"/>
      <w:bookmarkStart w:id="305" w:name="_Toc38443480"/>
      <w:bookmarkStart w:id="306" w:name="_Toc38443811"/>
      <w:bookmarkStart w:id="307" w:name="_Toc38438278"/>
      <w:bookmarkStart w:id="308" w:name="_Toc38438615"/>
      <w:bookmarkStart w:id="309" w:name="_Toc38438952"/>
      <w:bookmarkStart w:id="310" w:name="_Toc38439289"/>
      <w:bookmarkStart w:id="311" w:name="_Toc38439626"/>
      <w:bookmarkStart w:id="312" w:name="_Toc38439963"/>
      <w:bookmarkStart w:id="313" w:name="_Toc38440300"/>
      <w:bookmarkStart w:id="314" w:name="_Toc38440633"/>
      <w:bookmarkStart w:id="315" w:name="_Toc38440832"/>
      <w:bookmarkStart w:id="316" w:name="_Toc38441164"/>
      <w:bookmarkStart w:id="317" w:name="_Toc38441496"/>
      <w:bookmarkStart w:id="318" w:name="_Toc38441824"/>
      <w:bookmarkStart w:id="319" w:name="_Toc38442156"/>
      <w:bookmarkStart w:id="320" w:name="_Toc38442488"/>
      <w:bookmarkStart w:id="321" w:name="_Toc38442819"/>
      <w:bookmarkStart w:id="322" w:name="_Toc38443150"/>
      <w:bookmarkStart w:id="323" w:name="_Toc38443481"/>
      <w:bookmarkStart w:id="324" w:name="_Toc38443812"/>
      <w:bookmarkStart w:id="325" w:name="_Toc38438279"/>
      <w:bookmarkStart w:id="326" w:name="_Toc38438616"/>
      <w:bookmarkStart w:id="327" w:name="_Toc38438953"/>
      <w:bookmarkStart w:id="328" w:name="_Toc38439290"/>
      <w:bookmarkStart w:id="329" w:name="_Toc38439627"/>
      <w:bookmarkStart w:id="330" w:name="_Toc38439964"/>
      <w:bookmarkStart w:id="331" w:name="_Toc38440301"/>
      <w:bookmarkStart w:id="332" w:name="_Toc38440634"/>
      <w:bookmarkStart w:id="333" w:name="_Toc38440833"/>
      <w:bookmarkStart w:id="334" w:name="_Toc38441165"/>
      <w:bookmarkStart w:id="335" w:name="_Toc38441497"/>
      <w:bookmarkStart w:id="336" w:name="_Toc38441825"/>
      <w:bookmarkStart w:id="337" w:name="_Toc38442157"/>
      <w:bookmarkStart w:id="338" w:name="_Toc38442489"/>
      <w:bookmarkStart w:id="339" w:name="_Toc38442820"/>
      <w:bookmarkStart w:id="340" w:name="_Toc38443151"/>
      <w:bookmarkStart w:id="341" w:name="_Toc38443482"/>
      <w:bookmarkStart w:id="342" w:name="_Toc38443813"/>
      <w:bookmarkStart w:id="343" w:name="_Toc38438280"/>
      <w:bookmarkStart w:id="344" w:name="_Toc38438617"/>
      <w:bookmarkStart w:id="345" w:name="_Toc38438954"/>
      <w:bookmarkStart w:id="346" w:name="_Toc38439291"/>
      <w:bookmarkStart w:id="347" w:name="_Toc38439628"/>
      <w:bookmarkStart w:id="348" w:name="_Toc38439965"/>
      <w:bookmarkStart w:id="349" w:name="_Toc38440302"/>
      <w:bookmarkStart w:id="350" w:name="_Toc38440635"/>
      <w:bookmarkStart w:id="351" w:name="_Toc38440834"/>
      <w:bookmarkStart w:id="352" w:name="_Toc38441166"/>
      <w:bookmarkStart w:id="353" w:name="_Toc38441498"/>
      <w:bookmarkStart w:id="354" w:name="_Toc38441826"/>
      <w:bookmarkStart w:id="355" w:name="_Toc38442158"/>
      <w:bookmarkStart w:id="356" w:name="_Toc38442490"/>
      <w:bookmarkStart w:id="357" w:name="_Toc38442821"/>
      <w:bookmarkStart w:id="358" w:name="_Toc38443152"/>
      <w:bookmarkStart w:id="359" w:name="_Toc38443483"/>
      <w:bookmarkStart w:id="360" w:name="_Toc38443814"/>
      <w:bookmarkStart w:id="361" w:name="_Toc38438281"/>
      <w:bookmarkStart w:id="362" w:name="_Toc38438618"/>
      <w:bookmarkStart w:id="363" w:name="_Toc38438955"/>
      <w:bookmarkStart w:id="364" w:name="_Toc38439292"/>
      <w:bookmarkStart w:id="365" w:name="_Toc38439629"/>
      <w:bookmarkStart w:id="366" w:name="_Toc38439966"/>
      <w:bookmarkStart w:id="367" w:name="_Toc38440303"/>
      <w:bookmarkStart w:id="368" w:name="_Toc38440636"/>
      <w:bookmarkStart w:id="369" w:name="_Toc38440835"/>
      <w:bookmarkStart w:id="370" w:name="_Toc38441167"/>
      <w:bookmarkStart w:id="371" w:name="_Toc38441499"/>
      <w:bookmarkStart w:id="372" w:name="_Toc38441827"/>
      <w:bookmarkStart w:id="373" w:name="_Toc38442159"/>
      <w:bookmarkStart w:id="374" w:name="_Toc38442491"/>
      <w:bookmarkStart w:id="375" w:name="_Toc38442822"/>
      <w:bookmarkStart w:id="376" w:name="_Toc38443153"/>
      <w:bookmarkStart w:id="377" w:name="_Toc38443484"/>
      <w:bookmarkStart w:id="378" w:name="_Toc38443815"/>
      <w:bookmarkStart w:id="379" w:name="_Toc38438282"/>
      <w:bookmarkStart w:id="380" w:name="_Toc38438619"/>
      <w:bookmarkStart w:id="381" w:name="_Toc38438956"/>
      <w:bookmarkStart w:id="382" w:name="_Toc38439293"/>
      <w:bookmarkStart w:id="383" w:name="_Toc38439630"/>
      <w:bookmarkStart w:id="384" w:name="_Toc38439967"/>
      <w:bookmarkStart w:id="385" w:name="_Toc38440304"/>
      <w:bookmarkStart w:id="386" w:name="_Toc38440637"/>
      <w:bookmarkStart w:id="387" w:name="_Toc38440836"/>
      <w:bookmarkStart w:id="388" w:name="_Toc38441168"/>
      <w:bookmarkStart w:id="389" w:name="_Toc38441500"/>
      <w:bookmarkStart w:id="390" w:name="_Toc38441828"/>
      <w:bookmarkStart w:id="391" w:name="_Toc38442160"/>
      <w:bookmarkStart w:id="392" w:name="_Toc38442492"/>
      <w:bookmarkStart w:id="393" w:name="_Toc38442823"/>
      <w:bookmarkStart w:id="394" w:name="_Toc38443154"/>
      <w:bookmarkStart w:id="395" w:name="_Toc38443485"/>
      <w:bookmarkStart w:id="396" w:name="_Toc38443816"/>
      <w:bookmarkStart w:id="397" w:name="_Toc38438283"/>
      <w:bookmarkStart w:id="398" w:name="_Toc38438620"/>
      <w:bookmarkStart w:id="399" w:name="_Toc38438957"/>
      <w:bookmarkStart w:id="400" w:name="_Toc38439294"/>
      <w:bookmarkStart w:id="401" w:name="_Toc38439631"/>
      <w:bookmarkStart w:id="402" w:name="_Toc38439968"/>
      <w:bookmarkStart w:id="403" w:name="_Toc38440305"/>
      <w:bookmarkStart w:id="404" w:name="_Toc38440638"/>
      <w:bookmarkStart w:id="405" w:name="_Toc38440837"/>
      <w:bookmarkStart w:id="406" w:name="_Toc38441169"/>
      <w:bookmarkStart w:id="407" w:name="_Toc38441501"/>
      <w:bookmarkStart w:id="408" w:name="_Toc38441829"/>
      <w:bookmarkStart w:id="409" w:name="_Toc38442161"/>
      <w:bookmarkStart w:id="410" w:name="_Toc38442493"/>
      <w:bookmarkStart w:id="411" w:name="_Toc38442824"/>
      <w:bookmarkStart w:id="412" w:name="_Toc38443155"/>
      <w:bookmarkStart w:id="413" w:name="_Toc38443486"/>
      <w:bookmarkStart w:id="414" w:name="_Toc38443817"/>
      <w:bookmarkStart w:id="415" w:name="_Toc38438284"/>
      <w:bookmarkStart w:id="416" w:name="_Toc38438621"/>
      <w:bookmarkStart w:id="417" w:name="_Toc38438958"/>
      <w:bookmarkStart w:id="418" w:name="_Toc38439295"/>
      <w:bookmarkStart w:id="419" w:name="_Toc38439632"/>
      <w:bookmarkStart w:id="420" w:name="_Toc38439969"/>
      <w:bookmarkStart w:id="421" w:name="_Toc38440306"/>
      <w:bookmarkStart w:id="422" w:name="_Toc38440639"/>
      <w:bookmarkStart w:id="423" w:name="_Toc38440838"/>
      <w:bookmarkStart w:id="424" w:name="_Toc38441170"/>
      <w:bookmarkStart w:id="425" w:name="_Toc38441502"/>
      <w:bookmarkStart w:id="426" w:name="_Toc38441830"/>
      <w:bookmarkStart w:id="427" w:name="_Toc38442162"/>
      <w:bookmarkStart w:id="428" w:name="_Toc38442494"/>
      <w:bookmarkStart w:id="429" w:name="_Toc38442825"/>
      <w:bookmarkStart w:id="430" w:name="_Toc38443156"/>
      <w:bookmarkStart w:id="431" w:name="_Toc38443487"/>
      <w:bookmarkStart w:id="432" w:name="_Toc38443818"/>
      <w:bookmarkStart w:id="433" w:name="_Toc38438285"/>
      <w:bookmarkStart w:id="434" w:name="_Toc38438622"/>
      <w:bookmarkStart w:id="435" w:name="_Toc38438959"/>
      <w:bookmarkStart w:id="436" w:name="_Toc38439296"/>
      <w:bookmarkStart w:id="437" w:name="_Toc38439633"/>
      <w:bookmarkStart w:id="438" w:name="_Toc38439970"/>
      <w:bookmarkStart w:id="439" w:name="_Toc38440307"/>
      <w:bookmarkStart w:id="440" w:name="_Toc38440640"/>
      <w:bookmarkStart w:id="441" w:name="_Toc38440839"/>
      <w:bookmarkStart w:id="442" w:name="_Toc38441171"/>
      <w:bookmarkStart w:id="443" w:name="_Toc38441503"/>
      <w:bookmarkStart w:id="444" w:name="_Toc38441831"/>
      <w:bookmarkStart w:id="445" w:name="_Toc38442163"/>
      <w:bookmarkStart w:id="446" w:name="_Toc38442495"/>
      <w:bookmarkStart w:id="447" w:name="_Toc38442826"/>
      <w:bookmarkStart w:id="448" w:name="_Toc38443157"/>
      <w:bookmarkStart w:id="449" w:name="_Toc38443488"/>
      <w:bookmarkStart w:id="450" w:name="_Toc38443819"/>
      <w:bookmarkStart w:id="451" w:name="_Toc38438286"/>
      <w:bookmarkStart w:id="452" w:name="_Toc38438623"/>
      <w:bookmarkStart w:id="453" w:name="_Toc38438960"/>
      <w:bookmarkStart w:id="454" w:name="_Toc38439297"/>
      <w:bookmarkStart w:id="455" w:name="_Toc38439634"/>
      <w:bookmarkStart w:id="456" w:name="_Toc38439971"/>
      <w:bookmarkStart w:id="457" w:name="_Toc38440308"/>
      <w:bookmarkStart w:id="458" w:name="_Toc38440641"/>
      <w:bookmarkStart w:id="459" w:name="_Toc38440840"/>
      <w:bookmarkStart w:id="460" w:name="_Toc38441172"/>
      <w:bookmarkStart w:id="461" w:name="_Toc38441504"/>
      <w:bookmarkStart w:id="462" w:name="_Toc38441832"/>
      <w:bookmarkStart w:id="463" w:name="_Toc38442164"/>
      <w:bookmarkStart w:id="464" w:name="_Toc38442496"/>
      <w:bookmarkStart w:id="465" w:name="_Toc38442827"/>
      <w:bookmarkStart w:id="466" w:name="_Toc38443158"/>
      <w:bookmarkStart w:id="467" w:name="_Toc38443489"/>
      <w:bookmarkStart w:id="468" w:name="_Toc38443820"/>
      <w:bookmarkStart w:id="469" w:name="_Toc38438287"/>
      <w:bookmarkStart w:id="470" w:name="_Toc38438624"/>
      <w:bookmarkStart w:id="471" w:name="_Toc38438961"/>
      <w:bookmarkStart w:id="472" w:name="_Toc38439298"/>
      <w:bookmarkStart w:id="473" w:name="_Toc38439635"/>
      <w:bookmarkStart w:id="474" w:name="_Toc38439972"/>
      <w:bookmarkStart w:id="475" w:name="_Toc38440309"/>
      <w:bookmarkStart w:id="476" w:name="_Toc38440642"/>
      <w:bookmarkStart w:id="477" w:name="_Toc38440841"/>
      <w:bookmarkStart w:id="478" w:name="_Toc38441173"/>
      <w:bookmarkStart w:id="479" w:name="_Toc38441505"/>
      <w:bookmarkStart w:id="480" w:name="_Toc38441833"/>
      <w:bookmarkStart w:id="481" w:name="_Toc38442165"/>
      <w:bookmarkStart w:id="482" w:name="_Toc38442497"/>
      <w:bookmarkStart w:id="483" w:name="_Toc38442828"/>
      <w:bookmarkStart w:id="484" w:name="_Toc38443159"/>
      <w:bookmarkStart w:id="485" w:name="_Toc38443490"/>
      <w:bookmarkStart w:id="486" w:name="_Toc38443821"/>
      <w:bookmarkStart w:id="487" w:name="_Toc38438288"/>
      <w:bookmarkStart w:id="488" w:name="_Toc38438625"/>
      <w:bookmarkStart w:id="489" w:name="_Toc38438962"/>
      <w:bookmarkStart w:id="490" w:name="_Toc38439299"/>
      <w:bookmarkStart w:id="491" w:name="_Toc38439636"/>
      <w:bookmarkStart w:id="492" w:name="_Toc38439973"/>
      <w:bookmarkStart w:id="493" w:name="_Toc38440310"/>
      <w:bookmarkStart w:id="494" w:name="_Toc38440643"/>
      <w:bookmarkStart w:id="495" w:name="_Toc38440842"/>
      <w:bookmarkStart w:id="496" w:name="_Toc38441174"/>
      <w:bookmarkStart w:id="497" w:name="_Toc38441506"/>
      <w:bookmarkStart w:id="498" w:name="_Toc38441834"/>
      <w:bookmarkStart w:id="499" w:name="_Toc38442166"/>
      <w:bookmarkStart w:id="500" w:name="_Toc38442498"/>
      <w:bookmarkStart w:id="501" w:name="_Toc38442829"/>
      <w:bookmarkStart w:id="502" w:name="_Toc38443160"/>
      <w:bookmarkStart w:id="503" w:name="_Toc38443491"/>
      <w:bookmarkStart w:id="504" w:name="_Toc38443822"/>
      <w:bookmarkStart w:id="505" w:name="_Toc38438289"/>
      <w:bookmarkStart w:id="506" w:name="_Toc38438626"/>
      <w:bookmarkStart w:id="507" w:name="_Toc38438963"/>
      <w:bookmarkStart w:id="508" w:name="_Toc38439300"/>
      <w:bookmarkStart w:id="509" w:name="_Toc38439637"/>
      <w:bookmarkStart w:id="510" w:name="_Toc38439974"/>
      <w:bookmarkStart w:id="511" w:name="_Toc38440311"/>
      <w:bookmarkStart w:id="512" w:name="_Toc38440644"/>
      <w:bookmarkStart w:id="513" w:name="_Toc38440843"/>
      <w:bookmarkStart w:id="514" w:name="_Toc38441175"/>
      <w:bookmarkStart w:id="515" w:name="_Toc38441507"/>
      <w:bookmarkStart w:id="516" w:name="_Toc38441835"/>
      <w:bookmarkStart w:id="517" w:name="_Toc38442167"/>
      <w:bookmarkStart w:id="518" w:name="_Toc38442499"/>
      <w:bookmarkStart w:id="519" w:name="_Toc38442830"/>
      <w:bookmarkStart w:id="520" w:name="_Toc38443161"/>
      <w:bookmarkStart w:id="521" w:name="_Toc38443492"/>
      <w:bookmarkStart w:id="522" w:name="_Toc38443823"/>
      <w:bookmarkStart w:id="523" w:name="_Toc38438290"/>
      <w:bookmarkStart w:id="524" w:name="_Toc38438627"/>
      <w:bookmarkStart w:id="525" w:name="_Toc38438964"/>
      <w:bookmarkStart w:id="526" w:name="_Toc38439301"/>
      <w:bookmarkStart w:id="527" w:name="_Toc38439638"/>
      <w:bookmarkStart w:id="528" w:name="_Toc38439975"/>
      <w:bookmarkStart w:id="529" w:name="_Toc38440312"/>
      <w:bookmarkStart w:id="530" w:name="_Toc38440645"/>
      <w:bookmarkStart w:id="531" w:name="_Toc38440844"/>
      <w:bookmarkStart w:id="532" w:name="_Toc38441176"/>
      <w:bookmarkStart w:id="533" w:name="_Toc38441508"/>
      <w:bookmarkStart w:id="534" w:name="_Toc38441836"/>
      <w:bookmarkStart w:id="535" w:name="_Toc38442168"/>
      <w:bookmarkStart w:id="536" w:name="_Toc38442500"/>
      <w:bookmarkStart w:id="537" w:name="_Toc38442831"/>
      <w:bookmarkStart w:id="538" w:name="_Toc38443162"/>
      <w:bookmarkStart w:id="539" w:name="_Toc38443493"/>
      <w:bookmarkStart w:id="540" w:name="_Toc38443824"/>
      <w:bookmarkStart w:id="541" w:name="_Toc38438291"/>
      <w:bookmarkStart w:id="542" w:name="_Toc38438628"/>
      <w:bookmarkStart w:id="543" w:name="_Toc38438965"/>
      <w:bookmarkStart w:id="544" w:name="_Toc38439302"/>
      <w:bookmarkStart w:id="545" w:name="_Toc38439639"/>
      <w:bookmarkStart w:id="546" w:name="_Toc38439976"/>
      <w:bookmarkStart w:id="547" w:name="_Toc38440313"/>
      <w:bookmarkStart w:id="548" w:name="_Toc38440646"/>
      <w:bookmarkStart w:id="549" w:name="_Toc38440845"/>
      <w:bookmarkStart w:id="550" w:name="_Toc38441177"/>
      <w:bookmarkStart w:id="551" w:name="_Toc38441509"/>
      <w:bookmarkStart w:id="552" w:name="_Toc38441837"/>
      <w:bookmarkStart w:id="553" w:name="_Toc38442169"/>
      <w:bookmarkStart w:id="554" w:name="_Toc38442501"/>
      <w:bookmarkStart w:id="555" w:name="_Toc38442832"/>
      <w:bookmarkStart w:id="556" w:name="_Toc38443163"/>
      <w:bookmarkStart w:id="557" w:name="_Toc38443494"/>
      <w:bookmarkStart w:id="558" w:name="_Toc38443825"/>
      <w:bookmarkStart w:id="559" w:name="_Toc38438292"/>
      <w:bookmarkStart w:id="560" w:name="_Toc38438629"/>
      <w:bookmarkStart w:id="561" w:name="_Toc38438966"/>
      <w:bookmarkStart w:id="562" w:name="_Toc38439303"/>
      <w:bookmarkStart w:id="563" w:name="_Toc38439640"/>
      <w:bookmarkStart w:id="564" w:name="_Toc38439977"/>
      <w:bookmarkStart w:id="565" w:name="_Toc38440314"/>
      <w:bookmarkStart w:id="566" w:name="_Toc38440647"/>
      <w:bookmarkStart w:id="567" w:name="_Toc38440846"/>
      <w:bookmarkStart w:id="568" w:name="_Toc38441178"/>
      <w:bookmarkStart w:id="569" w:name="_Toc38441510"/>
      <w:bookmarkStart w:id="570" w:name="_Toc38441838"/>
      <w:bookmarkStart w:id="571" w:name="_Toc38442170"/>
      <w:bookmarkStart w:id="572" w:name="_Toc38442502"/>
      <w:bookmarkStart w:id="573" w:name="_Toc38442833"/>
      <w:bookmarkStart w:id="574" w:name="_Toc38443164"/>
      <w:bookmarkStart w:id="575" w:name="_Toc38443495"/>
      <w:bookmarkStart w:id="576" w:name="_Toc38443826"/>
      <w:bookmarkStart w:id="577" w:name="_Toc38438293"/>
      <w:bookmarkStart w:id="578" w:name="_Toc38438630"/>
      <w:bookmarkStart w:id="579" w:name="_Toc38438967"/>
      <w:bookmarkStart w:id="580" w:name="_Toc38439304"/>
      <w:bookmarkStart w:id="581" w:name="_Toc38439641"/>
      <w:bookmarkStart w:id="582" w:name="_Toc38439978"/>
      <w:bookmarkStart w:id="583" w:name="_Toc38440315"/>
      <w:bookmarkStart w:id="584" w:name="_Toc38440648"/>
      <w:bookmarkStart w:id="585" w:name="_Toc38440847"/>
      <w:bookmarkStart w:id="586" w:name="_Toc38441179"/>
      <w:bookmarkStart w:id="587" w:name="_Toc38441511"/>
      <w:bookmarkStart w:id="588" w:name="_Toc38441839"/>
      <w:bookmarkStart w:id="589" w:name="_Toc38442171"/>
      <w:bookmarkStart w:id="590" w:name="_Toc38442503"/>
      <w:bookmarkStart w:id="591" w:name="_Toc38442834"/>
      <w:bookmarkStart w:id="592" w:name="_Toc38443165"/>
      <w:bookmarkStart w:id="593" w:name="_Toc38443496"/>
      <w:bookmarkStart w:id="594" w:name="_Toc38443827"/>
      <w:bookmarkStart w:id="595" w:name="_Toc38438296"/>
      <w:bookmarkStart w:id="596" w:name="_Toc38438633"/>
      <w:bookmarkStart w:id="597" w:name="_Toc38438970"/>
      <w:bookmarkStart w:id="598" w:name="_Toc38439307"/>
      <w:bookmarkStart w:id="599" w:name="_Toc38439644"/>
      <w:bookmarkStart w:id="600" w:name="_Toc38439981"/>
      <w:bookmarkStart w:id="601" w:name="_Toc38440318"/>
      <w:bookmarkStart w:id="602" w:name="_Toc38440651"/>
      <w:bookmarkStart w:id="603" w:name="_Toc38440850"/>
      <w:bookmarkStart w:id="604" w:name="_Toc38441182"/>
      <w:bookmarkStart w:id="605" w:name="_Toc38441514"/>
      <w:bookmarkStart w:id="606" w:name="_Toc38441842"/>
      <w:bookmarkStart w:id="607" w:name="_Toc38442174"/>
      <w:bookmarkStart w:id="608" w:name="_Toc38442506"/>
      <w:bookmarkStart w:id="609" w:name="_Toc38442837"/>
      <w:bookmarkStart w:id="610" w:name="_Toc38443168"/>
      <w:bookmarkStart w:id="611" w:name="_Toc38443499"/>
      <w:bookmarkStart w:id="612" w:name="_Toc38443830"/>
      <w:bookmarkStart w:id="613" w:name="_Toc38438297"/>
      <w:bookmarkStart w:id="614" w:name="_Toc38438634"/>
      <w:bookmarkStart w:id="615" w:name="_Toc38438971"/>
      <w:bookmarkStart w:id="616" w:name="_Toc38439308"/>
      <w:bookmarkStart w:id="617" w:name="_Toc38439645"/>
      <w:bookmarkStart w:id="618" w:name="_Toc38439982"/>
      <w:bookmarkStart w:id="619" w:name="_Toc38440319"/>
      <w:bookmarkStart w:id="620" w:name="_Toc38440652"/>
      <w:bookmarkStart w:id="621" w:name="_Toc38440851"/>
      <w:bookmarkStart w:id="622" w:name="_Toc38441183"/>
      <w:bookmarkStart w:id="623" w:name="_Toc38441515"/>
      <w:bookmarkStart w:id="624" w:name="_Toc38441843"/>
      <w:bookmarkStart w:id="625" w:name="_Toc38442175"/>
      <w:bookmarkStart w:id="626" w:name="_Toc38442507"/>
      <w:bookmarkStart w:id="627" w:name="_Toc38442838"/>
      <w:bookmarkStart w:id="628" w:name="_Toc38443169"/>
      <w:bookmarkStart w:id="629" w:name="_Toc38443500"/>
      <w:bookmarkStart w:id="630" w:name="_Toc38443831"/>
      <w:bookmarkStart w:id="631" w:name="_Toc38438298"/>
      <w:bookmarkStart w:id="632" w:name="_Toc38438635"/>
      <w:bookmarkStart w:id="633" w:name="_Toc38438972"/>
      <w:bookmarkStart w:id="634" w:name="_Toc38439309"/>
      <w:bookmarkStart w:id="635" w:name="_Toc38439646"/>
      <w:bookmarkStart w:id="636" w:name="_Toc38439983"/>
      <w:bookmarkStart w:id="637" w:name="_Toc38440320"/>
      <w:bookmarkStart w:id="638" w:name="_Toc38440653"/>
      <w:bookmarkStart w:id="639" w:name="_Toc38440852"/>
      <w:bookmarkStart w:id="640" w:name="_Toc38441184"/>
      <w:bookmarkStart w:id="641" w:name="_Toc38441516"/>
      <w:bookmarkStart w:id="642" w:name="_Toc38441844"/>
      <w:bookmarkStart w:id="643" w:name="_Toc38442176"/>
      <w:bookmarkStart w:id="644" w:name="_Toc38442508"/>
      <w:bookmarkStart w:id="645" w:name="_Toc38442839"/>
      <w:bookmarkStart w:id="646" w:name="_Toc38443170"/>
      <w:bookmarkStart w:id="647" w:name="_Toc38443501"/>
      <w:bookmarkStart w:id="648" w:name="_Toc38443832"/>
      <w:bookmarkStart w:id="649" w:name="_Toc38438299"/>
      <w:bookmarkStart w:id="650" w:name="_Toc38438636"/>
      <w:bookmarkStart w:id="651" w:name="_Toc38438973"/>
      <w:bookmarkStart w:id="652" w:name="_Toc38439310"/>
      <w:bookmarkStart w:id="653" w:name="_Toc38439647"/>
      <w:bookmarkStart w:id="654" w:name="_Toc38439984"/>
      <w:bookmarkStart w:id="655" w:name="_Toc38440321"/>
      <w:bookmarkStart w:id="656" w:name="_Toc38440654"/>
      <w:bookmarkStart w:id="657" w:name="_Toc38440853"/>
      <w:bookmarkStart w:id="658" w:name="_Toc38441185"/>
      <w:bookmarkStart w:id="659" w:name="_Toc38441517"/>
      <w:bookmarkStart w:id="660" w:name="_Toc38441845"/>
      <w:bookmarkStart w:id="661" w:name="_Toc38442177"/>
      <w:bookmarkStart w:id="662" w:name="_Toc38442509"/>
      <w:bookmarkStart w:id="663" w:name="_Toc38442840"/>
      <w:bookmarkStart w:id="664" w:name="_Toc38443171"/>
      <w:bookmarkStart w:id="665" w:name="_Toc38443502"/>
      <w:bookmarkStart w:id="666" w:name="_Toc38443833"/>
      <w:bookmarkStart w:id="667" w:name="_Toc38438301"/>
      <w:bookmarkStart w:id="668" w:name="_Toc38438638"/>
      <w:bookmarkStart w:id="669" w:name="_Toc38438975"/>
      <w:bookmarkStart w:id="670" w:name="_Toc38439312"/>
      <w:bookmarkStart w:id="671" w:name="_Toc38439649"/>
      <w:bookmarkStart w:id="672" w:name="_Toc38439986"/>
      <w:bookmarkStart w:id="673" w:name="_Toc38440323"/>
      <w:bookmarkStart w:id="674" w:name="_Toc38440656"/>
      <w:bookmarkStart w:id="675" w:name="_Toc38440855"/>
      <w:bookmarkStart w:id="676" w:name="_Toc38441187"/>
      <w:bookmarkStart w:id="677" w:name="_Toc38441519"/>
      <w:bookmarkStart w:id="678" w:name="_Toc38441847"/>
      <w:bookmarkStart w:id="679" w:name="_Toc38442179"/>
      <w:bookmarkStart w:id="680" w:name="_Toc38442511"/>
      <w:bookmarkStart w:id="681" w:name="_Toc38442842"/>
      <w:bookmarkStart w:id="682" w:name="_Toc38443173"/>
      <w:bookmarkStart w:id="683" w:name="_Toc38443504"/>
      <w:bookmarkStart w:id="684" w:name="_Toc38443835"/>
      <w:bookmarkStart w:id="685" w:name="_Toc38438302"/>
      <w:bookmarkStart w:id="686" w:name="_Toc38438639"/>
      <w:bookmarkStart w:id="687" w:name="_Toc38438976"/>
      <w:bookmarkStart w:id="688" w:name="_Toc38439313"/>
      <w:bookmarkStart w:id="689" w:name="_Toc38439650"/>
      <w:bookmarkStart w:id="690" w:name="_Toc38439987"/>
      <w:bookmarkStart w:id="691" w:name="_Toc38440324"/>
      <w:bookmarkStart w:id="692" w:name="_Toc38440657"/>
      <w:bookmarkStart w:id="693" w:name="_Toc38440856"/>
      <w:bookmarkStart w:id="694" w:name="_Toc38441188"/>
      <w:bookmarkStart w:id="695" w:name="_Toc38441520"/>
      <w:bookmarkStart w:id="696" w:name="_Toc38441848"/>
      <w:bookmarkStart w:id="697" w:name="_Toc38442180"/>
      <w:bookmarkStart w:id="698" w:name="_Toc38442512"/>
      <w:bookmarkStart w:id="699" w:name="_Toc38442843"/>
      <w:bookmarkStart w:id="700" w:name="_Toc38443174"/>
      <w:bookmarkStart w:id="701" w:name="_Toc38443505"/>
      <w:bookmarkStart w:id="702" w:name="_Toc38443836"/>
      <w:bookmarkStart w:id="703" w:name="_Toc38438303"/>
      <w:bookmarkStart w:id="704" w:name="_Toc38438640"/>
      <w:bookmarkStart w:id="705" w:name="_Toc38438977"/>
      <w:bookmarkStart w:id="706" w:name="_Toc38439314"/>
      <w:bookmarkStart w:id="707" w:name="_Toc38439651"/>
      <w:bookmarkStart w:id="708" w:name="_Toc38439988"/>
      <w:bookmarkStart w:id="709" w:name="_Toc38440325"/>
      <w:bookmarkStart w:id="710" w:name="_Toc38440658"/>
      <w:bookmarkStart w:id="711" w:name="_Toc38440857"/>
      <w:bookmarkStart w:id="712" w:name="_Toc38441189"/>
      <w:bookmarkStart w:id="713" w:name="_Toc38441521"/>
      <w:bookmarkStart w:id="714" w:name="_Toc38441849"/>
      <w:bookmarkStart w:id="715" w:name="_Toc38442181"/>
      <w:bookmarkStart w:id="716" w:name="_Toc38442513"/>
      <w:bookmarkStart w:id="717" w:name="_Toc38442844"/>
      <w:bookmarkStart w:id="718" w:name="_Toc38443175"/>
      <w:bookmarkStart w:id="719" w:name="_Toc38443506"/>
      <w:bookmarkStart w:id="720" w:name="_Toc38443837"/>
      <w:bookmarkStart w:id="721" w:name="_Toc38438304"/>
      <w:bookmarkStart w:id="722" w:name="_Toc38438641"/>
      <w:bookmarkStart w:id="723" w:name="_Toc38438978"/>
      <w:bookmarkStart w:id="724" w:name="_Toc38439315"/>
      <w:bookmarkStart w:id="725" w:name="_Toc38439652"/>
      <w:bookmarkStart w:id="726" w:name="_Toc38439989"/>
      <w:bookmarkStart w:id="727" w:name="_Toc38440326"/>
      <w:bookmarkStart w:id="728" w:name="_Toc38440659"/>
      <w:bookmarkStart w:id="729" w:name="_Toc38440858"/>
      <w:bookmarkStart w:id="730" w:name="_Toc38441190"/>
      <w:bookmarkStart w:id="731" w:name="_Toc38441522"/>
      <w:bookmarkStart w:id="732" w:name="_Toc38441850"/>
      <w:bookmarkStart w:id="733" w:name="_Toc38442182"/>
      <w:bookmarkStart w:id="734" w:name="_Toc38442514"/>
      <w:bookmarkStart w:id="735" w:name="_Toc38442845"/>
      <w:bookmarkStart w:id="736" w:name="_Toc38443176"/>
      <w:bookmarkStart w:id="737" w:name="_Toc38443507"/>
      <w:bookmarkStart w:id="738" w:name="_Toc38443838"/>
      <w:bookmarkStart w:id="739" w:name="_Toc38438305"/>
      <w:bookmarkStart w:id="740" w:name="_Toc38438642"/>
      <w:bookmarkStart w:id="741" w:name="_Toc38438979"/>
      <w:bookmarkStart w:id="742" w:name="_Toc38439316"/>
      <w:bookmarkStart w:id="743" w:name="_Toc38439653"/>
      <w:bookmarkStart w:id="744" w:name="_Toc38439990"/>
      <w:bookmarkStart w:id="745" w:name="_Toc38440327"/>
      <w:bookmarkStart w:id="746" w:name="_Toc38440660"/>
      <w:bookmarkStart w:id="747" w:name="_Toc38440859"/>
      <w:bookmarkStart w:id="748" w:name="_Toc38441191"/>
      <w:bookmarkStart w:id="749" w:name="_Toc38441523"/>
      <w:bookmarkStart w:id="750" w:name="_Toc38441851"/>
      <w:bookmarkStart w:id="751" w:name="_Toc38442183"/>
      <w:bookmarkStart w:id="752" w:name="_Toc38442515"/>
      <w:bookmarkStart w:id="753" w:name="_Toc38442846"/>
      <w:bookmarkStart w:id="754" w:name="_Toc38443177"/>
      <w:bookmarkStart w:id="755" w:name="_Toc38443508"/>
      <w:bookmarkStart w:id="756" w:name="_Toc38443839"/>
      <w:bookmarkStart w:id="757" w:name="_Toc38438306"/>
      <w:bookmarkStart w:id="758" w:name="_Toc38438643"/>
      <w:bookmarkStart w:id="759" w:name="_Toc38438980"/>
      <w:bookmarkStart w:id="760" w:name="_Toc38439317"/>
      <w:bookmarkStart w:id="761" w:name="_Toc38439654"/>
      <w:bookmarkStart w:id="762" w:name="_Toc38439991"/>
      <w:bookmarkStart w:id="763" w:name="_Toc38440328"/>
      <w:bookmarkStart w:id="764" w:name="_Toc38440661"/>
      <w:bookmarkStart w:id="765" w:name="_Toc38440860"/>
      <w:bookmarkStart w:id="766" w:name="_Toc38441192"/>
      <w:bookmarkStart w:id="767" w:name="_Toc38441524"/>
      <w:bookmarkStart w:id="768" w:name="_Toc38441852"/>
      <w:bookmarkStart w:id="769" w:name="_Toc38442184"/>
      <w:bookmarkStart w:id="770" w:name="_Toc38442516"/>
      <w:bookmarkStart w:id="771" w:name="_Toc38442847"/>
      <w:bookmarkStart w:id="772" w:name="_Toc38443178"/>
      <w:bookmarkStart w:id="773" w:name="_Toc38443509"/>
      <w:bookmarkStart w:id="774" w:name="_Toc38443840"/>
      <w:bookmarkStart w:id="775" w:name="_Toc38438310"/>
      <w:bookmarkStart w:id="776" w:name="_Toc38438647"/>
      <w:bookmarkStart w:id="777" w:name="_Toc38438984"/>
      <w:bookmarkStart w:id="778" w:name="_Toc38439321"/>
      <w:bookmarkStart w:id="779" w:name="_Toc38439658"/>
      <w:bookmarkStart w:id="780" w:name="_Toc38439995"/>
      <w:bookmarkStart w:id="781" w:name="_Toc38440332"/>
      <w:bookmarkStart w:id="782" w:name="_Toc38440665"/>
      <w:bookmarkStart w:id="783" w:name="_Toc38440864"/>
      <w:bookmarkStart w:id="784" w:name="_Toc38441196"/>
      <w:bookmarkStart w:id="785" w:name="_Toc38441528"/>
      <w:bookmarkStart w:id="786" w:name="_Toc38441856"/>
      <w:bookmarkStart w:id="787" w:name="_Toc38442188"/>
      <w:bookmarkStart w:id="788" w:name="_Toc38442520"/>
      <w:bookmarkStart w:id="789" w:name="_Toc38442851"/>
      <w:bookmarkStart w:id="790" w:name="_Toc38443182"/>
      <w:bookmarkStart w:id="791" w:name="_Toc38443513"/>
      <w:bookmarkStart w:id="792" w:name="_Toc38443844"/>
      <w:bookmarkStart w:id="793" w:name="_Toc38438311"/>
      <w:bookmarkStart w:id="794" w:name="_Toc38438648"/>
      <w:bookmarkStart w:id="795" w:name="_Toc38438985"/>
      <w:bookmarkStart w:id="796" w:name="_Toc38439322"/>
      <w:bookmarkStart w:id="797" w:name="_Toc38439659"/>
      <w:bookmarkStart w:id="798" w:name="_Toc38439996"/>
      <w:bookmarkStart w:id="799" w:name="_Toc38440333"/>
      <w:bookmarkStart w:id="800" w:name="_Toc38440666"/>
      <w:bookmarkStart w:id="801" w:name="_Toc38440865"/>
      <w:bookmarkStart w:id="802" w:name="_Toc38441197"/>
      <w:bookmarkStart w:id="803" w:name="_Toc38441529"/>
      <w:bookmarkStart w:id="804" w:name="_Toc38441857"/>
      <w:bookmarkStart w:id="805" w:name="_Toc38442189"/>
      <w:bookmarkStart w:id="806" w:name="_Toc38442521"/>
      <w:bookmarkStart w:id="807" w:name="_Toc38442852"/>
      <w:bookmarkStart w:id="808" w:name="_Toc38443183"/>
      <w:bookmarkStart w:id="809" w:name="_Toc38443514"/>
      <w:bookmarkStart w:id="810" w:name="_Toc38443845"/>
      <w:bookmarkStart w:id="811" w:name="_Toc38438312"/>
      <w:bookmarkStart w:id="812" w:name="_Toc38438649"/>
      <w:bookmarkStart w:id="813" w:name="_Toc38438986"/>
      <w:bookmarkStart w:id="814" w:name="_Toc38439323"/>
      <w:bookmarkStart w:id="815" w:name="_Toc38439660"/>
      <w:bookmarkStart w:id="816" w:name="_Toc38439997"/>
      <w:bookmarkStart w:id="817" w:name="_Toc38440334"/>
      <w:bookmarkStart w:id="818" w:name="_Toc38440667"/>
      <w:bookmarkStart w:id="819" w:name="_Toc38440866"/>
      <w:bookmarkStart w:id="820" w:name="_Toc38441198"/>
      <w:bookmarkStart w:id="821" w:name="_Toc38441530"/>
      <w:bookmarkStart w:id="822" w:name="_Toc38441858"/>
      <w:bookmarkStart w:id="823" w:name="_Toc38442190"/>
      <w:bookmarkStart w:id="824" w:name="_Toc38442522"/>
      <w:bookmarkStart w:id="825" w:name="_Toc38442853"/>
      <w:bookmarkStart w:id="826" w:name="_Toc38443184"/>
      <w:bookmarkStart w:id="827" w:name="_Toc38443515"/>
      <w:bookmarkStart w:id="828" w:name="_Toc38443846"/>
      <w:bookmarkStart w:id="829" w:name="_Toc38438313"/>
      <w:bookmarkStart w:id="830" w:name="_Toc38438650"/>
      <w:bookmarkStart w:id="831" w:name="_Toc38438987"/>
      <w:bookmarkStart w:id="832" w:name="_Toc38439324"/>
      <w:bookmarkStart w:id="833" w:name="_Toc38439661"/>
      <w:bookmarkStart w:id="834" w:name="_Toc38439998"/>
      <w:bookmarkStart w:id="835" w:name="_Toc38440335"/>
      <w:bookmarkStart w:id="836" w:name="_Toc38440668"/>
      <w:bookmarkStart w:id="837" w:name="_Toc38440867"/>
      <w:bookmarkStart w:id="838" w:name="_Toc38441199"/>
      <w:bookmarkStart w:id="839" w:name="_Toc38441531"/>
      <w:bookmarkStart w:id="840" w:name="_Toc38441859"/>
      <w:bookmarkStart w:id="841" w:name="_Toc38442191"/>
      <w:bookmarkStart w:id="842" w:name="_Toc38442523"/>
      <w:bookmarkStart w:id="843" w:name="_Toc38442854"/>
      <w:bookmarkStart w:id="844" w:name="_Toc38443185"/>
      <w:bookmarkStart w:id="845" w:name="_Toc38443516"/>
      <w:bookmarkStart w:id="846" w:name="_Toc38443847"/>
      <w:bookmarkStart w:id="847" w:name="_Toc38438314"/>
      <w:bookmarkStart w:id="848" w:name="_Toc38438651"/>
      <w:bookmarkStart w:id="849" w:name="_Toc38438988"/>
      <w:bookmarkStart w:id="850" w:name="_Toc38439325"/>
      <w:bookmarkStart w:id="851" w:name="_Toc38439662"/>
      <w:bookmarkStart w:id="852" w:name="_Toc38439999"/>
      <w:bookmarkStart w:id="853" w:name="_Toc38440336"/>
      <w:bookmarkStart w:id="854" w:name="_Toc38440669"/>
      <w:bookmarkStart w:id="855" w:name="_Toc38440868"/>
      <w:bookmarkStart w:id="856" w:name="_Toc38441200"/>
      <w:bookmarkStart w:id="857" w:name="_Toc38441532"/>
      <w:bookmarkStart w:id="858" w:name="_Toc38441860"/>
      <w:bookmarkStart w:id="859" w:name="_Toc38442192"/>
      <w:bookmarkStart w:id="860" w:name="_Toc38442524"/>
      <w:bookmarkStart w:id="861" w:name="_Toc38442855"/>
      <w:bookmarkStart w:id="862" w:name="_Toc38443186"/>
      <w:bookmarkStart w:id="863" w:name="_Toc38443517"/>
      <w:bookmarkStart w:id="864" w:name="_Toc38443848"/>
      <w:bookmarkStart w:id="865" w:name="_Toc38438315"/>
      <w:bookmarkStart w:id="866" w:name="_Toc38438652"/>
      <w:bookmarkStart w:id="867" w:name="_Toc38438989"/>
      <w:bookmarkStart w:id="868" w:name="_Toc38439326"/>
      <w:bookmarkStart w:id="869" w:name="_Toc38439663"/>
      <w:bookmarkStart w:id="870" w:name="_Toc38440000"/>
      <w:bookmarkStart w:id="871" w:name="_Toc38440337"/>
      <w:bookmarkStart w:id="872" w:name="_Toc38440670"/>
      <w:bookmarkStart w:id="873" w:name="_Toc38440869"/>
      <w:bookmarkStart w:id="874" w:name="_Toc38441201"/>
      <w:bookmarkStart w:id="875" w:name="_Toc38441533"/>
      <w:bookmarkStart w:id="876" w:name="_Toc38441861"/>
      <w:bookmarkStart w:id="877" w:name="_Toc38442193"/>
      <w:bookmarkStart w:id="878" w:name="_Toc38442525"/>
      <w:bookmarkStart w:id="879" w:name="_Toc38442856"/>
      <w:bookmarkStart w:id="880" w:name="_Toc38443187"/>
      <w:bookmarkStart w:id="881" w:name="_Toc38443518"/>
      <w:bookmarkStart w:id="882" w:name="_Toc38443849"/>
      <w:bookmarkStart w:id="883" w:name="_Toc38438316"/>
      <w:bookmarkStart w:id="884" w:name="_Toc38438653"/>
      <w:bookmarkStart w:id="885" w:name="_Toc38438990"/>
      <w:bookmarkStart w:id="886" w:name="_Toc38439327"/>
      <w:bookmarkStart w:id="887" w:name="_Toc38439664"/>
      <w:bookmarkStart w:id="888" w:name="_Toc38440001"/>
      <w:bookmarkStart w:id="889" w:name="_Toc38440338"/>
      <w:bookmarkStart w:id="890" w:name="_Toc38440671"/>
      <w:bookmarkStart w:id="891" w:name="_Toc38440870"/>
      <w:bookmarkStart w:id="892" w:name="_Toc38441202"/>
      <w:bookmarkStart w:id="893" w:name="_Toc38441534"/>
      <w:bookmarkStart w:id="894" w:name="_Toc38441862"/>
      <w:bookmarkStart w:id="895" w:name="_Toc38442194"/>
      <w:bookmarkStart w:id="896" w:name="_Toc38442526"/>
      <w:bookmarkStart w:id="897" w:name="_Toc38442857"/>
      <w:bookmarkStart w:id="898" w:name="_Toc38443188"/>
      <w:bookmarkStart w:id="899" w:name="_Toc38443519"/>
      <w:bookmarkStart w:id="900" w:name="_Toc38443850"/>
      <w:bookmarkStart w:id="901" w:name="_Toc38438317"/>
      <w:bookmarkStart w:id="902" w:name="_Toc38438654"/>
      <w:bookmarkStart w:id="903" w:name="_Toc38438991"/>
      <w:bookmarkStart w:id="904" w:name="_Toc38439328"/>
      <w:bookmarkStart w:id="905" w:name="_Toc38439665"/>
      <w:bookmarkStart w:id="906" w:name="_Toc38440002"/>
      <w:bookmarkStart w:id="907" w:name="_Toc38440339"/>
      <w:bookmarkStart w:id="908" w:name="_Toc38440672"/>
      <w:bookmarkStart w:id="909" w:name="_Toc38440871"/>
      <w:bookmarkStart w:id="910" w:name="_Toc38441203"/>
      <w:bookmarkStart w:id="911" w:name="_Toc38441535"/>
      <w:bookmarkStart w:id="912" w:name="_Toc38441863"/>
      <w:bookmarkStart w:id="913" w:name="_Toc38442195"/>
      <w:bookmarkStart w:id="914" w:name="_Toc38442527"/>
      <w:bookmarkStart w:id="915" w:name="_Toc38442858"/>
      <w:bookmarkStart w:id="916" w:name="_Toc38443189"/>
      <w:bookmarkStart w:id="917" w:name="_Toc38443520"/>
      <w:bookmarkStart w:id="918" w:name="_Toc38443851"/>
      <w:bookmarkStart w:id="919" w:name="_Toc38438318"/>
      <w:bookmarkStart w:id="920" w:name="_Toc38438655"/>
      <w:bookmarkStart w:id="921" w:name="_Toc38438992"/>
      <w:bookmarkStart w:id="922" w:name="_Toc38439329"/>
      <w:bookmarkStart w:id="923" w:name="_Toc38439666"/>
      <w:bookmarkStart w:id="924" w:name="_Toc38440003"/>
      <w:bookmarkStart w:id="925" w:name="_Toc38440340"/>
      <w:bookmarkStart w:id="926" w:name="_Toc38440673"/>
      <w:bookmarkStart w:id="927" w:name="_Toc38440872"/>
      <w:bookmarkStart w:id="928" w:name="_Toc38441204"/>
      <w:bookmarkStart w:id="929" w:name="_Toc38441536"/>
      <w:bookmarkStart w:id="930" w:name="_Toc38441864"/>
      <w:bookmarkStart w:id="931" w:name="_Toc38442196"/>
      <w:bookmarkStart w:id="932" w:name="_Toc38442528"/>
      <w:bookmarkStart w:id="933" w:name="_Toc38442859"/>
      <w:bookmarkStart w:id="934" w:name="_Toc38443190"/>
      <w:bookmarkStart w:id="935" w:name="_Toc38443521"/>
      <w:bookmarkStart w:id="936" w:name="_Toc38443852"/>
      <w:bookmarkStart w:id="937" w:name="_Toc38438319"/>
      <w:bookmarkStart w:id="938" w:name="_Toc38438656"/>
      <w:bookmarkStart w:id="939" w:name="_Toc38438993"/>
      <w:bookmarkStart w:id="940" w:name="_Toc38439330"/>
      <w:bookmarkStart w:id="941" w:name="_Toc38439667"/>
      <w:bookmarkStart w:id="942" w:name="_Toc38440004"/>
      <w:bookmarkStart w:id="943" w:name="_Toc38440341"/>
      <w:bookmarkStart w:id="944" w:name="_Toc38440674"/>
      <w:bookmarkStart w:id="945" w:name="_Toc38440873"/>
      <w:bookmarkStart w:id="946" w:name="_Toc38441205"/>
      <w:bookmarkStart w:id="947" w:name="_Toc38441537"/>
      <w:bookmarkStart w:id="948" w:name="_Toc38441865"/>
      <w:bookmarkStart w:id="949" w:name="_Toc38442197"/>
      <w:bookmarkStart w:id="950" w:name="_Toc38442529"/>
      <w:bookmarkStart w:id="951" w:name="_Toc38442860"/>
      <w:bookmarkStart w:id="952" w:name="_Toc38443191"/>
      <w:bookmarkStart w:id="953" w:name="_Toc38443522"/>
      <w:bookmarkStart w:id="954" w:name="_Toc38443853"/>
      <w:bookmarkStart w:id="955" w:name="_Toc38438320"/>
      <w:bookmarkStart w:id="956" w:name="_Toc38438657"/>
      <w:bookmarkStart w:id="957" w:name="_Toc38438994"/>
      <w:bookmarkStart w:id="958" w:name="_Toc38439331"/>
      <w:bookmarkStart w:id="959" w:name="_Toc38439668"/>
      <w:bookmarkStart w:id="960" w:name="_Toc38440005"/>
      <w:bookmarkStart w:id="961" w:name="_Toc38440342"/>
      <w:bookmarkStart w:id="962" w:name="_Toc38440675"/>
      <w:bookmarkStart w:id="963" w:name="_Toc38440874"/>
      <w:bookmarkStart w:id="964" w:name="_Toc38441206"/>
      <w:bookmarkStart w:id="965" w:name="_Toc38441538"/>
      <w:bookmarkStart w:id="966" w:name="_Toc38441866"/>
      <w:bookmarkStart w:id="967" w:name="_Toc38442198"/>
      <w:bookmarkStart w:id="968" w:name="_Toc38442530"/>
      <w:bookmarkStart w:id="969" w:name="_Toc38442861"/>
      <w:bookmarkStart w:id="970" w:name="_Toc38443192"/>
      <w:bookmarkStart w:id="971" w:name="_Toc38443523"/>
      <w:bookmarkStart w:id="972" w:name="_Toc38443854"/>
      <w:bookmarkStart w:id="973" w:name="_Toc38438321"/>
      <w:bookmarkStart w:id="974" w:name="_Toc38438658"/>
      <w:bookmarkStart w:id="975" w:name="_Toc38438995"/>
      <w:bookmarkStart w:id="976" w:name="_Toc38439332"/>
      <w:bookmarkStart w:id="977" w:name="_Toc38439669"/>
      <w:bookmarkStart w:id="978" w:name="_Toc38440006"/>
      <w:bookmarkStart w:id="979" w:name="_Toc38440343"/>
      <w:bookmarkStart w:id="980" w:name="_Toc38440676"/>
      <w:bookmarkStart w:id="981" w:name="_Toc38440875"/>
      <w:bookmarkStart w:id="982" w:name="_Toc38441207"/>
      <w:bookmarkStart w:id="983" w:name="_Toc38441539"/>
      <w:bookmarkStart w:id="984" w:name="_Toc38441867"/>
      <w:bookmarkStart w:id="985" w:name="_Toc38442199"/>
      <w:bookmarkStart w:id="986" w:name="_Toc38442531"/>
      <w:bookmarkStart w:id="987" w:name="_Toc38442862"/>
      <w:bookmarkStart w:id="988" w:name="_Toc38443193"/>
      <w:bookmarkStart w:id="989" w:name="_Toc38443524"/>
      <w:bookmarkStart w:id="990" w:name="_Toc38443855"/>
      <w:bookmarkStart w:id="991" w:name="_Toc38438322"/>
      <w:bookmarkStart w:id="992" w:name="_Toc38438659"/>
      <w:bookmarkStart w:id="993" w:name="_Toc38438996"/>
      <w:bookmarkStart w:id="994" w:name="_Toc38439333"/>
      <w:bookmarkStart w:id="995" w:name="_Toc38439670"/>
      <w:bookmarkStart w:id="996" w:name="_Toc38440007"/>
      <w:bookmarkStart w:id="997" w:name="_Toc38440344"/>
      <w:bookmarkStart w:id="998" w:name="_Toc38440677"/>
      <w:bookmarkStart w:id="999" w:name="_Toc38440876"/>
      <w:bookmarkStart w:id="1000" w:name="_Toc38441208"/>
      <w:bookmarkStart w:id="1001" w:name="_Toc38441540"/>
      <w:bookmarkStart w:id="1002" w:name="_Toc38441868"/>
      <w:bookmarkStart w:id="1003" w:name="_Toc38442200"/>
      <w:bookmarkStart w:id="1004" w:name="_Toc38442532"/>
      <w:bookmarkStart w:id="1005" w:name="_Toc38442863"/>
      <w:bookmarkStart w:id="1006" w:name="_Toc38443194"/>
      <w:bookmarkStart w:id="1007" w:name="_Toc38443525"/>
      <w:bookmarkStart w:id="1008" w:name="_Toc38443856"/>
      <w:bookmarkStart w:id="1009" w:name="_Toc38438323"/>
      <w:bookmarkStart w:id="1010" w:name="_Toc38438660"/>
      <w:bookmarkStart w:id="1011" w:name="_Toc38438997"/>
      <w:bookmarkStart w:id="1012" w:name="_Toc38439334"/>
      <w:bookmarkStart w:id="1013" w:name="_Toc38439671"/>
      <w:bookmarkStart w:id="1014" w:name="_Toc38440008"/>
      <w:bookmarkStart w:id="1015" w:name="_Toc38440345"/>
      <w:bookmarkStart w:id="1016" w:name="_Toc38440678"/>
      <w:bookmarkStart w:id="1017" w:name="_Toc38440877"/>
      <w:bookmarkStart w:id="1018" w:name="_Toc38441209"/>
      <w:bookmarkStart w:id="1019" w:name="_Toc38441541"/>
      <w:bookmarkStart w:id="1020" w:name="_Toc38441869"/>
      <w:bookmarkStart w:id="1021" w:name="_Toc38442201"/>
      <w:bookmarkStart w:id="1022" w:name="_Toc38442533"/>
      <w:bookmarkStart w:id="1023" w:name="_Toc38442864"/>
      <w:bookmarkStart w:id="1024" w:name="_Toc38443195"/>
      <w:bookmarkStart w:id="1025" w:name="_Toc38443526"/>
      <w:bookmarkStart w:id="1026" w:name="_Toc38443857"/>
      <w:bookmarkStart w:id="1027" w:name="_Toc38438324"/>
      <w:bookmarkStart w:id="1028" w:name="_Toc38438661"/>
      <w:bookmarkStart w:id="1029" w:name="_Toc38438998"/>
      <w:bookmarkStart w:id="1030" w:name="_Toc38439335"/>
      <w:bookmarkStart w:id="1031" w:name="_Toc38439672"/>
      <w:bookmarkStart w:id="1032" w:name="_Toc38440009"/>
      <w:bookmarkStart w:id="1033" w:name="_Toc38440346"/>
      <w:bookmarkStart w:id="1034" w:name="_Toc38440679"/>
      <w:bookmarkStart w:id="1035" w:name="_Toc38440878"/>
      <w:bookmarkStart w:id="1036" w:name="_Toc38441210"/>
      <w:bookmarkStart w:id="1037" w:name="_Toc38441542"/>
      <w:bookmarkStart w:id="1038" w:name="_Toc38441870"/>
      <w:bookmarkStart w:id="1039" w:name="_Toc38442202"/>
      <w:bookmarkStart w:id="1040" w:name="_Toc38442534"/>
      <w:bookmarkStart w:id="1041" w:name="_Toc38442865"/>
      <w:bookmarkStart w:id="1042" w:name="_Toc38443196"/>
      <w:bookmarkStart w:id="1043" w:name="_Toc38443527"/>
      <w:bookmarkStart w:id="1044" w:name="_Toc38443858"/>
      <w:bookmarkStart w:id="1045" w:name="_Toc38438325"/>
      <w:bookmarkStart w:id="1046" w:name="_Toc38438662"/>
      <w:bookmarkStart w:id="1047" w:name="_Toc38438999"/>
      <w:bookmarkStart w:id="1048" w:name="_Toc38439336"/>
      <w:bookmarkStart w:id="1049" w:name="_Toc38439673"/>
      <w:bookmarkStart w:id="1050" w:name="_Toc38440010"/>
      <w:bookmarkStart w:id="1051" w:name="_Toc38440347"/>
      <w:bookmarkStart w:id="1052" w:name="_Toc38440879"/>
      <w:bookmarkStart w:id="1053" w:name="_Toc38441211"/>
      <w:bookmarkStart w:id="1054" w:name="_Toc38441543"/>
      <w:bookmarkStart w:id="1055" w:name="_Toc38441871"/>
      <w:bookmarkStart w:id="1056" w:name="_Toc38442203"/>
      <w:bookmarkStart w:id="1057" w:name="_Toc38442535"/>
      <w:bookmarkStart w:id="1058" w:name="_Toc38442866"/>
      <w:bookmarkStart w:id="1059" w:name="_Toc38443197"/>
      <w:bookmarkStart w:id="1060" w:name="_Toc38443528"/>
      <w:bookmarkStart w:id="1061" w:name="_Toc38443859"/>
      <w:bookmarkStart w:id="1062" w:name="_Toc38438326"/>
      <w:bookmarkStart w:id="1063" w:name="_Toc38438663"/>
      <w:bookmarkStart w:id="1064" w:name="_Toc38439000"/>
      <w:bookmarkStart w:id="1065" w:name="_Toc38439337"/>
      <w:bookmarkStart w:id="1066" w:name="_Toc38439674"/>
      <w:bookmarkStart w:id="1067" w:name="_Toc38440011"/>
      <w:bookmarkStart w:id="1068" w:name="_Toc38440348"/>
      <w:bookmarkStart w:id="1069" w:name="_Toc38440880"/>
      <w:bookmarkStart w:id="1070" w:name="_Toc38441212"/>
      <w:bookmarkStart w:id="1071" w:name="_Toc38441544"/>
      <w:bookmarkStart w:id="1072" w:name="_Toc38441872"/>
      <w:bookmarkStart w:id="1073" w:name="_Toc38442204"/>
      <w:bookmarkStart w:id="1074" w:name="_Toc38442536"/>
      <w:bookmarkStart w:id="1075" w:name="_Toc38442867"/>
      <w:bookmarkStart w:id="1076" w:name="_Toc38443198"/>
      <w:bookmarkStart w:id="1077" w:name="_Toc38443529"/>
      <w:bookmarkStart w:id="1078" w:name="_Toc38443860"/>
      <w:bookmarkStart w:id="1079" w:name="_Toc38438327"/>
      <w:bookmarkStart w:id="1080" w:name="_Toc38438664"/>
      <w:bookmarkStart w:id="1081" w:name="_Toc38439001"/>
      <w:bookmarkStart w:id="1082" w:name="_Toc38439338"/>
      <w:bookmarkStart w:id="1083" w:name="_Toc38439675"/>
      <w:bookmarkStart w:id="1084" w:name="_Toc38440012"/>
      <w:bookmarkStart w:id="1085" w:name="_Toc38440349"/>
      <w:bookmarkStart w:id="1086" w:name="_Toc38440881"/>
      <w:bookmarkStart w:id="1087" w:name="_Toc38441213"/>
      <w:bookmarkStart w:id="1088" w:name="_Toc38441545"/>
      <w:bookmarkStart w:id="1089" w:name="_Toc38441873"/>
      <w:bookmarkStart w:id="1090" w:name="_Toc38442205"/>
      <w:bookmarkStart w:id="1091" w:name="_Toc38442537"/>
      <w:bookmarkStart w:id="1092" w:name="_Toc38442868"/>
      <w:bookmarkStart w:id="1093" w:name="_Toc38443199"/>
      <w:bookmarkStart w:id="1094" w:name="_Toc38443530"/>
      <w:bookmarkStart w:id="1095" w:name="_Toc38443861"/>
      <w:bookmarkStart w:id="1096" w:name="_Toc38438328"/>
      <w:bookmarkStart w:id="1097" w:name="_Toc38438665"/>
      <w:bookmarkStart w:id="1098" w:name="_Toc38439002"/>
      <w:bookmarkStart w:id="1099" w:name="_Toc38439339"/>
      <w:bookmarkStart w:id="1100" w:name="_Toc38439676"/>
      <w:bookmarkStart w:id="1101" w:name="_Toc38440013"/>
      <w:bookmarkStart w:id="1102" w:name="_Toc38440350"/>
      <w:bookmarkStart w:id="1103" w:name="_Toc38440882"/>
      <w:bookmarkStart w:id="1104" w:name="_Toc38441214"/>
      <w:bookmarkStart w:id="1105" w:name="_Toc38441546"/>
      <w:bookmarkStart w:id="1106" w:name="_Toc38441874"/>
      <w:bookmarkStart w:id="1107" w:name="_Toc38442206"/>
      <w:bookmarkStart w:id="1108" w:name="_Toc38442538"/>
      <w:bookmarkStart w:id="1109" w:name="_Toc38442869"/>
      <w:bookmarkStart w:id="1110" w:name="_Toc38443200"/>
      <w:bookmarkStart w:id="1111" w:name="_Toc38443531"/>
      <w:bookmarkStart w:id="1112" w:name="_Toc38443862"/>
      <w:bookmarkStart w:id="1113" w:name="_Toc38438329"/>
      <w:bookmarkStart w:id="1114" w:name="_Toc38438666"/>
      <w:bookmarkStart w:id="1115" w:name="_Toc38439003"/>
      <w:bookmarkStart w:id="1116" w:name="_Toc38439340"/>
      <w:bookmarkStart w:id="1117" w:name="_Toc38439677"/>
      <w:bookmarkStart w:id="1118" w:name="_Toc38440014"/>
      <w:bookmarkStart w:id="1119" w:name="_Toc38440351"/>
      <w:bookmarkStart w:id="1120" w:name="_Toc38440883"/>
      <w:bookmarkStart w:id="1121" w:name="_Toc38441215"/>
      <w:bookmarkStart w:id="1122" w:name="_Toc38441547"/>
      <w:bookmarkStart w:id="1123" w:name="_Toc38441875"/>
      <w:bookmarkStart w:id="1124" w:name="_Toc38442207"/>
      <w:bookmarkStart w:id="1125" w:name="_Toc38442539"/>
      <w:bookmarkStart w:id="1126" w:name="_Toc38442870"/>
      <w:bookmarkStart w:id="1127" w:name="_Toc38443201"/>
      <w:bookmarkStart w:id="1128" w:name="_Toc38443532"/>
      <w:bookmarkStart w:id="1129" w:name="_Toc38443863"/>
      <w:bookmarkStart w:id="1130" w:name="_Toc38438330"/>
      <w:bookmarkStart w:id="1131" w:name="_Toc38438667"/>
      <w:bookmarkStart w:id="1132" w:name="_Toc38439004"/>
      <w:bookmarkStart w:id="1133" w:name="_Toc38439341"/>
      <w:bookmarkStart w:id="1134" w:name="_Toc38439678"/>
      <w:bookmarkStart w:id="1135" w:name="_Toc38440015"/>
      <w:bookmarkStart w:id="1136" w:name="_Toc38440352"/>
      <w:bookmarkStart w:id="1137" w:name="_Toc38440884"/>
      <w:bookmarkStart w:id="1138" w:name="_Toc38441216"/>
      <w:bookmarkStart w:id="1139" w:name="_Toc38441548"/>
      <w:bookmarkStart w:id="1140" w:name="_Toc38441876"/>
      <w:bookmarkStart w:id="1141" w:name="_Toc38442208"/>
      <w:bookmarkStart w:id="1142" w:name="_Toc38442540"/>
      <w:bookmarkStart w:id="1143" w:name="_Toc38442871"/>
      <w:bookmarkStart w:id="1144" w:name="_Toc38443202"/>
      <w:bookmarkStart w:id="1145" w:name="_Toc38443533"/>
      <w:bookmarkStart w:id="1146" w:name="_Toc38443864"/>
      <w:bookmarkStart w:id="1147" w:name="_Toc38438331"/>
      <w:bookmarkStart w:id="1148" w:name="_Toc38438668"/>
      <w:bookmarkStart w:id="1149" w:name="_Toc38439005"/>
      <w:bookmarkStart w:id="1150" w:name="_Toc38439342"/>
      <w:bookmarkStart w:id="1151" w:name="_Toc38439679"/>
      <w:bookmarkStart w:id="1152" w:name="_Toc38440016"/>
      <w:bookmarkStart w:id="1153" w:name="_Toc38440353"/>
      <w:bookmarkStart w:id="1154" w:name="_Toc38440885"/>
      <w:bookmarkStart w:id="1155" w:name="_Toc38441217"/>
      <w:bookmarkStart w:id="1156" w:name="_Toc38441549"/>
      <w:bookmarkStart w:id="1157" w:name="_Toc38441877"/>
      <w:bookmarkStart w:id="1158" w:name="_Toc38442209"/>
      <w:bookmarkStart w:id="1159" w:name="_Toc38442541"/>
      <w:bookmarkStart w:id="1160" w:name="_Toc38442872"/>
      <w:bookmarkStart w:id="1161" w:name="_Toc38443203"/>
      <w:bookmarkStart w:id="1162" w:name="_Toc38443534"/>
      <w:bookmarkStart w:id="1163" w:name="_Toc38443865"/>
      <w:bookmarkStart w:id="1164" w:name="_Toc38438332"/>
      <w:bookmarkStart w:id="1165" w:name="_Toc38438669"/>
      <w:bookmarkStart w:id="1166" w:name="_Toc38439006"/>
      <w:bookmarkStart w:id="1167" w:name="_Toc38439343"/>
      <w:bookmarkStart w:id="1168" w:name="_Toc38439680"/>
      <w:bookmarkStart w:id="1169" w:name="_Toc38440017"/>
      <w:bookmarkStart w:id="1170" w:name="_Toc38440354"/>
      <w:bookmarkStart w:id="1171" w:name="_Toc38440886"/>
      <w:bookmarkStart w:id="1172" w:name="_Toc38441218"/>
      <w:bookmarkStart w:id="1173" w:name="_Toc38441550"/>
      <w:bookmarkStart w:id="1174" w:name="_Toc38441878"/>
      <w:bookmarkStart w:id="1175" w:name="_Toc38442210"/>
      <w:bookmarkStart w:id="1176" w:name="_Toc38442542"/>
      <w:bookmarkStart w:id="1177" w:name="_Toc38442873"/>
      <w:bookmarkStart w:id="1178" w:name="_Toc38443204"/>
      <w:bookmarkStart w:id="1179" w:name="_Toc38443535"/>
      <w:bookmarkStart w:id="1180" w:name="_Toc38443866"/>
      <w:bookmarkStart w:id="1181" w:name="_Toc38438333"/>
      <w:bookmarkStart w:id="1182" w:name="_Toc38438670"/>
      <w:bookmarkStart w:id="1183" w:name="_Toc38439007"/>
      <w:bookmarkStart w:id="1184" w:name="_Toc38439344"/>
      <w:bookmarkStart w:id="1185" w:name="_Toc38439681"/>
      <w:bookmarkStart w:id="1186" w:name="_Toc38440018"/>
      <w:bookmarkStart w:id="1187" w:name="_Toc38440355"/>
      <w:bookmarkStart w:id="1188" w:name="_Toc38440887"/>
      <w:bookmarkStart w:id="1189" w:name="_Toc38441219"/>
      <w:bookmarkStart w:id="1190" w:name="_Toc38441551"/>
      <w:bookmarkStart w:id="1191" w:name="_Toc38441879"/>
      <w:bookmarkStart w:id="1192" w:name="_Toc38442211"/>
      <w:bookmarkStart w:id="1193" w:name="_Toc38442543"/>
      <w:bookmarkStart w:id="1194" w:name="_Toc38442874"/>
      <w:bookmarkStart w:id="1195" w:name="_Toc38443205"/>
      <w:bookmarkStart w:id="1196" w:name="_Toc38443536"/>
      <w:bookmarkStart w:id="1197" w:name="_Toc38443867"/>
      <w:bookmarkStart w:id="1198" w:name="_Toc38438334"/>
      <w:bookmarkStart w:id="1199" w:name="_Toc38438671"/>
      <w:bookmarkStart w:id="1200" w:name="_Toc38439008"/>
      <w:bookmarkStart w:id="1201" w:name="_Toc38439345"/>
      <w:bookmarkStart w:id="1202" w:name="_Toc38439682"/>
      <w:bookmarkStart w:id="1203" w:name="_Toc38440019"/>
      <w:bookmarkStart w:id="1204" w:name="_Toc38440356"/>
      <w:bookmarkStart w:id="1205" w:name="_Toc38440888"/>
      <w:bookmarkStart w:id="1206" w:name="_Toc38441220"/>
      <w:bookmarkStart w:id="1207" w:name="_Toc38441552"/>
      <w:bookmarkStart w:id="1208" w:name="_Toc38441880"/>
      <w:bookmarkStart w:id="1209" w:name="_Toc38442212"/>
      <w:bookmarkStart w:id="1210" w:name="_Toc38442544"/>
      <w:bookmarkStart w:id="1211" w:name="_Toc38442875"/>
      <w:bookmarkStart w:id="1212" w:name="_Toc38443206"/>
      <w:bookmarkStart w:id="1213" w:name="_Toc38443537"/>
      <w:bookmarkStart w:id="1214" w:name="_Toc38443868"/>
      <w:bookmarkStart w:id="1215" w:name="_Toc38438335"/>
      <w:bookmarkStart w:id="1216" w:name="_Toc38438672"/>
      <w:bookmarkStart w:id="1217" w:name="_Toc38439009"/>
      <w:bookmarkStart w:id="1218" w:name="_Toc38439346"/>
      <w:bookmarkStart w:id="1219" w:name="_Toc38439683"/>
      <w:bookmarkStart w:id="1220" w:name="_Toc38440020"/>
      <w:bookmarkStart w:id="1221" w:name="_Toc38440357"/>
      <w:bookmarkStart w:id="1222" w:name="_Toc38440889"/>
      <w:bookmarkStart w:id="1223" w:name="_Toc38441221"/>
      <w:bookmarkStart w:id="1224" w:name="_Toc38441553"/>
      <w:bookmarkStart w:id="1225" w:name="_Toc38441881"/>
      <w:bookmarkStart w:id="1226" w:name="_Toc38442213"/>
      <w:bookmarkStart w:id="1227" w:name="_Toc38442545"/>
      <w:bookmarkStart w:id="1228" w:name="_Toc38442876"/>
      <w:bookmarkStart w:id="1229" w:name="_Toc38443207"/>
      <w:bookmarkStart w:id="1230" w:name="_Toc38443538"/>
      <w:bookmarkStart w:id="1231" w:name="_Toc38443869"/>
      <w:bookmarkStart w:id="1232" w:name="_Toc38438336"/>
      <w:bookmarkStart w:id="1233" w:name="_Toc38438673"/>
      <w:bookmarkStart w:id="1234" w:name="_Toc38439010"/>
      <w:bookmarkStart w:id="1235" w:name="_Toc38439347"/>
      <w:bookmarkStart w:id="1236" w:name="_Toc38439684"/>
      <w:bookmarkStart w:id="1237" w:name="_Toc38440021"/>
      <w:bookmarkStart w:id="1238" w:name="_Toc38440358"/>
      <w:bookmarkStart w:id="1239" w:name="_Toc38440890"/>
      <w:bookmarkStart w:id="1240" w:name="_Toc38441222"/>
      <w:bookmarkStart w:id="1241" w:name="_Toc38441554"/>
      <w:bookmarkStart w:id="1242" w:name="_Toc38441882"/>
      <w:bookmarkStart w:id="1243" w:name="_Toc38442214"/>
      <w:bookmarkStart w:id="1244" w:name="_Toc38442546"/>
      <w:bookmarkStart w:id="1245" w:name="_Toc38442877"/>
      <w:bookmarkStart w:id="1246" w:name="_Toc38443208"/>
      <w:bookmarkStart w:id="1247" w:name="_Toc38443539"/>
      <w:bookmarkStart w:id="1248" w:name="_Toc38443870"/>
      <w:bookmarkStart w:id="1249" w:name="_Toc38438337"/>
      <w:bookmarkStart w:id="1250" w:name="_Toc38438674"/>
      <w:bookmarkStart w:id="1251" w:name="_Toc38439011"/>
      <w:bookmarkStart w:id="1252" w:name="_Toc38439348"/>
      <w:bookmarkStart w:id="1253" w:name="_Toc38439685"/>
      <w:bookmarkStart w:id="1254" w:name="_Toc38440022"/>
      <w:bookmarkStart w:id="1255" w:name="_Toc38440359"/>
      <w:bookmarkStart w:id="1256" w:name="_Toc38440891"/>
      <w:bookmarkStart w:id="1257" w:name="_Toc38441223"/>
      <w:bookmarkStart w:id="1258" w:name="_Toc38441555"/>
      <w:bookmarkStart w:id="1259" w:name="_Toc38441883"/>
      <w:bookmarkStart w:id="1260" w:name="_Toc38442215"/>
      <w:bookmarkStart w:id="1261" w:name="_Toc38442547"/>
      <w:bookmarkStart w:id="1262" w:name="_Toc38442878"/>
      <w:bookmarkStart w:id="1263" w:name="_Toc38443209"/>
      <w:bookmarkStart w:id="1264" w:name="_Toc38443540"/>
      <w:bookmarkStart w:id="1265" w:name="_Toc38443871"/>
      <w:bookmarkStart w:id="1266" w:name="_Toc38438338"/>
      <w:bookmarkStart w:id="1267" w:name="_Toc38438675"/>
      <w:bookmarkStart w:id="1268" w:name="_Toc38439012"/>
      <w:bookmarkStart w:id="1269" w:name="_Toc38439349"/>
      <w:bookmarkStart w:id="1270" w:name="_Toc38439686"/>
      <w:bookmarkStart w:id="1271" w:name="_Toc38440023"/>
      <w:bookmarkStart w:id="1272" w:name="_Toc38440360"/>
      <w:bookmarkStart w:id="1273" w:name="_Toc38440892"/>
      <w:bookmarkStart w:id="1274" w:name="_Toc38441224"/>
      <w:bookmarkStart w:id="1275" w:name="_Toc38441556"/>
      <w:bookmarkStart w:id="1276" w:name="_Toc38441884"/>
      <w:bookmarkStart w:id="1277" w:name="_Toc38442216"/>
      <w:bookmarkStart w:id="1278" w:name="_Toc38442548"/>
      <w:bookmarkStart w:id="1279" w:name="_Toc38442879"/>
      <w:bookmarkStart w:id="1280" w:name="_Toc38443210"/>
      <w:bookmarkStart w:id="1281" w:name="_Toc38443541"/>
      <w:bookmarkStart w:id="1282" w:name="_Toc38443872"/>
      <w:bookmarkStart w:id="1283" w:name="_Toc38438339"/>
      <w:bookmarkStart w:id="1284" w:name="_Toc38438676"/>
      <w:bookmarkStart w:id="1285" w:name="_Toc38439013"/>
      <w:bookmarkStart w:id="1286" w:name="_Toc38439350"/>
      <w:bookmarkStart w:id="1287" w:name="_Toc38439687"/>
      <w:bookmarkStart w:id="1288" w:name="_Toc38440024"/>
      <w:bookmarkStart w:id="1289" w:name="_Toc38440361"/>
      <w:bookmarkStart w:id="1290" w:name="_Toc38440893"/>
      <w:bookmarkStart w:id="1291" w:name="_Toc38441225"/>
      <w:bookmarkStart w:id="1292" w:name="_Toc38441557"/>
      <w:bookmarkStart w:id="1293" w:name="_Toc38441885"/>
      <w:bookmarkStart w:id="1294" w:name="_Toc38442217"/>
      <w:bookmarkStart w:id="1295" w:name="_Toc38442549"/>
      <w:bookmarkStart w:id="1296" w:name="_Toc38442880"/>
      <w:bookmarkStart w:id="1297" w:name="_Toc38443211"/>
      <w:bookmarkStart w:id="1298" w:name="_Toc38443542"/>
      <w:bookmarkStart w:id="1299" w:name="_Toc38443873"/>
      <w:bookmarkStart w:id="1300" w:name="_Toc38438340"/>
      <w:bookmarkStart w:id="1301" w:name="_Toc38438677"/>
      <w:bookmarkStart w:id="1302" w:name="_Toc38439014"/>
      <w:bookmarkStart w:id="1303" w:name="_Toc38439351"/>
      <w:bookmarkStart w:id="1304" w:name="_Toc38439688"/>
      <w:bookmarkStart w:id="1305" w:name="_Toc38440025"/>
      <w:bookmarkStart w:id="1306" w:name="_Toc38440362"/>
      <w:bookmarkStart w:id="1307" w:name="_Toc38440894"/>
      <w:bookmarkStart w:id="1308" w:name="_Toc38441226"/>
      <w:bookmarkStart w:id="1309" w:name="_Toc38441558"/>
      <w:bookmarkStart w:id="1310" w:name="_Toc38441886"/>
      <w:bookmarkStart w:id="1311" w:name="_Toc38442218"/>
      <w:bookmarkStart w:id="1312" w:name="_Toc38442550"/>
      <w:bookmarkStart w:id="1313" w:name="_Toc38442881"/>
      <w:bookmarkStart w:id="1314" w:name="_Toc38443212"/>
      <w:bookmarkStart w:id="1315" w:name="_Toc38443543"/>
      <w:bookmarkStart w:id="1316" w:name="_Toc38443874"/>
      <w:bookmarkStart w:id="1317" w:name="_Toc38438341"/>
      <w:bookmarkStart w:id="1318" w:name="_Toc38438678"/>
      <w:bookmarkStart w:id="1319" w:name="_Toc38439015"/>
      <w:bookmarkStart w:id="1320" w:name="_Toc38439352"/>
      <w:bookmarkStart w:id="1321" w:name="_Toc38439689"/>
      <w:bookmarkStart w:id="1322" w:name="_Toc38440026"/>
      <w:bookmarkStart w:id="1323" w:name="_Toc38440363"/>
      <w:bookmarkStart w:id="1324" w:name="_Toc38440895"/>
      <w:bookmarkStart w:id="1325" w:name="_Toc38441227"/>
      <w:bookmarkStart w:id="1326" w:name="_Toc38441559"/>
      <w:bookmarkStart w:id="1327" w:name="_Toc38441887"/>
      <w:bookmarkStart w:id="1328" w:name="_Toc38442219"/>
      <w:bookmarkStart w:id="1329" w:name="_Toc38442551"/>
      <w:bookmarkStart w:id="1330" w:name="_Toc38442882"/>
      <w:bookmarkStart w:id="1331" w:name="_Toc38443213"/>
      <w:bookmarkStart w:id="1332" w:name="_Toc38443544"/>
      <w:bookmarkStart w:id="1333" w:name="_Toc38443875"/>
      <w:bookmarkStart w:id="1334" w:name="_Toc38438342"/>
      <w:bookmarkStart w:id="1335" w:name="_Toc38438679"/>
      <w:bookmarkStart w:id="1336" w:name="_Toc38439016"/>
      <w:bookmarkStart w:id="1337" w:name="_Toc38439353"/>
      <w:bookmarkStart w:id="1338" w:name="_Toc38439690"/>
      <w:bookmarkStart w:id="1339" w:name="_Toc38440027"/>
      <w:bookmarkStart w:id="1340" w:name="_Toc38440364"/>
      <w:bookmarkStart w:id="1341" w:name="_Toc38440896"/>
      <w:bookmarkStart w:id="1342" w:name="_Toc38441228"/>
      <w:bookmarkStart w:id="1343" w:name="_Toc38441560"/>
      <w:bookmarkStart w:id="1344" w:name="_Toc38441888"/>
      <w:bookmarkStart w:id="1345" w:name="_Toc38442220"/>
      <w:bookmarkStart w:id="1346" w:name="_Toc38442552"/>
      <w:bookmarkStart w:id="1347" w:name="_Toc38442883"/>
      <w:bookmarkStart w:id="1348" w:name="_Toc38443214"/>
      <w:bookmarkStart w:id="1349" w:name="_Toc38443545"/>
      <w:bookmarkStart w:id="1350" w:name="_Toc38443876"/>
      <w:bookmarkStart w:id="1351" w:name="_Toc38438343"/>
      <w:bookmarkStart w:id="1352" w:name="_Toc38438680"/>
      <w:bookmarkStart w:id="1353" w:name="_Toc38439017"/>
      <w:bookmarkStart w:id="1354" w:name="_Toc38439354"/>
      <w:bookmarkStart w:id="1355" w:name="_Toc38439691"/>
      <w:bookmarkStart w:id="1356" w:name="_Toc38440028"/>
      <w:bookmarkStart w:id="1357" w:name="_Toc38440365"/>
      <w:bookmarkStart w:id="1358" w:name="_Toc38440897"/>
      <w:bookmarkStart w:id="1359" w:name="_Toc38441229"/>
      <w:bookmarkStart w:id="1360" w:name="_Toc38441561"/>
      <w:bookmarkStart w:id="1361" w:name="_Toc38441889"/>
      <w:bookmarkStart w:id="1362" w:name="_Toc38442221"/>
      <w:bookmarkStart w:id="1363" w:name="_Toc38442553"/>
      <w:bookmarkStart w:id="1364" w:name="_Toc38442884"/>
      <w:bookmarkStart w:id="1365" w:name="_Toc38443215"/>
      <w:bookmarkStart w:id="1366" w:name="_Toc38443546"/>
      <w:bookmarkStart w:id="1367" w:name="_Toc38443877"/>
      <w:bookmarkStart w:id="1368" w:name="_Toc13148422"/>
      <w:bookmarkEnd w:id="26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rsidRPr="00533AE6">
        <w:rPr>
          <w:rFonts w:asciiTheme="minorEastAsia" w:eastAsiaTheme="minorEastAsia" w:hAnsiTheme="minorEastAsia"/>
          <w:b/>
          <w:bCs/>
        </w:rPr>
        <w:lastRenderedPageBreak/>
        <w:tab/>
      </w:r>
      <w:bookmarkStart w:id="1369" w:name="_Toc46933330"/>
      <w:r w:rsidR="006376F9" w:rsidRPr="00533AE6">
        <w:rPr>
          <w:rFonts w:asciiTheme="minorEastAsia" w:eastAsiaTheme="minorEastAsia" w:hAnsiTheme="minorEastAsia" w:hint="eastAsia"/>
          <w:bCs/>
        </w:rPr>
        <w:t>二十四</w:t>
      </w:r>
      <w:r w:rsidR="00266A27" w:rsidRPr="00533AE6">
        <w:rPr>
          <w:rFonts w:asciiTheme="minorEastAsia" w:eastAsiaTheme="minorEastAsia" w:hAnsiTheme="minorEastAsia" w:hint="eastAsia"/>
          <w:bCs/>
        </w:rPr>
        <w:t>、</w:t>
      </w:r>
      <w:bookmarkEnd w:id="1368"/>
      <w:r w:rsidR="00266A27" w:rsidRPr="00533AE6">
        <w:rPr>
          <w:rFonts w:asciiTheme="minorEastAsia" w:eastAsiaTheme="minorEastAsia" w:hAnsiTheme="minorEastAsia" w:hint="eastAsia"/>
          <w:bCs/>
        </w:rPr>
        <w:t>其他应披露事项</w:t>
      </w:r>
      <w:bookmarkEnd w:id="1369"/>
      <w:r w:rsidRPr="00533AE6">
        <w:rPr>
          <w:rFonts w:asciiTheme="minorEastAsia" w:eastAsiaTheme="minorEastAsia" w:hAnsiTheme="minorEastAsia"/>
          <w:bCs/>
        </w:rPr>
        <w:tab/>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984"/>
      </w:tblGrid>
      <w:tr w:rsidR="00533AE6" w:rsidRPr="00533AE6" w:rsidTr="00393684">
        <w:trPr>
          <w:trHeight w:val="765"/>
        </w:trPr>
        <w:tc>
          <w:tcPr>
            <w:tcW w:w="6629" w:type="dxa"/>
            <w:tcBorders>
              <w:top w:val="single" w:sz="4" w:space="0" w:color="auto"/>
              <w:left w:val="single" w:sz="4" w:space="0" w:color="auto"/>
              <w:bottom w:val="single" w:sz="4" w:space="0" w:color="auto"/>
              <w:right w:val="single" w:sz="4" w:space="0" w:color="auto"/>
            </w:tcBorders>
            <w:vAlign w:val="center"/>
            <w:hideMark/>
          </w:tcPr>
          <w:p w:rsidR="00EE4714" w:rsidRPr="00533AE6" w:rsidRDefault="00713E37" w:rsidP="00393684">
            <w:pPr>
              <w:spacing w:line="36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公告事项</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714" w:rsidRPr="00533AE6" w:rsidRDefault="00713E37" w:rsidP="00393684">
            <w:pPr>
              <w:spacing w:line="360" w:lineRule="auto"/>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披露日期</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易方达基金管理有限公司关于旗下部分开放式基金参加海通证券费率优惠活动的公告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2019-08-12</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autoSpaceDE w:val="0"/>
              <w:autoSpaceDN w:val="0"/>
              <w:adjustRightInd w:val="0"/>
              <w:ind w:leftChars="0" w:left="0" w:firstLineChars="0" w:firstLine="0"/>
              <w:jc w:val="left"/>
              <w:rPr>
                <w:rFonts w:asciiTheme="minorEastAsia" w:eastAsiaTheme="minorEastAsia" w:hAnsiTheme="minorEastAsia" w:cs="宋体"/>
                <w:kern w:val="0"/>
                <w:szCs w:val="21"/>
              </w:rPr>
            </w:pPr>
            <w:r w:rsidRPr="00533AE6">
              <w:rPr>
                <w:rFonts w:asciiTheme="minorEastAsia" w:eastAsiaTheme="minorEastAsia" w:hAnsiTheme="minorEastAsia" w:cs="宋体" w:hint="eastAsia"/>
                <w:kern w:val="0"/>
                <w:szCs w:val="21"/>
              </w:rPr>
              <w:t>易方达基金管理有限公司关于旗下部分开放式基金参加销售机构申购费率优惠活动的公告</w:t>
            </w:r>
          </w:p>
          <w:p w:rsidR="00713E37" w:rsidRPr="00533AE6" w:rsidRDefault="00713E37" w:rsidP="00713E37">
            <w:pPr>
              <w:ind w:leftChars="0" w:left="0" w:firstLineChars="0" w:firstLine="0"/>
              <w:jc w:val="left"/>
              <w:rPr>
                <w:rFonts w:asciiTheme="minorEastAsia" w:eastAsia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2019-08-14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易方达基金管理有限公司关于旗下部分开放式基金参加潍坊银行费率优惠活动的公告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2019-08-26</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易方达基金管理有限公司旗下部分开放式基金参加东莞农村商业银行费率优惠活动的公告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2019-09-17</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易方达基金管理有限公司关于聘任基金经理助理的公告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2019-09-19</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易方达基金管理有限公司旗下基金季度报告提示性公告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2019-10-24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易方达基金管理有限公司旗下部分开放式基金参加方正证券费率优惠活动的公告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2019-11-08</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易方达基金管理有限公司旗下部分开放式基金增加中邮证券为销售机构的公告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2019-12-13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易方达基金管理有限公司旗下部分开放式基金参加长城证券申购费率优惠活动的公告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2019-12-16</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autoSpaceDE w:val="0"/>
              <w:autoSpaceDN w:val="0"/>
              <w:adjustRightInd w:val="0"/>
              <w:ind w:leftChars="0" w:left="0" w:firstLineChars="0" w:firstLine="0"/>
              <w:jc w:val="left"/>
              <w:rPr>
                <w:rFonts w:asciiTheme="minorEastAsia" w:eastAsiaTheme="minorEastAsia" w:hAnsiTheme="minorEastAsia" w:cs="宋体"/>
                <w:kern w:val="0"/>
                <w:szCs w:val="21"/>
              </w:rPr>
            </w:pPr>
            <w:r w:rsidRPr="00533AE6">
              <w:rPr>
                <w:rFonts w:asciiTheme="minorEastAsia" w:eastAsiaTheme="minorEastAsia" w:hAnsiTheme="minorEastAsia" w:cs="宋体" w:hint="eastAsia"/>
                <w:kern w:val="0"/>
                <w:szCs w:val="21"/>
              </w:rPr>
              <w:t>易方达基金管理有限公司旗下部分开放式基金参加中国邮政储蓄银行个人网上银行和手机银行申购费率优惠活动的公告</w:t>
            </w:r>
          </w:p>
          <w:p w:rsidR="00713E37" w:rsidRPr="00533AE6" w:rsidRDefault="00713E37" w:rsidP="00713E37">
            <w:pPr>
              <w:ind w:leftChars="0" w:left="0" w:firstLineChars="0" w:firstLine="0"/>
              <w:jc w:val="left"/>
              <w:rPr>
                <w:rFonts w:asciiTheme="minorEastAsia" w:eastAsia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2019-12-30</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易方达基金管理有限公司关于公司股权变更的公告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易方达基金管理有限公司关于易方达医疗保健行业混合型证券投资基金根据《公开募集证券投资基金信息披露管理办法》修订基金合同、托管协议部分条款的公告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易方达基金管理有限公司旗下部分开放式基金参加交通银行手机银行费率优惠活动的公告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易方达基金管理有限公司旗下部分开放式基金参加昆仑银行费率优惠</w:t>
            </w:r>
            <w:r w:rsidRPr="00533AE6">
              <w:rPr>
                <w:rFonts w:asciiTheme="minorEastAsia" w:eastAsiaTheme="minorEastAsia" w:hAnsiTheme="minorEastAsia" w:hint="eastAsia"/>
                <w:szCs w:val="21"/>
              </w:rPr>
              <w:lastRenderedPageBreak/>
              <w:t>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lastRenderedPageBreak/>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易方达基金管理有限公司旗下部分开放式基金参加苏州银行费率优惠活动的公告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autoSpaceDE w:val="0"/>
              <w:autoSpaceDN w:val="0"/>
              <w:adjustRightInd w:val="0"/>
              <w:ind w:leftChars="0" w:left="0" w:firstLineChars="0" w:firstLine="0"/>
              <w:jc w:val="left"/>
              <w:rPr>
                <w:rFonts w:asciiTheme="minorEastAsia" w:eastAsiaTheme="minorEastAsia" w:hAnsiTheme="minorEastAsia" w:cs="宋体"/>
                <w:kern w:val="0"/>
                <w:szCs w:val="21"/>
              </w:rPr>
            </w:pPr>
            <w:r w:rsidRPr="00533AE6">
              <w:rPr>
                <w:rFonts w:asciiTheme="minorEastAsia" w:eastAsiaTheme="minorEastAsia" w:hAnsiTheme="minorEastAsia" w:cs="宋体" w:hint="eastAsia"/>
                <w:kern w:val="0"/>
                <w:szCs w:val="21"/>
              </w:rPr>
              <w:t>易方达基金管理有限公司旗下部分开放式基金参加烟台银行定期定额投资费率优惠活动的公告</w:t>
            </w:r>
          </w:p>
          <w:p w:rsidR="00713E37" w:rsidRPr="00533AE6" w:rsidRDefault="00713E37" w:rsidP="00713E37">
            <w:pPr>
              <w:ind w:leftChars="0" w:left="0" w:firstLineChars="0" w:firstLine="0"/>
              <w:jc w:val="left"/>
              <w:rPr>
                <w:rFonts w:asciiTheme="minorEastAsia" w:eastAsia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2019-12-31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易方达基金管理有限公司旗下部分开放式基金参加中国农业银行费率优惠活动的公告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2020-01-06</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易方达基金管理有限公司旗下基金2019年第4季度报告提示性公告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2020-01-18</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易方达基金管理有限公司旗下部分开放式基金参加泉州银行费率优惠活动的公告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2020-01-23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szCs w:val="21"/>
              </w:rPr>
              <w:t>2020-01-30</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易方达基金管理有限公司及全资子公司投资旗下基金相关事宜的公告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2020-02-04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易方达基金管理有限公司旗下部分开放式基金参加中金公司费率优惠活动的公告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2020-03-05</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易方达基金管理有限公司旗下部分开放式基金参加百度百盈费率优惠活动的公告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2020-03-10</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易方达基金管理有限公司关于旗下部分开放式基金参加腾安基金费率优惠活动的公告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szCs w:val="21"/>
              </w:rPr>
              <w:t>2020-03-17</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2020-03-23</w:t>
            </w:r>
          </w:p>
        </w:tc>
      </w:tr>
      <w:tr w:rsidR="005220E1" w:rsidRPr="005220E1" w:rsidTr="005220E1">
        <w:tc>
          <w:tcPr>
            <w:tcW w:w="6629" w:type="dxa"/>
            <w:tcBorders>
              <w:top w:val="single" w:sz="4" w:space="0" w:color="auto"/>
              <w:left w:val="single" w:sz="4" w:space="0" w:color="auto"/>
              <w:bottom w:val="single" w:sz="4" w:space="0" w:color="auto"/>
              <w:right w:val="single" w:sz="4" w:space="0" w:color="auto"/>
            </w:tcBorders>
          </w:tcPr>
          <w:p w:rsidR="005220E1" w:rsidRPr="005220E1" w:rsidRDefault="005220E1" w:rsidP="005220E1">
            <w:pPr>
              <w:ind w:leftChars="0" w:left="0" w:firstLineChars="0" w:firstLine="0"/>
              <w:jc w:val="left"/>
              <w:rPr>
                <w:rFonts w:asciiTheme="minorEastAsia" w:eastAsiaTheme="minorEastAsia" w:hAnsiTheme="minorEastAsia" w:hint="eastAsia"/>
                <w:szCs w:val="21"/>
              </w:rPr>
            </w:pPr>
            <w:r w:rsidRPr="005220E1">
              <w:rPr>
                <w:rFonts w:asciiTheme="minorEastAsia" w:eastAsiaTheme="minorEastAsia" w:hAnsiTheme="minorEastAsia" w:hint="eastAsia"/>
                <w:szCs w:val="21"/>
              </w:rPr>
              <w:t>易方达基金管理有限公司旗下基金2019年年度报告提示性公告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5220E1" w:rsidRPr="005220E1" w:rsidRDefault="005220E1" w:rsidP="005220E1">
            <w:pPr>
              <w:ind w:leftChars="0" w:left="0" w:firstLineChars="0" w:firstLine="0"/>
              <w:jc w:val="center"/>
              <w:rPr>
                <w:rFonts w:asciiTheme="minorEastAsia" w:eastAsiaTheme="minorEastAsia" w:hAnsiTheme="minorEastAsia"/>
                <w:szCs w:val="21"/>
              </w:rPr>
            </w:pPr>
            <w:r w:rsidRPr="005220E1">
              <w:rPr>
                <w:rFonts w:asciiTheme="minorEastAsia" w:eastAsiaTheme="minorEastAsia" w:hAnsiTheme="minorEastAsia" w:hint="eastAsia"/>
                <w:szCs w:val="21"/>
              </w:rPr>
              <w:t>2020-03-31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易方达基金管理有限公司关于提醒投资者及时提供或更新身份信息资料的公告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2020-04-10</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易方达基金管理有限公司旗下部分开放式基金参加诺亚正行费率优惠活动的公告</w:t>
            </w:r>
            <w:bookmarkStart w:id="1370" w:name="_GoBack"/>
            <w:bookmarkEnd w:id="1370"/>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2020-04-17</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易方达基金管理有限公司旗下部分开放式基金参加中国国际期货费率优惠活动的公告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2020-04-17</w:t>
            </w:r>
          </w:p>
        </w:tc>
      </w:tr>
      <w:tr w:rsidR="005220E1"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5220E1" w:rsidRPr="00023D53" w:rsidRDefault="005220E1" w:rsidP="005220E1">
            <w:pPr>
              <w:spacing w:line="360" w:lineRule="auto"/>
              <w:ind w:left="-420" w:firstLine="420"/>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易方达基金管理有限公司旗下基金2020年第1季度报告提示性公告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5220E1" w:rsidRPr="00023D53" w:rsidRDefault="005220E1" w:rsidP="005220E1">
            <w:pPr>
              <w:spacing w:line="360" w:lineRule="auto"/>
              <w:ind w:left="-420" w:firstLine="420"/>
              <w:jc w:val="center"/>
              <w:rPr>
                <w:rFonts w:asciiTheme="minorEastAsia" w:eastAsiaTheme="minorEastAsia" w:hAnsiTheme="minorEastAsia"/>
                <w:szCs w:val="22"/>
              </w:rPr>
            </w:pPr>
            <w:r>
              <w:rPr>
                <w:rFonts w:asciiTheme="minorEastAsia" w:eastAsiaTheme="minorEastAsia" w:hAnsiTheme="minorEastAsia" w:hint="eastAsia"/>
                <w:szCs w:val="22"/>
              </w:rPr>
              <w:t>2020-04-21</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易方达基金管理有限公司旗下部分开放式基金增加青岛农商银行为销售机构的公告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szCs w:val="21"/>
              </w:rPr>
              <w:t>2020-04-27</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易方达基金管理有限公司旗下部分开放式基金参加中金公司申购费率优惠活动的公告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2020-05-14</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易方达基金管理有限公司旗下部分开放式基金参加万联证券费率优惠活动的公告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2020-05-18</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易方达基金管理有限公司旗下部分开放式基金参加华夏财富费率优惠</w:t>
            </w:r>
            <w:r w:rsidRPr="00533AE6">
              <w:rPr>
                <w:rFonts w:asciiTheme="minorEastAsia" w:eastAsiaTheme="minorEastAsia" w:hAnsiTheme="minorEastAsia" w:hint="eastAsia"/>
                <w:szCs w:val="21"/>
              </w:rPr>
              <w:lastRenderedPageBreak/>
              <w:t>活动的公告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lastRenderedPageBreak/>
              <w:t>2020-05-23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易方达基金管理有限公司关于旗下基金在包商银行股份有限公司相关业务安排的提示性公告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2020-05-29</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2020-06-03</w:t>
            </w:r>
          </w:p>
        </w:tc>
      </w:tr>
      <w:tr w:rsidR="00533AE6" w:rsidRPr="00533AE6" w:rsidTr="005220E1">
        <w:tc>
          <w:tcPr>
            <w:tcW w:w="6629" w:type="dxa"/>
            <w:tcBorders>
              <w:top w:val="single" w:sz="4" w:space="0" w:color="auto"/>
              <w:left w:val="single" w:sz="4" w:space="0" w:color="auto"/>
              <w:bottom w:val="single" w:sz="4" w:space="0" w:color="auto"/>
              <w:right w:val="single" w:sz="4" w:space="0" w:color="auto"/>
            </w:tcBorders>
            <w:vAlign w:val="bottom"/>
          </w:tcPr>
          <w:p w:rsidR="00713E37" w:rsidRPr="00533AE6" w:rsidRDefault="00713E37" w:rsidP="00713E37">
            <w:pPr>
              <w:ind w:leftChars="0" w:left="0" w:firstLineChars="0" w:firstLine="0"/>
              <w:jc w:val="left"/>
              <w:rPr>
                <w:rFonts w:asciiTheme="minorEastAsia" w:eastAsiaTheme="minorEastAsia" w:hAnsiTheme="minorEastAsia"/>
                <w:szCs w:val="21"/>
              </w:rPr>
            </w:pPr>
            <w:r w:rsidRPr="00533AE6">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984" w:type="dxa"/>
            <w:tcBorders>
              <w:top w:val="single" w:sz="4" w:space="0" w:color="auto"/>
              <w:left w:val="single" w:sz="4" w:space="0" w:color="auto"/>
              <w:bottom w:val="single" w:sz="4" w:space="0" w:color="auto"/>
              <w:right w:val="single" w:sz="4" w:space="0" w:color="auto"/>
            </w:tcBorders>
            <w:vAlign w:val="center"/>
          </w:tcPr>
          <w:p w:rsidR="00713E37" w:rsidRPr="00533AE6" w:rsidRDefault="00713E37" w:rsidP="005220E1">
            <w:pPr>
              <w:ind w:left="-420" w:firstLine="420"/>
              <w:jc w:val="center"/>
              <w:rPr>
                <w:rFonts w:asciiTheme="minorEastAsia" w:eastAsiaTheme="minorEastAsia" w:hAnsiTheme="minorEastAsia"/>
                <w:szCs w:val="21"/>
              </w:rPr>
            </w:pPr>
            <w:r w:rsidRPr="00533AE6">
              <w:rPr>
                <w:rFonts w:asciiTheme="minorEastAsia" w:eastAsiaTheme="minorEastAsia" w:hAnsiTheme="minorEastAsia" w:hint="eastAsia"/>
                <w:szCs w:val="21"/>
              </w:rPr>
              <w:t>2020-06-04</w:t>
            </w:r>
          </w:p>
        </w:tc>
      </w:tr>
    </w:tbl>
    <w:p w:rsidR="007E7B9F" w:rsidRPr="00533AE6" w:rsidRDefault="007E7B9F"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注：</w:t>
      </w:r>
      <w:r w:rsidR="00EE4D4E" w:rsidRPr="00533AE6">
        <w:rPr>
          <w:rFonts w:asciiTheme="minorEastAsia" w:eastAsiaTheme="minorEastAsia" w:hAnsiTheme="minorEastAsia" w:hint="eastAsia"/>
        </w:rPr>
        <w:t>以上公告事项披露在指定媒介及基金管理人网站上。</w:t>
      </w:r>
      <w:r w:rsidRPr="00533AE6">
        <w:rPr>
          <w:rFonts w:asciiTheme="minorEastAsia" w:eastAsiaTheme="minorEastAsia" w:hAnsiTheme="minorEastAsia"/>
          <w:szCs w:val="21"/>
        </w:rPr>
        <w:br w:type="page"/>
      </w:r>
    </w:p>
    <w:p w:rsidR="00067839" w:rsidRPr="00533AE6" w:rsidRDefault="00067839" w:rsidP="005A15F8">
      <w:pPr>
        <w:pStyle w:val="1"/>
        <w:snapToGrid w:val="0"/>
        <w:spacing w:beforeLines="0" w:afterLines="0" w:line="360" w:lineRule="auto"/>
        <w:ind w:left="-420" w:firstLineChars="0" w:firstLine="0"/>
        <w:rPr>
          <w:rFonts w:asciiTheme="minorEastAsia" w:eastAsiaTheme="minorEastAsia" w:hAnsiTheme="minorEastAsia"/>
        </w:rPr>
      </w:pPr>
      <w:bookmarkStart w:id="1371" w:name="_Toc38438350"/>
      <w:bookmarkStart w:id="1372" w:name="_Toc38438687"/>
      <w:bookmarkStart w:id="1373" w:name="_Toc38439024"/>
      <w:bookmarkStart w:id="1374" w:name="_Toc38439361"/>
      <w:bookmarkStart w:id="1375" w:name="_Toc38439698"/>
      <w:bookmarkStart w:id="1376" w:name="_Toc38440035"/>
      <w:bookmarkStart w:id="1377" w:name="_Toc38440372"/>
      <w:bookmarkStart w:id="1378" w:name="_Toc38440904"/>
      <w:bookmarkStart w:id="1379" w:name="_Toc38441236"/>
      <w:bookmarkStart w:id="1380" w:name="_Toc38441568"/>
      <w:bookmarkStart w:id="1381" w:name="_Toc38441896"/>
      <w:bookmarkStart w:id="1382" w:name="_Toc38442228"/>
      <w:bookmarkStart w:id="1383" w:name="_Toc38442560"/>
      <w:bookmarkStart w:id="1384" w:name="_Toc38442891"/>
      <w:bookmarkStart w:id="1385" w:name="_Toc38443222"/>
      <w:bookmarkStart w:id="1386" w:name="_Toc38443553"/>
      <w:bookmarkStart w:id="1387" w:name="_Toc38443883"/>
      <w:bookmarkStart w:id="1388" w:name="_Toc38438351"/>
      <w:bookmarkStart w:id="1389" w:name="_Toc38438688"/>
      <w:bookmarkStart w:id="1390" w:name="_Toc38439025"/>
      <w:bookmarkStart w:id="1391" w:name="_Toc38439362"/>
      <w:bookmarkStart w:id="1392" w:name="_Toc38439699"/>
      <w:bookmarkStart w:id="1393" w:name="_Toc38440036"/>
      <w:bookmarkStart w:id="1394" w:name="_Toc38440373"/>
      <w:bookmarkStart w:id="1395" w:name="_Toc38440905"/>
      <w:bookmarkStart w:id="1396" w:name="_Toc38441237"/>
      <w:bookmarkStart w:id="1397" w:name="_Toc38441569"/>
      <w:bookmarkStart w:id="1398" w:name="_Toc38441897"/>
      <w:bookmarkStart w:id="1399" w:name="_Toc38442229"/>
      <w:bookmarkStart w:id="1400" w:name="_Toc38442561"/>
      <w:bookmarkStart w:id="1401" w:name="_Toc38442892"/>
      <w:bookmarkStart w:id="1402" w:name="_Toc38443223"/>
      <w:bookmarkStart w:id="1403" w:name="_Toc38443554"/>
      <w:bookmarkStart w:id="1404" w:name="_Toc38443884"/>
      <w:bookmarkStart w:id="1405" w:name="_Toc38438352"/>
      <w:bookmarkStart w:id="1406" w:name="_Toc38438689"/>
      <w:bookmarkStart w:id="1407" w:name="_Toc38439026"/>
      <w:bookmarkStart w:id="1408" w:name="_Toc38439363"/>
      <w:bookmarkStart w:id="1409" w:name="_Toc38439700"/>
      <w:bookmarkStart w:id="1410" w:name="_Toc38440037"/>
      <w:bookmarkStart w:id="1411" w:name="_Toc38440374"/>
      <w:bookmarkStart w:id="1412" w:name="_Toc38440906"/>
      <w:bookmarkStart w:id="1413" w:name="_Toc38441238"/>
      <w:bookmarkStart w:id="1414" w:name="_Toc38441570"/>
      <w:bookmarkStart w:id="1415" w:name="_Toc38441898"/>
      <w:bookmarkStart w:id="1416" w:name="_Toc38442230"/>
      <w:bookmarkStart w:id="1417" w:name="_Toc38442562"/>
      <w:bookmarkStart w:id="1418" w:name="_Toc38442893"/>
      <w:bookmarkStart w:id="1419" w:name="_Toc38443224"/>
      <w:bookmarkStart w:id="1420" w:name="_Toc38443555"/>
      <w:bookmarkStart w:id="1421" w:name="_Toc38443885"/>
      <w:bookmarkStart w:id="1422" w:name="_Toc38438353"/>
      <w:bookmarkStart w:id="1423" w:name="_Toc38438690"/>
      <w:bookmarkStart w:id="1424" w:name="_Toc38439027"/>
      <w:bookmarkStart w:id="1425" w:name="_Toc38439364"/>
      <w:bookmarkStart w:id="1426" w:name="_Toc38439701"/>
      <w:bookmarkStart w:id="1427" w:name="_Toc38440038"/>
      <w:bookmarkStart w:id="1428" w:name="_Toc38440375"/>
      <w:bookmarkStart w:id="1429" w:name="_Toc38440907"/>
      <w:bookmarkStart w:id="1430" w:name="_Toc38441239"/>
      <w:bookmarkStart w:id="1431" w:name="_Toc38441571"/>
      <w:bookmarkStart w:id="1432" w:name="_Toc38441899"/>
      <w:bookmarkStart w:id="1433" w:name="_Toc38442231"/>
      <w:bookmarkStart w:id="1434" w:name="_Toc38442563"/>
      <w:bookmarkStart w:id="1435" w:name="_Toc38442894"/>
      <w:bookmarkStart w:id="1436" w:name="_Toc38443225"/>
      <w:bookmarkStart w:id="1437" w:name="_Toc38443556"/>
      <w:bookmarkStart w:id="1438" w:name="_Toc38443886"/>
      <w:bookmarkStart w:id="1439" w:name="_Toc38438354"/>
      <w:bookmarkStart w:id="1440" w:name="_Toc38438691"/>
      <w:bookmarkStart w:id="1441" w:name="_Toc38439028"/>
      <w:bookmarkStart w:id="1442" w:name="_Toc38439365"/>
      <w:bookmarkStart w:id="1443" w:name="_Toc38439702"/>
      <w:bookmarkStart w:id="1444" w:name="_Toc38440039"/>
      <w:bookmarkStart w:id="1445" w:name="_Toc38440376"/>
      <w:bookmarkStart w:id="1446" w:name="_Toc38440908"/>
      <w:bookmarkStart w:id="1447" w:name="_Toc38441240"/>
      <w:bookmarkStart w:id="1448" w:name="_Toc38441572"/>
      <w:bookmarkStart w:id="1449" w:name="_Toc38441900"/>
      <w:bookmarkStart w:id="1450" w:name="_Toc38442232"/>
      <w:bookmarkStart w:id="1451" w:name="_Toc38442564"/>
      <w:bookmarkStart w:id="1452" w:name="_Toc38442895"/>
      <w:bookmarkStart w:id="1453" w:name="_Toc38443226"/>
      <w:bookmarkStart w:id="1454" w:name="_Toc38443557"/>
      <w:bookmarkStart w:id="1455" w:name="_Toc38443887"/>
      <w:bookmarkStart w:id="1456" w:name="_Toc38438355"/>
      <w:bookmarkStart w:id="1457" w:name="_Toc38438692"/>
      <w:bookmarkStart w:id="1458" w:name="_Toc38439029"/>
      <w:bookmarkStart w:id="1459" w:name="_Toc38439366"/>
      <w:bookmarkStart w:id="1460" w:name="_Toc38439703"/>
      <w:bookmarkStart w:id="1461" w:name="_Toc38440040"/>
      <w:bookmarkStart w:id="1462" w:name="_Toc38440377"/>
      <w:bookmarkStart w:id="1463" w:name="_Toc38440909"/>
      <w:bookmarkStart w:id="1464" w:name="_Toc38441241"/>
      <w:bookmarkStart w:id="1465" w:name="_Toc38441573"/>
      <w:bookmarkStart w:id="1466" w:name="_Toc38441901"/>
      <w:bookmarkStart w:id="1467" w:name="_Toc38442233"/>
      <w:bookmarkStart w:id="1468" w:name="_Toc38442565"/>
      <w:bookmarkStart w:id="1469" w:name="_Toc38442896"/>
      <w:bookmarkStart w:id="1470" w:name="_Toc38443227"/>
      <w:bookmarkStart w:id="1471" w:name="_Toc38443558"/>
      <w:bookmarkStart w:id="1472" w:name="_Toc38443888"/>
      <w:bookmarkStart w:id="1473" w:name="_Toc38438356"/>
      <w:bookmarkStart w:id="1474" w:name="_Toc38438693"/>
      <w:bookmarkStart w:id="1475" w:name="_Toc38439030"/>
      <w:bookmarkStart w:id="1476" w:name="_Toc38439367"/>
      <w:bookmarkStart w:id="1477" w:name="_Toc38439704"/>
      <w:bookmarkStart w:id="1478" w:name="_Toc38440041"/>
      <w:bookmarkStart w:id="1479" w:name="_Toc38440378"/>
      <w:bookmarkStart w:id="1480" w:name="_Toc38440910"/>
      <w:bookmarkStart w:id="1481" w:name="_Toc38441242"/>
      <w:bookmarkStart w:id="1482" w:name="_Toc38441574"/>
      <w:bookmarkStart w:id="1483" w:name="_Toc38441902"/>
      <w:bookmarkStart w:id="1484" w:name="_Toc38442234"/>
      <w:bookmarkStart w:id="1485" w:name="_Toc38442566"/>
      <w:bookmarkStart w:id="1486" w:name="_Toc38442897"/>
      <w:bookmarkStart w:id="1487" w:name="_Toc38443228"/>
      <w:bookmarkStart w:id="1488" w:name="_Toc38443559"/>
      <w:bookmarkStart w:id="1489" w:name="_Toc38443889"/>
      <w:bookmarkStart w:id="1490" w:name="_Toc38438357"/>
      <w:bookmarkStart w:id="1491" w:name="_Toc38438694"/>
      <w:bookmarkStart w:id="1492" w:name="_Toc38439031"/>
      <w:bookmarkStart w:id="1493" w:name="_Toc38439368"/>
      <w:bookmarkStart w:id="1494" w:name="_Toc38439705"/>
      <w:bookmarkStart w:id="1495" w:name="_Toc38440042"/>
      <w:bookmarkStart w:id="1496" w:name="_Toc38440379"/>
      <w:bookmarkStart w:id="1497" w:name="_Toc38440911"/>
      <w:bookmarkStart w:id="1498" w:name="_Toc38441243"/>
      <w:bookmarkStart w:id="1499" w:name="_Toc38441575"/>
      <w:bookmarkStart w:id="1500" w:name="_Toc38441903"/>
      <w:bookmarkStart w:id="1501" w:name="_Toc38442235"/>
      <w:bookmarkStart w:id="1502" w:name="_Toc38442567"/>
      <w:bookmarkStart w:id="1503" w:name="_Toc38442898"/>
      <w:bookmarkStart w:id="1504" w:name="_Toc38443229"/>
      <w:bookmarkStart w:id="1505" w:name="_Toc38443560"/>
      <w:bookmarkStart w:id="1506" w:name="_Toc38443890"/>
      <w:bookmarkStart w:id="1507" w:name="_Toc38438358"/>
      <w:bookmarkStart w:id="1508" w:name="_Toc38438695"/>
      <w:bookmarkStart w:id="1509" w:name="_Toc38439032"/>
      <w:bookmarkStart w:id="1510" w:name="_Toc38439369"/>
      <w:bookmarkStart w:id="1511" w:name="_Toc38439706"/>
      <w:bookmarkStart w:id="1512" w:name="_Toc38440043"/>
      <w:bookmarkStart w:id="1513" w:name="_Toc38440380"/>
      <w:bookmarkStart w:id="1514" w:name="_Toc38440912"/>
      <w:bookmarkStart w:id="1515" w:name="_Toc38441244"/>
      <w:bookmarkStart w:id="1516" w:name="_Toc38441576"/>
      <w:bookmarkStart w:id="1517" w:name="_Toc38441904"/>
      <w:bookmarkStart w:id="1518" w:name="_Toc38442236"/>
      <w:bookmarkStart w:id="1519" w:name="_Toc38442568"/>
      <w:bookmarkStart w:id="1520" w:name="_Toc38442899"/>
      <w:bookmarkStart w:id="1521" w:name="_Toc38443230"/>
      <w:bookmarkStart w:id="1522" w:name="_Toc38443561"/>
      <w:bookmarkStart w:id="1523" w:name="_Toc38443891"/>
      <w:bookmarkStart w:id="1524" w:name="_Toc38438359"/>
      <w:bookmarkStart w:id="1525" w:name="_Toc38438696"/>
      <w:bookmarkStart w:id="1526" w:name="_Toc38439033"/>
      <w:bookmarkStart w:id="1527" w:name="_Toc38439370"/>
      <w:bookmarkStart w:id="1528" w:name="_Toc38439707"/>
      <w:bookmarkStart w:id="1529" w:name="_Toc38440044"/>
      <w:bookmarkStart w:id="1530" w:name="_Toc38440381"/>
      <w:bookmarkStart w:id="1531" w:name="_Toc38440913"/>
      <w:bookmarkStart w:id="1532" w:name="_Toc38441245"/>
      <w:bookmarkStart w:id="1533" w:name="_Toc38441577"/>
      <w:bookmarkStart w:id="1534" w:name="_Toc38441905"/>
      <w:bookmarkStart w:id="1535" w:name="_Toc38442237"/>
      <w:bookmarkStart w:id="1536" w:name="_Toc38442569"/>
      <w:bookmarkStart w:id="1537" w:name="_Toc38442900"/>
      <w:bookmarkStart w:id="1538" w:name="_Toc38443231"/>
      <w:bookmarkStart w:id="1539" w:name="_Toc38443562"/>
      <w:bookmarkStart w:id="1540" w:name="_Toc38443892"/>
      <w:bookmarkStart w:id="1541" w:name="_Toc38438360"/>
      <w:bookmarkStart w:id="1542" w:name="_Toc38438697"/>
      <w:bookmarkStart w:id="1543" w:name="_Toc38439034"/>
      <w:bookmarkStart w:id="1544" w:name="_Toc38439371"/>
      <w:bookmarkStart w:id="1545" w:name="_Toc38439708"/>
      <w:bookmarkStart w:id="1546" w:name="_Toc38440045"/>
      <w:bookmarkStart w:id="1547" w:name="_Toc38440382"/>
      <w:bookmarkStart w:id="1548" w:name="_Toc38440914"/>
      <w:bookmarkStart w:id="1549" w:name="_Toc38441246"/>
      <w:bookmarkStart w:id="1550" w:name="_Toc38441578"/>
      <w:bookmarkStart w:id="1551" w:name="_Toc38441906"/>
      <w:bookmarkStart w:id="1552" w:name="_Toc38442238"/>
      <w:bookmarkStart w:id="1553" w:name="_Toc38442570"/>
      <w:bookmarkStart w:id="1554" w:name="_Toc38442901"/>
      <w:bookmarkStart w:id="1555" w:name="_Toc38443232"/>
      <w:bookmarkStart w:id="1556" w:name="_Toc38443563"/>
      <w:bookmarkStart w:id="1557" w:name="_Toc38443893"/>
      <w:bookmarkStart w:id="1558" w:name="_Toc38438361"/>
      <w:bookmarkStart w:id="1559" w:name="_Toc38438698"/>
      <w:bookmarkStart w:id="1560" w:name="_Toc38439035"/>
      <w:bookmarkStart w:id="1561" w:name="_Toc38439372"/>
      <w:bookmarkStart w:id="1562" w:name="_Toc38439709"/>
      <w:bookmarkStart w:id="1563" w:name="_Toc38440046"/>
      <w:bookmarkStart w:id="1564" w:name="_Toc38440383"/>
      <w:bookmarkStart w:id="1565" w:name="_Toc38440915"/>
      <w:bookmarkStart w:id="1566" w:name="_Toc38441247"/>
      <w:bookmarkStart w:id="1567" w:name="_Toc38441579"/>
      <w:bookmarkStart w:id="1568" w:name="_Toc38441907"/>
      <w:bookmarkStart w:id="1569" w:name="_Toc38442239"/>
      <w:bookmarkStart w:id="1570" w:name="_Toc38442571"/>
      <w:bookmarkStart w:id="1571" w:name="_Toc38442902"/>
      <w:bookmarkStart w:id="1572" w:name="_Toc38443233"/>
      <w:bookmarkStart w:id="1573" w:name="_Toc38443564"/>
      <w:bookmarkStart w:id="1574" w:name="_Toc38443894"/>
      <w:bookmarkStart w:id="1575" w:name="_Toc38438362"/>
      <w:bookmarkStart w:id="1576" w:name="_Toc38438699"/>
      <w:bookmarkStart w:id="1577" w:name="_Toc38439036"/>
      <w:bookmarkStart w:id="1578" w:name="_Toc38439373"/>
      <w:bookmarkStart w:id="1579" w:name="_Toc38439710"/>
      <w:bookmarkStart w:id="1580" w:name="_Toc38440047"/>
      <w:bookmarkStart w:id="1581" w:name="_Toc38440384"/>
      <w:bookmarkStart w:id="1582" w:name="_Toc38440916"/>
      <w:bookmarkStart w:id="1583" w:name="_Toc38441248"/>
      <w:bookmarkStart w:id="1584" w:name="_Toc38441580"/>
      <w:bookmarkStart w:id="1585" w:name="_Toc38441908"/>
      <w:bookmarkStart w:id="1586" w:name="_Toc38442240"/>
      <w:bookmarkStart w:id="1587" w:name="_Toc38442572"/>
      <w:bookmarkStart w:id="1588" w:name="_Toc38442903"/>
      <w:bookmarkStart w:id="1589" w:name="_Toc38443234"/>
      <w:bookmarkStart w:id="1590" w:name="_Toc38443565"/>
      <w:bookmarkStart w:id="1591" w:name="_Toc38443895"/>
      <w:bookmarkStart w:id="1592" w:name="_Toc38438363"/>
      <w:bookmarkStart w:id="1593" w:name="_Toc38438700"/>
      <w:bookmarkStart w:id="1594" w:name="_Toc38439037"/>
      <w:bookmarkStart w:id="1595" w:name="_Toc38439374"/>
      <w:bookmarkStart w:id="1596" w:name="_Toc38439711"/>
      <w:bookmarkStart w:id="1597" w:name="_Toc38440048"/>
      <w:bookmarkStart w:id="1598" w:name="_Toc38440385"/>
      <w:bookmarkStart w:id="1599" w:name="_Toc38440917"/>
      <w:bookmarkStart w:id="1600" w:name="_Toc38441249"/>
      <w:bookmarkStart w:id="1601" w:name="_Toc38441581"/>
      <w:bookmarkStart w:id="1602" w:name="_Toc38441909"/>
      <w:bookmarkStart w:id="1603" w:name="_Toc38442241"/>
      <w:bookmarkStart w:id="1604" w:name="_Toc38442573"/>
      <w:bookmarkStart w:id="1605" w:name="_Toc38442904"/>
      <w:bookmarkStart w:id="1606" w:name="_Toc38443235"/>
      <w:bookmarkStart w:id="1607" w:name="_Toc38443566"/>
      <w:bookmarkStart w:id="1608" w:name="_Toc38443896"/>
      <w:bookmarkStart w:id="1609" w:name="_Toc38438364"/>
      <w:bookmarkStart w:id="1610" w:name="_Toc38438701"/>
      <w:bookmarkStart w:id="1611" w:name="_Toc38439038"/>
      <w:bookmarkStart w:id="1612" w:name="_Toc38439375"/>
      <w:bookmarkStart w:id="1613" w:name="_Toc38439712"/>
      <w:bookmarkStart w:id="1614" w:name="_Toc38440049"/>
      <w:bookmarkStart w:id="1615" w:name="_Toc38440386"/>
      <w:bookmarkStart w:id="1616" w:name="_Toc38440918"/>
      <w:bookmarkStart w:id="1617" w:name="_Toc38441250"/>
      <w:bookmarkStart w:id="1618" w:name="_Toc38441582"/>
      <w:bookmarkStart w:id="1619" w:name="_Toc38441910"/>
      <w:bookmarkStart w:id="1620" w:name="_Toc38442242"/>
      <w:bookmarkStart w:id="1621" w:name="_Toc38442574"/>
      <w:bookmarkStart w:id="1622" w:name="_Toc38442905"/>
      <w:bookmarkStart w:id="1623" w:name="_Toc38443236"/>
      <w:bookmarkStart w:id="1624" w:name="_Toc38443567"/>
      <w:bookmarkStart w:id="1625" w:name="_Toc38443897"/>
      <w:bookmarkStart w:id="1626" w:name="_Toc38438365"/>
      <w:bookmarkStart w:id="1627" w:name="_Toc38438702"/>
      <w:bookmarkStart w:id="1628" w:name="_Toc38439039"/>
      <w:bookmarkStart w:id="1629" w:name="_Toc38439376"/>
      <w:bookmarkStart w:id="1630" w:name="_Toc38439713"/>
      <w:bookmarkStart w:id="1631" w:name="_Toc38440050"/>
      <w:bookmarkStart w:id="1632" w:name="_Toc38440387"/>
      <w:bookmarkStart w:id="1633" w:name="_Toc38440919"/>
      <w:bookmarkStart w:id="1634" w:name="_Toc38441251"/>
      <w:bookmarkStart w:id="1635" w:name="_Toc38441583"/>
      <w:bookmarkStart w:id="1636" w:name="_Toc38441911"/>
      <w:bookmarkStart w:id="1637" w:name="_Toc38442243"/>
      <w:bookmarkStart w:id="1638" w:name="_Toc38442575"/>
      <w:bookmarkStart w:id="1639" w:name="_Toc38442906"/>
      <w:bookmarkStart w:id="1640" w:name="_Toc38443237"/>
      <w:bookmarkStart w:id="1641" w:name="_Toc38443568"/>
      <w:bookmarkStart w:id="1642" w:name="_Toc38443898"/>
      <w:bookmarkStart w:id="1643" w:name="_Toc38438366"/>
      <w:bookmarkStart w:id="1644" w:name="_Toc38438703"/>
      <w:bookmarkStart w:id="1645" w:name="_Toc38439040"/>
      <w:bookmarkStart w:id="1646" w:name="_Toc38439377"/>
      <w:bookmarkStart w:id="1647" w:name="_Toc38439714"/>
      <w:bookmarkStart w:id="1648" w:name="_Toc38440051"/>
      <w:bookmarkStart w:id="1649" w:name="_Toc38440388"/>
      <w:bookmarkStart w:id="1650" w:name="_Toc38440920"/>
      <w:bookmarkStart w:id="1651" w:name="_Toc38441252"/>
      <w:bookmarkStart w:id="1652" w:name="_Toc38441584"/>
      <w:bookmarkStart w:id="1653" w:name="_Toc38441912"/>
      <w:bookmarkStart w:id="1654" w:name="_Toc38442244"/>
      <w:bookmarkStart w:id="1655" w:name="_Toc38442576"/>
      <w:bookmarkStart w:id="1656" w:name="_Toc38442907"/>
      <w:bookmarkStart w:id="1657" w:name="_Toc38443238"/>
      <w:bookmarkStart w:id="1658" w:name="_Toc38443569"/>
      <w:bookmarkStart w:id="1659" w:name="_Toc38443899"/>
      <w:bookmarkStart w:id="1660" w:name="_Toc38438367"/>
      <w:bookmarkStart w:id="1661" w:name="_Toc38438704"/>
      <w:bookmarkStart w:id="1662" w:name="_Toc38439041"/>
      <w:bookmarkStart w:id="1663" w:name="_Toc38439378"/>
      <w:bookmarkStart w:id="1664" w:name="_Toc38439715"/>
      <w:bookmarkStart w:id="1665" w:name="_Toc38440052"/>
      <w:bookmarkStart w:id="1666" w:name="_Toc38440389"/>
      <w:bookmarkStart w:id="1667" w:name="_Toc38440921"/>
      <w:bookmarkStart w:id="1668" w:name="_Toc38441253"/>
      <w:bookmarkStart w:id="1669" w:name="_Toc38441585"/>
      <w:bookmarkStart w:id="1670" w:name="_Toc38441913"/>
      <w:bookmarkStart w:id="1671" w:name="_Toc38442245"/>
      <w:bookmarkStart w:id="1672" w:name="_Toc38442577"/>
      <w:bookmarkStart w:id="1673" w:name="_Toc38442908"/>
      <w:bookmarkStart w:id="1674" w:name="_Toc38443239"/>
      <w:bookmarkStart w:id="1675" w:name="_Toc38443570"/>
      <w:bookmarkStart w:id="1676" w:name="_Toc38443900"/>
      <w:bookmarkStart w:id="1677" w:name="_Toc38438368"/>
      <w:bookmarkStart w:id="1678" w:name="_Toc38438705"/>
      <w:bookmarkStart w:id="1679" w:name="_Toc38439042"/>
      <w:bookmarkStart w:id="1680" w:name="_Toc38439379"/>
      <w:bookmarkStart w:id="1681" w:name="_Toc38439716"/>
      <w:bookmarkStart w:id="1682" w:name="_Toc38440053"/>
      <w:bookmarkStart w:id="1683" w:name="_Toc38440390"/>
      <w:bookmarkStart w:id="1684" w:name="_Toc38440922"/>
      <w:bookmarkStart w:id="1685" w:name="_Toc38441254"/>
      <w:bookmarkStart w:id="1686" w:name="_Toc38441586"/>
      <w:bookmarkStart w:id="1687" w:name="_Toc38441914"/>
      <w:bookmarkStart w:id="1688" w:name="_Toc38442246"/>
      <w:bookmarkStart w:id="1689" w:name="_Toc38442578"/>
      <w:bookmarkStart w:id="1690" w:name="_Toc38442909"/>
      <w:bookmarkStart w:id="1691" w:name="_Toc38443240"/>
      <w:bookmarkStart w:id="1692" w:name="_Toc38443571"/>
      <w:bookmarkStart w:id="1693" w:name="_Toc38443901"/>
      <w:bookmarkStart w:id="1694" w:name="_Toc38438369"/>
      <w:bookmarkStart w:id="1695" w:name="_Toc38438706"/>
      <w:bookmarkStart w:id="1696" w:name="_Toc38439043"/>
      <w:bookmarkStart w:id="1697" w:name="_Toc38439380"/>
      <w:bookmarkStart w:id="1698" w:name="_Toc38439717"/>
      <w:bookmarkStart w:id="1699" w:name="_Toc38440054"/>
      <w:bookmarkStart w:id="1700" w:name="_Toc38440391"/>
      <w:bookmarkStart w:id="1701" w:name="_Toc38440923"/>
      <w:bookmarkStart w:id="1702" w:name="_Toc38441255"/>
      <w:bookmarkStart w:id="1703" w:name="_Toc38441587"/>
      <w:bookmarkStart w:id="1704" w:name="_Toc38441915"/>
      <w:bookmarkStart w:id="1705" w:name="_Toc38442247"/>
      <w:bookmarkStart w:id="1706" w:name="_Toc38442579"/>
      <w:bookmarkStart w:id="1707" w:name="_Toc38442910"/>
      <w:bookmarkStart w:id="1708" w:name="_Toc38443241"/>
      <w:bookmarkStart w:id="1709" w:name="_Toc38443572"/>
      <w:bookmarkStart w:id="1710" w:name="_Toc38443902"/>
      <w:bookmarkStart w:id="1711" w:name="_Toc38438371"/>
      <w:bookmarkStart w:id="1712" w:name="_Toc38438708"/>
      <w:bookmarkStart w:id="1713" w:name="_Toc38439045"/>
      <w:bookmarkStart w:id="1714" w:name="_Toc38439382"/>
      <w:bookmarkStart w:id="1715" w:name="_Toc38439719"/>
      <w:bookmarkStart w:id="1716" w:name="_Toc38440056"/>
      <w:bookmarkStart w:id="1717" w:name="_Toc38440393"/>
      <w:bookmarkStart w:id="1718" w:name="_Toc38440925"/>
      <w:bookmarkStart w:id="1719" w:name="_Toc38441257"/>
      <w:bookmarkStart w:id="1720" w:name="_Toc38441589"/>
      <w:bookmarkStart w:id="1721" w:name="_Toc38441917"/>
      <w:bookmarkStart w:id="1722" w:name="_Toc38442249"/>
      <w:bookmarkStart w:id="1723" w:name="_Toc38442581"/>
      <w:bookmarkStart w:id="1724" w:name="_Toc38442912"/>
      <w:bookmarkStart w:id="1725" w:name="_Toc38443243"/>
      <w:bookmarkStart w:id="1726" w:name="_Toc38443574"/>
      <w:bookmarkStart w:id="1727" w:name="_Toc38443904"/>
      <w:bookmarkStart w:id="1728" w:name="_Toc38438372"/>
      <w:bookmarkStart w:id="1729" w:name="_Toc38438709"/>
      <w:bookmarkStart w:id="1730" w:name="_Toc38439046"/>
      <w:bookmarkStart w:id="1731" w:name="_Toc38439383"/>
      <w:bookmarkStart w:id="1732" w:name="_Toc38439720"/>
      <w:bookmarkStart w:id="1733" w:name="_Toc38440057"/>
      <w:bookmarkStart w:id="1734" w:name="_Toc38440394"/>
      <w:bookmarkStart w:id="1735" w:name="_Toc38440926"/>
      <w:bookmarkStart w:id="1736" w:name="_Toc38441258"/>
      <w:bookmarkStart w:id="1737" w:name="_Toc38441590"/>
      <w:bookmarkStart w:id="1738" w:name="_Toc38441918"/>
      <w:bookmarkStart w:id="1739" w:name="_Toc38442250"/>
      <w:bookmarkStart w:id="1740" w:name="_Toc38442582"/>
      <w:bookmarkStart w:id="1741" w:name="_Toc38442913"/>
      <w:bookmarkStart w:id="1742" w:name="_Toc38443244"/>
      <w:bookmarkStart w:id="1743" w:name="_Toc38443575"/>
      <w:bookmarkStart w:id="1744" w:name="_Toc38443905"/>
      <w:bookmarkStart w:id="1745" w:name="_Toc38438373"/>
      <w:bookmarkStart w:id="1746" w:name="_Toc38438710"/>
      <w:bookmarkStart w:id="1747" w:name="_Toc38439047"/>
      <w:bookmarkStart w:id="1748" w:name="_Toc38439384"/>
      <w:bookmarkStart w:id="1749" w:name="_Toc38439721"/>
      <w:bookmarkStart w:id="1750" w:name="_Toc38440058"/>
      <w:bookmarkStart w:id="1751" w:name="_Toc38440395"/>
      <w:bookmarkStart w:id="1752" w:name="_Toc38440927"/>
      <w:bookmarkStart w:id="1753" w:name="_Toc38441259"/>
      <w:bookmarkStart w:id="1754" w:name="_Toc38441591"/>
      <w:bookmarkStart w:id="1755" w:name="_Toc38441919"/>
      <w:bookmarkStart w:id="1756" w:name="_Toc38442251"/>
      <w:bookmarkStart w:id="1757" w:name="_Toc38442583"/>
      <w:bookmarkStart w:id="1758" w:name="_Toc38442914"/>
      <w:bookmarkStart w:id="1759" w:name="_Toc38443245"/>
      <w:bookmarkStart w:id="1760" w:name="_Toc38443576"/>
      <w:bookmarkStart w:id="1761" w:name="_Toc38443906"/>
      <w:bookmarkStart w:id="1762" w:name="_Toc38438374"/>
      <w:bookmarkStart w:id="1763" w:name="_Toc38438711"/>
      <w:bookmarkStart w:id="1764" w:name="_Toc38439048"/>
      <w:bookmarkStart w:id="1765" w:name="_Toc38439385"/>
      <w:bookmarkStart w:id="1766" w:name="_Toc38439722"/>
      <w:bookmarkStart w:id="1767" w:name="_Toc38440059"/>
      <w:bookmarkStart w:id="1768" w:name="_Toc38440396"/>
      <w:bookmarkStart w:id="1769" w:name="_Toc38440928"/>
      <w:bookmarkStart w:id="1770" w:name="_Toc38441260"/>
      <w:bookmarkStart w:id="1771" w:name="_Toc38441592"/>
      <w:bookmarkStart w:id="1772" w:name="_Toc38441920"/>
      <w:bookmarkStart w:id="1773" w:name="_Toc38442252"/>
      <w:bookmarkStart w:id="1774" w:name="_Toc38442584"/>
      <w:bookmarkStart w:id="1775" w:name="_Toc38442915"/>
      <w:bookmarkStart w:id="1776" w:name="_Toc38443246"/>
      <w:bookmarkStart w:id="1777" w:name="_Toc38443577"/>
      <w:bookmarkStart w:id="1778" w:name="_Toc38443907"/>
      <w:bookmarkStart w:id="1779" w:name="_Toc38438375"/>
      <w:bookmarkStart w:id="1780" w:name="_Toc38438712"/>
      <w:bookmarkStart w:id="1781" w:name="_Toc38439049"/>
      <w:bookmarkStart w:id="1782" w:name="_Toc38439386"/>
      <w:bookmarkStart w:id="1783" w:name="_Toc38439723"/>
      <w:bookmarkStart w:id="1784" w:name="_Toc38440060"/>
      <w:bookmarkStart w:id="1785" w:name="_Toc38440397"/>
      <w:bookmarkStart w:id="1786" w:name="_Toc38440929"/>
      <w:bookmarkStart w:id="1787" w:name="_Toc38441261"/>
      <w:bookmarkStart w:id="1788" w:name="_Toc38441593"/>
      <w:bookmarkStart w:id="1789" w:name="_Toc38441921"/>
      <w:bookmarkStart w:id="1790" w:name="_Toc38442253"/>
      <w:bookmarkStart w:id="1791" w:name="_Toc38442585"/>
      <w:bookmarkStart w:id="1792" w:name="_Toc38442916"/>
      <w:bookmarkStart w:id="1793" w:name="_Toc38443247"/>
      <w:bookmarkStart w:id="1794" w:name="_Toc38443578"/>
      <w:bookmarkStart w:id="1795" w:name="_Toc38443908"/>
      <w:bookmarkStart w:id="1796" w:name="_Toc38438376"/>
      <w:bookmarkStart w:id="1797" w:name="_Toc38438713"/>
      <w:bookmarkStart w:id="1798" w:name="_Toc38439050"/>
      <w:bookmarkStart w:id="1799" w:name="_Toc38439387"/>
      <w:bookmarkStart w:id="1800" w:name="_Toc38439724"/>
      <w:bookmarkStart w:id="1801" w:name="_Toc38440061"/>
      <w:bookmarkStart w:id="1802" w:name="_Toc38440398"/>
      <w:bookmarkStart w:id="1803" w:name="_Toc38440930"/>
      <w:bookmarkStart w:id="1804" w:name="_Toc38441262"/>
      <w:bookmarkStart w:id="1805" w:name="_Toc38441594"/>
      <w:bookmarkStart w:id="1806" w:name="_Toc38441922"/>
      <w:bookmarkStart w:id="1807" w:name="_Toc38442254"/>
      <w:bookmarkStart w:id="1808" w:name="_Toc38442586"/>
      <w:bookmarkStart w:id="1809" w:name="_Toc38442917"/>
      <w:bookmarkStart w:id="1810" w:name="_Toc38443248"/>
      <w:bookmarkStart w:id="1811" w:name="_Toc38443579"/>
      <w:bookmarkStart w:id="1812" w:name="_Toc38443909"/>
      <w:bookmarkStart w:id="1813" w:name="_Toc38438377"/>
      <w:bookmarkStart w:id="1814" w:name="_Toc38438714"/>
      <w:bookmarkStart w:id="1815" w:name="_Toc38439051"/>
      <w:bookmarkStart w:id="1816" w:name="_Toc38439388"/>
      <w:bookmarkStart w:id="1817" w:name="_Toc38439725"/>
      <w:bookmarkStart w:id="1818" w:name="_Toc38440062"/>
      <w:bookmarkStart w:id="1819" w:name="_Toc38440399"/>
      <w:bookmarkStart w:id="1820" w:name="_Toc38440931"/>
      <w:bookmarkStart w:id="1821" w:name="_Toc38441263"/>
      <w:bookmarkStart w:id="1822" w:name="_Toc38441595"/>
      <w:bookmarkStart w:id="1823" w:name="_Toc38441923"/>
      <w:bookmarkStart w:id="1824" w:name="_Toc38442255"/>
      <w:bookmarkStart w:id="1825" w:name="_Toc38442587"/>
      <w:bookmarkStart w:id="1826" w:name="_Toc38442918"/>
      <w:bookmarkStart w:id="1827" w:name="_Toc38443249"/>
      <w:bookmarkStart w:id="1828" w:name="_Toc38443580"/>
      <w:bookmarkStart w:id="1829" w:name="_Toc38443910"/>
      <w:bookmarkStart w:id="1830" w:name="_Toc38438378"/>
      <w:bookmarkStart w:id="1831" w:name="_Toc38438715"/>
      <w:bookmarkStart w:id="1832" w:name="_Toc38439052"/>
      <w:bookmarkStart w:id="1833" w:name="_Toc38439389"/>
      <w:bookmarkStart w:id="1834" w:name="_Toc38439726"/>
      <w:bookmarkStart w:id="1835" w:name="_Toc38440063"/>
      <w:bookmarkStart w:id="1836" w:name="_Toc38440400"/>
      <w:bookmarkStart w:id="1837" w:name="_Toc38440932"/>
      <w:bookmarkStart w:id="1838" w:name="_Toc38441264"/>
      <w:bookmarkStart w:id="1839" w:name="_Toc38441596"/>
      <w:bookmarkStart w:id="1840" w:name="_Toc38441924"/>
      <w:bookmarkStart w:id="1841" w:name="_Toc38442256"/>
      <w:bookmarkStart w:id="1842" w:name="_Toc38442588"/>
      <w:bookmarkStart w:id="1843" w:name="_Toc38442919"/>
      <w:bookmarkStart w:id="1844" w:name="_Toc38443250"/>
      <w:bookmarkStart w:id="1845" w:name="_Toc38443581"/>
      <w:bookmarkStart w:id="1846" w:name="_Toc38443911"/>
      <w:bookmarkStart w:id="1847" w:name="_Toc38438379"/>
      <w:bookmarkStart w:id="1848" w:name="_Toc38438716"/>
      <w:bookmarkStart w:id="1849" w:name="_Toc38439053"/>
      <w:bookmarkStart w:id="1850" w:name="_Toc38439390"/>
      <w:bookmarkStart w:id="1851" w:name="_Toc38439727"/>
      <w:bookmarkStart w:id="1852" w:name="_Toc38440064"/>
      <w:bookmarkStart w:id="1853" w:name="_Toc38440401"/>
      <w:bookmarkStart w:id="1854" w:name="_Toc38440933"/>
      <w:bookmarkStart w:id="1855" w:name="_Toc38441265"/>
      <w:bookmarkStart w:id="1856" w:name="_Toc38441597"/>
      <w:bookmarkStart w:id="1857" w:name="_Toc38441925"/>
      <w:bookmarkStart w:id="1858" w:name="_Toc38442257"/>
      <w:bookmarkStart w:id="1859" w:name="_Toc38442589"/>
      <w:bookmarkStart w:id="1860" w:name="_Toc38442920"/>
      <w:bookmarkStart w:id="1861" w:name="_Toc38443251"/>
      <w:bookmarkStart w:id="1862" w:name="_Toc38443582"/>
      <w:bookmarkStart w:id="1863" w:name="_Toc38443912"/>
      <w:bookmarkStart w:id="1864" w:name="_Toc38438380"/>
      <w:bookmarkStart w:id="1865" w:name="_Toc38438717"/>
      <w:bookmarkStart w:id="1866" w:name="_Toc38439054"/>
      <w:bookmarkStart w:id="1867" w:name="_Toc38439391"/>
      <w:bookmarkStart w:id="1868" w:name="_Toc38439728"/>
      <w:bookmarkStart w:id="1869" w:name="_Toc38440065"/>
      <w:bookmarkStart w:id="1870" w:name="_Toc38440402"/>
      <w:bookmarkStart w:id="1871" w:name="_Toc38440934"/>
      <w:bookmarkStart w:id="1872" w:name="_Toc38441266"/>
      <w:bookmarkStart w:id="1873" w:name="_Toc38441598"/>
      <w:bookmarkStart w:id="1874" w:name="_Toc38441926"/>
      <w:bookmarkStart w:id="1875" w:name="_Toc38442258"/>
      <w:bookmarkStart w:id="1876" w:name="_Toc38442590"/>
      <w:bookmarkStart w:id="1877" w:name="_Toc38442921"/>
      <w:bookmarkStart w:id="1878" w:name="_Toc38443252"/>
      <w:bookmarkStart w:id="1879" w:name="_Toc38443583"/>
      <w:bookmarkStart w:id="1880" w:name="_Toc38443913"/>
      <w:bookmarkStart w:id="1881" w:name="_Toc38438381"/>
      <w:bookmarkStart w:id="1882" w:name="_Toc38438718"/>
      <w:bookmarkStart w:id="1883" w:name="_Toc38439055"/>
      <w:bookmarkStart w:id="1884" w:name="_Toc38439392"/>
      <w:bookmarkStart w:id="1885" w:name="_Toc38439729"/>
      <w:bookmarkStart w:id="1886" w:name="_Toc38440066"/>
      <w:bookmarkStart w:id="1887" w:name="_Toc38440403"/>
      <w:bookmarkStart w:id="1888" w:name="_Toc38440935"/>
      <w:bookmarkStart w:id="1889" w:name="_Toc38441267"/>
      <w:bookmarkStart w:id="1890" w:name="_Toc38441599"/>
      <w:bookmarkStart w:id="1891" w:name="_Toc38441927"/>
      <w:bookmarkStart w:id="1892" w:name="_Toc38442259"/>
      <w:bookmarkStart w:id="1893" w:name="_Toc38442591"/>
      <w:bookmarkStart w:id="1894" w:name="_Toc38442922"/>
      <w:bookmarkStart w:id="1895" w:name="_Toc38443253"/>
      <w:bookmarkStart w:id="1896" w:name="_Toc38443584"/>
      <w:bookmarkStart w:id="1897" w:name="_Toc38443914"/>
      <w:bookmarkStart w:id="1898" w:name="_Toc38438382"/>
      <w:bookmarkStart w:id="1899" w:name="_Toc38438719"/>
      <w:bookmarkStart w:id="1900" w:name="_Toc38439056"/>
      <w:bookmarkStart w:id="1901" w:name="_Toc38439393"/>
      <w:bookmarkStart w:id="1902" w:name="_Toc38439730"/>
      <w:bookmarkStart w:id="1903" w:name="_Toc38440067"/>
      <w:bookmarkStart w:id="1904" w:name="_Toc38440404"/>
      <w:bookmarkStart w:id="1905" w:name="_Toc38440936"/>
      <w:bookmarkStart w:id="1906" w:name="_Toc38441268"/>
      <w:bookmarkStart w:id="1907" w:name="_Toc38441600"/>
      <w:bookmarkStart w:id="1908" w:name="_Toc38441928"/>
      <w:bookmarkStart w:id="1909" w:name="_Toc38442260"/>
      <w:bookmarkStart w:id="1910" w:name="_Toc38442592"/>
      <w:bookmarkStart w:id="1911" w:name="_Toc38442923"/>
      <w:bookmarkStart w:id="1912" w:name="_Toc38443254"/>
      <w:bookmarkStart w:id="1913" w:name="_Toc38443585"/>
      <w:bookmarkStart w:id="1914" w:name="_Toc38443915"/>
      <w:bookmarkStart w:id="1915" w:name="_Toc38438383"/>
      <w:bookmarkStart w:id="1916" w:name="_Toc38438720"/>
      <w:bookmarkStart w:id="1917" w:name="_Toc38439057"/>
      <w:bookmarkStart w:id="1918" w:name="_Toc38439394"/>
      <w:bookmarkStart w:id="1919" w:name="_Toc38439731"/>
      <w:bookmarkStart w:id="1920" w:name="_Toc38440068"/>
      <w:bookmarkStart w:id="1921" w:name="_Toc38440405"/>
      <w:bookmarkStart w:id="1922" w:name="_Toc38440937"/>
      <w:bookmarkStart w:id="1923" w:name="_Toc38441269"/>
      <w:bookmarkStart w:id="1924" w:name="_Toc38441601"/>
      <w:bookmarkStart w:id="1925" w:name="_Toc38441929"/>
      <w:bookmarkStart w:id="1926" w:name="_Toc38442261"/>
      <w:bookmarkStart w:id="1927" w:name="_Toc38442593"/>
      <w:bookmarkStart w:id="1928" w:name="_Toc38442924"/>
      <w:bookmarkStart w:id="1929" w:name="_Toc38443255"/>
      <w:bookmarkStart w:id="1930" w:name="_Toc38443586"/>
      <w:bookmarkStart w:id="1931" w:name="_Toc38443916"/>
      <w:bookmarkStart w:id="1932" w:name="_Toc38438384"/>
      <w:bookmarkStart w:id="1933" w:name="_Toc38438721"/>
      <w:bookmarkStart w:id="1934" w:name="_Toc38439058"/>
      <w:bookmarkStart w:id="1935" w:name="_Toc38439395"/>
      <w:bookmarkStart w:id="1936" w:name="_Toc38439732"/>
      <w:bookmarkStart w:id="1937" w:name="_Toc38440069"/>
      <w:bookmarkStart w:id="1938" w:name="_Toc38440406"/>
      <w:bookmarkStart w:id="1939" w:name="_Toc38440938"/>
      <w:bookmarkStart w:id="1940" w:name="_Toc38441270"/>
      <w:bookmarkStart w:id="1941" w:name="_Toc38441602"/>
      <w:bookmarkStart w:id="1942" w:name="_Toc38441930"/>
      <w:bookmarkStart w:id="1943" w:name="_Toc38442262"/>
      <w:bookmarkStart w:id="1944" w:name="_Toc38442594"/>
      <w:bookmarkStart w:id="1945" w:name="_Toc38442925"/>
      <w:bookmarkStart w:id="1946" w:name="_Toc38443256"/>
      <w:bookmarkStart w:id="1947" w:name="_Toc38443587"/>
      <w:bookmarkStart w:id="1948" w:name="_Toc38443917"/>
      <w:bookmarkStart w:id="1949" w:name="_Toc38438385"/>
      <w:bookmarkStart w:id="1950" w:name="_Toc38438722"/>
      <w:bookmarkStart w:id="1951" w:name="_Toc38439059"/>
      <w:bookmarkStart w:id="1952" w:name="_Toc38439396"/>
      <w:bookmarkStart w:id="1953" w:name="_Toc38439733"/>
      <w:bookmarkStart w:id="1954" w:name="_Toc38440070"/>
      <w:bookmarkStart w:id="1955" w:name="_Toc38440407"/>
      <w:bookmarkStart w:id="1956" w:name="_Toc38440939"/>
      <w:bookmarkStart w:id="1957" w:name="_Toc38441271"/>
      <w:bookmarkStart w:id="1958" w:name="_Toc38441603"/>
      <w:bookmarkStart w:id="1959" w:name="_Toc38441931"/>
      <w:bookmarkStart w:id="1960" w:name="_Toc38442263"/>
      <w:bookmarkStart w:id="1961" w:name="_Toc38442595"/>
      <w:bookmarkStart w:id="1962" w:name="_Toc38442926"/>
      <w:bookmarkStart w:id="1963" w:name="_Toc38443257"/>
      <w:bookmarkStart w:id="1964" w:name="_Toc38443588"/>
      <w:bookmarkStart w:id="1965" w:name="_Toc38443918"/>
      <w:bookmarkStart w:id="1966" w:name="_Toc38438386"/>
      <w:bookmarkStart w:id="1967" w:name="_Toc38438723"/>
      <w:bookmarkStart w:id="1968" w:name="_Toc38439060"/>
      <w:bookmarkStart w:id="1969" w:name="_Toc38439397"/>
      <w:bookmarkStart w:id="1970" w:name="_Toc38439734"/>
      <w:bookmarkStart w:id="1971" w:name="_Toc38440071"/>
      <w:bookmarkStart w:id="1972" w:name="_Toc38440408"/>
      <w:bookmarkStart w:id="1973" w:name="_Toc38440940"/>
      <w:bookmarkStart w:id="1974" w:name="_Toc38441272"/>
      <w:bookmarkStart w:id="1975" w:name="_Toc38441604"/>
      <w:bookmarkStart w:id="1976" w:name="_Toc38441932"/>
      <w:bookmarkStart w:id="1977" w:name="_Toc38442264"/>
      <w:bookmarkStart w:id="1978" w:name="_Toc38442596"/>
      <w:bookmarkStart w:id="1979" w:name="_Toc38442927"/>
      <w:bookmarkStart w:id="1980" w:name="_Toc38443258"/>
      <w:bookmarkStart w:id="1981" w:name="_Toc38443589"/>
      <w:bookmarkStart w:id="1982" w:name="_Toc38443919"/>
      <w:bookmarkStart w:id="1983" w:name="_Toc38438387"/>
      <w:bookmarkStart w:id="1984" w:name="_Toc38438724"/>
      <w:bookmarkStart w:id="1985" w:name="_Toc38439061"/>
      <w:bookmarkStart w:id="1986" w:name="_Toc38439398"/>
      <w:bookmarkStart w:id="1987" w:name="_Toc38439735"/>
      <w:bookmarkStart w:id="1988" w:name="_Toc38440072"/>
      <w:bookmarkStart w:id="1989" w:name="_Toc38440409"/>
      <w:bookmarkStart w:id="1990" w:name="_Toc38440941"/>
      <w:bookmarkStart w:id="1991" w:name="_Toc38441273"/>
      <w:bookmarkStart w:id="1992" w:name="_Toc38441605"/>
      <w:bookmarkStart w:id="1993" w:name="_Toc38441933"/>
      <w:bookmarkStart w:id="1994" w:name="_Toc38442265"/>
      <w:bookmarkStart w:id="1995" w:name="_Toc38442597"/>
      <w:bookmarkStart w:id="1996" w:name="_Toc38442928"/>
      <w:bookmarkStart w:id="1997" w:name="_Toc38443259"/>
      <w:bookmarkStart w:id="1998" w:name="_Toc38443590"/>
      <w:bookmarkStart w:id="1999" w:name="_Toc38443920"/>
      <w:bookmarkStart w:id="2000" w:name="_Toc38438388"/>
      <w:bookmarkStart w:id="2001" w:name="_Toc38438725"/>
      <w:bookmarkStart w:id="2002" w:name="_Toc38439062"/>
      <w:bookmarkStart w:id="2003" w:name="_Toc38439399"/>
      <w:bookmarkStart w:id="2004" w:name="_Toc38439736"/>
      <w:bookmarkStart w:id="2005" w:name="_Toc38440073"/>
      <w:bookmarkStart w:id="2006" w:name="_Toc38440410"/>
      <w:bookmarkStart w:id="2007" w:name="_Toc38440942"/>
      <w:bookmarkStart w:id="2008" w:name="_Toc38441274"/>
      <w:bookmarkStart w:id="2009" w:name="_Toc38441606"/>
      <w:bookmarkStart w:id="2010" w:name="_Toc38441934"/>
      <w:bookmarkStart w:id="2011" w:name="_Toc38442266"/>
      <w:bookmarkStart w:id="2012" w:name="_Toc38442598"/>
      <w:bookmarkStart w:id="2013" w:name="_Toc38442929"/>
      <w:bookmarkStart w:id="2014" w:name="_Toc38443260"/>
      <w:bookmarkStart w:id="2015" w:name="_Toc38443591"/>
      <w:bookmarkStart w:id="2016" w:name="_Toc38443921"/>
      <w:bookmarkStart w:id="2017" w:name="_Toc38438389"/>
      <w:bookmarkStart w:id="2018" w:name="_Toc38438726"/>
      <w:bookmarkStart w:id="2019" w:name="_Toc38439063"/>
      <w:bookmarkStart w:id="2020" w:name="_Toc38439400"/>
      <w:bookmarkStart w:id="2021" w:name="_Toc38439737"/>
      <w:bookmarkStart w:id="2022" w:name="_Toc38440074"/>
      <w:bookmarkStart w:id="2023" w:name="_Toc38440411"/>
      <w:bookmarkStart w:id="2024" w:name="_Toc38440943"/>
      <w:bookmarkStart w:id="2025" w:name="_Toc38441275"/>
      <w:bookmarkStart w:id="2026" w:name="_Toc38441607"/>
      <w:bookmarkStart w:id="2027" w:name="_Toc38441935"/>
      <w:bookmarkStart w:id="2028" w:name="_Toc38442267"/>
      <w:bookmarkStart w:id="2029" w:name="_Toc38442599"/>
      <w:bookmarkStart w:id="2030" w:name="_Toc38442930"/>
      <w:bookmarkStart w:id="2031" w:name="_Toc38443261"/>
      <w:bookmarkStart w:id="2032" w:name="_Toc38443592"/>
      <w:bookmarkStart w:id="2033" w:name="_Toc38443922"/>
      <w:bookmarkStart w:id="2034" w:name="_Toc38438390"/>
      <w:bookmarkStart w:id="2035" w:name="_Toc38438727"/>
      <w:bookmarkStart w:id="2036" w:name="_Toc38439064"/>
      <w:bookmarkStart w:id="2037" w:name="_Toc38439401"/>
      <w:bookmarkStart w:id="2038" w:name="_Toc38439738"/>
      <w:bookmarkStart w:id="2039" w:name="_Toc38440075"/>
      <w:bookmarkStart w:id="2040" w:name="_Toc38440412"/>
      <w:bookmarkStart w:id="2041" w:name="_Toc38440944"/>
      <w:bookmarkStart w:id="2042" w:name="_Toc38441276"/>
      <w:bookmarkStart w:id="2043" w:name="_Toc38441608"/>
      <w:bookmarkStart w:id="2044" w:name="_Toc38441936"/>
      <w:bookmarkStart w:id="2045" w:name="_Toc38442268"/>
      <w:bookmarkStart w:id="2046" w:name="_Toc38442600"/>
      <w:bookmarkStart w:id="2047" w:name="_Toc38442931"/>
      <w:bookmarkStart w:id="2048" w:name="_Toc38443262"/>
      <w:bookmarkStart w:id="2049" w:name="_Toc38443593"/>
      <w:bookmarkStart w:id="2050" w:name="_Toc38443923"/>
      <w:bookmarkStart w:id="2051" w:name="_Toc38438391"/>
      <w:bookmarkStart w:id="2052" w:name="_Toc38438728"/>
      <w:bookmarkStart w:id="2053" w:name="_Toc38439065"/>
      <w:bookmarkStart w:id="2054" w:name="_Toc38439402"/>
      <w:bookmarkStart w:id="2055" w:name="_Toc38439739"/>
      <w:bookmarkStart w:id="2056" w:name="_Toc38440076"/>
      <w:bookmarkStart w:id="2057" w:name="_Toc38440413"/>
      <w:bookmarkStart w:id="2058" w:name="_Toc38440945"/>
      <w:bookmarkStart w:id="2059" w:name="_Toc38441277"/>
      <w:bookmarkStart w:id="2060" w:name="_Toc38441609"/>
      <w:bookmarkStart w:id="2061" w:name="_Toc38441937"/>
      <w:bookmarkStart w:id="2062" w:name="_Toc38442269"/>
      <w:bookmarkStart w:id="2063" w:name="_Toc38442601"/>
      <w:bookmarkStart w:id="2064" w:name="_Toc38442932"/>
      <w:bookmarkStart w:id="2065" w:name="_Toc38443263"/>
      <w:bookmarkStart w:id="2066" w:name="_Toc38443594"/>
      <w:bookmarkStart w:id="2067" w:name="_Toc38443924"/>
      <w:bookmarkStart w:id="2068" w:name="_Toc38438392"/>
      <w:bookmarkStart w:id="2069" w:name="_Toc38438729"/>
      <w:bookmarkStart w:id="2070" w:name="_Toc38439066"/>
      <w:bookmarkStart w:id="2071" w:name="_Toc38439403"/>
      <w:bookmarkStart w:id="2072" w:name="_Toc38439740"/>
      <w:bookmarkStart w:id="2073" w:name="_Toc38440077"/>
      <w:bookmarkStart w:id="2074" w:name="_Toc38440414"/>
      <w:bookmarkStart w:id="2075" w:name="_Toc38440946"/>
      <w:bookmarkStart w:id="2076" w:name="_Toc38441278"/>
      <w:bookmarkStart w:id="2077" w:name="_Toc38441610"/>
      <w:bookmarkStart w:id="2078" w:name="_Toc38441938"/>
      <w:bookmarkStart w:id="2079" w:name="_Toc38442270"/>
      <w:bookmarkStart w:id="2080" w:name="_Toc38442602"/>
      <w:bookmarkStart w:id="2081" w:name="_Toc38442933"/>
      <w:bookmarkStart w:id="2082" w:name="_Toc38443264"/>
      <w:bookmarkStart w:id="2083" w:name="_Toc38443595"/>
      <w:bookmarkStart w:id="2084" w:name="_Toc38443925"/>
      <w:bookmarkStart w:id="2085" w:name="_Toc38438393"/>
      <w:bookmarkStart w:id="2086" w:name="_Toc38438730"/>
      <w:bookmarkStart w:id="2087" w:name="_Toc38439067"/>
      <w:bookmarkStart w:id="2088" w:name="_Toc38439404"/>
      <w:bookmarkStart w:id="2089" w:name="_Toc38439741"/>
      <w:bookmarkStart w:id="2090" w:name="_Toc38440078"/>
      <w:bookmarkStart w:id="2091" w:name="_Toc38440415"/>
      <w:bookmarkStart w:id="2092" w:name="_Toc38440947"/>
      <w:bookmarkStart w:id="2093" w:name="_Toc38441279"/>
      <w:bookmarkStart w:id="2094" w:name="_Toc38441611"/>
      <w:bookmarkStart w:id="2095" w:name="_Toc38441939"/>
      <w:bookmarkStart w:id="2096" w:name="_Toc38442271"/>
      <w:bookmarkStart w:id="2097" w:name="_Toc38442603"/>
      <w:bookmarkStart w:id="2098" w:name="_Toc38442934"/>
      <w:bookmarkStart w:id="2099" w:name="_Toc38443265"/>
      <w:bookmarkStart w:id="2100" w:name="_Toc38443596"/>
      <w:bookmarkStart w:id="2101" w:name="_Toc38443926"/>
      <w:bookmarkStart w:id="2102" w:name="_Toc38438394"/>
      <w:bookmarkStart w:id="2103" w:name="_Toc38438731"/>
      <w:bookmarkStart w:id="2104" w:name="_Toc38439068"/>
      <w:bookmarkStart w:id="2105" w:name="_Toc38439405"/>
      <w:bookmarkStart w:id="2106" w:name="_Toc38439742"/>
      <w:bookmarkStart w:id="2107" w:name="_Toc38440079"/>
      <w:bookmarkStart w:id="2108" w:name="_Toc38440416"/>
      <w:bookmarkStart w:id="2109" w:name="_Toc38440948"/>
      <w:bookmarkStart w:id="2110" w:name="_Toc38441280"/>
      <w:bookmarkStart w:id="2111" w:name="_Toc38441612"/>
      <w:bookmarkStart w:id="2112" w:name="_Toc38441940"/>
      <w:bookmarkStart w:id="2113" w:name="_Toc38442272"/>
      <w:bookmarkStart w:id="2114" w:name="_Toc38442604"/>
      <w:bookmarkStart w:id="2115" w:name="_Toc38442935"/>
      <w:bookmarkStart w:id="2116" w:name="_Toc38443266"/>
      <w:bookmarkStart w:id="2117" w:name="_Toc38443597"/>
      <w:bookmarkStart w:id="2118" w:name="_Toc38443927"/>
      <w:bookmarkStart w:id="2119" w:name="_Toc38438395"/>
      <w:bookmarkStart w:id="2120" w:name="_Toc38438732"/>
      <w:bookmarkStart w:id="2121" w:name="_Toc38439069"/>
      <w:bookmarkStart w:id="2122" w:name="_Toc38439406"/>
      <w:bookmarkStart w:id="2123" w:name="_Toc38439743"/>
      <w:bookmarkStart w:id="2124" w:name="_Toc38440080"/>
      <w:bookmarkStart w:id="2125" w:name="_Toc38440417"/>
      <w:bookmarkStart w:id="2126" w:name="_Toc38440949"/>
      <w:bookmarkStart w:id="2127" w:name="_Toc38441281"/>
      <w:bookmarkStart w:id="2128" w:name="_Toc38441613"/>
      <w:bookmarkStart w:id="2129" w:name="_Toc38441941"/>
      <w:bookmarkStart w:id="2130" w:name="_Toc38442273"/>
      <w:bookmarkStart w:id="2131" w:name="_Toc38442605"/>
      <w:bookmarkStart w:id="2132" w:name="_Toc38442936"/>
      <w:bookmarkStart w:id="2133" w:name="_Toc38443267"/>
      <w:bookmarkStart w:id="2134" w:name="_Toc38443598"/>
      <w:bookmarkStart w:id="2135" w:name="_Toc38443928"/>
      <w:bookmarkStart w:id="2136" w:name="_Toc38438396"/>
      <w:bookmarkStart w:id="2137" w:name="_Toc38438733"/>
      <w:bookmarkStart w:id="2138" w:name="_Toc38439070"/>
      <w:bookmarkStart w:id="2139" w:name="_Toc38439407"/>
      <w:bookmarkStart w:id="2140" w:name="_Toc38439744"/>
      <w:bookmarkStart w:id="2141" w:name="_Toc38440081"/>
      <w:bookmarkStart w:id="2142" w:name="_Toc38440418"/>
      <w:bookmarkStart w:id="2143" w:name="_Toc38440950"/>
      <w:bookmarkStart w:id="2144" w:name="_Toc38441282"/>
      <w:bookmarkStart w:id="2145" w:name="_Toc38441614"/>
      <w:bookmarkStart w:id="2146" w:name="_Toc38441942"/>
      <w:bookmarkStart w:id="2147" w:name="_Toc38442274"/>
      <w:bookmarkStart w:id="2148" w:name="_Toc38442606"/>
      <w:bookmarkStart w:id="2149" w:name="_Toc38442937"/>
      <w:bookmarkStart w:id="2150" w:name="_Toc38443268"/>
      <w:bookmarkStart w:id="2151" w:name="_Toc38443599"/>
      <w:bookmarkStart w:id="2152" w:name="_Toc38443929"/>
      <w:bookmarkStart w:id="2153" w:name="_Toc38438397"/>
      <w:bookmarkStart w:id="2154" w:name="_Toc38438734"/>
      <w:bookmarkStart w:id="2155" w:name="_Toc38439071"/>
      <w:bookmarkStart w:id="2156" w:name="_Toc38439408"/>
      <w:bookmarkStart w:id="2157" w:name="_Toc38439745"/>
      <w:bookmarkStart w:id="2158" w:name="_Toc38440082"/>
      <w:bookmarkStart w:id="2159" w:name="_Toc38440419"/>
      <w:bookmarkStart w:id="2160" w:name="_Toc38440951"/>
      <w:bookmarkStart w:id="2161" w:name="_Toc38441283"/>
      <w:bookmarkStart w:id="2162" w:name="_Toc38441615"/>
      <w:bookmarkStart w:id="2163" w:name="_Toc38441943"/>
      <w:bookmarkStart w:id="2164" w:name="_Toc38442275"/>
      <w:bookmarkStart w:id="2165" w:name="_Toc38442607"/>
      <w:bookmarkStart w:id="2166" w:name="_Toc38442938"/>
      <w:bookmarkStart w:id="2167" w:name="_Toc38443269"/>
      <w:bookmarkStart w:id="2168" w:name="_Toc38443600"/>
      <w:bookmarkStart w:id="2169" w:name="_Toc38443930"/>
      <w:bookmarkStart w:id="2170" w:name="_Toc38438398"/>
      <w:bookmarkStart w:id="2171" w:name="_Toc38438735"/>
      <w:bookmarkStart w:id="2172" w:name="_Toc38439072"/>
      <w:bookmarkStart w:id="2173" w:name="_Toc38439409"/>
      <w:bookmarkStart w:id="2174" w:name="_Toc38439746"/>
      <w:bookmarkStart w:id="2175" w:name="_Toc38440083"/>
      <w:bookmarkStart w:id="2176" w:name="_Toc38440420"/>
      <w:bookmarkStart w:id="2177" w:name="_Toc38440952"/>
      <w:bookmarkStart w:id="2178" w:name="_Toc38441284"/>
      <w:bookmarkStart w:id="2179" w:name="_Toc38441616"/>
      <w:bookmarkStart w:id="2180" w:name="_Toc38441944"/>
      <w:bookmarkStart w:id="2181" w:name="_Toc38442276"/>
      <w:bookmarkStart w:id="2182" w:name="_Toc38442608"/>
      <w:bookmarkStart w:id="2183" w:name="_Toc38442939"/>
      <w:bookmarkStart w:id="2184" w:name="_Toc38443270"/>
      <w:bookmarkStart w:id="2185" w:name="_Toc38443601"/>
      <w:bookmarkStart w:id="2186" w:name="_Toc38443931"/>
      <w:bookmarkStart w:id="2187" w:name="_Toc38438400"/>
      <w:bookmarkStart w:id="2188" w:name="_Toc38438737"/>
      <w:bookmarkStart w:id="2189" w:name="_Toc38439074"/>
      <w:bookmarkStart w:id="2190" w:name="_Toc38439411"/>
      <w:bookmarkStart w:id="2191" w:name="_Toc38439748"/>
      <w:bookmarkStart w:id="2192" w:name="_Toc38440085"/>
      <w:bookmarkStart w:id="2193" w:name="_Toc38440422"/>
      <w:bookmarkStart w:id="2194" w:name="_Toc38440954"/>
      <w:bookmarkStart w:id="2195" w:name="_Toc38441286"/>
      <w:bookmarkStart w:id="2196" w:name="_Toc38441618"/>
      <w:bookmarkStart w:id="2197" w:name="_Toc38441946"/>
      <w:bookmarkStart w:id="2198" w:name="_Toc38442278"/>
      <w:bookmarkStart w:id="2199" w:name="_Toc38442610"/>
      <w:bookmarkStart w:id="2200" w:name="_Toc38442941"/>
      <w:bookmarkStart w:id="2201" w:name="_Toc38443272"/>
      <w:bookmarkStart w:id="2202" w:name="_Toc38443603"/>
      <w:bookmarkStart w:id="2203" w:name="_Toc38443933"/>
      <w:bookmarkStart w:id="2204" w:name="_Toc38438401"/>
      <w:bookmarkStart w:id="2205" w:name="_Toc38438738"/>
      <w:bookmarkStart w:id="2206" w:name="_Toc38439075"/>
      <w:bookmarkStart w:id="2207" w:name="_Toc38439412"/>
      <w:bookmarkStart w:id="2208" w:name="_Toc38439749"/>
      <w:bookmarkStart w:id="2209" w:name="_Toc38440086"/>
      <w:bookmarkStart w:id="2210" w:name="_Toc38440423"/>
      <w:bookmarkStart w:id="2211" w:name="_Toc38440955"/>
      <w:bookmarkStart w:id="2212" w:name="_Toc38441287"/>
      <w:bookmarkStart w:id="2213" w:name="_Toc38441619"/>
      <w:bookmarkStart w:id="2214" w:name="_Toc38441947"/>
      <w:bookmarkStart w:id="2215" w:name="_Toc38442279"/>
      <w:bookmarkStart w:id="2216" w:name="_Toc38442611"/>
      <w:bookmarkStart w:id="2217" w:name="_Toc38442942"/>
      <w:bookmarkStart w:id="2218" w:name="_Toc38443273"/>
      <w:bookmarkStart w:id="2219" w:name="_Toc38443604"/>
      <w:bookmarkStart w:id="2220" w:name="_Toc38443934"/>
      <w:bookmarkStart w:id="2221" w:name="_Toc38438402"/>
      <w:bookmarkStart w:id="2222" w:name="_Toc38438739"/>
      <w:bookmarkStart w:id="2223" w:name="_Toc38439076"/>
      <w:bookmarkStart w:id="2224" w:name="_Toc38439413"/>
      <w:bookmarkStart w:id="2225" w:name="_Toc38439750"/>
      <w:bookmarkStart w:id="2226" w:name="_Toc38440087"/>
      <w:bookmarkStart w:id="2227" w:name="_Toc38440424"/>
      <w:bookmarkStart w:id="2228" w:name="_Toc38440956"/>
      <w:bookmarkStart w:id="2229" w:name="_Toc38441288"/>
      <w:bookmarkStart w:id="2230" w:name="_Toc38441620"/>
      <w:bookmarkStart w:id="2231" w:name="_Toc38441948"/>
      <w:bookmarkStart w:id="2232" w:name="_Toc38442280"/>
      <w:bookmarkStart w:id="2233" w:name="_Toc38442612"/>
      <w:bookmarkStart w:id="2234" w:name="_Toc38442943"/>
      <w:bookmarkStart w:id="2235" w:name="_Toc38443274"/>
      <w:bookmarkStart w:id="2236" w:name="_Toc38443605"/>
      <w:bookmarkStart w:id="2237" w:name="_Toc38443935"/>
      <w:bookmarkStart w:id="2238" w:name="_Toc38438404"/>
      <w:bookmarkStart w:id="2239" w:name="_Toc38438741"/>
      <w:bookmarkStart w:id="2240" w:name="_Toc38439078"/>
      <w:bookmarkStart w:id="2241" w:name="_Toc38439415"/>
      <w:bookmarkStart w:id="2242" w:name="_Toc38439752"/>
      <w:bookmarkStart w:id="2243" w:name="_Toc38440089"/>
      <w:bookmarkStart w:id="2244" w:name="_Toc38440426"/>
      <w:bookmarkStart w:id="2245" w:name="_Toc38440958"/>
      <w:bookmarkStart w:id="2246" w:name="_Toc38441290"/>
      <w:bookmarkStart w:id="2247" w:name="_Toc38441622"/>
      <w:bookmarkStart w:id="2248" w:name="_Toc38441950"/>
      <w:bookmarkStart w:id="2249" w:name="_Toc38442282"/>
      <w:bookmarkStart w:id="2250" w:name="_Toc38442614"/>
      <w:bookmarkStart w:id="2251" w:name="_Toc38442945"/>
      <w:bookmarkStart w:id="2252" w:name="_Toc38443276"/>
      <w:bookmarkStart w:id="2253" w:name="_Toc38443607"/>
      <w:bookmarkStart w:id="2254" w:name="_Toc38443937"/>
      <w:bookmarkStart w:id="2255" w:name="_Toc38438405"/>
      <w:bookmarkStart w:id="2256" w:name="_Toc38438742"/>
      <w:bookmarkStart w:id="2257" w:name="_Toc38439079"/>
      <w:bookmarkStart w:id="2258" w:name="_Toc38439416"/>
      <w:bookmarkStart w:id="2259" w:name="_Toc38439753"/>
      <w:bookmarkStart w:id="2260" w:name="_Toc38440090"/>
      <w:bookmarkStart w:id="2261" w:name="_Toc38440427"/>
      <w:bookmarkStart w:id="2262" w:name="_Toc38440959"/>
      <w:bookmarkStart w:id="2263" w:name="_Toc38441291"/>
      <w:bookmarkStart w:id="2264" w:name="_Toc38441623"/>
      <w:bookmarkStart w:id="2265" w:name="_Toc38441951"/>
      <w:bookmarkStart w:id="2266" w:name="_Toc38442283"/>
      <w:bookmarkStart w:id="2267" w:name="_Toc38442615"/>
      <w:bookmarkStart w:id="2268" w:name="_Toc38442946"/>
      <w:bookmarkStart w:id="2269" w:name="_Toc38443277"/>
      <w:bookmarkStart w:id="2270" w:name="_Toc38443608"/>
      <w:bookmarkStart w:id="2271" w:name="_Toc38443938"/>
      <w:bookmarkStart w:id="2272" w:name="_Toc38438406"/>
      <w:bookmarkStart w:id="2273" w:name="_Toc38438743"/>
      <w:bookmarkStart w:id="2274" w:name="_Toc38439080"/>
      <w:bookmarkStart w:id="2275" w:name="_Toc38439417"/>
      <w:bookmarkStart w:id="2276" w:name="_Toc38439754"/>
      <w:bookmarkStart w:id="2277" w:name="_Toc38440091"/>
      <w:bookmarkStart w:id="2278" w:name="_Toc38440428"/>
      <w:bookmarkStart w:id="2279" w:name="_Toc38440960"/>
      <w:bookmarkStart w:id="2280" w:name="_Toc38441292"/>
      <w:bookmarkStart w:id="2281" w:name="_Toc38441624"/>
      <w:bookmarkStart w:id="2282" w:name="_Toc38441952"/>
      <w:bookmarkStart w:id="2283" w:name="_Toc38442284"/>
      <w:bookmarkStart w:id="2284" w:name="_Toc38442616"/>
      <w:bookmarkStart w:id="2285" w:name="_Toc38442947"/>
      <w:bookmarkStart w:id="2286" w:name="_Toc38443278"/>
      <w:bookmarkStart w:id="2287" w:name="_Toc38443609"/>
      <w:bookmarkStart w:id="2288" w:name="_Toc38443939"/>
      <w:bookmarkStart w:id="2289" w:name="_Toc38438407"/>
      <w:bookmarkStart w:id="2290" w:name="_Toc38438744"/>
      <w:bookmarkStart w:id="2291" w:name="_Toc38439081"/>
      <w:bookmarkStart w:id="2292" w:name="_Toc38439418"/>
      <w:bookmarkStart w:id="2293" w:name="_Toc38439755"/>
      <w:bookmarkStart w:id="2294" w:name="_Toc38440092"/>
      <w:bookmarkStart w:id="2295" w:name="_Toc38440429"/>
      <w:bookmarkStart w:id="2296" w:name="_Toc38440961"/>
      <w:bookmarkStart w:id="2297" w:name="_Toc38441293"/>
      <w:bookmarkStart w:id="2298" w:name="_Toc38441625"/>
      <w:bookmarkStart w:id="2299" w:name="_Toc38441953"/>
      <w:bookmarkStart w:id="2300" w:name="_Toc38442285"/>
      <w:bookmarkStart w:id="2301" w:name="_Toc38442617"/>
      <w:bookmarkStart w:id="2302" w:name="_Toc38442948"/>
      <w:bookmarkStart w:id="2303" w:name="_Toc38443279"/>
      <w:bookmarkStart w:id="2304" w:name="_Toc38443610"/>
      <w:bookmarkStart w:id="2305" w:name="_Toc38443940"/>
      <w:bookmarkStart w:id="2306" w:name="_Toc38438408"/>
      <w:bookmarkStart w:id="2307" w:name="_Toc38438745"/>
      <w:bookmarkStart w:id="2308" w:name="_Toc38439082"/>
      <w:bookmarkStart w:id="2309" w:name="_Toc38439419"/>
      <w:bookmarkStart w:id="2310" w:name="_Toc38439756"/>
      <w:bookmarkStart w:id="2311" w:name="_Toc38440093"/>
      <w:bookmarkStart w:id="2312" w:name="_Toc38440430"/>
      <w:bookmarkStart w:id="2313" w:name="_Toc38440962"/>
      <w:bookmarkStart w:id="2314" w:name="_Toc38441294"/>
      <w:bookmarkStart w:id="2315" w:name="_Toc38441626"/>
      <w:bookmarkStart w:id="2316" w:name="_Toc38441954"/>
      <w:bookmarkStart w:id="2317" w:name="_Toc38442286"/>
      <w:bookmarkStart w:id="2318" w:name="_Toc38442618"/>
      <w:bookmarkStart w:id="2319" w:name="_Toc38442949"/>
      <w:bookmarkStart w:id="2320" w:name="_Toc38443280"/>
      <w:bookmarkStart w:id="2321" w:name="_Toc38443611"/>
      <w:bookmarkStart w:id="2322" w:name="_Toc38443941"/>
      <w:bookmarkStart w:id="2323" w:name="_Toc38438409"/>
      <w:bookmarkStart w:id="2324" w:name="_Toc38438746"/>
      <w:bookmarkStart w:id="2325" w:name="_Toc38439083"/>
      <w:bookmarkStart w:id="2326" w:name="_Toc38439420"/>
      <w:bookmarkStart w:id="2327" w:name="_Toc38439757"/>
      <w:bookmarkStart w:id="2328" w:name="_Toc38440094"/>
      <w:bookmarkStart w:id="2329" w:name="_Toc38440431"/>
      <w:bookmarkStart w:id="2330" w:name="_Toc38440963"/>
      <w:bookmarkStart w:id="2331" w:name="_Toc38441295"/>
      <w:bookmarkStart w:id="2332" w:name="_Toc38441627"/>
      <w:bookmarkStart w:id="2333" w:name="_Toc38441955"/>
      <w:bookmarkStart w:id="2334" w:name="_Toc38442287"/>
      <w:bookmarkStart w:id="2335" w:name="_Toc38442619"/>
      <w:bookmarkStart w:id="2336" w:name="_Toc38442950"/>
      <w:bookmarkStart w:id="2337" w:name="_Toc38443281"/>
      <w:bookmarkStart w:id="2338" w:name="_Toc38443612"/>
      <w:bookmarkStart w:id="2339" w:name="_Toc38443942"/>
      <w:bookmarkStart w:id="2340" w:name="_Toc38438410"/>
      <w:bookmarkStart w:id="2341" w:name="_Toc38438747"/>
      <w:bookmarkStart w:id="2342" w:name="_Toc38439084"/>
      <w:bookmarkStart w:id="2343" w:name="_Toc38439421"/>
      <w:bookmarkStart w:id="2344" w:name="_Toc38439758"/>
      <w:bookmarkStart w:id="2345" w:name="_Toc38440095"/>
      <w:bookmarkStart w:id="2346" w:name="_Toc38440432"/>
      <w:bookmarkStart w:id="2347" w:name="_Toc38440964"/>
      <w:bookmarkStart w:id="2348" w:name="_Toc38441296"/>
      <w:bookmarkStart w:id="2349" w:name="_Toc38441628"/>
      <w:bookmarkStart w:id="2350" w:name="_Toc38441956"/>
      <w:bookmarkStart w:id="2351" w:name="_Toc38442288"/>
      <w:bookmarkStart w:id="2352" w:name="_Toc38442620"/>
      <w:bookmarkStart w:id="2353" w:name="_Toc38442951"/>
      <w:bookmarkStart w:id="2354" w:name="_Toc38443282"/>
      <w:bookmarkStart w:id="2355" w:name="_Toc38443613"/>
      <w:bookmarkStart w:id="2356" w:name="_Toc38443943"/>
      <w:bookmarkStart w:id="2357" w:name="_Toc38438411"/>
      <w:bookmarkStart w:id="2358" w:name="_Toc38438748"/>
      <w:bookmarkStart w:id="2359" w:name="_Toc38439085"/>
      <w:bookmarkStart w:id="2360" w:name="_Toc38439422"/>
      <w:bookmarkStart w:id="2361" w:name="_Toc38439759"/>
      <w:bookmarkStart w:id="2362" w:name="_Toc38440096"/>
      <w:bookmarkStart w:id="2363" w:name="_Toc38440433"/>
      <w:bookmarkStart w:id="2364" w:name="_Toc38440965"/>
      <w:bookmarkStart w:id="2365" w:name="_Toc38441297"/>
      <w:bookmarkStart w:id="2366" w:name="_Toc38441629"/>
      <w:bookmarkStart w:id="2367" w:name="_Toc38441957"/>
      <w:bookmarkStart w:id="2368" w:name="_Toc38442289"/>
      <w:bookmarkStart w:id="2369" w:name="_Toc38442621"/>
      <w:bookmarkStart w:id="2370" w:name="_Toc38442952"/>
      <w:bookmarkStart w:id="2371" w:name="_Toc38443283"/>
      <w:bookmarkStart w:id="2372" w:name="_Toc38443614"/>
      <w:bookmarkStart w:id="2373" w:name="_Toc38443944"/>
      <w:bookmarkStart w:id="2374" w:name="_Toc38438412"/>
      <w:bookmarkStart w:id="2375" w:name="_Toc38438749"/>
      <w:bookmarkStart w:id="2376" w:name="_Toc38439086"/>
      <w:bookmarkStart w:id="2377" w:name="_Toc38439423"/>
      <w:bookmarkStart w:id="2378" w:name="_Toc38439760"/>
      <w:bookmarkStart w:id="2379" w:name="_Toc38440097"/>
      <w:bookmarkStart w:id="2380" w:name="_Toc38440434"/>
      <w:bookmarkStart w:id="2381" w:name="_Toc38440966"/>
      <w:bookmarkStart w:id="2382" w:name="_Toc38441298"/>
      <w:bookmarkStart w:id="2383" w:name="_Toc38441630"/>
      <w:bookmarkStart w:id="2384" w:name="_Toc38441958"/>
      <w:bookmarkStart w:id="2385" w:name="_Toc38442290"/>
      <w:bookmarkStart w:id="2386" w:name="_Toc38442622"/>
      <w:bookmarkStart w:id="2387" w:name="_Toc38442953"/>
      <w:bookmarkStart w:id="2388" w:name="_Toc38443284"/>
      <w:bookmarkStart w:id="2389" w:name="_Toc38443615"/>
      <w:bookmarkStart w:id="2390" w:name="_Toc38443945"/>
      <w:bookmarkStart w:id="2391" w:name="_Toc38438413"/>
      <w:bookmarkStart w:id="2392" w:name="_Toc38438750"/>
      <w:bookmarkStart w:id="2393" w:name="_Toc38439087"/>
      <w:bookmarkStart w:id="2394" w:name="_Toc38439424"/>
      <w:bookmarkStart w:id="2395" w:name="_Toc38439761"/>
      <w:bookmarkStart w:id="2396" w:name="_Toc38440098"/>
      <w:bookmarkStart w:id="2397" w:name="_Toc38440435"/>
      <w:bookmarkStart w:id="2398" w:name="_Toc38440967"/>
      <w:bookmarkStart w:id="2399" w:name="_Toc38441299"/>
      <w:bookmarkStart w:id="2400" w:name="_Toc38441631"/>
      <w:bookmarkStart w:id="2401" w:name="_Toc38441959"/>
      <w:bookmarkStart w:id="2402" w:name="_Toc38442291"/>
      <w:bookmarkStart w:id="2403" w:name="_Toc38442623"/>
      <w:bookmarkStart w:id="2404" w:name="_Toc38442954"/>
      <w:bookmarkStart w:id="2405" w:name="_Toc38443285"/>
      <w:bookmarkStart w:id="2406" w:name="_Toc38443616"/>
      <w:bookmarkStart w:id="2407" w:name="_Toc38443946"/>
      <w:bookmarkStart w:id="2408" w:name="_Toc38438414"/>
      <w:bookmarkStart w:id="2409" w:name="_Toc38438751"/>
      <w:bookmarkStart w:id="2410" w:name="_Toc38439088"/>
      <w:bookmarkStart w:id="2411" w:name="_Toc38439425"/>
      <w:bookmarkStart w:id="2412" w:name="_Toc38439762"/>
      <w:bookmarkStart w:id="2413" w:name="_Toc38440099"/>
      <w:bookmarkStart w:id="2414" w:name="_Toc38440436"/>
      <w:bookmarkStart w:id="2415" w:name="_Toc38440968"/>
      <w:bookmarkStart w:id="2416" w:name="_Toc38441300"/>
      <w:bookmarkStart w:id="2417" w:name="_Toc38441632"/>
      <w:bookmarkStart w:id="2418" w:name="_Toc38441960"/>
      <w:bookmarkStart w:id="2419" w:name="_Toc38442292"/>
      <w:bookmarkStart w:id="2420" w:name="_Toc38442624"/>
      <w:bookmarkStart w:id="2421" w:name="_Toc38442955"/>
      <w:bookmarkStart w:id="2422" w:name="_Toc38443286"/>
      <w:bookmarkStart w:id="2423" w:name="_Toc38443617"/>
      <w:bookmarkStart w:id="2424" w:name="_Toc38443947"/>
      <w:bookmarkStart w:id="2425" w:name="_Toc38438415"/>
      <w:bookmarkStart w:id="2426" w:name="_Toc38438752"/>
      <w:bookmarkStart w:id="2427" w:name="_Toc38439089"/>
      <w:bookmarkStart w:id="2428" w:name="_Toc38439426"/>
      <w:bookmarkStart w:id="2429" w:name="_Toc38439763"/>
      <w:bookmarkStart w:id="2430" w:name="_Toc38440100"/>
      <w:bookmarkStart w:id="2431" w:name="_Toc38440437"/>
      <w:bookmarkStart w:id="2432" w:name="_Toc38440969"/>
      <w:bookmarkStart w:id="2433" w:name="_Toc38441301"/>
      <w:bookmarkStart w:id="2434" w:name="_Toc38441633"/>
      <w:bookmarkStart w:id="2435" w:name="_Toc38441961"/>
      <w:bookmarkStart w:id="2436" w:name="_Toc38442293"/>
      <w:bookmarkStart w:id="2437" w:name="_Toc38442625"/>
      <w:bookmarkStart w:id="2438" w:name="_Toc38442956"/>
      <w:bookmarkStart w:id="2439" w:name="_Toc38443287"/>
      <w:bookmarkStart w:id="2440" w:name="_Toc38443618"/>
      <w:bookmarkStart w:id="2441" w:name="_Toc38443948"/>
      <w:bookmarkStart w:id="2442" w:name="_Toc38438416"/>
      <w:bookmarkStart w:id="2443" w:name="_Toc38438753"/>
      <w:bookmarkStart w:id="2444" w:name="_Toc38439090"/>
      <w:bookmarkStart w:id="2445" w:name="_Toc38439427"/>
      <w:bookmarkStart w:id="2446" w:name="_Toc38439764"/>
      <w:bookmarkStart w:id="2447" w:name="_Toc38440101"/>
      <w:bookmarkStart w:id="2448" w:name="_Toc38440438"/>
      <w:bookmarkStart w:id="2449" w:name="_Toc38440970"/>
      <w:bookmarkStart w:id="2450" w:name="_Toc38441302"/>
      <w:bookmarkStart w:id="2451" w:name="_Toc38441634"/>
      <w:bookmarkStart w:id="2452" w:name="_Toc38441962"/>
      <w:bookmarkStart w:id="2453" w:name="_Toc38442294"/>
      <w:bookmarkStart w:id="2454" w:name="_Toc38442626"/>
      <w:bookmarkStart w:id="2455" w:name="_Toc38442957"/>
      <w:bookmarkStart w:id="2456" w:name="_Toc38443288"/>
      <w:bookmarkStart w:id="2457" w:name="_Toc38443619"/>
      <w:bookmarkStart w:id="2458" w:name="_Toc38443949"/>
      <w:bookmarkStart w:id="2459" w:name="_Toc38438417"/>
      <w:bookmarkStart w:id="2460" w:name="_Toc38438754"/>
      <w:bookmarkStart w:id="2461" w:name="_Toc38439091"/>
      <w:bookmarkStart w:id="2462" w:name="_Toc38439428"/>
      <w:bookmarkStart w:id="2463" w:name="_Toc38439765"/>
      <w:bookmarkStart w:id="2464" w:name="_Toc38440102"/>
      <w:bookmarkStart w:id="2465" w:name="_Toc38440439"/>
      <w:bookmarkStart w:id="2466" w:name="_Toc38440971"/>
      <w:bookmarkStart w:id="2467" w:name="_Toc38441303"/>
      <w:bookmarkStart w:id="2468" w:name="_Toc38441635"/>
      <w:bookmarkStart w:id="2469" w:name="_Toc38441963"/>
      <w:bookmarkStart w:id="2470" w:name="_Toc38442295"/>
      <w:bookmarkStart w:id="2471" w:name="_Toc38442627"/>
      <w:bookmarkStart w:id="2472" w:name="_Toc38442958"/>
      <w:bookmarkStart w:id="2473" w:name="_Toc38443289"/>
      <w:bookmarkStart w:id="2474" w:name="_Toc38443620"/>
      <w:bookmarkStart w:id="2475" w:name="_Toc38443950"/>
      <w:bookmarkStart w:id="2476" w:name="_Toc38438418"/>
      <w:bookmarkStart w:id="2477" w:name="_Toc38438755"/>
      <w:bookmarkStart w:id="2478" w:name="_Toc38439092"/>
      <w:bookmarkStart w:id="2479" w:name="_Toc38439429"/>
      <w:bookmarkStart w:id="2480" w:name="_Toc38439766"/>
      <w:bookmarkStart w:id="2481" w:name="_Toc38440103"/>
      <w:bookmarkStart w:id="2482" w:name="_Toc38440440"/>
      <w:bookmarkStart w:id="2483" w:name="_Toc38440972"/>
      <w:bookmarkStart w:id="2484" w:name="_Toc38441304"/>
      <w:bookmarkStart w:id="2485" w:name="_Toc38441636"/>
      <w:bookmarkStart w:id="2486" w:name="_Toc38441964"/>
      <w:bookmarkStart w:id="2487" w:name="_Toc38442296"/>
      <w:bookmarkStart w:id="2488" w:name="_Toc38442628"/>
      <w:bookmarkStart w:id="2489" w:name="_Toc38442959"/>
      <w:bookmarkStart w:id="2490" w:name="_Toc38443290"/>
      <w:bookmarkStart w:id="2491" w:name="_Toc38443621"/>
      <w:bookmarkStart w:id="2492" w:name="_Toc38443951"/>
      <w:bookmarkStart w:id="2493" w:name="_Toc38438419"/>
      <w:bookmarkStart w:id="2494" w:name="_Toc38438756"/>
      <w:bookmarkStart w:id="2495" w:name="_Toc38439093"/>
      <w:bookmarkStart w:id="2496" w:name="_Toc38439430"/>
      <w:bookmarkStart w:id="2497" w:name="_Toc38439767"/>
      <w:bookmarkStart w:id="2498" w:name="_Toc38440104"/>
      <w:bookmarkStart w:id="2499" w:name="_Toc38440441"/>
      <w:bookmarkStart w:id="2500" w:name="_Toc38440973"/>
      <w:bookmarkStart w:id="2501" w:name="_Toc38441305"/>
      <w:bookmarkStart w:id="2502" w:name="_Toc38441637"/>
      <w:bookmarkStart w:id="2503" w:name="_Toc38441965"/>
      <w:bookmarkStart w:id="2504" w:name="_Toc38442297"/>
      <w:bookmarkStart w:id="2505" w:name="_Toc38442629"/>
      <w:bookmarkStart w:id="2506" w:name="_Toc38442960"/>
      <w:bookmarkStart w:id="2507" w:name="_Toc38443291"/>
      <w:bookmarkStart w:id="2508" w:name="_Toc38443622"/>
      <w:bookmarkStart w:id="2509" w:name="_Toc38443952"/>
      <w:bookmarkStart w:id="2510" w:name="_Toc38438420"/>
      <w:bookmarkStart w:id="2511" w:name="_Toc38438757"/>
      <w:bookmarkStart w:id="2512" w:name="_Toc38439094"/>
      <w:bookmarkStart w:id="2513" w:name="_Toc38439431"/>
      <w:bookmarkStart w:id="2514" w:name="_Toc38439768"/>
      <w:bookmarkStart w:id="2515" w:name="_Toc38440105"/>
      <w:bookmarkStart w:id="2516" w:name="_Toc38440442"/>
      <w:bookmarkStart w:id="2517" w:name="_Toc38440974"/>
      <w:bookmarkStart w:id="2518" w:name="_Toc38441306"/>
      <w:bookmarkStart w:id="2519" w:name="_Toc38441638"/>
      <w:bookmarkStart w:id="2520" w:name="_Toc38441966"/>
      <w:bookmarkStart w:id="2521" w:name="_Toc38442298"/>
      <w:bookmarkStart w:id="2522" w:name="_Toc38442630"/>
      <w:bookmarkStart w:id="2523" w:name="_Toc38442961"/>
      <w:bookmarkStart w:id="2524" w:name="_Toc38443292"/>
      <w:bookmarkStart w:id="2525" w:name="_Toc38443623"/>
      <w:bookmarkStart w:id="2526" w:name="_Toc38443953"/>
      <w:bookmarkStart w:id="2527" w:name="_Toc38438421"/>
      <w:bookmarkStart w:id="2528" w:name="_Toc38438758"/>
      <w:bookmarkStart w:id="2529" w:name="_Toc38439095"/>
      <w:bookmarkStart w:id="2530" w:name="_Toc38439432"/>
      <w:bookmarkStart w:id="2531" w:name="_Toc38439769"/>
      <w:bookmarkStart w:id="2532" w:name="_Toc38440106"/>
      <w:bookmarkStart w:id="2533" w:name="_Toc38440443"/>
      <w:bookmarkStart w:id="2534" w:name="_Toc38440975"/>
      <w:bookmarkStart w:id="2535" w:name="_Toc38441307"/>
      <w:bookmarkStart w:id="2536" w:name="_Toc38441639"/>
      <w:bookmarkStart w:id="2537" w:name="_Toc38441967"/>
      <w:bookmarkStart w:id="2538" w:name="_Toc38442299"/>
      <w:bookmarkStart w:id="2539" w:name="_Toc38442631"/>
      <w:bookmarkStart w:id="2540" w:name="_Toc38442962"/>
      <w:bookmarkStart w:id="2541" w:name="_Toc38443293"/>
      <w:bookmarkStart w:id="2542" w:name="_Toc38443624"/>
      <w:bookmarkStart w:id="2543" w:name="_Toc38443954"/>
      <w:bookmarkStart w:id="2544" w:name="_Toc38438422"/>
      <w:bookmarkStart w:id="2545" w:name="_Toc38438759"/>
      <w:bookmarkStart w:id="2546" w:name="_Toc38439096"/>
      <w:bookmarkStart w:id="2547" w:name="_Toc38439433"/>
      <w:bookmarkStart w:id="2548" w:name="_Toc38439770"/>
      <w:bookmarkStart w:id="2549" w:name="_Toc38440107"/>
      <w:bookmarkStart w:id="2550" w:name="_Toc38440444"/>
      <w:bookmarkStart w:id="2551" w:name="_Toc38440976"/>
      <w:bookmarkStart w:id="2552" w:name="_Toc38441308"/>
      <w:bookmarkStart w:id="2553" w:name="_Toc38441640"/>
      <w:bookmarkStart w:id="2554" w:name="_Toc38441968"/>
      <w:bookmarkStart w:id="2555" w:name="_Toc38442300"/>
      <w:bookmarkStart w:id="2556" w:name="_Toc38442632"/>
      <w:bookmarkStart w:id="2557" w:name="_Toc38442963"/>
      <w:bookmarkStart w:id="2558" w:name="_Toc38443294"/>
      <w:bookmarkStart w:id="2559" w:name="_Toc38443625"/>
      <w:bookmarkStart w:id="2560" w:name="_Toc38443955"/>
      <w:bookmarkStart w:id="2561" w:name="_Toc38438423"/>
      <w:bookmarkStart w:id="2562" w:name="_Toc38438760"/>
      <w:bookmarkStart w:id="2563" w:name="_Toc38439097"/>
      <w:bookmarkStart w:id="2564" w:name="_Toc38439434"/>
      <w:bookmarkStart w:id="2565" w:name="_Toc38439771"/>
      <w:bookmarkStart w:id="2566" w:name="_Toc38440108"/>
      <w:bookmarkStart w:id="2567" w:name="_Toc38440445"/>
      <w:bookmarkStart w:id="2568" w:name="_Toc38440977"/>
      <w:bookmarkStart w:id="2569" w:name="_Toc38441309"/>
      <w:bookmarkStart w:id="2570" w:name="_Toc38441641"/>
      <w:bookmarkStart w:id="2571" w:name="_Toc38441969"/>
      <w:bookmarkStart w:id="2572" w:name="_Toc38442301"/>
      <w:bookmarkStart w:id="2573" w:name="_Toc38442633"/>
      <w:bookmarkStart w:id="2574" w:name="_Toc38442964"/>
      <w:bookmarkStart w:id="2575" w:name="_Toc38443295"/>
      <w:bookmarkStart w:id="2576" w:name="_Toc38443626"/>
      <w:bookmarkStart w:id="2577" w:name="_Toc38443956"/>
      <w:bookmarkStart w:id="2578" w:name="_Toc38438424"/>
      <w:bookmarkStart w:id="2579" w:name="_Toc38438761"/>
      <w:bookmarkStart w:id="2580" w:name="_Toc38439098"/>
      <w:bookmarkStart w:id="2581" w:name="_Toc38439435"/>
      <w:bookmarkStart w:id="2582" w:name="_Toc38439772"/>
      <w:bookmarkStart w:id="2583" w:name="_Toc38440109"/>
      <w:bookmarkStart w:id="2584" w:name="_Toc38440446"/>
      <w:bookmarkStart w:id="2585" w:name="_Toc38440978"/>
      <w:bookmarkStart w:id="2586" w:name="_Toc38441310"/>
      <w:bookmarkStart w:id="2587" w:name="_Toc38441642"/>
      <w:bookmarkStart w:id="2588" w:name="_Toc38441970"/>
      <w:bookmarkStart w:id="2589" w:name="_Toc38442302"/>
      <w:bookmarkStart w:id="2590" w:name="_Toc38442634"/>
      <w:bookmarkStart w:id="2591" w:name="_Toc38442965"/>
      <w:bookmarkStart w:id="2592" w:name="_Toc38443296"/>
      <w:bookmarkStart w:id="2593" w:name="_Toc38443627"/>
      <w:bookmarkStart w:id="2594" w:name="_Toc38443957"/>
      <w:bookmarkStart w:id="2595" w:name="_Toc38438425"/>
      <w:bookmarkStart w:id="2596" w:name="_Toc38438762"/>
      <w:bookmarkStart w:id="2597" w:name="_Toc38439099"/>
      <w:bookmarkStart w:id="2598" w:name="_Toc38439436"/>
      <w:bookmarkStart w:id="2599" w:name="_Toc38439773"/>
      <w:bookmarkStart w:id="2600" w:name="_Toc38440110"/>
      <w:bookmarkStart w:id="2601" w:name="_Toc38440447"/>
      <w:bookmarkStart w:id="2602" w:name="_Toc38440979"/>
      <w:bookmarkStart w:id="2603" w:name="_Toc38441311"/>
      <w:bookmarkStart w:id="2604" w:name="_Toc38441643"/>
      <w:bookmarkStart w:id="2605" w:name="_Toc38441971"/>
      <w:bookmarkStart w:id="2606" w:name="_Toc38442303"/>
      <w:bookmarkStart w:id="2607" w:name="_Toc38442635"/>
      <w:bookmarkStart w:id="2608" w:name="_Toc38442966"/>
      <w:bookmarkStart w:id="2609" w:name="_Toc38443297"/>
      <w:bookmarkStart w:id="2610" w:name="_Toc38443628"/>
      <w:bookmarkStart w:id="2611" w:name="_Toc38443958"/>
      <w:bookmarkStart w:id="2612" w:name="_Toc38438426"/>
      <w:bookmarkStart w:id="2613" w:name="_Toc38438763"/>
      <w:bookmarkStart w:id="2614" w:name="_Toc38439100"/>
      <w:bookmarkStart w:id="2615" w:name="_Toc38439437"/>
      <w:bookmarkStart w:id="2616" w:name="_Toc38439774"/>
      <w:bookmarkStart w:id="2617" w:name="_Toc38440111"/>
      <w:bookmarkStart w:id="2618" w:name="_Toc38440448"/>
      <w:bookmarkStart w:id="2619" w:name="_Toc38440980"/>
      <w:bookmarkStart w:id="2620" w:name="_Toc38441312"/>
      <w:bookmarkStart w:id="2621" w:name="_Toc38441644"/>
      <w:bookmarkStart w:id="2622" w:name="_Toc38441972"/>
      <w:bookmarkStart w:id="2623" w:name="_Toc38442304"/>
      <w:bookmarkStart w:id="2624" w:name="_Toc38442636"/>
      <w:bookmarkStart w:id="2625" w:name="_Toc38442967"/>
      <w:bookmarkStart w:id="2626" w:name="_Toc38443298"/>
      <w:bookmarkStart w:id="2627" w:name="_Toc38443629"/>
      <w:bookmarkStart w:id="2628" w:name="_Toc38443959"/>
      <w:bookmarkStart w:id="2629" w:name="_Toc38438427"/>
      <w:bookmarkStart w:id="2630" w:name="_Toc38438764"/>
      <w:bookmarkStart w:id="2631" w:name="_Toc38439101"/>
      <w:bookmarkStart w:id="2632" w:name="_Toc38439438"/>
      <w:bookmarkStart w:id="2633" w:name="_Toc38439775"/>
      <w:bookmarkStart w:id="2634" w:name="_Toc38440112"/>
      <w:bookmarkStart w:id="2635" w:name="_Toc38440449"/>
      <w:bookmarkStart w:id="2636" w:name="_Toc38440981"/>
      <w:bookmarkStart w:id="2637" w:name="_Toc38441313"/>
      <w:bookmarkStart w:id="2638" w:name="_Toc38441645"/>
      <w:bookmarkStart w:id="2639" w:name="_Toc38441973"/>
      <w:bookmarkStart w:id="2640" w:name="_Toc38442305"/>
      <w:bookmarkStart w:id="2641" w:name="_Toc38442637"/>
      <w:bookmarkStart w:id="2642" w:name="_Toc38442968"/>
      <w:bookmarkStart w:id="2643" w:name="_Toc38443299"/>
      <w:bookmarkStart w:id="2644" w:name="_Toc38443630"/>
      <w:bookmarkStart w:id="2645" w:name="_Toc38443960"/>
      <w:bookmarkStart w:id="2646" w:name="_Toc38438428"/>
      <w:bookmarkStart w:id="2647" w:name="_Toc38438765"/>
      <w:bookmarkStart w:id="2648" w:name="_Toc38439102"/>
      <w:bookmarkStart w:id="2649" w:name="_Toc38439439"/>
      <w:bookmarkStart w:id="2650" w:name="_Toc38439776"/>
      <w:bookmarkStart w:id="2651" w:name="_Toc38440113"/>
      <w:bookmarkStart w:id="2652" w:name="_Toc38440450"/>
      <w:bookmarkStart w:id="2653" w:name="_Toc38440982"/>
      <w:bookmarkStart w:id="2654" w:name="_Toc38441314"/>
      <w:bookmarkStart w:id="2655" w:name="_Toc38441646"/>
      <w:bookmarkStart w:id="2656" w:name="_Toc38441974"/>
      <w:bookmarkStart w:id="2657" w:name="_Toc38442306"/>
      <w:bookmarkStart w:id="2658" w:name="_Toc38442638"/>
      <w:bookmarkStart w:id="2659" w:name="_Toc38442969"/>
      <w:bookmarkStart w:id="2660" w:name="_Toc38443300"/>
      <w:bookmarkStart w:id="2661" w:name="_Toc38443631"/>
      <w:bookmarkStart w:id="2662" w:name="_Toc38443961"/>
      <w:bookmarkStart w:id="2663" w:name="_Toc38438429"/>
      <w:bookmarkStart w:id="2664" w:name="_Toc38438766"/>
      <w:bookmarkStart w:id="2665" w:name="_Toc38439103"/>
      <w:bookmarkStart w:id="2666" w:name="_Toc38439440"/>
      <w:bookmarkStart w:id="2667" w:name="_Toc38439777"/>
      <w:bookmarkStart w:id="2668" w:name="_Toc38440114"/>
      <w:bookmarkStart w:id="2669" w:name="_Toc38440451"/>
      <w:bookmarkStart w:id="2670" w:name="_Toc38440983"/>
      <w:bookmarkStart w:id="2671" w:name="_Toc38441315"/>
      <w:bookmarkStart w:id="2672" w:name="_Toc38441647"/>
      <w:bookmarkStart w:id="2673" w:name="_Toc38441975"/>
      <w:bookmarkStart w:id="2674" w:name="_Toc38442307"/>
      <w:bookmarkStart w:id="2675" w:name="_Toc38442639"/>
      <w:bookmarkStart w:id="2676" w:name="_Toc38442970"/>
      <w:bookmarkStart w:id="2677" w:name="_Toc38443301"/>
      <w:bookmarkStart w:id="2678" w:name="_Toc38443632"/>
      <w:bookmarkStart w:id="2679" w:name="_Toc38443962"/>
      <w:bookmarkStart w:id="2680" w:name="_Toc38438430"/>
      <w:bookmarkStart w:id="2681" w:name="_Toc38438767"/>
      <w:bookmarkStart w:id="2682" w:name="_Toc38439104"/>
      <w:bookmarkStart w:id="2683" w:name="_Toc38439441"/>
      <w:bookmarkStart w:id="2684" w:name="_Toc38439778"/>
      <w:bookmarkStart w:id="2685" w:name="_Toc38440115"/>
      <w:bookmarkStart w:id="2686" w:name="_Toc38440452"/>
      <w:bookmarkStart w:id="2687" w:name="_Toc38440984"/>
      <w:bookmarkStart w:id="2688" w:name="_Toc38441316"/>
      <w:bookmarkStart w:id="2689" w:name="_Toc38441648"/>
      <w:bookmarkStart w:id="2690" w:name="_Toc38441976"/>
      <w:bookmarkStart w:id="2691" w:name="_Toc38442308"/>
      <w:bookmarkStart w:id="2692" w:name="_Toc38442640"/>
      <w:bookmarkStart w:id="2693" w:name="_Toc38442971"/>
      <w:bookmarkStart w:id="2694" w:name="_Toc38443302"/>
      <w:bookmarkStart w:id="2695" w:name="_Toc38443633"/>
      <w:bookmarkStart w:id="2696" w:name="_Toc38443963"/>
      <w:bookmarkStart w:id="2697" w:name="_Toc38438431"/>
      <w:bookmarkStart w:id="2698" w:name="_Toc38438768"/>
      <w:bookmarkStart w:id="2699" w:name="_Toc38439105"/>
      <w:bookmarkStart w:id="2700" w:name="_Toc38439442"/>
      <w:bookmarkStart w:id="2701" w:name="_Toc38439779"/>
      <w:bookmarkStart w:id="2702" w:name="_Toc38440116"/>
      <w:bookmarkStart w:id="2703" w:name="_Toc38440453"/>
      <w:bookmarkStart w:id="2704" w:name="_Toc38440985"/>
      <w:bookmarkStart w:id="2705" w:name="_Toc38441317"/>
      <w:bookmarkStart w:id="2706" w:name="_Toc38441649"/>
      <w:bookmarkStart w:id="2707" w:name="_Toc38441977"/>
      <w:bookmarkStart w:id="2708" w:name="_Toc38442309"/>
      <w:bookmarkStart w:id="2709" w:name="_Toc38442641"/>
      <w:bookmarkStart w:id="2710" w:name="_Toc38442972"/>
      <w:bookmarkStart w:id="2711" w:name="_Toc38443303"/>
      <w:bookmarkStart w:id="2712" w:name="_Toc38443634"/>
      <w:bookmarkStart w:id="2713" w:name="_Toc38443964"/>
      <w:bookmarkStart w:id="2714" w:name="_Toc38438432"/>
      <w:bookmarkStart w:id="2715" w:name="_Toc38438769"/>
      <w:bookmarkStart w:id="2716" w:name="_Toc38439106"/>
      <w:bookmarkStart w:id="2717" w:name="_Toc38439443"/>
      <w:bookmarkStart w:id="2718" w:name="_Toc38439780"/>
      <w:bookmarkStart w:id="2719" w:name="_Toc38440117"/>
      <w:bookmarkStart w:id="2720" w:name="_Toc38440454"/>
      <w:bookmarkStart w:id="2721" w:name="_Toc38440986"/>
      <w:bookmarkStart w:id="2722" w:name="_Toc38441318"/>
      <w:bookmarkStart w:id="2723" w:name="_Toc38441650"/>
      <w:bookmarkStart w:id="2724" w:name="_Toc38441978"/>
      <w:bookmarkStart w:id="2725" w:name="_Toc38442310"/>
      <w:bookmarkStart w:id="2726" w:name="_Toc38442642"/>
      <w:bookmarkStart w:id="2727" w:name="_Toc38442973"/>
      <w:bookmarkStart w:id="2728" w:name="_Toc38443304"/>
      <w:bookmarkStart w:id="2729" w:name="_Toc38443635"/>
      <w:bookmarkStart w:id="2730" w:name="_Toc38443965"/>
      <w:bookmarkStart w:id="2731" w:name="_Toc38438433"/>
      <w:bookmarkStart w:id="2732" w:name="_Toc38438770"/>
      <w:bookmarkStart w:id="2733" w:name="_Toc38439107"/>
      <w:bookmarkStart w:id="2734" w:name="_Toc38439444"/>
      <w:bookmarkStart w:id="2735" w:name="_Toc38439781"/>
      <w:bookmarkStart w:id="2736" w:name="_Toc38440118"/>
      <w:bookmarkStart w:id="2737" w:name="_Toc38440455"/>
      <w:bookmarkStart w:id="2738" w:name="_Toc38440987"/>
      <w:bookmarkStart w:id="2739" w:name="_Toc38441319"/>
      <w:bookmarkStart w:id="2740" w:name="_Toc38441651"/>
      <w:bookmarkStart w:id="2741" w:name="_Toc38441979"/>
      <w:bookmarkStart w:id="2742" w:name="_Toc38442311"/>
      <w:bookmarkStart w:id="2743" w:name="_Toc38442643"/>
      <w:bookmarkStart w:id="2744" w:name="_Toc38442974"/>
      <w:bookmarkStart w:id="2745" w:name="_Toc38443305"/>
      <w:bookmarkStart w:id="2746" w:name="_Toc38443636"/>
      <w:bookmarkStart w:id="2747" w:name="_Toc38443966"/>
      <w:bookmarkStart w:id="2748" w:name="_Toc38438434"/>
      <w:bookmarkStart w:id="2749" w:name="_Toc38438771"/>
      <w:bookmarkStart w:id="2750" w:name="_Toc38439108"/>
      <w:bookmarkStart w:id="2751" w:name="_Toc38439445"/>
      <w:bookmarkStart w:id="2752" w:name="_Toc38439782"/>
      <w:bookmarkStart w:id="2753" w:name="_Toc38440119"/>
      <w:bookmarkStart w:id="2754" w:name="_Toc38440456"/>
      <w:bookmarkStart w:id="2755" w:name="_Toc38440988"/>
      <w:bookmarkStart w:id="2756" w:name="_Toc38441320"/>
      <w:bookmarkStart w:id="2757" w:name="_Toc38441652"/>
      <w:bookmarkStart w:id="2758" w:name="_Toc38441980"/>
      <w:bookmarkStart w:id="2759" w:name="_Toc38442312"/>
      <w:bookmarkStart w:id="2760" w:name="_Toc38442644"/>
      <w:bookmarkStart w:id="2761" w:name="_Toc38442975"/>
      <w:bookmarkStart w:id="2762" w:name="_Toc38443306"/>
      <w:bookmarkStart w:id="2763" w:name="_Toc38443637"/>
      <w:bookmarkStart w:id="2764" w:name="_Toc38443967"/>
      <w:bookmarkStart w:id="2765" w:name="_Toc38438435"/>
      <w:bookmarkStart w:id="2766" w:name="_Toc38438772"/>
      <w:bookmarkStart w:id="2767" w:name="_Toc38439109"/>
      <w:bookmarkStart w:id="2768" w:name="_Toc38439446"/>
      <w:bookmarkStart w:id="2769" w:name="_Toc38439783"/>
      <w:bookmarkStart w:id="2770" w:name="_Toc38440120"/>
      <w:bookmarkStart w:id="2771" w:name="_Toc38440457"/>
      <w:bookmarkStart w:id="2772" w:name="_Toc38440989"/>
      <w:bookmarkStart w:id="2773" w:name="_Toc38441321"/>
      <w:bookmarkStart w:id="2774" w:name="_Toc38441653"/>
      <w:bookmarkStart w:id="2775" w:name="_Toc38441981"/>
      <w:bookmarkStart w:id="2776" w:name="_Toc38442313"/>
      <w:bookmarkStart w:id="2777" w:name="_Toc38442645"/>
      <w:bookmarkStart w:id="2778" w:name="_Toc38442976"/>
      <w:bookmarkStart w:id="2779" w:name="_Toc38443307"/>
      <w:bookmarkStart w:id="2780" w:name="_Toc38443638"/>
      <w:bookmarkStart w:id="2781" w:name="_Toc38443968"/>
      <w:bookmarkStart w:id="2782" w:name="_Toc38438436"/>
      <w:bookmarkStart w:id="2783" w:name="_Toc38438773"/>
      <w:bookmarkStart w:id="2784" w:name="_Toc38439110"/>
      <w:bookmarkStart w:id="2785" w:name="_Toc38439447"/>
      <w:bookmarkStart w:id="2786" w:name="_Toc38439784"/>
      <w:bookmarkStart w:id="2787" w:name="_Toc38440121"/>
      <w:bookmarkStart w:id="2788" w:name="_Toc38440458"/>
      <w:bookmarkStart w:id="2789" w:name="_Toc38440990"/>
      <w:bookmarkStart w:id="2790" w:name="_Toc38441322"/>
      <w:bookmarkStart w:id="2791" w:name="_Toc38441654"/>
      <w:bookmarkStart w:id="2792" w:name="_Toc38441982"/>
      <w:bookmarkStart w:id="2793" w:name="_Toc38442314"/>
      <w:bookmarkStart w:id="2794" w:name="_Toc38442646"/>
      <w:bookmarkStart w:id="2795" w:name="_Toc38442977"/>
      <w:bookmarkStart w:id="2796" w:name="_Toc38443308"/>
      <w:bookmarkStart w:id="2797" w:name="_Toc38443639"/>
      <w:bookmarkStart w:id="2798" w:name="_Toc38443969"/>
      <w:bookmarkStart w:id="2799" w:name="_Toc38438437"/>
      <w:bookmarkStart w:id="2800" w:name="_Toc38438774"/>
      <w:bookmarkStart w:id="2801" w:name="_Toc38439111"/>
      <w:bookmarkStart w:id="2802" w:name="_Toc38439448"/>
      <w:bookmarkStart w:id="2803" w:name="_Toc38439785"/>
      <w:bookmarkStart w:id="2804" w:name="_Toc38440122"/>
      <w:bookmarkStart w:id="2805" w:name="_Toc38440459"/>
      <w:bookmarkStart w:id="2806" w:name="_Toc38440991"/>
      <w:bookmarkStart w:id="2807" w:name="_Toc38441323"/>
      <w:bookmarkStart w:id="2808" w:name="_Toc38441655"/>
      <w:bookmarkStart w:id="2809" w:name="_Toc38441983"/>
      <w:bookmarkStart w:id="2810" w:name="_Toc38442315"/>
      <w:bookmarkStart w:id="2811" w:name="_Toc38442647"/>
      <w:bookmarkStart w:id="2812" w:name="_Toc38442978"/>
      <w:bookmarkStart w:id="2813" w:name="_Toc38443309"/>
      <w:bookmarkStart w:id="2814" w:name="_Toc38443640"/>
      <w:bookmarkStart w:id="2815" w:name="_Toc38443970"/>
      <w:bookmarkStart w:id="2816" w:name="_Toc38438438"/>
      <w:bookmarkStart w:id="2817" w:name="_Toc38438775"/>
      <w:bookmarkStart w:id="2818" w:name="_Toc38439112"/>
      <w:bookmarkStart w:id="2819" w:name="_Toc38439449"/>
      <w:bookmarkStart w:id="2820" w:name="_Toc38439786"/>
      <w:bookmarkStart w:id="2821" w:name="_Toc38440123"/>
      <w:bookmarkStart w:id="2822" w:name="_Toc38440460"/>
      <w:bookmarkStart w:id="2823" w:name="_Toc38440992"/>
      <w:bookmarkStart w:id="2824" w:name="_Toc38441324"/>
      <w:bookmarkStart w:id="2825" w:name="_Toc38441656"/>
      <w:bookmarkStart w:id="2826" w:name="_Toc38441984"/>
      <w:bookmarkStart w:id="2827" w:name="_Toc38442316"/>
      <w:bookmarkStart w:id="2828" w:name="_Toc38442648"/>
      <w:bookmarkStart w:id="2829" w:name="_Toc38442979"/>
      <w:bookmarkStart w:id="2830" w:name="_Toc38443310"/>
      <w:bookmarkStart w:id="2831" w:name="_Toc38443641"/>
      <w:bookmarkStart w:id="2832" w:name="_Toc38443971"/>
      <w:bookmarkStart w:id="2833" w:name="_Toc38438439"/>
      <w:bookmarkStart w:id="2834" w:name="_Toc38438776"/>
      <w:bookmarkStart w:id="2835" w:name="_Toc38439113"/>
      <w:bookmarkStart w:id="2836" w:name="_Toc38439450"/>
      <w:bookmarkStart w:id="2837" w:name="_Toc38439787"/>
      <w:bookmarkStart w:id="2838" w:name="_Toc38440124"/>
      <w:bookmarkStart w:id="2839" w:name="_Toc38440461"/>
      <w:bookmarkStart w:id="2840" w:name="_Toc38440993"/>
      <w:bookmarkStart w:id="2841" w:name="_Toc38441325"/>
      <w:bookmarkStart w:id="2842" w:name="_Toc38441657"/>
      <w:bookmarkStart w:id="2843" w:name="_Toc38441985"/>
      <w:bookmarkStart w:id="2844" w:name="_Toc38442317"/>
      <w:bookmarkStart w:id="2845" w:name="_Toc38442649"/>
      <w:bookmarkStart w:id="2846" w:name="_Toc38442980"/>
      <w:bookmarkStart w:id="2847" w:name="_Toc38443311"/>
      <w:bookmarkStart w:id="2848" w:name="_Toc38443642"/>
      <w:bookmarkStart w:id="2849" w:name="_Toc38443972"/>
      <w:bookmarkStart w:id="2850" w:name="_Toc38438440"/>
      <w:bookmarkStart w:id="2851" w:name="_Toc38438777"/>
      <w:bookmarkStart w:id="2852" w:name="_Toc38439114"/>
      <w:bookmarkStart w:id="2853" w:name="_Toc38439451"/>
      <w:bookmarkStart w:id="2854" w:name="_Toc38439788"/>
      <w:bookmarkStart w:id="2855" w:name="_Toc38440125"/>
      <w:bookmarkStart w:id="2856" w:name="_Toc38440462"/>
      <w:bookmarkStart w:id="2857" w:name="_Toc38440994"/>
      <w:bookmarkStart w:id="2858" w:name="_Toc38441326"/>
      <w:bookmarkStart w:id="2859" w:name="_Toc38441658"/>
      <w:bookmarkStart w:id="2860" w:name="_Toc38441986"/>
      <w:bookmarkStart w:id="2861" w:name="_Toc38442318"/>
      <w:bookmarkStart w:id="2862" w:name="_Toc38442650"/>
      <w:bookmarkStart w:id="2863" w:name="_Toc38442981"/>
      <w:bookmarkStart w:id="2864" w:name="_Toc38443312"/>
      <w:bookmarkStart w:id="2865" w:name="_Toc38443643"/>
      <w:bookmarkStart w:id="2866" w:name="_Toc38443973"/>
      <w:bookmarkStart w:id="2867" w:name="_Toc38438441"/>
      <w:bookmarkStart w:id="2868" w:name="_Toc38438778"/>
      <w:bookmarkStart w:id="2869" w:name="_Toc38439115"/>
      <w:bookmarkStart w:id="2870" w:name="_Toc38439452"/>
      <w:bookmarkStart w:id="2871" w:name="_Toc38439789"/>
      <w:bookmarkStart w:id="2872" w:name="_Toc38440126"/>
      <w:bookmarkStart w:id="2873" w:name="_Toc38440463"/>
      <w:bookmarkStart w:id="2874" w:name="_Toc38440995"/>
      <w:bookmarkStart w:id="2875" w:name="_Toc38441327"/>
      <w:bookmarkStart w:id="2876" w:name="_Toc38441659"/>
      <w:bookmarkStart w:id="2877" w:name="_Toc38441987"/>
      <w:bookmarkStart w:id="2878" w:name="_Toc38442319"/>
      <w:bookmarkStart w:id="2879" w:name="_Toc38442651"/>
      <w:bookmarkStart w:id="2880" w:name="_Toc38442982"/>
      <w:bookmarkStart w:id="2881" w:name="_Toc38443313"/>
      <w:bookmarkStart w:id="2882" w:name="_Toc38443644"/>
      <w:bookmarkStart w:id="2883" w:name="_Toc38443974"/>
      <w:bookmarkStart w:id="2884" w:name="_Toc38438442"/>
      <w:bookmarkStart w:id="2885" w:name="_Toc38438779"/>
      <w:bookmarkStart w:id="2886" w:name="_Toc38439116"/>
      <w:bookmarkStart w:id="2887" w:name="_Toc38439453"/>
      <w:bookmarkStart w:id="2888" w:name="_Toc38439790"/>
      <w:bookmarkStart w:id="2889" w:name="_Toc38440127"/>
      <w:bookmarkStart w:id="2890" w:name="_Toc38440464"/>
      <w:bookmarkStart w:id="2891" w:name="_Toc38440996"/>
      <w:bookmarkStart w:id="2892" w:name="_Toc38441328"/>
      <w:bookmarkStart w:id="2893" w:name="_Toc38441660"/>
      <w:bookmarkStart w:id="2894" w:name="_Toc38441988"/>
      <w:bookmarkStart w:id="2895" w:name="_Toc38442320"/>
      <w:bookmarkStart w:id="2896" w:name="_Toc38442652"/>
      <w:bookmarkStart w:id="2897" w:name="_Toc38442983"/>
      <w:bookmarkStart w:id="2898" w:name="_Toc38443314"/>
      <w:bookmarkStart w:id="2899" w:name="_Toc38443645"/>
      <w:bookmarkStart w:id="2900" w:name="_Toc38443975"/>
      <w:bookmarkStart w:id="2901" w:name="_Toc38438443"/>
      <w:bookmarkStart w:id="2902" w:name="_Toc38438780"/>
      <w:bookmarkStart w:id="2903" w:name="_Toc38439117"/>
      <w:bookmarkStart w:id="2904" w:name="_Toc38439454"/>
      <w:bookmarkStart w:id="2905" w:name="_Toc38439791"/>
      <w:bookmarkStart w:id="2906" w:name="_Toc38440128"/>
      <w:bookmarkStart w:id="2907" w:name="_Toc38440465"/>
      <w:bookmarkStart w:id="2908" w:name="_Toc38440997"/>
      <w:bookmarkStart w:id="2909" w:name="_Toc38441329"/>
      <w:bookmarkStart w:id="2910" w:name="_Toc38441661"/>
      <w:bookmarkStart w:id="2911" w:name="_Toc38441989"/>
      <w:bookmarkStart w:id="2912" w:name="_Toc38442321"/>
      <w:bookmarkStart w:id="2913" w:name="_Toc38442653"/>
      <w:bookmarkStart w:id="2914" w:name="_Toc38442984"/>
      <w:bookmarkStart w:id="2915" w:name="_Toc38443315"/>
      <w:bookmarkStart w:id="2916" w:name="_Toc38443646"/>
      <w:bookmarkStart w:id="2917" w:name="_Toc38443976"/>
      <w:bookmarkStart w:id="2918" w:name="_Toc38438444"/>
      <w:bookmarkStart w:id="2919" w:name="_Toc38438781"/>
      <w:bookmarkStart w:id="2920" w:name="_Toc38439118"/>
      <w:bookmarkStart w:id="2921" w:name="_Toc38439455"/>
      <w:bookmarkStart w:id="2922" w:name="_Toc38439792"/>
      <w:bookmarkStart w:id="2923" w:name="_Toc38440129"/>
      <w:bookmarkStart w:id="2924" w:name="_Toc38440466"/>
      <w:bookmarkStart w:id="2925" w:name="_Toc38440998"/>
      <w:bookmarkStart w:id="2926" w:name="_Toc38441330"/>
      <w:bookmarkStart w:id="2927" w:name="_Toc38441662"/>
      <w:bookmarkStart w:id="2928" w:name="_Toc38441990"/>
      <w:bookmarkStart w:id="2929" w:name="_Toc38442322"/>
      <w:bookmarkStart w:id="2930" w:name="_Toc38442654"/>
      <w:bookmarkStart w:id="2931" w:name="_Toc38442985"/>
      <w:bookmarkStart w:id="2932" w:name="_Toc38443316"/>
      <w:bookmarkStart w:id="2933" w:name="_Toc38443647"/>
      <w:bookmarkStart w:id="2934" w:name="_Toc38443977"/>
      <w:bookmarkStart w:id="2935" w:name="_Toc38438445"/>
      <w:bookmarkStart w:id="2936" w:name="_Toc38438782"/>
      <w:bookmarkStart w:id="2937" w:name="_Toc38439119"/>
      <w:bookmarkStart w:id="2938" w:name="_Toc38439456"/>
      <w:bookmarkStart w:id="2939" w:name="_Toc38439793"/>
      <w:bookmarkStart w:id="2940" w:name="_Toc38440130"/>
      <w:bookmarkStart w:id="2941" w:name="_Toc38440467"/>
      <w:bookmarkStart w:id="2942" w:name="_Toc38440999"/>
      <w:bookmarkStart w:id="2943" w:name="_Toc38441331"/>
      <w:bookmarkStart w:id="2944" w:name="_Toc38441663"/>
      <w:bookmarkStart w:id="2945" w:name="_Toc38441991"/>
      <w:bookmarkStart w:id="2946" w:name="_Toc38442323"/>
      <w:bookmarkStart w:id="2947" w:name="_Toc38442655"/>
      <w:bookmarkStart w:id="2948" w:name="_Toc38442986"/>
      <w:bookmarkStart w:id="2949" w:name="_Toc38443317"/>
      <w:bookmarkStart w:id="2950" w:name="_Toc38443648"/>
      <w:bookmarkStart w:id="2951" w:name="_Toc38443978"/>
      <w:bookmarkStart w:id="2952" w:name="_Toc38438446"/>
      <w:bookmarkStart w:id="2953" w:name="_Toc38438783"/>
      <w:bookmarkStart w:id="2954" w:name="_Toc38439120"/>
      <w:bookmarkStart w:id="2955" w:name="_Toc38439457"/>
      <w:bookmarkStart w:id="2956" w:name="_Toc38439794"/>
      <w:bookmarkStart w:id="2957" w:name="_Toc38440131"/>
      <w:bookmarkStart w:id="2958" w:name="_Toc38440468"/>
      <w:bookmarkStart w:id="2959" w:name="_Toc38441000"/>
      <w:bookmarkStart w:id="2960" w:name="_Toc38441332"/>
      <w:bookmarkStart w:id="2961" w:name="_Toc38441664"/>
      <w:bookmarkStart w:id="2962" w:name="_Toc38441992"/>
      <w:bookmarkStart w:id="2963" w:name="_Toc38442324"/>
      <w:bookmarkStart w:id="2964" w:name="_Toc38442656"/>
      <w:bookmarkStart w:id="2965" w:name="_Toc38442987"/>
      <w:bookmarkStart w:id="2966" w:name="_Toc38443318"/>
      <w:bookmarkStart w:id="2967" w:name="_Toc38443649"/>
      <w:bookmarkStart w:id="2968" w:name="_Toc38443979"/>
      <w:bookmarkStart w:id="2969" w:name="_Toc38438447"/>
      <w:bookmarkStart w:id="2970" w:name="_Toc38438784"/>
      <w:bookmarkStart w:id="2971" w:name="_Toc38439121"/>
      <w:bookmarkStart w:id="2972" w:name="_Toc38439458"/>
      <w:bookmarkStart w:id="2973" w:name="_Toc38439795"/>
      <w:bookmarkStart w:id="2974" w:name="_Toc38440132"/>
      <w:bookmarkStart w:id="2975" w:name="_Toc38440469"/>
      <w:bookmarkStart w:id="2976" w:name="_Toc38441001"/>
      <w:bookmarkStart w:id="2977" w:name="_Toc38441333"/>
      <w:bookmarkStart w:id="2978" w:name="_Toc38441665"/>
      <w:bookmarkStart w:id="2979" w:name="_Toc38441993"/>
      <w:bookmarkStart w:id="2980" w:name="_Toc38442325"/>
      <w:bookmarkStart w:id="2981" w:name="_Toc38442657"/>
      <w:bookmarkStart w:id="2982" w:name="_Toc38442988"/>
      <w:bookmarkStart w:id="2983" w:name="_Toc38443319"/>
      <w:bookmarkStart w:id="2984" w:name="_Toc38443650"/>
      <w:bookmarkStart w:id="2985" w:name="_Toc38443980"/>
      <w:bookmarkStart w:id="2986" w:name="_Toc38438448"/>
      <w:bookmarkStart w:id="2987" w:name="_Toc38438785"/>
      <w:bookmarkStart w:id="2988" w:name="_Toc38439122"/>
      <w:bookmarkStart w:id="2989" w:name="_Toc38439459"/>
      <w:bookmarkStart w:id="2990" w:name="_Toc38439796"/>
      <w:bookmarkStart w:id="2991" w:name="_Toc38440133"/>
      <w:bookmarkStart w:id="2992" w:name="_Toc38440470"/>
      <w:bookmarkStart w:id="2993" w:name="_Toc38441002"/>
      <w:bookmarkStart w:id="2994" w:name="_Toc38441334"/>
      <w:bookmarkStart w:id="2995" w:name="_Toc38441666"/>
      <w:bookmarkStart w:id="2996" w:name="_Toc38441994"/>
      <w:bookmarkStart w:id="2997" w:name="_Toc38442326"/>
      <w:bookmarkStart w:id="2998" w:name="_Toc38442658"/>
      <w:bookmarkStart w:id="2999" w:name="_Toc38442989"/>
      <w:bookmarkStart w:id="3000" w:name="_Toc38443320"/>
      <w:bookmarkStart w:id="3001" w:name="_Toc38443651"/>
      <w:bookmarkStart w:id="3002" w:name="_Toc38443981"/>
      <w:bookmarkStart w:id="3003" w:name="_Toc38438449"/>
      <w:bookmarkStart w:id="3004" w:name="_Toc38438786"/>
      <w:bookmarkStart w:id="3005" w:name="_Toc38439123"/>
      <w:bookmarkStart w:id="3006" w:name="_Toc38439460"/>
      <w:bookmarkStart w:id="3007" w:name="_Toc38439797"/>
      <w:bookmarkStart w:id="3008" w:name="_Toc38440134"/>
      <w:bookmarkStart w:id="3009" w:name="_Toc38440471"/>
      <w:bookmarkStart w:id="3010" w:name="_Toc38441003"/>
      <w:bookmarkStart w:id="3011" w:name="_Toc38441335"/>
      <w:bookmarkStart w:id="3012" w:name="_Toc38441667"/>
      <w:bookmarkStart w:id="3013" w:name="_Toc38441995"/>
      <w:bookmarkStart w:id="3014" w:name="_Toc38442327"/>
      <w:bookmarkStart w:id="3015" w:name="_Toc38442659"/>
      <w:bookmarkStart w:id="3016" w:name="_Toc38442990"/>
      <w:bookmarkStart w:id="3017" w:name="_Toc38443321"/>
      <w:bookmarkStart w:id="3018" w:name="_Toc38443652"/>
      <w:bookmarkStart w:id="3019" w:name="_Toc38443982"/>
      <w:bookmarkStart w:id="3020" w:name="_Toc38438450"/>
      <w:bookmarkStart w:id="3021" w:name="_Toc38438787"/>
      <w:bookmarkStart w:id="3022" w:name="_Toc38439124"/>
      <w:bookmarkStart w:id="3023" w:name="_Toc38439461"/>
      <w:bookmarkStart w:id="3024" w:name="_Toc38439798"/>
      <w:bookmarkStart w:id="3025" w:name="_Toc38440135"/>
      <w:bookmarkStart w:id="3026" w:name="_Toc38440472"/>
      <w:bookmarkStart w:id="3027" w:name="_Toc38441004"/>
      <w:bookmarkStart w:id="3028" w:name="_Toc38441336"/>
      <w:bookmarkStart w:id="3029" w:name="_Toc38441668"/>
      <w:bookmarkStart w:id="3030" w:name="_Toc38441996"/>
      <w:bookmarkStart w:id="3031" w:name="_Toc38442328"/>
      <w:bookmarkStart w:id="3032" w:name="_Toc38442660"/>
      <w:bookmarkStart w:id="3033" w:name="_Toc38442991"/>
      <w:bookmarkStart w:id="3034" w:name="_Toc38443322"/>
      <w:bookmarkStart w:id="3035" w:name="_Toc38443653"/>
      <w:bookmarkStart w:id="3036" w:name="_Toc38443983"/>
      <w:bookmarkStart w:id="3037" w:name="_Toc38438451"/>
      <w:bookmarkStart w:id="3038" w:name="_Toc38438788"/>
      <w:bookmarkStart w:id="3039" w:name="_Toc38439125"/>
      <w:bookmarkStart w:id="3040" w:name="_Toc38439462"/>
      <w:bookmarkStart w:id="3041" w:name="_Toc38439799"/>
      <w:bookmarkStart w:id="3042" w:name="_Toc38440136"/>
      <w:bookmarkStart w:id="3043" w:name="_Toc38440473"/>
      <w:bookmarkStart w:id="3044" w:name="_Toc38441005"/>
      <w:bookmarkStart w:id="3045" w:name="_Toc38441337"/>
      <w:bookmarkStart w:id="3046" w:name="_Toc38441669"/>
      <w:bookmarkStart w:id="3047" w:name="_Toc38441997"/>
      <w:bookmarkStart w:id="3048" w:name="_Toc38442329"/>
      <w:bookmarkStart w:id="3049" w:name="_Toc38442661"/>
      <w:bookmarkStart w:id="3050" w:name="_Toc38442992"/>
      <w:bookmarkStart w:id="3051" w:name="_Toc38443323"/>
      <w:bookmarkStart w:id="3052" w:name="_Toc38443654"/>
      <w:bookmarkStart w:id="3053" w:name="_Toc38443984"/>
      <w:bookmarkStart w:id="3054" w:name="_Toc38438452"/>
      <w:bookmarkStart w:id="3055" w:name="_Toc38438789"/>
      <w:bookmarkStart w:id="3056" w:name="_Toc38439126"/>
      <w:bookmarkStart w:id="3057" w:name="_Toc38439463"/>
      <w:bookmarkStart w:id="3058" w:name="_Toc38439800"/>
      <w:bookmarkStart w:id="3059" w:name="_Toc38440137"/>
      <w:bookmarkStart w:id="3060" w:name="_Toc38440474"/>
      <w:bookmarkStart w:id="3061" w:name="_Toc38441006"/>
      <w:bookmarkStart w:id="3062" w:name="_Toc38441338"/>
      <w:bookmarkStart w:id="3063" w:name="_Toc38441670"/>
      <w:bookmarkStart w:id="3064" w:name="_Toc38441998"/>
      <w:bookmarkStart w:id="3065" w:name="_Toc38442330"/>
      <w:bookmarkStart w:id="3066" w:name="_Toc38442662"/>
      <w:bookmarkStart w:id="3067" w:name="_Toc38442993"/>
      <w:bookmarkStart w:id="3068" w:name="_Toc38443324"/>
      <w:bookmarkStart w:id="3069" w:name="_Toc38443655"/>
      <w:bookmarkStart w:id="3070" w:name="_Toc38443985"/>
      <w:bookmarkStart w:id="3071" w:name="_Toc38438453"/>
      <w:bookmarkStart w:id="3072" w:name="_Toc38438790"/>
      <w:bookmarkStart w:id="3073" w:name="_Toc38439127"/>
      <w:bookmarkStart w:id="3074" w:name="_Toc38439464"/>
      <w:bookmarkStart w:id="3075" w:name="_Toc38439801"/>
      <w:bookmarkStart w:id="3076" w:name="_Toc38440138"/>
      <w:bookmarkStart w:id="3077" w:name="_Toc38440475"/>
      <w:bookmarkStart w:id="3078" w:name="_Toc38441007"/>
      <w:bookmarkStart w:id="3079" w:name="_Toc38441339"/>
      <w:bookmarkStart w:id="3080" w:name="_Toc38441671"/>
      <w:bookmarkStart w:id="3081" w:name="_Toc38441999"/>
      <w:bookmarkStart w:id="3082" w:name="_Toc38442331"/>
      <w:bookmarkStart w:id="3083" w:name="_Toc38442663"/>
      <w:bookmarkStart w:id="3084" w:name="_Toc38442994"/>
      <w:bookmarkStart w:id="3085" w:name="_Toc38443325"/>
      <w:bookmarkStart w:id="3086" w:name="_Toc38443656"/>
      <w:bookmarkStart w:id="3087" w:name="_Toc38443986"/>
      <w:bookmarkStart w:id="3088" w:name="_Toc38438454"/>
      <w:bookmarkStart w:id="3089" w:name="_Toc38438791"/>
      <w:bookmarkStart w:id="3090" w:name="_Toc38439128"/>
      <w:bookmarkStart w:id="3091" w:name="_Toc38439465"/>
      <w:bookmarkStart w:id="3092" w:name="_Toc38439802"/>
      <w:bookmarkStart w:id="3093" w:name="_Toc38440139"/>
      <w:bookmarkStart w:id="3094" w:name="_Toc38440476"/>
      <w:bookmarkStart w:id="3095" w:name="_Toc38441008"/>
      <w:bookmarkStart w:id="3096" w:name="_Toc38441340"/>
      <w:bookmarkStart w:id="3097" w:name="_Toc38441672"/>
      <w:bookmarkStart w:id="3098" w:name="_Toc38442000"/>
      <w:bookmarkStart w:id="3099" w:name="_Toc38442332"/>
      <w:bookmarkStart w:id="3100" w:name="_Toc38442664"/>
      <w:bookmarkStart w:id="3101" w:name="_Toc38442995"/>
      <w:bookmarkStart w:id="3102" w:name="_Toc38443326"/>
      <w:bookmarkStart w:id="3103" w:name="_Toc38443657"/>
      <w:bookmarkStart w:id="3104" w:name="_Toc38443987"/>
      <w:bookmarkStart w:id="3105" w:name="_Toc38438455"/>
      <w:bookmarkStart w:id="3106" w:name="_Toc38438792"/>
      <w:bookmarkStart w:id="3107" w:name="_Toc38439129"/>
      <w:bookmarkStart w:id="3108" w:name="_Toc38439466"/>
      <w:bookmarkStart w:id="3109" w:name="_Toc38439803"/>
      <w:bookmarkStart w:id="3110" w:name="_Toc38440140"/>
      <w:bookmarkStart w:id="3111" w:name="_Toc38440477"/>
      <w:bookmarkStart w:id="3112" w:name="_Toc38441009"/>
      <w:bookmarkStart w:id="3113" w:name="_Toc38441341"/>
      <w:bookmarkStart w:id="3114" w:name="_Toc38441673"/>
      <w:bookmarkStart w:id="3115" w:name="_Toc38442001"/>
      <w:bookmarkStart w:id="3116" w:name="_Toc38442333"/>
      <w:bookmarkStart w:id="3117" w:name="_Toc38442665"/>
      <w:bookmarkStart w:id="3118" w:name="_Toc38442996"/>
      <w:bookmarkStart w:id="3119" w:name="_Toc38443327"/>
      <w:bookmarkStart w:id="3120" w:name="_Toc38443658"/>
      <w:bookmarkStart w:id="3121" w:name="_Toc38443988"/>
      <w:bookmarkStart w:id="3122" w:name="_Toc38438456"/>
      <w:bookmarkStart w:id="3123" w:name="_Toc38438793"/>
      <w:bookmarkStart w:id="3124" w:name="_Toc38439130"/>
      <w:bookmarkStart w:id="3125" w:name="_Toc38439467"/>
      <w:bookmarkStart w:id="3126" w:name="_Toc38439804"/>
      <w:bookmarkStart w:id="3127" w:name="_Toc38440141"/>
      <w:bookmarkStart w:id="3128" w:name="_Toc38440478"/>
      <w:bookmarkStart w:id="3129" w:name="_Toc38441010"/>
      <w:bookmarkStart w:id="3130" w:name="_Toc38441342"/>
      <w:bookmarkStart w:id="3131" w:name="_Toc38441674"/>
      <w:bookmarkStart w:id="3132" w:name="_Toc38442002"/>
      <w:bookmarkStart w:id="3133" w:name="_Toc38442334"/>
      <w:bookmarkStart w:id="3134" w:name="_Toc38442666"/>
      <w:bookmarkStart w:id="3135" w:name="_Toc38442997"/>
      <w:bookmarkStart w:id="3136" w:name="_Toc38443328"/>
      <w:bookmarkStart w:id="3137" w:name="_Toc38443659"/>
      <w:bookmarkStart w:id="3138" w:name="_Toc38443989"/>
      <w:bookmarkStart w:id="3139" w:name="_Toc38438457"/>
      <w:bookmarkStart w:id="3140" w:name="_Toc38438794"/>
      <w:bookmarkStart w:id="3141" w:name="_Toc38439131"/>
      <w:bookmarkStart w:id="3142" w:name="_Toc38439468"/>
      <w:bookmarkStart w:id="3143" w:name="_Toc38439805"/>
      <w:bookmarkStart w:id="3144" w:name="_Toc38440142"/>
      <w:bookmarkStart w:id="3145" w:name="_Toc38440479"/>
      <w:bookmarkStart w:id="3146" w:name="_Toc38441011"/>
      <w:bookmarkStart w:id="3147" w:name="_Toc38441343"/>
      <w:bookmarkStart w:id="3148" w:name="_Toc38441675"/>
      <w:bookmarkStart w:id="3149" w:name="_Toc38442003"/>
      <w:bookmarkStart w:id="3150" w:name="_Toc38442335"/>
      <w:bookmarkStart w:id="3151" w:name="_Toc38442667"/>
      <w:bookmarkStart w:id="3152" w:name="_Toc38442998"/>
      <w:bookmarkStart w:id="3153" w:name="_Toc38443329"/>
      <w:bookmarkStart w:id="3154" w:name="_Toc38443660"/>
      <w:bookmarkStart w:id="3155" w:name="_Toc38443990"/>
      <w:bookmarkStart w:id="3156" w:name="_Toc38438458"/>
      <w:bookmarkStart w:id="3157" w:name="_Toc38438795"/>
      <w:bookmarkStart w:id="3158" w:name="_Toc38439132"/>
      <w:bookmarkStart w:id="3159" w:name="_Toc38439469"/>
      <w:bookmarkStart w:id="3160" w:name="_Toc38439806"/>
      <w:bookmarkStart w:id="3161" w:name="_Toc38440143"/>
      <w:bookmarkStart w:id="3162" w:name="_Toc38440480"/>
      <w:bookmarkStart w:id="3163" w:name="_Toc38441012"/>
      <w:bookmarkStart w:id="3164" w:name="_Toc38441344"/>
      <w:bookmarkStart w:id="3165" w:name="_Toc38441676"/>
      <w:bookmarkStart w:id="3166" w:name="_Toc38442004"/>
      <w:bookmarkStart w:id="3167" w:name="_Toc38442336"/>
      <w:bookmarkStart w:id="3168" w:name="_Toc38442668"/>
      <w:bookmarkStart w:id="3169" w:name="_Toc38442999"/>
      <w:bookmarkStart w:id="3170" w:name="_Toc38443330"/>
      <w:bookmarkStart w:id="3171" w:name="_Toc38443661"/>
      <w:bookmarkStart w:id="3172" w:name="_Toc38443991"/>
      <w:bookmarkStart w:id="3173" w:name="_Toc46933331"/>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533AE6">
        <w:rPr>
          <w:rFonts w:asciiTheme="minorEastAsia" w:eastAsiaTheme="minorEastAsia" w:hAnsiTheme="minorEastAsia" w:hint="eastAsia"/>
        </w:rPr>
        <w:lastRenderedPageBreak/>
        <w:t>二十五、招募说明书存放及查阅方式</w:t>
      </w:r>
      <w:bookmarkEnd w:id="3173"/>
    </w:p>
    <w:p w:rsidR="007E7B9F" w:rsidRPr="00533AE6" w:rsidRDefault="007E7B9F" w:rsidP="005A15F8">
      <w:pPr>
        <w:snapToGrid w:val="0"/>
        <w:spacing w:line="360" w:lineRule="auto"/>
        <w:ind w:left="-420" w:firstLine="420"/>
        <w:rPr>
          <w:rFonts w:asciiTheme="minorEastAsia" w:eastAsiaTheme="minorEastAsia" w:hAnsiTheme="minorEastAsia"/>
        </w:rPr>
      </w:pPr>
      <w:r w:rsidRPr="00533AE6">
        <w:rPr>
          <w:rFonts w:asciiTheme="minorEastAsia" w:eastAsiaTheme="minorEastAsia" w:hAnsiTheme="minorEastAsia"/>
        </w:rPr>
        <w:t>本《招募说明书》存放在基金管理人、基金托管人及基金销售机构</w:t>
      </w:r>
      <w:r w:rsidR="002B08C6">
        <w:rPr>
          <w:rFonts w:asciiTheme="minorEastAsia" w:eastAsiaTheme="minorEastAsia" w:hAnsiTheme="minorEastAsia" w:hint="eastAsia"/>
        </w:rPr>
        <w:t>处</w:t>
      </w:r>
      <w:r w:rsidRPr="00533AE6">
        <w:rPr>
          <w:rFonts w:asciiTheme="minorEastAsia" w:eastAsiaTheme="minorEastAsia" w:hAnsiTheme="minorEastAsia"/>
        </w:rPr>
        <w:t>，投资者可在营业时间免费查阅，也可按工本费购买复印件。基金管理人和基金托管人保证其所提供的文本的内容与所公告的内容完全一致。</w:t>
      </w:r>
      <w:r w:rsidRPr="00533AE6">
        <w:rPr>
          <w:rFonts w:asciiTheme="minorEastAsia" w:eastAsiaTheme="minorEastAsia" w:hAnsiTheme="minorEastAsia"/>
        </w:rPr>
        <w:br w:type="page"/>
      </w:r>
    </w:p>
    <w:p w:rsidR="00266A27" w:rsidRPr="00533AE6" w:rsidRDefault="006376F9" w:rsidP="005A15F8">
      <w:pPr>
        <w:pStyle w:val="1"/>
        <w:snapToGrid w:val="0"/>
        <w:spacing w:beforeLines="0" w:afterLines="0" w:line="360" w:lineRule="auto"/>
        <w:ind w:left="-420" w:firstLineChars="0" w:firstLine="0"/>
        <w:rPr>
          <w:rFonts w:asciiTheme="minorEastAsia" w:eastAsiaTheme="minorEastAsia" w:hAnsiTheme="minorEastAsia"/>
          <w:szCs w:val="21"/>
        </w:rPr>
      </w:pPr>
      <w:bookmarkStart w:id="3174" w:name="_Toc46933332"/>
      <w:r w:rsidRPr="00533AE6">
        <w:rPr>
          <w:rFonts w:asciiTheme="minorEastAsia" w:eastAsiaTheme="minorEastAsia" w:hAnsiTheme="minorEastAsia" w:hint="eastAsia"/>
        </w:rPr>
        <w:lastRenderedPageBreak/>
        <w:t>二十六</w:t>
      </w:r>
      <w:r w:rsidR="00266A27" w:rsidRPr="00533AE6">
        <w:rPr>
          <w:rFonts w:asciiTheme="minorEastAsia" w:eastAsiaTheme="minorEastAsia" w:hAnsiTheme="minorEastAsia" w:hint="eastAsia"/>
        </w:rPr>
        <w:t>、备查文件</w:t>
      </w:r>
      <w:bookmarkEnd w:id="3174"/>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1、中国证监会核准易方达医疗保健行业混合型证券投资基金募集的文件；</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2、《易方达医疗保健行业混合型证券投资基金基金合同》；</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3、《易方达基金管理有限公司开放式基金业务规则》；</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4、《易方达医疗保健行业混合型证券投资基金托管协议》；</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5、法律意见书；</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6、基金管理人业务资格批件和营业执照；</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7、基金托管人业务资格批件和营业执照。</w:t>
      </w:r>
    </w:p>
    <w:p w:rsidR="00896494" w:rsidRPr="00533AE6" w:rsidRDefault="00E06EC4">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存放地点：基金管理人、基金托管人处</w:t>
      </w:r>
    </w:p>
    <w:p w:rsidR="00266A27" w:rsidRPr="00533AE6" w:rsidRDefault="007E7B9F" w:rsidP="005A15F8">
      <w:pPr>
        <w:snapToGrid w:val="0"/>
        <w:spacing w:line="360" w:lineRule="auto"/>
        <w:ind w:left="-420" w:firstLine="420"/>
        <w:rPr>
          <w:rFonts w:asciiTheme="minorEastAsia" w:eastAsiaTheme="minorEastAsia" w:hAnsiTheme="minorEastAsia"/>
          <w:szCs w:val="21"/>
        </w:rPr>
      </w:pPr>
      <w:r w:rsidRPr="00533AE6">
        <w:rPr>
          <w:rFonts w:asciiTheme="minorEastAsia" w:eastAsiaTheme="minorEastAsia" w:hAnsiTheme="minorEastAsia"/>
        </w:rPr>
        <w:t>查阅方式：投资者可在营业时间免费查阅，也可按工本费购买复印件。</w:t>
      </w:r>
    </w:p>
    <w:p w:rsidR="00266A27" w:rsidRPr="00533AE6" w:rsidRDefault="00266A27" w:rsidP="005A15F8">
      <w:pPr>
        <w:snapToGrid w:val="0"/>
        <w:spacing w:line="360" w:lineRule="auto"/>
        <w:ind w:left="-420" w:firstLine="420"/>
        <w:rPr>
          <w:rFonts w:asciiTheme="minorEastAsia" w:eastAsiaTheme="minorEastAsia" w:hAnsiTheme="minorEastAsia"/>
          <w:szCs w:val="21"/>
        </w:rPr>
      </w:pPr>
    </w:p>
    <w:p w:rsidR="007A6905" w:rsidRPr="00533AE6" w:rsidRDefault="007A6905" w:rsidP="005A15F8">
      <w:pPr>
        <w:snapToGrid w:val="0"/>
        <w:spacing w:line="360" w:lineRule="auto"/>
        <w:ind w:left="-420" w:firstLine="420"/>
        <w:rPr>
          <w:rFonts w:asciiTheme="minorEastAsia" w:eastAsiaTheme="minorEastAsia" w:hAnsiTheme="minorEastAsia"/>
          <w:szCs w:val="21"/>
        </w:rPr>
      </w:pPr>
    </w:p>
    <w:p w:rsidR="00BB7EBF" w:rsidRPr="00533AE6" w:rsidRDefault="00BB7EBF" w:rsidP="005A15F8">
      <w:pPr>
        <w:snapToGrid w:val="0"/>
        <w:spacing w:line="360" w:lineRule="auto"/>
        <w:ind w:left="-420" w:firstLine="420"/>
        <w:jc w:val="right"/>
        <w:rPr>
          <w:rFonts w:asciiTheme="minorEastAsia" w:eastAsiaTheme="minorEastAsia" w:hAnsiTheme="minorEastAsia"/>
        </w:rPr>
      </w:pPr>
      <w:r w:rsidRPr="00533AE6">
        <w:rPr>
          <w:rFonts w:asciiTheme="minorEastAsia" w:eastAsiaTheme="minorEastAsia" w:hAnsiTheme="minorEastAsia" w:hint="eastAsia"/>
        </w:rPr>
        <w:t>易方达基金管理有限公司</w:t>
      </w:r>
    </w:p>
    <w:p w:rsidR="00BB7EBF" w:rsidRPr="00533AE6" w:rsidRDefault="00713E37" w:rsidP="00AC1507">
      <w:pPr>
        <w:snapToGrid w:val="0"/>
        <w:spacing w:line="360" w:lineRule="auto"/>
        <w:ind w:left="-420" w:right="210" w:firstLine="420"/>
        <w:jc w:val="right"/>
        <w:rPr>
          <w:rFonts w:asciiTheme="minorEastAsia" w:eastAsiaTheme="minorEastAsia" w:hAnsiTheme="minorEastAsia"/>
        </w:rPr>
      </w:pPr>
      <w:r w:rsidRPr="00533AE6">
        <w:rPr>
          <w:rFonts w:asciiTheme="minorEastAsia" w:eastAsiaTheme="minorEastAsia" w:hAnsiTheme="minorEastAsia"/>
        </w:rPr>
        <w:t>2020年7月</w:t>
      </w:r>
      <w:r w:rsidR="00533AE6" w:rsidRPr="00533AE6">
        <w:rPr>
          <w:rFonts w:asciiTheme="minorEastAsia" w:eastAsiaTheme="minorEastAsia" w:hAnsiTheme="minorEastAsia"/>
        </w:rPr>
        <w:t>30</w:t>
      </w:r>
      <w:r w:rsidRPr="00533AE6">
        <w:rPr>
          <w:rFonts w:asciiTheme="minorEastAsia" w:eastAsiaTheme="minorEastAsia" w:hAnsiTheme="minorEastAsia"/>
        </w:rPr>
        <w:t>日</w:t>
      </w:r>
    </w:p>
    <w:sectPr w:rsidR="00BB7EBF" w:rsidRPr="00533AE6" w:rsidSect="00F67DBE">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57" w:rsidRDefault="00934057" w:rsidP="005A15F8">
      <w:pPr>
        <w:ind w:left="-420" w:firstLine="420"/>
      </w:pPr>
      <w:r>
        <w:separator/>
      </w:r>
    </w:p>
  </w:endnote>
  <w:endnote w:type="continuationSeparator" w:id="0">
    <w:p w:rsidR="00934057" w:rsidRDefault="00934057" w:rsidP="005A15F8">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5"/>
      <w:framePr w:wrap="around" w:vAnchor="text" w:hAnchor="margin" w:xAlign="center" w:y="1"/>
      <w:ind w:left="-420" w:firstLine="360"/>
      <w:rPr>
        <w:rStyle w:val="a4"/>
      </w:rPr>
    </w:pPr>
    <w:r>
      <w:rPr>
        <w:rStyle w:val="a4"/>
      </w:rPr>
      <w:fldChar w:fldCharType="begin"/>
    </w:r>
    <w:r>
      <w:rPr>
        <w:rStyle w:val="a4"/>
      </w:rPr>
      <w:instrText xml:space="preserve">PAGE  </w:instrText>
    </w:r>
    <w:r>
      <w:rPr>
        <w:rStyle w:val="a4"/>
      </w:rPr>
      <w:fldChar w:fldCharType="end"/>
    </w:r>
  </w:p>
  <w:p w:rsidR="00A015AC" w:rsidRDefault="00A015AC" w:rsidP="005A15F8">
    <w:pPr>
      <w:pStyle w:val="a5"/>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5"/>
      <w:ind w:left="-420"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5"/>
      <w:ind w:left="-42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5"/>
      <w:ind w:left="-420" w:firstLineChars="2250" w:firstLine="4050"/>
    </w:pPr>
    <w:r>
      <w:fldChar w:fldCharType="begin"/>
    </w:r>
    <w:r>
      <w:instrText xml:space="preserve"> PAGE   \* MERGEFORMAT </w:instrText>
    </w:r>
    <w:r>
      <w:fldChar w:fldCharType="separate"/>
    </w:r>
    <w:r w:rsidR="0045750F" w:rsidRPr="0045750F">
      <w:rPr>
        <w:noProof/>
        <w:lang w:val="zh-CN"/>
      </w:rPr>
      <w:t>164</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5"/>
      <w:ind w:left="-420" w:firstLine="360"/>
      <w:jc w:val="center"/>
    </w:pPr>
    <w:r>
      <w:fldChar w:fldCharType="begin"/>
    </w:r>
    <w:r>
      <w:instrText xml:space="preserve"> PAGE   \* MERGEFORMAT </w:instrText>
    </w:r>
    <w:r>
      <w:fldChar w:fldCharType="separate"/>
    </w:r>
    <w:r w:rsidR="005220E1" w:rsidRPr="005220E1">
      <w:rPr>
        <w:noProof/>
        <w:lang w:val="zh-CN"/>
      </w:rPr>
      <w:t>I</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57" w:rsidRDefault="00934057" w:rsidP="005A15F8">
      <w:pPr>
        <w:ind w:left="-420" w:firstLine="420"/>
      </w:pPr>
      <w:r>
        <w:separator/>
      </w:r>
    </w:p>
  </w:footnote>
  <w:footnote w:type="continuationSeparator" w:id="0">
    <w:p w:rsidR="00934057" w:rsidRDefault="00934057" w:rsidP="005A15F8">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3"/>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Pr="00E06EC4" w:rsidRDefault="00A015AC" w:rsidP="00A16E43">
    <w:pP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AC" w:rsidRDefault="00A015AC" w:rsidP="005A15F8">
    <w:pPr>
      <w:pStyle w:val="a3"/>
      <w:pBdr>
        <w:bottom w:val="none" w:sz="0" w:space="0" w:color="auto"/>
      </w:pBdr>
      <w:ind w:left="-4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3081"/>
    <w:multiLevelType w:val="hybridMultilevel"/>
    <w:tmpl w:val="50E24F24"/>
    <w:lvl w:ilvl="0" w:tplc="FFFFFFFF">
      <w:start w:val="1"/>
      <w:numFmt w:val="decimal"/>
      <w:lvlText w:val="%1."/>
      <w:lvlJc w:val="left"/>
      <w:pPr>
        <w:tabs>
          <w:tab w:val="num" w:pos="420"/>
        </w:tabs>
        <w:ind w:left="420" w:hanging="420"/>
      </w:pPr>
    </w:lvl>
    <w:lvl w:ilvl="1" w:tplc="FFFFFFFF">
      <w:start w:val="2"/>
      <w:numFmt w:val="decimal"/>
      <w:lvlText w:val="%2、"/>
      <w:lvlJc w:val="left"/>
      <w:pPr>
        <w:tabs>
          <w:tab w:val="num" w:pos="780"/>
        </w:tabs>
        <w:ind w:left="780" w:hanging="360"/>
      </w:pPr>
      <w:rPr>
        <w:rFonts w:hint="eastAsia"/>
        <w:sz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FD43BA"/>
    <w:multiLevelType w:val="hybridMultilevel"/>
    <w:tmpl w:val="50E24F24"/>
    <w:lvl w:ilvl="0" w:tplc="FFFFFFFF">
      <w:start w:val="1"/>
      <w:numFmt w:val="decimal"/>
      <w:lvlText w:val="%1."/>
      <w:lvlJc w:val="left"/>
      <w:pPr>
        <w:tabs>
          <w:tab w:val="num" w:pos="420"/>
        </w:tabs>
        <w:ind w:left="420" w:hanging="420"/>
      </w:pPr>
    </w:lvl>
    <w:lvl w:ilvl="1" w:tplc="FFFFFFFF">
      <w:start w:val="2"/>
      <w:numFmt w:val="decimal"/>
      <w:lvlText w:val="%2、"/>
      <w:lvlJc w:val="left"/>
      <w:pPr>
        <w:tabs>
          <w:tab w:val="num" w:pos="780"/>
        </w:tabs>
        <w:ind w:left="780" w:hanging="360"/>
      </w:pPr>
      <w:rPr>
        <w:rFonts w:hint="eastAsia"/>
        <w:sz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16155AB2"/>
    <w:multiLevelType w:val="hybridMultilevel"/>
    <w:tmpl w:val="3D60F0D8"/>
    <w:lvl w:ilvl="0" w:tplc="9104AC7A">
      <w:start w:val="1"/>
      <w:numFmt w:val="decimal"/>
      <w:lvlText w:val="%1、"/>
      <w:lvlJc w:val="left"/>
      <w:pPr>
        <w:tabs>
          <w:tab w:val="num" w:pos="1125"/>
        </w:tabs>
        <w:ind w:left="112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C0C4114"/>
    <w:multiLevelType w:val="hybridMultilevel"/>
    <w:tmpl w:val="D94CB014"/>
    <w:lvl w:ilvl="0" w:tplc="0409000B">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D3E1907"/>
    <w:multiLevelType w:val="multilevel"/>
    <w:tmpl w:val="A3F4567C"/>
    <w:lvl w:ilvl="0">
      <w:start w:val="1"/>
      <w:numFmt w:val="decimal"/>
      <w:lvlText w:val="%1、"/>
      <w:lvlJc w:val="left"/>
      <w:pPr>
        <w:tabs>
          <w:tab w:val="num" w:pos="780"/>
        </w:tabs>
        <w:ind w:left="0" w:firstLine="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F4F5E6B"/>
    <w:multiLevelType w:val="hybridMultilevel"/>
    <w:tmpl w:val="FA74EF8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20D95687"/>
    <w:multiLevelType w:val="hybridMultilevel"/>
    <w:tmpl w:val="21E222B0"/>
    <w:lvl w:ilvl="0" w:tplc="04090019">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9">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693406"/>
    <w:multiLevelType w:val="hybridMultilevel"/>
    <w:tmpl w:val="7470810C"/>
    <w:lvl w:ilvl="0" w:tplc="5CEADD54">
      <w:start w:val="1"/>
      <w:numFmt w:val="japaneseCounting"/>
      <w:lvlText w:val="%1、"/>
      <w:lvlJc w:val="left"/>
      <w:pPr>
        <w:tabs>
          <w:tab w:val="num" w:pos="720"/>
        </w:tabs>
        <w:ind w:left="720" w:hanging="720"/>
      </w:pPr>
      <w:rPr>
        <w:rFonts w:hint="default"/>
      </w:rPr>
    </w:lvl>
    <w:lvl w:ilvl="1" w:tplc="8FCC12C6">
      <w:start w:val="1"/>
      <w:numFmt w:val="japaneseCounting"/>
      <w:lvlText w:val="（%2）"/>
      <w:lvlJc w:val="left"/>
      <w:pPr>
        <w:tabs>
          <w:tab w:val="num" w:pos="1275"/>
        </w:tabs>
        <w:ind w:left="1275" w:hanging="855"/>
      </w:pPr>
      <w:rPr>
        <w:rFonts w:hint="default"/>
      </w:rPr>
    </w:lvl>
    <w:lvl w:ilvl="2" w:tplc="0409001B">
      <w:start w:val="1"/>
      <w:numFmt w:val="lowerRoman"/>
      <w:lvlText w:val="%3."/>
      <w:lvlJc w:val="right"/>
      <w:pPr>
        <w:tabs>
          <w:tab w:val="num" w:pos="1260"/>
        </w:tabs>
        <w:ind w:left="1260" w:hanging="420"/>
      </w:pPr>
    </w:lvl>
    <w:lvl w:ilvl="3" w:tplc="09A0A5DE">
      <w:start w:val="1"/>
      <w:numFmt w:val="decimalEnclosedCircle"/>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2" w15:restartNumberingAfterBreak="0">
    <w:nsid w:val="27BF03B4"/>
    <w:multiLevelType w:val="hybridMultilevel"/>
    <w:tmpl w:val="62C235BC"/>
    <w:lvl w:ilvl="0" w:tplc="9104AC7A">
      <w:start w:val="1"/>
      <w:numFmt w:val="decimal"/>
      <w:lvlText w:val="%1、"/>
      <w:lvlJc w:val="left"/>
      <w:pPr>
        <w:tabs>
          <w:tab w:val="num" w:pos="1125"/>
        </w:tabs>
        <w:ind w:left="112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8D64555"/>
    <w:multiLevelType w:val="hybridMultilevel"/>
    <w:tmpl w:val="28FCA162"/>
    <w:lvl w:ilvl="0" w:tplc="9B50BBD0">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BF770CA"/>
    <w:multiLevelType w:val="hybridMultilevel"/>
    <w:tmpl w:val="4FB2E0B6"/>
    <w:lvl w:ilvl="0" w:tplc="8FCC12C6">
      <w:start w:val="1"/>
      <w:numFmt w:val="japaneseCounting"/>
      <w:lvlText w:val="（%1）"/>
      <w:lvlJc w:val="left"/>
      <w:pPr>
        <w:tabs>
          <w:tab w:val="num" w:pos="1275"/>
        </w:tabs>
        <w:ind w:left="1275" w:hanging="855"/>
      </w:pPr>
      <w:rPr>
        <w:rFonts w:hint="default"/>
      </w:rPr>
    </w:lvl>
    <w:lvl w:ilvl="1" w:tplc="4C606DE0">
      <w:start w:val="9"/>
      <w:numFmt w:val="decimal"/>
      <w:lvlText w:val="（%2）"/>
      <w:lvlJc w:val="left"/>
      <w:pPr>
        <w:tabs>
          <w:tab w:val="num" w:pos="1680"/>
        </w:tabs>
        <w:ind w:left="1680" w:hanging="1260"/>
      </w:pPr>
      <w:rPr>
        <w:rFonts w:hint="eastAsia"/>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6" w15:restartNumberingAfterBreak="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7B028D9"/>
    <w:multiLevelType w:val="hybridMultilevel"/>
    <w:tmpl w:val="02BEB382"/>
    <w:lvl w:ilvl="0" w:tplc="0BBCA874">
      <w:start w:val="1"/>
      <w:numFmt w:val="lowerLetter"/>
      <w:lvlText w:val="%1."/>
      <w:lvlJc w:val="left"/>
      <w:pPr>
        <w:tabs>
          <w:tab w:val="num" w:pos="1425"/>
        </w:tabs>
        <w:ind w:left="1425" w:hanging="585"/>
      </w:pPr>
      <w:rPr>
        <w:rFont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15:restartNumberingAfterBreak="0">
    <w:nsid w:val="37E46BB2"/>
    <w:multiLevelType w:val="hybridMultilevel"/>
    <w:tmpl w:val="8B1411D4"/>
    <w:lvl w:ilvl="0" w:tplc="F21A4F6E">
      <w:start w:val="1"/>
      <w:numFmt w:val="decimal"/>
      <w:lvlText w:val="%1."/>
      <w:lvlJc w:val="left"/>
      <w:pPr>
        <w:tabs>
          <w:tab w:val="num" w:pos="780"/>
        </w:tabs>
        <w:ind w:left="-147" w:firstLine="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BFC7C21"/>
    <w:multiLevelType w:val="hybridMultilevel"/>
    <w:tmpl w:val="5A028A64"/>
    <w:lvl w:ilvl="0" w:tplc="DADCCBA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5058DB"/>
    <w:multiLevelType w:val="hybridMultilevel"/>
    <w:tmpl w:val="1E587062"/>
    <w:lvl w:ilvl="0" w:tplc="04090007">
      <w:start w:val="1"/>
      <w:numFmt w:val="bullet"/>
      <w:lvlText w:val=""/>
      <w:lvlJc w:val="left"/>
      <w:pPr>
        <w:tabs>
          <w:tab w:val="num" w:pos="1260"/>
        </w:tabs>
        <w:ind w:left="1260" w:hanging="420"/>
      </w:pPr>
      <w:rPr>
        <w:rFonts w:ascii="Wingdings" w:hAnsi="Wingdings" w:hint="default"/>
        <w:sz w:val="16"/>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3E0501E2"/>
    <w:multiLevelType w:val="singleLevel"/>
    <w:tmpl w:val="C7849EA8"/>
    <w:lvl w:ilvl="0">
      <w:start w:val="1"/>
      <w:numFmt w:val="decimal"/>
      <w:lvlText w:val="%1、"/>
      <w:lvlJc w:val="left"/>
      <w:pPr>
        <w:tabs>
          <w:tab w:val="num" w:pos="360"/>
        </w:tabs>
        <w:ind w:left="360" w:hanging="360"/>
      </w:pPr>
      <w:rPr>
        <w:rFonts w:hint="eastAsia"/>
      </w:rPr>
    </w:lvl>
  </w:abstractNum>
  <w:abstractNum w:abstractNumId="22" w15:restartNumberingAfterBreak="0">
    <w:nsid w:val="438D4BA0"/>
    <w:multiLevelType w:val="hybridMultilevel"/>
    <w:tmpl w:val="FF46BC1A"/>
    <w:lvl w:ilvl="0" w:tplc="8B467D54">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522D4766"/>
    <w:multiLevelType w:val="hybridMultilevel"/>
    <w:tmpl w:val="9DCC2A2A"/>
    <w:lvl w:ilvl="0" w:tplc="9F46A8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3B3348D"/>
    <w:multiLevelType w:val="hybridMultilevel"/>
    <w:tmpl w:val="7ACECD32"/>
    <w:lvl w:ilvl="0" w:tplc="F21A4F6E">
      <w:start w:val="1"/>
      <w:numFmt w:val="decimal"/>
      <w:lvlText w:val="%1."/>
      <w:lvlJc w:val="left"/>
      <w:pPr>
        <w:tabs>
          <w:tab w:val="num" w:pos="780"/>
        </w:tabs>
        <w:ind w:left="-147" w:firstLine="567"/>
      </w:pPr>
      <w:rPr>
        <w:rFonts w:hint="eastAsia"/>
      </w:rPr>
    </w:lvl>
    <w:lvl w:ilvl="1" w:tplc="04090019" w:tentative="1">
      <w:start w:val="1"/>
      <w:numFmt w:val="lowerLetter"/>
      <w:lvlText w:val="%2)"/>
      <w:lvlJc w:val="left"/>
      <w:pPr>
        <w:tabs>
          <w:tab w:val="num" w:pos="693"/>
        </w:tabs>
        <w:ind w:left="693" w:hanging="420"/>
      </w:pPr>
    </w:lvl>
    <w:lvl w:ilvl="2" w:tplc="0409001B" w:tentative="1">
      <w:start w:val="1"/>
      <w:numFmt w:val="lowerRoman"/>
      <w:lvlText w:val="%3."/>
      <w:lvlJc w:val="right"/>
      <w:pPr>
        <w:tabs>
          <w:tab w:val="num" w:pos="1113"/>
        </w:tabs>
        <w:ind w:left="1113" w:hanging="420"/>
      </w:pPr>
    </w:lvl>
    <w:lvl w:ilvl="3" w:tplc="0409000F" w:tentative="1">
      <w:start w:val="1"/>
      <w:numFmt w:val="decimal"/>
      <w:lvlText w:val="%4."/>
      <w:lvlJc w:val="left"/>
      <w:pPr>
        <w:tabs>
          <w:tab w:val="num" w:pos="1533"/>
        </w:tabs>
        <w:ind w:left="1533" w:hanging="420"/>
      </w:pPr>
    </w:lvl>
    <w:lvl w:ilvl="4" w:tplc="04090019" w:tentative="1">
      <w:start w:val="1"/>
      <w:numFmt w:val="lowerLetter"/>
      <w:lvlText w:val="%5)"/>
      <w:lvlJc w:val="left"/>
      <w:pPr>
        <w:tabs>
          <w:tab w:val="num" w:pos="1953"/>
        </w:tabs>
        <w:ind w:left="1953" w:hanging="420"/>
      </w:pPr>
    </w:lvl>
    <w:lvl w:ilvl="5" w:tplc="0409001B" w:tentative="1">
      <w:start w:val="1"/>
      <w:numFmt w:val="lowerRoman"/>
      <w:lvlText w:val="%6."/>
      <w:lvlJc w:val="right"/>
      <w:pPr>
        <w:tabs>
          <w:tab w:val="num" w:pos="2373"/>
        </w:tabs>
        <w:ind w:left="2373" w:hanging="420"/>
      </w:pPr>
    </w:lvl>
    <w:lvl w:ilvl="6" w:tplc="0409000F" w:tentative="1">
      <w:start w:val="1"/>
      <w:numFmt w:val="decimal"/>
      <w:lvlText w:val="%7."/>
      <w:lvlJc w:val="left"/>
      <w:pPr>
        <w:tabs>
          <w:tab w:val="num" w:pos="2793"/>
        </w:tabs>
        <w:ind w:left="2793" w:hanging="420"/>
      </w:pPr>
    </w:lvl>
    <w:lvl w:ilvl="7" w:tplc="04090019" w:tentative="1">
      <w:start w:val="1"/>
      <w:numFmt w:val="lowerLetter"/>
      <w:lvlText w:val="%8)"/>
      <w:lvlJc w:val="left"/>
      <w:pPr>
        <w:tabs>
          <w:tab w:val="num" w:pos="3213"/>
        </w:tabs>
        <w:ind w:left="3213" w:hanging="420"/>
      </w:pPr>
    </w:lvl>
    <w:lvl w:ilvl="8" w:tplc="0409001B" w:tentative="1">
      <w:start w:val="1"/>
      <w:numFmt w:val="lowerRoman"/>
      <w:lvlText w:val="%9."/>
      <w:lvlJc w:val="right"/>
      <w:pPr>
        <w:tabs>
          <w:tab w:val="num" w:pos="3633"/>
        </w:tabs>
        <w:ind w:left="3633" w:hanging="420"/>
      </w:pPr>
    </w:lvl>
  </w:abstractNum>
  <w:abstractNum w:abstractNumId="29" w15:restartNumberingAfterBreak="0">
    <w:nsid w:val="5562621F"/>
    <w:multiLevelType w:val="hybridMultilevel"/>
    <w:tmpl w:val="1A3A79AA"/>
    <w:lvl w:ilvl="0" w:tplc="B0B0CABC">
      <w:start w:val="1"/>
      <w:numFmt w:val="decimal"/>
      <w:lvlText w:val="%1."/>
      <w:lvlJc w:val="left"/>
      <w:pPr>
        <w:tabs>
          <w:tab w:val="num" w:pos="780"/>
        </w:tabs>
        <w:ind w:left="420" w:firstLine="0"/>
      </w:pPr>
      <w:rPr>
        <w:rFonts w:hint="eastAsia"/>
      </w:rPr>
    </w:lvl>
    <w:lvl w:ilvl="1" w:tplc="0414CFFC">
      <w:start w:val="1"/>
      <w:numFmt w:val="decimal"/>
      <w:lvlText w:val="（%2）"/>
      <w:lvlJc w:val="left"/>
      <w:pPr>
        <w:tabs>
          <w:tab w:val="num" w:pos="1134"/>
        </w:tabs>
        <w:ind w:left="1134" w:hanging="714"/>
      </w:pPr>
      <w:rPr>
        <w:rFonts w:hint="eastAsia"/>
      </w:rPr>
    </w:lvl>
    <w:lvl w:ilvl="2" w:tplc="B54A8FF2">
      <w:start w:val="1"/>
      <w:numFmt w:val="decimal"/>
      <w:lvlText w:val="%3"/>
      <w:lvlJc w:val="left"/>
      <w:pPr>
        <w:tabs>
          <w:tab w:val="num" w:pos="780"/>
        </w:tabs>
        <w:ind w:left="420" w:firstLine="0"/>
      </w:pPr>
      <w:rPr>
        <w:rFonts w:hint="eastAsia"/>
      </w:rPr>
    </w:lvl>
    <w:lvl w:ilvl="3" w:tplc="DFC88FA8" w:tentative="1">
      <w:start w:val="1"/>
      <w:numFmt w:val="decimal"/>
      <w:lvlText w:val="%4."/>
      <w:lvlJc w:val="left"/>
      <w:pPr>
        <w:tabs>
          <w:tab w:val="num" w:pos="1680"/>
        </w:tabs>
        <w:ind w:left="1680" w:hanging="420"/>
      </w:pPr>
    </w:lvl>
    <w:lvl w:ilvl="4" w:tplc="9996A428" w:tentative="1">
      <w:start w:val="1"/>
      <w:numFmt w:val="lowerLetter"/>
      <w:lvlText w:val="%5)"/>
      <w:lvlJc w:val="left"/>
      <w:pPr>
        <w:tabs>
          <w:tab w:val="num" w:pos="2100"/>
        </w:tabs>
        <w:ind w:left="2100" w:hanging="420"/>
      </w:pPr>
    </w:lvl>
    <w:lvl w:ilvl="5" w:tplc="27EAA3C0" w:tentative="1">
      <w:start w:val="1"/>
      <w:numFmt w:val="lowerRoman"/>
      <w:lvlText w:val="%6."/>
      <w:lvlJc w:val="right"/>
      <w:pPr>
        <w:tabs>
          <w:tab w:val="num" w:pos="2520"/>
        </w:tabs>
        <w:ind w:left="2520" w:hanging="420"/>
      </w:pPr>
    </w:lvl>
    <w:lvl w:ilvl="6" w:tplc="801E96D8" w:tentative="1">
      <w:start w:val="1"/>
      <w:numFmt w:val="decimal"/>
      <w:lvlText w:val="%7."/>
      <w:lvlJc w:val="left"/>
      <w:pPr>
        <w:tabs>
          <w:tab w:val="num" w:pos="2940"/>
        </w:tabs>
        <w:ind w:left="2940" w:hanging="420"/>
      </w:pPr>
    </w:lvl>
    <w:lvl w:ilvl="7" w:tplc="51548350" w:tentative="1">
      <w:start w:val="1"/>
      <w:numFmt w:val="lowerLetter"/>
      <w:lvlText w:val="%8)"/>
      <w:lvlJc w:val="left"/>
      <w:pPr>
        <w:tabs>
          <w:tab w:val="num" w:pos="3360"/>
        </w:tabs>
        <w:ind w:left="3360" w:hanging="420"/>
      </w:pPr>
    </w:lvl>
    <w:lvl w:ilvl="8" w:tplc="2CB6C1A4" w:tentative="1">
      <w:start w:val="1"/>
      <w:numFmt w:val="lowerRoman"/>
      <w:lvlText w:val="%9."/>
      <w:lvlJc w:val="right"/>
      <w:pPr>
        <w:tabs>
          <w:tab w:val="num" w:pos="3780"/>
        </w:tabs>
        <w:ind w:left="3780" w:hanging="420"/>
      </w:pPr>
    </w:lvl>
  </w:abstractNum>
  <w:abstractNum w:abstractNumId="30" w15:restartNumberingAfterBreak="0">
    <w:nsid w:val="56F37CA0"/>
    <w:multiLevelType w:val="hybridMultilevel"/>
    <w:tmpl w:val="F068475A"/>
    <w:lvl w:ilvl="0" w:tplc="9DF6616A">
      <w:start w:val="1"/>
      <w:numFmt w:val="japaneseCounting"/>
      <w:lvlText w:val="（%1）"/>
      <w:lvlJc w:val="left"/>
      <w:pPr>
        <w:tabs>
          <w:tab w:val="num" w:pos="720"/>
        </w:tabs>
        <w:ind w:left="720" w:hanging="720"/>
      </w:pPr>
      <w:rPr>
        <w:rFonts w:hint="eastAsia"/>
      </w:rPr>
    </w:lvl>
    <w:lvl w:ilvl="1" w:tplc="841C8DC8">
      <w:start w:val="1"/>
      <w:numFmt w:val="decimal"/>
      <w:lvlText w:val="（%2）"/>
      <w:lvlJc w:val="left"/>
      <w:pPr>
        <w:tabs>
          <w:tab w:val="num" w:pos="1140"/>
        </w:tabs>
        <w:ind w:left="1140" w:hanging="720"/>
      </w:pPr>
      <w:rPr>
        <w:rFonts w:hint="eastAsia"/>
      </w:rPr>
    </w:lvl>
    <w:lvl w:ilvl="2" w:tplc="A1B2D0EE">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3ED3861"/>
    <w:multiLevelType w:val="hybridMultilevel"/>
    <w:tmpl w:val="4C5AAB56"/>
    <w:lvl w:ilvl="0" w:tplc="43E64C08">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359"/>
        </w:tabs>
        <w:ind w:left="-359" w:hanging="420"/>
      </w:pPr>
    </w:lvl>
    <w:lvl w:ilvl="2" w:tplc="0409001B">
      <w:start w:val="1"/>
      <w:numFmt w:val="lowerRoman"/>
      <w:lvlText w:val="%3."/>
      <w:lvlJc w:val="right"/>
      <w:pPr>
        <w:tabs>
          <w:tab w:val="num" w:pos="61"/>
        </w:tabs>
        <w:ind w:left="61" w:hanging="420"/>
      </w:pPr>
    </w:lvl>
    <w:lvl w:ilvl="3" w:tplc="0409000F" w:tentative="1">
      <w:start w:val="1"/>
      <w:numFmt w:val="decimal"/>
      <w:lvlText w:val="%4."/>
      <w:lvlJc w:val="left"/>
      <w:pPr>
        <w:tabs>
          <w:tab w:val="num" w:pos="481"/>
        </w:tabs>
        <w:ind w:left="481" w:hanging="420"/>
      </w:pPr>
    </w:lvl>
    <w:lvl w:ilvl="4" w:tplc="04090019" w:tentative="1">
      <w:start w:val="1"/>
      <w:numFmt w:val="lowerLetter"/>
      <w:lvlText w:val="%5)"/>
      <w:lvlJc w:val="left"/>
      <w:pPr>
        <w:tabs>
          <w:tab w:val="num" w:pos="901"/>
        </w:tabs>
        <w:ind w:left="901" w:hanging="420"/>
      </w:pPr>
    </w:lvl>
    <w:lvl w:ilvl="5" w:tplc="0409001B" w:tentative="1">
      <w:start w:val="1"/>
      <w:numFmt w:val="lowerRoman"/>
      <w:lvlText w:val="%6."/>
      <w:lvlJc w:val="right"/>
      <w:pPr>
        <w:tabs>
          <w:tab w:val="num" w:pos="1321"/>
        </w:tabs>
        <w:ind w:left="1321" w:hanging="420"/>
      </w:pPr>
    </w:lvl>
    <w:lvl w:ilvl="6" w:tplc="0409000F" w:tentative="1">
      <w:start w:val="1"/>
      <w:numFmt w:val="decimal"/>
      <w:lvlText w:val="%7."/>
      <w:lvlJc w:val="left"/>
      <w:pPr>
        <w:tabs>
          <w:tab w:val="num" w:pos="1741"/>
        </w:tabs>
        <w:ind w:left="1741" w:hanging="420"/>
      </w:pPr>
    </w:lvl>
    <w:lvl w:ilvl="7" w:tplc="04090019" w:tentative="1">
      <w:start w:val="1"/>
      <w:numFmt w:val="lowerLetter"/>
      <w:lvlText w:val="%8)"/>
      <w:lvlJc w:val="left"/>
      <w:pPr>
        <w:tabs>
          <w:tab w:val="num" w:pos="2161"/>
        </w:tabs>
        <w:ind w:left="2161" w:hanging="420"/>
      </w:pPr>
    </w:lvl>
    <w:lvl w:ilvl="8" w:tplc="0409001B" w:tentative="1">
      <w:start w:val="1"/>
      <w:numFmt w:val="lowerRoman"/>
      <w:lvlText w:val="%9."/>
      <w:lvlJc w:val="right"/>
      <w:pPr>
        <w:tabs>
          <w:tab w:val="num" w:pos="2581"/>
        </w:tabs>
        <w:ind w:left="2581" w:hanging="420"/>
      </w:pPr>
    </w:lvl>
  </w:abstractNum>
  <w:abstractNum w:abstractNumId="32" w15:restartNumberingAfterBreak="0">
    <w:nsid w:val="640D1D2A"/>
    <w:multiLevelType w:val="hybridMultilevel"/>
    <w:tmpl w:val="9510F85C"/>
    <w:lvl w:ilvl="0" w:tplc="186EA128">
      <w:start w:val="5"/>
      <w:numFmt w:val="decimal"/>
      <w:lvlText w:val="%1、"/>
      <w:lvlJc w:val="left"/>
      <w:pPr>
        <w:tabs>
          <w:tab w:val="num" w:pos="840"/>
        </w:tabs>
        <w:ind w:left="840" w:hanging="360"/>
      </w:pPr>
      <w:rPr>
        <w:rFonts w:hint="eastAsia"/>
      </w:rPr>
    </w:lvl>
    <w:lvl w:ilvl="1" w:tplc="CF22EB90">
      <w:start w:val="6"/>
      <w:numFmt w:val="japaneseCounting"/>
      <w:lvlText w:val="（%2）"/>
      <w:lvlJc w:val="left"/>
      <w:pPr>
        <w:tabs>
          <w:tab w:val="num" w:pos="1620"/>
        </w:tabs>
        <w:ind w:left="1620" w:hanging="720"/>
      </w:pPr>
      <w:rPr>
        <w:rFonts w:hint="eastAsia"/>
      </w:rPr>
    </w:lvl>
    <w:lvl w:ilvl="2" w:tplc="0409000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66732404"/>
    <w:multiLevelType w:val="multilevel"/>
    <w:tmpl w:val="CDC0E6D0"/>
    <w:lvl w:ilvl="0">
      <w:start w:val="1"/>
      <w:numFmt w:val="japaneseCounting"/>
      <w:pStyle w:val="ParaChar"/>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4" w15:restartNumberingAfterBreak="0">
    <w:nsid w:val="67D51DFF"/>
    <w:multiLevelType w:val="hybridMultilevel"/>
    <w:tmpl w:val="B7A4913C"/>
    <w:lvl w:ilvl="0" w:tplc="30849CB8">
      <w:start w:val="1"/>
      <w:numFmt w:val="japaneseCounting"/>
      <w:lvlText w:val="%1、"/>
      <w:lvlJc w:val="left"/>
      <w:pPr>
        <w:tabs>
          <w:tab w:val="num" w:pos="480"/>
        </w:tabs>
        <w:ind w:left="480" w:hanging="480"/>
      </w:pPr>
      <w:rPr>
        <w:rFonts w:hint="eastAsia"/>
        <w:lang w:val="en-US"/>
      </w:rPr>
    </w:lvl>
    <w:lvl w:ilvl="1" w:tplc="C428E24A">
      <w:start w:val="1"/>
      <w:numFmt w:val="japaneseCounting"/>
      <w:lvlText w:val="%2、"/>
      <w:lvlJc w:val="left"/>
      <w:pPr>
        <w:tabs>
          <w:tab w:val="num" w:pos="480"/>
        </w:tabs>
        <w:ind w:left="480" w:hanging="480"/>
      </w:pPr>
      <w:rPr>
        <w:rFonts w:hint="eastAsia"/>
        <w:lang w:val="en-US"/>
      </w:rPr>
    </w:lvl>
    <w:lvl w:ilvl="2" w:tplc="C79C3752">
      <w:start w:val="1"/>
      <w:numFmt w:val="decimal"/>
      <w:lvlText w:val="%3)"/>
      <w:lvlJc w:val="left"/>
      <w:pPr>
        <w:tabs>
          <w:tab w:val="num" w:pos="1260"/>
        </w:tabs>
        <w:ind w:left="1260" w:hanging="420"/>
      </w:pPr>
    </w:lvl>
    <w:lvl w:ilvl="3" w:tplc="A746CEF8">
      <w:start w:val="1"/>
      <w:numFmt w:val="bullet"/>
      <w:lvlText w:val=""/>
      <w:lvlJc w:val="left"/>
      <w:pPr>
        <w:tabs>
          <w:tab w:val="num" w:pos="1680"/>
        </w:tabs>
        <w:ind w:left="1680" w:hanging="420"/>
      </w:pPr>
      <w:rPr>
        <w:rFonts w:ascii="Wingdings" w:hAnsi="Wingdings" w:hint="default"/>
      </w:rPr>
    </w:lvl>
    <w:lvl w:ilvl="4" w:tplc="75CC8ED4">
      <w:start w:val="1"/>
      <w:numFmt w:val="lowerLetter"/>
      <w:lvlText w:val="%5)"/>
      <w:lvlJc w:val="left"/>
      <w:pPr>
        <w:tabs>
          <w:tab w:val="num" w:pos="2100"/>
        </w:tabs>
        <w:ind w:left="2100" w:hanging="420"/>
      </w:pPr>
    </w:lvl>
    <w:lvl w:ilvl="5" w:tplc="BEAC6200">
      <w:start w:val="1"/>
      <w:numFmt w:val="decimal"/>
      <w:lvlText w:val="（%6）"/>
      <w:lvlJc w:val="left"/>
      <w:pPr>
        <w:tabs>
          <w:tab w:val="num" w:pos="2820"/>
        </w:tabs>
        <w:ind w:left="2820" w:hanging="720"/>
      </w:pPr>
      <w:rPr>
        <w:rFonts w:hint="default"/>
      </w:rPr>
    </w:lvl>
    <w:lvl w:ilvl="6" w:tplc="0E74CB58" w:tentative="1">
      <w:start w:val="1"/>
      <w:numFmt w:val="decimal"/>
      <w:lvlText w:val="%7."/>
      <w:lvlJc w:val="left"/>
      <w:pPr>
        <w:tabs>
          <w:tab w:val="num" w:pos="2940"/>
        </w:tabs>
        <w:ind w:left="2940" w:hanging="420"/>
      </w:pPr>
    </w:lvl>
    <w:lvl w:ilvl="7" w:tplc="7E68CCFE" w:tentative="1">
      <w:start w:val="1"/>
      <w:numFmt w:val="lowerLetter"/>
      <w:lvlText w:val="%8)"/>
      <w:lvlJc w:val="left"/>
      <w:pPr>
        <w:tabs>
          <w:tab w:val="num" w:pos="3360"/>
        </w:tabs>
        <w:ind w:left="3360" w:hanging="420"/>
      </w:pPr>
    </w:lvl>
    <w:lvl w:ilvl="8" w:tplc="E1144936" w:tentative="1">
      <w:start w:val="1"/>
      <w:numFmt w:val="lowerRoman"/>
      <w:lvlText w:val="%9."/>
      <w:lvlJc w:val="right"/>
      <w:pPr>
        <w:tabs>
          <w:tab w:val="num" w:pos="3780"/>
        </w:tabs>
        <w:ind w:left="3780" w:hanging="420"/>
      </w:pPr>
    </w:lvl>
  </w:abstractNum>
  <w:abstractNum w:abstractNumId="35" w15:restartNumberingAfterBreak="0">
    <w:nsid w:val="69996945"/>
    <w:multiLevelType w:val="hybridMultilevel"/>
    <w:tmpl w:val="C21C2A68"/>
    <w:lvl w:ilvl="0" w:tplc="1E54F69A">
      <w:start w:val="1"/>
      <w:numFmt w:val="upperLetter"/>
      <w:lvlText w:val="%1."/>
      <w:lvlJc w:val="left"/>
      <w:pPr>
        <w:tabs>
          <w:tab w:val="num" w:pos="902"/>
        </w:tabs>
        <w:ind w:left="902" w:hanging="420"/>
      </w:pPr>
    </w:lvl>
    <w:lvl w:ilvl="1" w:tplc="1E54F69A" w:tentative="1">
      <w:start w:val="1"/>
      <w:numFmt w:val="lowerLetter"/>
      <w:lvlText w:val="%2)"/>
      <w:lvlJc w:val="left"/>
      <w:pPr>
        <w:tabs>
          <w:tab w:val="num" w:pos="1322"/>
        </w:tabs>
        <w:ind w:left="1322" w:hanging="420"/>
      </w:pPr>
    </w:lvl>
    <w:lvl w:ilvl="2" w:tplc="04090011" w:tentative="1">
      <w:start w:val="1"/>
      <w:numFmt w:val="lowerRoman"/>
      <w:lvlText w:val="%3."/>
      <w:lvlJc w:val="right"/>
      <w:pPr>
        <w:tabs>
          <w:tab w:val="num" w:pos="1742"/>
        </w:tabs>
        <w:ind w:left="1742" w:hanging="420"/>
      </w:pPr>
    </w:lvl>
    <w:lvl w:ilvl="3" w:tplc="0409000B"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CEB0B0CC"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6"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E30744C"/>
    <w:multiLevelType w:val="hybridMultilevel"/>
    <w:tmpl w:val="CF663CC6"/>
    <w:lvl w:ilvl="0" w:tplc="04090015">
      <w:start w:val="9"/>
      <w:numFmt w:val="japaneseCounting"/>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8"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39" w15:restartNumberingAfterBreak="0">
    <w:nsid w:val="720A2D31"/>
    <w:multiLevelType w:val="hybridMultilevel"/>
    <w:tmpl w:val="DB38B172"/>
    <w:lvl w:ilvl="0" w:tplc="43E64C08">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359"/>
        </w:tabs>
        <w:ind w:left="-359" w:hanging="420"/>
      </w:pPr>
    </w:lvl>
    <w:lvl w:ilvl="2" w:tplc="0409001B">
      <w:start w:val="1"/>
      <w:numFmt w:val="lowerRoman"/>
      <w:lvlText w:val="%3."/>
      <w:lvlJc w:val="right"/>
      <w:pPr>
        <w:tabs>
          <w:tab w:val="num" w:pos="61"/>
        </w:tabs>
        <w:ind w:left="61" w:hanging="420"/>
      </w:pPr>
    </w:lvl>
    <w:lvl w:ilvl="3" w:tplc="0409000F" w:tentative="1">
      <w:start w:val="1"/>
      <w:numFmt w:val="decimal"/>
      <w:lvlText w:val="%4."/>
      <w:lvlJc w:val="left"/>
      <w:pPr>
        <w:tabs>
          <w:tab w:val="num" w:pos="481"/>
        </w:tabs>
        <w:ind w:left="481" w:hanging="420"/>
      </w:pPr>
    </w:lvl>
    <w:lvl w:ilvl="4" w:tplc="04090019" w:tentative="1">
      <w:start w:val="1"/>
      <w:numFmt w:val="lowerLetter"/>
      <w:lvlText w:val="%5)"/>
      <w:lvlJc w:val="left"/>
      <w:pPr>
        <w:tabs>
          <w:tab w:val="num" w:pos="901"/>
        </w:tabs>
        <w:ind w:left="901" w:hanging="420"/>
      </w:pPr>
    </w:lvl>
    <w:lvl w:ilvl="5" w:tplc="0409001B" w:tentative="1">
      <w:start w:val="1"/>
      <w:numFmt w:val="lowerRoman"/>
      <w:lvlText w:val="%6."/>
      <w:lvlJc w:val="right"/>
      <w:pPr>
        <w:tabs>
          <w:tab w:val="num" w:pos="1321"/>
        </w:tabs>
        <w:ind w:left="1321" w:hanging="420"/>
      </w:pPr>
    </w:lvl>
    <w:lvl w:ilvl="6" w:tplc="0409000F" w:tentative="1">
      <w:start w:val="1"/>
      <w:numFmt w:val="decimal"/>
      <w:lvlText w:val="%7."/>
      <w:lvlJc w:val="left"/>
      <w:pPr>
        <w:tabs>
          <w:tab w:val="num" w:pos="1741"/>
        </w:tabs>
        <w:ind w:left="1741" w:hanging="420"/>
      </w:pPr>
    </w:lvl>
    <w:lvl w:ilvl="7" w:tplc="04090019" w:tentative="1">
      <w:start w:val="1"/>
      <w:numFmt w:val="lowerLetter"/>
      <w:lvlText w:val="%8)"/>
      <w:lvlJc w:val="left"/>
      <w:pPr>
        <w:tabs>
          <w:tab w:val="num" w:pos="2161"/>
        </w:tabs>
        <w:ind w:left="2161" w:hanging="420"/>
      </w:pPr>
    </w:lvl>
    <w:lvl w:ilvl="8" w:tplc="0409001B" w:tentative="1">
      <w:start w:val="1"/>
      <w:numFmt w:val="lowerRoman"/>
      <w:lvlText w:val="%9."/>
      <w:lvlJc w:val="right"/>
      <w:pPr>
        <w:tabs>
          <w:tab w:val="num" w:pos="2581"/>
        </w:tabs>
        <w:ind w:left="2581" w:hanging="420"/>
      </w:pPr>
    </w:lvl>
  </w:abstractNum>
  <w:abstractNum w:abstractNumId="40" w15:restartNumberingAfterBreak="0">
    <w:nsid w:val="75CA1EF1"/>
    <w:multiLevelType w:val="hybridMultilevel"/>
    <w:tmpl w:val="5F5831CE"/>
    <w:lvl w:ilvl="0" w:tplc="9C0E3D90">
      <w:start w:val="1"/>
      <w:numFmt w:val="japaneseCounting"/>
      <w:lvlText w:val="（%1）"/>
      <w:lvlJc w:val="left"/>
      <w:pPr>
        <w:tabs>
          <w:tab w:val="num" w:pos="855"/>
        </w:tabs>
        <w:ind w:left="855" w:hanging="855"/>
      </w:pPr>
      <w:rPr>
        <w:rFonts w:hint="default"/>
      </w:rPr>
    </w:lvl>
    <w:lvl w:ilvl="1" w:tplc="3E269DE2" w:tentative="1">
      <w:start w:val="1"/>
      <w:numFmt w:val="lowerLetter"/>
      <w:lvlText w:val="%2)"/>
      <w:lvlJc w:val="left"/>
      <w:pPr>
        <w:tabs>
          <w:tab w:val="num" w:pos="420"/>
        </w:tabs>
        <w:ind w:left="420" w:hanging="420"/>
      </w:pPr>
    </w:lvl>
    <w:lvl w:ilvl="2" w:tplc="6CC8B65A" w:tentative="1">
      <w:start w:val="1"/>
      <w:numFmt w:val="lowerRoman"/>
      <w:lvlText w:val="%3."/>
      <w:lvlJc w:val="right"/>
      <w:pPr>
        <w:tabs>
          <w:tab w:val="num" w:pos="840"/>
        </w:tabs>
        <w:ind w:left="840" w:hanging="420"/>
      </w:pPr>
    </w:lvl>
    <w:lvl w:ilvl="3" w:tplc="2146C936" w:tentative="1">
      <w:start w:val="1"/>
      <w:numFmt w:val="decimal"/>
      <w:lvlText w:val="%4."/>
      <w:lvlJc w:val="left"/>
      <w:pPr>
        <w:tabs>
          <w:tab w:val="num" w:pos="1260"/>
        </w:tabs>
        <w:ind w:left="1260" w:hanging="420"/>
      </w:pPr>
    </w:lvl>
    <w:lvl w:ilvl="4" w:tplc="C2527B02" w:tentative="1">
      <w:start w:val="1"/>
      <w:numFmt w:val="lowerLetter"/>
      <w:lvlText w:val="%5)"/>
      <w:lvlJc w:val="left"/>
      <w:pPr>
        <w:tabs>
          <w:tab w:val="num" w:pos="1680"/>
        </w:tabs>
        <w:ind w:left="1680" w:hanging="420"/>
      </w:pPr>
    </w:lvl>
    <w:lvl w:ilvl="5" w:tplc="576E9930" w:tentative="1">
      <w:start w:val="1"/>
      <w:numFmt w:val="lowerRoman"/>
      <w:lvlText w:val="%6."/>
      <w:lvlJc w:val="right"/>
      <w:pPr>
        <w:tabs>
          <w:tab w:val="num" w:pos="2100"/>
        </w:tabs>
        <w:ind w:left="2100" w:hanging="420"/>
      </w:pPr>
    </w:lvl>
    <w:lvl w:ilvl="6" w:tplc="4DD8E882" w:tentative="1">
      <w:start w:val="1"/>
      <w:numFmt w:val="decimal"/>
      <w:lvlText w:val="%7."/>
      <w:lvlJc w:val="left"/>
      <w:pPr>
        <w:tabs>
          <w:tab w:val="num" w:pos="2520"/>
        </w:tabs>
        <w:ind w:left="2520" w:hanging="420"/>
      </w:pPr>
    </w:lvl>
    <w:lvl w:ilvl="7" w:tplc="59E6576C" w:tentative="1">
      <w:start w:val="1"/>
      <w:numFmt w:val="lowerLetter"/>
      <w:lvlText w:val="%8)"/>
      <w:lvlJc w:val="left"/>
      <w:pPr>
        <w:tabs>
          <w:tab w:val="num" w:pos="2940"/>
        </w:tabs>
        <w:ind w:left="2940" w:hanging="420"/>
      </w:pPr>
    </w:lvl>
    <w:lvl w:ilvl="8" w:tplc="2AC06C9C" w:tentative="1">
      <w:start w:val="1"/>
      <w:numFmt w:val="lowerRoman"/>
      <w:lvlText w:val="%9."/>
      <w:lvlJc w:val="right"/>
      <w:pPr>
        <w:tabs>
          <w:tab w:val="num" w:pos="3360"/>
        </w:tabs>
        <w:ind w:left="3360" w:hanging="420"/>
      </w:pPr>
    </w:lvl>
  </w:abstractNum>
  <w:abstractNum w:abstractNumId="41" w15:restartNumberingAfterBreak="0">
    <w:nsid w:val="769754B1"/>
    <w:multiLevelType w:val="hybridMultilevel"/>
    <w:tmpl w:val="9B7C8262"/>
    <w:lvl w:ilvl="0" w:tplc="8FCC12C6">
      <w:start w:val="1"/>
      <w:numFmt w:val="decimal"/>
      <w:lvlText w:val="%1、"/>
      <w:lvlJc w:val="left"/>
      <w:pPr>
        <w:tabs>
          <w:tab w:val="num" w:pos="900"/>
        </w:tabs>
        <w:ind w:left="900" w:hanging="420"/>
      </w:pPr>
      <w:rPr>
        <w:rFonts w:hint="eastAsia"/>
      </w:rPr>
    </w:lvl>
    <w:lvl w:ilvl="1" w:tplc="04090019">
      <w:start w:val="1"/>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77605F51"/>
    <w:multiLevelType w:val="hybridMultilevel"/>
    <w:tmpl w:val="CFEAD436"/>
    <w:lvl w:ilvl="0" w:tplc="9FDC4F14">
      <w:start w:val="1"/>
      <w:numFmt w:val="lowerLetter"/>
      <w:lvlText w:val="%1."/>
      <w:lvlJc w:val="left"/>
      <w:pPr>
        <w:tabs>
          <w:tab w:val="num" w:pos="1425"/>
        </w:tabs>
        <w:ind w:left="1425" w:hanging="585"/>
      </w:pPr>
      <w:rPr>
        <w:rFonts w:hint="default"/>
      </w:rPr>
    </w:lvl>
    <w:lvl w:ilvl="1" w:tplc="EC9A888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7B4748A"/>
    <w:multiLevelType w:val="hybridMultilevel"/>
    <w:tmpl w:val="14985BC0"/>
    <w:lvl w:ilvl="0" w:tplc="0BBCA874">
      <w:start w:val="1"/>
      <w:numFmt w:val="decimal"/>
      <w:lvlText w:val="%1."/>
      <w:lvlJc w:val="left"/>
      <w:pPr>
        <w:tabs>
          <w:tab w:val="num" w:pos="780"/>
        </w:tabs>
        <w:ind w:left="420" w:firstLine="0"/>
      </w:pPr>
      <w:rPr>
        <w:rFonts w:hint="eastAsia"/>
      </w:rPr>
    </w:lvl>
    <w:lvl w:ilvl="1" w:tplc="04090019">
      <w:start w:val="1"/>
      <w:numFmt w:val="decimal"/>
      <w:lvlText w:val="（%2）"/>
      <w:lvlJc w:val="left"/>
      <w:pPr>
        <w:tabs>
          <w:tab w:val="num" w:pos="851"/>
        </w:tabs>
        <w:ind w:left="851" w:hanging="567"/>
      </w:pPr>
      <w:rPr>
        <w:rFonts w:hint="eastAsia"/>
      </w:rPr>
    </w:lvl>
    <w:lvl w:ilvl="2" w:tplc="0409001B">
      <w:start w:val="1"/>
      <w:numFmt w:val="decimal"/>
      <w:lvlText w:val="%3、"/>
      <w:lvlJc w:val="left"/>
      <w:pPr>
        <w:tabs>
          <w:tab w:val="num" w:pos="1200"/>
        </w:tabs>
        <w:ind w:left="1200" w:hanging="360"/>
      </w:pPr>
      <w:rPr>
        <w:rFonts w:hint="default"/>
      </w:rPr>
    </w:lvl>
    <w:lvl w:ilvl="3" w:tplc="4106176A">
      <w:start w:val="1"/>
      <w:numFmt w:val="japaneseCounting"/>
      <w:lvlText w:val="（%4）"/>
      <w:lvlJc w:val="left"/>
      <w:pPr>
        <w:ind w:left="2310" w:hanging="105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81937A9"/>
    <w:multiLevelType w:val="hybridMultilevel"/>
    <w:tmpl w:val="E5EC1B68"/>
    <w:lvl w:ilvl="0" w:tplc="99AA8908">
      <w:start w:val="1"/>
      <w:numFmt w:val="decimal"/>
      <w:lvlText w:val="%1."/>
      <w:lvlJc w:val="left"/>
      <w:pPr>
        <w:tabs>
          <w:tab w:val="num" w:pos="420"/>
        </w:tabs>
        <w:ind w:left="420" w:hanging="420"/>
      </w:pPr>
    </w:lvl>
    <w:lvl w:ilvl="1" w:tplc="271E205C">
      <w:start w:val="6"/>
      <w:numFmt w:val="decimal"/>
      <w:lvlText w:val="%2、"/>
      <w:lvlJc w:val="left"/>
      <w:pPr>
        <w:tabs>
          <w:tab w:val="num" w:pos="780"/>
        </w:tabs>
        <w:ind w:left="780" w:hanging="360"/>
      </w:pPr>
      <w:rPr>
        <w:rFonts w:ascii="Times New Roman" w:hAnsi="Times New Roman" w:hint="eastAsia"/>
      </w:rPr>
    </w:lvl>
    <w:lvl w:ilvl="2" w:tplc="23888C08">
      <w:start w:val="4"/>
      <w:numFmt w:val="japaneseCounting"/>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83C7759"/>
    <w:multiLevelType w:val="hybridMultilevel"/>
    <w:tmpl w:val="B3B83D90"/>
    <w:lvl w:ilvl="0" w:tplc="FFFFFFFF">
      <w:start w:val="1"/>
      <w:numFmt w:val="decimal"/>
      <w:lvlText w:val="（%1）"/>
      <w:lvlJc w:val="left"/>
      <w:pPr>
        <w:tabs>
          <w:tab w:val="num" w:pos="851"/>
        </w:tabs>
        <w:ind w:left="851" w:hanging="567"/>
      </w:pPr>
      <w:rPr>
        <w:rFonts w:hint="eastAsia"/>
      </w:rPr>
    </w:lvl>
    <w:lvl w:ilvl="1" w:tplc="335EFC94" w:tentative="1">
      <w:start w:val="1"/>
      <w:numFmt w:val="lowerLetter"/>
      <w:lvlText w:val="%2)"/>
      <w:lvlJc w:val="left"/>
      <w:pPr>
        <w:tabs>
          <w:tab w:val="num" w:pos="840"/>
        </w:tabs>
        <w:ind w:left="840" w:hanging="420"/>
      </w:pPr>
    </w:lvl>
    <w:lvl w:ilvl="2" w:tplc="EF1CC858"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6" w15:restartNumberingAfterBreak="0">
    <w:nsid w:val="78453D67"/>
    <w:multiLevelType w:val="multilevel"/>
    <w:tmpl w:val="FF46BC1A"/>
    <w:lvl w:ilvl="0">
      <w:start w:val="1"/>
      <w:numFmt w:val="decimal"/>
      <w:lvlText w:val="%1、"/>
      <w:lvlJc w:val="left"/>
      <w:pPr>
        <w:tabs>
          <w:tab w:val="num" w:pos="78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C744549"/>
    <w:multiLevelType w:val="hybridMultilevel"/>
    <w:tmpl w:val="80468DB8"/>
    <w:lvl w:ilvl="0" w:tplc="271E205C">
      <w:start w:val="1"/>
      <w:numFmt w:val="bullet"/>
      <w:lvlText w:val=""/>
      <w:lvlJc w:val="left"/>
      <w:pPr>
        <w:tabs>
          <w:tab w:val="num" w:pos="1260"/>
        </w:tabs>
        <w:ind w:left="1260" w:hanging="420"/>
      </w:pPr>
      <w:rPr>
        <w:rFonts w:ascii="Wingdings" w:hAnsi="Wingdings" w:hint="default"/>
        <w:sz w:val="1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1"/>
  </w:num>
  <w:num w:numId="3">
    <w:abstractNumId w:val="33"/>
  </w:num>
  <w:num w:numId="4">
    <w:abstractNumId w:val="24"/>
  </w:num>
  <w:num w:numId="5">
    <w:abstractNumId w:val="25"/>
  </w:num>
  <w:num w:numId="6">
    <w:abstractNumId w:val="41"/>
  </w:num>
  <w:num w:numId="7">
    <w:abstractNumId w:val="18"/>
  </w:num>
  <w:num w:numId="8">
    <w:abstractNumId w:val="29"/>
  </w:num>
  <w:num w:numId="9">
    <w:abstractNumId w:val="43"/>
  </w:num>
  <w:num w:numId="10">
    <w:abstractNumId w:val="19"/>
  </w:num>
  <w:num w:numId="11">
    <w:abstractNumId w:val="10"/>
  </w:num>
  <w:num w:numId="12">
    <w:abstractNumId w:val="21"/>
  </w:num>
  <w:num w:numId="13">
    <w:abstractNumId w:val="14"/>
  </w:num>
  <w:num w:numId="14">
    <w:abstractNumId w:val="37"/>
  </w:num>
  <w:num w:numId="15">
    <w:abstractNumId w:val="35"/>
  </w:num>
  <w:num w:numId="16">
    <w:abstractNumId w:val="38"/>
  </w:num>
  <w:num w:numId="17">
    <w:abstractNumId w:val="40"/>
  </w:num>
  <w:num w:numId="18">
    <w:abstractNumId w:val="16"/>
  </w:num>
  <w:num w:numId="19">
    <w:abstractNumId w:val="34"/>
  </w:num>
  <w:num w:numId="20">
    <w:abstractNumId w:val="30"/>
  </w:num>
  <w:num w:numId="21">
    <w:abstractNumId w:val="8"/>
  </w:num>
  <w:num w:numId="22">
    <w:abstractNumId w:val="17"/>
  </w:num>
  <w:num w:numId="23">
    <w:abstractNumId w:val="47"/>
  </w:num>
  <w:num w:numId="24">
    <w:abstractNumId w:val="42"/>
  </w:num>
  <w:num w:numId="25">
    <w:abstractNumId w:val="22"/>
  </w:num>
  <w:num w:numId="26">
    <w:abstractNumId w:val="45"/>
  </w:num>
  <w:num w:numId="27">
    <w:abstractNumId w:val="23"/>
  </w:num>
  <w:num w:numId="28">
    <w:abstractNumId w:val="5"/>
  </w:num>
  <w:num w:numId="29">
    <w:abstractNumId w:val="13"/>
  </w:num>
  <w:num w:numId="30">
    <w:abstractNumId w:val="3"/>
  </w:num>
  <w:num w:numId="31">
    <w:abstractNumId w:val="12"/>
  </w:num>
  <w:num w:numId="32">
    <w:abstractNumId w:val="27"/>
  </w:num>
  <w:num w:numId="33">
    <w:abstractNumId w:val="32"/>
  </w:num>
  <w:num w:numId="34">
    <w:abstractNumId w:val="6"/>
  </w:num>
  <w:num w:numId="35">
    <w:abstractNumId w:val="24"/>
  </w:num>
  <w:num w:numId="36">
    <w:abstractNumId w:val="24"/>
  </w:num>
  <w:num w:numId="37">
    <w:abstractNumId w:val="24"/>
  </w:num>
  <w:num w:numId="38">
    <w:abstractNumId w:val="26"/>
  </w:num>
  <w:num w:numId="39">
    <w:abstractNumId w:val="2"/>
  </w:num>
  <w:num w:numId="40">
    <w:abstractNumId w:val="44"/>
  </w:num>
  <w:num w:numId="41">
    <w:abstractNumId w:val="36"/>
  </w:num>
  <w:num w:numId="42">
    <w:abstractNumId w:val="7"/>
  </w:num>
  <w:num w:numId="43">
    <w:abstractNumId w:val="46"/>
  </w:num>
  <w:num w:numId="44">
    <w:abstractNumId w:val="28"/>
  </w:num>
  <w:num w:numId="45">
    <w:abstractNumId w:val="20"/>
  </w:num>
  <w:num w:numId="46">
    <w:abstractNumId w:val="39"/>
  </w:num>
  <w:num w:numId="47">
    <w:abstractNumId w:val="31"/>
  </w:num>
  <w:num w:numId="48">
    <w:abstractNumId w:val="15"/>
  </w:num>
  <w:num w:numId="49">
    <w:abstractNumId w:val="1"/>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4"/>
  </w:num>
  <w:num w:numId="53">
    <w:abstractNumId w:val="24"/>
  </w:num>
  <w:num w:numId="54">
    <w:abstractNumId w:val="0"/>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4A9"/>
    <w:rsid w:val="00000823"/>
    <w:rsid w:val="00001CE7"/>
    <w:rsid w:val="0000245C"/>
    <w:rsid w:val="000032AF"/>
    <w:rsid w:val="00003BBE"/>
    <w:rsid w:val="00003E54"/>
    <w:rsid w:val="00005A46"/>
    <w:rsid w:val="00006B1D"/>
    <w:rsid w:val="00007624"/>
    <w:rsid w:val="00007E82"/>
    <w:rsid w:val="00010025"/>
    <w:rsid w:val="000104A9"/>
    <w:rsid w:val="0001154C"/>
    <w:rsid w:val="000121CA"/>
    <w:rsid w:val="00012963"/>
    <w:rsid w:val="00012F88"/>
    <w:rsid w:val="000131AA"/>
    <w:rsid w:val="0001590E"/>
    <w:rsid w:val="00015A6A"/>
    <w:rsid w:val="00015F46"/>
    <w:rsid w:val="0001683E"/>
    <w:rsid w:val="00016F3C"/>
    <w:rsid w:val="00016FD4"/>
    <w:rsid w:val="00020DBC"/>
    <w:rsid w:val="00022985"/>
    <w:rsid w:val="000231A2"/>
    <w:rsid w:val="000240D9"/>
    <w:rsid w:val="00024C8A"/>
    <w:rsid w:val="00024E71"/>
    <w:rsid w:val="00025219"/>
    <w:rsid w:val="00025A84"/>
    <w:rsid w:val="00027420"/>
    <w:rsid w:val="00027EF9"/>
    <w:rsid w:val="00030042"/>
    <w:rsid w:val="000300B5"/>
    <w:rsid w:val="000302DD"/>
    <w:rsid w:val="000310EB"/>
    <w:rsid w:val="00031F20"/>
    <w:rsid w:val="00032CF4"/>
    <w:rsid w:val="00033128"/>
    <w:rsid w:val="00033BC2"/>
    <w:rsid w:val="00034634"/>
    <w:rsid w:val="0003472A"/>
    <w:rsid w:val="00035C0E"/>
    <w:rsid w:val="00036A9A"/>
    <w:rsid w:val="00036CA3"/>
    <w:rsid w:val="00040613"/>
    <w:rsid w:val="00040927"/>
    <w:rsid w:val="00040B64"/>
    <w:rsid w:val="000417EF"/>
    <w:rsid w:val="0004226D"/>
    <w:rsid w:val="000424D1"/>
    <w:rsid w:val="00042726"/>
    <w:rsid w:val="00042F2C"/>
    <w:rsid w:val="000444A2"/>
    <w:rsid w:val="00044D84"/>
    <w:rsid w:val="00044FB2"/>
    <w:rsid w:val="000469F5"/>
    <w:rsid w:val="00046ACC"/>
    <w:rsid w:val="000473CA"/>
    <w:rsid w:val="00047B41"/>
    <w:rsid w:val="00047F18"/>
    <w:rsid w:val="00051250"/>
    <w:rsid w:val="00051CF9"/>
    <w:rsid w:val="00052561"/>
    <w:rsid w:val="00052627"/>
    <w:rsid w:val="0005338B"/>
    <w:rsid w:val="00054674"/>
    <w:rsid w:val="00054E1F"/>
    <w:rsid w:val="000552FC"/>
    <w:rsid w:val="00055F85"/>
    <w:rsid w:val="000567E2"/>
    <w:rsid w:val="0005706D"/>
    <w:rsid w:val="00060389"/>
    <w:rsid w:val="000603C6"/>
    <w:rsid w:val="000617E0"/>
    <w:rsid w:val="000621DB"/>
    <w:rsid w:val="0006390E"/>
    <w:rsid w:val="00065AD8"/>
    <w:rsid w:val="00066B77"/>
    <w:rsid w:val="00067839"/>
    <w:rsid w:val="00067DC8"/>
    <w:rsid w:val="00071190"/>
    <w:rsid w:val="00071BA6"/>
    <w:rsid w:val="00072174"/>
    <w:rsid w:val="0007238C"/>
    <w:rsid w:val="00072939"/>
    <w:rsid w:val="0007294C"/>
    <w:rsid w:val="00073011"/>
    <w:rsid w:val="000745A9"/>
    <w:rsid w:val="00075E19"/>
    <w:rsid w:val="00076A7C"/>
    <w:rsid w:val="00076AAF"/>
    <w:rsid w:val="0007720B"/>
    <w:rsid w:val="00080963"/>
    <w:rsid w:val="00081324"/>
    <w:rsid w:val="00081759"/>
    <w:rsid w:val="0008197F"/>
    <w:rsid w:val="0008201E"/>
    <w:rsid w:val="0008248B"/>
    <w:rsid w:val="000832BB"/>
    <w:rsid w:val="00085BDB"/>
    <w:rsid w:val="00086326"/>
    <w:rsid w:val="0008644C"/>
    <w:rsid w:val="000900A5"/>
    <w:rsid w:val="00091191"/>
    <w:rsid w:val="000911C1"/>
    <w:rsid w:val="000925D0"/>
    <w:rsid w:val="00092CDA"/>
    <w:rsid w:val="00092E3F"/>
    <w:rsid w:val="00093150"/>
    <w:rsid w:val="0009339C"/>
    <w:rsid w:val="00095877"/>
    <w:rsid w:val="00095F86"/>
    <w:rsid w:val="0009615A"/>
    <w:rsid w:val="00097844"/>
    <w:rsid w:val="000A1044"/>
    <w:rsid w:val="000A3DFA"/>
    <w:rsid w:val="000A40A0"/>
    <w:rsid w:val="000A4378"/>
    <w:rsid w:val="000A47E3"/>
    <w:rsid w:val="000A4F2F"/>
    <w:rsid w:val="000A5546"/>
    <w:rsid w:val="000A5AEC"/>
    <w:rsid w:val="000A5EAE"/>
    <w:rsid w:val="000A60D1"/>
    <w:rsid w:val="000B086C"/>
    <w:rsid w:val="000B0906"/>
    <w:rsid w:val="000B0995"/>
    <w:rsid w:val="000B1143"/>
    <w:rsid w:val="000B2854"/>
    <w:rsid w:val="000B3425"/>
    <w:rsid w:val="000B3DF8"/>
    <w:rsid w:val="000B416D"/>
    <w:rsid w:val="000B41F6"/>
    <w:rsid w:val="000B4230"/>
    <w:rsid w:val="000B5776"/>
    <w:rsid w:val="000B5813"/>
    <w:rsid w:val="000B5C32"/>
    <w:rsid w:val="000B5EDA"/>
    <w:rsid w:val="000B6806"/>
    <w:rsid w:val="000B718E"/>
    <w:rsid w:val="000C0229"/>
    <w:rsid w:val="000C05F4"/>
    <w:rsid w:val="000C08F5"/>
    <w:rsid w:val="000C0B86"/>
    <w:rsid w:val="000C3041"/>
    <w:rsid w:val="000C374F"/>
    <w:rsid w:val="000C40BC"/>
    <w:rsid w:val="000C40FE"/>
    <w:rsid w:val="000C4259"/>
    <w:rsid w:val="000C4DB5"/>
    <w:rsid w:val="000C5C75"/>
    <w:rsid w:val="000D046D"/>
    <w:rsid w:val="000D047B"/>
    <w:rsid w:val="000D07F7"/>
    <w:rsid w:val="000D1BAA"/>
    <w:rsid w:val="000D1D4D"/>
    <w:rsid w:val="000D2174"/>
    <w:rsid w:val="000D277F"/>
    <w:rsid w:val="000D29F8"/>
    <w:rsid w:val="000D3F3C"/>
    <w:rsid w:val="000D40A3"/>
    <w:rsid w:val="000D42F7"/>
    <w:rsid w:val="000D4339"/>
    <w:rsid w:val="000D5AE7"/>
    <w:rsid w:val="000D6266"/>
    <w:rsid w:val="000D6791"/>
    <w:rsid w:val="000D7359"/>
    <w:rsid w:val="000D76AC"/>
    <w:rsid w:val="000D7832"/>
    <w:rsid w:val="000D7D5A"/>
    <w:rsid w:val="000D7EDD"/>
    <w:rsid w:val="000E16BA"/>
    <w:rsid w:val="000E215D"/>
    <w:rsid w:val="000E3A0B"/>
    <w:rsid w:val="000E3DC7"/>
    <w:rsid w:val="000E3EBB"/>
    <w:rsid w:val="000E41B9"/>
    <w:rsid w:val="000E5228"/>
    <w:rsid w:val="000E6FF2"/>
    <w:rsid w:val="000E7861"/>
    <w:rsid w:val="000E7F01"/>
    <w:rsid w:val="000F01C8"/>
    <w:rsid w:val="000F0E92"/>
    <w:rsid w:val="000F266F"/>
    <w:rsid w:val="000F29F3"/>
    <w:rsid w:val="000F2D5D"/>
    <w:rsid w:val="000F2E58"/>
    <w:rsid w:val="000F3203"/>
    <w:rsid w:val="000F4071"/>
    <w:rsid w:val="000F4A88"/>
    <w:rsid w:val="000F5007"/>
    <w:rsid w:val="000F5CAA"/>
    <w:rsid w:val="000F6881"/>
    <w:rsid w:val="000F77A0"/>
    <w:rsid w:val="000F7A35"/>
    <w:rsid w:val="000F7A80"/>
    <w:rsid w:val="001013F5"/>
    <w:rsid w:val="00102336"/>
    <w:rsid w:val="00102897"/>
    <w:rsid w:val="00103950"/>
    <w:rsid w:val="00104713"/>
    <w:rsid w:val="001051EC"/>
    <w:rsid w:val="00105D74"/>
    <w:rsid w:val="00106CFC"/>
    <w:rsid w:val="0010778B"/>
    <w:rsid w:val="001106F5"/>
    <w:rsid w:val="00110EFD"/>
    <w:rsid w:val="0011112E"/>
    <w:rsid w:val="0011137B"/>
    <w:rsid w:val="00111751"/>
    <w:rsid w:val="001137EE"/>
    <w:rsid w:val="0011380B"/>
    <w:rsid w:val="0011404A"/>
    <w:rsid w:val="001161F7"/>
    <w:rsid w:val="00116480"/>
    <w:rsid w:val="00117088"/>
    <w:rsid w:val="001178F6"/>
    <w:rsid w:val="001208A0"/>
    <w:rsid w:val="001216B0"/>
    <w:rsid w:val="00122C7D"/>
    <w:rsid w:val="00124017"/>
    <w:rsid w:val="001243A4"/>
    <w:rsid w:val="00124E75"/>
    <w:rsid w:val="00125513"/>
    <w:rsid w:val="00126DCB"/>
    <w:rsid w:val="00130B95"/>
    <w:rsid w:val="00131B7A"/>
    <w:rsid w:val="00131F35"/>
    <w:rsid w:val="001328B0"/>
    <w:rsid w:val="001337B5"/>
    <w:rsid w:val="00134AEA"/>
    <w:rsid w:val="00135FC3"/>
    <w:rsid w:val="0013621F"/>
    <w:rsid w:val="00136673"/>
    <w:rsid w:val="00136787"/>
    <w:rsid w:val="0013688F"/>
    <w:rsid w:val="00136C72"/>
    <w:rsid w:val="00140EC6"/>
    <w:rsid w:val="00141D5C"/>
    <w:rsid w:val="00141EEB"/>
    <w:rsid w:val="00142676"/>
    <w:rsid w:val="00142AE5"/>
    <w:rsid w:val="0014305F"/>
    <w:rsid w:val="001437EE"/>
    <w:rsid w:val="0014382F"/>
    <w:rsid w:val="00144110"/>
    <w:rsid w:val="00144126"/>
    <w:rsid w:val="001441BB"/>
    <w:rsid w:val="0014584F"/>
    <w:rsid w:val="00146EC4"/>
    <w:rsid w:val="00147470"/>
    <w:rsid w:val="00147599"/>
    <w:rsid w:val="00147CC9"/>
    <w:rsid w:val="00147E67"/>
    <w:rsid w:val="00150865"/>
    <w:rsid w:val="00151585"/>
    <w:rsid w:val="001516AC"/>
    <w:rsid w:val="0015204A"/>
    <w:rsid w:val="001522EC"/>
    <w:rsid w:val="00152CFC"/>
    <w:rsid w:val="00153667"/>
    <w:rsid w:val="001546FD"/>
    <w:rsid w:val="001549CC"/>
    <w:rsid w:val="001552C6"/>
    <w:rsid w:val="00155730"/>
    <w:rsid w:val="00157641"/>
    <w:rsid w:val="001603F6"/>
    <w:rsid w:val="0016087F"/>
    <w:rsid w:val="00160E23"/>
    <w:rsid w:val="00161565"/>
    <w:rsid w:val="001627B8"/>
    <w:rsid w:val="00162C2E"/>
    <w:rsid w:val="001633BB"/>
    <w:rsid w:val="00164675"/>
    <w:rsid w:val="00164C23"/>
    <w:rsid w:val="00165597"/>
    <w:rsid w:val="001662B2"/>
    <w:rsid w:val="001663E6"/>
    <w:rsid w:val="0016656D"/>
    <w:rsid w:val="00166739"/>
    <w:rsid w:val="00167798"/>
    <w:rsid w:val="001677AC"/>
    <w:rsid w:val="00167A14"/>
    <w:rsid w:val="00167C8F"/>
    <w:rsid w:val="001707CC"/>
    <w:rsid w:val="001720E9"/>
    <w:rsid w:val="00172569"/>
    <w:rsid w:val="001729BF"/>
    <w:rsid w:val="00172B4B"/>
    <w:rsid w:val="00172EDA"/>
    <w:rsid w:val="00173B7F"/>
    <w:rsid w:val="0017473E"/>
    <w:rsid w:val="00175A32"/>
    <w:rsid w:val="00176F97"/>
    <w:rsid w:val="00177BF7"/>
    <w:rsid w:val="00180A27"/>
    <w:rsid w:val="0018142B"/>
    <w:rsid w:val="001814D4"/>
    <w:rsid w:val="00181D40"/>
    <w:rsid w:val="00183C0A"/>
    <w:rsid w:val="00183F88"/>
    <w:rsid w:val="00183FA2"/>
    <w:rsid w:val="001856DC"/>
    <w:rsid w:val="00190EC9"/>
    <w:rsid w:val="00192CE8"/>
    <w:rsid w:val="001933B7"/>
    <w:rsid w:val="00193698"/>
    <w:rsid w:val="0019417B"/>
    <w:rsid w:val="001944C8"/>
    <w:rsid w:val="0019597A"/>
    <w:rsid w:val="00195A63"/>
    <w:rsid w:val="00195A67"/>
    <w:rsid w:val="00196309"/>
    <w:rsid w:val="00197966"/>
    <w:rsid w:val="00197ACF"/>
    <w:rsid w:val="00197FB5"/>
    <w:rsid w:val="001A0493"/>
    <w:rsid w:val="001A0704"/>
    <w:rsid w:val="001A0A03"/>
    <w:rsid w:val="001A19EB"/>
    <w:rsid w:val="001A1CA4"/>
    <w:rsid w:val="001A1F8F"/>
    <w:rsid w:val="001A2F4C"/>
    <w:rsid w:val="001A36C0"/>
    <w:rsid w:val="001A3710"/>
    <w:rsid w:val="001A3A0B"/>
    <w:rsid w:val="001A4851"/>
    <w:rsid w:val="001A571A"/>
    <w:rsid w:val="001A5748"/>
    <w:rsid w:val="001A5F7D"/>
    <w:rsid w:val="001A6353"/>
    <w:rsid w:val="001A65AB"/>
    <w:rsid w:val="001A6CA6"/>
    <w:rsid w:val="001A794F"/>
    <w:rsid w:val="001B0EBD"/>
    <w:rsid w:val="001B15CF"/>
    <w:rsid w:val="001B1E19"/>
    <w:rsid w:val="001B2D13"/>
    <w:rsid w:val="001B2E97"/>
    <w:rsid w:val="001B54B6"/>
    <w:rsid w:val="001B5D2E"/>
    <w:rsid w:val="001B6086"/>
    <w:rsid w:val="001B64CB"/>
    <w:rsid w:val="001B6583"/>
    <w:rsid w:val="001B6AC1"/>
    <w:rsid w:val="001C0D86"/>
    <w:rsid w:val="001C1D4C"/>
    <w:rsid w:val="001C4FFE"/>
    <w:rsid w:val="001C62CF"/>
    <w:rsid w:val="001C62E3"/>
    <w:rsid w:val="001D0F3F"/>
    <w:rsid w:val="001D13FA"/>
    <w:rsid w:val="001D2117"/>
    <w:rsid w:val="001D2AD0"/>
    <w:rsid w:val="001D2E16"/>
    <w:rsid w:val="001D372B"/>
    <w:rsid w:val="001D38E0"/>
    <w:rsid w:val="001D3D89"/>
    <w:rsid w:val="001D3F3D"/>
    <w:rsid w:val="001D543B"/>
    <w:rsid w:val="001D569E"/>
    <w:rsid w:val="001D5931"/>
    <w:rsid w:val="001D5BD4"/>
    <w:rsid w:val="001D5E13"/>
    <w:rsid w:val="001E08E9"/>
    <w:rsid w:val="001E0C87"/>
    <w:rsid w:val="001E0F54"/>
    <w:rsid w:val="001E21A0"/>
    <w:rsid w:val="001E262A"/>
    <w:rsid w:val="001E2AF2"/>
    <w:rsid w:val="001E4E49"/>
    <w:rsid w:val="001E6912"/>
    <w:rsid w:val="001E7118"/>
    <w:rsid w:val="001F1210"/>
    <w:rsid w:val="001F1340"/>
    <w:rsid w:val="001F1735"/>
    <w:rsid w:val="001F2861"/>
    <w:rsid w:val="001F2A53"/>
    <w:rsid w:val="001F300D"/>
    <w:rsid w:val="001F37D1"/>
    <w:rsid w:val="001F4C68"/>
    <w:rsid w:val="001F50F4"/>
    <w:rsid w:val="001F5A11"/>
    <w:rsid w:val="001F5E56"/>
    <w:rsid w:val="001F623F"/>
    <w:rsid w:val="001F6329"/>
    <w:rsid w:val="001F6DE8"/>
    <w:rsid w:val="00200A33"/>
    <w:rsid w:val="00202061"/>
    <w:rsid w:val="00203672"/>
    <w:rsid w:val="00203A43"/>
    <w:rsid w:val="00203F18"/>
    <w:rsid w:val="00205002"/>
    <w:rsid w:val="002063B5"/>
    <w:rsid w:val="00210B7D"/>
    <w:rsid w:val="0021136C"/>
    <w:rsid w:val="00211698"/>
    <w:rsid w:val="0021385F"/>
    <w:rsid w:val="00213988"/>
    <w:rsid w:val="00213BA2"/>
    <w:rsid w:val="00213F71"/>
    <w:rsid w:val="00214060"/>
    <w:rsid w:val="00214764"/>
    <w:rsid w:val="00215692"/>
    <w:rsid w:val="00215E1D"/>
    <w:rsid w:val="002168C9"/>
    <w:rsid w:val="00216D3E"/>
    <w:rsid w:val="0022009B"/>
    <w:rsid w:val="002201E5"/>
    <w:rsid w:val="0022057C"/>
    <w:rsid w:val="00222A99"/>
    <w:rsid w:val="00222C90"/>
    <w:rsid w:val="0022482C"/>
    <w:rsid w:val="00224844"/>
    <w:rsid w:val="00225D73"/>
    <w:rsid w:val="00227A88"/>
    <w:rsid w:val="00227C2E"/>
    <w:rsid w:val="00230572"/>
    <w:rsid w:val="00231E19"/>
    <w:rsid w:val="00231E36"/>
    <w:rsid w:val="00232183"/>
    <w:rsid w:val="002327AA"/>
    <w:rsid w:val="00232870"/>
    <w:rsid w:val="00232D47"/>
    <w:rsid w:val="0023300E"/>
    <w:rsid w:val="00233095"/>
    <w:rsid w:val="00233F4D"/>
    <w:rsid w:val="00235372"/>
    <w:rsid w:val="002354A1"/>
    <w:rsid w:val="00236D2B"/>
    <w:rsid w:val="00237753"/>
    <w:rsid w:val="002404A6"/>
    <w:rsid w:val="00240B9E"/>
    <w:rsid w:val="00240E80"/>
    <w:rsid w:val="0024250A"/>
    <w:rsid w:val="00243030"/>
    <w:rsid w:val="0024327B"/>
    <w:rsid w:val="002433E7"/>
    <w:rsid w:val="00243CAC"/>
    <w:rsid w:val="00244652"/>
    <w:rsid w:val="00244C25"/>
    <w:rsid w:val="00246569"/>
    <w:rsid w:val="00246C30"/>
    <w:rsid w:val="00251362"/>
    <w:rsid w:val="00254B92"/>
    <w:rsid w:val="00254C50"/>
    <w:rsid w:val="00256192"/>
    <w:rsid w:val="0025648D"/>
    <w:rsid w:val="0025673B"/>
    <w:rsid w:val="00256D7B"/>
    <w:rsid w:val="002603D6"/>
    <w:rsid w:val="0026061C"/>
    <w:rsid w:val="002619E9"/>
    <w:rsid w:val="00261E89"/>
    <w:rsid w:val="00262C78"/>
    <w:rsid w:val="00262F33"/>
    <w:rsid w:val="00263552"/>
    <w:rsid w:val="00264C51"/>
    <w:rsid w:val="00266A27"/>
    <w:rsid w:val="00266BC9"/>
    <w:rsid w:val="0026738A"/>
    <w:rsid w:val="0027055B"/>
    <w:rsid w:val="0027139C"/>
    <w:rsid w:val="00271C12"/>
    <w:rsid w:val="002730AD"/>
    <w:rsid w:val="002742B9"/>
    <w:rsid w:val="002743AF"/>
    <w:rsid w:val="00276E4A"/>
    <w:rsid w:val="00277887"/>
    <w:rsid w:val="00277D31"/>
    <w:rsid w:val="00281409"/>
    <w:rsid w:val="00282205"/>
    <w:rsid w:val="00282C26"/>
    <w:rsid w:val="00283783"/>
    <w:rsid w:val="002850B6"/>
    <w:rsid w:val="002850D4"/>
    <w:rsid w:val="002855B0"/>
    <w:rsid w:val="00287E8A"/>
    <w:rsid w:val="00290114"/>
    <w:rsid w:val="002912D9"/>
    <w:rsid w:val="00292BA8"/>
    <w:rsid w:val="0029335E"/>
    <w:rsid w:val="00293478"/>
    <w:rsid w:val="00293AB8"/>
    <w:rsid w:val="00294A3F"/>
    <w:rsid w:val="00295EF1"/>
    <w:rsid w:val="0029693A"/>
    <w:rsid w:val="002975ED"/>
    <w:rsid w:val="00297902"/>
    <w:rsid w:val="002A1226"/>
    <w:rsid w:val="002A1CE5"/>
    <w:rsid w:val="002A34E5"/>
    <w:rsid w:val="002A360F"/>
    <w:rsid w:val="002A4E3F"/>
    <w:rsid w:val="002A502A"/>
    <w:rsid w:val="002A6470"/>
    <w:rsid w:val="002B08C6"/>
    <w:rsid w:val="002B13AC"/>
    <w:rsid w:val="002B31FB"/>
    <w:rsid w:val="002B3448"/>
    <w:rsid w:val="002B3850"/>
    <w:rsid w:val="002B437E"/>
    <w:rsid w:val="002B45A9"/>
    <w:rsid w:val="002B4828"/>
    <w:rsid w:val="002B54FD"/>
    <w:rsid w:val="002B5B17"/>
    <w:rsid w:val="002B679A"/>
    <w:rsid w:val="002B698B"/>
    <w:rsid w:val="002B7302"/>
    <w:rsid w:val="002B740F"/>
    <w:rsid w:val="002B764A"/>
    <w:rsid w:val="002B76C2"/>
    <w:rsid w:val="002C0BA6"/>
    <w:rsid w:val="002C120B"/>
    <w:rsid w:val="002C176B"/>
    <w:rsid w:val="002C19EB"/>
    <w:rsid w:val="002C21EE"/>
    <w:rsid w:val="002C279A"/>
    <w:rsid w:val="002C3669"/>
    <w:rsid w:val="002C3778"/>
    <w:rsid w:val="002C5170"/>
    <w:rsid w:val="002C531F"/>
    <w:rsid w:val="002C5D2B"/>
    <w:rsid w:val="002C66EC"/>
    <w:rsid w:val="002C6A4B"/>
    <w:rsid w:val="002C6E83"/>
    <w:rsid w:val="002C77AA"/>
    <w:rsid w:val="002C7DDD"/>
    <w:rsid w:val="002D0293"/>
    <w:rsid w:val="002D09F5"/>
    <w:rsid w:val="002D1385"/>
    <w:rsid w:val="002D22F0"/>
    <w:rsid w:val="002D29AC"/>
    <w:rsid w:val="002D3272"/>
    <w:rsid w:val="002D4CFF"/>
    <w:rsid w:val="002D52BA"/>
    <w:rsid w:val="002D5AC8"/>
    <w:rsid w:val="002D5C41"/>
    <w:rsid w:val="002D5CCE"/>
    <w:rsid w:val="002D6A75"/>
    <w:rsid w:val="002D6F1D"/>
    <w:rsid w:val="002D733F"/>
    <w:rsid w:val="002D735E"/>
    <w:rsid w:val="002D7848"/>
    <w:rsid w:val="002D7FB2"/>
    <w:rsid w:val="002E08D4"/>
    <w:rsid w:val="002E21DA"/>
    <w:rsid w:val="002E2EC9"/>
    <w:rsid w:val="002E34D3"/>
    <w:rsid w:val="002E4EBE"/>
    <w:rsid w:val="002E54A8"/>
    <w:rsid w:val="002E5CC1"/>
    <w:rsid w:val="002E70C0"/>
    <w:rsid w:val="002E7961"/>
    <w:rsid w:val="002E79E8"/>
    <w:rsid w:val="002F0310"/>
    <w:rsid w:val="002F04A1"/>
    <w:rsid w:val="002F0EF2"/>
    <w:rsid w:val="002F16CC"/>
    <w:rsid w:val="002F2288"/>
    <w:rsid w:val="002F2CAC"/>
    <w:rsid w:val="002F3757"/>
    <w:rsid w:val="002F4357"/>
    <w:rsid w:val="002F4E2C"/>
    <w:rsid w:val="002F6DC0"/>
    <w:rsid w:val="002F6F40"/>
    <w:rsid w:val="002F7039"/>
    <w:rsid w:val="002F740A"/>
    <w:rsid w:val="00300369"/>
    <w:rsid w:val="0030044B"/>
    <w:rsid w:val="0030114C"/>
    <w:rsid w:val="00302BFC"/>
    <w:rsid w:val="0030328E"/>
    <w:rsid w:val="00303A82"/>
    <w:rsid w:val="0030427A"/>
    <w:rsid w:val="003042C1"/>
    <w:rsid w:val="00305AD3"/>
    <w:rsid w:val="00305D24"/>
    <w:rsid w:val="0030621F"/>
    <w:rsid w:val="003067F7"/>
    <w:rsid w:val="00306A83"/>
    <w:rsid w:val="00307BF6"/>
    <w:rsid w:val="00310704"/>
    <w:rsid w:val="0031079D"/>
    <w:rsid w:val="00310B55"/>
    <w:rsid w:val="00311EA9"/>
    <w:rsid w:val="00313462"/>
    <w:rsid w:val="003160D4"/>
    <w:rsid w:val="00320078"/>
    <w:rsid w:val="00320CDB"/>
    <w:rsid w:val="00320F6C"/>
    <w:rsid w:val="00321AE3"/>
    <w:rsid w:val="00321D06"/>
    <w:rsid w:val="003232DC"/>
    <w:rsid w:val="003235CF"/>
    <w:rsid w:val="00323D3B"/>
    <w:rsid w:val="0032417E"/>
    <w:rsid w:val="0032558F"/>
    <w:rsid w:val="00325E57"/>
    <w:rsid w:val="00325EAA"/>
    <w:rsid w:val="00325F19"/>
    <w:rsid w:val="00325F26"/>
    <w:rsid w:val="0032623D"/>
    <w:rsid w:val="0032652A"/>
    <w:rsid w:val="00331444"/>
    <w:rsid w:val="00333323"/>
    <w:rsid w:val="00333A4B"/>
    <w:rsid w:val="003345D1"/>
    <w:rsid w:val="003370D9"/>
    <w:rsid w:val="00337B91"/>
    <w:rsid w:val="00340858"/>
    <w:rsid w:val="0034110F"/>
    <w:rsid w:val="003421EC"/>
    <w:rsid w:val="003434D5"/>
    <w:rsid w:val="00343AFB"/>
    <w:rsid w:val="0034490E"/>
    <w:rsid w:val="00346912"/>
    <w:rsid w:val="00346C30"/>
    <w:rsid w:val="00346D94"/>
    <w:rsid w:val="00350069"/>
    <w:rsid w:val="00350695"/>
    <w:rsid w:val="0035080D"/>
    <w:rsid w:val="003509EA"/>
    <w:rsid w:val="00351279"/>
    <w:rsid w:val="003522BF"/>
    <w:rsid w:val="0035303E"/>
    <w:rsid w:val="00354C19"/>
    <w:rsid w:val="00355927"/>
    <w:rsid w:val="003561A5"/>
    <w:rsid w:val="0035667A"/>
    <w:rsid w:val="0035699C"/>
    <w:rsid w:val="00356C5E"/>
    <w:rsid w:val="00356D40"/>
    <w:rsid w:val="00360E53"/>
    <w:rsid w:val="0036108D"/>
    <w:rsid w:val="00362227"/>
    <w:rsid w:val="003625B5"/>
    <w:rsid w:val="00362E83"/>
    <w:rsid w:val="0036326F"/>
    <w:rsid w:val="003633CC"/>
    <w:rsid w:val="0036394E"/>
    <w:rsid w:val="00363C19"/>
    <w:rsid w:val="003646FD"/>
    <w:rsid w:val="00364C70"/>
    <w:rsid w:val="0036659D"/>
    <w:rsid w:val="003668BC"/>
    <w:rsid w:val="00366F5D"/>
    <w:rsid w:val="0037045A"/>
    <w:rsid w:val="0037073D"/>
    <w:rsid w:val="003708FE"/>
    <w:rsid w:val="00373EE8"/>
    <w:rsid w:val="00375E5C"/>
    <w:rsid w:val="00376D9B"/>
    <w:rsid w:val="003775B0"/>
    <w:rsid w:val="00377B6D"/>
    <w:rsid w:val="00377B93"/>
    <w:rsid w:val="0038048A"/>
    <w:rsid w:val="00380B3E"/>
    <w:rsid w:val="003843C9"/>
    <w:rsid w:val="00385E11"/>
    <w:rsid w:val="0038733C"/>
    <w:rsid w:val="00387CB1"/>
    <w:rsid w:val="0039039B"/>
    <w:rsid w:val="00390465"/>
    <w:rsid w:val="00390EED"/>
    <w:rsid w:val="003927F6"/>
    <w:rsid w:val="00393102"/>
    <w:rsid w:val="00393684"/>
    <w:rsid w:val="00393F2C"/>
    <w:rsid w:val="00394FFF"/>
    <w:rsid w:val="003978C1"/>
    <w:rsid w:val="003A03F8"/>
    <w:rsid w:val="003A08AB"/>
    <w:rsid w:val="003A351C"/>
    <w:rsid w:val="003A4360"/>
    <w:rsid w:val="003A4F3E"/>
    <w:rsid w:val="003A55B6"/>
    <w:rsid w:val="003A6B93"/>
    <w:rsid w:val="003A6E96"/>
    <w:rsid w:val="003B1B09"/>
    <w:rsid w:val="003B458C"/>
    <w:rsid w:val="003B4946"/>
    <w:rsid w:val="003B51AB"/>
    <w:rsid w:val="003B6743"/>
    <w:rsid w:val="003B6D74"/>
    <w:rsid w:val="003B7184"/>
    <w:rsid w:val="003B7A34"/>
    <w:rsid w:val="003C06FB"/>
    <w:rsid w:val="003C0968"/>
    <w:rsid w:val="003C0F40"/>
    <w:rsid w:val="003C1780"/>
    <w:rsid w:val="003C1DC0"/>
    <w:rsid w:val="003C1E0F"/>
    <w:rsid w:val="003C3DCF"/>
    <w:rsid w:val="003C4303"/>
    <w:rsid w:val="003C4E9E"/>
    <w:rsid w:val="003C57FB"/>
    <w:rsid w:val="003C6D3F"/>
    <w:rsid w:val="003C7262"/>
    <w:rsid w:val="003C7391"/>
    <w:rsid w:val="003D08E7"/>
    <w:rsid w:val="003D1007"/>
    <w:rsid w:val="003D11E0"/>
    <w:rsid w:val="003D15F9"/>
    <w:rsid w:val="003D27FF"/>
    <w:rsid w:val="003D2B80"/>
    <w:rsid w:val="003D2C8C"/>
    <w:rsid w:val="003D3301"/>
    <w:rsid w:val="003D37DC"/>
    <w:rsid w:val="003D39D7"/>
    <w:rsid w:val="003D4CE1"/>
    <w:rsid w:val="003D66F7"/>
    <w:rsid w:val="003D72D9"/>
    <w:rsid w:val="003D7429"/>
    <w:rsid w:val="003D77B1"/>
    <w:rsid w:val="003D7D64"/>
    <w:rsid w:val="003E1C00"/>
    <w:rsid w:val="003E23C9"/>
    <w:rsid w:val="003E2785"/>
    <w:rsid w:val="003E2EC9"/>
    <w:rsid w:val="003E3009"/>
    <w:rsid w:val="003E3ABE"/>
    <w:rsid w:val="003E46A1"/>
    <w:rsid w:val="003E5BC2"/>
    <w:rsid w:val="003E5D09"/>
    <w:rsid w:val="003E604A"/>
    <w:rsid w:val="003F03F5"/>
    <w:rsid w:val="003F04E0"/>
    <w:rsid w:val="003F0AFD"/>
    <w:rsid w:val="003F180E"/>
    <w:rsid w:val="003F31A1"/>
    <w:rsid w:val="003F34BD"/>
    <w:rsid w:val="003F397E"/>
    <w:rsid w:val="003F429F"/>
    <w:rsid w:val="003F5309"/>
    <w:rsid w:val="003F54A8"/>
    <w:rsid w:val="003F5B3C"/>
    <w:rsid w:val="003F608A"/>
    <w:rsid w:val="003F675E"/>
    <w:rsid w:val="003F6BCB"/>
    <w:rsid w:val="003F6D17"/>
    <w:rsid w:val="003F774B"/>
    <w:rsid w:val="0040009A"/>
    <w:rsid w:val="00400CEC"/>
    <w:rsid w:val="00401847"/>
    <w:rsid w:val="00401DB9"/>
    <w:rsid w:val="004023E9"/>
    <w:rsid w:val="0040285A"/>
    <w:rsid w:val="00402E6D"/>
    <w:rsid w:val="00402F69"/>
    <w:rsid w:val="00403D35"/>
    <w:rsid w:val="004042A2"/>
    <w:rsid w:val="00404569"/>
    <w:rsid w:val="00404F9B"/>
    <w:rsid w:val="004056FA"/>
    <w:rsid w:val="00405A7E"/>
    <w:rsid w:val="00406554"/>
    <w:rsid w:val="00406668"/>
    <w:rsid w:val="00407467"/>
    <w:rsid w:val="0041044B"/>
    <w:rsid w:val="00410C9A"/>
    <w:rsid w:val="00411ED0"/>
    <w:rsid w:val="004143B8"/>
    <w:rsid w:val="00414FD2"/>
    <w:rsid w:val="00415D3D"/>
    <w:rsid w:val="00416452"/>
    <w:rsid w:val="00416E9C"/>
    <w:rsid w:val="00417436"/>
    <w:rsid w:val="00417806"/>
    <w:rsid w:val="004178A7"/>
    <w:rsid w:val="004200F0"/>
    <w:rsid w:val="004218D1"/>
    <w:rsid w:val="00421CC9"/>
    <w:rsid w:val="00423AC2"/>
    <w:rsid w:val="00423F3B"/>
    <w:rsid w:val="0042479A"/>
    <w:rsid w:val="00424D4C"/>
    <w:rsid w:val="0042514A"/>
    <w:rsid w:val="00430FCC"/>
    <w:rsid w:val="00431A47"/>
    <w:rsid w:val="00432C11"/>
    <w:rsid w:val="004331C0"/>
    <w:rsid w:val="004334B6"/>
    <w:rsid w:val="00433D0B"/>
    <w:rsid w:val="004347A2"/>
    <w:rsid w:val="00434A7F"/>
    <w:rsid w:val="00434ACC"/>
    <w:rsid w:val="00435299"/>
    <w:rsid w:val="004353B2"/>
    <w:rsid w:val="00435603"/>
    <w:rsid w:val="0043649A"/>
    <w:rsid w:val="004364EE"/>
    <w:rsid w:val="00436B9C"/>
    <w:rsid w:val="00437249"/>
    <w:rsid w:val="004377B4"/>
    <w:rsid w:val="00437CD0"/>
    <w:rsid w:val="0044022D"/>
    <w:rsid w:val="004415EA"/>
    <w:rsid w:val="00441AF6"/>
    <w:rsid w:val="00442CCA"/>
    <w:rsid w:val="00442E97"/>
    <w:rsid w:val="00445471"/>
    <w:rsid w:val="004454EE"/>
    <w:rsid w:val="004455FB"/>
    <w:rsid w:val="00445F9C"/>
    <w:rsid w:val="0044717C"/>
    <w:rsid w:val="0045158A"/>
    <w:rsid w:val="00451695"/>
    <w:rsid w:val="004516FA"/>
    <w:rsid w:val="00451831"/>
    <w:rsid w:val="00451E57"/>
    <w:rsid w:val="00451E76"/>
    <w:rsid w:val="00452434"/>
    <w:rsid w:val="004529DE"/>
    <w:rsid w:val="004529EE"/>
    <w:rsid w:val="00452A07"/>
    <w:rsid w:val="00452F73"/>
    <w:rsid w:val="004530B5"/>
    <w:rsid w:val="00454249"/>
    <w:rsid w:val="00456853"/>
    <w:rsid w:val="00456C49"/>
    <w:rsid w:val="0045750F"/>
    <w:rsid w:val="00460F4F"/>
    <w:rsid w:val="00463053"/>
    <w:rsid w:val="00463096"/>
    <w:rsid w:val="00463D89"/>
    <w:rsid w:val="00464A93"/>
    <w:rsid w:val="00465420"/>
    <w:rsid w:val="00466449"/>
    <w:rsid w:val="00467303"/>
    <w:rsid w:val="004676AE"/>
    <w:rsid w:val="00471558"/>
    <w:rsid w:val="00471BAD"/>
    <w:rsid w:val="00471DFC"/>
    <w:rsid w:val="00473086"/>
    <w:rsid w:val="00473316"/>
    <w:rsid w:val="00473C24"/>
    <w:rsid w:val="00473D5C"/>
    <w:rsid w:val="0047453A"/>
    <w:rsid w:val="004745D6"/>
    <w:rsid w:val="0047530C"/>
    <w:rsid w:val="00476546"/>
    <w:rsid w:val="0047746C"/>
    <w:rsid w:val="00482337"/>
    <w:rsid w:val="00482449"/>
    <w:rsid w:val="00483C11"/>
    <w:rsid w:val="00485442"/>
    <w:rsid w:val="00485911"/>
    <w:rsid w:val="004861B9"/>
    <w:rsid w:val="00487A7A"/>
    <w:rsid w:val="00490D35"/>
    <w:rsid w:val="00490FBC"/>
    <w:rsid w:val="0049126C"/>
    <w:rsid w:val="004932D1"/>
    <w:rsid w:val="00494848"/>
    <w:rsid w:val="00494E0B"/>
    <w:rsid w:val="004958A5"/>
    <w:rsid w:val="00495ABE"/>
    <w:rsid w:val="00495E47"/>
    <w:rsid w:val="0049613F"/>
    <w:rsid w:val="004961A9"/>
    <w:rsid w:val="00496665"/>
    <w:rsid w:val="004973D3"/>
    <w:rsid w:val="00497682"/>
    <w:rsid w:val="004A0654"/>
    <w:rsid w:val="004A0FE0"/>
    <w:rsid w:val="004A3B17"/>
    <w:rsid w:val="004A3E35"/>
    <w:rsid w:val="004A3F36"/>
    <w:rsid w:val="004A46E6"/>
    <w:rsid w:val="004A69B7"/>
    <w:rsid w:val="004A6C03"/>
    <w:rsid w:val="004A6E26"/>
    <w:rsid w:val="004A7DB8"/>
    <w:rsid w:val="004B0F19"/>
    <w:rsid w:val="004B11BC"/>
    <w:rsid w:val="004B1B18"/>
    <w:rsid w:val="004B203D"/>
    <w:rsid w:val="004B323D"/>
    <w:rsid w:val="004B3716"/>
    <w:rsid w:val="004B40EC"/>
    <w:rsid w:val="004B5193"/>
    <w:rsid w:val="004B5759"/>
    <w:rsid w:val="004B5D8E"/>
    <w:rsid w:val="004B5EB1"/>
    <w:rsid w:val="004B6B36"/>
    <w:rsid w:val="004B7A3C"/>
    <w:rsid w:val="004B7CCC"/>
    <w:rsid w:val="004B7DBE"/>
    <w:rsid w:val="004C0D7F"/>
    <w:rsid w:val="004C0E80"/>
    <w:rsid w:val="004C10AA"/>
    <w:rsid w:val="004C250E"/>
    <w:rsid w:val="004C3203"/>
    <w:rsid w:val="004C47C0"/>
    <w:rsid w:val="004C531B"/>
    <w:rsid w:val="004C6A15"/>
    <w:rsid w:val="004C7322"/>
    <w:rsid w:val="004D0671"/>
    <w:rsid w:val="004D1F10"/>
    <w:rsid w:val="004D2077"/>
    <w:rsid w:val="004D251D"/>
    <w:rsid w:val="004D2804"/>
    <w:rsid w:val="004D28B5"/>
    <w:rsid w:val="004D3E0E"/>
    <w:rsid w:val="004D3F4A"/>
    <w:rsid w:val="004D45B4"/>
    <w:rsid w:val="004D4D08"/>
    <w:rsid w:val="004D4DDA"/>
    <w:rsid w:val="004D510F"/>
    <w:rsid w:val="004D5588"/>
    <w:rsid w:val="004D5820"/>
    <w:rsid w:val="004D6149"/>
    <w:rsid w:val="004D7385"/>
    <w:rsid w:val="004D7446"/>
    <w:rsid w:val="004D7B23"/>
    <w:rsid w:val="004E001A"/>
    <w:rsid w:val="004E086D"/>
    <w:rsid w:val="004E0A8A"/>
    <w:rsid w:val="004E10A9"/>
    <w:rsid w:val="004E299D"/>
    <w:rsid w:val="004E2B67"/>
    <w:rsid w:val="004E3181"/>
    <w:rsid w:val="004E32DE"/>
    <w:rsid w:val="004E3F8A"/>
    <w:rsid w:val="004E563F"/>
    <w:rsid w:val="004E5D82"/>
    <w:rsid w:val="004E702D"/>
    <w:rsid w:val="004E7D88"/>
    <w:rsid w:val="004F1023"/>
    <w:rsid w:val="004F1088"/>
    <w:rsid w:val="004F1421"/>
    <w:rsid w:val="004F1F0C"/>
    <w:rsid w:val="004F2BAC"/>
    <w:rsid w:val="004F309E"/>
    <w:rsid w:val="004F364D"/>
    <w:rsid w:val="004F3B5D"/>
    <w:rsid w:val="004F3CCC"/>
    <w:rsid w:val="004F41AA"/>
    <w:rsid w:val="004F5378"/>
    <w:rsid w:val="004F58F8"/>
    <w:rsid w:val="004F796D"/>
    <w:rsid w:val="005006C9"/>
    <w:rsid w:val="005006D8"/>
    <w:rsid w:val="005023B3"/>
    <w:rsid w:val="005028D4"/>
    <w:rsid w:val="00503F70"/>
    <w:rsid w:val="00506399"/>
    <w:rsid w:val="00507A13"/>
    <w:rsid w:val="005103CB"/>
    <w:rsid w:val="00510B8C"/>
    <w:rsid w:val="00511769"/>
    <w:rsid w:val="00512585"/>
    <w:rsid w:val="00513FE3"/>
    <w:rsid w:val="005141D9"/>
    <w:rsid w:val="00516251"/>
    <w:rsid w:val="00517457"/>
    <w:rsid w:val="00517766"/>
    <w:rsid w:val="0051786F"/>
    <w:rsid w:val="0052033A"/>
    <w:rsid w:val="00520CBD"/>
    <w:rsid w:val="005216D7"/>
    <w:rsid w:val="00521C55"/>
    <w:rsid w:val="0052202F"/>
    <w:rsid w:val="005220E1"/>
    <w:rsid w:val="00522485"/>
    <w:rsid w:val="005224B7"/>
    <w:rsid w:val="00522FF3"/>
    <w:rsid w:val="0052349E"/>
    <w:rsid w:val="00523809"/>
    <w:rsid w:val="0052432E"/>
    <w:rsid w:val="005243EA"/>
    <w:rsid w:val="00524423"/>
    <w:rsid w:val="0052460A"/>
    <w:rsid w:val="00524742"/>
    <w:rsid w:val="005263CC"/>
    <w:rsid w:val="00526405"/>
    <w:rsid w:val="00526726"/>
    <w:rsid w:val="00527C08"/>
    <w:rsid w:val="00530E7B"/>
    <w:rsid w:val="00531098"/>
    <w:rsid w:val="005324FC"/>
    <w:rsid w:val="005328E5"/>
    <w:rsid w:val="00532911"/>
    <w:rsid w:val="00532A2A"/>
    <w:rsid w:val="005337B2"/>
    <w:rsid w:val="00533AE6"/>
    <w:rsid w:val="00534278"/>
    <w:rsid w:val="00535640"/>
    <w:rsid w:val="005365D3"/>
    <w:rsid w:val="0053769E"/>
    <w:rsid w:val="00537975"/>
    <w:rsid w:val="00537B5D"/>
    <w:rsid w:val="005409BF"/>
    <w:rsid w:val="00540DBC"/>
    <w:rsid w:val="00540F35"/>
    <w:rsid w:val="00541449"/>
    <w:rsid w:val="00541749"/>
    <w:rsid w:val="00541D9A"/>
    <w:rsid w:val="00543156"/>
    <w:rsid w:val="005433FC"/>
    <w:rsid w:val="00543907"/>
    <w:rsid w:val="00543C4A"/>
    <w:rsid w:val="005445B3"/>
    <w:rsid w:val="00545879"/>
    <w:rsid w:val="005464C7"/>
    <w:rsid w:val="00547029"/>
    <w:rsid w:val="005472F9"/>
    <w:rsid w:val="005479C2"/>
    <w:rsid w:val="00550052"/>
    <w:rsid w:val="00550FC0"/>
    <w:rsid w:val="00551125"/>
    <w:rsid w:val="00551144"/>
    <w:rsid w:val="00551FBF"/>
    <w:rsid w:val="00552314"/>
    <w:rsid w:val="005530B5"/>
    <w:rsid w:val="00553527"/>
    <w:rsid w:val="00553978"/>
    <w:rsid w:val="00553AC2"/>
    <w:rsid w:val="00554405"/>
    <w:rsid w:val="00557A48"/>
    <w:rsid w:val="00560A6A"/>
    <w:rsid w:val="00560E10"/>
    <w:rsid w:val="00561B30"/>
    <w:rsid w:val="005621E9"/>
    <w:rsid w:val="0056326F"/>
    <w:rsid w:val="005637C4"/>
    <w:rsid w:val="005640A5"/>
    <w:rsid w:val="00564FC1"/>
    <w:rsid w:val="00565703"/>
    <w:rsid w:val="00566209"/>
    <w:rsid w:val="00566B7D"/>
    <w:rsid w:val="005671C0"/>
    <w:rsid w:val="0056766B"/>
    <w:rsid w:val="005704FF"/>
    <w:rsid w:val="00571F35"/>
    <w:rsid w:val="00573A43"/>
    <w:rsid w:val="00574727"/>
    <w:rsid w:val="005747CD"/>
    <w:rsid w:val="005748B7"/>
    <w:rsid w:val="0057500B"/>
    <w:rsid w:val="00575117"/>
    <w:rsid w:val="00575CFC"/>
    <w:rsid w:val="005768C4"/>
    <w:rsid w:val="00576A21"/>
    <w:rsid w:val="00576E9A"/>
    <w:rsid w:val="00577C3C"/>
    <w:rsid w:val="005806B2"/>
    <w:rsid w:val="005807BE"/>
    <w:rsid w:val="00580F58"/>
    <w:rsid w:val="00581A1E"/>
    <w:rsid w:val="00581D83"/>
    <w:rsid w:val="00582DE9"/>
    <w:rsid w:val="005840EF"/>
    <w:rsid w:val="005843DF"/>
    <w:rsid w:val="005847FC"/>
    <w:rsid w:val="00584C03"/>
    <w:rsid w:val="005853C3"/>
    <w:rsid w:val="00585A3F"/>
    <w:rsid w:val="00586977"/>
    <w:rsid w:val="0058700D"/>
    <w:rsid w:val="00587996"/>
    <w:rsid w:val="00587E38"/>
    <w:rsid w:val="00590840"/>
    <w:rsid w:val="00592517"/>
    <w:rsid w:val="00592D2B"/>
    <w:rsid w:val="00594A31"/>
    <w:rsid w:val="0059527A"/>
    <w:rsid w:val="00596733"/>
    <w:rsid w:val="00596DCB"/>
    <w:rsid w:val="005A0599"/>
    <w:rsid w:val="005A08CC"/>
    <w:rsid w:val="005A0967"/>
    <w:rsid w:val="005A15F8"/>
    <w:rsid w:val="005A25D9"/>
    <w:rsid w:val="005A314C"/>
    <w:rsid w:val="005A366E"/>
    <w:rsid w:val="005A372D"/>
    <w:rsid w:val="005A46AB"/>
    <w:rsid w:val="005A4D98"/>
    <w:rsid w:val="005A5242"/>
    <w:rsid w:val="005A5518"/>
    <w:rsid w:val="005A666D"/>
    <w:rsid w:val="005A6787"/>
    <w:rsid w:val="005A6EF0"/>
    <w:rsid w:val="005A6FFF"/>
    <w:rsid w:val="005B078F"/>
    <w:rsid w:val="005B1AA0"/>
    <w:rsid w:val="005B1B1A"/>
    <w:rsid w:val="005B4BB7"/>
    <w:rsid w:val="005B5FAF"/>
    <w:rsid w:val="005B6A51"/>
    <w:rsid w:val="005B78E0"/>
    <w:rsid w:val="005C1224"/>
    <w:rsid w:val="005C19F5"/>
    <w:rsid w:val="005C230A"/>
    <w:rsid w:val="005C2B23"/>
    <w:rsid w:val="005C5FFA"/>
    <w:rsid w:val="005C6C19"/>
    <w:rsid w:val="005C7041"/>
    <w:rsid w:val="005D01FF"/>
    <w:rsid w:val="005D0627"/>
    <w:rsid w:val="005D08B4"/>
    <w:rsid w:val="005D0A24"/>
    <w:rsid w:val="005D2078"/>
    <w:rsid w:val="005D2A60"/>
    <w:rsid w:val="005D5EB8"/>
    <w:rsid w:val="005D670E"/>
    <w:rsid w:val="005D6E84"/>
    <w:rsid w:val="005D6F00"/>
    <w:rsid w:val="005E04AF"/>
    <w:rsid w:val="005E32D0"/>
    <w:rsid w:val="005E3791"/>
    <w:rsid w:val="005E486D"/>
    <w:rsid w:val="005E4E9A"/>
    <w:rsid w:val="005E4F8E"/>
    <w:rsid w:val="005E5B42"/>
    <w:rsid w:val="005E612E"/>
    <w:rsid w:val="005E6309"/>
    <w:rsid w:val="005E6833"/>
    <w:rsid w:val="005E6878"/>
    <w:rsid w:val="005E6BEC"/>
    <w:rsid w:val="005F0B4E"/>
    <w:rsid w:val="005F1099"/>
    <w:rsid w:val="005F1615"/>
    <w:rsid w:val="005F1634"/>
    <w:rsid w:val="005F2010"/>
    <w:rsid w:val="005F44BD"/>
    <w:rsid w:val="005F56B4"/>
    <w:rsid w:val="005F5E72"/>
    <w:rsid w:val="005F5F45"/>
    <w:rsid w:val="005F5F51"/>
    <w:rsid w:val="005F6AE4"/>
    <w:rsid w:val="005F7898"/>
    <w:rsid w:val="005F7FE1"/>
    <w:rsid w:val="00600870"/>
    <w:rsid w:val="006008A5"/>
    <w:rsid w:val="0060141E"/>
    <w:rsid w:val="006021D0"/>
    <w:rsid w:val="006038C7"/>
    <w:rsid w:val="00604580"/>
    <w:rsid w:val="006045B0"/>
    <w:rsid w:val="00605D43"/>
    <w:rsid w:val="00606A87"/>
    <w:rsid w:val="00606ADC"/>
    <w:rsid w:val="00606C69"/>
    <w:rsid w:val="00606F14"/>
    <w:rsid w:val="00607710"/>
    <w:rsid w:val="00607801"/>
    <w:rsid w:val="00607AD6"/>
    <w:rsid w:val="006109B6"/>
    <w:rsid w:val="00610A51"/>
    <w:rsid w:val="006112B4"/>
    <w:rsid w:val="0061205C"/>
    <w:rsid w:val="00612C36"/>
    <w:rsid w:val="00613F8F"/>
    <w:rsid w:val="00614D9E"/>
    <w:rsid w:val="00615A19"/>
    <w:rsid w:val="00615AC8"/>
    <w:rsid w:val="00616189"/>
    <w:rsid w:val="00617996"/>
    <w:rsid w:val="00621E72"/>
    <w:rsid w:val="00624C0E"/>
    <w:rsid w:val="00625236"/>
    <w:rsid w:val="006266D1"/>
    <w:rsid w:val="00630C65"/>
    <w:rsid w:val="00632260"/>
    <w:rsid w:val="00632E4C"/>
    <w:rsid w:val="0063372C"/>
    <w:rsid w:val="00633C84"/>
    <w:rsid w:val="006344B0"/>
    <w:rsid w:val="006348F8"/>
    <w:rsid w:val="0063532D"/>
    <w:rsid w:val="0063535D"/>
    <w:rsid w:val="00635D92"/>
    <w:rsid w:val="00636861"/>
    <w:rsid w:val="00637137"/>
    <w:rsid w:val="006373DE"/>
    <w:rsid w:val="006376F9"/>
    <w:rsid w:val="00637EBC"/>
    <w:rsid w:val="00640298"/>
    <w:rsid w:val="006409E6"/>
    <w:rsid w:val="006410EC"/>
    <w:rsid w:val="006417C6"/>
    <w:rsid w:val="00641AA1"/>
    <w:rsid w:val="00641EBC"/>
    <w:rsid w:val="00642539"/>
    <w:rsid w:val="0064275F"/>
    <w:rsid w:val="0064502E"/>
    <w:rsid w:val="00645B4A"/>
    <w:rsid w:val="00645DB2"/>
    <w:rsid w:val="00646BF8"/>
    <w:rsid w:val="00650A74"/>
    <w:rsid w:val="0065148E"/>
    <w:rsid w:val="0065318C"/>
    <w:rsid w:val="00654F40"/>
    <w:rsid w:val="00655068"/>
    <w:rsid w:val="00655CBF"/>
    <w:rsid w:val="0065626F"/>
    <w:rsid w:val="00657314"/>
    <w:rsid w:val="00657467"/>
    <w:rsid w:val="006603AA"/>
    <w:rsid w:val="006604F7"/>
    <w:rsid w:val="00660A93"/>
    <w:rsid w:val="00662265"/>
    <w:rsid w:val="0066383D"/>
    <w:rsid w:val="006639E5"/>
    <w:rsid w:val="00664578"/>
    <w:rsid w:val="00664E8A"/>
    <w:rsid w:val="00665065"/>
    <w:rsid w:val="006656BD"/>
    <w:rsid w:val="0067003C"/>
    <w:rsid w:val="00670DB8"/>
    <w:rsid w:val="00671A84"/>
    <w:rsid w:val="00671FD7"/>
    <w:rsid w:val="006720C9"/>
    <w:rsid w:val="00672365"/>
    <w:rsid w:val="006727C0"/>
    <w:rsid w:val="00673182"/>
    <w:rsid w:val="00673524"/>
    <w:rsid w:val="00673661"/>
    <w:rsid w:val="00673ED9"/>
    <w:rsid w:val="00674A90"/>
    <w:rsid w:val="0067632F"/>
    <w:rsid w:val="0067651C"/>
    <w:rsid w:val="00676DCA"/>
    <w:rsid w:val="00677F27"/>
    <w:rsid w:val="006825FA"/>
    <w:rsid w:val="00682689"/>
    <w:rsid w:val="0068290D"/>
    <w:rsid w:val="00682C3E"/>
    <w:rsid w:val="0068365E"/>
    <w:rsid w:val="00684040"/>
    <w:rsid w:val="00684D13"/>
    <w:rsid w:val="0068627E"/>
    <w:rsid w:val="00690102"/>
    <w:rsid w:val="00690442"/>
    <w:rsid w:val="00690966"/>
    <w:rsid w:val="00693E3F"/>
    <w:rsid w:val="00694C60"/>
    <w:rsid w:val="00695106"/>
    <w:rsid w:val="00695B28"/>
    <w:rsid w:val="006962C0"/>
    <w:rsid w:val="006962C8"/>
    <w:rsid w:val="00696D8D"/>
    <w:rsid w:val="006A1D08"/>
    <w:rsid w:val="006A339C"/>
    <w:rsid w:val="006A3D0B"/>
    <w:rsid w:val="006A4025"/>
    <w:rsid w:val="006A5B7B"/>
    <w:rsid w:val="006A60BD"/>
    <w:rsid w:val="006A62B1"/>
    <w:rsid w:val="006A65F7"/>
    <w:rsid w:val="006A6B81"/>
    <w:rsid w:val="006A6C7F"/>
    <w:rsid w:val="006B2105"/>
    <w:rsid w:val="006B26BC"/>
    <w:rsid w:val="006B31C0"/>
    <w:rsid w:val="006B5423"/>
    <w:rsid w:val="006B5B9E"/>
    <w:rsid w:val="006B71E6"/>
    <w:rsid w:val="006B7953"/>
    <w:rsid w:val="006B7CEB"/>
    <w:rsid w:val="006C0B6F"/>
    <w:rsid w:val="006C2417"/>
    <w:rsid w:val="006C3D0B"/>
    <w:rsid w:val="006C4AD3"/>
    <w:rsid w:val="006C62CF"/>
    <w:rsid w:val="006C70D0"/>
    <w:rsid w:val="006D04D7"/>
    <w:rsid w:val="006D0C50"/>
    <w:rsid w:val="006D168C"/>
    <w:rsid w:val="006D237A"/>
    <w:rsid w:val="006D25FF"/>
    <w:rsid w:val="006D57CC"/>
    <w:rsid w:val="006D6639"/>
    <w:rsid w:val="006D74A4"/>
    <w:rsid w:val="006D75F2"/>
    <w:rsid w:val="006E02E8"/>
    <w:rsid w:val="006E1193"/>
    <w:rsid w:val="006E1F1B"/>
    <w:rsid w:val="006E24C2"/>
    <w:rsid w:val="006E3AE9"/>
    <w:rsid w:val="006E4B30"/>
    <w:rsid w:val="006E6698"/>
    <w:rsid w:val="006E7AB8"/>
    <w:rsid w:val="006F0AF0"/>
    <w:rsid w:val="006F169A"/>
    <w:rsid w:val="006F1828"/>
    <w:rsid w:val="006F1E3C"/>
    <w:rsid w:val="006F26DA"/>
    <w:rsid w:val="006F276C"/>
    <w:rsid w:val="006F2A62"/>
    <w:rsid w:val="006F311B"/>
    <w:rsid w:val="006F327B"/>
    <w:rsid w:val="006F6F23"/>
    <w:rsid w:val="006F79EB"/>
    <w:rsid w:val="00700BFA"/>
    <w:rsid w:val="00701430"/>
    <w:rsid w:val="00701D59"/>
    <w:rsid w:val="00702559"/>
    <w:rsid w:val="00703558"/>
    <w:rsid w:val="0070400B"/>
    <w:rsid w:val="007042A6"/>
    <w:rsid w:val="007052C2"/>
    <w:rsid w:val="00706553"/>
    <w:rsid w:val="00707C57"/>
    <w:rsid w:val="007102BC"/>
    <w:rsid w:val="007106E7"/>
    <w:rsid w:val="00711766"/>
    <w:rsid w:val="00711ED4"/>
    <w:rsid w:val="00711F14"/>
    <w:rsid w:val="00713702"/>
    <w:rsid w:val="00713804"/>
    <w:rsid w:val="00713951"/>
    <w:rsid w:val="0071398E"/>
    <w:rsid w:val="00713E37"/>
    <w:rsid w:val="0071407F"/>
    <w:rsid w:val="0071488D"/>
    <w:rsid w:val="00716B2B"/>
    <w:rsid w:val="00717542"/>
    <w:rsid w:val="00717823"/>
    <w:rsid w:val="00720183"/>
    <w:rsid w:val="00720268"/>
    <w:rsid w:val="007217D9"/>
    <w:rsid w:val="0072232D"/>
    <w:rsid w:val="00722769"/>
    <w:rsid w:val="00722EF4"/>
    <w:rsid w:val="007230A8"/>
    <w:rsid w:val="00723412"/>
    <w:rsid w:val="00723E36"/>
    <w:rsid w:val="00724141"/>
    <w:rsid w:val="00724815"/>
    <w:rsid w:val="0072493D"/>
    <w:rsid w:val="0072549D"/>
    <w:rsid w:val="00725F41"/>
    <w:rsid w:val="00726847"/>
    <w:rsid w:val="0073096D"/>
    <w:rsid w:val="007318A6"/>
    <w:rsid w:val="00731E5D"/>
    <w:rsid w:val="00732908"/>
    <w:rsid w:val="00732EDD"/>
    <w:rsid w:val="00733CED"/>
    <w:rsid w:val="00735158"/>
    <w:rsid w:val="007352F0"/>
    <w:rsid w:val="007360AD"/>
    <w:rsid w:val="0073695A"/>
    <w:rsid w:val="00736EDA"/>
    <w:rsid w:val="00737E10"/>
    <w:rsid w:val="007403AB"/>
    <w:rsid w:val="0074270A"/>
    <w:rsid w:val="007437D9"/>
    <w:rsid w:val="00743D91"/>
    <w:rsid w:val="00743F6D"/>
    <w:rsid w:val="00744AE0"/>
    <w:rsid w:val="00744B39"/>
    <w:rsid w:val="00745035"/>
    <w:rsid w:val="00745131"/>
    <w:rsid w:val="00745D09"/>
    <w:rsid w:val="00746D1E"/>
    <w:rsid w:val="007471E2"/>
    <w:rsid w:val="00747B41"/>
    <w:rsid w:val="00750460"/>
    <w:rsid w:val="007504D9"/>
    <w:rsid w:val="007506C7"/>
    <w:rsid w:val="00750968"/>
    <w:rsid w:val="00750CC6"/>
    <w:rsid w:val="007512F9"/>
    <w:rsid w:val="0075172F"/>
    <w:rsid w:val="00752181"/>
    <w:rsid w:val="00752862"/>
    <w:rsid w:val="007537DD"/>
    <w:rsid w:val="00753853"/>
    <w:rsid w:val="00753A5C"/>
    <w:rsid w:val="00753A76"/>
    <w:rsid w:val="007545D7"/>
    <w:rsid w:val="007551D3"/>
    <w:rsid w:val="00755B98"/>
    <w:rsid w:val="007565FC"/>
    <w:rsid w:val="00756B71"/>
    <w:rsid w:val="00757014"/>
    <w:rsid w:val="00760C29"/>
    <w:rsid w:val="00761302"/>
    <w:rsid w:val="007624FD"/>
    <w:rsid w:val="00762800"/>
    <w:rsid w:val="00762CD0"/>
    <w:rsid w:val="0076323F"/>
    <w:rsid w:val="00763387"/>
    <w:rsid w:val="00763965"/>
    <w:rsid w:val="00763C90"/>
    <w:rsid w:val="007649AF"/>
    <w:rsid w:val="00766081"/>
    <w:rsid w:val="00766E3D"/>
    <w:rsid w:val="007676DE"/>
    <w:rsid w:val="00767C2C"/>
    <w:rsid w:val="00770EFC"/>
    <w:rsid w:val="0077239A"/>
    <w:rsid w:val="007748A5"/>
    <w:rsid w:val="00774CC1"/>
    <w:rsid w:val="00775354"/>
    <w:rsid w:val="0078040F"/>
    <w:rsid w:val="00781552"/>
    <w:rsid w:val="00781943"/>
    <w:rsid w:val="00782483"/>
    <w:rsid w:val="007829B1"/>
    <w:rsid w:val="00782A31"/>
    <w:rsid w:val="00783CE8"/>
    <w:rsid w:val="00784A7A"/>
    <w:rsid w:val="00787C19"/>
    <w:rsid w:val="007902C3"/>
    <w:rsid w:val="007904C9"/>
    <w:rsid w:val="00790D35"/>
    <w:rsid w:val="007912B8"/>
    <w:rsid w:val="00792335"/>
    <w:rsid w:val="007948F7"/>
    <w:rsid w:val="00794F6A"/>
    <w:rsid w:val="00795E7B"/>
    <w:rsid w:val="00796E9A"/>
    <w:rsid w:val="0079712C"/>
    <w:rsid w:val="007A17B3"/>
    <w:rsid w:val="007A1A93"/>
    <w:rsid w:val="007A21AE"/>
    <w:rsid w:val="007A223B"/>
    <w:rsid w:val="007A25F3"/>
    <w:rsid w:val="007A364E"/>
    <w:rsid w:val="007A4100"/>
    <w:rsid w:val="007A4187"/>
    <w:rsid w:val="007A53C0"/>
    <w:rsid w:val="007A5950"/>
    <w:rsid w:val="007A59E6"/>
    <w:rsid w:val="007A6905"/>
    <w:rsid w:val="007A6A7F"/>
    <w:rsid w:val="007A7BA0"/>
    <w:rsid w:val="007B0D52"/>
    <w:rsid w:val="007B14B8"/>
    <w:rsid w:val="007B15C8"/>
    <w:rsid w:val="007B186E"/>
    <w:rsid w:val="007B247E"/>
    <w:rsid w:val="007B31B0"/>
    <w:rsid w:val="007B4D3C"/>
    <w:rsid w:val="007B6084"/>
    <w:rsid w:val="007B6ACF"/>
    <w:rsid w:val="007B7355"/>
    <w:rsid w:val="007B757E"/>
    <w:rsid w:val="007C041A"/>
    <w:rsid w:val="007C2458"/>
    <w:rsid w:val="007C26A3"/>
    <w:rsid w:val="007C27FF"/>
    <w:rsid w:val="007C298A"/>
    <w:rsid w:val="007C2CFA"/>
    <w:rsid w:val="007C3242"/>
    <w:rsid w:val="007C3B2C"/>
    <w:rsid w:val="007C3E99"/>
    <w:rsid w:val="007C4CBC"/>
    <w:rsid w:val="007C5BCB"/>
    <w:rsid w:val="007C6C52"/>
    <w:rsid w:val="007C7289"/>
    <w:rsid w:val="007C7B17"/>
    <w:rsid w:val="007C7D88"/>
    <w:rsid w:val="007D0120"/>
    <w:rsid w:val="007D072B"/>
    <w:rsid w:val="007D0FC9"/>
    <w:rsid w:val="007D19CF"/>
    <w:rsid w:val="007D3B13"/>
    <w:rsid w:val="007D3C26"/>
    <w:rsid w:val="007D3C70"/>
    <w:rsid w:val="007D4496"/>
    <w:rsid w:val="007D4663"/>
    <w:rsid w:val="007D550A"/>
    <w:rsid w:val="007D63F0"/>
    <w:rsid w:val="007D7DAB"/>
    <w:rsid w:val="007E0082"/>
    <w:rsid w:val="007E0818"/>
    <w:rsid w:val="007E0BBB"/>
    <w:rsid w:val="007E0D3B"/>
    <w:rsid w:val="007E1036"/>
    <w:rsid w:val="007E11CC"/>
    <w:rsid w:val="007E12F7"/>
    <w:rsid w:val="007E13AD"/>
    <w:rsid w:val="007E17B1"/>
    <w:rsid w:val="007E1D00"/>
    <w:rsid w:val="007E2431"/>
    <w:rsid w:val="007E259F"/>
    <w:rsid w:val="007E31D8"/>
    <w:rsid w:val="007E374D"/>
    <w:rsid w:val="007E4618"/>
    <w:rsid w:val="007E5133"/>
    <w:rsid w:val="007E56D7"/>
    <w:rsid w:val="007E5ED6"/>
    <w:rsid w:val="007E6912"/>
    <w:rsid w:val="007E6EF9"/>
    <w:rsid w:val="007E7657"/>
    <w:rsid w:val="007E76F2"/>
    <w:rsid w:val="007E7A34"/>
    <w:rsid w:val="007E7A47"/>
    <w:rsid w:val="007E7B9F"/>
    <w:rsid w:val="007E7F8C"/>
    <w:rsid w:val="007F0A76"/>
    <w:rsid w:val="007F0FC3"/>
    <w:rsid w:val="007F21A0"/>
    <w:rsid w:val="007F3140"/>
    <w:rsid w:val="007F399F"/>
    <w:rsid w:val="007F39ED"/>
    <w:rsid w:val="007F5EEC"/>
    <w:rsid w:val="007F7CC3"/>
    <w:rsid w:val="007F7F0B"/>
    <w:rsid w:val="00800D26"/>
    <w:rsid w:val="00802AAB"/>
    <w:rsid w:val="00802BD3"/>
    <w:rsid w:val="00802E70"/>
    <w:rsid w:val="008034A0"/>
    <w:rsid w:val="00806DB3"/>
    <w:rsid w:val="00807A5A"/>
    <w:rsid w:val="008103EE"/>
    <w:rsid w:val="00811910"/>
    <w:rsid w:val="00811E78"/>
    <w:rsid w:val="00813467"/>
    <w:rsid w:val="00814233"/>
    <w:rsid w:val="00815FAF"/>
    <w:rsid w:val="0081787C"/>
    <w:rsid w:val="00823F5E"/>
    <w:rsid w:val="00826107"/>
    <w:rsid w:val="00826151"/>
    <w:rsid w:val="00826D24"/>
    <w:rsid w:val="0083008E"/>
    <w:rsid w:val="0083024F"/>
    <w:rsid w:val="008304A8"/>
    <w:rsid w:val="00831176"/>
    <w:rsid w:val="008320F8"/>
    <w:rsid w:val="00835369"/>
    <w:rsid w:val="00835C69"/>
    <w:rsid w:val="00835CAB"/>
    <w:rsid w:val="00835E3B"/>
    <w:rsid w:val="00837356"/>
    <w:rsid w:val="00840907"/>
    <w:rsid w:val="00840FF9"/>
    <w:rsid w:val="00841A88"/>
    <w:rsid w:val="00842E9B"/>
    <w:rsid w:val="00844167"/>
    <w:rsid w:val="008449F7"/>
    <w:rsid w:val="008453E9"/>
    <w:rsid w:val="008460CC"/>
    <w:rsid w:val="00846196"/>
    <w:rsid w:val="0084657F"/>
    <w:rsid w:val="00850376"/>
    <w:rsid w:val="00850FE0"/>
    <w:rsid w:val="00851065"/>
    <w:rsid w:val="008519AE"/>
    <w:rsid w:val="00851AFB"/>
    <w:rsid w:val="008521A2"/>
    <w:rsid w:val="00852B6E"/>
    <w:rsid w:val="00852C4C"/>
    <w:rsid w:val="00853812"/>
    <w:rsid w:val="00855538"/>
    <w:rsid w:val="008556CD"/>
    <w:rsid w:val="008556F1"/>
    <w:rsid w:val="0085603B"/>
    <w:rsid w:val="0085611C"/>
    <w:rsid w:val="00856524"/>
    <w:rsid w:val="00857FC5"/>
    <w:rsid w:val="00860BFF"/>
    <w:rsid w:val="00861AB5"/>
    <w:rsid w:val="00861EF4"/>
    <w:rsid w:val="00862055"/>
    <w:rsid w:val="008628E0"/>
    <w:rsid w:val="00862CA2"/>
    <w:rsid w:val="0086327E"/>
    <w:rsid w:val="008639F5"/>
    <w:rsid w:val="00863A4D"/>
    <w:rsid w:val="00863D3C"/>
    <w:rsid w:val="0086466C"/>
    <w:rsid w:val="00864888"/>
    <w:rsid w:val="00864D4B"/>
    <w:rsid w:val="0086560C"/>
    <w:rsid w:val="0086714C"/>
    <w:rsid w:val="008671E0"/>
    <w:rsid w:val="00867F5C"/>
    <w:rsid w:val="00870C1F"/>
    <w:rsid w:val="00871104"/>
    <w:rsid w:val="00871B3D"/>
    <w:rsid w:val="00871D49"/>
    <w:rsid w:val="008726A1"/>
    <w:rsid w:val="008744BE"/>
    <w:rsid w:val="00875146"/>
    <w:rsid w:val="00875410"/>
    <w:rsid w:val="00876727"/>
    <w:rsid w:val="008774E4"/>
    <w:rsid w:val="008802A7"/>
    <w:rsid w:val="00880686"/>
    <w:rsid w:val="0088242D"/>
    <w:rsid w:val="008839E7"/>
    <w:rsid w:val="00883A93"/>
    <w:rsid w:val="008847D8"/>
    <w:rsid w:val="008849CC"/>
    <w:rsid w:val="00884DC6"/>
    <w:rsid w:val="008865D1"/>
    <w:rsid w:val="008868B9"/>
    <w:rsid w:val="008910D3"/>
    <w:rsid w:val="0089165A"/>
    <w:rsid w:val="0089204F"/>
    <w:rsid w:val="00892FD5"/>
    <w:rsid w:val="00894CDE"/>
    <w:rsid w:val="00894E68"/>
    <w:rsid w:val="00896494"/>
    <w:rsid w:val="008965B0"/>
    <w:rsid w:val="008A0E09"/>
    <w:rsid w:val="008A0F1F"/>
    <w:rsid w:val="008A1259"/>
    <w:rsid w:val="008A1A4F"/>
    <w:rsid w:val="008A1EBE"/>
    <w:rsid w:val="008A28C1"/>
    <w:rsid w:val="008A3031"/>
    <w:rsid w:val="008A36BF"/>
    <w:rsid w:val="008A3F22"/>
    <w:rsid w:val="008A4C12"/>
    <w:rsid w:val="008A5253"/>
    <w:rsid w:val="008A5708"/>
    <w:rsid w:val="008A7B79"/>
    <w:rsid w:val="008A7BCC"/>
    <w:rsid w:val="008B0609"/>
    <w:rsid w:val="008B0A91"/>
    <w:rsid w:val="008B0D44"/>
    <w:rsid w:val="008B0D4E"/>
    <w:rsid w:val="008B11A3"/>
    <w:rsid w:val="008B1B45"/>
    <w:rsid w:val="008B2846"/>
    <w:rsid w:val="008B2E85"/>
    <w:rsid w:val="008B30D6"/>
    <w:rsid w:val="008B3351"/>
    <w:rsid w:val="008B5342"/>
    <w:rsid w:val="008B5C4A"/>
    <w:rsid w:val="008B669B"/>
    <w:rsid w:val="008B6875"/>
    <w:rsid w:val="008B697E"/>
    <w:rsid w:val="008B6A70"/>
    <w:rsid w:val="008B6A77"/>
    <w:rsid w:val="008B7394"/>
    <w:rsid w:val="008B797B"/>
    <w:rsid w:val="008C0507"/>
    <w:rsid w:val="008C0909"/>
    <w:rsid w:val="008C0DD3"/>
    <w:rsid w:val="008C2A9F"/>
    <w:rsid w:val="008C39DD"/>
    <w:rsid w:val="008C43AB"/>
    <w:rsid w:val="008C49FC"/>
    <w:rsid w:val="008C6184"/>
    <w:rsid w:val="008C6F4C"/>
    <w:rsid w:val="008C760F"/>
    <w:rsid w:val="008C7FC3"/>
    <w:rsid w:val="008D0FBE"/>
    <w:rsid w:val="008D11C0"/>
    <w:rsid w:val="008D46DF"/>
    <w:rsid w:val="008D5A35"/>
    <w:rsid w:val="008D5F79"/>
    <w:rsid w:val="008D7938"/>
    <w:rsid w:val="008E0667"/>
    <w:rsid w:val="008E16B4"/>
    <w:rsid w:val="008E2527"/>
    <w:rsid w:val="008E2C8D"/>
    <w:rsid w:val="008E3244"/>
    <w:rsid w:val="008E366C"/>
    <w:rsid w:val="008E3937"/>
    <w:rsid w:val="008E39A7"/>
    <w:rsid w:val="008E66AB"/>
    <w:rsid w:val="008E680B"/>
    <w:rsid w:val="008E7216"/>
    <w:rsid w:val="008F0806"/>
    <w:rsid w:val="008F0C3D"/>
    <w:rsid w:val="008F0F4D"/>
    <w:rsid w:val="008F11BF"/>
    <w:rsid w:val="008F13F2"/>
    <w:rsid w:val="008F232F"/>
    <w:rsid w:val="008F23E0"/>
    <w:rsid w:val="008F34BF"/>
    <w:rsid w:val="008F3F30"/>
    <w:rsid w:val="008F4E4C"/>
    <w:rsid w:val="008F6F17"/>
    <w:rsid w:val="009002FD"/>
    <w:rsid w:val="009008A7"/>
    <w:rsid w:val="00900B4C"/>
    <w:rsid w:val="0090141E"/>
    <w:rsid w:val="00901B75"/>
    <w:rsid w:val="009040CC"/>
    <w:rsid w:val="0090574B"/>
    <w:rsid w:val="00905B49"/>
    <w:rsid w:val="00905EA4"/>
    <w:rsid w:val="0090600C"/>
    <w:rsid w:val="009102D1"/>
    <w:rsid w:val="00911CFA"/>
    <w:rsid w:val="009129FA"/>
    <w:rsid w:val="00913BFE"/>
    <w:rsid w:val="0091402A"/>
    <w:rsid w:val="00914AD6"/>
    <w:rsid w:val="00914C76"/>
    <w:rsid w:val="00914F54"/>
    <w:rsid w:val="00915237"/>
    <w:rsid w:val="00915865"/>
    <w:rsid w:val="00917138"/>
    <w:rsid w:val="009210B3"/>
    <w:rsid w:val="00922FB8"/>
    <w:rsid w:val="0092383A"/>
    <w:rsid w:val="00925428"/>
    <w:rsid w:val="00925758"/>
    <w:rsid w:val="00930288"/>
    <w:rsid w:val="009311E7"/>
    <w:rsid w:val="009325A7"/>
    <w:rsid w:val="0093284B"/>
    <w:rsid w:val="00934057"/>
    <w:rsid w:val="00934828"/>
    <w:rsid w:val="00934C4B"/>
    <w:rsid w:val="009352C0"/>
    <w:rsid w:val="00936245"/>
    <w:rsid w:val="00936AE5"/>
    <w:rsid w:val="009376FF"/>
    <w:rsid w:val="00937A17"/>
    <w:rsid w:val="00937B9E"/>
    <w:rsid w:val="00940389"/>
    <w:rsid w:val="009427A8"/>
    <w:rsid w:val="00943D90"/>
    <w:rsid w:val="00944651"/>
    <w:rsid w:val="00944D4D"/>
    <w:rsid w:val="00944D74"/>
    <w:rsid w:val="00945240"/>
    <w:rsid w:val="00945821"/>
    <w:rsid w:val="00945B58"/>
    <w:rsid w:val="0094650E"/>
    <w:rsid w:val="009476B4"/>
    <w:rsid w:val="009500AE"/>
    <w:rsid w:val="00952A11"/>
    <w:rsid w:val="00953039"/>
    <w:rsid w:val="0095321E"/>
    <w:rsid w:val="00953E95"/>
    <w:rsid w:val="009543EF"/>
    <w:rsid w:val="00955625"/>
    <w:rsid w:val="009563A9"/>
    <w:rsid w:val="0095686A"/>
    <w:rsid w:val="0095705D"/>
    <w:rsid w:val="0096002F"/>
    <w:rsid w:val="009622EB"/>
    <w:rsid w:val="009628E0"/>
    <w:rsid w:val="00962D77"/>
    <w:rsid w:val="00962F9B"/>
    <w:rsid w:val="0096392A"/>
    <w:rsid w:val="009639D7"/>
    <w:rsid w:val="00963D89"/>
    <w:rsid w:val="0096461E"/>
    <w:rsid w:val="00964BF1"/>
    <w:rsid w:val="009653E0"/>
    <w:rsid w:val="00965F2F"/>
    <w:rsid w:val="009665DD"/>
    <w:rsid w:val="00967EBC"/>
    <w:rsid w:val="009703E1"/>
    <w:rsid w:val="0097121A"/>
    <w:rsid w:val="009712C9"/>
    <w:rsid w:val="00971EB2"/>
    <w:rsid w:val="009725B7"/>
    <w:rsid w:val="00972CEA"/>
    <w:rsid w:val="00972D45"/>
    <w:rsid w:val="00972E7F"/>
    <w:rsid w:val="00973602"/>
    <w:rsid w:val="00974B50"/>
    <w:rsid w:val="0097696A"/>
    <w:rsid w:val="00977DF4"/>
    <w:rsid w:val="009808D0"/>
    <w:rsid w:val="0098093B"/>
    <w:rsid w:val="00980A9F"/>
    <w:rsid w:val="00981728"/>
    <w:rsid w:val="00981CBE"/>
    <w:rsid w:val="009825BA"/>
    <w:rsid w:val="00982962"/>
    <w:rsid w:val="00982EDA"/>
    <w:rsid w:val="0098302E"/>
    <w:rsid w:val="00983159"/>
    <w:rsid w:val="009839C8"/>
    <w:rsid w:val="00985391"/>
    <w:rsid w:val="00985723"/>
    <w:rsid w:val="0098591C"/>
    <w:rsid w:val="0098655E"/>
    <w:rsid w:val="00986CA0"/>
    <w:rsid w:val="00992367"/>
    <w:rsid w:val="00992397"/>
    <w:rsid w:val="00993A48"/>
    <w:rsid w:val="00993C04"/>
    <w:rsid w:val="0099438C"/>
    <w:rsid w:val="009947A0"/>
    <w:rsid w:val="0099613F"/>
    <w:rsid w:val="00996161"/>
    <w:rsid w:val="0099703E"/>
    <w:rsid w:val="00997435"/>
    <w:rsid w:val="00997470"/>
    <w:rsid w:val="00997D99"/>
    <w:rsid w:val="009A027A"/>
    <w:rsid w:val="009A032C"/>
    <w:rsid w:val="009A0430"/>
    <w:rsid w:val="009A104A"/>
    <w:rsid w:val="009A1681"/>
    <w:rsid w:val="009A1960"/>
    <w:rsid w:val="009A2526"/>
    <w:rsid w:val="009A2FD8"/>
    <w:rsid w:val="009A3485"/>
    <w:rsid w:val="009A418D"/>
    <w:rsid w:val="009A41C9"/>
    <w:rsid w:val="009A428A"/>
    <w:rsid w:val="009A4EED"/>
    <w:rsid w:val="009A5A9F"/>
    <w:rsid w:val="009A5CA4"/>
    <w:rsid w:val="009A74BD"/>
    <w:rsid w:val="009B143B"/>
    <w:rsid w:val="009B1F48"/>
    <w:rsid w:val="009B45F9"/>
    <w:rsid w:val="009B4EBD"/>
    <w:rsid w:val="009B6759"/>
    <w:rsid w:val="009B67A2"/>
    <w:rsid w:val="009B70A0"/>
    <w:rsid w:val="009B76B1"/>
    <w:rsid w:val="009B76F1"/>
    <w:rsid w:val="009C0013"/>
    <w:rsid w:val="009C0856"/>
    <w:rsid w:val="009C13ED"/>
    <w:rsid w:val="009C1D82"/>
    <w:rsid w:val="009C249C"/>
    <w:rsid w:val="009C35B3"/>
    <w:rsid w:val="009C42AF"/>
    <w:rsid w:val="009C4567"/>
    <w:rsid w:val="009C465E"/>
    <w:rsid w:val="009C4BEB"/>
    <w:rsid w:val="009C4CD3"/>
    <w:rsid w:val="009C5B3B"/>
    <w:rsid w:val="009C5C1F"/>
    <w:rsid w:val="009C62F6"/>
    <w:rsid w:val="009C63E4"/>
    <w:rsid w:val="009C6663"/>
    <w:rsid w:val="009C686F"/>
    <w:rsid w:val="009C6D02"/>
    <w:rsid w:val="009D0EA7"/>
    <w:rsid w:val="009D11DE"/>
    <w:rsid w:val="009D21E8"/>
    <w:rsid w:val="009D32FF"/>
    <w:rsid w:val="009D369E"/>
    <w:rsid w:val="009D3A70"/>
    <w:rsid w:val="009D4222"/>
    <w:rsid w:val="009D4A04"/>
    <w:rsid w:val="009D4BD0"/>
    <w:rsid w:val="009D5841"/>
    <w:rsid w:val="009D643D"/>
    <w:rsid w:val="009D6CCC"/>
    <w:rsid w:val="009D7400"/>
    <w:rsid w:val="009D77D4"/>
    <w:rsid w:val="009E010B"/>
    <w:rsid w:val="009E174B"/>
    <w:rsid w:val="009E18D8"/>
    <w:rsid w:val="009E3B3A"/>
    <w:rsid w:val="009E4C44"/>
    <w:rsid w:val="009E4CCE"/>
    <w:rsid w:val="009E4F2A"/>
    <w:rsid w:val="009E6593"/>
    <w:rsid w:val="009E672D"/>
    <w:rsid w:val="009F1133"/>
    <w:rsid w:val="009F1409"/>
    <w:rsid w:val="009F1AF0"/>
    <w:rsid w:val="009F26C2"/>
    <w:rsid w:val="009F2F9B"/>
    <w:rsid w:val="009F4ACA"/>
    <w:rsid w:val="009F4FFA"/>
    <w:rsid w:val="009F5A6C"/>
    <w:rsid w:val="009F5F90"/>
    <w:rsid w:val="009F7521"/>
    <w:rsid w:val="00A015AC"/>
    <w:rsid w:val="00A03219"/>
    <w:rsid w:val="00A03921"/>
    <w:rsid w:val="00A0394C"/>
    <w:rsid w:val="00A03ECA"/>
    <w:rsid w:val="00A040B0"/>
    <w:rsid w:val="00A05051"/>
    <w:rsid w:val="00A06120"/>
    <w:rsid w:val="00A06EA2"/>
    <w:rsid w:val="00A073C6"/>
    <w:rsid w:val="00A1077D"/>
    <w:rsid w:val="00A10B2C"/>
    <w:rsid w:val="00A11C01"/>
    <w:rsid w:val="00A11CFF"/>
    <w:rsid w:val="00A13D47"/>
    <w:rsid w:val="00A13E36"/>
    <w:rsid w:val="00A14527"/>
    <w:rsid w:val="00A16288"/>
    <w:rsid w:val="00A16E43"/>
    <w:rsid w:val="00A17056"/>
    <w:rsid w:val="00A1747F"/>
    <w:rsid w:val="00A17BF0"/>
    <w:rsid w:val="00A17D3E"/>
    <w:rsid w:val="00A20901"/>
    <w:rsid w:val="00A20AFC"/>
    <w:rsid w:val="00A21A3C"/>
    <w:rsid w:val="00A21EE6"/>
    <w:rsid w:val="00A2325A"/>
    <w:rsid w:val="00A238F0"/>
    <w:rsid w:val="00A2453F"/>
    <w:rsid w:val="00A246AE"/>
    <w:rsid w:val="00A24C43"/>
    <w:rsid w:val="00A24FB8"/>
    <w:rsid w:val="00A2545C"/>
    <w:rsid w:val="00A269DD"/>
    <w:rsid w:val="00A26AC4"/>
    <w:rsid w:val="00A26E48"/>
    <w:rsid w:val="00A27BC8"/>
    <w:rsid w:val="00A30B27"/>
    <w:rsid w:val="00A30DAF"/>
    <w:rsid w:val="00A313FC"/>
    <w:rsid w:val="00A31CC3"/>
    <w:rsid w:val="00A32339"/>
    <w:rsid w:val="00A33527"/>
    <w:rsid w:val="00A33937"/>
    <w:rsid w:val="00A343B6"/>
    <w:rsid w:val="00A35859"/>
    <w:rsid w:val="00A358DB"/>
    <w:rsid w:val="00A35BD3"/>
    <w:rsid w:val="00A40B1D"/>
    <w:rsid w:val="00A40C1E"/>
    <w:rsid w:val="00A4133D"/>
    <w:rsid w:val="00A41515"/>
    <w:rsid w:val="00A416B6"/>
    <w:rsid w:val="00A41DA9"/>
    <w:rsid w:val="00A422D3"/>
    <w:rsid w:val="00A42B32"/>
    <w:rsid w:val="00A42CDF"/>
    <w:rsid w:val="00A43487"/>
    <w:rsid w:val="00A44929"/>
    <w:rsid w:val="00A44AAF"/>
    <w:rsid w:val="00A4511F"/>
    <w:rsid w:val="00A4559C"/>
    <w:rsid w:val="00A46876"/>
    <w:rsid w:val="00A47BB5"/>
    <w:rsid w:val="00A512D9"/>
    <w:rsid w:val="00A51C96"/>
    <w:rsid w:val="00A51CF3"/>
    <w:rsid w:val="00A53543"/>
    <w:rsid w:val="00A542CF"/>
    <w:rsid w:val="00A544F0"/>
    <w:rsid w:val="00A54A45"/>
    <w:rsid w:val="00A54A51"/>
    <w:rsid w:val="00A553DE"/>
    <w:rsid w:val="00A55FF4"/>
    <w:rsid w:val="00A565F9"/>
    <w:rsid w:val="00A56EC4"/>
    <w:rsid w:val="00A579B1"/>
    <w:rsid w:val="00A60425"/>
    <w:rsid w:val="00A60E6E"/>
    <w:rsid w:val="00A612B7"/>
    <w:rsid w:val="00A6357E"/>
    <w:rsid w:val="00A641C5"/>
    <w:rsid w:val="00A641D6"/>
    <w:rsid w:val="00A6500F"/>
    <w:rsid w:val="00A655A7"/>
    <w:rsid w:val="00A6652E"/>
    <w:rsid w:val="00A669B0"/>
    <w:rsid w:val="00A70257"/>
    <w:rsid w:val="00A71366"/>
    <w:rsid w:val="00A71618"/>
    <w:rsid w:val="00A719ED"/>
    <w:rsid w:val="00A71B15"/>
    <w:rsid w:val="00A71F81"/>
    <w:rsid w:val="00A7270D"/>
    <w:rsid w:val="00A73016"/>
    <w:rsid w:val="00A7359B"/>
    <w:rsid w:val="00A73BC8"/>
    <w:rsid w:val="00A7526E"/>
    <w:rsid w:val="00A75522"/>
    <w:rsid w:val="00A7566E"/>
    <w:rsid w:val="00A7577C"/>
    <w:rsid w:val="00A760DD"/>
    <w:rsid w:val="00A766E7"/>
    <w:rsid w:val="00A76C46"/>
    <w:rsid w:val="00A76EE2"/>
    <w:rsid w:val="00A7792C"/>
    <w:rsid w:val="00A8060D"/>
    <w:rsid w:val="00A80851"/>
    <w:rsid w:val="00A8091D"/>
    <w:rsid w:val="00A82A88"/>
    <w:rsid w:val="00A82D14"/>
    <w:rsid w:val="00A830D2"/>
    <w:rsid w:val="00A84BC3"/>
    <w:rsid w:val="00A860A3"/>
    <w:rsid w:val="00A87A62"/>
    <w:rsid w:val="00A901F7"/>
    <w:rsid w:val="00A914D2"/>
    <w:rsid w:val="00A92161"/>
    <w:rsid w:val="00A92B10"/>
    <w:rsid w:val="00A93B26"/>
    <w:rsid w:val="00A93CBE"/>
    <w:rsid w:val="00A944D2"/>
    <w:rsid w:val="00A946A5"/>
    <w:rsid w:val="00A94CC4"/>
    <w:rsid w:val="00A952F7"/>
    <w:rsid w:val="00A961F2"/>
    <w:rsid w:val="00A97EC4"/>
    <w:rsid w:val="00AA095D"/>
    <w:rsid w:val="00AA0C1A"/>
    <w:rsid w:val="00AA127F"/>
    <w:rsid w:val="00AA1619"/>
    <w:rsid w:val="00AA30C7"/>
    <w:rsid w:val="00AA4274"/>
    <w:rsid w:val="00AA4FFF"/>
    <w:rsid w:val="00AA727B"/>
    <w:rsid w:val="00AB1845"/>
    <w:rsid w:val="00AB21BD"/>
    <w:rsid w:val="00AB21C7"/>
    <w:rsid w:val="00AB2FE1"/>
    <w:rsid w:val="00AB33B9"/>
    <w:rsid w:val="00AB39E8"/>
    <w:rsid w:val="00AB512B"/>
    <w:rsid w:val="00AB568C"/>
    <w:rsid w:val="00AB739C"/>
    <w:rsid w:val="00AB759F"/>
    <w:rsid w:val="00AC0016"/>
    <w:rsid w:val="00AC090F"/>
    <w:rsid w:val="00AC0F85"/>
    <w:rsid w:val="00AC1507"/>
    <w:rsid w:val="00AC1F9C"/>
    <w:rsid w:val="00AC204F"/>
    <w:rsid w:val="00AC21DD"/>
    <w:rsid w:val="00AC57C6"/>
    <w:rsid w:val="00AC65F5"/>
    <w:rsid w:val="00AC79DE"/>
    <w:rsid w:val="00AD024E"/>
    <w:rsid w:val="00AD114A"/>
    <w:rsid w:val="00AD1282"/>
    <w:rsid w:val="00AD1CC5"/>
    <w:rsid w:val="00AD33CC"/>
    <w:rsid w:val="00AD3EAB"/>
    <w:rsid w:val="00AD417F"/>
    <w:rsid w:val="00AD41B7"/>
    <w:rsid w:val="00AD5154"/>
    <w:rsid w:val="00AD5666"/>
    <w:rsid w:val="00AD58DA"/>
    <w:rsid w:val="00AD6E47"/>
    <w:rsid w:val="00AD72D2"/>
    <w:rsid w:val="00AD75AE"/>
    <w:rsid w:val="00AE0BEF"/>
    <w:rsid w:val="00AE2999"/>
    <w:rsid w:val="00AE3125"/>
    <w:rsid w:val="00AE3553"/>
    <w:rsid w:val="00AE4187"/>
    <w:rsid w:val="00AE41E7"/>
    <w:rsid w:val="00AE7F8B"/>
    <w:rsid w:val="00AF01CC"/>
    <w:rsid w:val="00AF033D"/>
    <w:rsid w:val="00AF1E8C"/>
    <w:rsid w:val="00AF25B9"/>
    <w:rsid w:val="00AF2CD4"/>
    <w:rsid w:val="00AF432B"/>
    <w:rsid w:val="00AF4A47"/>
    <w:rsid w:val="00AF53F3"/>
    <w:rsid w:val="00AF5B1C"/>
    <w:rsid w:val="00AF62FA"/>
    <w:rsid w:val="00AF635C"/>
    <w:rsid w:val="00AF6E92"/>
    <w:rsid w:val="00AF7B4E"/>
    <w:rsid w:val="00B001E3"/>
    <w:rsid w:val="00B00F1F"/>
    <w:rsid w:val="00B0111F"/>
    <w:rsid w:val="00B022E5"/>
    <w:rsid w:val="00B02C3F"/>
    <w:rsid w:val="00B03777"/>
    <w:rsid w:val="00B037D9"/>
    <w:rsid w:val="00B03C61"/>
    <w:rsid w:val="00B03ED7"/>
    <w:rsid w:val="00B040C6"/>
    <w:rsid w:val="00B0470A"/>
    <w:rsid w:val="00B047DD"/>
    <w:rsid w:val="00B04B38"/>
    <w:rsid w:val="00B04CE7"/>
    <w:rsid w:val="00B06793"/>
    <w:rsid w:val="00B07C47"/>
    <w:rsid w:val="00B10000"/>
    <w:rsid w:val="00B10C0D"/>
    <w:rsid w:val="00B1176B"/>
    <w:rsid w:val="00B11E43"/>
    <w:rsid w:val="00B1272D"/>
    <w:rsid w:val="00B1291A"/>
    <w:rsid w:val="00B131EE"/>
    <w:rsid w:val="00B165B2"/>
    <w:rsid w:val="00B16973"/>
    <w:rsid w:val="00B16AC7"/>
    <w:rsid w:val="00B16B4A"/>
    <w:rsid w:val="00B16D7A"/>
    <w:rsid w:val="00B172A3"/>
    <w:rsid w:val="00B202C3"/>
    <w:rsid w:val="00B20B39"/>
    <w:rsid w:val="00B21DB8"/>
    <w:rsid w:val="00B21F84"/>
    <w:rsid w:val="00B2203C"/>
    <w:rsid w:val="00B226AE"/>
    <w:rsid w:val="00B22713"/>
    <w:rsid w:val="00B230CD"/>
    <w:rsid w:val="00B23352"/>
    <w:rsid w:val="00B23A45"/>
    <w:rsid w:val="00B245D8"/>
    <w:rsid w:val="00B261DD"/>
    <w:rsid w:val="00B27110"/>
    <w:rsid w:val="00B271FC"/>
    <w:rsid w:val="00B275B3"/>
    <w:rsid w:val="00B27725"/>
    <w:rsid w:val="00B30033"/>
    <w:rsid w:val="00B30A3A"/>
    <w:rsid w:val="00B31477"/>
    <w:rsid w:val="00B3269F"/>
    <w:rsid w:val="00B32B07"/>
    <w:rsid w:val="00B331AA"/>
    <w:rsid w:val="00B33CD9"/>
    <w:rsid w:val="00B34189"/>
    <w:rsid w:val="00B347EC"/>
    <w:rsid w:val="00B359E4"/>
    <w:rsid w:val="00B35D75"/>
    <w:rsid w:val="00B35DB5"/>
    <w:rsid w:val="00B3750C"/>
    <w:rsid w:val="00B377E0"/>
    <w:rsid w:val="00B37961"/>
    <w:rsid w:val="00B41958"/>
    <w:rsid w:val="00B41A6A"/>
    <w:rsid w:val="00B42200"/>
    <w:rsid w:val="00B432BF"/>
    <w:rsid w:val="00B44FB0"/>
    <w:rsid w:val="00B45EBF"/>
    <w:rsid w:val="00B4634E"/>
    <w:rsid w:val="00B46B69"/>
    <w:rsid w:val="00B46F0C"/>
    <w:rsid w:val="00B512E1"/>
    <w:rsid w:val="00B52107"/>
    <w:rsid w:val="00B54396"/>
    <w:rsid w:val="00B55497"/>
    <w:rsid w:val="00B55DAF"/>
    <w:rsid w:val="00B56251"/>
    <w:rsid w:val="00B567F3"/>
    <w:rsid w:val="00B5693F"/>
    <w:rsid w:val="00B57633"/>
    <w:rsid w:val="00B57646"/>
    <w:rsid w:val="00B57B63"/>
    <w:rsid w:val="00B57C12"/>
    <w:rsid w:val="00B601BE"/>
    <w:rsid w:val="00B60968"/>
    <w:rsid w:val="00B61BF2"/>
    <w:rsid w:val="00B61D17"/>
    <w:rsid w:val="00B63AB5"/>
    <w:rsid w:val="00B64C09"/>
    <w:rsid w:val="00B6592C"/>
    <w:rsid w:val="00B67D99"/>
    <w:rsid w:val="00B700E2"/>
    <w:rsid w:val="00B70198"/>
    <w:rsid w:val="00B71B87"/>
    <w:rsid w:val="00B71DC0"/>
    <w:rsid w:val="00B722C3"/>
    <w:rsid w:val="00B72FC4"/>
    <w:rsid w:val="00B73E49"/>
    <w:rsid w:val="00B746CE"/>
    <w:rsid w:val="00B748A6"/>
    <w:rsid w:val="00B74BB6"/>
    <w:rsid w:val="00B75920"/>
    <w:rsid w:val="00B75A6E"/>
    <w:rsid w:val="00B75B78"/>
    <w:rsid w:val="00B75EC4"/>
    <w:rsid w:val="00B76AB5"/>
    <w:rsid w:val="00B77165"/>
    <w:rsid w:val="00B77EB6"/>
    <w:rsid w:val="00B81145"/>
    <w:rsid w:val="00B82746"/>
    <w:rsid w:val="00B8571F"/>
    <w:rsid w:val="00B85D97"/>
    <w:rsid w:val="00B85E88"/>
    <w:rsid w:val="00B86A91"/>
    <w:rsid w:val="00B86D1F"/>
    <w:rsid w:val="00B86EC9"/>
    <w:rsid w:val="00B8758F"/>
    <w:rsid w:val="00B87C64"/>
    <w:rsid w:val="00B911B0"/>
    <w:rsid w:val="00B915D8"/>
    <w:rsid w:val="00B921CA"/>
    <w:rsid w:val="00B92741"/>
    <w:rsid w:val="00B93079"/>
    <w:rsid w:val="00B93DDC"/>
    <w:rsid w:val="00B94498"/>
    <w:rsid w:val="00B94AA0"/>
    <w:rsid w:val="00B96A02"/>
    <w:rsid w:val="00BA03CB"/>
    <w:rsid w:val="00BA055E"/>
    <w:rsid w:val="00BA0E3A"/>
    <w:rsid w:val="00BA16F1"/>
    <w:rsid w:val="00BA282D"/>
    <w:rsid w:val="00BA36A8"/>
    <w:rsid w:val="00BA3717"/>
    <w:rsid w:val="00BA4051"/>
    <w:rsid w:val="00BA51C2"/>
    <w:rsid w:val="00BA5930"/>
    <w:rsid w:val="00BA5AE9"/>
    <w:rsid w:val="00BA5CDB"/>
    <w:rsid w:val="00BA69FD"/>
    <w:rsid w:val="00BA739C"/>
    <w:rsid w:val="00BA7A52"/>
    <w:rsid w:val="00BA7D45"/>
    <w:rsid w:val="00BA7D84"/>
    <w:rsid w:val="00BB06BE"/>
    <w:rsid w:val="00BB09BB"/>
    <w:rsid w:val="00BB0DE3"/>
    <w:rsid w:val="00BB1639"/>
    <w:rsid w:val="00BB1780"/>
    <w:rsid w:val="00BB24C4"/>
    <w:rsid w:val="00BB2703"/>
    <w:rsid w:val="00BB374F"/>
    <w:rsid w:val="00BB3953"/>
    <w:rsid w:val="00BB3FB1"/>
    <w:rsid w:val="00BB4675"/>
    <w:rsid w:val="00BB7A04"/>
    <w:rsid w:val="00BB7EBF"/>
    <w:rsid w:val="00BC01D5"/>
    <w:rsid w:val="00BC04E0"/>
    <w:rsid w:val="00BC1186"/>
    <w:rsid w:val="00BC1924"/>
    <w:rsid w:val="00BC1A08"/>
    <w:rsid w:val="00BC272D"/>
    <w:rsid w:val="00BC376A"/>
    <w:rsid w:val="00BC4C27"/>
    <w:rsid w:val="00BC65FD"/>
    <w:rsid w:val="00BC6CDD"/>
    <w:rsid w:val="00BC71F5"/>
    <w:rsid w:val="00BD02C7"/>
    <w:rsid w:val="00BD078C"/>
    <w:rsid w:val="00BD15BD"/>
    <w:rsid w:val="00BD164D"/>
    <w:rsid w:val="00BD2284"/>
    <w:rsid w:val="00BD2C6A"/>
    <w:rsid w:val="00BD2EB8"/>
    <w:rsid w:val="00BD2F8B"/>
    <w:rsid w:val="00BD5301"/>
    <w:rsid w:val="00BD5B03"/>
    <w:rsid w:val="00BD6521"/>
    <w:rsid w:val="00BD683F"/>
    <w:rsid w:val="00BD6ED1"/>
    <w:rsid w:val="00BE0298"/>
    <w:rsid w:val="00BE0666"/>
    <w:rsid w:val="00BE0712"/>
    <w:rsid w:val="00BE169B"/>
    <w:rsid w:val="00BE2FA6"/>
    <w:rsid w:val="00BE3154"/>
    <w:rsid w:val="00BE3CBA"/>
    <w:rsid w:val="00BE3EB5"/>
    <w:rsid w:val="00BE3F1B"/>
    <w:rsid w:val="00BE4141"/>
    <w:rsid w:val="00BE544A"/>
    <w:rsid w:val="00BE5855"/>
    <w:rsid w:val="00BE69E3"/>
    <w:rsid w:val="00BE7A74"/>
    <w:rsid w:val="00BF0031"/>
    <w:rsid w:val="00BF0137"/>
    <w:rsid w:val="00BF1133"/>
    <w:rsid w:val="00BF1776"/>
    <w:rsid w:val="00BF1EB5"/>
    <w:rsid w:val="00BF2400"/>
    <w:rsid w:val="00BF285E"/>
    <w:rsid w:val="00BF2BF0"/>
    <w:rsid w:val="00BF2F09"/>
    <w:rsid w:val="00BF36B7"/>
    <w:rsid w:val="00BF3A3F"/>
    <w:rsid w:val="00BF40F1"/>
    <w:rsid w:val="00BF598D"/>
    <w:rsid w:val="00BF5AE5"/>
    <w:rsid w:val="00BF7049"/>
    <w:rsid w:val="00C01074"/>
    <w:rsid w:val="00C0131C"/>
    <w:rsid w:val="00C03BC8"/>
    <w:rsid w:val="00C03CB0"/>
    <w:rsid w:val="00C04179"/>
    <w:rsid w:val="00C04ACF"/>
    <w:rsid w:val="00C05909"/>
    <w:rsid w:val="00C063F5"/>
    <w:rsid w:val="00C06C39"/>
    <w:rsid w:val="00C07439"/>
    <w:rsid w:val="00C075CC"/>
    <w:rsid w:val="00C1159D"/>
    <w:rsid w:val="00C133D2"/>
    <w:rsid w:val="00C138B5"/>
    <w:rsid w:val="00C13B56"/>
    <w:rsid w:val="00C143CC"/>
    <w:rsid w:val="00C14C4F"/>
    <w:rsid w:val="00C212E8"/>
    <w:rsid w:val="00C21E02"/>
    <w:rsid w:val="00C22BCB"/>
    <w:rsid w:val="00C22E20"/>
    <w:rsid w:val="00C2397B"/>
    <w:rsid w:val="00C24677"/>
    <w:rsid w:val="00C2591B"/>
    <w:rsid w:val="00C26D9F"/>
    <w:rsid w:val="00C26F05"/>
    <w:rsid w:val="00C27685"/>
    <w:rsid w:val="00C27740"/>
    <w:rsid w:val="00C27E75"/>
    <w:rsid w:val="00C30587"/>
    <w:rsid w:val="00C3280A"/>
    <w:rsid w:val="00C33149"/>
    <w:rsid w:val="00C3320F"/>
    <w:rsid w:val="00C33592"/>
    <w:rsid w:val="00C343CC"/>
    <w:rsid w:val="00C3504C"/>
    <w:rsid w:val="00C35173"/>
    <w:rsid w:val="00C35265"/>
    <w:rsid w:val="00C36B47"/>
    <w:rsid w:val="00C375C1"/>
    <w:rsid w:val="00C3780E"/>
    <w:rsid w:val="00C37871"/>
    <w:rsid w:val="00C408FE"/>
    <w:rsid w:val="00C40FF6"/>
    <w:rsid w:val="00C41186"/>
    <w:rsid w:val="00C41DE2"/>
    <w:rsid w:val="00C42D73"/>
    <w:rsid w:val="00C42DBC"/>
    <w:rsid w:val="00C42DD0"/>
    <w:rsid w:val="00C437A8"/>
    <w:rsid w:val="00C43B26"/>
    <w:rsid w:val="00C446A0"/>
    <w:rsid w:val="00C45ACA"/>
    <w:rsid w:val="00C46503"/>
    <w:rsid w:val="00C47CA3"/>
    <w:rsid w:val="00C5137C"/>
    <w:rsid w:val="00C51C48"/>
    <w:rsid w:val="00C5266E"/>
    <w:rsid w:val="00C53B4D"/>
    <w:rsid w:val="00C54CA7"/>
    <w:rsid w:val="00C562FA"/>
    <w:rsid w:val="00C57CB1"/>
    <w:rsid w:val="00C60466"/>
    <w:rsid w:val="00C60C9B"/>
    <w:rsid w:val="00C61743"/>
    <w:rsid w:val="00C6236E"/>
    <w:rsid w:val="00C62C80"/>
    <w:rsid w:val="00C631C1"/>
    <w:rsid w:val="00C63EF5"/>
    <w:rsid w:val="00C64044"/>
    <w:rsid w:val="00C6447C"/>
    <w:rsid w:val="00C66E10"/>
    <w:rsid w:val="00C679CE"/>
    <w:rsid w:val="00C67F81"/>
    <w:rsid w:val="00C7044D"/>
    <w:rsid w:val="00C70B95"/>
    <w:rsid w:val="00C714BB"/>
    <w:rsid w:val="00C71E55"/>
    <w:rsid w:val="00C74537"/>
    <w:rsid w:val="00C74A69"/>
    <w:rsid w:val="00C74D64"/>
    <w:rsid w:val="00C74F3A"/>
    <w:rsid w:val="00C754B4"/>
    <w:rsid w:val="00C764B9"/>
    <w:rsid w:val="00C76B24"/>
    <w:rsid w:val="00C76E09"/>
    <w:rsid w:val="00C8025A"/>
    <w:rsid w:val="00C80298"/>
    <w:rsid w:val="00C81F13"/>
    <w:rsid w:val="00C83427"/>
    <w:rsid w:val="00C83BCC"/>
    <w:rsid w:val="00C8505E"/>
    <w:rsid w:val="00C86DE9"/>
    <w:rsid w:val="00C901EC"/>
    <w:rsid w:val="00C90471"/>
    <w:rsid w:val="00C907B6"/>
    <w:rsid w:val="00C927D5"/>
    <w:rsid w:val="00C92A72"/>
    <w:rsid w:val="00C93B1A"/>
    <w:rsid w:val="00C95EF3"/>
    <w:rsid w:val="00C961F4"/>
    <w:rsid w:val="00C968C6"/>
    <w:rsid w:val="00CA05B7"/>
    <w:rsid w:val="00CA0C5B"/>
    <w:rsid w:val="00CA0E3A"/>
    <w:rsid w:val="00CA0F76"/>
    <w:rsid w:val="00CA1512"/>
    <w:rsid w:val="00CA1D22"/>
    <w:rsid w:val="00CA1EDF"/>
    <w:rsid w:val="00CA46FB"/>
    <w:rsid w:val="00CA4C74"/>
    <w:rsid w:val="00CA55EF"/>
    <w:rsid w:val="00CA6E19"/>
    <w:rsid w:val="00CA71E9"/>
    <w:rsid w:val="00CA72C9"/>
    <w:rsid w:val="00CA7A6F"/>
    <w:rsid w:val="00CB03FB"/>
    <w:rsid w:val="00CB19C9"/>
    <w:rsid w:val="00CB2535"/>
    <w:rsid w:val="00CB3008"/>
    <w:rsid w:val="00CB52F2"/>
    <w:rsid w:val="00CB5D58"/>
    <w:rsid w:val="00CC0229"/>
    <w:rsid w:val="00CC081B"/>
    <w:rsid w:val="00CC1817"/>
    <w:rsid w:val="00CC28CA"/>
    <w:rsid w:val="00CC2C3F"/>
    <w:rsid w:val="00CC3018"/>
    <w:rsid w:val="00CC3DD5"/>
    <w:rsid w:val="00CC53DB"/>
    <w:rsid w:val="00CC7681"/>
    <w:rsid w:val="00CC7985"/>
    <w:rsid w:val="00CD03AB"/>
    <w:rsid w:val="00CD1428"/>
    <w:rsid w:val="00CD1E77"/>
    <w:rsid w:val="00CD2421"/>
    <w:rsid w:val="00CD299A"/>
    <w:rsid w:val="00CD31CE"/>
    <w:rsid w:val="00CD3297"/>
    <w:rsid w:val="00CD37D4"/>
    <w:rsid w:val="00CD4622"/>
    <w:rsid w:val="00CD49E4"/>
    <w:rsid w:val="00CD5402"/>
    <w:rsid w:val="00CD5A59"/>
    <w:rsid w:val="00CD5C28"/>
    <w:rsid w:val="00CD6AAC"/>
    <w:rsid w:val="00CD76CF"/>
    <w:rsid w:val="00CE0D2B"/>
    <w:rsid w:val="00CE14FC"/>
    <w:rsid w:val="00CE219F"/>
    <w:rsid w:val="00CE3145"/>
    <w:rsid w:val="00CE41D3"/>
    <w:rsid w:val="00CE41E3"/>
    <w:rsid w:val="00CE488A"/>
    <w:rsid w:val="00CE5660"/>
    <w:rsid w:val="00CE5785"/>
    <w:rsid w:val="00CE6147"/>
    <w:rsid w:val="00CE6418"/>
    <w:rsid w:val="00CE66F3"/>
    <w:rsid w:val="00CF0E31"/>
    <w:rsid w:val="00CF0FE2"/>
    <w:rsid w:val="00CF21B4"/>
    <w:rsid w:val="00CF5E72"/>
    <w:rsid w:val="00D01DDE"/>
    <w:rsid w:val="00D02B51"/>
    <w:rsid w:val="00D03CF5"/>
    <w:rsid w:val="00D03FD1"/>
    <w:rsid w:val="00D04EE3"/>
    <w:rsid w:val="00D05CC0"/>
    <w:rsid w:val="00D05DF5"/>
    <w:rsid w:val="00D05E05"/>
    <w:rsid w:val="00D06433"/>
    <w:rsid w:val="00D064AB"/>
    <w:rsid w:val="00D07333"/>
    <w:rsid w:val="00D07671"/>
    <w:rsid w:val="00D07D52"/>
    <w:rsid w:val="00D1037E"/>
    <w:rsid w:val="00D103F3"/>
    <w:rsid w:val="00D10CE6"/>
    <w:rsid w:val="00D10DE4"/>
    <w:rsid w:val="00D10E2F"/>
    <w:rsid w:val="00D11134"/>
    <w:rsid w:val="00D1182C"/>
    <w:rsid w:val="00D1299A"/>
    <w:rsid w:val="00D12CF8"/>
    <w:rsid w:val="00D12FED"/>
    <w:rsid w:val="00D13BEE"/>
    <w:rsid w:val="00D1413C"/>
    <w:rsid w:val="00D15418"/>
    <w:rsid w:val="00D15D03"/>
    <w:rsid w:val="00D16549"/>
    <w:rsid w:val="00D1683A"/>
    <w:rsid w:val="00D16C7D"/>
    <w:rsid w:val="00D1744B"/>
    <w:rsid w:val="00D17A32"/>
    <w:rsid w:val="00D17F08"/>
    <w:rsid w:val="00D20909"/>
    <w:rsid w:val="00D20B0C"/>
    <w:rsid w:val="00D21177"/>
    <w:rsid w:val="00D21591"/>
    <w:rsid w:val="00D21CEA"/>
    <w:rsid w:val="00D2203B"/>
    <w:rsid w:val="00D22732"/>
    <w:rsid w:val="00D23BB9"/>
    <w:rsid w:val="00D2564B"/>
    <w:rsid w:val="00D25AD0"/>
    <w:rsid w:val="00D2625D"/>
    <w:rsid w:val="00D26A42"/>
    <w:rsid w:val="00D27E54"/>
    <w:rsid w:val="00D306F3"/>
    <w:rsid w:val="00D30AEE"/>
    <w:rsid w:val="00D30C79"/>
    <w:rsid w:val="00D30FA0"/>
    <w:rsid w:val="00D31D75"/>
    <w:rsid w:val="00D32C10"/>
    <w:rsid w:val="00D3540E"/>
    <w:rsid w:val="00D3557D"/>
    <w:rsid w:val="00D358E2"/>
    <w:rsid w:val="00D3679A"/>
    <w:rsid w:val="00D36B34"/>
    <w:rsid w:val="00D41CD1"/>
    <w:rsid w:val="00D4207E"/>
    <w:rsid w:val="00D42FD6"/>
    <w:rsid w:val="00D44277"/>
    <w:rsid w:val="00D454A5"/>
    <w:rsid w:val="00D45C9B"/>
    <w:rsid w:val="00D45DE0"/>
    <w:rsid w:val="00D47179"/>
    <w:rsid w:val="00D4746D"/>
    <w:rsid w:val="00D50403"/>
    <w:rsid w:val="00D509CF"/>
    <w:rsid w:val="00D516BA"/>
    <w:rsid w:val="00D517F9"/>
    <w:rsid w:val="00D519B3"/>
    <w:rsid w:val="00D51F32"/>
    <w:rsid w:val="00D55D4E"/>
    <w:rsid w:val="00D567F2"/>
    <w:rsid w:val="00D5732F"/>
    <w:rsid w:val="00D579CB"/>
    <w:rsid w:val="00D607CA"/>
    <w:rsid w:val="00D60A5B"/>
    <w:rsid w:val="00D60ADA"/>
    <w:rsid w:val="00D61E33"/>
    <w:rsid w:val="00D6205F"/>
    <w:rsid w:val="00D623A4"/>
    <w:rsid w:val="00D641C2"/>
    <w:rsid w:val="00D646A4"/>
    <w:rsid w:val="00D653F5"/>
    <w:rsid w:val="00D662D8"/>
    <w:rsid w:val="00D67194"/>
    <w:rsid w:val="00D672CD"/>
    <w:rsid w:val="00D67C5D"/>
    <w:rsid w:val="00D67F34"/>
    <w:rsid w:val="00D700ED"/>
    <w:rsid w:val="00D705EC"/>
    <w:rsid w:val="00D71159"/>
    <w:rsid w:val="00D722CA"/>
    <w:rsid w:val="00D73865"/>
    <w:rsid w:val="00D744FC"/>
    <w:rsid w:val="00D75467"/>
    <w:rsid w:val="00D75761"/>
    <w:rsid w:val="00D762D8"/>
    <w:rsid w:val="00D774A4"/>
    <w:rsid w:val="00D77F99"/>
    <w:rsid w:val="00D80529"/>
    <w:rsid w:val="00D81A1F"/>
    <w:rsid w:val="00D81B9C"/>
    <w:rsid w:val="00D82337"/>
    <w:rsid w:val="00D844C5"/>
    <w:rsid w:val="00D85B3A"/>
    <w:rsid w:val="00D85BC8"/>
    <w:rsid w:val="00D87FB8"/>
    <w:rsid w:val="00D90A70"/>
    <w:rsid w:val="00D912A7"/>
    <w:rsid w:val="00D91336"/>
    <w:rsid w:val="00D9278C"/>
    <w:rsid w:val="00D92D21"/>
    <w:rsid w:val="00D94BD6"/>
    <w:rsid w:val="00D9516D"/>
    <w:rsid w:val="00D959B5"/>
    <w:rsid w:val="00D969B0"/>
    <w:rsid w:val="00DA0BB0"/>
    <w:rsid w:val="00DA2550"/>
    <w:rsid w:val="00DA371E"/>
    <w:rsid w:val="00DA3A5A"/>
    <w:rsid w:val="00DA3BCB"/>
    <w:rsid w:val="00DA42FE"/>
    <w:rsid w:val="00DA4472"/>
    <w:rsid w:val="00DA4AC8"/>
    <w:rsid w:val="00DA4F11"/>
    <w:rsid w:val="00DA529F"/>
    <w:rsid w:val="00DA54CB"/>
    <w:rsid w:val="00DA569A"/>
    <w:rsid w:val="00DA5788"/>
    <w:rsid w:val="00DA625F"/>
    <w:rsid w:val="00DA7453"/>
    <w:rsid w:val="00DA7462"/>
    <w:rsid w:val="00DB00B9"/>
    <w:rsid w:val="00DB02FB"/>
    <w:rsid w:val="00DB0A45"/>
    <w:rsid w:val="00DB0A57"/>
    <w:rsid w:val="00DB13E3"/>
    <w:rsid w:val="00DB19EB"/>
    <w:rsid w:val="00DB23B7"/>
    <w:rsid w:val="00DB2C17"/>
    <w:rsid w:val="00DB2DAE"/>
    <w:rsid w:val="00DB32D0"/>
    <w:rsid w:val="00DB3518"/>
    <w:rsid w:val="00DB3572"/>
    <w:rsid w:val="00DB449E"/>
    <w:rsid w:val="00DB4698"/>
    <w:rsid w:val="00DB55AF"/>
    <w:rsid w:val="00DB5FA0"/>
    <w:rsid w:val="00DB6C46"/>
    <w:rsid w:val="00DB7A06"/>
    <w:rsid w:val="00DC038A"/>
    <w:rsid w:val="00DC2755"/>
    <w:rsid w:val="00DC2A9B"/>
    <w:rsid w:val="00DC2DAA"/>
    <w:rsid w:val="00DC3401"/>
    <w:rsid w:val="00DC45F4"/>
    <w:rsid w:val="00DC4662"/>
    <w:rsid w:val="00DC4E42"/>
    <w:rsid w:val="00DC5C46"/>
    <w:rsid w:val="00DC6BA2"/>
    <w:rsid w:val="00DD494C"/>
    <w:rsid w:val="00DD57B4"/>
    <w:rsid w:val="00DD5E6E"/>
    <w:rsid w:val="00DD6486"/>
    <w:rsid w:val="00DD68D0"/>
    <w:rsid w:val="00DD7535"/>
    <w:rsid w:val="00DD783E"/>
    <w:rsid w:val="00DD7D07"/>
    <w:rsid w:val="00DE08DB"/>
    <w:rsid w:val="00DE0E18"/>
    <w:rsid w:val="00DE1CD5"/>
    <w:rsid w:val="00DE55E6"/>
    <w:rsid w:val="00DE6DC8"/>
    <w:rsid w:val="00DE7794"/>
    <w:rsid w:val="00DE79F7"/>
    <w:rsid w:val="00DF18FF"/>
    <w:rsid w:val="00DF19AD"/>
    <w:rsid w:val="00DF346C"/>
    <w:rsid w:val="00DF38C1"/>
    <w:rsid w:val="00DF3CF3"/>
    <w:rsid w:val="00DF4519"/>
    <w:rsid w:val="00DF476B"/>
    <w:rsid w:val="00DF4F2A"/>
    <w:rsid w:val="00DF5C3C"/>
    <w:rsid w:val="00DF5C46"/>
    <w:rsid w:val="00DF6D79"/>
    <w:rsid w:val="00DF766E"/>
    <w:rsid w:val="00DF7EAE"/>
    <w:rsid w:val="00E0060A"/>
    <w:rsid w:val="00E011AC"/>
    <w:rsid w:val="00E01F3F"/>
    <w:rsid w:val="00E03156"/>
    <w:rsid w:val="00E037EE"/>
    <w:rsid w:val="00E03809"/>
    <w:rsid w:val="00E04075"/>
    <w:rsid w:val="00E05E01"/>
    <w:rsid w:val="00E06EC4"/>
    <w:rsid w:val="00E07585"/>
    <w:rsid w:val="00E0769B"/>
    <w:rsid w:val="00E07E7A"/>
    <w:rsid w:val="00E07EE1"/>
    <w:rsid w:val="00E12BC7"/>
    <w:rsid w:val="00E13024"/>
    <w:rsid w:val="00E15065"/>
    <w:rsid w:val="00E15C68"/>
    <w:rsid w:val="00E176B7"/>
    <w:rsid w:val="00E2026F"/>
    <w:rsid w:val="00E2103B"/>
    <w:rsid w:val="00E22687"/>
    <w:rsid w:val="00E24696"/>
    <w:rsid w:val="00E247FB"/>
    <w:rsid w:val="00E24A4B"/>
    <w:rsid w:val="00E24F16"/>
    <w:rsid w:val="00E25EE0"/>
    <w:rsid w:val="00E26E78"/>
    <w:rsid w:val="00E27A6B"/>
    <w:rsid w:val="00E31644"/>
    <w:rsid w:val="00E32220"/>
    <w:rsid w:val="00E33052"/>
    <w:rsid w:val="00E3333F"/>
    <w:rsid w:val="00E334F9"/>
    <w:rsid w:val="00E33DF5"/>
    <w:rsid w:val="00E37D78"/>
    <w:rsid w:val="00E37E0B"/>
    <w:rsid w:val="00E404C0"/>
    <w:rsid w:val="00E4063B"/>
    <w:rsid w:val="00E4071D"/>
    <w:rsid w:val="00E40831"/>
    <w:rsid w:val="00E42F71"/>
    <w:rsid w:val="00E43224"/>
    <w:rsid w:val="00E43378"/>
    <w:rsid w:val="00E441E7"/>
    <w:rsid w:val="00E448BB"/>
    <w:rsid w:val="00E4518E"/>
    <w:rsid w:val="00E452C4"/>
    <w:rsid w:val="00E4579D"/>
    <w:rsid w:val="00E45821"/>
    <w:rsid w:val="00E45975"/>
    <w:rsid w:val="00E46530"/>
    <w:rsid w:val="00E4681B"/>
    <w:rsid w:val="00E473C6"/>
    <w:rsid w:val="00E47C2D"/>
    <w:rsid w:val="00E47F79"/>
    <w:rsid w:val="00E503C1"/>
    <w:rsid w:val="00E509AE"/>
    <w:rsid w:val="00E509BC"/>
    <w:rsid w:val="00E5185B"/>
    <w:rsid w:val="00E52A58"/>
    <w:rsid w:val="00E53CB7"/>
    <w:rsid w:val="00E565CD"/>
    <w:rsid w:val="00E57794"/>
    <w:rsid w:val="00E60062"/>
    <w:rsid w:val="00E603F5"/>
    <w:rsid w:val="00E60EBB"/>
    <w:rsid w:val="00E6107A"/>
    <w:rsid w:val="00E61AC4"/>
    <w:rsid w:val="00E620C7"/>
    <w:rsid w:val="00E6265E"/>
    <w:rsid w:val="00E64430"/>
    <w:rsid w:val="00E647E9"/>
    <w:rsid w:val="00E66295"/>
    <w:rsid w:val="00E67232"/>
    <w:rsid w:val="00E70029"/>
    <w:rsid w:val="00E7245B"/>
    <w:rsid w:val="00E72635"/>
    <w:rsid w:val="00E729F8"/>
    <w:rsid w:val="00E72F38"/>
    <w:rsid w:val="00E73E76"/>
    <w:rsid w:val="00E747CD"/>
    <w:rsid w:val="00E74933"/>
    <w:rsid w:val="00E75DE5"/>
    <w:rsid w:val="00E76DE9"/>
    <w:rsid w:val="00E80283"/>
    <w:rsid w:val="00E813EF"/>
    <w:rsid w:val="00E81AB8"/>
    <w:rsid w:val="00E829A9"/>
    <w:rsid w:val="00E83BF2"/>
    <w:rsid w:val="00E841E4"/>
    <w:rsid w:val="00E84A1D"/>
    <w:rsid w:val="00E84A51"/>
    <w:rsid w:val="00E85359"/>
    <w:rsid w:val="00E87EAA"/>
    <w:rsid w:val="00E9060D"/>
    <w:rsid w:val="00E917E0"/>
    <w:rsid w:val="00E92A36"/>
    <w:rsid w:val="00E93530"/>
    <w:rsid w:val="00E9436C"/>
    <w:rsid w:val="00E9446A"/>
    <w:rsid w:val="00E950C9"/>
    <w:rsid w:val="00E9600F"/>
    <w:rsid w:val="00E96524"/>
    <w:rsid w:val="00E96BF9"/>
    <w:rsid w:val="00E96C36"/>
    <w:rsid w:val="00E97EF4"/>
    <w:rsid w:val="00EA19A8"/>
    <w:rsid w:val="00EA243A"/>
    <w:rsid w:val="00EA2633"/>
    <w:rsid w:val="00EA2719"/>
    <w:rsid w:val="00EA2C20"/>
    <w:rsid w:val="00EA3674"/>
    <w:rsid w:val="00EA36D3"/>
    <w:rsid w:val="00EA381A"/>
    <w:rsid w:val="00EA39A5"/>
    <w:rsid w:val="00EA6CBC"/>
    <w:rsid w:val="00EA7C77"/>
    <w:rsid w:val="00EA7E38"/>
    <w:rsid w:val="00EB017F"/>
    <w:rsid w:val="00EB1188"/>
    <w:rsid w:val="00EB15E1"/>
    <w:rsid w:val="00EB23A9"/>
    <w:rsid w:val="00EB37BE"/>
    <w:rsid w:val="00EB3CD1"/>
    <w:rsid w:val="00EB3CEC"/>
    <w:rsid w:val="00EB56C7"/>
    <w:rsid w:val="00EB699F"/>
    <w:rsid w:val="00EC08D0"/>
    <w:rsid w:val="00EC0C37"/>
    <w:rsid w:val="00EC22AC"/>
    <w:rsid w:val="00EC2659"/>
    <w:rsid w:val="00EC29B0"/>
    <w:rsid w:val="00EC405C"/>
    <w:rsid w:val="00EC44BB"/>
    <w:rsid w:val="00EC4CBB"/>
    <w:rsid w:val="00EC54BD"/>
    <w:rsid w:val="00EC5B5F"/>
    <w:rsid w:val="00EC63B7"/>
    <w:rsid w:val="00EC68B6"/>
    <w:rsid w:val="00EC6F87"/>
    <w:rsid w:val="00EC7AB4"/>
    <w:rsid w:val="00ED08DB"/>
    <w:rsid w:val="00ED15AD"/>
    <w:rsid w:val="00ED1604"/>
    <w:rsid w:val="00ED1880"/>
    <w:rsid w:val="00ED20BB"/>
    <w:rsid w:val="00ED21EC"/>
    <w:rsid w:val="00ED3D63"/>
    <w:rsid w:val="00ED498E"/>
    <w:rsid w:val="00ED5C58"/>
    <w:rsid w:val="00ED5C98"/>
    <w:rsid w:val="00ED5CCF"/>
    <w:rsid w:val="00EE0F08"/>
    <w:rsid w:val="00EE13B2"/>
    <w:rsid w:val="00EE17EE"/>
    <w:rsid w:val="00EE4250"/>
    <w:rsid w:val="00EE44D8"/>
    <w:rsid w:val="00EE4714"/>
    <w:rsid w:val="00EE48E2"/>
    <w:rsid w:val="00EE4D4E"/>
    <w:rsid w:val="00EE5506"/>
    <w:rsid w:val="00EE59ED"/>
    <w:rsid w:val="00EE5CE5"/>
    <w:rsid w:val="00EE5F5F"/>
    <w:rsid w:val="00EE69C4"/>
    <w:rsid w:val="00EE7BC3"/>
    <w:rsid w:val="00EF0539"/>
    <w:rsid w:val="00EF1413"/>
    <w:rsid w:val="00EF1AB5"/>
    <w:rsid w:val="00EF228D"/>
    <w:rsid w:val="00EF2ECD"/>
    <w:rsid w:val="00EF2F47"/>
    <w:rsid w:val="00EF34DB"/>
    <w:rsid w:val="00EF3D48"/>
    <w:rsid w:val="00EF57DF"/>
    <w:rsid w:val="00EF71AA"/>
    <w:rsid w:val="00EF773E"/>
    <w:rsid w:val="00F0067B"/>
    <w:rsid w:val="00F01BB8"/>
    <w:rsid w:val="00F02042"/>
    <w:rsid w:val="00F0232A"/>
    <w:rsid w:val="00F036C3"/>
    <w:rsid w:val="00F0453F"/>
    <w:rsid w:val="00F04EF9"/>
    <w:rsid w:val="00F05887"/>
    <w:rsid w:val="00F06107"/>
    <w:rsid w:val="00F06741"/>
    <w:rsid w:val="00F07317"/>
    <w:rsid w:val="00F07494"/>
    <w:rsid w:val="00F10141"/>
    <w:rsid w:val="00F10678"/>
    <w:rsid w:val="00F1170F"/>
    <w:rsid w:val="00F11745"/>
    <w:rsid w:val="00F11B2D"/>
    <w:rsid w:val="00F126E8"/>
    <w:rsid w:val="00F1499D"/>
    <w:rsid w:val="00F14C07"/>
    <w:rsid w:val="00F17377"/>
    <w:rsid w:val="00F179FA"/>
    <w:rsid w:val="00F20341"/>
    <w:rsid w:val="00F208A3"/>
    <w:rsid w:val="00F2239F"/>
    <w:rsid w:val="00F228E1"/>
    <w:rsid w:val="00F233F4"/>
    <w:rsid w:val="00F2400D"/>
    <w:rsid w:val="00F2463A"/>
    <w:rsid w:val="00F24926"/>
    <w:rsid w:val="00F2586A"/>
    <w:rsid w:val="00F25C8E"/>
    <w:rsid w:val="00F25EAB"/>
    <w:rsid w:val="00F307FD"/>
    <w:rsid w:val="00F30B8B"/>
    <w:rsid w:val="00F30BD9"/>
    <w:rsid w:val="00F31F77"/>
    <w:rsid w:val="00F3304B"/>
    <w:rsid w:val="00F3325A"/>
    <w:rsid w:val="00F33509"/>
    <w:rsid w:val="00F33947"/>
    <w:rsid w:val="00F34115"/>
    <w:rsid w:val="00F343B6"/>
    <w:rsid w:val="00F34A33"/>
    <w:rsid w:val="00F34E76"/>
    <w:rsid w:val="00F35CED"/>
    <w:rsid w:val="00F3683C"/>
    <w:rsid w:val="00F36E94"/>
    <w:rsid w:val="00F37BC2"/>
    <w:rsid w:val="00F403C6"/>
    <w:rsid w:val="00F404C7"/>
    <w:rsid w:val="00F419B6"/>
    <w:rsid w:val="00F41A88"/>
    <w:rsid w:val="00F42FAA"/>
    <w:rsid w:val="00F4330D"/>
    <w:rsid w:val="00F43353"/>
    <w:rsid w:val="00F43E9F"/>
    <w:rsid w:val="00F442B1"/>
    <w:rsid w:val="00F4442D"/>
    <w:rsid w:val="00F444A5"/>
    <w:rsid w:val="00F445D2"/>
    <w:rsid w:val="00F44668"/>
    <w:rsid w:val="00F45D9F"/>
    <w:rsid w:val="00F45EBC"/>
    <w:rsid w:val="00F475F7"/>
    <w:rsid w:val="00F47814"/>
    <w:rsid w:val="00F50110"/>
    <w:rsid w:val="00F50807"/>
    <w:rsid w:val="00F50E90"/>
    <w:rsid w:val="00F51086"/>
    <w:rsid w:val="00F51158"/>
    <w:rsid w:val="00F51364"/>
    <w:rsid w:val="00F51A32"/>
    <w:rsid w:val="00F51A73"/>
    <w:rsid w:val="00F51AEB"/>
    <w:rsid w:val="00F51C42"/>
    <w:rsid w:val="00F5431C"/>
    <w:rsid w:val="00F54925"/>
    <w:rsid w:val="00F55634"/>
    <w:rsid w:val="00F56727"/>
    <w:rsid w:val="00F56CF3"/>
    <w:rsid w:val="00F56E27"/>
    <w:rsid w:val="00F609EB"/>
    <w:rsid w:val="00F60C05"/>
    <w:rsid w:val="00F618C1"/>
    <w:rsid w:val="00F61A29"/>
    <w:rsid w:val="00F61F0A"/>
    <w:rsid w:val="00F6237A"/>
    <w:rsid w:val="00F626E4"/>
    <w:rsid w:val="00F62C6B"/>
    <w:rsid w:val="00F62DD5"/>
    <w:rsid w:val="00F62F14"/>
    <w:rsid w:val="00F63E9A"/>
    <w:rsid w:val="00F64420"/>
    <w:rsid w:val="00F64A47"/>
    <w:rsid w:val="00F653E2"/>
    <w:rsid w:val="00F67DBE"/>
    <w:rsid w:val="00F67F43"/>
    <w:rsid w:val="00F705F2"/>
    <w:rsid w:val="00F70A11"/>
    <w:rsid w:val="00F70C7F"/>
    <w:rsid w:val="00F7162E"/>
    <w:rsid w:val="00F71E24"/>
    <w:rsid w:val="00F72665"/>
    <w:rsid w:val="00F726F2"/>
    <w:rsid w:val="00F72AB5"/>
    <w:rsid w:val="00F73AE4"/>
    <w:rsid w:val="00F75488"/>
    <w:rsid w:val="00F7591D"/>
    <w:rsid w:val="00F75F4A"/>
    <w:rsid w:val="00F7602C"/>
    <w:rsid w:val="00F76137"/>
    <w:rsid w:val="00F7698B"/>
    <w:rsid w:val="00F76C62"/>
    <w:rsid w:val="00F7717E"/>
    <w:rsid w:val="00F804A0"/>
    <w:rsid w:val="00F80542"/>
    <w:rsid w:val="00F80E4B"/>
    <w:rsid w:val="00F82167"/>
    <w:rsid w:val="00F8267A"/>
    <w:rsid w:val="00F83701"/>
    <w:rsid w:val="00F844A1"/>
    <w:rsid w:val="00F84A5F"/>
    <w:rsid w:val="00F84C0B"/>
    <w:rsid w:val="00F84D47"/>
    <w:rsid w:val="00F85057"/>
    <w:rsid w:val="00F850F6"/>
    <w:rsid w:val="00F8623E"/>
    <w:rsid w:val="00F869D7"/>
    <w:rsid w:val="00F870FC"/>
    <w:rsid w:val="00F91B8C"/>
    <w:rsid w:val="00F9233E"/>
    <w:rsid w:val="00F92364"/>
    <w:rsid w:val="00F925F7"/>
    <w:rsid w:val="00F9287A"/>
    <w:rsid w:val="00F9349C"/>
    <w:rsid w:val="00F9397D"/>
    <w:rsid w:val="00F9403E"/>
    <w:rsid w:val="00F94496"/>
    <w:rsid w:val="00F9471D"/>
    <w:rsid w:val="00F94B94"/>
    <w:rsid w:val="00F961DB"/>
    <w:rsid w:val="00F96E7B"/>
    <w:rsid w:val="00F9785C"/>
    <w:rsid w:val="00F9786F"/>
    <w:rsid w:val="00FA07B4"/>
    <w:rsid w:val="00FA0C75"/>
    <w:rsid w:val="00FA2EAB"/>
    <w:rsid w:val="00FA2F00"/>
    <w:rsid w:val="00FA4CD5"/>
    <w:rsid w:val="00FA5E7F"/>
    <w:rsid w:val="00FA706E"/>
    <w:rsid w:val="00FB08E6"/>
    <w:rsid w:val="00FB0953"/>
    <w:rsid w:val="00FB0BAF"/>
    <w:rsid w:val="00FB10C7"/>
    <w:rsid w:val="00FB131B"/>
    <w:rsid w:val="00FB1DBD"/>
    <w:rsid w:val="00FB376D"/>
    <w:rsid w:val="00FB39B9"/>
    <w:rsid w:val="00FB550F"/>
    <w:rsid w:val="00FB64C4"/>
    <w:rsid w:val="00FB7322"/>
    <w:rsid w:val="00FB76FB"/>
    <w:rsid w:val="00FB77ED"/>
    <w:rsid w:val="00FC0474"/>
    <w:rsid w:val="00FC085F"/>
    <w:rsid w:val="00FC0BF1"/>
    <w:rsid w:val="00FC0D66"/>
    <w:rsid w:val="00FC0F5E"/>
    <w:rsid w:val="00FC166C"/>
    <w:rsid w:val="00FC2CC6"/>
    <w:rsid w:val="00FC2EF6"/>
    <w:rsid w:val="00FC3103"/>
    <w:rsid w:val="00FC3AC9"/>
    <w:rsid w:val="00FC538A"/>
    <w:rsid w:val="00FC68F8"/>
    <w:rsid w:val="00FC7559"/>
    <w:rsid w:val="00FD140B"/>
    <w:rsid w:val="00FD1600"/>
    <w:rsid w:val="00FD1A4D"/>
    <w:rsid w:val="00FD1B7E"/>
    <w:rsid w:val="00FD263B"/>
    <w:rsid w:val="00FD2986"/>
    <w:rsid w:val="00FD3F9B"/>
    <w:rsid w:val="00FD4289"/>
    <w:rsid w:val="00FD44F0"/>
    <w:rsid w:val="00FD4822"/>
    <w:rsid w:val="00FD58D6"/>
    <w:rsid w:val="00FD649E"/>
    <w:rsid w:val="00FD744B"/>
    <w:rsid w:val="00FD771A"/>
    <w:rsid w:val="00FD7790"/>
    <w:rsid w:val="00FD7E09"/>
    <w:rsid w:val="00FD7F37"/>
    <w:rsid w:val="00FD7FB7"/>
    <w:rsid w:val="00FE0C61"/>
    <w:rsid w:val="00FE0D9C"/>
    <w:rsid w:val="00FE10DE"/>
    <w:rsid w:val="00FE146A"/>
    <w:rsid w:val="00FE1B96"/>
    <w:rsid w:val="00FE1D82"/>
    <w:rsid w:val="00FE21BB"/>
    <w:rsid w:val="00FE37C0"/>
    <w:rsid w:val="00FE46B7"/>
    <w:rsid w:val="00FE5546"/>
    <w:rsid w:val="00FE5789"/>
    <w:rsid w:val="00FE6D07"/>
    <w:rsid w:val="00FE7CBF"/>
    <w:rsid w:val="00FF0409"/>
    <w:rsid w:val="00FF076D"/>
    <w:rsid w:val="00FF1BF3"/>
    <w:rsid w:val="00FF2BDE"/>
    <w:rsid w:val="00FF2CB7"/>
    <w:rsid w:val="00FF2EE8"/>
    <w:rsid w:val="00FF640A"/>
    <w:rsid w:val="00FF68AE"/>
    <w:rsid w:val="00FF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7D46904-81A9-4260-BA20-9E3A63B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5F8"/>
    <w:pPr>
      <w:widowControl w:val="0"/>
      <w:ind w:leftChars="-200" w:left="-200" w:firstLineChars="200" w:firstLine="200"/>
      <w:jc w:val="both"/>
    </w:pPr>
    <w:rPr>
      <w:kern w:val="2"/>
      <w:sz w:val="21"/>
      <w:szCs w:val="24"/>
    </w:rPr>
  </w:style>
  <w:style w:type="paragraph" w:styleId="1">
    <w:name w:val="heading 1"/>
    <w:basedOn w:val="a"/>
    <w:next w:val="a"/>
    <w:qFormat/>
    <w:rsid w:val="00C41186"/>
    <w:pPr>
      <w:keepNext/>
      <w:spacing w:beforeLines="100" w:afterLines="1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qFormat/>
    <w:rsid w:val="00C41186"/>
    <w:pPr>
      <w:keepNext/>
      <w:keepLines/>
      <w:spacing w:beforeLines="100" w:afterLines="100"/>
      <w:outlineLvl w:val="1"/>
    </w:pPr>
    <w:rPr>
      <w:rFonts w:ascii="Arial" w:hAnsi="Arial"/>
      <w:b/>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qFormat/>
    <w:rsid w:val="00C41186"/>
    <w:pPr>
      <w:numPr>
        <w:ilvl w:val="2"/>
        <w:numId w:val="3"/>
      </w:numPr>
      <w:spacing w:before="260" w:after="260" w:line="416" w:lineRule="auto"/>
      <w:outlineLvl w:val="2"/>
    </w:pPr>
    <w:rPr>
      <w:rFonts w:ascii="仿宋_GB2312" w:eastAsia="仿宋_GB2312"/>
      <w:sz w:val="24"/>
      <w:szCs w:val="20"/>
    </w:rPr>
  </w:style>
  <w:style w:type="paragraph" w:styleId="4">
    <w:name w:val="heading 4"/>
    <w:aliases w:val="H4,PIM 4,h4,Fab-4,T5,Ref Heading 1,rh1,Heading sql,sect 1.2.3.4"/>
    <w:basedOn w:val="a"/>
    <w:next w:val="a"/>
    <w:qFormat/>
    <w:rsid w:val="00C41186"/>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C41186"/>
    <w:pPr>
      <w:keepNext/>
      <w:keepLines/>
      <w:numPr>
        <w:ilvl w:val="4"/>
        <w:numId w:val="2"/>
      </w:numPr>
      <w:spacing w:before="280" w:after="290" w:line="376" w:lineRule="auto"/>
      <w:ind w:firstLine="200"/>
      <w:outlineLvl w:val="4"/>
    </w:pPr>
    <w:rPr>
      <w:b/>
      <w:bCs/>
      <w:sz w:val="28"/>
      <w:szCs w:val="28"/>
    </w:rPr>
  </w:style>
  <w:style w:type="paragraph" w:styleId="6">
    <w:name w:val="heading 6"/>
    <w:basedOn w:val="a"/>
    <w:next w:val="a"/>
    <w:qFormat/>
    <w:rsid w:val="00C41186"/>
    <w:pPr>
      <w:keepNext/>
      <w:keepLines/>
      <w:numPr>
        <w:ilvl w:val="5"/>
        <w:numId w:val="2"/>
      </w:numPr>
      <w:spacing w:before="240" w:after="64" w:line="320" w:lineRule="auto"/>
      <w:ind w:firstLine="200"/>
      <w:outlineLvl w:val="5"/>
    </w:pPr>
    <w:rPr>
      <w:rFonts w:ascii="Arial" w:eastAsia="黑体" w:hAnsi="Arial"/>
      <w:b/>
      <w:bCs/>
      <w:sz w:val="24"/>
    </w:rPr>
  </w:style>
  <w:style w:type="paragraph" w:styleId="7">
    <w:name w:val="heading 7"/>
    <w:basedOn w:val="a"/>
    <w:next w:val="a"/>
    <w:qFormat/>
    <w:rsid w:val="00C41186"/>
    <w:pPr>
      <w:keepNext/>
      <w:keepLines/>
      <w:numPr>
        <w:ilvl w:val="6"/>
        <w:numId w:val="2"/>
      </w:numPr>
      <w:spacing w:before="240" w:after="64" w:line="320" w:lineRule="auto"/>
      <w:ind w:firstLine="200"/>
      <w:outlineLvl w:val="6"/>
    </w:pPr>
    <w:rPr>
      <w:b/>
      <w:bCs/>
      <w:sz w:val="24"/>
    </w:rPr>
  </w:style>
  <w:style w:type="paragraph" w:styleId="8">
    <w:name w:val="heading 8"/>
    <w:basedOn w:val="a"/>
    <w:next w:val="a"/>
    <w:qFormat/>
    <w:rsid w:val="00C41186"/>
    <w:pPr>
      <w:keepNext/>
      <w:keepLines/>
      <w:numPr>
        <w:ilvl w:val="7"/>
        <w:numId w:val="2"/>
      </w:numPr>
      <w:spacing w:before="240" w:after="64" w:line="320" w:lineRule="auto"/>
      <w:ind w:firstLine="200"/>
      <w:outlineLvl w:val="7"/>
    </w:pPr>
    <w:rPr>
      <w:rFonts w:ascii="Arial" w:eastAsia="黑体" w:hAnsi="Arial"/>
      <w:sz w:val="24"/>
    </w:rPr>
  </w:style>
  <w:style w:type="paragraph" w:styleId="9">
    <w:name w:val="heading 9"/>
    <w:basedOn w:val="a"/>
    <w:next w:val="a"/>
    <w:qFormat/>
    <w:rsid w:val="00C41186"/>
    <w:pPr>
      <w:keepNext/>
      <w:keepLines/>
      <w:numPr>
        <w:ilvl w:val="8"/>
        <w:numId w:val="2"/>
      </w:numPr>
      <w:spacing w:before="240" w:after="64" w:line="320" w:lineRule="auto"/>
      <w:ind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样式 标题 2 + 段前: 1 行 段后: 1 行"/>
    <w:basedOn w:val="20"/>
    <w:rsid w:val="00C41186"/>
    <w:pPr>
      <w:numPr>
        <w:numId w:val="1"/>
      </w:numPr>
      <w:tabs>
        <w:tab w:val="clear" w:pos="3243"/>
        <w:tab w:val="num" w:pos="360"/>
      </w:tabs>
      <w:spacing w:before="447" w:after="447"/>
      <w:ind w:left="-200" w:firstLine="200"/>
    </w:pPr>
    <w:rPr>
      <w:b w:val="0"/>
      <w:szCs w:val="20"/>
    </w:rPr>
  </w:style>
  <w:style w:type="paragraph" w:customStyle="1" w:styleId="CharCharCharCharCharCharChar">
    <w:name w:val="正文文字 Char Char Char Char Char Char Char"/>
    <w:basedOn w:val="a"/>
    <w:next w:val="30"/>
    <w:rsid w:val="00C41186"/>
    <w:pPr>
      <w:numPr>
        <w:ilvl w:val="1"/>
        <w:numId w:val="4"/>
      </w:numPr>
      <w:tabs>
        <w:tab w:val="clear" w:pos="780"/>
        <w:tab w:val="num" w:pos="360"/>
      </w:tabs>
      <w:spacing w:after="120"/>
      <w:ind w:left="-200" w:firstLine="200"/>
    </w:pPr>
    <w:rPr>
      <w:sz w:val="16"/>
      <w:szCs w:val="16"/>
    </w:rPr>
  </w:style>
  <w:style w:type="paragraph" w:styleId="30">
    <w:name w:val="Body Text 3"/>
    <w:basedOn w:val="a"/>
    <w:rsid w:val="00C41186"/>
    <w:pPr>
      <w:spacing w:after="120"/>
    </w:pPr>
    <w:rPr>
      <w:sz w:val="16"/>
      <w:szCs w:val="16"/>
    </w:rPr>
  </w:style>
  <w:style w:type="paragraph" w:styleId="10">
    <w:name w:val="toc 1"/>
    <w:basedOn w:val="a"/>
    <w:next w:val="a"/>
    <w:autoRedefine/>
    <w:uiPriority w:val="39"/>
    <w:rsid w:val="005A15F8"/>
    <w:pPr>
      <w:tabs>
        <w:tab w:val="right" w:leader="dot" w:pos="8296"/>
      </w:tabs>
      <w:ind w:left="-420" w:firstLine="562"/>
      <w:jc w:val="left"/>
    </w:pPr>
    <w:rPr>
      <w:rFonts w:ascii="宋体" w:hAnsi="宋体"/>
      <w:caps/>
      <w:noProof/>
      <w:sz w:val="24"/>
      <w:szCs w:val="28"/>
    </w:rPr>
  </w:style>
  <w:style w:type="paragraph" w:styleId="21">
    <w:name w:val="toc 2"/>
    <w:basedOn w:val="a"/>
    <w:next w:val="a"/>
    <w:autoRedefine/>
    <w:uiPriority w:val="39"/>
    <w:rsid w:val="00767C2C"/>
    <w:pPr>
      <w:tabs>
        <w:tab w:val="right" w:leader="dot" w:pos="8268"/>
      </w:tabs>
      <w:ind w:leftChars="152" w:left="319" w:firstLineChars="348" w:firstLine="731"/>
      <w:jc w:val="left"/>
    </w:pPr>
    <w:rPr>
      <w:smallCaps/>
      <w:noProof/>
      <w:szCs w:val="20"/>
    </w:rPr>
  </w:style>
  <w:style w:type="paragraph" w:customStyle="1" w:styleId="11">
    <w:name w:val="样式 标题 1 + 黑体 非加粗"/>
    <w:basedOn w:val="1"/>
    <w:rsid w:val="00C41186"/>
    <w:pPr>
      <w:pageBreakBefore/>
    </w:pPr>
    <w:rPr>
      <w:rFonts w:hAnsi="黑体"/>
      <w:b/>
    </w:rPr>
  </w:style>
  <w:style w:type="paragraph" w:customStyle="1" w:styleId="111">
    <w:name w:val="样式 标题 1 + 段前: 1 行 段后: 1 行"/>
    <w:basedOn w:val="1"/>
    <w:rsid w:val="00C41186"/>
    <w:pPr>
      <w:pageBreakBefore/>
    </w:pPr>
    <w:rPr>
      <w:szCs w:val="20"/>
    </w:rPr>
  </w:style>
  <w:style w:type="paragraph" w:customStyle="1" w:styleId="115">
    <w:name w:val="样式 标题 1 + 段前: 1.5 行"/>
    <w:basedOn w:val="a"/>
    <w:rsid w:val="00C41186"/>
    <w:pPr>
      <w:tabs>
        <w:tab w:val="num" w:pos="990"/>
      </w:tabs>
      <w:ind w:left="990" w:hanging="840"/>
    </w:pPr>
    <w:rPr>
      <w:sz w:val="24"/>
      <w:szCs w:val="20"/>
    </w:rPr>
  </w:style>
  <w:style w:type="paragraph" w:customStyle="1" w:styleId="22">
    <w:name w:val="样式 首行缩进:  2 字符"/>
    <w:basedOn w:val="a"/>
    <w:rsid w:val="00C41186"/>
    <w:pPr>
      <w:spacing w:before="100" w:beforeAutospacing="1" w:after="100" w:afterAutospacing="1" w:line="360" w:lineRule="auto"/>
      <w:ind w:firstLine="480"/>
    </w:pPr>
    <w:rPr>
      <w:szCs w:val="20"/>
    </w:rPr>
  </w:style>
  <w:style w:type="paragraph" w:styleId="a3">
    <w:name w:val="header"/>
    <w:basedOn w:val="a"/>
    <w:link w:val="Char"/>
    <w:uiPriority w:val="99"/>
    <w:rsid w:val="00C41186"/>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
    <w:name w:val="页眉 Char"/>
    <w:basedOn w:val="a0"/>
    <w:link w:val="a3"/>
    <w:uiPriority w:val="99"/>
    <w:rsid w:val="003C0F40"/>
    <w:rPr>
      <w:rFonts w:eastAsia="仿宋_GB2312"/>
      <w:kern w:val="2"/>
      <w:sz w:val="18"/>
    </w:rPr>
  </w:style>
  <w:style w:type="character" w:styleId="a4">
    <w:name w:val="page number"/>
    <w:basedOn w:val="a0"/>
    <w:rsid w:val="00C41186"/>
  </w:style>
  <w:style w:type="paragraph" w:styleId="a5">
    <w:name w:val="footer"/>
    <w:basedOn w:val="a"/>
    <w:link w:val="Char0"/>
    <w:uiPriority w:val="99"/>
    <w:rsid w:val="00C41186"/>
    <w:pPr>
      <w:tabs>
        <w:tab w:val="center" w:pos="4153"/>
        <w:tab w:val="right" w:pos="8306"/>
      </w:tabs>
      <w:snapToGrid w:val="0"/>
      <w:jc w:val="left"/>
    </w:pPr>
    <w:rPr>
      <w:rFonts w:eastAsia="仿宋_GB2312"/>
      <w:sz w:val="18"/>
      <w:szCs w:val="20"/>
    </w:rPr>
  </w:style>
  <w:style w:type="character" w:customStyle="1" w:styleId="Char0">
    <w:name w:val="页脚 Char"/>
    <w:basedOn w:val="a0"/>
    <w:link w:val="a5"/>
    <w:uiPriority w:val="99"/>
    <w:rsid w:val="003C0F40"/>
    <w:rPr>
      <w:rFonts w:eastAsia="仿宋_GB2312"/>
      <w:kern w:val="2"/>
      <w:sz w:val="18"/>
    </w:rPr>
  </w:style>
  <w:style w:type="paragraph" w:customStyle="1" w:styleId="2111111">
    <w:name w:val="样式 样式 样式 标题 2 + 段前: 1 行 段后: 1 行1 + 段前: 1 行 段后: 1 行 + 段前: 1 行 段后..."/>
    <w:basedOn w:val="a"/>
    <w:rsid w:val="00C41186"/>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0"/>
    <w:rsid w:val="00C41186"/>
    <w:pPr>
      <w:ind w:firstLineChars="0" w:firstLine="0"/>
    </w:pPr>
    <w:rPr>
      <w:bCs/>
      <w:szCs w:val="20"/>
    </w:rPr>
  </w:style>
  <w:style w:type="paragraph" w:customStyle="1" w:styleId="211111">
    <w:name w:val="样式 样式 标题 2 + 段前: 1 行 段后: 1 行1 + 段前: 1 行 段后: 1 行"/>
    <w:basedOn w:val="2111"/>
    <w:rsid w:val="00C41186"/>
  </w:style>
  <w:style w:type="character" w:customStyle="1" w:styleId="big1">
    <w:name w:val="big1"/>
    <w:basedOn w:val="a0"/>
    <w:rsid w:val="00C41186"/>
    <w:rPr>
      <w:spacing w:val="360"/>
      <w:sz w:val="22"/>
      <w:szCs w:val="22"/>
    </w:rPr>
  </w:style>
  <w:style w:type="character" w:customStyle="1" w:styleId="read1">
    <w:name w:val="read1"/>
    <w:basedOn w:val="a0"/>
    <w:rsid w:val="00C41186"/>
    <w:rPr>
      <w:rFonts w:ascii="ˎ̥" w:hAnsi="ˎ̥" w:hint="default"/>
      <w:strike w:val="0"/>
      <w:dstrike w:val="0"/>
      <w:color w:val="000000"/>
      <w:u w:val="none"/>
      <w:effect w:val="none"/>
    </w:rPr>
  </w:style>
  <w:style w:type="paragraph" w:styleId="a6">
    <w:name w:val="Title"/>
    <w:basedOn w:val="a"/>
    <w:qFormat/>
    <w:rsid w:val="00C41186"/>
    <w:pPr>
      <w:spacing w:before="240" w:after="60"/>
      <w:jc w:val="center"/>
      <w:outlineLvl w:val="0"/>
    </w:pPr>
    <w:rPr>
      <w:rFonts w:ascii="Arial" w:hAnsi="Arial" w:cs="Arial"/>
      <w:b/>
      <w:bCs/>
      <w:sz w:val="32"/>
      <w:szCs w:val="32"/>
    </w:rPr>
  </w:style>
  <w:style w:type="paragraph" w:styleId="a7">
    <w:name w:val="Closing"/>
    <w:basedOn w:val="a"/>
    <w:rsid w:val="00C41186"/>
    <w:pPr>
      <w:ind w:leftChars="2100" w:left="100"/>
    </w:pPr>
  </w:style>
  <w:style w:type="paragraph" w:styleId="a8">
    <w:name w:val="List Number"/>
    <w:basedOn w:val="a"/>
    <w:rsid w:val="00C41186"/>
    <w:pPr>
      <w:tabs>
        <w:tab w:val="num" w:pos="360"/>
      </w:tabs>
      <w:ind w:left="360" w:hangingChars="200" w:hanging="360"/>
    </w:pPr>
  </w:style>
  <w:style w:type="paragraph" w:styleId="23">
    <w:name w:val="List Number 2"/>
    <w:basedOn w:val="a"/>
    <w:rsid w:val="00C41186"/>
    <w:pPr>
      <w:tabs>
        <w:tab w:val="num" w:pos="780"/>
      </w:tabs>
      <w:ind w:leftChars="200" w:left="780" w:hangingChars="200" w:hanging="360"/>
    </w:pPr>
  </w:style>
  <w:style w:type="paragraph" w:styleId="31">
    <w:name w:val="List Number 3"/>
    <w:basedOn w:val="a"/>
    <w:rsid w:val="00C41186"/>
    <w:pPr>
      <w:tabs>
        <w:tab w:val="num" w:pos="1200"/>
      </w:tabs>
      <w:ind w:leftChars="400" w:left="1200" w:hangingChars="200" w:hanging="360"/>
    </w:pPr>
  </w:style>
  <w:style w:type="paragraph" w:styleId="40">
    <w:name w:val="List Number 4"/>
    <w:basedOn w:val="a"/>
    <w:rsid w:val="00C41186"/>
    <w:pPr>
      <w:tabs>
        <w:tab w:val="num" w:pos="1620"/>
      </w:tabs>
      <w:ind w:leftChars="600" w:left="1620" w:hangingChars="200" w:hanging="360"/>
    </w:pPr>
  </w:style>
  <w:style w:type="paragraph" w:styleId="50">
    <w:name w:val="List Number 5"/>
    <w:basedOn w:val="a"/>
    <w:rsid w:val="00C41186"/>
    <w:pPr>
      <w:tabs>
        <w:tab w:val="num" w:pos="2040"/>
      </w:tabs>
      <w:ind w:leftChars="800" w:left="2040" w:hangingChars="200" w:hanging="360"/>
    </w:pPr>
  </w:style>
  <w:style w:type="paragraph" w:styleId="a9">
    <w:name w:val="List Bullet"/>
    <w:basedOn w:val="a"/>
    <w:autoRedefine/>
    <w:rsid w:val="00C41186"/>
    <w:pPr>
      <w:tabs>
        <w:tab w:val="num" w:pos="360"/>
      </w:tabs>
      <w:ind w:left="360" w:hangingChars="200" w:hanging="360"/>
    </w:pPr>
  </w:style>
  <w:style w:type="paragraph" w:styleId="24">
    <w:name w:val="List Bullet 2"/>
    <w:basedOn w:val="a"/>
    <w:autoRedefine/>
    <w:rsid w:val="00C41186"/>
    <w:pPr>
      <w:tabs>
        <w:tab w:val="num" w:pos="780"/>
      </w:tabs>
      <w:ind w:leftChars="200" w:left="780" w:hangingChars="200" w:hanging="360"/>
    </w:pPr>
  </w:style>
  <w:style w:type="paragraph" w:styleId="32">
    <w:name w:val="List Bullet 3"/>
    <w:basedOn w:val="a"/>
    <w:autoRedefine/>
    <w:rsid w:val="00C41186"/>
    <w:pPr>
      <w:tabs>
        <w:tab w:val="num" w:pos="1200"/>
      </w:tabs>
      <w:ind w:leftChars="400" w:left="1200" w:hangingChars="200" w:hanging="360"/>
    </w:pPr>
  </w:style>
  <w:style w:type="paragraph" w:styleId="41">
    <w:name w:val="List Bullet 4"/>
    <w:basedOn w:val="a"/>
    <w:autoRedefine/>
    <w:rsid w:val="00C41186"/>
    <w:pPr>
      <w:tabs>
        <w:tab w:val="num" w:pos="1620"/>
      </w:tabs>
      <w:ind w:leftChars="600" w:left="1620" w:hangingChars="200" w:hanging="360"/>
    </w:pPr>
  </w:style>
  <w:style w:type="paragraph" w:styleId="51">
    <w:name w:val="List Bullet 5"/>
    <w:basedOn w:val="a"/>
    <w:autoRedefine/>
    <w:rsid w:val="00C41186"/>
    <w:pPr>
      <w:tabs>
        <w:tab w:val="num" w:pos="2040"/>
      </w:tabs>
      <w:ind w:leftChars="800" w:left="2040" w:hangingChars="200" w:hanging="360"/>
    </w:pPr>
  </w:style>
  <w:style w:type="paragraph" w:styleId="aa">
    <w:name w:val="table of figures"/>
    <w:basedOn w:val="a"/>
    <w:next w:val="a"/>
    <w:semiHidden/>
    <w:rsid w:val="00C41186"/>
    <w:pPr>
      <w:ind w:leftChars="200" w:left="840" w:hangingChars="200" w:hanging="420"/>
    </w:pPr>
  </w:style>
  <w:style w:type="paragraph" w:styleId="ab">
    <w:name w:val="Body Text"/>
    <w:basedOn w:val="a"/>
    <w:link w:val="Char1"/>
    <w:rsid w:val="00C41186"/>
    <w:pPr>
      <w:spacing w:after="120"/>
    </w:pPr>
  </w:style>
  <w:style w:type="character" w:customStyle="1" w:styleId="Char1">
    <w:name w:val="正文文本 Char"/>
    <w:basedOn w:val="a0"/>
    <w:link w:val="ab"/>
    <w:rsid w:val="003C0F40"/>
    <w:rPr>
      <w:kern w:val="2"/>
      <w:sz w:val="21"/>
      <w:szCs w:val="24"/>
    </w:rPr>
  </w:style>
  <w:style w:type="paragraph" w:styleId="ac">
    <w:name w:val="Body Text First Indent"/>
    <w:basedOn w:val="ab"/>
    <w:rsid w:val="00C41186"/>
    <w:pPr>
      <w:ind w:firstLineChars="100" w:firstLine="420"/>
    </w:pPr>
  </w:style>
  <w:style w:type="paragraph" w:styleId="ad">
    <w:name w:val="Body Text Indent"/>
    <w:basedOn w:val="a"/>
    <w:rsid w:val="00C41186"/>
    <w:pPr>
      <w:spacing w:after="120"/>
      <w:ind w:left="420"/>
    </w:pPr>
  </w:style>
  <w:style w:type="paragraph" w:styleId="ae">
    <w:name w:val="Note Heading"/>
    <w:basedOn w:val="a"/>
    <w:next w:val="a"/>
    <w:rsid w:val="00C41186"/>
    <w:pPr>
      <w:jc w:val="center"/>
    </w:pPr>
  </w:style>
  <w:style w:type="character" w:customStyle="1" w:styleId="font141">
    <w:name w:val="font141"/>
    <w:basedOn w:val="a0"/>
    <w:rsid w:val="00C41186"/>
    <w:rPr>
      <w:rFonts w:ascii="宋体" w:eastAsia="宋体" w:hAnsi="宋体" w:hint="eastAsia"/>
      <w:spacing w:val="300"/>
      <w:sz w:val="21"/>
      <w:szCs w:val="21"/>
    </w:rPr>
  </w:style>
  <w:style w:type="character" w:customStyle="1" w:styleId="da">
    <w:name w:val="da"/>
    <w:basedOn w:val="a0"/>
    <w:rsid w:val="00C41186"/>
  </w:style>
  <w:style w:type="paragraph" w:customStyle="1" w:styleId="af">
    <w:name w:val="特点"/>
    <w:aliases w:val="表正文,正文非缩进,段1"/>
    <w:basedOn w:val="a"/>
    <w:next w:val="af0"/>
    <w:rsid w:val="00C41186"/>
    <w:pPr>
      <w:ind w:firstLine="420"/>
    </w:pPr>
    <w:rPr>
      <w:szCs w:val="20"/>
    </w:rPr>
  </w:style>
  <w:style w:type="paragraph" w:styleId="af0">
    <w:name w:val="Normal Indent"/>
    <w:aliases w:val="正文缩进1,ALT+Z"/>
    <w:basedOn w:val="a"/>
    <w:rsid w:val="00C41186"/>
    <w:pPr>
      <w:ind w:firstLine="420"/>
    </w:pPr>
  </w:style>
  <w:style w:type="paragraph" w:styleId="33">
    <w:name w:val="Body Text Indent 3"/>
    <w:basedOn w:val="a"/>
    <w:link w:val="3Char"/>
    <w:rsid w:val="00C41186"/>
    <w:pPr>
      <w:spacing w:after="120"/>
      <w:ind w:left="420"/>
    </w:pPr>
    <w:rPr>
      <w:sz w:val="16"/>
      <w:szCs w:val="16"/>
    </w:rPr>
  </w:style>
  <w:style w:type="character" w:customStyle="1" w:styleId="3Char">
    <w:name w:val="正文文本缩进 3 Char"/>
    <w:basedOn w:val="a0"/>
    <w:link w:val="33"/>
    <w:rsid w:val="003C0F40"/>
    <w:rPr>
      <w:kern w:val="2"/>
      <w:sz w:val="16"/>
      <w:szCs w:val="16"/>
    </w:rPr>
  </w:style>
  <w:style w:type="paragraph" w:styleId="af1">
    <w:name w:val="Plain Text"/>
    <w:basedOn w:val="a"/>
    <w:link w:val="Char2"/>
    <w:rsid w:val="00C41186"/>
    <w:rPr>
      <w:rFonts w:ascii="宋体" w:hAnsi="Courier New" w:cs="Courier New"/>
      <w:szCs w:val="21"/>
    </w:rPr>
  </w:style>
  <w:style w:type="character" w:customStyle="1" w:styleId="Char2">
    <w:name w:val="纯文本 Char"/>
    <w:basedOn w:val="a0"/>
    <w:link w:val="af1"/>
    <w:rsid w:val="003C0F40"/>
    <w:rPr>
      <w:rFonts w:ascii="宋体" w:hAnsi="Courier New" w:cs="Courier New"/>
      <w:kern w:val="2"/>
      <w:sz w:val="21"/>
      <w:szCs w:val="21"/>
    </w:rPr>
  </w:style>
  <w:style w:type="character" w:styleId="af2">
    <w:name w:val="Hyperlink"/>
    <w:basedOn w:val="a0"/>
    <w:uiPriority w:val="99"/>
    <w:rsid w:val="00C41186"/>
    <w:rPr>
      <w:color w:val="0000FF"/>
      <w:u w:val="single"/>
    </w:rPr>
  </w:style>
  <w:style w:type="paragraph" w:styleId="25">
    <w:name w:val="Body Text Indent 2"/>
    <w:basedOn w:val="a"/>
    <w:rsid w:val="00C41186"/>
    <w:pPr>
      <w:spacing w:after="120" w:line="480" w:lineRule="auto"/>
      <w:ind w:left="420"/>
    </w:pPr>
  </w:style>
  <w:style w:type="paragraph" w:styleId="26">
    <w:name w:val="Body Text 2"/>
    <w:basedOn w:val="a"/>
    <w:rsid w:val="00C41186"/>
    <w:pPr>
      <w:spacing w:after="120" w:line="480" w:lineRule="auto"/>
    </w:pPr>
  </w:style>
  <w:style w:type="character" w:styleId="af3">
    <w:name w:val="FollowedHyperlink"/>
    <w:basedOn w:val="a0"/>
    <w:uiPriority w:val="99"/>
    <w:rsid w:val="00C41186"/>
    <w:rPr>
      <w:color w:val="800080"/>
      <w:u w:val="single"/>
    </w:rPr>
  </w:style>
  <w:style w:type="paragraph" w:styleId="HTML">
    <w:name w:val="HTML Preformatted"/>
    <w:basedOn w:val="a"/>
    <w:link w:val="HTMLChar"/>
    <w:uiPriority w:val="99"/>
    <w:rsid w:val="00C41186"/>
    <w:rPr>
      <w:rFonts w:ascii="Courier New" w:hAnsi="Courier New" w:cs="Courier New"/>
      <w:sz w:val="20"/>
      <w:szCs w:val="20"/>
    </w:rPr>
  </w:style>
  <w:style w:type="character" w:customStyle="1" w:styleId="HTMLChar">
    <w:name w:val="HTML 预设格式 Char"/>
    <w:basedOn w:val="a0"/>
    <w:link w:val="HTML"/>
    <w:uiPriority w:val="99"/>
    <w:rsid w:val="003C0F40"/>
    <w:rPr>
      <w:rFonts w:ascii="Courier New" w:hAnsi="Courier New" w:cs="Courier New"/>
      <w:kern w:val="2"/>
    </w:rPr>
  </w:style>
  <w:style w:type="paragraph" w:styleId="af4">
    <w:name w:val="Normal (Web)"/>
    <w:basedOn w:val="a"/>
    <w:rsid w:val="00C41186"/>
    <w:rPr>
      <w:sz w:val="24"/>
    </w:rPr>
  </w:style>
  <w:style w:type="paragraph" w:styleId="af5">
    <w:name w:val="Subtitle"/>
    <w:basedOn w:val="a"/>
    <w:qFormat/>
    <w:rsid w:val="00C41186"/>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C41186"/>
    <w:pPr>
      <w:spacing w:after="120"/>
      <w:ind w:left="1440" w:right="1440"/>
    </w:pPr>
  </w:style>
  <w:style w:type="character" w:styleId="af7">
    <w:name w:val="Strong"/>
    <w:basedOn w:val="a0"/>
    <w:qFormat/>
    <w:rsid w:val="00C41186"/>
    <w:rPr>
      <w:b/>
      <w:bCs/>
    </w:rPr>
  </w:style>
  <w:style w:type="paragraph" w:styleId="af8">
    <w:name w:val="Document Map"/>
    <w:basedOn w:val="a"/>
    <w:semiHidden/>
    <w:rsid w:val="00C41186"/>
    <w:pPr>
      <w:shd w:val="clear" w:color="auto" w:fill="000080"/>
    </w:pPr>
  </w:style>
  <w:style w:type="character" w:styleId="af9">
    <w:name w:val="footnote reference"/>
    <w:basedOn w:val="a0"/>
    <w:semiHidden/>
    <w:rsid w:val="00C41186"/>
    <w:rPr>
      <w:vertAlign w:val="superscript"/>
    </w:rPr>
  </w:style>
  <w:style w:type="paragraph" w:customStyle="1" w:styleId="2">
    <w:name w:val="列表2"/>
    <w:basedOn w:val="a"/>
    <w:next w:val="a6"/>
    <w:rsid w:val="00C41186"/>
    <w:pPr>
      <w:numPr>
        <w:numId w:val="16"/>
      </w:numPr>
      <w:spacing w:line="360" w:lineRule="auto"/>
    </w:pPr>
    <w:rPr>
      <w:rFonts w:ascii="宋体"/>
      <w:szCs w:val="20"/>
    </w:rPr>
  </w:style>
  <w:style w:type="paragraph" w:customStyle="1" w:styleId="12">
    <w:name w:val="列表1"/>
    <w:basedOn w:val="a"/>
    <w:next w:val="a"/>
    <w:rsid w:val="00C41186"/>
    <w:pPr>
      <w:tabs>
        <w:tab w:val="num" w:pos="644"/>
      </w:tabs>
      <w:spacing w:line="360" w:lineRule="auto"/>
      <w:ind w:left="567" w:hanging="283"/>
    </w:pPr>
    <w:rPr>
      <w:szCs w:val="20"/>
    </w:rPr>
  </w:style>
  <w:style w:type="paragraph" w:customStyle="1" w:styleId="2211">
    <w:name w:val="样式 标题 2 + 首行缩进:  2 字符 段前: 1 行 段后: 1 行"/>
    <w:basedOn w:val="20"/>
    <w:rsid w:val="00C41186"/>
    <w:pPr>
      <w:tabs>
        <w:tab w:val="num" w:pos="1276"/>
      </w:tabs>
      <w:spacing w:beforeLines="0" w:afterLines="0"/>
      <w:ind w:left="851" w:firstLineChars="0" w:firstLine="0"/>
    </w:pPr>
    <w:rPr>
      <w:szCs w:val="20"/>
    </w:rPr>
  </w:style>
  <w:style w:type="paragraph" w:styleId="afa">
    <w:name w:val="Balloon Text"/>
    <w:basedOn w:val="a"/>
    <w:link w:val="Char3"/>
    <w:semiHidden/>
    <w:rsid w:val="00C41186"/>
    <w:rPr>
      <w:sz w:val="18"/>
      <w:szCs w:val="18"/>
    </w:rPr>
  </w:style>
  <w:style w:type="character" w:customStyle="1" w:styleId="Char3">
    <w:name w:val="批注框文本 Char"/>
    <w:basedOn w:val="a0"/>
    <w:link w:val="afa"/>
    <w:semiHidden/>
    <w:rsid w:val="003C0F40"/>
    <w:rPr>
      <w:kern w:val="2"/>
      <w:sz w:val="18"/>
      <w:szCs w:val="18"/>
    </w:rPr>
  </w:style>
  <w:style w:type="character" w:customStyle="1" w:styleId="read">
    <w:name w:val="read"/>
    <w:basedOn w:val="a0"/>
    <w:rsid w:val="00C41186"/>
  </w:style>
  <w:style w:type="paragraph" w:styleId="afb">
    <w:name w:val="annotation subject"/>
    <w:basedOn w:val="afc"/>
    <w:next w:val="afc"/>
    <w:semiHidden/>
    <w:rsid w:val="00C41186"/>
    <w:rPr>
      <w:b/>
      <w:bCs/>
    </w:rPr>
  </w:style>
  <w:style w:type="paragraph" w:styleId="afc">
    <w:name w:val="annotation text"/>
    <w:basedOn w:val="a"/>
    <w:semiHidden/>
    <w:rsid w:val="00C41186"/>
    <w:pPr>
      <w:jc w:val="left"/>
    </w:pPr>
  </w:style>
  <w:style w:type="paragraph" w:customStyle="1" w:styleId="13">
    <w:name w:val="1"/>
    <w:basedOn w:val="a"/>
    <w:rsid w:val="00C41186"/>
    <w:pPr>
      <w:spacing w:before="100" w:beforeAutospacing="1" w:after="120" w:afterAutospacing="1" w:line="360" w:lineRule="auto"/>
      <w:ind w:leftChars="200" w:left="420"/>
    </w:pPr>
  </w:style>
  <w:style w:type="character" w:styleId="afd">
    <w:name w:val="annotation reference"/>
    <w:basedOn w:val="a0"/>
    <w:semiHidden/>
    <w:rsid w:val="00C41186"/>
    <w:rPr>
      <w:sz w:val="21"/>
      <w:szCs w:val="21"/>
    </w:rPr>
  </w:style>
  <w:style w:type="paragraph" w:customStyle="1" w:styleId="CharCharCharChar">
    <w:name w:val="Char Char Char Char"/>
    <w:basedOn w:val="a"/>
    <w:autoRedefine/>
    <w:rsid w:val="00746D1E"/>
    <w:pPr>
      <w:tabs>
        <w:tab w:val="num" w:pos="360"/>
      </w:tabs>
    </w:pPr>
    <w:rPr>
      <w:sz w:val="24"/>
    </w:rPr>
  </w:style>
  <w:style w:type="table" w:styleId="afe">
    <w:name w:val="Table Theme"/>
    <w:basedOn w:val="a1"/>
    <w:rsid w:val="009A4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7A25F3"/>
  </w:style>
  <w:style w:type="paragraph" w:customStyle="1" w:styleId="ParaChar">
    <w:name w:val="默认段落字体 Para Char"/>
    <w:basedOn w:val="a"/>
    <w:autoRedefine/>
    <w:rsid w:val="00F43353"/>
    <w:pPr>
      <w:numPr>
        <w:numId w:val="3"/>
      </w:numPr>
      <w:tabs>
        <w:tab w:val="num" w:pos="360"/>
      </w:tabs>
      <w:ind w:left="0" w:firstLine="0"/>
    </w:pPr>
    <w:rPr>
      <w:sz w:val="24"/>
    </w:rPr>
  </w:style>
  <w:style w:type="character" w:customStyle="1" w:styleId="heigh1801">
    <w:name w:val="heigh1801"/>
    <w:basedOn w:val="a0"/>
    <w:rsid w:val="00DF38C1"/>
  </w:style>
  <w:style w:type="paragraph" w:customStyle="1" w:styleId="CharCharChar1">
    <w:name w:val="Char Char Char1"/>
    <w:basedOn w:val="a"/>
    <w:rsid w:val="00F34115"/>
  </w:style>
  <w:style w:type="character" w:styleId="HTML0">
    <w:name w:val="HTML Typewriter"/>
    <w:basedOn w:val="a0"/>
    <w:uiPriority w:val="99"/>
    <w:rsid w:val="003C1E0F"/>
    <w:rPr>
      <w:rFonts w:ascii="宋体" w:eastAsia="宋体" w:hAnsi="宋体" w:cs="宋体"/>
      <w:sz w:val="24"/>
      <w:szCs w:val="24"/>
    </w:rPr>
  </w:style>
  <w:style w:type="paragraph" w:customStyle="1" w:styleId="aff">
    <w:name w:val="正文所"/>
    <w:basedOn w:val="a"/>
    <w:rsid w:val="008A3F22"/>
    <w:pPr>
      <w:spacing w:line="360" w:lineRule="auto"/>
      <w:ind w:firstLine="420"/>
    </w:pPr>
  </w:style>
  <w:style w:type="paragraph" w:styleId="aff0">
    <w:name w:val="footnote text"/>
    <w:basedOn w:val="a"/>
    <w:semiHidden/>
    <w:rsid w:val="00E32220"/>
    <w:pPr>
      <w:widowControl/>
      <w:spacing w:beforeLines="50" w:afterLines="50" w:line="360" w:lineRule="auto"/>
      <w:ind w:leftChars="500" w:left="500"/>
      <w:jc w:val="left"/>
    </w:pPr>
    <w:rPr>
      <w:rFonts w:ascii="Times" w:eastAsia="Times New Roman" w:hAnsi="Times"/>
      <w:kern w:val="0"/>
      <w:sz w:val="20"/>
    </w:rPr>
  </w:style>
  <w:style w:type="table" w:styleId="aff1">
    <w:name w:val="Table Grid"/>
    <w:basedOn w:val="a1"/>
    <w:qFormat/>
    <w:rsid w:val="00637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toc 3"/>
    <w:basedOn w:val="a"/>
    <w:next w:val="a"/>
    <w:autoRedefine/>
    <w:uiPriority w:val="39"/>
    <w:unhideWhenUsed/>
    <w:rsid w:val="00A1747F"/>
    <w:pPr>
      <w:ind w:leftChars="400" w:left="840"/>
    </w:pPr>
    <w:rPr>
      <w:rFonts w:ascii="Calibri" w:hAnsi="Calibri"/>
      <w:szCs w:val="22"/>
    </w:rPr>
  </w:style>
  <w:style w:type="paragraph" w:styleId="42">
    <w:name w:val="toc 4"/>
    <w:basedOn w:val="a"/>
    <w:next w:val="a"/>
    <w:autoRedefine/>
    <w:uiPriority w:val="39"/>
    <w:unhideWhenUsed/>
    <w:rsid w:val="00A1747F"/>
    <w:pPr>
      <w:ind w:leftChars="600" w:left="1260"/>
    </w:pPr>
    <w:rPr>
      <w:rFonts w:ascii="Calibri" w:hAnsi="Calibri"/>
      <w:szCs w:val="22"/>
    </w:rPr>
  </w:style>
  <w:style w:type="paragraph" w:styleId="52">
    <w:name w:val="toc 5"/>
    <w:basedOn w:val="a"/>
    <w:next w:val="a"/>
    <w:autoRedefine/>
    <w:uiPriority w:val="39"/>
    <w:unhideWhenUsed/>
    <w:rsid w:val="00A1747F"/>
    <w:pPr>
      <w:ind w:leftChars="800" w:left="1680"/>
    </w:pPr>
    <w:rPr>
      <w:rFonts w:ascii="Calibri" w:hAnsi="Calibri"/>
      <w:szCs w:val="22"/>
    </w:rPr>
  </w:style>
  <w:style w:type="paragraph" w:styleId="60">
    <w:name w:val="toc 6"/>
    <w:basedOn w:val="a"/>
    <w:next w:val="a"/>
    <w:autoRedefine/>
    <w:uiPriority w:val="39"/>
    <w:unhideWhenUsed/>
    <w:rsid w:val="00A1747F"/>
    <w:pPr>
      <w:ind w:leftChars="1000" w:left="2100"/>
    </w:pPr>
    <w:rPr>
      <w:rFonts w:ascii="Calibri" w:hAnsi="Calibri"/>
      <w:szCs w:val="22"/>
    </w:rPr>
  </w:style>
  <w:style w:type="paragraph" w:styleId="70">
    <w:name w:val="toc 7"/>
    <w:basedOn w:val="a"/>
    <w:next w:val="a"/>
    <w:autoRedefine/>
    <w:uiPriority w:val="39"/>
    <w:unhideWhenUsed/>
    <w:rsid w:val="00A1747F"/>
    <w:pPr>
      <w:ind w:leftChars="1200" w:left="2520"/>
    </w:pPr>
    <w:rPr>
      <w:rFonts w:ascii="Calibri" w:hAnsi="Calibri"/>
      <w:szCs w:val="22"/>
    </w:rPr>
  </w:style>
  <w:style w:type="paragraph" w:styleId="80">
    <w:name w:val="toc 8"/>
    <w:basedOn w:val="a"/>
    <w:next w:val="a"/>
    <w:autoRedefine/>
    <w:uiPriority w:val="39"/>
    <w:unhideWhenUsed/>
    <w:rsid w:val="00A1747F"/>
    <w:pPr>
      <w:ind w:leftChars="1400" w:left="2940"/>
    </w:pPr>
    <w:rPr>
      <w:rFonts w:ascii="Calibri" w:hAnsi="Calibri"/>
      <w:szCs w:val="22"/>
    </w:rPr>
  </w:style>
  <w:style w:type="paragraph" w:styleId="90">
    <w:name w:val="toc 9"/>
    <w:basedOn w:val="a"/>
    <w:next w:val="a"/>
    <w:autoRedefine/>
    <w:uiPriority w:val="39"/>
    <w:unhideWhenUsed/>
    <w:rsid w:val="00A1747F"/>
    <w:pPr>
      <w:ind w:leftChars="1600" w:left="3360"/>
    </w:pPr>
    <w:rPr>
      <w:rFonts w:ascii="Calibri" w:hAnsi="Calibri"/>
      <w:szCs w:val="22"/>
    </w:rPr>
  </w:style>
  <w:style w:type="character" w:customStyle="1" w:styleId="aff2">
    <w:name w:val="a"/>
    <w:basedOn w:val="a0"/>
    <w:rsid w:val="00E43224"/>
  </w:style>
  <w:style w:type="paragraph" w:customStyle="1" w:styleId="Char10">
    <w:name w:val="Char1"/>
    <w:basedOn w:val="a"/>
    <w:rsid w:val="003C0F40"/>
  </w:style>
  <w:style w:type="paragraph" w:customStyle="1" w:styleId="CharCharCharChar1">
    <w:name w:val="Char Char Char Char1"/>
    <w:basedOn w:val="a"/>
    <w:autoRedefine/>
    <w:rsid w:val="003C0F40"/>
    <w:pPr>
      <w:tabs>
        <w:tab w:val="num" w:pos="360"/>
      </w:tabs>
      <w:spacing w:before="312" w:after="312" w:line="360" w:lineRule="auto"/>
    </w:pPr>
    <w:rPr>
      <w:sz w:val="24"/>
    </w:rPr>
  </w:style>
  <w:style w:type="paragraph" w:customStyle="1" w:styleId="CharCharCharCharCharCharChar0">
    <w:name w:val="Char Char Char Char Char Char Char"/>
    <w:basedOn w:val="a"/>
    <w:rsid w:val="003C0F40"/>
  </w:style>
  <w:style w:type="character" w:customStyle="1" w:styleId="text1">
    <w:name w:val="text1"/>
    <w:basedOn w:val="a0"/>
    <w:rsid w:val="003C0F40"/>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3C0F40"/>
    <w:rPr>
      <w:rFonts w:ascii="Arial" w:hAnsi="Arial" w:cs="Arial" w:hint="default"/>
    </w:rPr>
  </w:style>
  <w:style w:type="character" w:customStyle="1" w:styleId="fontcolor3">
    <w:name w:val="fontcolor3"/>
    <w:basedOn w:val="a0"/>
    <w:rsid w:val="003C0F40"/>
    <w:rPr>
      <w:color w:val="6C057B"/>
    </w:rPr>
  </w:style>
  <w:style w:type="character" w:customStyle="1" w:styleId="15">
    <w:name w:val="15"/>
    <w:basedOn w:val="a0"/>
    <w:rsid w:val="003C0F40"/>
  </w:style>
  <w:style w:type="character" w:customStyle="1" w:styleId="txtcontent11">
    <w:name w:val="txtcontent11"/>
    <w:basedOn w:val="a0"/>
    <w:rsid w:val="003C0F40"/>
  </w:style>
  <w:style w:type="character" w:customStyle="1" w:styleId="CharChar">
    <w:name w:val="Char Char"/>
    <w:basedOn w:val="a0"/>
    <w:locked/>
    <w:rsid w:val="00441AF6"/>
    <w:rPr>
      <w:rFonts w:ascii="Calibri" w:eastAsia="宋体" w:hAnsi="Courier New" w:cs="Courier New"/>
      <w:kern w:val="2"/>
      <w:sz w:val="21"/>
      <w:szCs w:val="21"/>
      <w:lang w:val="en-US" w:eastAsia="zh-CN" w:bidi="ar-SA"/>
    </w:rPr>
  </w:style>
  <w:style w:type="character" w:customStyle="1" w:styleId="CharChar11">
    <w:name w:val="Char Char11"/>
    <w:basedOn w:val="a0"/>
    <w:locked/>
    <w:rsid w:val="00B03C61"/>
    <w:rPr>
      <w:rFonts w:ascii="宋体" w:eastAsia="宋体" w:hAnsi="Courier New" w:cs="Courier New"/>
      <w:kern w:val="2"/>
      <w:sz w:val="21"/>
      <w:szCs w:val="21"/>
      <w:lang w:val="en-US" w:eastAsia="zh-CN" w:bidi="ar-SA"/>
    </w:rPr>
  </w:style>
  <w:style w:type="paragraph" w:styleId="aff3">
    <w:name w:val="Revision"/>
    <w:hidden/>
    <w:uiPriority w:val="99"/>
    <w:semiHidden/>
    <w:rsid w:val="008F11BF"/>
    <w:rPr>
      <w:kern w:val="2"/>
      <w:sz w:val="21"/>
      <w:szCs w:val="24"/>
    </w:rPr>
  </w:style>
  <w:style w:type="character" w:customStyle="1" w:styleId="Char11">
    <w:name w:val="纯文本 Char1"/>
    <w:basedOn w:val="a0"/>
    <w:semiHidden/>
    <w:locked/>
    <w:rsid w:val="00232183"/>
    <w:rPr>
      <w:rFonts w:ascii="宋体" w:hAnsi="Courier New" w:cs="Courier New"/>
      <w:kern w:val="2"/>
      <w:sz w:val="21"/>
      <w:szCs w:val="21"/>
    </w:rPr>
  </w:style>
  <w:style w:type="paragraph" w:styleId="aff4">
    <w:name w:val="List Paragraph"/>
    <w:basedOn w:val="a"/>
    <w:uiPriority w:val="34"/>
    <w:qFormat/>
    <w:rsid w:val="00BE544A"/>
    <w:pPr>
      <w:ind w:firstLine="420"/>
    </w:pPr>
  </w:style>
  <w:style w:type="paragraph" w:styleId="aff5">
    <w:name w:val="Date"/>
    <w:basedOn w:val="a"/>
    <w:next w:val="a"/>
    <w:link w:val="Char5"/>
    <w:rsid w:val="00A92161"/>
    <w:pPr>
      <w:ind w:leftChars="2500" w:left="100"/>
    </w:pPr>
  </w:style>
  <w:style w:type="character" w:customStyle="1" w:styleId="Char5">
    <w:name w:val="日期 Char"/>
    <w:basedOn w:val="a0"/>
    <w:link w:val="aff5"/>
    <w:rsid w:val="00A92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638">
      <w:bodyDiv w:val="1"/>
      <w:marLeft w:val="0"/>
      <w:marRight w:val="0"/>
      <w:marTop w:val="0"/>
      <w:marBottom w:val="0"/>
      <w:divBdr>
        <w:top w:val="none" w:sz="0" w:space="0" w:color="auto"/>
        <w:left w:val="none" w:sz="0" w:space="0" w:color="auto"/>
        <w:bottom w:val="none" w:sz="0" w:space="0" w:color="auto"/>
        <w:right w:val="none" w:sz="0" w:space="0" w:color="auto"/>
      </w:divBdr>
    </w:div>
    <w:div w:id="30881502">
      <w:bodyDiv w:val="1"/>
      <w:marLeft w:val="0"/>
      <w:marRight w:val="0"/>
      <w:marTop w:val="0"/>
      <w:marBottom w:val="0"/>
      <w:divBdr>
        <w:top w:val="none" w:sz="0" w:space="0" w:color="auto"/>
        <w:left w:val="none" w:sz="0" w:space="0" w:color="auto"/>
        <w:bottom w:val="none" w:sz="0" w:space="0" w:color="auto"/>
        <w:right w:val="none" w:sz="0" w:space="0" w:color="auto"/>
      </w:divBdr>
    </w:div>
    <w:div w:id="49960615">
      <w:bodyDiv w:val="1"/>
      <w:marLeft w:val="0"/>
      <w:marRight w:val="0"/>
      <w:marTop w:val="0"/>
      <w:marBottom w:val="0"/>
      <w:divBdr>
        <w:top w:val="none" w:sz="0" w:space="0" w:color="auto"/>
        <w:left w:val="none" w:sz="0" w:space="0" w:color="auto"/>
        <w:bottom w:val="none" w:sz="0" w:space="0" w:color="auto"/>
        <w:right w:val="none" w:sz="0" w:space="0" w:color="auto"/>
      </w:divBdr>
    </w:div>
    <w:div w:id="64685666">
      <w:bodyDiv w:val="1"/>
      <w:marLeft w:val="0"/>
      <w:marRight w:val="0"/>
      <w:marTop w:val="0"/>
      <w:marBottom w:val="0"/>
      <w:divBdr>
        <w:top w:val="none" w:sz="0" w:space="0" w:color="auto"/>
        <w:left w:val="none" w:sz="0" w:space="0" w:color="auto"/>
        <w:bottom w:val="none" w:sz="0" w:space="0" w:color="auto"/>
        <w:right w:val="none" w:sz="0" w:space="0" w:color="auto"/>
      </w:divBdr>
    </w:div>
    <w:div w:id="72633183">
      <w:bodyDiv w:val="1"/>
      <w:marLeft w:val="0"/>
      <w:marRight w:val="0"/>
      <w:marTop w:val="0"/>
      <w:marBottom w:val="0"/>
      <w:divBdr>
        <w:top w:val="none" w:sz="0" w:space="0" w:color="auto"/>
        <w:left w:val="none" w:sz="0" w:space="0" w:color="auto"/>
        <w:bottom w:val="none" w:sz="0" w:space="0" w:color="auto"/>
        <w:right w:val="none" w:sz="0" w:space="0" w:color="auto"/>
      </w:divBdr>
    </w:div>
    <w:div w:id="100346508">
      <w:bodyDiv w:val="1"/>
      <w:marLeft w:val="0"/>
      <w:marRight w:val="0"/>
      <w:marTop w:val="0"/>
      <w:marBottom w:val="0"/>
      <w:divBdr>
        <w:top w:val="none" w:sz="0" w:space="0" w:color="auto"/>
        <w:left w:val="none" w:sz="0" w:space="0" w:color="auto"/>
        <w:bottom w:val="none" w:sz="0" w:space="0" w:color="auto"/>
        <w:right w:val="none" w:sz="0" w:space="0" w:color="auto"/>
      </w:divBdr>
    </w:div>
    <w:div w:id="102698592">
      <w:bodyDiv w:val="1"/>
      <w:marLeft w:val="0"/>
      <w:marRight w:val="0"/>
      <w:marTop w:val="0"/>
      <w:marBottom w:val="0"/>
      <w:divBdr>
        <w:top w:val="none" w:sz="0" w:space="0" w:color="auto"/>
        <w:left w:val="none" w:sz="0" w:space="0" w:color="auto"/>
        <w:bottom w:val="none" w:sz="0" w:space="0" w:color="auto"/>
        <w:right w:val="none" w:sz="0" w:space="0" w:color="auto"/>
      </w:divBdr>
    </w:div>
    <w:div w:id="113867425">
      <w:bodyDiv w:val="1"/>
      <w:marLeft w:val="0"/>
      <w:marRight w:val="0"/>
      <w:marTop w:val="0"/>
      <w:marBottom w:val="0"/>
      <w:divBdr>
        <w:top w:val="none" w:sz="0" w:space="0" w:color="auto"/>
        <w:left w:val="none" w:sz="0" w:space="0" w:color="auto"/>
        <w:bottom w:val="none" w:sz="0" w:space="0" w:color="auto"/>
        <w:right w:val="none" w:sz="0" w:space="0" w:color="auto"/>
      </w:divBdr>
    </w:div>
    <w:div w:id="143856120">
      <w:bodyDiv w:val="1"/>
      <w:marLeft w:val="0"/>
      <w:marRight w:val="0"/>
      <w:marTop w:val="0"/>
      <w:marBottom w:val="0"/>
      <w:divBdr>
        <w:top w:val="none" w:sz="0" w:space="0" w:color="auto"/>
        <w:left w:val="none" w:sz="0" w:space="0" w:color="auto"/>
        <w:bottom w:val="none" w:sz="0" w:space="0" w:color="auto"/>
        <w:right w:val="none" w:sz="0" w:space="0" w:color="auto"/>
      </w:divBdr>
    </w:div>
    <w:div w:id="147140917">
      <w:bodyDiv w:val="1"/>
      <w:marLeft w:val="0"/>
      <w:marRight w:val="0"/>
      <w:marTop w:val="0"/>
      <w:marBottom w:val="0"/>
      <w:divBdr>
        <w:top w:val="none" w:sz="0" w:space="0" w:color="auto"/>
        <w:left w:val="none" w:sz="0" w:space="0" w:color="auto"/>
        <w:bottom w:val="none" w:sz="0" w:space="0" w:color="auto"/>
        <w:right w:val="none" w:sz="0" w:space="0" w:color="auto"/>
      </w:divBdr>
    </w:div>
    <w:div w:id="164829135">
      <w:bodyDiv w:val="1"/>
      <w:marLeft w:val="0"/>
      <w:marRight w:val="0"/>
      <w:marTop w:val="0"/>
      <w:marBottom w:val="0"/>
      <w:divBdr>
        <w:top w:val="none" w:sz="0" w:space="0" w:color="auto"/>
        <w:left w:val="none" w:sz="0" w:space="0" w:color="auto"/>
        <w:bottom w:val="none" w:sz="0" w:space="0" w:color="auto"/>
        <w:right w:val="none" w:sz="0" w:space="0" w:color="auto"/>
      </w:divBdr>
    </w:div>
    <w:div w:id="192040152">
      <w:bodyDiv w:val="1"/>
      <w:marLeft w:val="0"/>
      <w:marRight w:val="0"/>
      <w:marTop w:val="0"/>
      <w:marBottom w:val="0"/>
      <w:divBdr>
        <w:top w:val="none" w:sz="0" w:space="0" w:color="auto"/>
        <w:left w:val="none" w:sz="0" w:space="0" w:color="auto"/>
        <w:bottom w:val="none" w:sz="0" w:space="0" w:color="auto"/>
        <w:right w:val="none" w:sz="0" w:space="0" w:color="auto"/>
      </w:divBdr>
    </w:div>
    <w:div w:id="196936261">
      <w:bodyDiv w:val="1"/>
      <w:marLeft w:val="0"/>
      <w:marRight w:val="0"/>
      <w:marTop w:val="0"/>
      <w:marBottom w:val="0"/>
      <w:divBdr>
        <w:top w:val="none" w:sz="0" w:space="0" w:color="auto"/>
        <w:left w:val="none" w:sz="0" w:space="0" w:color="auto"/>
        <w:bottom w:val="none" w:sz="0" w:space="0" w:color="auto"/>
        <w:right w:val="none" w:sz="0" w:space="0" w:color="auto"/>
      </w:divBdr>
    </w:div>
    <w:div w:id="238828328">
      <w:bodyDiv w:val="1"/>
      <w:marLeft w:val="0"/>
      <w:marRight w:val="0"/>
      <w:marTop w:val="0"/>
      <w:marBottom w:val="0"/>
      <w:divBdr>
        <w:top w:val="none" w:sz="0" w:space="0" w:color="auto"/>
        <w:left w:val="none" w:sz="0" w:space="0" w:color="auto"/>
        <w:bottom w:val="none" w:sz="0" w:space="0" w:color="auto"/>
        <w:right w:val="none" w:sz="0" w:space="0" w:color="auto"/>
      </w:divBdr>
    </w:div>
    <w:div w:id="250163406">
      <w:bodyDiv w:val="1"/>
      <w:marLeft w:val="0"/>
      <w:marRight w:val="0"/>
      <w:marTop w:val="0"/>
      <w:marBottom w:val="0"/>
      <w:divBdr>
        <w:top w:val="none" w:sz="0" w:space="0" w:color="auto"/>
        <w:left w:val="none" w:sz="0" w:space="0" w:color="auto"/>
        <w:bottom w:val="none" w:sz="0" w:space="0" w:color="auto"/>
        <w:right w:val="none" w:sz="0" w:space="0" w:color="auto"/>
      </w:divBdr>
    </w:div>
    <w:div w:id="272714543">
      <w:bodyDiv w:val="1"/>
      <w:marLeft w:val="0"/>
      <w:marRight w:val="0"/>
      <w:marTop w:val="0"/>
      <w:marBottom w:val="0"/>
      <w:divBdr>
        <w:top w:val="none" w:sz="0" w:space="0" w:color="auto"/>
        <w:left w:val="none" w:sz="0" w:space="0" w:color="auto"/>
        <w:bottom w:val="none" w:sz="0" w:space="0" w:color="auto"/>
        <w:right w:val="none" w:sz="0" w:space="0" w:color="auto"/>
      </w:divBdr>
    </w:div>
    <w:div w:id="274019777">
      <w:bodyDiv w:val="1"/>
      <w:marLeft w:val="0"/>
      <w:marRight w:val="0"/>
      <w:marTop w:val="0"/>
      <w:marBottom w:val="0"/>
      <w:divBdr>
        <w:top w:val="none" w:sz="0" w:space="0" w:color="auto"/>
        <w:left w:val="none" w:sz="0" w:space="0" w:color="auto"/>
        <w:bottom w:val="none" w:sz="0" w:space="0" w:color="auto"/>
        <w:right w:val="none" w:sz="0" w:space="0" w:color="auto"/>
      </w:divBdr>
    </w:div>
    <w:div w:id="275403721">
      <w:bodyDiv w:val="1"/>
      <w:marLeft w:val="0"/>
      <w:marRight w:val="0"/>
      <w:marTop w:val="0"/>
      <w:marBottom w:val="0"/>
      <w:divBdr>
        <w:top w:val="none" w:sz="0" w:space="0" w:color="auto"/>
        <w:left w:val="none" w:sz="0" w:space="0" w:color="auto"/>
        <w:bottom w:val="none" w:sz="0" w:space="0" w:color="auto"/>
        <w:right w:val="none" w:sz="0" w:space="0" w:color="auto"/>
      </w:divBdr>
    </w:div>
    <w:div w:id="278027816">
      <w:bodyDiv w:val="1"/>
      <w:marLeft w:val="0"/>
      <w:marRight w:val="0"/>
      <w:marTop w:val="0"/>
      <w:marBottom w:val="0"/>
      <w:divBdr>
        <w:top w:val="none" w:sz="0" w:space="0" w:color="auto"/>
        <w:left w:val="none" w:sz="0" w:space="0" w:color="auto"/>
        <w:bottom w:val="none" w:sz="0" w:space="0" w:color="auto"/>
        <w:right w:val="none" w:sz="0" w:space="0" w:color="auto"/>
      </w:divBdr>
    </w:div>
    <w:div w:id="313534890">
      <w:bodyDiv w:val="1"/>
      <w:marLeft w:val="0"/>
      <w:marRight w:val="0"/>
      <w:marTop w:val="0"/>
      <w:marBottom w:val="0"/>
      <w:divBdr>
        <w:top w:val="none" w:sz="0" w:space="0" w:color="auto"/>
        <w:left w:val="none" w:sz="0" w:space="0" w:color="auto"/>
        <w:bottom w:val="none" w:sz="0" w:space="0" w:color="auto"/>
        <w:right w:val="none" w:sz="0" w:space="0" w:color="auto"/>
      </w:divBdr>
    </w:div>
    <w:div w:id="315649985">
      <w:bodyDiv w:val="1"/>
      <w:marLeft w:val="0"/>
      <w:marRight w:val="0"/>
      <w:marTop w:val="0"/>
      <w:marBottom w:val="0"/>
      <w:divBdr>
        <w:top w:val="none" w:sz="0" w:space="0" w:color="auto"/>
        <w:left w:val="none" w:sz="0" w:space="0" w:color="auto"/>
        <w:bottom w:val="none" w:sz="0" w:space="0" w:color="auto"/>
        <w:right w:val="none" w:sz="0" w:space="0" w:color="auto"/>
      </w:divBdr>
    </w:div>
    <w:div w:id="327294150">
      <w:bodyDiv w:val="1"/>
      <w:marLeft w:val="0"/>
      <w:marRight w:val="0"/>
      <w:marTop w:val="0"/>
      <w:marBottom w:val="0"/>
      <w:divBdr>
        <w:top w:val="none" w:sz="0" w:space="0" w:color="auto"/>
        <w:left w:val="none" w:sz="0" w:space="0" w:color="auto"/>
        <w:bottom w:val="none" w:sz="0" w:space="0" w:color="auto"/>
        <w:right w:val="none" w:sz="0" w:space="0" w:color="auto"/>
      </w:divBdr>
    </w:div>
    <w:div w:id="336539518">
      <w:bodyDiv w:val="1"/>
      <w:marLeft w:val="0"/>
      <w:marRight w:val="0"/>
      <w:marTop w:val="0"/>
      <w:marBottom w:val="0"/>
      <w:divBdr>
        <w:top w:val="none" w:sz="0" w:space="0" w:color="auto"/>
        <w:left w:val="none" w:sz="0" w:space="0" w:color="auto"/>
        <w:bottom w:val="none" w:sz="0" w:space="0" w:color="auto"/>
        <w:right w:val="none" w:sz="0" w:space="0" w:color="auto"/>
      </w:divBdr>
    </w:div>
    <w:div w:id="345599900">
      <w:bodyDiv w:val="1"/>
      <w:marLeft w:val="0"/>
      <w:marRight w:val="0"/>
      <w:marTop w:val="0"/>
      <w:marBottom w:val="0"/>
      <w:divBdr>
        <w:top w:val="none" w:sz="0" w:space="0" w:color="auto"/>
        <w:left w:val="none" w:sz="0" w:space="0" w:color="auto"/>
        <w:bottom w:val="none" w:sz="0" w:space="0" w:color="auto"/>
        <w:right w:val="none" w:sz="0" w:space="0" w:color="auto"/>
      </w:divBdr>
    </w:div>
    <w:div w:id="347752059">
      <w:bodyDiv w:val="1"/>
      <w:marLeft w:val="0"/>
      <w:marRight w:val="0"/>
      <w:marTop w:val="0"/>
      <w:marBottom w:val="0"/>
      <w:divBdr>
        <w:top w:val="none" w:sz="0" w:space="0" w:color="auto"/>
        <w:left w:val="none" w:sz="0" w:space="0" w:color="auto"/>
        <w:bottom w:val="none" w:sz="0" w:space="0" w:color="auto"/>
        <w:right w:val="none" w:sz="0" w:space="0" w:color="auto"/>
      </w:divBdr>
    </w:div>
    <w:div w:id="397019759">
      <w:bodyDiv w:val="1"/>
      <w:marLeft w:val="0"/>
      <w:marRight w:val="0"/>
      <w:marTop w:val="0"/>
      <w:marBottom w:val="0"/>
      <w:divBdr>
        <w:top w:val="none" w:sz="0" w:space="0" w:color="auto"/>
        <w:left w:val="none" w:sz="0" w:space="0" w:color="auto"/>
        <w:bottom w:val="none" w:sz="0" w:space="0" w:color="auto"/>
        <w:right w:val="none" w:sz="0" w:space="0" w:color="auto"/>
      </w:divBdr>
    </w:div>
    <w:div w:id="417362283">
      <w:bodyDiv w:val="1"/>
      <w:marLeft w:val="0"/>
      <w:marRight w:val="0"/>
      <w:marTop w:val="0"/>
      <w:marBottom w:val="0"/>
      <w:divBdr>
        <w:top w:val="none" w:sz="0" w:space="0" w:color="auto"/>
        <w:left w:val="none" w:sz="0" w:space="0" w:color="auto"/>
        <w:bottom w:val="none" w:sz="0" w:space="0" w:color="auto"/>
        <w:right w:val="none" w:sz="0" w:space="0" w:color="auto"/>
      </w:divBdr>
    </w:div>
    <w:div w:id="425347069">
      <w:bodyDiv w:val="1"/>
      <w:marLeft w:val="0"/>
      <w:marRight w:val="0"/>
      <w:marTop w:val="0"/>
      <w:marBottom w:val="0"/>
      <w:divBdr>
        <w:top w:val="none" w:sz="0" w:space="0" w:color="auto"/>
        <w:left w:val="none" w:sz="0" w:space="0" w:color="auto"/>
        <w:bottom w:val="none" w:sz="0" w:space="0" w:color="auto"/>
        <w:right w:val="none" w:sz="0" w:space="0" w:color="auto"/>
      </w:divBdr>
    </w:div>
    <w:div w:id="425464143">
      <w:bodyDiv w:val="1"/>
      <w:marLeft w:val="0"/>
      <w:marRight w:val="0"/>
      <w:marTop w:val="0"/>
      <w:marBottom w:val="0"/>
      <w:divBdr>
        <w:top w:val="none" w:sz="0" w:space="0" w:color="auto"/>
        <w:left w:val="none" w:sz="0" w:space="0" w:color="auto"/>
        <w:bottom w:val="none" w:sz="0" w:space="0" w:color="auto"/>
        <w:right w:val="none" w:sz="0" w:space="0" w:color="auto"/>
      </w:divBdr>
    </w:div>
    <w:div w:id="476999525">
      <w:bodyDiv w:val="1"/>
      <w:marLeft w:val="0"/>
      <w:marRight w:val="0"/>
      <w:marTop w:val="0"/>
      <w:marBottom w:val="0"/>
      <w:divBdr>
        <w:top w:val="none" w:sz="0" w:space="0" w:color="auto"/>
        <w:left w:val="none" w:sz="0" w:space="0" w:color="auto"/>
        <w:bottom w:val="none" w:sz="0" w:space="0" w:color="auto"/>
        <w:right w:val="none" w:sz="0" w:space="0" w:color="auto"/>
      </w:divBdr>
    </w:div>
    <w:div w:id="478571241">
      <w:bodyDiv w:val="1"/>
      <w:marLeft w:val="0"/>
      <w:marRight w:val="0"/>
      <w:marTop w:val="0"/>
      <w:marBottom w:val="0"/>
      <w:divBdr>
        <w:top w:val="none" w:sz="0" w:space="0" w:color="auto"/>
        <w:left w:val="none" w:sz="0" w:space="0" w:color="auto"/>
        <w:bottom w:val="none" w:sz="0" w:space="0" w:color="auto"/>
        <w:right w:val="none" w:sz="0" w:space="0" w:color="auto"/>
      </w:divBdr>
    </w:div>
    <w:div w:id="484974403">
      <w:bodyDiv w:val="1"/>
      <w:marLeft w:val="0"/>
      <w:marRight w:val="0"/>
      <w:marTop w:val="0"/>
      <w:marBottom w:val="0"/>
      <w:divBdr>
        <w:top w:val="none" w:sz="0" w:space="0" w:color="auto"/>
        <w:left w:val="none" w:sz="0" w:space="0" w:color="auto"/>
        <w:bottom w:val="none" w:sz="0" w:space="0" w:color="auto"/>
        <w:right w:val="none" w:sz="0" w:space="0" w:color="auto"/>
      </w:divBdr>
    </w:div>
    <w:div w:id="488786309">
      <w:bodyDiv w:val="1"/>
      <w:marLeft w:val="0"/>
      <w:marRight w:val="0"/>
      <w:marTop w:val="0"/>
      <w:marBottom w:val="0"/>
      <w:divBdr>
        <w:top w:val="none" w:sz="0" w:space="0" w:color="auto"/>
        <w:left w:val="none" w:sz="0" w:space="0" w:color="auto"/>
        <w:bottom w:val="none" w:sz="0" w:space="0" w:color="auto"/>
        <w:right w:val="none" w:sz="0" w:space="0" w:color="auto"/>
      </w:divBdr>
    </w:div>
    <w:div w:id="491719416">
      <w:bodyDiv w:val="1"/>
      <w:marLeft w:val="0"/>
      <w:marRight w:val="0"/>
      <w:marTop w:val="0"/>
      <w:marBottom w:val="0"/>
      <w:divBdr>
        <w:top w:val="none" w:sz="0" w:space="0" w:color="auto"/>
        <w:left w:val="none" w:sz="0" w:space="0" w:color="auto"/>
        <w:bottom w:val="none" w:sz="0" w:space="0" w:color="auto"/>
        <w:right w:val="none" w:sz="0" w:space="0" w:color="auto"/>
      </w:divBdr>
    </w:div>
    <w:div w:id="494103953">
      <w:bodyDiv w:val="1"/>
      <w:marLeft w:val="0"/>
      <w:marRight w:val="0"/>
      <w:marTop w:val="0"/>
      <w:marBottom w:val="0"/>
      <w:divBdr>
        <w:top w:val="none" w:sz="0" w:space="0" w:color="auto"/>
        <w:left w:val="none" w:sz="0" w:space="0" w:color="auto"/>
        <w:bottom w:val="none" w:sz="0" w:space="0" w:color="auto"/>
        <w:right w:val="none" w:sz="0" w:space="0" w:color="auto"/>
      </w:divBdr>
    </w:div>
    <w:div w:id="501090588">
      <w:bodyDiv w:val="1"/>
      <w:marLeft w:val="0"/>
      <w:marRight w:val="0"/>
      <w:marTop w:val="0"/>
      <w:marBottom w:val="0"/>
      <w:divBdr>
        <w:top w:val="none" w:sz="0" w:space="0" w:color="auto"/>
        <w:left w:val="none" w:sz="0" w:space="0" w:color="auto"/>
        <w:bottom w:val="none" w:sz="0" w:space="0" w:color="auto"/>
        <w:right w:val="none" w:sz="0" w:space="0" w:color="auto"/>
      </w:divBdr>
    </w:div>
    <w:div w:id="508914537">
      <w:bodyDiv w:val="1"/>
      <w:marLeft w:val="0"/>
      <w:marRight w:val="0"/>
      <w:marTop w:val="0"/>
      <w:marBottom w:val="0"/>
      <w:divBdr>
        <w:top w:val="none" w:sz="0" w:space="0" w:color="auto"/>
        <w:left w:val="none" w:sz="0" w:space="0" w:color="auto"/>
        <w:bottom w:val="none" w:sz="0" w:space="0" w:color="auto"/>
        <w:right w:val="none" w:sz="0" w:space="0" w:color="auto"/>
      </w:divBdr>
    </w:div>
    <w:div w:id="513617715">
      <w:bodyDiv w:val="1"/>
      <w:marLeft w:val="0"/>
      <w:marRight w:val="0"/>
      <w:marTop w:val="0"/>
      <w:marBottom w:val="0"/>
      <w:divBdr>
        <w:top w:val="none" w:sz="0" w:space="0" w:color="auto"/>
        <w:left w:val="none" w:sz="0" w:space="0" w:color="auto"/>
        <w:bottom w:val="none" w:sz="0" w:space="0" w:color="auto"/>
        <w:right w:val="none" w:sz="0" w:space="0" w:color="auto"/>
      </w:divBdr>
    </w:div>
    <w:div w:id="519046075">
      <w:bodyDiv w:val="1"/>
      <w:marLeft w:val="0"/>
      <w:marRight w:val="0"/>
      <w:marTop w:val="0"/>
      <w:marBottom w:val="0"/>
      <w:divBdr>
        <w:top w:val="none" w:sz="0" w:space="0" w:color="auto"/>
        <w:left w:val="none" w:sz="0" w:space="0" w:color="auto"/>
        <w:bottom w:val="none" w:sz="0" w:space="0" w:color="auto"/>
        <w:right w:val="none" w:sz="0" w:space="0" w:color="auto"/>
      </w:divBdr>
    </w:div>
    <w:div w:id="524757925">
      <w:bodyDiv w:val="1"/>
      <w:marLeft w:val="0"/>
      <w:marRight w:val="0"/>
      <w:marTop w:val="0"/>
      <w:marBottom w:val="0"/>
      <w:divBdr>
        <w:top w:val="none" w:sz="0" w:space="0" w:color="auto"/>
        <w:left w:val="none" w:sz="0" w:space="0" w:color="auto"/>
        <w:bottom w:val="none" w:sz="0" w:space="0" w:color="auto"/>
        <w:right w:val="none" w:sz="0" w:space="0" w:color="auto"/>
      </w:divBdr>
    </w:div>
    <w:div w:id="526523189">
      <w:bodyDiv w:val="1"/>
      <w:marLeft w:val="0"/>
      <w:marRight w:val="0"/>
      <w:marTop w:val="0"/>
      <w:marBottom w:val="0"/>
      <w:divBdr>
        <w:top w:val="none" w:sz="0" w:space="0" w:color="auto"/>
        <w:left w:val="none" w:sz="0" w:space="0" w:color="auto"/>
        <w:bottom w:val="none" w:sz="0" w:space="0" w:color="auto"/>
        <w:right w:val="none" w:sz="0" w:space="0" w:color="auto"/>
      </w:divBdr>
    </w:div>
    <w:div w:id="537400428">
      <w:bodyDiv w:val="1"/>
      <w:marLeft w:val="0"/>
      <w:marRight w:val="0"/>
      <w:marTop w:val="0"/>
      <w:marBottom w:val="0"/>
      <w:divBdr>
        <w:top w:val="none" w:sz="0" w:space="0" w:color="auto"/>
        <w:left w:val="none" w:sz="0" w:space="0" w:color="auto"/>
        <w:bottom w:val="none" w:sz="0" w:space="0" w:color="auto"/>
        <w:right w:val="none" w:sz="0" w:space="0" w:color="auto"/>
      </w:divBdr>
    </w:div>
    <w:div w:id="559098093">
      <w:bodyDiv w:val="1"/>
      <w:marLeft w:val="0"/>
      <w:marRight w:val="0"/>
      <w:marTop w:val="0"/>
      <w:marBottom w:val="0"/>
      <w:divBdr>
        <w:top w:val="none" w:sz="0" w:space="0" w:color="auto"/>
        <w:left w:val="none" w:sz="0" w:space="0" w:color="auto"/>
        <w:bottom w:val="none" w:sz="0" w:space="0" w:color="auto"/>
        <w:right w:val="none" w:sz="0" w:space="0" w:color="auto"/>
      </w:divBdr>
    </w:div>
    <w:div w:id="571694508">
      <w:bodyDiv w:val="1"/>
      <w:marLeft w:val="0"/>
      <w:marRight w:val="0"/>
      <w:marTop w:val="0"/>
      <w:marBottom w:val="0"/>
      <w:divBdr>
        <w:top w:val="none" w:sz="0" w:space="0" w:color="auto"/>
        <w:left w:val="none" w:sz="0" w:space="0" w:color="auto"/>
        <w:bottom w:val="none" w:sz="0" w:space="0" w:color="auto"/>
        <w:right w:val="none" w:sz="0" w:space="0" w:color="auto"/>
      </w:divBdr>
    </w:div>
    <w:div w:id="601765384">
      <w:bodyDiv w:val="1"/>
      <w:marLeft w:val="0"/>
      <w:marRight w:val="0"/>
      <w:marTop w:val="0"/>
      <w:marBottom w:val="0"/>
      <w:divBdr>
        <w:top w:val="none" w:sz="0" w:space="0" w:color="auto"/>
        <w:left w:val="none" w:sz="0" w:space="0" w:color="auto"/>
        <w:bottom w:val="none" w:sz="0" w:space="0" w:color="auto"/>
        <w:right w:val="none" w:sz="0" w:space="0" w:color="auto"/>
      </w:divBdr>
    </w:div>
    <w:div w:id="606039432">
      <w:bodyDiv w:val="1"/>
      <w:marLeft w:val="0"/>
      <w:marRight w:val="0"/>
      <w:marTop w:val="0"/>
      <w:marBottom w:val="0"/>
      <w:divBdr>
        <w:top w:val="none" w:sz="0" w:space="0" w:color="auto"/>
        <w:left w:val="none" w:sz="0" w:space="0" w:color="auto"/>
        <w:bottom w:val="none" w:sz="0" w:space="0" w:color="auto"/>
        <w:right w:val="none" w:sz="0" w:space="0" w:color="auto"/>
      </w:divBdr>
    </w:div>
    <w:div w:id="609246302">
      <w:bodyDiv w:val="1"/>
      <w:marLeft w:val="0"/>
      <w:marRight w:val="0"/>
      <w:marTop w:val="0"/>
      <w:marBottom w:val="0"/>
      <w:divBdr>
        <w:top w:val="none" w:sz="0" w:space="0" w:color="auto"/>
        <w:left w:val="none" w:sz="0" w:space="0" w:color="auto"/>
        <w:bottom w:val="none" w:sz="0" w:space="0" w:color="auto"/>
        <w:right w:val="none" w:sz="0" w:space="0" w:color="auto"/>
      </w:divBdr>
    </w:div>
    <w:div w:id="616761554">
      <w:bodyDiv w:val="1"/>
      <w:marLeft w:val="0"/>
      <w:marRight w:val="0"/>
      <w:marTop w:val="0"/>
      <w:marBottom w:val="0"/>
      <w:divBdr>
        <w:top w:val="none" w:sz="0" w:space="0" w:color="auto"/>
        <w:left w:val="none" w:sz="0" w:space="0" w:color="auto"/>
        <w:bottom w:val="none" w:sz="0" w:space="0" w:color="auto"/>
        <w:right w:val="none" w:sz="0" w:space="0" w:color="auto"/>
      </w:divBdr>
    </w:div>
    <w:div w:id="619534068">
      <w:bodyDiv w:val="1"/>
      <w:marLeft w:val="0"/>
      <w:marRight w:val="0"/>
      <w:marTop w:val="0"/>
      <w:marBottom w:val="0"/>
      <w:divBdr>
        <w:top w:val="none" w:sz="0" w:space="0" w:color="auto"/>
        <w:left w:val="none" w:sz="0" w:space="0" w:color="auto"/>
        <w:bottom w:val="none" w:sz="0" w:space="0" w:color="auto"/>
        <w:right w:val="none" w:sz="0" w:space="0" w:color="auto"/>
      </w:divBdr>
    </w:div>
    <w:div w:id="625310691">
      <w:bodyDiv w:val="1"/>
      <w:marLeft w:val="0"/>
      <w:marRight w:val="0"/>
      <w:marTop w:val="0"/>
      <w:marBottom w:val="0"/>
      <w:divBdr>
        <w:top w:val="none" w:sz="0" w:space="0" w:color="auto"/>
        <w:left w:val="none" w:sz="0" w:space="0" w:color="auto"/>
        <w:bottom w:val="none" w:sz="0" w:space="0" w:color="auto"/>
        <w:right w:val="none" w:sz="0" w:space="0" w:color="auto"/>
      </w:divBdr>
    </w:div>
    <w:div w:id="629675606">
      <w:bodyDiv w:val="1"/>
      <w:marLeft w:val="0"/>
      <w:marRight w:val="0"/>
      <w:marTop w:val="0"/>
      <w:marBottom w:val="0"/>
      <w:divBdr>
        <w:top w:val="none" w:sz="0" w:space="0" w:color="auto"/>
        <w:left w:val="none" w:sz="0" w:space="0" w:color="auto"/>
        <w:bottom w:val="none" w:sz="0" w:space="0" w:color="auto"/>
        <w:right w:val="none" w:sz="0" w:space="0" w:color="auto"/>
      </w:divBdr>
    </w:div>
    <w:div w:id="638726669">
      <w:bodyDiv w:val="1"/>
      <w:marLeft w:val="0"/>
      <w:marRight w:val="0"/>
      <w:marTop w:val="0"/>
      <w:marBottom w:val="0"/>
      <w:divBdr>
        <w:top w:val="none" w:sz="0" w:space="0" w:color="auto"/>
        <w:left w:val="none" w:sz="0" w:space="0" w:color="auto"/>
        <w:bottom w:val="none" w:sz="0" w:space="0" w:color="auto"/>
        <w:right w:val="none" w:sz="0" w:space="0" w:color="auto"/>
      </w:divBdr>
    </w:div>
    <w:div w:id="641422728">
      <w:bodyDiv w:val="1"/>
      <w:marLeft w:val="0"/>
      <w:marRight w:val="0"/>
      <w:marTop w:val="0"/>
      <w:marBottom w:val="0"/>
      <w:divBdr>
        <w:top w:val="none" w:sz="0" w:space="0" w:color="auto"/>
        <w:left w:val="none" w:sz="0" w:space="0" w:color="auto"/>
        <w:bottom w:val="none" w:sz="0" w:space="0" w:color="auto"/>
        <w:right w:val="none" w:sz="0" w:space="0" w:color="auto"/>
      </w:divBdr>
    </w:div>
    <w:div w:id="645203565">
      <w:bodyDiv w:val="1"/>
      <w:marLeft w:val="0"/>
      <w:marRight w:val="0"/>
      <w:marTop w:val="0"/>
      <w:marBottom w:val="0"/>
      <w:divBdr>
        <w:top w:val="none" w:sz="0" w:space="0" w:color="auto"/>
        <w:left w:val="none" w:sz="0" w:space="0" w:color="auto"/>
        <w:bottom w:val="none" w:sz="0" w:space="0" w:color="auto"/>
        <w:right w:val="none" w:sz="0" w:space="0" w:color="auto"/>
      </w:divBdr>
    </w:div>
    <w:div w:id="654771281">
      <w:bodyDiv w:val="1"/>
      <w:marLeft w:val="0"/>
      <w:marRight w:val="0"/>
      <w:marTop w:val="0"/>
      <w:marBottom w:val="0"/>
      <w:divBdr>
        <w:top w:val="none" w:sz="0" w:space="0" w:color="auto"/>
        <w:left w:val="none" w:sz="0" w:space="0" w:color="auto"/>
        <w:bottom w:val="none" w:sz="0" w:space="0" w:color="auto"/>
        <w:right w:val="none" w:sz="0" w:space="0" w:color="auto"/>
      </w:divBdr>
    </w:div>
    <w:div w:id="660742681">
      <w:bodyDiv w:val="1"/>
      <w:marLeft w:val="0"/>
      <w:marRight w:val="0"/>
      <w:marTop w:val="0"/>
      <w:marBottom w:val="0"/>
      <w:divBdr>
        <w:top w:val="none" w:sz="0" w:space="0" w:color="auto"/>
        <w:left w:val="none" w:sz="0" w:space="0" w:color="auto"/>
        <w:bottom w:val="none" w:sz="0" w:space="0" w:color="auto"/>
        <w:right w:val="none" w:sz="0" w:space="0" w:color="auto"/>
      </w:divBdr>
    </w:div>
    <w:div w:id="690375325">
      <w:bodyDiv w:val="1"/>
      <w:marLeft w:val="0"/>
      <w:marRight w:val="0"/>
      <w:marTop w:val="0"/>
      <w:marBottom w:val="0"/>
      <w:divBdr>
        <w:top w:val="none" w:sz="0" w:space="0" w:color="auto"/>
        <w:left w:val="none" w:sz="0" w:space="0" w:color="auto"/>
        <w:bottom w:val="none" w:sz="0" w:space="0" w:color="auto"/>
        <w:right w:val="none" w:sz="0" w:space="0" w:color="auto"/>
      </w:divBdr>
    </w:div>
    <w:div w:id="699165531">
      <w:bodyDiv w:val="1"/>
      <w:marLeft w:val="0"/>
      <w:marRight w:val="0"/>
      <w:marTop w:val="0"/>
      <w:marBottom w:val="0"/>
      <w:divBdr>
        <w:top w:val="none" w:sz="0" w:space="0" w:color="auto"/>
        <w:left w:val="none" w:sz="0" w:space="0" w:color="auto"/>
        <w:bottom w:val="none" w:sz="0" w:space="0" w:color="auto"/>
        <w:right w:val="none" w:sz="0" w:space="0" w:color="auto"/>
      </w:divBdr>
    </w:div>
    <w:div w:id="704915070">
      <w:bodyDiv w:val="1"/>
      <w:marLeft w:val="0"/>
      <w:marRight w:val="0"/>
      <w:marTop w:val="0"/>
      <w:marBottom w:val="0"/>
      <w:divBdr>
        <w:top w:val="none" w:sz="0" w:space="0" w:color="auto"/>
        <w:left w:val="none" w:sz="0" w:space="0" w:color="auto"/>
        <w:bottom w:val="none" w:sz="0" w:space="0" w:color="auto"/>
        <w:right w:val="none" w:sz="0" w:space="0" w:color="auto"/>
      </w:divBdr>
    </w:div>
    <w:div w:id="707799543">
      <w:bodyDiv w:val="1"/>
      <w:marLeft w:val="0"/>
      <w:marRight w:val="0"/>
      <w:marTop w:val="0"/>
      <w:marBottom w:val="0"/>
      <w:divBdr>
        <w:top w:val="none" w:sz="0" w:space="0" w:color="auto"/>
        <w:left w:val="none" w:sz="0" w:space="0" w:color="auto"/>
        <w:bottom w:val="none" w:sz="0" w:space="0" w:color="auto"/>
        <w:right w:val="none" w:sz="0" w:space="0" w:color="auto"/>
      </w:divBdr>
    </w:div>
    <w:div w:id="713190774">
      <w:bodyDiv w:val="1"/>
      <w:marLeft w:val="0"/>
      <w:marRight w:val="0"/>
      <w:marTop w:val="0"/>
      <w:marBottom w:val="0"/>
      <w:divBdr>
        <w:top w:val="none" w:sz="0" w:space="0" w:color="auto"/>
        <w:left w:val="none" w:sz="0" w:space="0" w:color="auto"/>
        <w:bottom w:val="none" w:sz="0" w:space="0" w:color="auto"/>
        <w:right w:val="none" w:sz="0" w:space="0" w:color="auto"/>
      </w:divBdr>
    </w:div>
    <w:div w:id="719093282">
      <w:bodyDiv w:val="1"/>
      <w:marLeft w:val="0"/>
      <w:marRight w:val="0"/>
      <w:marTop w:val="0"/>
      <w:marBottom w:val="0"/>
      <w:divBdr>
        <w:top w:val="none" w:sz="0" w:space="0" w:color="auto"/>
        <w:left w:val="none" w:sz="0" w:space="0" w:color="auto"/>
        <w:bottom w:val="none" w:sz="0" w:space="0" w:color="auto"/>
        <w:right w:val="none" w:sz="0" w:space="0" w:color="auto"/>
      </w:divBdr>
    </w:div>
    <w:div w:id="729233639">
      <w:bodyDiv w:val="1"/>
      <w:marLeft w:val="0"/>
      <w:marRight w:val="0"/>
      <w:marTop w:val="0"/>
      <w:marBottom w:val="0"/>
      <w:divBdr>
        <w:top w:val="none" w:sz="0" w:space="0" w:color="auto"/>
        <w:left w:val="none" w:sz="0" w:space="0" w:color="auto"/>
        <w:bottom w:val="none" w:sz="0" w:space="0" w:color="auto"/>
        <w:right w:val="none" w:sz="0" w:space="0" w:color="auto"/>
      </w:divBdr>
    </w:div>
    <w:div w:id="732629705">
      <w:bodyDiv w:val="1"/>
      <w:marLeft w:val="0"/>
      <w:marRight w:val="0"/>
      <w:marTop w:val="0"/>
      <w:marBottom w:val="0"/>
      <w:divBdr>
        <w:top w:val="none" w:sz="0" w:space="0" w:color="auto"/>
        <w:left w:val="none" w:sz="0" w:space="0" w:color="auto"/>
        <w:bottom w:val="none" w:sz="0" w:space="0" w:color="auto"/>
        <w:right w:val="none" w:sz="0" w:space="0" w:color="auto"/>
      </w:divBdr>
    </w:div>
    <w:div w:id="787436853">
      <w:bodyDiv w:val="1"/>
      <w:marLeft w:val="0"/>
      <w:marRight w:val="0"/>
      <w:marTop w:val="0"/>
      <w:marBottom w:val="0"/>
      <w:divBdr>
        <w:top w:val="none" w:sz="0" w:space="0" w:color="auto"/>
        <w:left w:val="none" w:sz="0" w:space="0" w:color="auto"/>
        <w:bottom w:val="none" w:sz="0" w:space="0" w:color="auto"/>
        <w:right w:val="none" w:sz="0" w:space="0" w:color="auto"/>
      </w:divBdr>
    </w:div>
    <w:div w:id="795296672">
      <w:bodyDiv w:val="1"/>
      <w:marLeft w:val="0"/>
      <w:marRight w:val="0"/>
      <w:marTop w:val="0"/>
      <w:marBottom w:val="0"/>
      <w:divBdr>
        <w:top w:val="none" w:sz="0" w:space="0" w:color="auto"/>
        <w:left w:val="none" w:sz="0" w:space="0" w:color="auto"/>
        <w:bottom w:val="none" w:sz="0" w:space="0" w:color="auto"/>
        <w:right w:val="none" w:sz="0" w:space="0" w:color="auto"/>
      </w:divBdr>
    </w:div>
    <w:div w:id="806439714">
      <w:bodyDiv w:val="1"/>
      <w:marLeft w:val="0"/>
      <w:marRight w:val="0"/>
      <w:marTop w:val="0"/>
      <w:marBottom w:val="0"/>
      <w:divBdr>
        <w:top w:val="none" w:sz="0" w:space="0" w:color="auto"/>
        <w:left w:val="none" w:sz="0" w:space="0" w:color="auto"/>
        <w:bottom w:val="none" w:sz="0" w:space="0" w:color="auto"/>
        <w:right w:val="none" w:sz="0" w:space="0" w:color="auto"/>
      </w:divBdr>
    </w:div>
    <w:div w:id="832526429">
      <w:bodyDiv w:val="1"/>
      <w:marLeft w:val="0"/>
      <w:marRight w:val="0"/>
      <w:marTop w:val="0"/>
      <w:marBottom w:val="0"/>
      <w:divBdr>
        <w:top w:val="none" w:sz="0" w:space="0" w:color="auto"/>
        <w:left w:val="none" w:sz="0" w:space="0" w:color="auto"/>
        <w:bottom w:val="none" w:sz="0" w:space="0" w:color="auto"/>
        <w:right w:val="none" w:sz="0" w:space="0" w:color="auto"/>
      </w:divBdr>
    </w:div>
    <w:div w:id="833642830">
      <w:bodyDiv w:val="1"/>
      <w:marLeft w:val="0"/>
      <w:marRight w:val="0"/>
      <w:marTop w:val="0"/>
      <w:marBottom w:val="0"/>
      <w:divBdr>
        <w:top w:val="none" w:sz="0" w:space="0" w:color="auto"/>
        <w:left w:val="none" w:sz="0" w:space="0" w:color="auto"/>
        <w:bottom w:val="none" w:sz="0" w:space="0" w:color="auto"/>
        <w:right w:val="none" w:sz="0" w:space="0" w:color="auto"/>
      </w:divBdr>
    </w:div>
    <w:div w:id="836655694">
      <w:bodyDiv w:val="1"/>
      <w:marLeft w:val="0"/>
      <w:marRight w:val="0"/>
      <w:marTop w:val="0"/>
      <w:marBottom w:val="0"/>
      <w:divBdr>
        <w:top w:val="none" w:sz="0" w:space="0" w:color="auto"/>
        <w:left w:val="none" w:sz="0" w:space="0" w:color="auto"/>
        <w:bottom w:val="none" w:sz="0" w:space="0" w:color="auto"/>
        <w:right w:val="none" w:sz="0" w:space="0" w:color="auto"/>
      </w:divBdr>
    </w:div>
    <w:div w:id="837581039">
      <w:bodyDiv w:val="1"/>
      <w:marLeft w:val="0"/>
      <w:marRight w:val="0"/>
      <w:marTop w:val="0"/>
      <w:marBottom w:val="0"/>
      <w:divBdr>
        <w:top w:val="none" w:sz="0" w:space="0" w:color="auto"/>
        <w:left w:val="none" w:sz="0" w:space="0" w:color="auto"/>
        <w:bottom w:val="none" w:sz="0" w:space="0" w:color="auto"/>
        <w:right w:val="none" w:sz="0" w:space="0" w:color="auto"/>
      </w:divBdr>
    </w:div>
    <w:div w:id="837814823">
      <w:bodyDiv w:val="1"/>
      <w:marLeft w:val="0"/>
      <w:marRight w:val="0"/>
      <w:marTop w:val="0"/>
      <w:marBottom w:val="0"/>
      <w:divBdr>
        <w:top w:val="none" w:sz="0" w:space="0" w:color="auto"/>
        <w:left w:val="none" w:sz="0" w:space="0" w:color="auto"/>
        <w:bottom w:val="none" w:sz="0" w:space="0" w:color="auto"/>
        <w:right w:val="none" w:sz="0" w:space="0" w:color="auto"/>
      </w:divBdr>
    </w:div>
    <w:div w:id="838033991">
      <w:bodyDiv w:val="1"/>
      <w:marLeft w:val="0"/>
      <w:marRight w:val="0"/>
      <w:marTop w:val="0"/>
      <w:marBottom w:val="0"/>
      <w:divBdr>
        <w:top w:val="none" w:sz="0" w:space="0" w:color="auto"/>
        <w:left w:val="none" w:sz="0" w:space="0" w:color="auto"/>
        <w:bottom w:val="none" w:sz="0" w:space="0" w:color="auto"/>
        <w:right w:val="none" w:sz="0" w:space="0" w:color="auto"/>
      </w:divBdr>
    </w:div>
    <w:div w:id="844440579">
      <w:bodyDiv w:val="1"/>
      <w:marLeft w:val="0"/>
      <w:marRight w:val="0"/>
      <w:marTop w:val="0"/>
      <w:marBottom w:val="0"/>
      <w:divBdr>
        <w:top w:val="none" w:sz="0" w:space="0" w:color="auto"/>
        <w:left w:val="none" w:sz="0" w:space="0" w:color="auto"/>
        <w:bottom w:val="none" w:sz="0" w:space="0" w:color="auto"/>
        <w:right w:val="none" w:sz="0" w:space="0" w:color="auto"/>
      </w:divBdr>
    </w:div>
    <w:div w:id="861742618">
      <w:bodyDiv w:val="1"/>
      <w:marLeft w:val="0"/>
      <w:marRight w:val="0"/>
      <w:marTop w:val="0"/>
      <w:marBottom w:val="0"/>
      <w:divBdr>
        <w:top w:val="none" w:sz="0" w:space="0" w:color="auto"/>
        <w:left w:val="none" w:sz="0" w:space="0" w:color="auto"/>
        <w:bottom w:val="none" w:sz="0" w:space="0" w:color="auto"/>
        <w:right w:val="none" w:sz="0" w:space="0" w:color="auto"/>
      </w:divBdr>
    </w:div>
    <w:div w:id="883370059">
      <w:bodyDiv w:val="1"/>
      <w:marLeft w:val="0"/>
      <w:marRight w:val="0"/>
      <w:marTop w:val="0"/>
      <w:marBottom w:val="0"/>
      <w:divBdr>
        <w:top w:val="none" w:sz="0" w:space="0" w:color="auto"/>
        <w:left w:val="none" w:sz="0" w:space="0" w:color="auto"/>
        <w:bottom w:val="none" w:sz="0" w:space="0" w:color="auto"/>
        <w:right w:val="none" w:sz="0" w:space="0" w:color="auto"/>
      </w:divBdr>
    </w:div>
    <w:div w:id="884370620">
      <w:bodyDiv w:val="1"/>
      <w:marLeft w:val="0"/>
      <w:marRight w:val="0"/>
      <w:marTop w:val="0"/>
      <w:marBottom w:val="0"/>
      <w:divBdr>
        <w:top w:val="none" w:sz="0" w:space="0" w:color="auto"/>
        <w:left w:val="none" w:sz="0" w:space="0" w:color="auto"/>
        <w:bottom w:val="none" w:sz="0" w:space="0" w:color="auto"/>
        <w:right w:val="none" w:sz="0" w:space="0" w:color="auto"/>
      </w:divBdr>
    </w:div>
    <w:div w:id="898518225">
      <w:bodyDiv w:val="1"/>
      <w:marLeft w:val="0"/>
      <w:marRight w:val="0"/>
      <w:marTop w:val="0"/>
      <w:marBottom w:val="0"/>
      <w:divBdr>
        <w:top w:val="none" w:sz="0" w:space="0" w:color="auto"/>
        <w:left w:val="none" w:sz="0" w:space="0" w:color="auto"/>
        <w:bottom w:val="none" w:sz="0" w:space="0" w:color="auto"/>
        <w:right w:val="none" w:sz="0" w:space="0" w:color="auto"/>
      </w:divBdr>
    </w:div>
    <w:div w:id="912082196">
      <w:bodyDiv w:val="1"/>
      <w:marLeft w:val="0"/>
      <w:marRight w:val="0"/>
      <w:marTop w:val="0"/>
      <w:marBottom w:val="0"/>
      <w:divBdr>
        <w:top w:val="none" w:sz="0" w:space="0" w:color="auto"/>
        <w:left w:val="none" w:sz="0" w:space="0" w:color="auto"/>
        <w:bottom w:val="none" w:sz="0" w:space="0" w:color="auto"/>
        <w:right w:val="none" w:sz="0" w:space="0" w:color="auto"/>
      </w:divBdr>
    </w:div>
    <w:div w:id="930089351">
      <w:bodyDiv w:val="1"/>
      <w:marLeft w:val="0"/>
      <w:marRight w:val="0"/>
      <w:marTop w:val="0"/>
      <w:marBottom w:val="0"/>
      <w:divBdr>
        <w:top w:val="none" w:sz="0" w:space="0" w:color="auto"/>
        <w:left w:val="none" w:sz="0" w:space="0" w:color="auto"/>
        <w:bottom w:val="none" w:sz="0" w:space="0" w:color="auto"/>
        <w:right w:val="none" w:sz="0" w:space="0" w:color="auto"/>
      </w:divBdr>
    </w:div>
    <w:div w:id="948657049">
      <w:bodyDiv w:val="1"/>
      <w:marLeft w:val="0"/>
      <w:marRight w:val="0"/>
      <w:marTop w:val="0"/>
      <w:marBottom w:val="0"/>
      <w:divBdr>
        <w:top w:val="none" w:sz="0" w:space="0" w:color="auto"/>
        <w:left w:val="none" w:sz="0" w:space="0" w:color="auto"/>
        <w:bottom w:val="none" w:sz="0" w:space="0" w:color="auto"/>
        <w:right w:val="none" w:sz="0" w:space="0" w:color="auto"/>
      </w:divBdr>
    </w:div>
    <w:div w:id="956066879">
      <w:bodyDiv w:val="1"/>
      <w:marLeft w:val="0"/>
      <w:marRight w:val="0"/>
      <w:marTop w:val="0"/>
      <w:marBottom w:val="0"/>
      <w:divBdr>
        <w:top w:val="none" w:sz="0" w:space="0" w:color="auto"/>
        <w:left w:val="none" w:sz="0" w:space="0" w:color="auto"/>
        <w:bottom w:val="none" w:sz="0" w:space="0" w:color="auto"/>
        <w:right w:val="none" w:sz="0" w:space="0" w:color="auto"/>
      </w:divBdr>
    </w:div>
    <w:div w:id="962615311">
      <w:bodyDiv w:val="1"/>
      <w:marLeft w:val="0"/>
      <w:marRight w:val="0"/>
      <w:marTop w:val="0"/>
      <w:marBottom w:val="0"/>
      <w:divBdr>
        <w:top w:val="none" w:sz="0" w:space="0" w:color="auto"/>
        <w:left w:val="none" w:sz="0" w:space="0" w:color="auto"/>
        <w:bottom w:val="none" w:sz="0" w:space="0" w:color="auto"/>
        <w:right w:val="none" w:sz="0" w:space="0" w:color="auto"/>
      </w:divBdr>
    </w:div>
    <w:div w:id="978653585">
      <w:bodyDiv w:val="1"/>
      <w:marLeft w:val="0"/>
      <w:marRight w:val="0"/>
      <w:marTop w:val="0"/>
      <w:marBottom w:val="0"/>
      <w:divBdr>
        <w:top w:val="none" w:sz="0" w:space="0" w:color="auto"/>
        <w:left w:val="none" w:sz="0" w:space="0" w:color="auto"/>
        <w:bottom w:val="none" w:sz="0" w:space="0" w:color="auto"/>
        <w:right w:val="none" w:sz="0" w:space="0" w:color="auto"/>
      </w:divBdr>
    </w:div>
    <w:div w:id="981882442">
      <w:bodyDiv w:val="1"/>
      <w:marLeft w:val="0"/>
      <w:marRight w:val="0"/>
      <w:marTop w:val="0"/>
      <w:marBottom w:val="0"/>
      <w:divBdr>
        <w:top w:val="none" w:sz="0" w:space="0" w:color="auto"/>
        <w:left w:val="none" w:sz="0" w:space="0" w:color="auto"/>
        <w:bottom w:val="none" w:sz="0" w:space="0" w:color="auto"/>
        <w:right w:val="none" w:sz="0" w:space="0" w:color="auto"/>
      </w:divBdr>
    </w:div>
    <w:div w:id="991637017">
      <w:bodyDiv w:val="1"/>
      <w:marLeft w:val="0"/>
      <w:marRight w:val="0"/>
      <w:marTop w:val="0"/>
      <w:marBottom w:val="0"/>
      <w:divBdr>
        <w:top w:val="none" w:sz="0" w:space="0" w:color="auto"/>
        <w:left w:val="none" w:sz="0" w:space="0" w:color="auto"/>
        <w:bottom w:val="none" w:sz="0" w:space="0" w:color="auto"/>
        <w:right w:val="none" w:sz="0" w:space="0" w:color="auto"/>
      </w:divBdr>
    </w:div>
    <w:div w:id="1010110095">
      <w:bodyDiv w:val="1"/>
      <w:marLeft w:val="0"/>
      <w:marRight w:val="0"/>
      <w:marTop w:val="0"/>
      <w:marBottom w:val="0"/>
      <w:divBdr>
        <w:top w:val="none" w:sz="0" w:space="0" w:color="auto"/>
        <w:left w:val="none" w:sz="0" w:space="0" w:color="auto"/>
        <w:bottom w:val="none" w:sz="0" w:space="0" w:color="auto"/>
        <w:right w:val="none" w:sz="0" w:space="0" w:color="auto"/>
      </w:divBdr>
    </w:div>
    <w:div w:id="1022440379">
      <w:bodyDiv w:val="1"/>
      <w:marLeft w:val="0"/>
      <w:marRight w:val="0"/>
      <w:marTop w:val="0"/>
      <w:marBottom w:val="0"/>
      <w:divBdr>
        <w:top w:val="none" w:sz="0" w:space="0" w:color="auto"/>
        <w:left w:val="none" w:sz="0" w:space="0" w:color="auto"/>
        <w:bottom w:val="none" w:sz="0" w:space="0" w:color="auto"/>
        <w:right w:val="none" w:sz="0" w:space="0" w:color="auto"/>
      </w:divBdr>
    </w:div>
    <w:div w:id="1028991174">
      <w:bodyDiv w:val="1"/>
      <w:marLeft w:val="0"/>
      <w:marRight w:val="0"/>
      <w:marTop w:val="0"/>
      <w:marBottom w:val="0"/>
      <w:divBdr>
        <w:top w:val="none" w:sz="0" w:space="0" w:color="auto"/>
        <w:left w:val="none" w:sz="0" w:space="0" w:color="auto"/>
        <w:bottom w:val="none" w:sz="0" w:space="0" w:color="auto"/>
        <w:right w:val="none" w:sz="0" w:space="0" w:color="auto"/>
      </w:divBdr>
    </w:div>
    <w:div w:id="1056658998">
      <w:bodyDiv w:val="1"/>
      <w:marLeft w:val="0"/>
      <w:marRight w:val="0"/>
      <w:marTop w:val="0"/>
      <w:marBottom w:val="0"/>
      <w:divBdr>
        <w:top w:val="none" w:sz="0" w:space="0" w:color="auto"/>
        <w:left w:val="none" w:sz="0" w:space="0" w:color="auto"/>
        <w:bottom w:val="none" w:sz="0" w:space="0" w:color="auto"/>
        <w:right w:val="none" w:sz="0" w:space="0" w:color="auto"/>
      </w:divBdr>
    </w:div>
    <w:div w:id="1074401019">
      <w:bodyDiv w:val="1"/>
      <w:marLeft w:val="0"/>
      <w:marRight w:val="0"/>
      <w:marTop w:val="0"/>
      <w:marBottom w:val="0"/>
      <w:divBdr>
        <w:top w:val="none" w:sz="0" w:space="0" w:color="auto"/>
        <w:left w:val="none" w:sz="0" w:space="0" w:color="auto"/>
        <w:bottom w:val="none" w:sz="0" w:space="0" w:color="auto"/>
        <w:right w:val="none" w:sz="0" w:space="0" w:color="auto"/>
      </w:divBdr>
    </w:div>
    <w:div w:id="1076630674">
      <w:bodyDiv w:val="1"/>
      <w:marLeft w:val="0"/>
      <w:marRight w:val="0"/>
      <w:marTop w:val="0"/>
      <w:marBottom w:val="0"/>
      <w:divBdr>
        <w:top w:val="none" w:sz="0" w:space="0" w:color="auto"/>
        <w:left w:val="none" w:sz="0" w:space="0" w:color="auto"/>
        <w:bottom w:val="none" w:sz="0" w:space="0" w:color="auto"/>
        <w:right w:val="none" w:sz="0" w:space="0" w:color="auto"/>
      </w:divBdr>
    </w:div>
    <w:div w:id="1081171616">
      <w:bodyDiv w:val="1"/>
      <w:marLeft w:val="0"/>
      <w:marRight w:val="0"/>
      <w:marTop w:val="0"/>
      <w:marBottom w:val="0"/>
      <w:divBdr>
        <w:top w:val="none" w:sz="0" w:space="0" w:color="auto"/>
        <w:left w:val="none" w:sz="0" w:space="0" w:color="auto"/>
        <w:bottom w:val="none" w:sz="0" w:space="0" w:color="auto"/>
        <w:right w:val="none" w:sz="0" w:space="0" w:color="auto"/>
      </w:divBdr>
    </w:div>
    <w:div w:id="1083067795">
      <w:bodyDiv w:val="1"/>
      <w:marLeft w:val="0"/>
      <w:marRight w:val="0"/>
      <w:marTop w:val="0"/>
      <w:marBottom w:val="0"/>
      <w:divBdr>
        <w:top w:val="none" w:sz="0" w:space="0" w:color="auto"/>
        <w:left w:val="none" w:sz="0" w:space="0" w:color="auto"/>
        <w:bottom w:val="none" w:sz="0" w:space="0" w:color="auto"/>
        <w:right w:val="none" w:sz="0" w:space="0" w:color="auto"/>
      </w:divBdr>
    </w:div>
    <w:div w:id="1087314260">
      <w:bodyDiv w:val="1"/>
      <w:marLeft w:val="0"/>
      <w:marRight w:val="0"/>
      <w:marTop w:val="0"/>
      <w:marBottom w:val="0"/>
      <w:divBdr>
        <w:top w:val="none" w:sz="0" w:space="0" w:color="auto"/>
        <w:left w:val="none" w:sz="0" w:space="0" w:color="auto"/>
        <w:bottom w:val="none" w:sz="0" w:space="0" w:color="auto"/>
        <w:right w:val="none" w:sz="0" w:space="0" w:color="auto"/>
      </w:divBdr>
    </w:div>
    <w:div w:id="1089810472">
      <w:bodyDiv w:val="1"/>
      <w:marLeft w:val="0"/>
      <w:marRight w:val="0"/>
      <w:marTop w:val="0"/>
      <w:marBottom w:val="0"/>
      <w:divBdr>
        <w:top w:val="none" w:sz="0" w:space="0" w:color="auto"/>
        <w:left w:val="none" w:sz="0" w:space="0" w:color="auto"/>
        <w:bottom w:val="none" w:sz="0" w:space="0" w:color="auto"/>
        <w:right w:val="none" w:sz="0" w:space="0" w:color="auto"/>
      </w:divBdr>
    </w:div>
    <w:div w:id="1092432277">
      <w:bodyDiv w:val="1"/>
      <w:marLeft w:val="0"/>
      <w:marRight w:val="0"/>
      <w:marTop w:val="0"/>
      <w:marBottom w:val="0"/>
      <w:divBdr>
        <w:top w:val="none" w:sz="0" w:space="0" w:color="auto"/>
        <w:left w:val="none" w:sz="0" w:space="0" w:color="auto"/>
        <w:bottom w:val="none" w:sz="0" w:space="0" w:color="auto"/>
        <w:right w:val="none" w:sz="0" w:space="0" w:color="auto"/>
      </w:divBdr>
    </w:div>
    <w:div w:id="1108619534">
      <w:bodyDiv w:val="1"/>
      <w:marLeft w:val="0"/>
      <w:marRight w:val="0"/>
      <w:marTop w:val="0"/>
      <w:marBottom w:val="0"/>
      <w:divBdr>
        <w:top w:val="none" w:sz="0" w:space="0" w:color="auto"/>
        <w:left w:val="none" w:sz="0" w:space="0" w:color="auto"/>
        <w:bottom w:val="none" w:sz="0" w:space="0" w:color="auto"/>
        <w:right w:val="none" w:sz="0" w:space="0" w:color="auto"/>
      </w:divBdr>
    </w:div>
    <w:div w:id="1109277819">
      <w:bodyDiv w:val="1"/>
      <w:marLeft w:val="0"/>
      <w:marRight w:val="0"/>
      <w:marTop w:val="0"/>
      <w:marBottom w:val="0"/>
      <w:divBdr>
        <w:top w:val="none" w:sz="0" w:space="0" w:color="auto"/>
        <w:left w:val="none" w:sz="0" w:space="0" w:color="auto"/>
        <w:bottom w:val="none" w:sz="0" w:space="0" w:color="auto"/>
        <w:right w:val="none" w:sz="0" w:space="0" w:color="auto"/>
      </w:divBdr>
    </w:div>
    <w:div w:id="1114518101">
      <w:bodyDiv w:val="1"/>
      <w:marLeft w:val="0"/>
      <w:marRight w:val="0"/>
      <w:marTop w:val="0"/>
      <w:marBottom w:val="0"/>
      <w:divBdr>
        <w:top w:val="none" w:sz="0" w:space="0" w:color="auto"/>
        <w:left w:val="none" w:sz="0" w:space="0" w:color="auto"/>
        <w:bottom w:val="none" w:sz="0" w:space="0" w:color="auto"/>
        <w:right w:val="none" w:sz="0" w:space="0" w:color="auto"/>
      </w:divBdr>
    </w:div>
    <w:div w:id="1125581943">
      <w:bodyDiv w:val="1"/>
      <w:marLeft w:val="0"/>
      <w:marRight w:val="0"/>
      <w:marTop w:val="0"/>
      <w:marBottom w:val="0"/>
      <w:divBdr>
        <w:top w:val="none" w:sz="0" w:space="0" w:color="auto"/>
        <w:left w:val="none" w:sz="0" w:space="0" w:color="auto"/>
        <w:bottom w:val="none" w:sz="0" w:space="0" w:color="auto"/>
        <w:right w:val="none" w:sz="0" w:space="0" w:color="auto"/>
      </w:divBdr>
    </w:div>
    <w:div w:id="1127161380">
      <w:bodyDiv w:val="1"/>
      <w:marLeft w:val="0"/>
      <w:marRight w:val="0"/>
      <w:marTop w:val="0"/>
      <w:marBottom w:val="0"/>
      <w:divBdr>
        <w:top w:val="none" w:sz="0" w:space="0" w:color="auto"/>
        <w:left w:val="none" w:sz="0" w:space="0" w:color="auto"/>
        <w:bottom w:val="none" w:sz="0" w:space="0" w:color="auto"/>
        <w:right w:val="none" w:sz="0" w:space="0" w:color="auto"/>
      </w:divBdr>
    </w:div>
    <w:div w:id="1142232416">
      <w:bodyDiv w:val="1"/>
      <w:marLeft w:val="0"/>
      <w:marRight w:val="0"/>
      <w:marTop w:val="0"/>
      <w:marBottom w:val="0"/>
      <w:divBdr>
        <w:top w:val="none" w:sz="0" w:space="0" w:color="auto"/>
        <w:left w:val="none" w:sz="0" w:space="0" w:color="auto"/>
        <w:bottom w:val="none" w:sz="0" w:space="0" w:color="auto"/>
        <w:right w:val="none" w:sz="0" w:space="0" w:color="auto"/>
      </w:divBdr>
    </w:div>
    <w:div w:id="1159420223">
      <w:bodyDiv w:val="1"/>
      <w:marLeft w:val="0"/>
      <w:marRight w:val="0"/>
      <w:marTop w:val="0"/>
      <w:marBottom w:val="0"/>
      <w:divBdr>
        <w:top w:val="none" w:sz="0" w:space="0" w:color="auto"/>
        <w:left w:val="none" w:sz="0" w:space="0" w:color="auto"/>
        <w:bottom w:val="none" w:sz="0" w:space="0" w:color="auto"/>
        <w:right w:val="none" w:sz="0" w:space="0" w:color="auto"/>
      </w:divBdr>
    </w:div>
    <w:div w:id="1164197886">
      <w:bodyDiv w:val="1"/>
      <w:marLeft w:val="0"/>
      <w:marRight w:val="0"/>
      <w:marTop w:val="0"/>
      <w:marBottom w:val="0"/>
      <w:divBdr>
        <w:top w:val="none" w:sz="0" w:space="0" w:color="auto"/>
        <w:left w:val="none" w:sz="0" w:space="0" w:color="auto"/>
        <w:bottom w:val="none" w:sz="0" w:space="0" w:color="auto"/>
        <w:right w:val="none" w:sz="0" w:space="0" w:color="auto"/>
      </w:divBdr>
    </w:div>
    <w:div w:id="1166018578">
      <w:bodyDiv w:val="1"/>
      <w:marLeft w:val="0"/>
      <w:marRight w:val="0"/>
      <w:marTop w:val="0"/>
      <w:marBottom w:val="0"/>
      <w:divBdr>
        <w:top w:val="none" w:sz="0" w:space="0" w:color="auto"/>
        <w:left w:val="none" w:sz="0" w:space="0" w:color="auto"/>
        <w:bottom w:val="none" w:sz="0" w:space="0" w:color="auto"/>
        <w:right w:val="none" w:sz="0" w:space="0" w:color="auto"/>
      </w:divBdr>
    </w:div>
    <w:div w:id="1181239613">
      <w:bodyDiv w:val="1"/>
      <w:marLeft w:val="0"/>
      <w:marRight w:val="0"/>
      <w:marTop w:val="0"/>
      <w:marBottom w:val="0"/>
      <w:divBdr>
        <w:top w:val="none" w:sz="0" w:space="0" w:color="auto"/>
        <w:left w:val="none" w:sz="0" w:space="0" w:color="auto"/>
        <w:bottom w:val="none" w:sz="0" w:space="0" w:color="auto"/>
        <w:right w:val="none" w:sz="0" w:space="0" w:color="auto"/>
      </w:divBdr>
    </w:div>
    <w:div w:id="1188450653">
      <w:bodyDiv w:val="1"/>
      <w:marLeft w:val="0"/>
      <w:marRight w:val="0"/>
      <w:marTop w:val="0"/>
      <w:marBottom w:val="0"/>
      <w:divBdr>
        <w:top w:val="none" w:sz="0" w:space="0" w:color="auto"/>
        <w:left w:val="none" w:sz="0" w:space="0" w:color="auto"/>
        <w:bottom w:val="none" w:sz="0" w:space="0" w:color="auto"/>
        <w:right w:val="none" w:sz="0" w:space="0" w:color="auto"/>
      </w:divBdr>
    </w:div>
    <w:div w:id="1200318234">
      <w:bodyDiv w:val="1"/>
      <w:marLeft w:val="0"/>
      <w:marRight w:val="0"/>
      <w:marTop w:val="0"/>
      <w:marBottom w:val="0"/>
      <w:divBdr>
        <w:top w:val="none" w:sz="0" w:space="0" w:color="auto"/>
        <w:left w:val="none" w:sz="0" w:space="0" w:color="auto"/>
        <w:bottom w:val="none" w:sz="0" w:space="0" w:color="auto"/>
        <w:right w:val="none" w:sz="0" w:space="0" w:color="auto"/>
      </w:divBdr>
    </w:div>
    <w:div w:id="1229535657">
      <w:bodyDiv w:val="1"/>
      <w:marLeft w:val="0"/>
      <w:marRight w:val="0"/>
      <w:marTop w:val="0"/>
      <w:marBottom w:val="0"/>
      <w:divBdr>
        <w:top w:val="none" w:sz="0" w:space="0" w:color="auto"/>
        <w:left w:val="none" w:sz="0" w:space="0" w:color="auto"/>
        <w:bottom w:val="none" w:sz="0" w:space="0" w:color="auto"/>
        <w:right w:val="none" w:sz="0" w:space="0" w:color="auto"/>
      </w:divBdr>
    </w:div>
    <w:div w:id="1241259873">
      <w:bodyDiv w:val="1"/>
      <w:marLeft w:val="0"/>
      <w:marRight w:val="0"/>
      <w:marTop w:val="0"/>
      <w:marBottom w:val="0"/>
      <w:divBdr>
        <w:top w:val="none" w:sz="0" w:space="0" w:color="auto"/>
        <w:left w:val="none" w:sz="0" w:space="0" w:color="auto"/>
        <w:bottom w:val="none" w:sz="0" w:space="0" w:color="auto"/>
        <w:right w:val="none" w:sz="0" w:space="0" w:color="auto"/>
      </w:divBdr>
    </w:div>
    <w:div w:id="1243367431">
      <w:bodyDiv w:val="1"/>
      <w:marLeft w:val="0"/>
      <w:marRight w:val="0"/>
      <w:marTop w:val="0"/>
      <w:marBottom w:val="0"/>
      <w:divBdr>
        <w:top w:val="none" w:sz="0" w:space="0" w:color="auto"/>
        <w:left w:val="none" w:sz="0" w:space="0" w:color="auto"/>
        <w:bottom w:val="none" w:sz="0" w:space="0" w:color="auto"/>
        <w:right w:val="none" w:sz="0" w:space="0" w:color="auto"/>
      </w:divBdr>
    </w:div>
    <w:div w:id="1249267307">
      <w:bodyDiv w:val="1"/>
      <w:marLeft w:val="0"/>
      <w:marRight w:val="0"/>
      <w:marTop w:val="0"/>
      <w:marBottom w:val="0"/>
      <w:divBdr>
        <w:top w:val="none" w:sz="0" w:space="0" w:color="auto"/>
        <w:left w:val="none" w:sz="0" w:space="0" w:color="auto"/>
        <w:bottom w:val="none" w:sz="0" w:space="0" w:color="auto"/>
        <w:right w:val="none" w:sz="0" w:space="0" w:color="auto"/>
      </w:divBdr>
    </w:div>
    <w:div w:id="1254390918">
      <w:bodyDiv w:val="1"/>
      <w:marLeft w:val="0"/>
      <w:marRight w:val="0"/>
      <w:marTop w:val="0"/>
      <w:marBottom w:val="0"/>
      <w:divBdr>
        <w:top w:val="none" w:sz="0" w:space="0" w:color="auto"/>
        <w:left w:val="none" w:sz="0" w:space="0" w:color="auto"/>
        <w:bottom w:val="none" w:sz="0" w:space="0" w:color="auto"/>
        <w:right w:val="none" w:sz="0" w:space="0" w:color="auto"/>
      </w:divBdr>
    </w:div>
    <w:div w:id="1263802001">
      <w:bodyDiv w:val="1"/>
      <w:marLeft w:val="0"/>
      <w:marRight w:val="0"/>
      <w:marTop w:val="0"/>
      <w:marBottom w:val="0"/>
      <w:divBdr>
        <w:top w:val="none" w:sz="0" w:space="0" w:color="auto"/>
        <w:left w:val="none" w:sz="0" w:space="0" w:color="auto"/>
        <w:bottom w:val="none" w:sz="0" w:space="0" w:color="auto"/>
        <w:right w:val="none" w:sz="0" w:space="0" w:color="auto"/>
      </w:divBdr>
    </w:div>
    <w:div w:id="1267233115">
      <w:bodyDiv w:val="1"/>
      <w:marLeft w:val="0"/>
      <w:marRight w:val="0"/>
      <w:marTop w:val="0"/>
      <w:marBottom w:val="0"/>
      <w:divBdr>
        <w:top w:val="none" w:sz="0" w:space="0" w:color="auto"/>
        <w:left w:val="none" w:sz="0" w:space="0" w:color="auto"/>
        <w:bottom w:val="none" w:sz="0" w:space="0" w:color="auto"/>
        <w:right w:val="none" w:sz="0" w:space="0" w:color="auto"/>
      </w:divBdr>
    </w:div>
    <w:div w:id="1274240230">
      <w:bodyDiv w:val="1"/>
      <w:marLeft w:val="0"/>
      <w:marRight w:val="0"/>
      <w:marTop w:val="0"/>
      <w:marBottom w:val="0"/>
      <w:divBdr>
        <w:top w:val="none" w:sz="0" w:space="0" w:color="auto"/>
        <w:left w:val="none" w:sz="0" w:space="0" w:color="auto"/>
        <w:bottom w:val="none" w:sz="0" w:space="0" w:color="auto"/>
        <w:right w:val="none" w:sz="0" w:space="0" w:color="auto"/>
      </w:divBdr>
    </w:div>
    <w:div w:id="1289900325">
      <w:bodyDiv w:val="1"/>
      <w:marLeft w:val="0"/>
      <w:marRight w:val="0"/>
      <w:marTop w:val="0"/>
      <w:marBottom w:val="0"/>
      <w:divBdr>
        <w:top w:val="none" w:sz="0" w:space="0" w:color="auto"/>
        <w:left w:val="none" w:sz="0" w:space="0" w:color="auto"/>
        <w:bottom w:val="none" w:sz="0" w:space="0" w:color="auto"/>
        <w:right w:val="none" w:sz="0" w:space="0" w:color="auto"/>
      </w:divBdr>
    </w:div>
    <w:div w:id="1291085508">
      <w:bodyDiv w:val="1"/>
      <w:marLeft w:val="0"/>
      <w:marRight w:val="0"/>
      <w:marTop w:val="0"/>
      <w:marBottom w:val="0"/>
      <w:divBdr>
        <w:top w:val="none" w:sz="0" w:space="0" w:color="auto"/>
        <w:left w:val="none" w:sz="0" w:space="0" w:color="auto"/>
        <w:bottom w:val="none" w:sz="0" w:space="0" w:color="auto"/>
        <w:right w:val="none" w:sz="0" w:space="0" w:color="auto"/>
      </w:divBdr>
    </w:div>
    <w:div w:id="1294210600">
      <w:bodyDiv w:val="1"/>
      <w:marLeft w:val="0"/>
      <w:marRight w:val="0"/>
      <w:marTop w:val="0"/>
      <w:marBottom w:val="0"/>
      <w:divBdr>
        <w:top w:val="none" w:sz="0" w:space="0" w:color="auto"/>
        <w:left w:val="none" w:sz="0" w:space="0" w:color="auto"/>
        <w:bottom w:val="none" w:sz="0" w:space="0" w:color="auto"/>
        <w:right w:val="none" w:sz="0" w:space="0" w:color="auto"/>
      </w:divBdr>
    </w:div>
    <w:div w:id="1315136813">
      <w:bodyDiv w:val="1"/>
      <w:marLeft w:val="0"/>
      <w:marRight w:val="0"/>
      <w:marTop w:val="0"/>
      <w:marBottom w:val="0"/>
      <w:divBdr>
        <w:top w:val="none" w:sz="0" w:space="0" w:color="auto"/>
        <w:left w:val="none" w:sz="0" w:space="0" w:color="auto"/>
        <w:bottom w:val="none" w:sz="0" w:space="0" w:color="auto"/>
        <w:right w:val="none" w:sz="0" w:space="0" w:color="auto"/>
      </w:divBdr>
    </w:div>
    <w:div w:id="1332640895">
      <w:bodyDiv w:val="1"/>
      <w:marLeft w:val="0"/>
      <w:marRight w:val="0"/>
      <w:marTop w:val="0"/>
      <w:marBottom w:val="0"/>
      <w:divBdr>
        <w:top w:val="none" w:sz="0" w:space="0" w:color="auto"/>
        <w:left w:val="none" w:sz="0" w:space="0" w:color="auto"/>
        <w:bottom w:val="none" w:sz="0" w:space="0" w:color="auto"/>
        <w:right w:val="none" w:sz="0" w:space="0" w:color="auto"/>
      </w:divBdr>
    </w:div>
    <w:div w:id="1333726275">
      <w:bodyDiv w:val="1"/>
      <w:marLeft w:val="0"/>
      <w:marRight w:val="0"/>
      <w:marTop w:val="0"/>
      <w:marBottom w:val="0"/>
      <w:divBdr>
        <w:top w:val="none" w:sz="0" w:space="0" w:color="auto"/>
        <w:left w:val="none" w:sz="0" w:space="0" w:color="auto"/>
        <w:bottom w:val="none" w:sz="0" w:space="0" w:color="auto"/>
        <w:right w:val="none" w:sz="0" w:space="0" w:color="auto"/>
      </w:divBdr>
    </w:div>
    <w:div w:id="1345277904">
      <w:bodyDiv w:val="1"/>
      <w:marLeft w:val="0"/>
      <w:marRight w:val="0"/>
      <w:marTop w:val="0"/>
      <w:marBottom w:val="0"/>
      <w:divBdr>
        <w:top w:val="none" w:sz="0" w:space="0" w:color="auto"/>
        <w:left w:val="none" w:sz="0" w:space="0" w:color="auto"/>
        <w:bottom w:val="none" w:sz="0" w:space="0" w:color="auto"/>
        <w:right w:val="none" w:sz="0" w:space="0" w:color="auto"/>
      </w:divBdr>
    </w:div>
    <w:div w:id="1364557554">
      <w:bodyDiv w:val="1"/>
      <w:marLeft w:val="0"/>
      <w:marRight w:val="0"/>
      <w:marTop w:val="0"/>
      <w:marBottom w:val="0"/>
      <w:divBdr>
        <w:top w:val="none" w:sz="0" w:space="0" w:color="auto"/>
        <w:left w:val="none" w:sz="0" w:space="0" w:color="auto"/>
        <w:bottom w:val="none" w:sz="0" w:space="0" w:color="auto"/>
        <w:right w:val="none" w:sz="0" w:space="0" w:color="auto"/>
      </w:divBdr>
    </w:div>
    <w:div w:id="1367364930">
      <w:bodyDiv w:val="1"/>
      <w:marLeft w:val="0"/>
      <w:marRight w:val="0"/>
      <w:marTop w:val="0"/>
      <w:marBottom w:val="0"/>
      <w:divBdr>
        <w:top w:val="none" w:sz="0" w:space="0" w:color="auto"/>
        <w:left w:val="none" w:sz="0" w:space="0" w:color="auto"/>
        <w:bottom w:val="none" w:sz="0" w:space="0" w:color="auto"/>
        <w:right w:val="none" w:sz="0" w:space="0" w:color="auto"/>
      </w:divBdr>
    </w:div>
    <w:div w:id="1367683396">
      <w:bodyDiv w:val="1"/>
      <w:marLeft w:val="0"/>
      <w:marRight w:val="0"/>
      <w:marTop w:val="0"/>
      <w:marBottom w:val="0"/>
      <w:divBdr>
        <w:top w:val="none" w:sz="0" w:space="0" w:color="auto"/>
        <w:left w:val="none" w:sz="0" w:space="0" w:color="auto"/>
        <w:bottom w:val="none" w:sz="0" w:space="0" w:color="auto"/>
        <w:right w:val="none" w:sz="0" w:space="0" w:color="auto"/>
      </w:divBdr>
    </w:div>
    <w:div w:id="1383598828">
      <w:bodyDiv w:val="1"/>
      <w:marLeft w:val="0"/>
      <w:marRight w:val="0"/>
      <w:marTop w:val="0"/>
      <w:marBottom w:val="0"/>
      <w:divBdr>
        <w:top w:val="none" w:sz="0" w:space="0" w:color="auto"/>
        <w:left w:val="none" w:sz="0" w:space="0" w:color="auto"/>
        <w:bottom w:val="none" w:sz="0" w:space="0" w:color="auto"/>
        <w:right w:val="none" w:sz="0" w:space="0" w:color="auto"/>
      </w:divBdr>
    </w:div>
    <w:div w:id="1403213510">
      <w:bodyDiv w:val="1"/>
      <w:marLeft w:val="0"/>
      <w:marRight w:val="0"/>
      <w:marTop w:val="0"/>
      <w:marBottom w:val="0"/>
      <w:divBdr>
        <w:top w:val="none" w:sz="0" w:space="0" w:color="auto"/>
        <w:left w:val="none" w:sz="0" w:space="0" w:color="auto"/>
        <w:bottom w:val="none" w:sz="0" w:space="0" w:color="auto"/>
        <w:right w:val="none" w:sz="0" w:space="0" w:color="auto"/>
      </w:divBdr>
    </w:div>
    <w:div w:id="1409771971">
      <w:bodyDiv w:val="1"/>
      <w:marLeft w:val="0"/>
      <w:marRight w:val="0"/>
      <w:marTop w:val="0"/>
      <w:marBottom w:val="0"/>
      <w:divBdr>
        <w:top w:val="none" w:sz="0" w:space="0" w:color="auto"/>
        <w:left w:val="none" w:sz="0" w:space="0" w:color="auto"/>
        <w:bottom w:val="none" w:sz="0" w:space="0" w:color="auto"/>
        <w:right w:val="none" w:sz="0" w:space="0" w:color="auto"/>
      </w:divBdr>
    </w:div>
    <w:div w:id="1441871847">
      <w:bodyDiv w:val="1"/>
      <w:marLeft w:val="0"/>
      <w:marRight w:val="0"/>
      <w:marTop w:val="0"/>
      <w:marBottom w:val="0"/>
      <w:divBdr>
        <w:top w:val="none" w:sz="0" w:space="0" w:color="auto"/>
        <w:left w:val="none" w:sz="0" w:space="0" w:color="auto"/>
        <w:bottom w:val="none" w:sz="0" w:space="0" w:color="auto"/>
        <w:right w:val="none" w:sz="0" w:space="0" w:color="auto"/>
      </w:divBdr>
    </w:div>
    <w:div w:id="1444691840">
      <w:bodyDiv w:val="1"/>
      <w:marLeft w:val="0"/>
      <w:marRight w:val="0"/>
      <w:marTop w:val="0"/>
      <w:marBottom w:val="0"/>
      <w:divBdr>
        <w:top w:val="none" w:sz="0" w:space="0" w:color="auto"/>
        <w:left w:val="none" w:sz="0" w:space="0" w:color="auto"/>
        <w:bottom w:val="none" w:sz="0" w:space="0" w:color="auto"/>
        <w:right w:val="none" w:sz="0" w:space="0" w:color="auto"/>
      </w:divBdr>
    </w:div>
    <w:div w:id="1482455550">
      <w:bodyDiv w:val="1"/>
      <w:marLeft w:val="0"/>
      <w:marRight w:val="0"/>
      <w:marTop w:val="0"/>
      <w:marBottom w:val="0"/>
      <w:divBdr>
        <w:top w:val="none" w:sz="0" w:space="0" w:color="auto"/>
        <w:left w:val="none" w:sz="0" w:space="0" w:color="auto"/>
        <w:bottom w:val="none" w:sz="0" w:space="0" w:color="auto"/>
        <w:right w:val="none" w:sz="0" w:space="0" w:color="auto"/>
      </w:divBdr>
    </w:div>
    <w:div w:id="1483354665">
      <w:bodyDiv w:val="1"/>
      <w:marLeft w:val="0"/>
      <w:marRight w:val="0"/>
      <w:marTop w:val="0"/>
      <w:marBottom w:val="0"/>
      <w:divBdr>
        <w:top w:val="none" w:sz="0" w:space="0" w:color="auto"/>
        <w:left w:val="none" w:sz="0" w:space="0" w:color="auto"/>
        <w:bottom w:val="none" w:sz="0" w:space="0" w:color="auto"/>
        <w:right w:val="none" w:sz="0" w:space="0" w:color="auto"/>
      </w:divBdr>
    </w:div>
    <w:div w:id="1488978863">
      <w:bodyDiv w:val="1"/>
      <w:marLeft w:val="0"/>
      <w:marRight w:val="0"/>
      <w:marTop w:val="0"/>
      <w:marBottom w:val="0"/>
      <w:divBdr>
        <w:top w:val="none" w:sz="0" w:space="0" w:color="auto"/>
        <w:left w:val="none" w:sz="0" w:space="0" w:color="auto"/>
        <w:bottom w:val="none" w:sz="0" w:space="0" w:color="auto"/>
        <w:right w:val="none" w:sz="0" w:space="0" w:color="auto"/>
      </w:divBdr>
    </w:div>
    <w:div w:id="1491628579">
      <w:bodyDiv w:val="1"/>
      <w:marLeft w:val="0"/>
      <w:marRight w:val="0"/>
      <w:marTop w:val="0"/>
      <w:marBottom w:val="0"/>
      <w:divBdr>
        <w:top w:val="none" w:sz="0" w:space="0" w:color="auto"/>
        <w:left w:val="none" w:sz="0" w:space="0" w:color="auto"/>
        <w:bottom w:val="none" w:sz="0" w:space="0" w:color="auto"/>
        <w:right w:val="none" w:sz="0" w:space="0" w:color="auto"/>
      </w:divBdr>
    </w:div>
    <w:div w:id="1499151608">
      <w:bodyDiv w:val="1"/>
      <w:marLeft w:val="0"/>
      <w:marRight w:val="0"/>
      <w:marTop w:val="0"/>
      <w:marBottom w:val="0"/>
      <w:divBdr>
        <w:top w:val="none" w:sz="0" w:space="0" w:color="auto"/>
        <w:left w:val="none" w:sz="0" w:space="0" w:color="auto"/>
        <w:bottom w:val="none" w:sz="0" w:space="0" w:color="auto"/>
        <w:right w:val="none" w:sz="0" w:space="0" w:color="auto"/>
      </w:divBdr>
    </w:div>
    <w:div w:id="1499619403">
      <w:bodyDiv w:val="1"/>
      <w:marLeft w:val="0"/>
      <w:marRight w:val="0"/>
      <w:marTop w:val="0"/>
      <w:marBottom w:val="0"/>
      <w:divBdr>
        <w:top w:val="none" w:sz="0" w:space="0" w:color="auto"/>
        <w:left w:val="none" w:sz="0" w:space="0" w:color="auto"/>
        <w:bottom w:val="none" w:sz="0" w:space="0" w:color="auto"/>
        <w:right w:val="none" w:sz="0" w:space="0" w:color="auto"/>
      </w:divBdr>
    </w:div>
    <w:div w:id="1527328165">
      <w:bodyDiv w:val="1"/>
      <w:marLeft w:val="0"/>
      <w:marRight w:val="0"/>
      <w:marTop w:val="0"/>
      <w:marBottom w:val="0"/>
      <w:divBdr>
        <w:top w:val="none" w:sz="0" w:space="0" w:color="auto"/>
        <w:left w:val="none" w:sz="0" w:space="0" w:color="auto"/>
        <w:bottom w:val="none" w:sz="0" w:space="0" w:color="auto"/>
        <w:right w:val="none" w:sz="0" w:space="0" w:color="auto"/>
      </w:divBdr>
    </w:div>
    <w:div w:id="1539463856">
      <w:bodyDiv w:val="1"/>
      <w:marLeft w:val="0"/>
      <w:marRight w:val="0"/>
      <w:marTop w:val="0"/>
      <w:marBottom w:val="0"/>
      <w:divBdr>
        <w:top w:val="none" w:sz="0" w:space="0" w:color="auto"/>
        <w:left w:val="none" w:sz="0" w:space="0" w:color="auto"/>
        <w:bottom w:val="none" w:sz="0" w:space="0" w:color="auto"/>
        <w:right w:val="none" w:sz="0" w:space="0" w:color="auto"/>
      </w:divBdr>
    </w:div>
    <w:div w:id="1543324957">
      <w:bodyDiv w:val="1"/>
      <w:marLeft w:val="0"/>
      <w:marRight w:val="0"/>
      <w:marTop w:val="0"/>
      <w:marBottom w:val="0"/>
      <w:divBdr>
        <w:top w:val="none" w:sz="0" w:space="0" w:color="auto"/>
        <w:left w:val="none" w:sz="0" w:space="0" w:color="auto"/>
        <w:bottom w:val="none" w:sz="0" w:space="0" w:color="auto"/>
        <w:right w:val="none" w:sz="0" w:space="0" w:color="auto"/>
      </w:divBdr>
    </w:div>
    <w:div w:id="1562909281">
      <w:bodyDiv w:val="1"/>
      <w:marLeft w:val="0"/>
      <w:marRight w:val="0"/>
      <w:marTop w:val="0"/>
      <w:marBottom w:val="0"/>
      <w:divBdr>
        <w:top w:val="none" w:sz="0" w:space="0" w:color="auto"/>
        <w:left w:val="none" w:sz="0" w:space="0" w:color="auto"/>
        <w:bottom w:val="none" w:sz="0" w:space="0" w:color="auto"/>
        <w:right w:val="none" w:sz="0" w:space="0" w:color="auto"/>
      </w:divBdr>
    </w:div>
    <w:div w:id="1571234708">
      <w:bodyDiv w:val="1"/>
      <w:marLeft w:val="0"/>
      <w:marRight w:val="0"/>
      <w:marTop w:val="0"/>
      <w:marBottom w:val="0"/>
      <w:divBdr>
        <w:top w:val="none" w:sz="0" w:space="0" w:color="auto"/>
        <w:left w:val="none" w:sz="0" w:space="0" w:color="auto"/>
        <w:bottom w:val="none" w:sz="0" w:space="0" w:color="auto"/>
        <w:right w:val="none" w:sz="0" w:space="0" w:color="auto"/>
      </w:divBdr>
    </w:div>
    <w:div w:id="1575578798">
      <w:bodyDiv w:val="1"/>
      <w:marLeft w:val="0"/>
      <w:marRight w:val="0"/>
      <w:marTop w:val="0"/>
      <w:marBottom w:val="0"/>
      <w:divBdr>
        <w:top w:val="none" w:sz="0" w:space="0" w:color="auto"/>
        <w:left w:val="none" w:sz="0" w:space="0" w:color="auto"/>
        <w:bottom w:val="none" w:sz="0" w:space="0" w:color="auto"/>
        <w:right w:val="none" w:sz="0" w:space="0" w:color="auto"/>
      </w:divBdr>
    </w:div>
    <w:div w:id="1589657090">
      <w:bodyDiv w:val="1"/>
      <w:marLeft w:val="0"/>
      <w:marRight w:val="0"/>
      <w:marTop w:val="0"/>
      <w:marBottom w:val="0"/>
      <w:divBdr>
        <w:top w:val="none" w:sz="0" w:space="0" w:color="auto"/>
        <w:left w:val="none" w:sz="0" w:space="0" w:color="auto"/>
        <w:bottom w:val="none" w:sz="0" w:space="0" w:color="auto"/>
        <w:right w:val="none" w:sz="0" w:space="0" w:color="auto"/>
      </w:divBdr>
    </w:div>
    <w:div w:id="1615363338">
      <w:bodyDiv w:val="1"/>
      <w:marLeft w:val="0"/>
      <w:marRight w:val="0"/>
      <w:marTop w:val="0"/>
      <w:marBottom w:val="0"/>
      <w:divBdr>
        <w:top w:val="none" w:sz="0" w:space="0" w:color="auto"/>
        <w:left w:val="none" w:sz="0" w:space="0" w:color="auto"/>
        <w:bottom w:val="none" w:sz="0" w:space="0" w:color="auto"/>
        <w:right w:val="none" w:sz="0" w:space="0" w:color="auto"/>
      </w:divBdr>
    </w:div>
    <w:div w:id="1634601538">
      <w:bodyDiv w:val="1"/>
      <w:marLeft w:val="0"/>
      <w:marRight w:val="0"/>
      <w:marTop w:val="0"/>
      <w:marBottom w:val="0"/>
      <w:divBdr>
        <w:top w:val="none" w:sz="0" w:space="0" w:color="auto"/>
        <w:left w:val="none" w:sz="0" w:space="0" w:color="auto"/>
        <w:bottom w:val="none" w:sz="0" w:space="0" w:color="auto"/>
        <w:right w:val="none" w:sz="0" w:space="0" w:color="auto"/>
      </w:divBdr>
    </w:div>
    <w:div w:id="1642495913">
      <w:bodyDiv w:val="1"/>
      <w:marLeft w:val="0"/>
      <w:marRight w:val="0"/>
      <w:marTop w:val="0"/>
      <w:marBottom w:val="0"/>
      <w:divBdr>
        <w:top w:val="none" w:sz="0" w:space="0" w:color="auto"/>
        <w:left w:val="none" w:sz="0" w:space="0" w:color="auto"/>
        <w:bottom w:val="none" w:sz="0" w:space="0" w:color="auto"/>
        <w:right w:val="none" w:sz="0" w:space="0" w:color="auto"/>
      </w:divBdr>
    </w:div>
    <w:div w:id="1671059453">
      <w:bodyDiv w:val="1"/>
      <w:marLeft w:val="0"/>
      <w:marRight w:val="0"/>
      <w:marTop w:val="0"/>
      <w:marBottom w:val="0"/>
      <w:divBdr>
        <w:top w:val="none" w:sz="0" w:space="0" w:color="auto"/>
        <w:left w:val="none" w:sz="0" w:space="0" w:color="auto"/>
        <w:bottom w:val="none" w:sz="0" w:space="0" w:color="auto"/>
        <w:right w:val="none" w:sz="0" w:space="0" w:color="auto"/>
      </w:divBdr>
    </w:div>
    <w:div w:id="1674796812">
      <w:bodyDiv w:val="1"/>
      <w:marLeft w:val="0"/>
      <w:marRight w:val="0"/>
      <w:marTop w:val="0"/>
      <w:marBottom w:val="0"/>
      <w:divBdr>
        <w:top w:val="none" w:sz="0" w:space="0" w:color="auto"/>
        <w:left w:val="none" w:sz="0" w:space="0" w:color="auto"/>
        <w:bottom w:val="none" w:sz="0" w:space="0" w:color="auto"/>
        <w:right w:val="none" w:sz="0" w:space="0" w:color="auto"/>
      </w:divBdr>
    </w:div>
    <w:div w:id="1704747096">
      <w:bodyDiv w:val="1"/>
      <w:marLeft w:val="0"/>
      <w:marRight w:val="0"/>
      <w:marTop w:val="0"/>
      <w:marBottom w:val="0"/>
      <w:divBdr>
        <w:top w:val="none" w:sz="0" w:space="0" w:color="auto"/>
        <w:left w:val="none" w:sz="0" w:space="0" w:color="auto"/>
        <w:bottom w:val="none" w:sz="0" w:space="0" w:color="auto"/>
        <w:right w:val="none" w:sz="0" w:space="0" w:color="auto"/>
      </w:divBdr>
    </w:div>
    <w:div w:id="1706103905">
      <w:bodyDiv w:val="1"/>
      <w:marLeft w:val="0"/>
      <w:marRight w:val="0"/>
      <w:marTop w:val="0"/>
      <w:marBottom w:val="0"/>
      <w:divBdr>
        <w:top w:val="none" w:sz="0" w:space="0" w:color="auto"/>
        <w:left w:val="none" w:sz="0" w:space="0" w:color="auto"/>
        <w:bottom w:val="none" w:sz="0" w:space="0" w:color="auto"/>
        <w:right w:val="none" w:sz="0" w:space="0" w:color="auto"/>
      </w:divBdr>
    </w:div>
    <w:div w:id="1723366458">
      <w:bodyDiv w:val="1"/>
      <w:marLeft w:val="0"/>
      <w:marRight w:val="0"/>
      <w:marTop w:val="0"/>
      <w:marBottom w:val="0"/>
      <w:divBdr>
        <w:top w:val="none" w:sz="0" w:space="0" w:color="auto"/>
        <w:left w:val="none" w:sz="0" w:space="0" w:color="auto"/>
        <w:bottom w:val="none" w:sz="0" w:space="0" w:color="auto"/>
        <w:right w:val="none" w:sz="0" w:space="0" w:color="auto"/>
      </w:divBdr>
    </w:div>
    <w:div w:id="1726298003">
      <w:bodyDiv w:val="1"/>
      <w:marLeft w:val="0"/>
      <w:marRight w:val="0"/>
      <w:marTop w:val="0"/>
      <w:marBottom w:val="0"/>
      <w:divBdr>
        <w:top w:val="none" w:sz="0" w:space="0" w:color="auto"/>
        <w:left w:val="none" w:sz="0" w:space="0" w:color="auto"/>
        <w:bottom w:val="none" w:sz="0" w:space="0" w:color="auto"/>
        <w:right w:val="none" w:sz="0" w:space="0" w:color="auto"/>
      </w:divBdr>
    </w:div>
    <w:div w:id="1747414779">
      <w:bodyDiv w:val="1"/>
      <w:marLeft w:val="0"/>
      <w:marRight w:val="0"/>
      <w:marTop w:val="0"/>
      <w:marBottom w:val="0"/>
      <w:divBdr>
        <w:top w:val="none" w:sz="0" w:space="0" w:color="auto"/>
        <w:left w:val="none" w:sz="0" w:space="0" w:color="auto"/>
        <w:bottom w:val="none" w:sz="0" w:space="0" w:color="auto"/>
        <w:right w:val="none" w:sz="0" w:space="0" w:color="auto"/>
      </w:divBdr>
    </w:div>
    <w:div w:id="1761216601">
      <w:bodyDiv w:val="1"/>
      <w:marLeft w:val="0"/>
      <w:marRight w:val="0"/>
      <w:marTop w:val="0"/>
      <w:marBottom w:val="0"/>
      <w:divBdr>
        <w:top w:val="none" w:sz="0" w:space="0" w:color="auto"/>
        <w:left w:val="none" w:sz="0" w:space="0" w:color="auto"/>
        <w:bottom w:val="none" w:sz="0" w:space="0" w:color="auto"/>
        <w:right w:val="none" w:sz="0" w:space="0" w:color="auto"/>
      </w:divBdr>
    </w:div>
    <w:div w:id="1779837734">
      <w:bodyDiv w:val="1"/>
      <w:marLeft w:val="0"/>
      <w:marRight w:val="0"/>
      <w:marTop w:val="0"/>
      <w:marBottom w:val="0"/>
      <w:divBdr>
        <w:top w:val="none" w:sz="0" w:space="0" w:color="auto"/>
        <w:left w:val="none" w:sz="0" w:space="0" w:color="auto"/>
        <w:bottom w:val="none" w:sz="0" w:space="0" w:color="auto"/>
        <w:right w:val="none" w:sz="0" w:space="0" w:color="auto"/>
      </w:divBdr>
    </w:div>
    <w:div w:id="1783113728">
      <w:bodyDiv w:val="1"/>
      <w:marLeft w:val="0"/>
      <w:marRight w:val="0"/>
      <w:marTop w:val="0"/>
      <w:marBottom w:val="0"/>
      <w:divBdr>
        <w:top w:val="none" w:sz="0" w:space="0" w:color="auto"/>
        <w:left w:val="none" w:sz="0" w:space="0" w:color="auto"/>
        <w:bottom w:val="none" w:sz="0" w:space="0" w:color="auto"/>
        <w:right w:val="none" w:sz="0" w:space="0" w:color="auto"/>
      </w:divBdr>
    </w:div>
    <w:div w:id="1796287140">
      <w:bodyDiv w:val="1"/>
      <w:marLeft w:val="0"/>
      <w:marRight w:val="0"/>
      <w:marTop w:val="0"/>
      <w:marBottom w:val="0"/>
      <w:divBdr>
        <w:top w:val="none" w:sz="0" w:space="0" w:color="auto"/>
        <w:left w:val="none" w:sz="0" w:space="0" w:color="auto"/>
        <w:bottom w:val="none" w:sz="0" w:space="0" w:color="auto"/>
        <w:right w:val="none" w:sz="0" w:space="0" w:color="auto"/>
      </w:divBdr>
    </w:div>
    <w:div w:id="1818909298">
      <w:bodyDiv w:val="1"/>
      <w:marLeft w:val="0"/>
      <w:marRight w:val="0"/>
      <w:marTop w:val="0"/>
      <w:marBottom w:val="0"/>
      <w:divBdr>
        <w:top w:val="none" w:sz="0" w:space="0" w:color="auto"/>
        <w:left w:val="none" w:sz="0" w:space="0" w:color="auto"/>
        <w:bottom w:val="none" w:sz="0" w:space="0" w:color="auto"/>
        <w:right w:val="none" w:sz="0" w:space="0" w:color="auto"/>
      </w:divBdr>
    </w:div>
    <w:div w:id="1819498815">
      <w:bodyDiv w:val="1"/>
      <w:marLeft w:val="0"/>
      <w:marRight w:val="0"/>
      <w:marTop w:val="0"/>
      <w:marBottom w:val="0"/>
      <w:divBdr>
        <w:top w:val="none" w:sz="0" w:space="0" w:color="auto"/>
        <w:left w:val="none" w:sz="0" w:space="0" w:color="auto"/>
        <w:bottom w:val="none" w:sz="0" w:space="0" w:color="auto"/>
        <w:right w:val="none" w:sz="0" w:space="0" w:color="auto"/>
      </w:divBdr>
    </w:div>
    <w:div w:id="1821070841">
      <w:bodyDiv w:val="1"/>
      <w:marLeft w:val="0"/>
      <w:marRight w:val="0"/>
      <w:marTop w:val="0"/>
      <w:marBottom w:val="0"/>
      <w:divBdr>
        <w:top w:val="none" w:sz="0" w:space="0" w:color="auto"/>
        <w:left w:val="none" w:sz="0" w:space="0" w:color="auto"/>
        <w:bottom w:val="none" w:sz="0" w:space="0" w:color="auto"/>
        <w:right w:val="none" w:sz="0" w:space="0" w:color="auto"/>
      </w:divBdr>
    </w:div>
    <w:div w:id="1843005612">
      <w:bodyDiv w:val="1"/>
      <w:marLeft w:val="0"/>
      <w:marRight w:val="0"/>
      <w:marTop w:val="0"/>
      <w:marBottom w:val="0"/>
      <w:divBdr>
        <w:top w:val="none" w:sz="0" w:space="0" w:color="auto"/>
        <w:left w:val="none" w:sz="0" w:space="0" w:color="auto"/>
        <w:bottom w:val="none" w:sz="0" w:space="0" w:color="auto"/>
        <w:right w:val="none" w:sz="0" w:space="0" w:color="auto"/>
      </w:divBdr>
    </w:div>
    <w:div w:id="1843625682">
      <w:bodyDiv w:val="1"/>
      <w:marLeft w:val="0"/>
      <w:marRight w:val="0"/>
      <w:marTop w:val="0"/>
      <w:marBottom w:val="0"/>
      <w:divBdr>
        <w:top w:val="none" w:sz="0" w:space="0" w:color="auto"/>
        <w:left w:val="none" w:sz="0" w:space="0" w:color="auto"/>
        <w:bottom w:val="none" w:sz="0" w:space="0" w:color="auto"/>
        <w:right w:val="none" w:sz="0" w:space="0" w:color="auto"/>
      </w:divBdr>
    </w:div>
    <w:div w:id="1844582693">
      <w:bodyDiv w:val="1"/>
      <w:marLeft w:val="0"/>
      <w:marRight w:val="0"/>
      <w:marTop w:val="0"/>
      <w:marBottom w:val="0"/>
      <w:divBdr>
        <w:top w:val="none" w:sz="0" w:space="0" w:color="auto"/>
        <w:left w:val="none" w:sz="0" w:space="0" w:color="auto"/>
        <w:bottom w:val="none" w:sz="0" w:space="0" w:color="auto"/>
        <w:right w:val="none" w:sz="0" w:space="0" w:color="auto"/>
      </w:divBdr>
    </w:div>
    <w:div w:id="1860240354">
      <w:bodyDiv w:val="1"/>
      <w:marLeft w:val="0"/>
      <w:marRight w:val="0"/>
      <w:marTop w:val="0"/>
      <w:marBottom w:val="0"/>
      <w:divBdr>
        <w:top w:val="none" w:sz="0" w:space="0" w:color="auto"/>
        <w:left w:val="none" w:sz="0" w:space="0" w:color="auto"/>
        <w:bottom w:val="none" w:sz="0" w:space="0" w:color="auto"/>
        <w:right w:val="none" w:sz="0" w:space="0" w:color="auto"/>
      </w:divBdr>
    </w:div>
    <w:div w:id="1869681476">
      <w:bodyDiv w:val="1"/>
      <w:marLeft w:val="0"/>
      <w:marRight w:val="0"/>
      <w:marTop w:val="0"/>
      <w:marBottom w:val="0"/>
      <w:divBdr>
        <w:top w:val="none" w:sz="0" w:space="0" w:color="auto"/>
        <w:left w:val="none" w:sz="0" w:space="0" w:color="auto"/>
        <w:bottom w:val="none" w:sz="0" w:space="0" w:color="auto"/>
        <w:right w:val="none" w:sz="0" w:space="0" w:color="auto"/>
      </w:divBdr>
    </w:div>
    <w:div w:id="1875389003">
      <w:bodyDiv w:val="1"/>
      <w:marLeft w:val="0"/>
      <w:marRight w:val="0"/>
      <w:marTop w:val="0"/>
      <w:marBottom w:val="0"/>
      <w:divBdr>
        <w:top w:val="none" w:sz="0" w:space="0" w:color="auto"/>
        <w:left w:val="none" w:sz="0" w:space="0" w:color="auto"/>
        <w:bottom w:val="none" w:sz="0" w:space="0" w:color="auto"/>
        <w:right w:val="none" w:sz="0" w:space="0" w:color="auto"/>
      </w:divBdr>
    </w:div>
    <w:div w:id="1888178184">
      <w:bodyDiv w:val="1"/>
      <w:marLeft w:val="0"/>
      <w:marRight w:val="0"/>
      <w:marTop w:val="0"/>
      <w:marBottom w:val="0"/>
      <w:divBdr>
        <w:top w:val="none" w:sz="0" w:space="0" w:color="auto"/>
        <w:left w:val="none" w:sz="0" w:space="0" w:color="auto"/>
        <w:bottom w:val="none" w:sz="0" w:space="0" w:color="auto"/>
        <w:right w:val="none" w:sz="0" w:space="0" w:color="auto"/>
      </w:divBdr>
    </w:div>
    <w:div w:id="1892619516">
      <w:bodyDiv w:val="1"/>
      <w:marLeft w:val="0"/>
      <w:marRight w:val="0"/>
      <w:marTop w:val="0"/>
      <w:marBottom w:val="0"/>
      <w:divBdr>
        <w:top w:val="none" w:sz="0" w:space="0" w:color="auto"/>
        <w:left w:val="none" w:sz="0" w:space="0" w:color="auto"/>
        <w:bottom w:val="none" w:sz="0" w:space="0" w:color="auto"/>
        <w:right w:val="none" w:sz="0" w:space="0" w:color="auto"/>
      </w:divBdr>
    </w:div>
    <w:div w:id="1893228694">
      <w:bodyDiv w:val="1"/>
      <w:marLeft w:val="0"/>
      <w:marRight w:val="0"/>
      <w:marTop w:val="0"/>
      <w:marBottom w:val="0"/>
      <w:divBdr>
        <w:top w:val="none" w:sz="0" w:space="0" w:color="auto"/>
        <w:left w:val="none" w:sz="0" w:space="0" w:color="auto"/>
        <w:bottom w:val="none" w:sz="0" w:space="0" w:color="auto"/>
        <w:right w:val="none" w:sz="0" w:space="0" w:color="auto"/>
      </w:divBdr>
    </w:div>
    <w:div w:id="1894460929">
      <w:bodyDiv w:val="1"/>
      <w:marLeft w:val="0"/>
      <w:marRight w:val="0"/>
      <w:marTop w:val="0"/>
      <w:marBottom w:val="0"/>
      <w:divBdr>
        <w:top w:val="none" w:sz="0" w:space="0" w:color="auto"/>
        <w:left w:val="none" w:sz="0" w:space="0" w:color="auto"/>
        <w:bottom w:val="none" w:sz="0" w:space="0" w:color="auto"/>
        <w:right w:val="none" w:sz="0" w:space="0" w:color="auto"/>
      </w:divBdr>
    </w:div>
    <w:div w:id="1895772279">
      <w:bodyDiv w:val="1"/>
      <w:marLeft w:val="0"/>
      <w:marRight w:val="0"/>
      <w:marTop w:val="0"/>
      <w:marBottom w:val="0"/>
      <w:divBdr>
        <w:top w:val="none" w:sz="0" w:space="0" w:color="auto"/>
        <w:left w:val="none" w:sz="0" w:space="0" w:color="auto"/>
        <w:bottom w:val="none" w:sz="0" w:space="0" w:color="auto"/>
        <w:right w:val="none" w:sz="0" w:space="0" w:color="auto"/>
      </w:divBdr>
    </w:div>
    <w:div w:id="1927961764">
      <w:bodyDiv w:val="1"/>
      <w:marLeft w:val="0"/>
      <w:marRight w:val="0"/>
      <w:marTop w:val="0"/>
      <w:marBottom w:val="0"/>
      <w:divBdr>
        <w:top w:val="none" w:sz="0" w:space="0" w:color="auto"/>
        <w:left w:val="none" w:sz="0" w:space="0" w:color="auto"/>
        <w:bottom w:val="none" w:sz="0" w:space="0" w:color="auto"/>
        <w:right w:val="none" w:sz="0" w:space="0" w:color="auto"/>
      </w:divBdr>
    </w:div>
    <w:div w:id="1932737171">
      <w:bodyDiv w:val="1"/>
      <w:marLeft w:val="0"/>
      <w:marRight w:val="0"/>
      <w:marTop w:val="0"/>
      <w:marBottom w:val="0"/>
      <w:divBdr>
        <w:top w:val="none" w:sz="0" w:space="0" w:color="auto"/>
        <w:left w:val="none" w:sz="0" w:space="0" w:color="auto"/>
        <w:bottom w:val="none" w:sz="0" w:space="0" w:color="auto"/>
        <w:right w:val="none" w:sz="0" w:space="0" w:color="auto"/>
      </w:divBdr>
    </w:div>
    <w:div w:id="1943999020">
      <w:bodyDiv w:val="1"/>
      <w:marLeft w:val="0"/>
      <w:marRight w:val="0"/>
      <w:marTop w:val="0"/>
      <w:marBottom w:val="0"/>
      <w:divBdr>
        <w:top w:val="none" w:sz="0" w:space="0" w:color="auto"/>
        <w:left w:val="none" w:sz="0" w:space="0" w:color="auto"/>
        <w:bottom w:val="none" w:sz="0" w:space="0" w:color="auto"/>
        <w:right w:val="none" w:sz="0" w:space="0" w:color="auto"/>
      </w:divBdr>
    </w:div>
    <w:div w:id="1953199678">
      <w:bodyDiv w:val="1"/>
      <w:marLeft w:val="0"/>
      <w:marRight w:val="0"/>
      <w:marTop w:val="0"/>
      <w:marBottom w:val="0"/>
      <w:divBdr>
        <w:top w:val="none" w:sz="0" w:space="0" w:color="auto"/>
        <w:left w:val="none" w:sz="0" w:space="0" w:color="auto"/>
        <w:bottom w:val="none" w:sz="0" w:space="0" w:color="auto"/>
        <w:right w:val="none" w:sz="0" w:space="0" w:color="auto"/>
      </w:divBdr>
    </w:div>
    <w:div w:id="1957321853">
      <w:bodyDiv w:val="1"/>
      <w:marLeft w:val="0"/>
      <w:marRight w:val="0"/>
      <w:marTop w:val="0"/>
      <w:marBottom w:val="0"/>
      <w:divBdr>
        <w:top w:val="none" w:sz="0" w:space="0" w:color="auto"/>
        <w:left w:val="none" w:sz="0" w:space="0" w:color="auto"/>
        <w:bottom w:val="none" w:sz="0" w:space="0" w:color="auto"/>
        <w:right w:val="none" w:sz="0" w:space="0" w:color="auto"/>
      </w:divBdr>
    </w:div>
    <w:div w:id="1958488891">
      <w:bodyDiv w:val="1"/>
      <w:marLeft w:val="0"/>
      <w:marRight w:val="0"/>
      <w:marTop w:val="0"/>
      <w:marBottom w:val="0"/>
      <w:divBdr>
        <w:top w:val="none" w:sz="0" w:space="0" w:color="auto"/>
        <w:left w:val="none" w:sz="0" w:space="0" w:color="auto"/>
        <w:bottom w:val="none" w:sz="0" w:space="0" w:color="auto"/>
        <w:right w:val="none" w:sz="0" w:space="0" w:color="auto"/>
      </w:divBdr>
    </w:div>
    <w:div w:id="1970672106">
      <w:bodyDiv w:val="1"/>
      <w:marLeft w:val="0"/>
      <w:marRight w:val="0"/>
      <w:marTop w:val="0"/>
      <w:marBottom w:val="0"/>
      <w:divBdr>
        <w:top w:val="none" w:sz="0" w:space="0" w:color="auto"/>
        <w:left w:val="none" w:sz="0" w:space="0" w:color="auto"/>
        <w:bottom w:val="none" w:sz="0" w:space="0" w:color="auto"/>
        <w:right w:val="none" w:sz="0" w:space="0" w:color="auto"/>
      </w:divBdr>
    </w:div>
    <w:div w:id="1973362398">
      <w:bodyDiv w:val="1"/>
      <w:marLeft w:val="0"/>
      <w:marRight w:val="0"/>
      <w:marTop w:val="0"/>
      <w:marBottom w:val="0"/>
      <w:divBdr>
        <w:top w:val="none" w:sz="0" w:space="0" w:color="auto"/>
        <w:left w:val="none" w:sz="0" w:space="0" w:color="auto"/>
        <w:bottom w:val="none" w:sz="0" w:space="0" w:color="auto"/>
        <w:right w:val="none" w:sz="0" w:space="0" w:color="auto"/>
      </w:divBdr>
    </w:div>
    <w:div w:id="1988583332">
      <w:bodyDiv w:val="1"/>
      <w:marLeft w:val="0"/>
      <w:marRight w:val="0"/>
      <w:marTop w:val="0"/>
      <w:marBottom w:val="0"/>
      <w:divBdr>
        <w:top w:val="none" w:sz="0" w:space="0" w:color="auto"/>
        <w:left w:val="none" w:sz="0" w:space="0" w:color="auto"/>
        <w:bottom w:val="none" w:sz="0" w:space="0" w:color="auto"/>
        <w:right w:val="none" w:sz="0" w:space="0" w:color="auto"/>
      </w:divBdr>
    </w:div>
    <w:div w:id="2006778205">
      <w:bodyDiv w:val="1"/>
      <w:marLeft w:val="0"/>
      <w:marRight w:val="0"/>
      <w:marTop w:val="0"/>
      <w:marBottom w:val="0"/>
      <w:divBdr>
        <w:top w:val="none" w:sz="0" w:space="0" w:color="auto"/>
        <w:left w:val="none" w:sz="0" w:space="0" w:color="auto"/>
        <w:bottom w:val="none" w:sz="0" w:space="0" w:color="auto"/>
        <w:right w:val="none" w:sz="0" w:space="0" w:color="auto"/>
      </w:divBdr>
    </w:div>
    <w:div w:id="2032761991">
      <w:bodyDiv w:val="1"/>
      <w:marLeft w:val="0"/>
      <w:marRight w:val="0"/>
      <w:marTop w:val="0"/>
      <w:marBottom w:val="0"/>
      <w:divBdr>
        <w:top w:val="none" w:sz="0" w:space="0" w:color="auto"/>
        <w:left w:val="none" w:sz="0" w:space="0" w:color="auto"/>
        <w:bottom w:val="none" w:sz="0" w:space="0" w:color="auto"/>
        <w:right w:val="none" w:sz="0" w:space="0" w:color="auto"/>
      </w:divBdr>
    </w:div>
    <w:div w:id="2048211732">
      <w:bodyDiv w:val="1"/>
      <w:marLeft w:val="0"/>
      <w:marRight w:val="0"/>
      <w:marTop w:val="0"/>
      <w:marBottom w:val="0"/>
      <w:divBdr>
        <w:top w:val="none" w:sz="0" w:space="0" w:color="auto"/>
        <w:left w:val="none" w:sz="0" w:space="0" w:color="auto"/>
        <w:bottom w:val="none" w:sz="0" w:space="0" w:color="auto"/>
        <w:right w:val="none" w:sz="0" w:space="0" w:color="auto"/>
      </w:divBdr>
    </w:div>
    <w:div w:id="2078629270">
      <w:bodyDiv w:val="1"/>
      <w:marLeft w:val="0"/>
      <w:marRight w:val="0"/>
      <w:marTop w:val="0"/>
      <w:marBottom w:val="0"/>
      <w:divBdr>
        <w:top w:val="none" w:sz="0" w:space="0" w:color="auto"/>
        <w:left w:val="none" w:sz="0" w:space="0" w:color="auto"/>
        <w:bottom w:val="none" w:sz="0" w:space="0" w:color="auto"/>
        <w:right w:val="none" w:sz="0" w:space="0" w:color="auto"/>
      </w:divBdr>
    </w:div>
    <w:div w:id="2092699666">
      <w:bodyDiv w:val="1"/>
      <w:marLeft w:val="0"/>
      <w:marRight w:val="0"/>
      <w:marTop w:val="0"/>
      <w:marBottom w:val="0"/>
      <w:divBdr>
        <w:top w:val="none" w:sz="0" w:space="0" w:color="auto"/>
        <w:left w:val="none" w:sz="0" w:space="0" w:color="auto"/>
        <w:bottom w:val="none" w:sz="0" w:space="0" w:color="auto"/>
        <w:right w:val="none" w:sz="0" w:space="0" w:color="auto"/>
      </w:divBdr>
    </w:div>
    <w:div w:id="2095741491">
      <w:bodyDiv w:val="1"/>
      <w:marLeft w:val="0"/>
      <w:marRight w:val="0"/>
      <w:marTop w:val="0"/>
      <w:marBottom w:val="0"/>
      <w:divBdr>
        <w:top w:val="none" w:sz="0" w:space="0" w:color="auto"/>
        <w:left w:val="none" w:sz="0" w:space="0" w:color="auto"/>
        <w:bottom w:val="none" w:sz="0" w:space="0" w:color="auto"/>
        <w:right w:val="none" w:sz="0" w:space="0" w:color="auto"/>
      </w:divBdr>
    </w:div>
    <w:div w:id="2105494525">
      <w:bodyDiv w:val="1"/>
      <w:marLeft w:val="0"/>
      <w:marRight w:val="0"/>
      <w:marTop w:val="0"/>
      <w:marBottom w:val="0"/>
      <w:divBdr>
        <w:top w:val="none" w:sz="0" w:space="0" w:color="auto"/>
        <w:left w:val="none" w:sz="0" w:space="0" w:color="auto"/>
        <w:bottom w:val="none" w:sz="0" w:space="0" w:color="auto"/>
        <w:right w:val="none" w:sz="0" w:space="0" w:color="auto"/>
      </w:divBdr>
    </w:div>
    <w:div w:id="2123374936">
      <w:bodyDiv w:val="1"/>
      <w:marLeft w:val="0"/>
      <w:marRight w:val="0"/>
      <w:marTop w:val="0"/>
      <w:marBottom w:val="0"/>
      <w:divBdr>
        <w:top w:val="none" w:sz="0" w:space="0" w:color="auto"/>
        <w:left w:val="none" w:sz="0" w:space="0" w:color="auto"/>
        <w:bottom w:val="none" w:sz="0" w:space="0" w:color="auto"/>
        <w:right w:val="none" w:sz="0" w:space="0" w:color="auto"/>
      </w:divBdr>
    </w:div>
    <w:div w:id="2126346794">
      <w:bodyDiv w:val="1"/>
      <w:marLeft w:val="0"/>
      <w:marRight w:val="0"/>
      <w:marTop w:val="0"/>
      <w:marBottom w:val="0"/>
      <w:divBdr>
        <w:top w:val="none" w:sz="0" w:space="0" w:color="auto"/>
        <w:left w:val="none" w:sz="0" w:space="0" w:color="auto"/>
        <w:bottom w:val="none" w:sz="0" w:space="0" w:color="auto"/>
        <w:right w:val="none" w:sz="0" w:space="0" w:color="auto"/>
      </w:divBdr>
    </w:div>
    <w:div w:id="21469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D58741-3801-4CAD-A813-F15C801E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173</Pages>
  <Words>17793</Words>
  <Characters>101424</Characters>
  <Application>Microsoft Office Word</Application>
  <DocSecurity>0</DocSecurity>
  <Lines>845</Lines>
  <Paragraphs>237</Paragraphs>
  <ScaleCrop>false</ScaleCrop>
  <Company>易方达基金管理有限公司</Company>
  <LinksUpToDate>false</LinksUpToDate>
  <CharactersWithSpaces>118980</CharactersWithSpaces>
  <SharedDoc>false</SharedDoc>
  <HLinks>
    <vt:vector size="834" baseType="variant">
      <vt:variant>
        <vt:i4>1704044</vt:i4>
      </vt:variant>
      <vt:variant>
        <vt:i4>828</vt:i4>
      </vt:variant>
      <vt:variant>
        <vt:i4>0</vt:i4>
      </vt:variant>
      <vt:variant>
        <vt:i4>5</vt:i4>
      </vt:variant>
      <vt:variant>
        <vt:lpwstr>mailto:service@efunds.com.cn</vt:lpwstr>
      </vt:variant>
      <vt:variant>
        <vt:lpwstr/>
      </vt:variant>
      <vt:variant>
        <vt:i4>6160454</vt:i4>
      </vt:variant>
      <vt:variant>
        <vt:i4>825</vt:i4>
      </vt:variant>
      <vt:variant>
        <vt:i4>0</vt:i4>
      </vt:variant>
      <vt:variant>
        <vt:i4>5</vt:i4>
      </vt:variant>
      <vt:variant>
        <vt:lpwstr>http://www.efunds.com.cn/</vt:lpwstr>
      </vt:variant>
      <vt:variant>
        <vt:lpwstr/>
      </vt:variant>
      <vt:variant>
        <vt:i4>1900605</vt:i4>
      </vt:variant>
      <vt:variant>
        <vt:i4>818</vt:i4>
      </vt:variant>
      <vt:variant>
        <vt:i4>0</vt:i4>
      </vt:variant>
      <vt:variant>
        <vt:i4>5</vt:i4>
      </vt:variant>
      <vt:variant>
        <vt:lpwstr/>
      </vt:variant>
      <vt:variant>
        <vt:lpwstr>_Toc398025466</vt:lpwstr>
      </vt:variant>
      <vt:variant>
        <vt:i4>1900605</vt:i4>
      </vt:variant>
      <vt:variant>
        <vt:i4>812</vt:i4>
      </vt:variant>
      <vt:variant>
        <vt:i4>0</vt:i4>
      </vt:variant>
      <vt:variant>
        <vt:i4>5</vt:i4>
      </vt:variant>
      <vt:variant>
        <vt:lpwstr/>
      </vt:variant>
      <vt:variant>
        <vt:lpwstr>_Toc398025465</vt:lpwstr>
      </vt:variant>
      <vt:variant>
        <vt:i4>1900605</vt:i4>
      </vt:variant>
      <vt:variant>
        <vt:i4>806</vt:i4>
      </vt:variant>
      <vt:variant>
        <vt:i4>0</vt:i4>
      </vt:variant>
      <vt:variant>
        <vt:i4>5</vt:i4>
      </vt:variant>
      <vt:variant>
        <vt:lpwstr/>
      </vt:variant>
      <vt:variant>
        <vt:lpwstr>_Toc398025464</vt:lpwstr>
      </vt:variant>
      <vt:variant>
        <vt:i4>1900605</vt:i4>
      </vt:variant>
      <vt:variant>
        <vt:i4>800</vt:i4>
      </vt:variant>
      <vt:variant>
        <vt:i4>0</vt:i4>
      </vt:variant>
      <vt:variant>
        <vt:i4>5</vt:i4>
      </vt:variant>
      <vt:variant>
        <vt:lpwstr/>
      </vt:variant>
      <vt:variant>
        <vt:lpwstr>_Toc398025463</vt:lpwstr>
      </vt:variant>
      <vt:variant>
        <vt:i4>1900605</vt:i4>
      </vt:variant>
      <vt:variant>
        <vt:i4>794</vt:i4>
      </vt:variant>
      <vt:variant>
        <vt:i4>0</vt:i4>
      </vt:variant>
      <vt:variant>
        <vt:i4>5</vt:i4>
      </vt:variant>
      <vt:variant>
        <vt:lpwstr/>
      </vt:variant>
      <vt:variant>
        <vt:lpwstr>_Toc398025462</vt:lpwstr>
      </vt:variant>
      <vt:variant>
        <vt:i4>1900605</vt:i4>
      </vt:variant>
      <vt:variant>
        <vt:i4>788</vt:i4>
      </vt:variant>
      <vt:variant>
        <vt:i4>0</vt:i4>
      </vt:variant>
      <vt:variant>
        <vt:i4>5</vt:i4>
      </vt:variant>
      <vt:variant>
        <vt:lpwstr/>
      </vt:variant>
      <vt:variant>
        <vt:lpwstr>_Toc398025461</vt:lpwstr>
      </vt:variant>
      <vt:variant>
        <vt:i4>1900605</vt:i4>
      </vt:variant>
      <vt:variant>
        <vt:i4>782</vt:i4>
      </vt:variant>
      <vt:variant>
        <vt:i4>0</vt:i4>
      </vt:variant>
      <vt:variant>
        <vt:i4>5</vt:i4>
      </vt:variant>
      <vt:variant>
        <vt:lpwstr/>
      </vt:variant>
      <vt:variant>
        <vt:lpwstr>_Toc398025460</vt:lpwstr>
      </vt:variant>
      <vt:variant>
        <vt:i4>1966141</vt:i4>
      </vt:variant>
      <vt:variant>
        <vt:i4>776</vt:i4>
      </vt:variant>
      <vt:variant>
        <vt:i4>0</vt:i4>
      </vt:variant>
      <vt:variant>
        <vt:i4>5</vt:i4>
      </vt:variant>
      <vt:variant>
        <vt:lpwstr/>
      </vt:variant>
      <vt:variant>
        <vt:lpwstr>_Toc398025459</vt:lpwstr>
      </vt:variant>
      <vt:variant>
        <vt:i4>1966141</vt:i4>
      </vt:variant>
      <vt:variant>
        <vt:i4>770</vt:i4>
      </vt:variant>
      <vt:variant>
        <vt:i4>0</vt:i4>
      </vt:variant>
      <vt:variant>
        <vt:i4>5</vt:i4>
      </vt:variant>
      <vt:variant>
        <vt:lpwstr/>
      </vt:variant>
      <vt:variant>
        <vt:lpwstr>_Toc398025458</vt:lpwstr>
      </vt:variant>
      <vt:variant>
        <vt:i4>1966141</vt:i4>
      </vt:variant>
      <vt:variant>
        <vt:i4>764</vt:i4>
      </vt:variant>
      <vt:variant>
        <vt:i4>0</vt:i4>
      </vt:variant>
      <vt:variant>
        <vt:i4>5</vt:i4>
      </vt:variant>
      <vt:variant>
        <vt:lpwstr/>
      </vt:variant>
      <vt:variant>
        <vt:lpwstr>_Toc398025457</vt:lpwstr>
      </vt:variant>
      <vt:variant>
        <vt:i4>1966141</vt:i4>
      </vt:variant>
      <vt:variant>
        <vt:i4>758</vt:i4>
      </vt:variant>
      <vt:variant>
        <vt:i4>0</vt:i4>
      </vt:variant>
      <vt:variant>
        <vt:i4>5</vt:i4>
      </vt:variant>
      <vt:variant>
        <vt:lpwstr/>
      </vt:variant>
      <vt:variant>
        <vt:lpwstr>_Toc398025456</vt:lpwstr>
      </vt:variant>
      <vt:variant>
        <vt:i4>1966141</vt:i4>
      </vt:variant>
      <vt:variant>
        <vt:i4>752</vt:i4>
      </vt:variant>
      <vt:variant>
        <vt:i4>0</vt:i4>
      </vt:variant>
      <vt:variant>
        <vt:i4>5</vt:i4>
      </vt:variant>
      <vt:variant>
        <vt:lpwstr/>
      </vt:variant>
      <vt:variant>
        <vt:lpwstr>_Toc398025455</vt:lpwstr>
      </vt:variant>
      <vt:variant>
        <vt:i4>1966141</vt:i4>
      </vt:variant>
      <vt:variant>
        <vt:i4>746</vt:i4>
      </vt:variant>
      <vt:variant>
        <vt:i4>0</vt:i4>
      </vt:variant>
      <vt:variant>
        <vt:i4>5</vt:i4>
      </vt:variant>
      <vt:variant>
        <vt:lpwstr/>
      </vt:variant>
      <vt:variant>
        <vt:lpwstr>_Toc398025454</vt:lpwstr>
      </vt:variant>
      <vt:variant>
        <vt:i4>1966141</vt:i4>
      </vt:variant>
      <vt:variant>
        <vt:i4>740</vt:i4>
      </vt:variant>
      <vt:variant>
        <vt:i4>0</vt:i4>
      </vt:variant>
      <vt:variant>
        <vt:i4>5</vt:i4>
      </vt:variant>
      <vt:variant>
        <vt:lpwstr/>
      </vt:variant>
      <vt:variant>
        <vt:lpwstr>_Toc398025453</vt:lpwstr>
      </vt:variant>
      <vt:variant>
        <vt:i4>1966141</vt:i4>
      </vt:variant>
      <vt:variant>
        <vt:i4>734</vt:i4>
      </vt:variant>
      <vt:variant>
        <vt:i4>0</vt:i4>
      </vt:variant>
      <vt:variant>
        <vt:i4>5</vt:i4>
      </vt:variant>
      <vt:variant>
        <vt:lpwstr/>
      </vt:variant>
      <vt:variant>
        <vt:lpwstr>_Toc398025452</vt:lpwstr>
      </vt:variant>
      <vt:variant>
        <vt:i4>1966141</vt:i4>
      </vt:variant>
      <vt:variant>
        <vt:i4>728</vt:i4>
      </vt:variant>
      <vt:variant>
        <vt:i4>0</vt:i4>
      </vt:variant>
      <vt:variant>
        <vt:i4>5</vt:i4>
      </vt:variant>
      <vt:variant>
        <vt:lpwstr/>
      </vt:variant>
      <vt:variant>
        <vt:lpwstr>_Toc398025451</vt:lpwstr>
      </vt:variant>
      <vt:variant>
        <vt:i4>1966141</vt:i4>
      </vt:variant>
      <vt:variant>
        <vt:i4>722</vt:i4>
      </vt:variant>
      <vt:variant>
        <vt:i4>0</vt:i4>
      </vt:variant>
      <vt:variant>
        <vt:i4>5</vt:i4>
      </vt:variant>
      <vt:variant>
        <vt:lpwstr/>
      </vt:variant>
      <vt:variant>
        <vt:lpwstr>_Toc398025450</vt:lpwstr>
      </vt:variant>
      <vt:variant>
        <vt:i4>2031677</vt:i4>
      </vt:variant>
      <vt:variant>
        <vt:i4>716</vt:i4>
      </vt:variant>
      <vt:variant>
        <vt:i4>0</vt:i4>
      </vt:variant>
      <vt:variant>
        <vt:i4>5</vt:i4>
      </vt:variant>
      <vt:variant>
        <vt:lpwstr/>
      </vt:variant>
      <vt:variant>
        <vt:lpwstr>_Toc398025449</vt:lpwstr>
      </vt:variant>
      <vt:variant>
        <vt:i4>2031677</vt:i4>
      </vt:variant>
      <vt:variant>
        <vt:i4>710</vt:i4>
      </vt:variant>
      <vt:variant>
        <vt:i4>0</vt:i4>
      </vt:variant>
      <vt:variant>
        <vt:i4>5</vt:i4>
      </vt:variant>
      <vt:variant>
        <vt:lpwstr/>
      </vt:variant>
      <vt:variant>
        <vt:lpwstr>_Toc398025448</vt:lpwstr>
      </vt:variant>
      <vt:variant>
        <vt:i4>2031677</vt:i4>
      </vt:variant>
      <vt:variant>
        <vt:i4>704</vt:i4>
      </vt:variant>
      <vt:variant>
        <vt:i4>0</vt:i4>
      </vt:variant>
      <vt:variant>
        <vt:i4>5</vt:i4>
      </vt:variant>
      <vt:variant>
        <vt:lpwstr/>
      </vt:variant>
      <vt:variant>
        <vt:lpwstr>_Toc398025447</vt:lpwstr>
      </vt:variant>
      <vt:variant>
        <vt:i4>2031677</vt:i4>
      </vt:variant>
      <vt:variant>
        <vt:i4>698</vt:i4>
      </vt:variant>
      <vt:variant>
        <vt:i4>0</vt:i4>
      </vt:variant>
      <vt:variant>
        <vt:i4>5</vt:i4>
      </vt:variant>
      <vt:variant>
        <vt:lpwstr/>
      </vt:variant>
      <vt:variant>
        <vt:lpwstr>_Toc398025446</vt:lpwstr>
      </vt:variant>
      <vt:variant>
        <vt:i4>2031677</vt:i4>
      </vt:variant>
      <vt:variant>
        <vt:i4>692</vt:i4>
      </vt:variant>
      <vt:variant>
        <vt:i4>0</vt:i4>
      </vt:variant>
      <vt:variant>
        <vt:i4>5</vt:i4>
      </vt:variant>
      <vt:variant>
        <vt:lpwstr/>
      </vt:variant>
      <vt:variant>
        <vt:lpwstr>_Toc398025445</vt:lpwstr>
      </vt:variant>
      <vt:variant>
        <vt:i4>2031677</vt:i4>
      </vt:variant>
      <vt:variant>
        <vt:i4>686</vt:i4>
      </vt:variant>
      <vt:variant>
        <vt:i4>0</vt:i4>
      </vt:variant>
      <vt:variant>
        <vt:i4>5</vt:i4>
      </vt:variant>
      <vt:variant>
        <vt:lpwstr/>
      </vt:variant>
      <vt:variant>
        <vt:lpwstr>_Toc398025444</vt:lpwstr>
      </vt:variant>
      <vt:variant>
        <vt:i4>2031677</vt:i4>
      </vt:variant>
      <vt:variant>
        <vt:i4>680</vt:i4>
      </vt:variant>
      <vt:variant>
        <vt:i4>0</vt:i4>
      </vt:variant>
      <vt:variant>
        <vt:i4>5</vt:i4>
      </vt:variant>
      <vt:variant>
        <vt:lpwstr/>
      </vt:variant>
      <vt:variant>
        <vt:lpwstr>_Toc398025443</vt:lpwstr>
      </vt:variant>
      <vt:variant>
        <vt:i4>2031677</vt:i4>
      </vt:variant>
      <vt:variant>
        <vt:i4>674</vt:i4>
      </vt:variant>
      <vt:variant>
        <vt:i4>0</vt:i4>
      </vt:variant>
      <vt:variant>
        <vt:i4>5</vt:i4>
      </vt:variant>
      <vt:variant>
        <vt:lpwstr/>
      </vt:variant>
      <vt:variant>
        <vt:lpwstr>_Toc398025442</vt:lpwstr>
      </vt:variant>
      <vt:variant>
        <vt:i4>2031677</vt:i4>
      </vt:variant>
      <vt:variant>
        <vt:i4>668</vt:i4>
      </vt:variant>
      <vt:variant>
        <vt:i4>0</vt:i4>
      </vt:variant>
      <vt:variant>
        <vt:i4>5</vt:i4>
      </vt:variant>
      <vt:variant>
        <vt:lpwstr/>
      </vt:variant>
      <vt:variant>
        <vt:lpwstr>_Toc398025441</vt:lpwstr>
      </vt:variant>
      <vt:variant>
        <vt:i4>2031677</vt:i4>
      </vt:variant>
      <vt:variant>
        <vt:i4>662</vt:i4>
      </vt:variant>
      <vt:variant>
        <vt:i4>0</vt:i4>
      </vt:variant>
      <vt:variant>
        <vt:i4>5</vt:i4>
      </vt:variant>
      <vt:variant>
        <vt:lpwstr/>
      </vt:variant>
      <vt:variant>
        <vt:lpwstr>_Toc398025440</vt:lpwstr>
      </vt:variant>
      <vt:variant>
        <vt:i4>1572925</vt:i4>
      </vt:variant>
      <vt:variant>
        <vt:i4>656</vt:i4>
      </vt:variant>
      <vt:variant>
        <vt:i4>0</vt:i4>
      </vt:variant>
      <vt:variant>
        <vt:i4>5</vt:i4>
      </vt:variant>
      <vt:variant>
        <vt:lpwstr/>
      </vt:variant>
      <vt:variant>
        <vt:lpwstr>_Toc398025439</vt:lpwstr>
      </vt:variant>
      <vt:variant>
        <vt:i4>1572925</vt:i4>
      </vt:variant>
      <vt:variant>
        <vt:i4>650</vt:i4>
      </vt:variant>
      <vt:variant>
        <vt:i4>0</vt:i4>
      </vt:variant>
      <vt:variant>
        <vt:i4>5</vt:i4>
      </vt:variant>
      <vt:variant>
        <vt:lpwstr/>
      </vt:variant>
      <vt:variant>
        <vt:lpwstr>_Toc398025438</vt:lpwstr>
      </vt:variant>
      <vt:variant>
        <vt:i4>1572925</vt:i4>
      </vt:variant>
      <vt:variant>
        <vt:i4>644</vt:i4>
      </vt:variant>
      <vt:variant>
        <vt:i4>0</vt:i4>
      </vt:variant>
      <vt:variant>
        <vt:i4>5</vt:i4>
      </vt:variant>
      <vt:variant>
        <vt:lpwstr/>
      </vt:variant>
      <vt:variant>
        <vt:lpwstr>_Toc398025437</vt:lpwstr>
      </vt:variant>
      <vt:variant>
        <vt:i4>1572925</vt:i4>
      </vt:variant>
      <vt:variant>
        <vt:i4>638</vt:i4>
      </vt:variant>
      <vt:variant>
        <vt:i4>0</vt:i4>
      </vt:variant>
      <vt:variant>
        <vt:i4>5</vt:i4>
      </vt:variant>
      <vt:variant>
        <vt:lpwstr/>
      </vt:variant>
      <vt:variant>
        <vt:lpwstr>_Toc398025436</vt:lpwstr>
      </vt:variant>
      <vt:variant>
        <vt:i4>1572925</vt:i4>
      </vt:variant>
      <vt:variant>
        <vt:i4>632</vt:i4>
      </vt:variant>
      <vt:variant>
        <vt:i4>0</vt:i4>
      </vt:variant>
      <vt:variant>
        <vt:i4>5</vt:i4>
      </vt:variant>
      <vt:variant>
        <vt:lpwstr/>
      </vt:variant>
      <vt:variant>
        <vt:lpwstr>_Toc398025435</vt:lpwstr>
      </vt:variant>
      <vt:variant>
        <vt:i4>1572925</vt:i4>
      </vt:variant>
      <vt:variant>
        <vt:i4>626</vt:i4>
      </vt:variant>
      <vt:variant>
        <vt:i4>0</vt:i4>
      </vt:variant>
      <vt:variant>
        <vt:i4>5</vt:i4>
      </vt:variant>
      <vt:variant>
        <vt:lpwstr/>
      </vt:variant>
      <vt:variant>
        <vt:lpwstr>_Toc398025434</vt:lpwstr>
      </vt:variant>
      <vt:variant>
        <vt:i4>1572925</vt:i4>
      </vt:variant>
      <vt:variant>
        <vt:i4>620</vt:i4>
      </vt:variant>
      <vt:variant>
        <vt:i4>0</vt:i4>
      </vt:variant>
      <vt:variant>
        <vt:i4>5</vt:i4>
      </vt:variant>
      <vt:variant>
        <vt:lpwstr/>
      </vt:variant>
      <vt:variant>
        <vt:lpwstr>_Toc398025433</vt:lpwstr>
      </vt:variant>
      <vt:variant>
        <vt:i4>1572925</vt:i4>
      </vt:variant>
      <vt:variant>
        <vt:i4>614</vt:i4>
      </vt:variant>
      <vt:variant>
        <vt:i4>0</vt:i4>
      </vt:variant>
      <vt:variant>
        <vt:i4>5</vt:i4>
      </vt:variant>
      <vt:variant>
        <vt:lpwstr/>
      </vt:variant>
      <vt:variant>
        <vt:lpwstr>_Toc398025432</vt:lpwstr>
      </vt:variant>
      <vt:variant>
        <vt:i4>1572925</vt:i4>
      </vt:variant>
      <vt:variant>
        <vt:i4>608</vt:i4>
      </vt:variant>
      <vt:variant>
        <vt:i4>0</vt:i4>
      </vt:variant>
      <vt:variant>
        <vt:i4>5</vt:i4>
      </vt:variant>
      <vt:variant>
        <vt:lpwstr/>
      </vt:variant>
      <vt:variant>
        <vt:lpwstr>_Toc398025431</vt:lpwstr>
      </vt:variant>
      <vt:variant>
        <vt:i4>1572925</vt:i4>
      </vt:variant>
      <vt:variant>
        <vt:i4>602</vt:i4>
      </vt:variant>
      <vt:variant>
        <vt:i4>0</vt:i4>
      </vt:variant>
      <vt:variant>
        <vt:i4>5</vt:i4>
      </vt:variant>
      <vt:variant>
        <vt:lpwstr/>
      </vt:variant>
      <vt:variant>
        <vt:lpwstr>_Toc398025430</vt:lpwstr>
      </vt:variant>
      <vt:variant>
        <vt:i4>1638461</vt:i4>
      </vt:variant>
      <vt:variant>
        <vt:i4>596</vt:i4>
      </vt:variant>
      <vt:variant>
        <vt:i4>0</vt:i4>
      </vt:variant>
      <vt:variant>
        <vt:i4>5</vt:i4>
      </vt:variant>
      <vt:variant>
        <vt:lpwstr/>
      </vt:variant>
      <vt:variant>
        <vt:lpwstr>_Toc398025429</vt:lpwstr>
      </vt:variant>
      <vt:variant>
        <vt:i4>1638461</vt:i4>
      </vt:variant>
      <vt:variant>
        <vt:i4>590</vt:i4>
      </vt:variant>
      <vt:variant>
        <vt:i4>0</vt:i4>
      </vt:variant>
      <vt:variant>
        <vt:i4>5</vt:i4>
      </vt:variant>
      <vt:variant>
        <vt:lpwstr/>
      </vt:variant>
      <vt:variant>
        <vt:lpwstr>_Toc398025428</vt:lpwstr>
      </vt:variant>
      <vt:variant>
        <vt:i4>1638461</vt:i4>
      </vt:variant>
      <vt:variant>
        <vt:i4>584</vt:i4>
      </vt:variant>
      <vt:variant>
        <vt:i4>0</vt:i4>
      </vt:variant>
      <vt:variant>
        <vt:i4>5</vt:i4>
      </vt:variant>
      <vt:variant>
        <vt:lpwstr/>
      </vt:variant>
      <vt:variant>
        <vt:lpwstr>_Toc398025427</vt:lpwstr>
      </vt:variant>
      <vt:variant>
        <vt:i4>1638461</vt:i4>
      </vt:variant>
      <vt:variant>
        <vt:i4>578</vt:i4>
      </vt:variant>
      <vt:variant>
        <vt:i4>0</vt:i4>
      </vt:variant>
      <vt:variant>
        <vt:i4>5</vt:i4>
      </vt:variant>
      <vt:variant>
        <vt:lpwstr/>
      </vt:variant>
      <vt:variant>
        <vt:lpwstr>_Toc398025426</vt:lpwstr>
      </vt:variant>
      <vt:variant>
        <vt:i4>1638461</vt:i4>
      </vt:variant>
      <vt:variant>
        <vt:i4>572</vt:i4>
      </vt:variant>
      <vt:variant>
        <vt:i4>0</vt:i4>
      </vt:variant>
      <vt:variant>
        <vt:i4>5</vt:i4>
      </vt:variant>
      <vt:variant>
        <vt:lpwstr/>
      </vt:variant>
      <vt:variant>
        <vt:lpwstr>_Toc398025425</vt:lpwstr>
      </vt:variant>
      <vt:variant>
        <vt:i4>1638461</vt:i4>
      </vt:variant>
      <vt:variant>
        <vt:i4>566</vt:i4>
      </vt:variant>
      <vt:variant>
        <vt:i4>0</vt:i4>
      </vt:variant>
      <vt:variant>
        <vt:i4>5</vt:i4>
      </vt:variant>
      <vt:variant>
        <vt:lpwstr/>
      </vt:variant>
      <vt:variant>
        <vt:lpwstr>_Toc398025424</vt:lpwstr>
      </vt:variant>
      <vt:variant>
        <vt:i4>1638461</vt:i4>
      </vt:variant>
      <vt:variant>
        <vt:i4>560</vt:i4>
      </vt:variant>
      <vt:variant>
        <vt:i4>0</vt:i4>
      </vt:variant>
      <vt:variant>
        <vt:i4>5</vt:i4>
      </vt:variant>
      <vt:variant>
        <vt:lpwstr/>
      </vt:variant>
      <vt:variant>
        <vt:lpwstr>_Toc398025423</vt:lpwstr>
      </vt:variant>
      <vt:variant>
        <vt:i4>1638461</vt:i4>
      </vt:variant>
      <vt:variant>
        <vt:i4>554</vt:i4>
      </vt:variant>
      <vt:variant>
        <vt:i4>0</vt:i4>
      </vt:variant>
      <vt:variant>
        <vt:i4>5</vt:i4>
      </vt:variant>
      <vt:variant>
        <vt:lpwstr/>
      </vt:variant>
      <vt:variant>
        <vt:lpwstr>_Toc398025422</vt:lpwstr>
      </vt:variant>
      <vt:variant>
        <vt:i4>1638461</vt:i4>
      </vt:variant>
      <vt:variant>
        <vt:i4>548</vt:i4>
      </vt:variant>
      <vt:variant>
        <vt:i4>0</vt:i4>
      </vt:variant>
      <vt:variant>
        <vt:i4>5</vt:i4>
      </vt:variant>
      <vt:variant>
        <vt:lpwstr/>
      </vt:variant>
      <vt:variant>
        <vt:lpwstr>_Toc398025421</vt:lpwstr>
      </vt:variant>
      <vt:variant>
        <vt:i4>1638461</vt:i4>
      </vt:variant>
      <vt:variant>
        <vt:i4>542</vt:i4>
      </vt:variant>
      <vt:variant>
        <vt:i4>0</vt:i4>
      </vt:variant>
      <vt:variant>
        <vt:i4>5</vt:i4>
      </vt:variant>
      <vt:variant>
        <vt:lpwstr/>
      </vt:variant>
      <vt:variant>
        <vt:lpwstr>_Toc398025420</vt:lpwstr>
      </vt:variant>
      <vt:variant>
        <vt:i4>1703997</vt:i4>
      </vt:variant>
      <vt:variant>
        <vt:i4>536</vt:i4>
      </vt:variant>
      <vt:variant>
        <vt:i4>0</vt:i4>
      </vt:variant>
      <vt:variant>
        <vt:i4>5</vt:i4>
      </vt:variant>
      <vt:variant>
        <vt:lpwstr/>
      </vt:variant>
      <vt:variant>
        <vt:lpwstr>_Toc398025419</vt:lpwstr>
      </vt:variant>
      <vt:variant>
        <vt:i4>1703997</vt:i4>
      </vt:variant>
      <vt:variant>
        <vt:i4>530</vt:i4>
      </vt:variant>
      <vt:variant>
        <vt:i4>0</vt:i4>
      </vt:variant>
      <vt:variant>
        <vt:i4>5</vt:i4>
      </vt:variant>
      <vt:variant>
        <vt:lpwstr/>
      </vt:variant>
      <vt:variant>
        <vt:lpwstr>_Toc398025418</vt:lpwstr>
      </vt:variant>
      <vt:variant>
        <vt:i4>1703997</vt:i4>
      </vt:variant>
      <vt:variant>
        <vt:i4>524</vt:i4>
      </vt:variant>
      <vt:variant>
        <vt:i4>0</vt:i4>
      </vt:variant>
      <vt:variant>
        <vt:i4>5</vt:i4>
      </vt:variant>
      <vt:variant>
        <vt:lpwstr/>
      </vt:variant>
      <vt:variant>
        <vt:lpwstr>_Toc398025417</vt:lpwstr>
      </vt:variant>
      <vt:variant>
        <vt:i4>1703997</vt:i4>
      </vt:variant>
      <vt:variant>
        <vt:i4>518</vt:i4>
      </vt:variant>
      <vt:variant>
        <vt:i4>0</vt:i4>
      </vt:variant>
      <vt:variant>
        <vt:i4>5</vt:i4>
      </vt:variant>
      <vt:variant>
        <vt:lpwstr/>
      </vt:variant>
      <vt:variant>
        <vt:lpwstr>_Toc398025416</vt:lpwstr>
      </vt:variant>
      <vt:variant>
        <vt:i4>1703997</vt:i4>
      </vt:variant>
      <vt:variant>
        <vt:i4>512</vt:i4>
      </vt:variant>
      <vt:variant>
        <vt:i4>0</vt:i4>
      </vt:variant>
      <vt:variant>
        <vt:i4>5</vt:i4>
      </vt:variant>
      <vt:variant>
        <vt:lpwstr/>
      </vt:variant>
      <vt:variant>
        <vt:lpwstr>_Toc398025415</vt:lpwstr>
      </vt:variant>
      <vt:variant>
        <vt:i4>1703997</vt:i4>
      </vt:variant>
      <vt:variant>
        <vt:i4>506</vt:i4>
      </vt:variant>
      <vt:variant>
        <vt:i4>0</vt:i4>
      </vt:variant>
      <vt:variant>
        <vt:i4>5</vt:i4>
      </vt:variant>
      <vt:variant>
        <vt:lpwstr/>
      </vt:variant>
      <vt:variant>
        <vt:lpwstr>_Toc398025414</vt:lpwstr>
      </vt:variant>
      <vt:variant>
        <vt:i4>1703997</vt:i4>
      </vt:variant>
      <vt:variant>
        <vt:i4>500</vt:i4>
      </vt:variant>
      <vt:variant>
        <vt:i4>0</vt:i4>
      </vt:variant>
      <vt:variant>
        <vt:i4>5</vt:i4>
      </vt:variant>
      <vt:variant>
        <vt:lpwstr/>
      </vt:variant>
      <vt:variant>
        <vt:lpwstr>_Toc398025413</vt:lpwstr>
      </vt:variant>
      <vt:variant>
        <vt:i4>1703997</vt:i4>
      </vt:variant>
      <vt:variant>
        <vt:i4>494</vt:i4>
      </vt:variant>
      <vt:variant>
        <vt:i4>0</vt:i4>
      </vt:variant>
      <vt:variant>
        <vt:i4>5</vt:i4>
      </vt:variant>
      <vt:variant>
        <vt:lpwstr/>
      </vt:variant>
      <vt:variant>
        <vt:lpwstr>_Toc398025412</vt:lpwstr>
      </vt:variant>
      <vt:variant>
        <vt:i4>1703997</vt:i4>
      </vt:variant>
      <vt:variant>
        <vt:i4>488</vt:i4>
      </vt:variant>
      <vt:variant>
        <vt:i4>0</vt:i4>
      </vt:variant>
      <vt:variant>
        <vt:i4>5</vt:i4>
      </vt:variant>
      <vt:variant>
        <vt:lpwstr/>
      </vt:variant>
      <vt:variant>
        <vt:lpwstr>_Toc398025411</vt:lpwstr>
      </vt:variant>
      <vt:variant>
        <vt:i4>1703997</vt:i4>
      </vt:variant>
      <vt:variant>
        <vt:i4>482</vt:i4>
      </vt:variant>
      <vt:variant>
        <vt:i4>0</vt:i4>
      </vt:variant>
      <vt:variant>
        <vt:i4>5</vt:i4>
      </vt:variant>
      <vt:variant>
        <vt:lpwstr/>
      </vt:variant>
      <vt:variant>
        <vt:lpwstr>_Toc398025410</vt:lpwstr>
      </vt:variant>
      <vt:variant>
        <vt:i4>1769533</vt:i4>
      </vt:variant>
      <vt:variant>
        <vt:i4>476</vt:i4>
      </vt:variant>
      <vt:variant>
        <vt:i4>0</vt:i4>
      </vt:variant>
      <vt:variant>
        <vt:i4>5</vt:i4>
      </vt:variant>
      <vt:variant>
        <vt:lpwstr/>
      </vt:variant>
      <vt:variant>
        <vt:lpwstr>_Toc398025409</vt:lpwstr>
      </vt:variant>
      <vt:variant>
        <vt:i4>1769533</vt:i4>
      </vt:variant>
      <vt:variant>
        <vt:i4>470</vt:i4>
      </vt:variant>
      <vt:variant>
        <vt:i4>0</vt:i4>
      </vt:variant>
      <vt:variant>
        <vt:i4>5</vt:i4>
      </vt:variant>
      <vt:variant>
        <vt:lpwstr/>
      </vt:variant>
      <vt:variant>
        <vt:lpwstr>_Toc398025408</vt:lpwstr>
      </vt:variant>
      <vt:variant>
        <vt:i4>1769533</vt:i4>
      </vt:variant>
      <vt:variant>
        <vt:i4>464</vt:i4>
      </vt:variant>
      <vt:variant>
        <vt:i4>0</vt:i4>
      </vt:variant>
      <vt:variant>
        <vt:i4>5</vt:i4>
      </vt:variant>
      <vt:variant>
        <vt:lpwstr/>
      </vt:variant>
      <vt:variant>
        <vt:lpwstr>_Toc398025407</vt:lpwstr>
      </vt:variant>
      <vt:variant>
        <vt:i4>1769533</vt:i4>
      </vt:variant>
      <vt:variant>
        <vt:i4>458</vt:i4>
      </vt:variant>
      <vt:variant>
        <vt:i4>0</vt:i4>
      </vt:variant>
      <vt:variant>
        <vt:i4>5</vt:i4>
      </vt:variant>
      <vt:variant>
        <vt:lpwstr/>
      </vt:variant>
      <vt:variant>
        <vt:lpwstr>_Toc398025406</vt:lpwstr>
      </vt:variant>
      <vt:variant>
        <vt:i4>1769533</vt:i4>
      </vt:variant>
      <vt:variant>
        <vt:i4>452</vt:i4>
      </vt:variant>
      <vt:variant>
        <vt:i4>0</vt:i4>
      </vt:variant>
      <vt:variant>
        <vt:i4>5</vt:i4>
      </vt:variant>
      <vt:variant>
        <vt:lpwstr/>
      </vt:variant>
      <vt:variant>
        <vt:lpwstr>_Toc398025405</vt:lpwstr>
      </vt:variant>
      <vt:variant>
        <vt:i4>1769533</vt:i4>
      </vt:variant>
      <vt:variant>
        <vt:i4>446</vt:i4>
      </vt:variant>
      <vt:variant>
        <vt:i4>0</vt:i4>
      </vt:variant>
      <vt:variant>
        <vt:i4>5</vt:i4>
      </vt:variant>
      <vt:variant>
        <vt:lpwstr/>
      </vt:variant>
      <vt:variant>
        <vt:lpwstr>_Toc398025404</vt:lpwstr>
      </vt:variant>
      <vt:variant>
        <vt:i4>1769533</vt:i4>
      </vt:variant>
      <vt:variant>
        <vt:i4>440</vt:i4>
      </vt:variant>
      <vt:variant>
        <vt:i4>0</vt:i4>
      </vt:variant>
      <vt:variant>
        <vt:i4>5</vt:i4>
      </vt:variant>
      <vt:variant>
        <vt:lpwstr/>
      </vt:variant>
      <vt:variant>
        <vt:lpwstr>_Toc398025403</vt:lpwstr>
      </vt:variant>
      <vt:variant>
        <vt:i4>1769533</vt:i4>
      </vt:variant>
      <vt:variant>
        <vt:i4>434</vt:i4>
      </vt:variant>
      <vt:variant>
        <vt:i4>0</vt:i4>
      </vt:variant>
      <vt:variant>
        <vt:i4>5</vt:i4>
      </vt:variant>
      <vt:variant>
        <vt:lpwstr/>
      </vt:variant>
      <vt:variant>
        <vt:lpwstr>_Toc398025402</vt:lpwstr>
      </vt:variant>
      <vt:variant>
        <vt:i4>1769533</vt:i4>
      </vt:variant>
      <vt:variant>
        <vt:i4>428</vt:i4>
      </vt:variant>
      <vt:variant>
        <vt:i4>0</vt:i4>
      </vt:variant>
      <vt:variant>
        <vt:i4>5</vt:i4>
      </vt:variant>
      <vt:variant>
        <vt:lpwstr/>
      </vt:variant>
      <vt:variant>
        <vt:lpwstr>_Toc398025401</vt:lpwstr>
      </vt:variant>
      <vt:variant>
        <vt:i4>1769533</vt:i4>
      </vt:variant>
      <vt:variant>
        <vt:i4>422</vt:i4>
      </vt:variant>
      <vt:variant>
        <vt:i4>0</vt:i4>
      </vt:variant>
      <vt:variant>
        <vt:i4>5</vt:i4>
      </vt:variant>
      <vt:variant>
        <vt:lpwstr/>
      </vt:variant>
      <vt:variant>
        <vt:lpwstr>_Toc398025400</vt:lpwstr>
      </vt:variant>
      <vt:variant>
        <vt:i4>1179706</vt:i4>
      </vt:variant>
      <vt:variant>
        <vt:i4>416</vt:i4>
      </vt:variant>
      <vt:variant>
        <vt:i4>0</vt:i4>
      </vt:variant>
      <vt:variant>
        <vt:i4>5</vt:i4>
      </vt:variant>
      <vt:variant>
        <vt:lpwstr/>
      </vt:variant>
      <vt:variant>
        <vt:lpwstr>_Toc398025399</vt:lpwstr>
      </vt:variant>
      <vt:variant>
        <vt:i4>1179706</vt:i4>
      </vt:variant>
      <vt:variant>
        <vt:i4>410</vt:i4>
      </vt:variant>
      <vt:variant>
        <vt:i4>0</vt:i4>
      </vt:variant>
      <vt:variant>
        <vt:i4>5</vt:i4>
      </vt:variant>
      <vt:variant>
        <vt:lpwstr/>
      </vt:variant>
      <vt:variant>
        <vt:lpwstr>_Toc398025398</vt:lpwstr>
      </vt:variant>
      <vt:variant>
        <vt:i4>1179706</vt:i4>
      </vt:variant>
      <vt:variant>
        <vt:i4>404</vt:i4>
      </vt:variant>
      <vt:variant>
        <vt:i4>0</vt:i4>
      </vt:variant>
      <vt:variant>
        <vt:i4>5</vt:i4>
      </vt:variant>
      <vt:variant>
        <vt:lpwstr/>
      </vt:variant>
      <vt:variant>
        <vt:lpwstr>_Toc398025397</vt:lpwstr>
      </vt:variant>
      <vt:variant>
        <vt:i4>1179706</vt:i4>
      </vt:variant>
      <vt:variant>
        <vt:i4>398</vt:i4>
      </vt:variant>
      <vt:variant>
        <vt:i4>0</vt:i4>
      </vt:variant>
      <vt:variant>
        <vt:i4>5</vt:i4>
      </vt:variant>
      <vt:variant>
        <vt:lpwstr/>
      </vt:variant>
      <vt:variant>
        <vt:lpwstr>_Toc398025396</vt:lpwstr>
      </vt:variant>
      <vt:variant>
        <vt:i4>1179706</vt:i4>
      </vt:variant>
      <vt:variant>
        <vt:i4>392</vt:i4>
      </vt:variant>
      <vt:variant>
        <vt:i4>0</vt:i4>
      </vt:variant>
      <vt:variant>
        <vt:i4>5</vt:i4>
      </vt:variant>
      <vt:variant>
        <vt:lpwstr/>
      </vt:variant>
      <vt:variant>
        <vt:lpwstr>_Toc398025395</vt:lpwstr>
      </vt:variant>
      <vt:variant>
        <vt:i4>1179706</vt:i4>
      </vt:variant>
      <vt:variant>
        <vt:i4>386</vt:i4>
      </vt:variant>
      <vt:variant>
        <vt:i4>0</vt:i4>
      </vt:variant>
      <vt:variant>
        <vt:i4>5</vt:i4>
      </vt:variant>
      <vt:variant>
        <vt:lpwstr/>
      </vt:variant>
      <vt:variant>
        <vt:lpwstr>_Toc398025394</vt:lpwstr>
      </vt:variant>
      <vt:variant>
        <vt:i4>1179706</vt:i4>
      </vt:variant>
      <vt:variant>
        <vt:i4>380</vt:i4>
      </vt:variant>
      <vt:variant>
        <vt:i4>0</vt:i4>
      </vt:variant>
      <vt:variant>
        <vt:i4>5</vt:i4>
      </vt:variant>
      <vt:variant>
        <vt:lpwstr/>
      </vt:variant>
      <vt:variant>
        <vt:lpwstr>_Toc398025393</vt:lpwstr>
      </vt:variant>
      <vt:variant>
        <vt:i4>1179706</vt:i4>
      </vt:variant>
      <vt:variant>
        <vt:i4>374</vt:i4>
      </vt:variant>
      <vt:variant>
        <vt:i4>0</vt:i4>
      </vt:variant>
      <vt:variant>
        <vt:i4>5</vt:i4>
      </vt:variant>
      <vt:variant>
        <vt:lpwstr/>
      </vt:variant>
      <vt:variant>
        <vt:lpwstr>_Toc398025392</vt:lpwstr>
      </vt:variant>
      <vt:variant>
        <vt:i4>1179706</vt:i4>
      </vt:variant>
      <vt:variant>
        <vt:i4>368</vt:i4>
      </vt:variant>
      <vt:variant>
        <vt:i4>0</vt:i4>
      </vt:variant>
      <vt:variant>
        <vt:i4>5</vt:i4>
      </vt:variant>
      <vt:variant>
        <vt:lpwstr/>
      </vt:variant>
      <vt:variant>
        <vt:lpwstr>_Toc398025391</vt:lpwstr>
      </vt:variant>
      <vt:variant>
        <vt:i4>1179706</vt:i4>
      </vt:variant>
      <vt:variant>
        <vt:i4>362</vt:i4>
      </vt:variant>
      <vt:variant>
        <vt:i4>0</vt:i4>
      </vt:variant>
      <vt:variant>
        <vt:i4>5</vt:i4>
      </vt:variant>
      <vt:variant>
        <vt:lpwstr/>
      </vt:variant>
      <vt:variant>
        <vt:lpwstr>_Toc398025390</vt:lpwstr>
      </vt:variant>
      <vt:variant>
        <vt:i4>1245242</vt:i4>
      </vt:variant>
      <vt:variant>
        <vt:i4>356</vt:i4>
      </vt:variant>
      <vt:variant>
        <vt:i4>0</vt:i4>
      </vt:variant>
      <vt:variant>
        <vt:i4>5</vt:i4>
      </vt:variant>
      <vt:variant>
        <vt:lpwstr/>
      </vt:variant>
      <vt:variant>
        <vt:lpwstr>_Toc398025389</vt:lpwstr>
      </vt:variant>
      <vt:variant>
        <vt:i4>1245242</vt:i4>
      </vt:variant>
      <vt:variant>
        <vt:i4>350</vt:i4>
      </vt:variant>
      <vt:variant>
        <vt:i4>0</vt:i4>
      </vt:variant>
      <vt:variant>
        <vt:i4>5</vt:i4>
      </vt:variant>
      <vt:variant>
        <vt:lpwstr/>
      </vt:variant>
      <vt:variant>
        <vt:lpwstr>_Toc398025388</vt:lpwstr>
      </vt:variant>
      <vt:variant>
        <vt:i4>1245242</vt:i4>
      </vt:variant>
      <vt:variant>
        <vt:i4>344</vt:i4>
      </vt:variant>
      <vt:variant>
        <vt:i4>0</vt:i4>
      </vt:variant>
      <vt:variant>
        <vt:i4>5</vt:i4>
      </vt:variant>
      <vt:variant>
        <vt:lpwstr/>
      </vt:variant>
      <vt:variant>
        <vt:lpwstr>_Toc398025387</vt:lpwstr>
      </vt:variant>
      <vt:variant>
        <vt:i4>1245242</vt:i4>
      </vt:variant>
      <vt:variant>
        <vt:i4>338</vt:i4>
      </vt:variant>
      <vt:variant>
        <vt:i4>0</vt:i4>
      </vt:variant>
      <vt:variant>
        <vt:i4>5</vt:i4>
      </vt:variant>
      <vt:variant>
        <vt:lpwstr/>
      </vt:variant>
      <vt:variant>
        <vt:lpwstr>_Toc398025386</vt:lpwstr>
      </vt:variant>
      <vt:variant>
        <vt:i4>1245242</vt:i4>
      </vt:variant>
      <vt:variant>
        <vt:i4>332</vt:i4>
      </vt:variant>
      <vt:variant>
        <vt:i4>0</vt:i4>
      </vt:variant>
      <vt:variant>
        <vt:i4>5</vt:i4>
      </vt:variant>
      <vt:variant>
        <vt:lpwstr/>
      </vt:variant>
      <vt:variant>
        <vt:lpwstr>_Toc398025385</vt:lpwstr>
      </vt:variant>
      <vt:variant>
        <vt:i4>1245242</vt:i4>
      </vt:variant>
      <vt:variant>
        <vt:i4>326</vt:i4>
      </vt:variant>
      <vt:variant>
        <vt:i4>0</vt:i4>
      </vt:variant>
      <vt:variant>
        <vt:i4>5</vt:i4>
      </vt:variant>
      <vt:variant>
        <vt:lpwstr/>
      </vt:variant>
      <vt:variant>
        <vt:lpwstr>_Toc398025384</vt:lpwstr>
      </vt:variant>
      <vt:variant>
        <vt:i4>1245242</vt:i4>
      </vt:variant>
      <vt:variant>
        <vt:i4>320</vt:i4>
      </vt:variant>
      <vt:variant>
        <vt:i4>0</vt:i4>
      </vt:variant>
      <vt:variant>
        <vt:i4>5</vt:i4>
      </vt:variant>
      <vt:variant>
        <vt:lpwstr/>
      </vt:variant>
      <vt:variant>
        <vt:lpwstr>_Toc398025383</vt:lpwstr>
      </vt:variant>
      <vt:variant>
        <vt:i4>1245242</vt:i4>
      </vt:variant>
      <vt:variant>
        <vt:i4>314</vt:i4>
      </vt:variant>
      <vt:variant>
        <vt:i4>0</vt:i4>
      </vt:variant>
      <vt:variant>
        <vt:i4>5</vt:i4>
      </vt:variant>
      <vt:variant>
        <vt:lpwstr/>
      </vt:variant>
      <vt:variant>
        <vt:lpwstr>_Toc398025382</vt:lpwstr>
      </vt:variant>
      <vt:variant>
        <vt:i4>1245242</vt:i4>
      </vt:variant>
      <vt:variant>
        <vt:i4>308</vt:i4>
      </vt:variant>
      <vt:variant>
        <vt:i4>0</vt:i4>
      </vt:variant>
      <vt:variant>
        <vt:i4>5</vt:i4>
      </vt:variant>
      <vt:variant>
        <vt:lpwstr/>
      </vt:variant>
      <vt:variant>
        <vt:lpwstr>_Toc398025381</vt:lpwstr>
      </vt:variant>
      <vt:variant>
        <vt:i4>1245242</vt:i4>
      </vt:variant>
      <vt:variant>
        <vt:i4>302</vt:i4>
      </vt:variant>
      <vt:variant>
        <vt:i4>0</vt:i4>
      </vt:variant>
      <vt:variant>
        <vt:i4>5</vt:i4>
      </vt:variant>
      <vt:variant>
        <vt:lpwstr/>
      </vt:variant>
      <vt:variant>
        <vt:lpwstr>_Toc398025380</vt:lpwstr>
      </vt:variant>
      <vt:variant>
        <vt:i4>1835066</vt:i4>
      </vt:variant>
      <vt:variant>
        <vt:i4>296</vt:i4>
      </vt:variant>
      <vt:variant>
        <vt:i4>0</vt:i4>
      </vt:variant>
      <vt:variant>
        <vt:i4>5</vt:i4>
      </vt:variant>
      <vt:variant>
        <vt:lpwstr/>
      </vt:variant>
      <vt:variant>
        <vt:lpwstr>_Toc398025379</vt:lpwstr>
      </vt:variant>
      <vt:variant>
        <vt:i4>1835066</vt:i4>
      </vt:variant>
      <vt:variant>
        <vt:i4>290</vt:i4>
      </vt:variant>
      <vt:variant>
        <vt:i4>0</vt:i4>
      </vt:variant>
      <vt:variant>
        <vt:i4>5</vt:i4>
      </vt:variant>
      <vt:variant>
        <vt:lpwstr/>
      </vt:variant>
      <vt:variant>
        <vt:lpwstr>_Toc398025378</vt:lpwstr>
      </vt:variant>
      <vt:variant>
        <vt:i4>1835066</vt:i4>
      </vt:variant>
      <vt:variant>
        <vt:i4>284</vt:i4>
      </vt:variant>
      <vt:variant>
        <vt:i4>0</vt:i4>
      </vt:variant>
      <vt:variant>
        <vt:i4>5</vt:i4>
      </vt:variant>
      <vt:variant>
        <vt:lpwstr/>
      </vt:variant>
      <vt:variant>
        <vt:lpwstr>_Toc398025377</vt:lpwstr>
      </vt:variant>
      <vt:variant>
        <vt:i4>1835066</vt:i4>
      </vt:variant>
      <vt:variant>
        <vt:i4>278</vt:i4>
      </vt:variant>
      <vt:variant>
        <vt:i4>0</vt:i4>
      </vt:variant>
      <vt:variant>
        <vt:i4>5</vt:i4>
      </vt:variant>
      <vt:variant>
        <vt:lpwstr/>
      </vt:variant>
      <vt:variant>
        <vt:lpwstr>_Toc398025376</vt:lpwstr>
      </vt:variant>
      <vt:variant>
        <vt:i4>1835066</vt:i4>
      </vt:variant>
      <vt:variant>
        <vt:i4>272</vt:i4>
      </vt:variant>
      <vt:variant>
        <vt:i4>0</vt:i4>
      </vt:variant>
      <vt:variant>
        <vt:i4>5</vt:i4>
      </vt:variant>
      <vt:variant>
        <vt:lpwstr/>
      </vt:variant>
      <vt:variant>
        <vt:lpwstr>_Toc398025375</vt:lpwstr>
      </vt:variant>
      <vt:variant>
        <vt:i4>1835066</vt:i4>
      </vt:variant>
      <vt:variant>
        <vt:i4>266</vt:i4>
      </vt:variant>
      <vt:variant>
        <vt:i4>0</vt:i4>
      </vt:variant>
      <vt:variant>
        <vt:i4>5</vt:i4>
      </vt:variant>
      <vt:variant>
        <vt:lpwstr/>
      </vt:variant>
      <vt:variant>
        <vt:lpwstr>_Toc398025374</vt:lpwstr>
      </vt:variant>
      <vt:variant>
        <vt:i4>1835066</vt:i4>
      </vt:variant>
      <vt:variant>
        <vt:i4>260</vt:i4>
      </vt:variant>
      <vt:variant>
        <vt:i4>0</vt:i4>
      </vt:variant>
      <vt:variant>
        <vt:i4>5</vt:i4>
      </vt:variant>
      <vt:variant>
        <vt:lpwstr/>
      </vt:variant>
      <vt:variant>
        <vt:lpwstr>_Toc398025373</vt:lpwstr>
      </vt:variant>
      <vt:variant>
        <vt:i4>1835066</vt:i4>
      </vt:variant>
      <vt:variant>
        <vt:i4>254</vt:i4>
      </vt:variant>
      <vt:variant>
        <vt:i4>0</vt:i4>
      </vt:variant>
      <vt:variant>
        <vt:i4>5</vt:i4>
      </vt:variant>
      <vt:variant>
        <vt:lpwstr/>
      </vt:variant>
      <vt:variant>
        <vt:lpwstr>_Toc398025372</vt:lpwstr>
      </vt:variant>
      <vt:variant>
        <vt:i4>1835066</vt:i4>
      </vt:variant>
      <vt:variant>
        <vt:i4>248</vt:i4>
      </vt:variant>
      <vt:variant>
        <vt:i4>0</vt:i4>
      </vt:variant>
      <vt:variant>
        <vt:i4>5</vt:i4>
      </vt:variant>
      <vt:variant>
        <vt:lpwstr/>
      </vt:variant>
      <vt:variant>
        <vt:lpwstr>_Toc398025371</vt:lpwstr>
      </vt:variant>
      <vt:variant>
        <vt:i4>1835066</vt:i4>
      </vt:variant>
      <vt:variant>
        <vt:i4>242</vt:i4>
      </vt:variant>
      <vt:variant>
        <vt:i4>0</vt:i4>
      </vt:variant>
      <vt:variant>
        <vt:i4>5</vt:i4>
      </vt:variant>
      <vt:variant>
        <vt:lpwstr/>
      </vt:variant>
      <vt:variant>
        <vt:lpwstr>_Toc398025370</vt:lpwstr>
      </vt:variant>
      <vt:variant>
        <vt:i4>1900602</vt:i4>
      </vt:variant>
      <vt:variant>
        <vt:i4>236</vt:i4>
      </vt:variant>
      <vt:variant>
        <vt:i4>0</vt:i4>
      </vt:variant>
      <vt:variant>
        <vt:i4>5</vt:i4>
      </vt:variant>
      <vt:variant>
        <vt:lpwstr/>
      </vt:variant>
      <vt:variant>
        <vt:lpwstr>_Toc398025369</vt:lpwstr>
      </vt:variant>
      <vt:variant>
        <vt:i4>1900602</vt:i4>
      </vt:variant>
      <vt:variant>
        <vt:i4>230</vt:i4>
      </vt:variant>
      <vt:variant>
        <vt:i4>0</vt:i4>
      </vt:variant>
      <vt:variant>
        <vt:i4>5</vt:i4>
      </vt:variant>
      <vt:variant>
        <vt:lpwstr/>
      </vt:variant>
      <vt:variant>
        <vt:lpwstr>_Toc398025368</vt:lpwstr>
      </vt:variant>
      <vt:variant>
        <vt:i4>1900602</vt:i4>
      </vt:variant>
      <vt:variant>
        <vt:i4>224</vt:i4>
      </vt:variant>
      <vt:variant>
        <vt:i4>0</vt:i4>
      </vt:variant>
      <vt:variant>
        <vt:i4>5</vt:i4>
      </vt:variant>
      <vt:variant>
        <vt:lpwstr/>
      </vt:variant>
      <vt:variant>
        <vt:lpwstr>_Toc398025367</vt:lpwstr>
      </vt:variant>
      <vt:variant>
        <vt:i4>1900602</vt:i4>
      </vt:variant>
      <vt:variant>
        <vt:i4>218</vt:i4>
      </vt:variant>
      <vt:variant>
        <vt:i4>0</vt:i4>
      </vt:variant>
      <vt:variant>
        <vt:i4>5</vt:i4>
      </vt:variant>
      <vt:variant>
        <vt:lpwstr/>
      </vt:variant>
      <vt:variant>
        <vt:lpwstr>_Toc398025366</vt:lpwstr>
      </vt:variant>
      <vt:variant>
        <vt:i4>1900602</vt:i4>
      </vt:variant>
      <vt:variant>
        <vt:i4>212</vt:i4>
      </vt:variant>
      <vt:variant>
        <vt:i4>0</vt:i4>
      </vt:variant>
      <vt:variant>
        <vt:i4>5</vt:i4>
      </vt:variant>
      <vt:variant>
        <vt:lpwstr/>
      </vt:variant>
      <vt:variant>
        <vt:lpwstr>_Toc398025365</vt:lpwstr>
      </vt:variant>
      <vt:variant>
        <vt:i4>1900602</vt:i4>
      </vt:variant>
      <vt:variant>
        <vt:i4>206</vt:i4>
      </vt:variant>
      <vt:variant>
        <vt:i4>0</vt:i4>
      </vt:variant>
      <vt:variant>
        <vt:i4>5</vt:i4>
      </vt:variant>
      <vt:variant>
        <vt:lpwstr/>
      </vt:variant>
      <vt:variant>
        <vt:lpwstr>_Toc398025364</vt:lpwstr>
      </vt:variant>
      <vt:variant>
        <vt:i4>1900602</vt:i4>
      </vt:variant>
      <vt:variant>
        <vt:i4>200</vt:i4>
      </vt:variant>
      <vt:variant>
        <vt:i4>0</vt:i4>
      </vt:variant>
      <vt:variant>
        <vt:i4>5</vt:i4>
      </vt:variant>
      <vt:variant>
        <vt:lpwstr/>
      </vt:variant>
      <vt:variant>
        <vt:lpwstr>_Toc398025363</vt:lpwstr>
      </vt:variant>
      <vt:variant>
        <vt:i4>1900602</vt:i4>
      </vt:variant>
      <vt:variant>
        <vt:i4>194</vt:i4>
      </vt:variant>
      <vt:variant>
        <vt:i4>0</vt:i4>
      </vt:variant>
      <vt:variant>
        <vt:i4>5</vt:i4>
      </vt:variant>
      <vt:variant>
        <vt:lpwstr/>
      </vt:variant>
      <vt:variant>
        <vt:lpwstr>_Toc398025362</vt:lpwstr>
      </vt:variant>
      <vt:variant>
        <vt:i4>1900602</vt:i4>
      </vt:variant>
      <vt:variant>
        <vt:i4>188</vt:i4>
      </vt:variant>
      <vt:variant>
        <vt:i4>0</vt:i4>
      </vt:variant>
      <vt:variant>
        <vt:i4>5</vt:i4>
      </vt:variant>
      <vt:variant>
        <vt:lpwstr/>
      </vt:variant>
      <vt:variant>
        <vt:lpwstr>_Toc398025361</vt:lpwstr>
      </vt:variant>
      <vt:variant>
        <vt:i4>1900602</vt:i4>
      </vt:variant>
      <vt:variant>
        <vt:i4>182</vt:i4>
      </vt:variant>
      <vt:variant>
        <vt:i4>0</vt:i4>
      </vt:variant>
      <vt:variant>
        <vt:i4>5</vt:i4>
      </vt:variant>
      <vt:variant>
        <vt:lpwstr/>
      </vt:variant>
      <vt:variant>
        <vt:lpwstr>_Toc398025360</vt:lpwstr>
      </vt:variant>
      <vt:variant>
        <vt:i4>1966138</vt:i4>
      </vt:variant>
      <vt:variant>
        <vt:i4>176</vt:i4>
      </vt:variant>
      <vt:variant>
        <vt:i4>0</vt:i4>
      </vt:variant>
      <vt:variant>
        <vt:i4>5</vt:i4>
      </vt:variant>
      <vt:variant>
        <vt:lpwstr/>
      </vt:variant>
      <vt:variant>
        <vt:lpwstr>_Toc398025359</vt:lpwstr>
      </vt:variant>
      <vt:variant>
        <vt:i4>1966138</vt:i4>
      </vt:variant>
      <vt:variant>
        <vt:i4>170</vt:i4>
      </vt:variant>
      <vt:variant>
        <vt:i4>0</vt:i4>
      </vt:variant>
      <vt:variant>
        <vt:i4>5</vt:i4>
      </vt:variant>
      <vt:variant>
        <vt:lpwstr/>
      </vt:variant>
      <vt:variant>
        <vt:lpwstr>_Toc398025358</vt:lpwstr>
      </vt:variant>
      <vt:variant>
        <vt:i4>1966138</vt:i4>
      </vt:variant>
      <vt:variant>
        <vt:i4>164</vt:i4>
      </vt:variant>
      <vt:variant>
        <vt:i4>0</vt:i4>
      </vt:variant>
      <vt:variant>
        <vt:i4>5</vt:i4>
      </vt:variant>
      <vt:variant>
        <vt:lpwstr/>
      </vt:variant>
      <vt:variant>
        <vt:lpwstr>_Toc398025357</vt:lpwstr>
      </vt:variant>
      <vt:variant>
        <vt:i4>1966138</vt:i4>
      </vt:variant>
      <vt:variant>
        <vt:i4>158</vt:i4>
      </vt:variant>
      <vt:variant>
        <vt:i4>0</vt:i4>
      </vt:variant>
      <vt:variant>
        <vt:i4>5</vt:i4>
      </vt:variant>
      <vt:variant>
        <vt:lpwstr/>
      </vt:variant>
      <vt:variant>
        <vt:lpwstr>_Toc398025356</vt:lpwstr>
      </vt:variant>
      <vt:variant>
        <vt:i4>1966138</vt:i4>
      </vt:variant>
      <vt:variant>
        <vt:i4>152</vt:i4>
      </vt:variant>
      <vt:variant>
        <vt:i4>0</vt:i4>
      </vt:variant>
      <vt:variant>
        <vt:i4>5</vt:i4>
      </vt:variant>
      <vt:variant>
        <vt:lpwstr/>
      </vt:variant>
      <vt:variant>
        <vt:lpwstr>_Toc398025355</vt:lpwstr>
      </vt:variant>
      <vt:variant>
        <vt:i4>1966138</vt:i4>
      </vt:variant>
      <vt:variant>
        <vt:i4>146</vt:i4>
      </vt:variant>
      <vt:variant>
        <vt:i4>0</vt:i4>
      </vt:variant>
      <vt:variant>
        <vt:i4>5</vt:i4>
      </vt:variant>
      <vt:variant>
        <vt:lpwstr/>
      </vt:variant>
      <vt:variant>
        <vt:lpwstr>_Toc398025354</vt:lpwstr>
      </vt:variant>
      <vt:variant>
        <vt:i4>1966138</vt:i4>
      </vt:variant>
      <vt:variant>
        <vt:i4>140</vt:i4>
      </vt:variant>
      <vt:variant>
        <vt:i4>0</vt:i4>
      </vt:variant>
      <vt:variant>
        <vt:i4>5</vt:i4>
      </vt:variant>
      <vt:variant>
        <vt:lpwstr/>
      </vt:variant>
      <vt:variant>
        <vt:lpwstr>_Toc398025353</vt:lpwstr>
      </vt:variant>
      <vt:variant>
        <vt:i4>1966138</vt:i4>
      </vt:variant>
      <vt:variant>
        <vt:i4>134</vt:i4>
      </vt:variant>
      <vt:variant>
        <vt:i4>0</vt:i4>
      </vt:variant>
      <vt:variant>
        <vt:i4>5</vt:i4>
      </vt:variant>
      <vt:variant>
        <vt:lpwstr/>
      </vt:variant>
      <vt:variant>
        <vt:lpwstr>_Toc398025352</vt:lpwstr>
      </vt:variant>
      <vt:variant>
        <vt:i4>1966138</vt:i4>
      </vt:variant>
      <vt:variant>
        <vt:i4>128</vt:i4>
      </vt:variant>
      <vt:variant>
        <vt:i4>0</vt:i4>
      </vt:variant>
      <vt:variant>
        <vt:i4>5</vt:i4>
      </vt:variant>
      <vt:variant>
        <vt:lpwstr/>
      </vt:variant>
      <vt:variant>
        <vt:lpwstr>_Toc398025351</vt:lpwstr>
      </vt:variant>
      <vt:variant>
        <vt:i4>1966138</vt:i4>
      </vt:variant>
      <vt:variant>
        <vt:i4>122</vt:i4>
      </vt:variant>
      <vt:variant>
        <vt:i4>0</vt:i4>
      </vt:variant>
      <vt:variant>
        <vt:i4>5</vt:i4>
      </vt:variant>
      <vt:variant>
        <vt:lpwstr/>
      </vt:variant>
      <vt:variant>
        <vt:lpwstr>_Toc398025350</vt:lpwstr>
      </vt:variant>
      <vt:variant>
        <vt:i4>2031674</vt:i4>
      </vt:variant>
      <vt:variant>
        <vt:i4>116</vt:i4>
      </vt:variant>
      <vt:variant>
        <vt:i4>0</vt:i4>
      </vt:variant>
      <vt:variant>
        <vt:i4>5</vt:i4>
      </vt:variant>
      <vt:variant>
        <vt:lpwstr/>
      </vt:variant>
      <vt:variant>
        <vt:lpwstr>_Toc398025349</vt:lpwstr>
      </vt:variant>
      <vt:variant>
        <vt:i4>2031674</vt:i4>
      </vt:variant>
      <vt:variant>
        <vt:i4>110</vt:i4>
      </vt:variant>
      <vt:variant>
        <vt:i4>0</vt:i4>
      </vt:variant>
      <vt:variant>
        <vt:i4>5</vt:i4>
      </vt:variant>
      <vt:variant>
        <vt:lpwstr/>
      </vt:variant>
      <vt:variant>
        <vt:lpwstr>_Toc398025348</vt:lpwstr>
      </vt:variant>
      <vt:variant>
        <vt:i4>2031674</vt:i4>
      </vt:variant>
      <vt:variant>
        <vt:i4>104</vt:i4>
      </vt:variant>
      <vt:variant>
        <vt:i4>0</vt:i4>
      </vt:variant>
      <vt:variant>
        <vt:i4>5</vt:i4>
      </vt:variant>
      <vt:variant>
        <vt:lpwstr/>
      </vt:variant>
      <vt:variant>
        <vt:lpwstr>_Toc398025347</vt:lpwstr>
      </vt:variant>
      <vt:variant>
        <vt:i4>2031674</vt:i4>
      </vt:variant>
      <vt:variant>
        <vt:i4>98</vt:i4>
      </vt:variant>
      <vt:variant>
        <vt:i4>0</vt:i4>
      </vt:variant>
      <vt:variant>
        <vt:i4>5</vt:i4>
      </vt:variant>
      <vt:variant>
        <vt:lpwstr/>
      </vt:variant>
      <vt:variant>
        <vt:lpwstr>_Toc398025346</vt:lpwstr>
      </vt:variant>
      <vt:variant>
        <vt:i4>2031674</vt:i4>
      </vt:variant>
      <vt:variant>
        <vt:i4>92</vt:i4>
      </vt:variant>
      <vt:variant>
        <vt:i4>0</vt:i4>
      </vt:variant>
      <vt:variant>
        <vt:i4>5</vt:i4>
      </vt:variant>
      <vt:variant>
        <vt:lpwstr/>
      </vt:variant>
      <vt:variant>
        <vt:lpwstr>_Toc398025345</vt:lpwstr>
      </vt:variant>
      <vt:variant>
        <vt:i4>2031674</vt:i4>
      </vt:variant>
      <vt:variant>
        <vt:i4>86</vt:i4>
      </vt:variant>
      <vt:variant>
        <vt:i4>0</vt:i4>
      </vt:variant>
      <vt:variant>
        <vt:i4>5</vt:i4>
      </vt:variant>
      <vt:variant>
        <vt:lpwstr/>
      </vt:variant>
      <vt:variant>
        <vt:lpwstr>_Toc398025344</vt:lpwstr>
      </vt:variant>
      <vt:variant>
        <vt:i4>2031674</vt:i4>
      </vt:variant>
      <vt:variant>
        <vt:i4>80</vt:i4>
      </vt:variant>
      <vt:variant>
        <vt:i4>0</vt:i4>
      </vt:variant>
      <vt:variant>
        <vt:i4>5</vt:i4>
      </vt:variant>
      <vt:variant>
        <vt:lpwstr/>
      </vt:variant>
      <vt:variant>
        <vt:lpwstr>_Toc398025343</vt:lpwstr>
      </vt:variant>
      <vt:variant>
        <vt:i4>2031674</vt:i4>
      </vt:variant>
      <vt:variant>
        <vt:i4>74</vt:i4>
      </vt:variant>
      <vt:variant>
        <vt:i4>0</vt:i4>
      </vt:variant>
      <vt:variant>
        <vt:i4>5</vt:i4>
      </vt:variant>
      <vt:variant>
        <vt:lpwstr/>
      </vt:variant>
      <vt:variant>
        <vt:lpwstr>_Toc398025342</vt:lpwstr>
      </vt:variant>
      <vt:variant>
        <vt:i4>2031674</vt:i4>
      </vt:variant>
      <vt:variant>
        <vt:i4>68</vt:i4>
      </vt:variant>
      <vt:variant>
        <vt:i4>0</vt:i4>
      </vt:variant>
      <vt:variant>
        <vt:i4>5</vt:i4>
      </vt:variant>
      <vt:variant>
        <vt:lpwstr/>
      </vt:variant>
      <vt:variant>
        <vt:lpwstr>_Toc398025341</vt:lpwstr>
      </vt:variant>
      <vt:variant>
        <vt:i4>2031674</vt:i4>
      </vt:variant>
      <vt:variant>
        <vt:i4>62</vt:i4>
      </vt:variant>
      <vt:variant>
        <vt:i4>0</vt:i4>
      </vt:variant>
      <vt:variant>
        <vt:i4>5</vt:i4>
      </vt:variant>
      <vt:variant>
        <vt:lpwstr/>
      </vt:variant>
      <vt:variant>
        <vt:lpwstr>_Toc398025340</vt:lpwstr>
      </vt:variant>
      <vt:variant>
        <vt:i4>1572922</vt:i4>
      </vt:variant>
      <vt:variant>
        <vt:i4>56</vt:i4>
      </vt:variant>
      <vt:variant>
        <vt:i4>0</vt:i4>
      </vt:variant>
      <vt:variant>
        <vt:i4>5</vt:i4>
      </vt:variant>
      <vt:variant>
        <vt:lpwstr/>
      </vt:variant>
      <vt:variant>
        <vt:lpwstr>_Toc398025339</vt:lpwstr>
      </vt:variant>
      <vt:variant>
        <vt:i4>1572922</vt:i4>
      </vt:variant>
      <vt:variant>
        <vt:i4>50</vt:i4>
      </vt:variant>
      <vt:variant>
        <vt:i4>0</vt:i4>
      </vt:variant>
      <vt:variant>
        <vt:i4>5</vt:i4>
      </vt:variant>
      <vt:variant>
        <vt:lpwstr/>
      </vt:variant>
      <vt:variant>
        <vt:lpwstr>_Toc398025338</vt:lpwstr>
      </vt:variant>
      <vt:variant>
        <vt:i4>1572922</vt:i4>
      </vt:variant>
      <vt:variant>
        <vt:i4>44</vt:i4>
      </vt:variant>
      <vt:variant>
        <vt:i4>0</vt:i4>
      </vt:variant>
      <vt:variant>
        <vt:i4>5</vt:i4>
      </vt:variant>
      <vt:variant>
        <vt:lpwstr/>
      </vt:variant>
      <vt:variant>
        <vt:lpwstr>_Toc398025337</vt:lpwstr>
      </vt:variant>
      <vt:variant>
        <vt:i4>1572922</vt:i4>
      </vt:variant>
      <vt:variant>
        <vt:i4>38</vt:i4>
      </vt:variant>
      <vt:variant>
        <vt:i4>0</vt:i4>
      </vt:variant>
      <vt:variant>
        <vt:i4>5</vt:i4>
      </vt:variant>
      <vt:variant>
        <vt:lpwstr/>
      </vt:variant>
      <vt:variant>
        <vt:lpwstr>_Toc398025336</vt:lpwstr>
      </vt:variant>
      <vt:variant>
        <vt:i4>1572922</vt:i4>
      </vt:variant>
      <vt:variant>
        <vt:i4>32</vt:i4>
      </vt:variant>
      <vt:variant>
        <vt:i4>0</vt:i4>
      </vt:variant>
      <vt:variant>
        <vt:i4>5</vt:i4>
      </vt:variant>
      <vt:variant>
        <vt:lpwstr/>
      </vt:variant>
      <vt:variant>
        <vt:lpwstr>_Toc398025335</vt:lpwstr>
      </vt:variant>
      <vt:variant>
        <vt:i4>1572922</vt:i4>
      </vt:variant>
      <vt:variant>
        <vt:i4>26</vt:i4>
      </vt:variant>
      <vt:variant>
        <vt:i4>0</vt:i4>
      </vt:variant>
      <vt:variant>
        <vt:i4>5</vt:i4>
      </vt:variant>
      <vt:variant>
        <vt:lpwstr/>
      </vt:variant>
      <vt:variant>
        <vt:lpwstr>_Toc398025334</vt:lpwstr>
      </vt:variant>
      <vt:variant>
        <vt:i4>1572922</vt:i4>
      </vt:variant>
      <vt:variant>
        <vt:i4>20</vt:i4>
      </vt:variant>
      <vt:variant>
        <vt:i4>0</vt:i4>
      </vt:variant>
      <vt:variant>
        <vt:i4>5</vt:i4>
      </vt:variant>
      <vt:variant>
        <vt:lpwstr/>
      </vt:variant>
      <vt:variant>
        <vt:lpwstr>_Toc398025333</vt:lpwstr>
      </vt:variant>
      <vt:variant>
        <vt:i4>1572922</vt:i4>
      </vt:variant>
      <vt:variant>
        <vt:i4>14</vt:i4>
      </vt:variant>
      <vt:variant>
        <vt:i4>0</vt:i4>
      </vt:variant>
      <vt:variant>
        <vt:i4>5</vt:i4>
      </vt:variant>
      <vt:variant>
        <vt:lpwstr/>
      </vt:variant>
      <vt:variant>
        <vt:lpwstr>_Toc398025332</vt:lpwstr>
      </vt:variant>
      <vt:variant>
        <vt:i4>1572922</vt:i4>
      </vt:variant>
      <vt:variant>
        <vt:i4>8</vt:i4>
      </vt:variant>
      <vt:variant>
        <vt:i4>0</vt:i4>
      </vt:variant>
      <vt:variant>
        <vt:i4>5</vt:i4>
      </vt:variant>
      <vt:variant>
        <vt:lpwstr/>
      </vt:variant>
      <vt:variant>
        <vt:lpwstr>_Toc398025331</vt:lpwstr>
      </vt:variant>
      <vt:variant>
        <vt:i4>1572922</vt:i4>
      </vt:variant>
      <vt:variant>
        <vt:i4>2</vt:i4>
      </vt:variant>
      <vt:variant>
        <vt:i4>0</vt:i4>
      </vt:variant>
      <vt:variant>
        <vt:i4>5</vt:i4>
      </vt:variant>
      <vt:variant>
        <vt:lpwstr/>
      </vt:variant>
      <vt:variant>
        <vt:lpwstr>_Toc398025330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募集申请材料</dc:subject>
  <dc:creator>徐晶</dc:creator>
  <cp:keywords/>
  <cp:lastModifiedBy>陈红</cp:lastModifiedBy>
  <cp:revision>11</cp:revision>
  <cp:lastPrinted>2012-02-28T01:22:00Z</cp:lastPrinted>
  <dcterms:created xsi:type="dcterms:W3CDTF">2020-07-02T10:00:00Z</dcterms:created>
  <dcterms:modified xsi:type="dcterms:W3CDTF">2020-07-29T10:39:00Z</dcterms:modified>
  <cp:category>募集申请材料</cp:category>
</cp:coreProperties>
</file>