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70" w:rsidRPr="0001503D" w:rsidRDefault="002F5370" w:rsidP="000B57E8">
      <w:pPr>
        <w:snapToGrid w:val="0"/>
        <w:spacing w:line="360" w:lineRule="auto"/>
        <w:ind w:firstLine="881"/>
        <w:jc w:val="center"/>
        <w:rPr>
          <w:rFonts w:asciiTheme="minorEastAsia" w:eastAsiaTheme="minorEastAsia" w:hAnsiTheme="minorEastAsia"/>
          <w:b/>
          <w:sz w:val="44"/>
        </w:rPr>
      </w:pPr>
    </w:p>
    <w:p w:rsidR="002F5370" w:rsidRPr="0001503D" w:rsidRDefault="002F5370" w:rsidP="000B57E8">
      <w:pPr>
        <w:snapToGrid w:val="0"/>
        <w:spacing w:line="360" w:lineRule="auto"/>
        <w:ind w:firstLine="881"/>
        <w:jc w:val="center"/>
        <w:rPr>
          <w:rFonts w:asciiTheme="minorEastAsia" w:eastAsiaTheme="minorEastAsia" w:hAnsiTheme="minorEastAsia"/>
          <w:b/>
          <w:sz w:val="44"/>
        </w:rPr>
      </w:pPr>
    </w:p>
    <w:p w:rsidR="002F5370" w:rsidRPr="0001503D" w:rsidRDefault="002F5370" w:rsidP="000B57E8">
      <w:pPr>
        <w:snapToGrid w:val="0"/>
        <w:spacing w:line="360" w:lineRule="auto"/>
        <w:ind w:firstLine="881"/>
        <w:jc w:val="center"/>
        <w:rPr>
          <w:rFonts w:asciiTheme="minorEastAsia" w:eastAsiaTheme="minorEastAsia" w:hAnsiTheme="minorEastAsia"/>
          <w:b/>
          <w:sz w:val="44"/>
        </w:rPr>
      </w:pPr>
    </w:p>
    <w:p w:rsidR="000B57E8" w:rsidRPr="0001503D" w:rsidRDefault="000B57E8" w:rsidP="000B57E8">
      <w:pPr>
        <w:snapToGrid w:val="0"/>
        <w:spacing w:line="360" w:lineRule="auto"/>
        <w:ind w:firstLine="881"/>
        <w:jc w:val="center"/>
        <w:rPr>
          <w:rFonts w:asciiTheme="minorEastAsia" w:eastAsiaTheme="minorEastAsia" w:hAnsiTheme="minorEastAsia"/>
          <w:b/>
          <w:sz w:val="44"/>
        </w:rPr>
      </w:pPr>
    </w:p>
    <w:p w:rsidR="002F5370" w:rsidRPr="0001503D" w:rsidRDefault="002F5370" w:rsidP="000B57E8">
      <w:pPr>
        <w:snapToGrid w:val="0"/>
        <w:spacing w:line="360" w:lineRule="auto"/>
        <w:jc w:val="center"/>
        <w:rPr>
          <w:rFonts w:asciiTheme="minorEastAsia" w:eastAsiaTheme="minorEastAsia" w:hAnsiTheme="minorEastAsia"/>
          <w:b/>
          <w:sz w:val="44"/>
          <w:szCs w:val="44"/>
        </w:rPr>
      </w:pPr>
      <w:r w:rsidRPr="0001503D">
        <w:rPr>
          <w:rFonts w:asciiTheme="minorEastAsia" w:eastAsiaTheme="minorEastAsia" w:hAnsiTheme="minorEastAsia" w:hint="eastAsia"/>
          <w:b/>
          <w:sz w:val="44"/>
          <w:szCs w:val="44"/>
        </w:rPr>
        <w:t>易方达消费行业股票型证券投资基金</w:t>
      </w:r>
      <w:r w:rsidRPr="0001503D">
        <w:rPr>
          <w:rFonts w:asciiTheme="minorEastAsia" w:eastAsiaTheme="minorEastAsia" w:hAnsiTheme="minorEastAsia"/>
          <w:b/>
          <w:sz w:val="44"/>
          <w:szCs w:val="44"/>
        </w:rPr>
        <w:br/>
      </w:r>
      <w:r w:rsidRPr="0001503D">
        <w:rPr>
          <w:rFonts w:asciiTheme="minorEastAsia" w:eastAsiaTheme="minorEastAsia" w:hAnsiTheme="minorEastAsia" w:hint="eastAsia"/>
          <w:b/>
          <w:sz w:val="44"/>
          <w:szCs w:val="44"/>
        </w:rPr>
        <w:t>更新的招募说明书</w:t>
      </w:r>
    </w:p>
    <w:p w:rsidR="002F5370" w:rsidRPr="0001503D" w:rsidRDefault="002F5370" w:rsidP="000B57E8">
      <w:pPr>
        <w:snapToGrid w:val="0"/>
        <w:spacing w:line="360" w:lineRule="auto"/>
        <w:ind w:left="360" w:right="26"/>
        <w:jc w:val="center"/>
        <w:rPr>
          <w:rFonts w:asciiTheme="minorEastAsia" w:eastAsiaTheme="minorEastAsia" w:hAnsiTheme="minorEastAsia"/>
          <w:b/>
          <w:sz w:val="44"/>
        </w:rPr>
      </w:pPr>
    </w:p>
    <w:p w:rsidR="002F5370" w:rsidRPr="0001503D" w:rsidRDefault="002F5370" w:rsidP="000B57E8">
      <w:pPr>
        <w:snapToGrid w:val="0"/>
        <w:spacing w:line="360" w:lineRule="auto"/>
        <w:ind w:firstLine="600"/>
        <w:jc w:val="center"/>
        <w:rPr>
          <w:rFonts w:asciiTheme="minorEastAsia" w:eastAsiaTheme="minorEastAsia" w:hAnsiTheme="minorEastAsia"/>
          <w:sz w:val="24"/>
        </w:rPr>
      </w:pPr>
    </w:p>
    <w:p w:rsidR="002F5370" w:rsidRPr="0001503D" w:rsidRDefault="002F5370" w:rsidP="000B57E8">
      <w:pPr>
        <w:snapToGrid w:val="0"/>
        <w:spacing w:line="360" w:lineRule="auto"/>
        <w:ind w:leftChars="800" w:left="1680"/>
        <w:rPr>
          <w:rFonts w:asciiTheme="minorEastAsia" w:eastAsiaTheme="minorEastAsia" w:hAnsiTheme="minorEastAsia"/>
          <w:sz w:val="30"/>
          <w:szCs w:val="30"/>
        </w:rPr>
      </w:pPr>
    </w:p>
    <w:p w:rsidR="002F5370" w:rsidRPr="0001503D" w:rsidRDefault="002F5370" w:rsidP="000B57E8">
      <w:pPr>
        <w:snapToGrid w:val="0"/>
        <w:spacing w:line="360" w:lineRule="auto"/>
        <w:ind w:leftChars="800" w:left="1680"/>
        <w:rPr>
          <w:rFonts w:asciiTheme="minorEastAsia" w:eastAsiaTheme="minorEastAsia" w:hAnsiTheme="minorEastAsia"/>
          <w:sz w:val="30"/>
          <w:szCs w:val="30"/>
        </w:rPr>
      </w:pPr>
    </w:p>
    <w:p w:rsidR="000B57E8" w:rsidRPr="0001503D" w:rsidRDefault="000B57E8" w:rsidP="000B57E8">
      <w:pPr>
        <w:snapToGrid w:val="0"/>
        <w:spacing w:line="360" w:lineRule="auto"/>
        <w:ind w:leftChars="800" w:left="1680"/>
        <w:rPr>
          <w:rFonts w:asciiTheme="minorEastAsia" w:eastAsiaTheme="minorEastAsia" w:hAnsiTheme="minorEastAsia"/>
          <w:sz w:val="30"/>
          <w:szCs w:val="30"/>
        </w:rPr>
      </w:pPr>
    </w:p>
    <w:p w:rsidR="000B57E8" w:rsidRPr="0001503D" w:rsidRDefault="000B57E8" w:rsidP="000B57E8">
      <w:pPr>
        <w:snapToGrid w:val="0"/>
        <w:spacing w:line="360" w:lineRule="auto"/>
        <w:ind w:leftChars="800" w:left="1680"/>
        <w:rPr>
          <w:rFonts w:asciiTheme="minorEastAsia" w:eastAsiaTheme="minorEastAsia" w:hAnsiTheme="minorEastAsia"/>
          <w:sz w:val="30"/>
          <w:szCs w:val="30"/>
        </w:rPr>
      </w:pPr>
    </w:p>
    <w:p w:rsidR="002F5370" w:rsidRPr="0001503D" w:rsidRDefault="002F5370" w:rsidP="000B57E8">
      <w:pPr>
        <w:snapToGrid w:val="0"/>
        <w:spacing w:line="360" w:lineRule="auto"/>
        <w:ind w:leftChars="800" w:left="1680"/>
        <w:rPr>
          <w:rFonts w:asciiTheme="minorEastAsia" w:eastAsiaTheme="minorEastAsia" w:hAnsiTheme="minorEastAsia"/>
          <w:sz w:val="30"/>
          <w:szCs w:val="30"/>
        </w:rPr>
      </w:pPr>
    </w:p>
    <w:p w:rsidR="002F5370" w:rsidRPr="0001503D" w:rsidRDefault="002F5370" w:rsidP="000B57E8">
      <w:pPr>
        <w:snapToGrid w:val="0"/>
        <w:spacing w:line="360" w:lineRule="auto"/>
        <w:ind w:leftChars="800" w:left="1680"/>
        <w:rPr>
          <w:rFonts w:asciiTheme="minorEastAsia" w:eastAsiaTheme="minorEastAsia" w:hAnsiTheme="minorEastAsia"/>
          <w:sz w:val="30"/>
          <w:szCs w:val="30"/>
        </w:rPr>
      </w:pPr>
    </w:p>
    <w:p w:rsidR="002F5370" w:rsidRPr="0001503D" w:rsidRDefault="002F5370" w:rsidP="000B57E8">
      <w:pPr>
        <w:snapToGrid w:val="0"/>
        <w:spacing w:line="360" w:lineRule="auto"/>
        <w:jc w:val="center"/>
        <w:rPr>
          <w:rFonts w:asciiTheme="minorEastAsia" w:eastAsiaTheme="minorEastAsia" w:hAnsiTheme="minorEastAsia"/>
          <w:sz w:val="30"/>
          <w:szCs w:val="30"/>
        </w:rPr>
      </w:pPr>
      <w:r w:rsidRPr="0001503D">
        <w:rPr>
          <w:rFonts w:asciiTheme="minorEastAsia" w:eastAsiaTheme="minorEastAsia" w:hAnsiTheme="minorEastAsia" w:hint="eastAsia"/>
          <w:sz w:val="30"/>
          <w:szCs w:val="30"/>
        </w:rPr>
        <w:t>基金管理人：易方达基金管理有限公司</w:t>
      </w:r>
    </w:p>
    <w:p w:rsidR="002F5370" w:rsidRPr="0001503D" w:rsidRDefault="002F5370" w:rsidP="000B57E8">
      <w:pPr>
        <w:snapToGrid w:val="0"/>
        <w:spacing w:line="360" w:lineRule="auto"/>
        <w:jc w:val="center"/>
        <w:rPr>
          <w:rFonts w:asciiTheme="minorEastAsia" w:eastAsiaTheme="minorEastAsia" w:hAnsiTheme="minorEastAsia"/>
          <w:sz w:val="30"/>
          <w:szCs w:val="30"/>
        </w:rPr>
      </w:pPr>
      <w:r w:rsidRPr="0001503D">
        <w:rPr>
          <w:rFonts w:asciiTheme="minorEastAsia" w:eastAsiaTheme="minorEastAsia" w:hAnsiTheme="minorEastAsia" w:hint="eastAsia"/>
          <w:sz w:val="30"/>
          <w:szCs w:val="30"/>
        </w:rPr>
        <w:t>基金托管人：中国农业银行股份有限公司</w:t>
      </w:r>
    </w:p>
    <w:p w:rsidR="002F5370" w:rsidRPr="0001503D" w:rsidRDefault="002F5370" w:rsidP="000B57E8">
      <w:pPr>
        <w:snapToGrid w:val="0"/>
        <w:spacing w:line="360" w:lineRule="auto"/>
        <w:ind w:firstLine="561"/>
        <w:rPr>
          <w:rFonts w:asciiTheme="minorEastAsia" w:eastAsiaTheme="minorEastAsia" w:hAnsiTheme="minorEastAsia"/>
          <w:b/>
          <w:sz w:val="24"/>
        </w:rPr>
      </w:pPr>
    </w:p>
    <w:p w:rsidR="008E79F6" w:rsidRPr="0001503D" w:rsidRDefault="008E79F6" w:rsidP="000B57E8">
      <w:pPr>
        <w:snapToGrid w:val="0"/>
        <w:spacing w:line="360" w:lineRule="auto"/>
        <w:jc w:val="center"/>
        <w:rPr>
          <w:rFonts w:asciiTheme="minorEastAsia" w:eastAsiaTheme="minorEastAsia" w:hAnsiTheme="minorEastAsia"/>
          <w:bCs/>
          <w:sz w:val="28"/>
        </w:rPr>
      </w:pPr>
      <w:r w:rsidRPr="0001503D">
        <w:rPr>
          <w:rFonts w:asciiTheme="minorEastAsia" w:eastAsiaTheme="minorEastAsia" w:hAnsiTheme="minorEastAsia" w:hint="eastAsia"/>
          <w:bCs/>
          <w:sz w:val="28"/>
        </w:rPr>
        <w:t>二○二○年七月</w:t>
      </w:r>
    </w:p>
    <w:p w:rsidR="000510F8" w:rsidRPr="0001503D" w:rsidRDefault="000510F8" w:rsidP="000B57E8">
      <w:pPr>
        <w:snapToGrid w:val="0"/>
        <w:spacing w:line="360" w:lineRule="auto"/>
        <w:jc w:val="center"/>
        <w:rPr>
          <w:rFonts w:asciiTheme="minorEastAsia" w:eastAsiaTheme="minorEastAsia" w:hAnsiTheme="minorEastAsia"/>
          <w:bCs/>
          <w:sz w:val="28"/>
        </w:rPr>
      </w:pPr>
    </w:p>
    <w:p w:rsidR="00151932" w:rsidRPr="0001503D" w:rsidRDefault="00151932" w:rsidP="000B57E8">
      <w:pPr>
        <w:snapToGrid w:val="0"/>
        <w:spacing w:line="360" w:lineRule="auto"/>
        <w:jc w:val="center"/>
        <w:rPr>
          <w:rFonts w:asciiTheme="minorEastAsia" w:eastAsiaTheme="minorEastAsia" w:hAnsiTheme="minorEastAsia"/>
          <w:bCs/>
          <w:sz w:val="28"/>
        </w:rPr>
      </w:pPr>
    </w:p>
    <w:p w:rsidR="002F5370" w:rsidRPr="0001503D" w:rsidRDefault="002F5370" w:rsidP="000B57E8">
      <w:pPr>
        <w:snapToGrid w:val="0"/>
        <w:spacing w:line="360" w:lineRule="auto"/>
        <w:jc w:val="center"/>
        <w:rPr>
          <w:rFonts w:asciiTheme="minorEastAsia" w:eastAsiaTheme="minorEastAsia" w:hAnsiTheme="minorEastAsia"/>
          <w:b/>
          <w:sz w:val="24"/>
        </w:rPr>
      </w:pPr>
      <w:r w:rsidRPr="0001503D">
        <w:rPr>
          <w:rFonts w:asciiTheme="minorEastAsia" w:eastAsiaTheme="minorEastAsia" w:hAnsiTheme="minorEastAsia" w:hint="eastAsia"/>
          <w:b/>
          <w:sz w:val="24"/>
        </w:rPr>
        <w:lastRenderedPageBreak/>
        <w:t>重要提示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本基金根据2010年6月30日中国证券监督管理委员会《关于核准易方达消费行业股票型证券投资基金募集的批复》（证监许可</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2010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875号）和2010年7月14日《关于易方达消费行业股票型证券投资基金募集时间安排的确认函》（基金部函</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2010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447号）的核准，进行募集。本基金的基金合同于2010年8月20日正式生效。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基金管理人保证《招募说明书》的内容真实、准确、完整。</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基金管理人依照恪尽职守、诚实信用、谨慎勤勉的原则管理和运用基金</w:t>
      </w:r>
      <w:r w:rsidRPr="0001503D">
        <w:rPr>
          <w:rFonts w:asciiTheme="minorEastAsia" w:eastAsiaTheme="minorEastAsia" w:hAnsiTheme="minorEastAsia" w:hint="eastAsia"/>
          <w:szCs w:val="21"/>
        </w:rPr>
        <w:t>财产</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但</w:t>
      </w:r>
      <w:r w:rsidRPr="0001503D">
        <w:rPr>
          <w:rFonts w:asciiTheme="minorEastAsia" w:eastAsiaTheme="minorEastAsia" w:hAnsiTheme="minorEastAsia"/>
          <w:szCs w:val="21"/>
        </w:rPr>
        <w:t>不保证基金一定盈利，也不保证最低收益</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投资于证券市场，基金净值会因为证券市场波动等因素产生波动。投资有风险，投资者在投资本基金前，请认真阅读本招募说明书，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流动性风险，</w:t>
      </w:r>
      <w:r w:rsidR="00114994" w:rsidRPr="0001503D">
        <w:rPr>
          <w:rFonts w:asciiTheme="minorEastAsia" w:eastAsiaTheme="minorEastAsia" w:hAnsiTheme="minorEastAsia" w:hint="eastAsia"/>
        </w:rPr>
        <w:t>本基金法律文件中涉及基金风险特征的表述与销售机构对基金的风险评级可能不一致的风险,</w:t>
      </w:r>
      <w:r w:rsidRPr="0001503D">
        <w:rPr>
          <w:rFonts w:asciiTheme="minorEastAsia" w:eastAsiaTheme="minorEastAsia" w:hAnsiTheme="minorEastAsia" w:hint="eastAsia"/>
          <w:szCs w:val="21"/>
        </w:rPr>
        <w:t>基金投资过程中产生的操作风险，因交收违约和投资债券引发的信用风险，消费行业波动带来的行业风险，基金保持较高股票仓位导致的风险，</w:t>
      </w:r>
      <w:r w:rsidR="00C520BF" w:rsidRPr="0001503D">
        <w:rPr>
          <w:rFonts w:asciiTheme="minorEastAsia" w:eastAsiaTheme="minorEastAsia" w:hAnsiTheme="minorEastAsia" w:hint="eastAsia"/>
          <w:szCs w:val="21"/>
        </w:rPr>
        <w:t>本基金的投资范围包括科创板股票，可能给本基金带来额外风险</w:t>
      </w:r>
      <w:r w:rsidRPr="0001503D">
        <w:rPr>
          <w:rFonts w:asciiTheme="minorEastAsia" w:eastAsiaTheme="minorEastAsia" w:hAnsiTheme="minorEastAsia" w:hint="eastAsia"/>
          <w:szCs w:val="21"/>
        </w:rPr>
        <w:t>等等。基金管理人提醒投资者基金投资的“买者自负”原则，在投资者作出投资决策后，基金运营状况与基金净值变化引致的投资风险，由投资者自行负责。</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投资有风险</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投资者</w:t>
      </w:r>
      <w:r w:rsidRPr="0001503D">
        <w:rPr>
          <w:rFonts w:asciiTheme="minorEastAsia" w:eastAsiaTheme="minorEastAsia" w:hAnsiTheme="minorEastAsia" w:hint="eastAsia"/>
          <w:szCs w:val="21"/>
        </w:rPr>
        <w:t>投资本</w:t>
      </w:r>
      <w:r w:rsidRPr="0001503D">
        <w:rPr>
          <w:rFonts w:asciiTheme="minorEastAsia" w:eastAsiaTheme="minorEastAsia" w:hAnsiTheme="minorEastAsia"/>
          <w:szCs w:val="21"/>
        </w:rPr>
        <w:t>基金时应认真阅读本</w:t>
      </w:r>
      <w:r w:rsidR="00F7794D" w:rsidRPr="0001503D">
        <w:rPr>
          <w:rFonts w:asciiTheme="minorEastAsia" w:eastAsiaTheme="minorEastAsia" w:hAnsiTheme="minorEastAsia" w:hint="eastAsia"/>
          <w:szCs w:val="21"/>
        </w:rPr>
        <w:t>招募说明书、基金合同和基金产品资料概要等信息披露文件</w:t>
      </w:r>
      <w:r w:rsidRPr="0001503D">
        <w:rPr>
          <w:rFonts w:asciiTheme="minorEastAsia" w:eastAsiaTheme="minorEastAsia" w:hAnsiTheme="minorEastAsia" w:hint="eastAsia"/>
          <w:szCs w:val="21"/>
        </w:rPr>
        <w:t>；基金的过往业绩并不预示其未来表现。</w:t>
      </w:r>
    </w:p>
    <w:p w:rsidR="00114994" w:rsidRPr="0001503D" w:rsidRDefault="00114994"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基金合同约定的基金产品资料概要编制、披露与更新要求，自《信息披露办法》实施之日起一年后开始执行。</w:t>
      </w:r>
    </w:p>
    <w:p w:rsidR="002F5370" w:rsidRPr="0001503D" w:rsidRDefault="00831DE4" w:rsidP="000B57E8">
      <w:pPr>
        <w:snapToGrid w:val="0"/>
        <w:spacing w:line="360" w:lineRule="auto"/>
        <w:ind w:firstLineChars="200" w:firstLine="420"/>
        <w:rPr>
          <w:rFonts w:asciiTheme="minorEastAsia" w:eastAsiaTheme="minorEastAsia" w:hAnsiTheme="minorEastAsia"/>
          <w:szCs w:val="21"/>
        </w:rPr>
      </w:pPr>
      <w:r w:rsidRPr="00FA12B2">
        <w:rPr>
          <w:rFonts w:asciiTheme="minorEastAsia" w:eastAsiaTheme="minorEastAsia" w:hAnsiTheme="minorEastAsia" w:hint="eastAsia"/>
        </w:rPr>
        <w:t>本基金基金合同修订相关信息更新截止日为2020年7月11日。</w:t>
      </w:r>
      <w:r w:rsidRPr="00FB690B">
        <w:rPr>
          <w:rFonts w:asciiTheme="minorEastAsia" w:eastAsiaTheme="minorEastAsia" w:hAnsiTheme="minorEastAsia" w:hint="eastAsia"/>
          <w:szCs w:val="21"/>
        </w:rPr>
        <w:t>除非另有说明，</w:t>
      </w:r>
      <w:r>
        <w:rPr>
          <w:rFonts w:asciiTheme="minorEastAsia" w:eastAsiaTheme="minorEastAsia" w:hAnsiTheme="minorEastAsia" w:hint="eastAsia"/>
          <w:szCs w:val="21"/>
        </w:rPr>
        <w:t>本招募说明书其他所载内容截止日为2020年6月16日，</w:t>
      </w:r>
      <w:r w:rsidR="008E79F6" w:rsidRPr="0001503D">
        <w:rPr>
          <w:rFonts w:asciiTheme="minorEastAsia" w:eastAsiaTheme="minorEastAsia" w:hAnsiTheme="minorEastAsia" w:hint="eastAsia"/>
          <w:szCs w:val="21"/>
        </w:rPr>
        <w:t>有关财务数据截止日为2020年3月31日</w:t>
      </w:r>
      <w:r w:rsidR="004A6832" w:rsidRPr="0001503D">
        <w:rPr>
          <w:rFonts w:asciiTheme="minorEastAsia" w:eastAsiaTheme="minorEastAsia" w:hAnsiTheme="minorEastAsia" w:hint="eastAsia"/>
          <w:szCs w:val="21"/>
        </w:rPr>
        <w:t>，</w:t>
      </w:r>
      <w:r w:rsidR="008E79F6" w:rsidRPr="0001503D">
        <w:rPr>
          <w:rFonts w:asciiTheme="minorEastAsia" w:eastAsiaTheme="minorEastAsia" w:hAnsiTheme="minorEastAsia" w:hint="eastAsia"/>
          <w:szCs w:val="21"/>
        </w:rPr>
        <w:t>净值表现截止日为</w:t>
      </w:r>
      <w:r w:rsidR="00744A94" w:rsidRPr="0001503D">
        <w:rPr>
          <w:rFonts w:asciiTheme="minorEastAsia" w:eastAsiaTheme="minorEastAsia" w:hAnsiTheme="minorEastAsia" w:hint="eastAsia"/>
          <w:szCs w:val="21"/>
        </w:rPr>
        <w:t>2020年6月30日</w:t>
      </w:r>
      <w:r w:rsidR="002F5370" w:rsidRPr="0001503D">
        <w:rPr>
          <w:rFonts w:asciiTheme="minorEastAsia" w:eastAsiaTheme="minorEastAsia" w:hAnsiTheme="minorEastAsia" w:hint="eastAsia"/>
          <w:szCs w:val="21"/>
        </w:rPr>
        <w:t>。（本报告中财务数据未经审计）</w:t>
      </w:r>
    </w:p>
    <w:p w:rsidR="002F5370" w:rsidRPr="0001503D" w:rsidRDefault="002F5370" w:rsidP="000B57E8">
      <w:pPr>
        <w:adjustRightInd w:val="0"/>
        <w:snapToGrid w:val="0"/>
        <w:spacing w:line="360" w:lineRule="auto"/>
        <w:jc w:val="center"/>
        <w:rPr>
          <w:rFonts w:asciiTheme="minorEastAsia" w:eastAsiaTheme="minorEastAsia" w:hAnsiTheme="minorEastAsia"/>
          <w:b/>
          <w:szCs w:val="21"/>
        </w:rPr>
        <w:sectPr w:rsidR="002F5370" w:rsidRPr="0001503D" w:rsidSect="002F5370">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docGrid w:type="lines" w:linePitch="447"/>
        </w:sectPr>
      </w:pPr>
    </w:p>
    <w:p w:rsidR="002F5370" w:rsidRPr="0001503D" w:rsidRDefault="002F5370" w:rsidP="000B57E8">
      <w:pPr>
        <w:adjustRightInd w:val="0"/>
        <w:snapToGrid w:val="0"/>
        <w:spacing w:line="360" w:lineRule="auto"/>
        <w:jc w:val="center"/>
        <w:rPr>
          <w:rFonts w:asciiTheme="minorEastAsia" w:eastAsiaTheme="minorEastAsia" w:hAnsiTheme="minorEastAsia"/>
          <w:b/>
          <w:sz w:val="28"/>
          <w:szCs w:val="28"/>
        </w:rPr>
      </w:pPr>
      <w:r w:rsidRPr="0001503D">
        <w:rPr>
          <w:rFonts w:asciiTheme="minorEastAsia" w:eastAsiaTheme="minorEastAsia" w:hAnsiTheme="minorEastAsia" w:hint="eastAsia"/>
          <w:b/>
          <w:sz w:val="28"/>
          <w:szCs w:val="28"/>
        </w:rPr>
        <w:lastRenderedPageBreak/>
        <w:t>目录</w:t>
      </w:r>
    </w:p>
    <w:p w:rsidR="00702E31" w:rsidRPr="0001503D" w:rsidRDefault="000E46AF">
      <w:pPr>
        <w:pStyle w:val="10"/>
        <w:rPr>
          <w:rFonts w:asciiTheme="minorEastAsia" w:eastAsiaTheme="minorEastAsia" w:hAnsiTheme="minorEastAsia" w:cstheme="minorBidi"/>
          <w:caps w:val="0"/>
          <w:sz w:val="21"/>
          <w:szCs w:val="22"/>
        </w:rPr>
      </w:pPr>
      <w:r w:rsidRPr="0001503D">
        <w:rPr>
          <w:rFonts w:asciiTheme="minorEastAsia" w:eastAsiaTheme="minorEastAsia" w:hAnsiTheme="minorEastAsia"/>
          <w:b/>
          <w:sz w:val="28"/>
        </w:rPr>
        <w:fldChar w:fldCharType="begin"/>
      </w:r>
      <w:r w:rsidR="002F5370" w:rsidRPr="0001503D">
        <w:rPr>
          <w:rFonts w:asciiTheme="minorEastAsia" w:eastAsiaTheme="minorEastAsia" w:hAnsiTheme="minorEastAsia"/>
          <w:b/>
          <w:sz w:val="28"/>
        </w:rPr>
        <w:instrText xml:space="preserve"> </w:instrText>
      </w:r>
      <w:r w:rsidR="002F5370" w:rsidRPr="0001503D">
        <w:rPr>
          <w:rFonts w:asciiTheme="minorEastAsia" w:eastAsiaTheme="minorEastAsia" w:hAnsiTheme="minorEastAsia" w:hint="eastAsia"/>
          <w:b/>
          <w:sz w:val="28"/>
        </w:rPr>
        <w:instrText>TOC \o "1-2" \h \z \u</w:instrText>
      </w:r>
      <w:r w:rsidR="002F5370" w:rsidRPr="0001503D">
        <w:rPr>
          <w:rFonts w:asciiTheme="minorEastAsia" w:eastAsiaTheme="minorEastAsia" w:hAnsiTheme="minorEastAsia"/>
          <w:b/>
          <w:sz w:val="28"/>
        </w:rPr>
        <w:instrText xml:space="preserve"> </w:instrText>
      </w:r>
      <w:r w:rsidRPr="0001503D">
        <w:rPr>
          <w:rFonts w:asciiTheme="minorEastAsia" w:eastAsiaTheme="minorEastAsia" w:hAnsiTheme="minorEastAsia"/>
          <w:b/>
          <w:sz w:val="28"/>
        </w:rPr>
        <w:fldChar w:fldCharType="separate"/>
      </w:r>
      <w:hyperlink w:anchor="_Toc28803517" w:history="1">
        <w:r w:rsidR="00702E31" w:rsidRPr="0001503D">
          <w:rPr>
            <w:rStyle w:val="af"/>
            <w:rFonts w:asciiTheme="minorEastAsia" w:eastAsiaTheme="minorEastAsia" w:hAnsiTheme="minorEastAsia" w:hint="eastAsia"/>
            <w:color w:val="auto"/>
            <w:u w:val="none"/>
          </w:rPr>
          <w:t>一、绪言</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_Toc28803517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18" w:history="1">
        <w:r w:rsidR="00702E31" w:rsidRPr="0001503D">
          <w:rPr>
            <w:rStyle w:val="af"/>
            <w:rFonts w:asciiTheme="minorEastAsia" w:eastAsiaTheme="minorEastAsia" w:hAnsiTheme="minorEastAsia" w:hint="eastAsia"/>
            <w:color w:val="auto"/>
            <w:u w:val="none"/>
          </w:rPr>
          <w:t>二、释义</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_Toc28803518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2</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19" w:history="1">
        <w:r w:rsidR="00702E31" w:rsidRPr="0001503D">
          <w:rPr>
            <w:rStyle w:val="af"/>
            <w:rFonts w:asciiTheme="minorEastAsia" w:eastAsiaTheme="minorEastAsia" w:hAnsiTheme="minorEastAsia" w:hint="eastAsia"/>
            <w:color w:val="auto"/>
            <w:u w:val="none"/>
          </w:rPr>
          <w:t>三、基金管理人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_Toc28803519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0" w:history="1">
        <w:r w:rsidR="00702E31" w:rsidRPr="0001503D">
          <w:rPr>
            <w:rStyle w:val="af"/>
            <w:rFonts w:asciiTheme="minorEastAsia" w:eastAsiaTheme="minorEastAsia" w:hAnsiTheme="minorEastAsia" w:cs="仿宋_GB2312" w:hint="eastAsia"/>
            <w:bCs/>
            <w:color w:val="auto"/>
            <w:kern w:val="0"/>
            <w:u w:val="none"/>
          </w:rPr>
          <w:t>（一）基金管理人基本情况</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1" w:history="1">
        <w:r w:rsidR="00702E31" w:rsidRPr="0001503D">
          <w:rPr>
            <w:rStyle w:val="af"/>
            <w:rFonts w:asciiTheme="minorEastAsia" w:eastAsiaTheme="minorEastAsia" w:hAnsiTheme="minorEastAsia" w:hint="eastAsia"/>
            <w:bCs/>
            <w:color w:val="auto"/>
            <w:u w:val="none"/>
          </w:rPr>
          <w:t>（二）主要人员情况</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2" w:history="1">
        <w:r w:rsidR="00702E31" w:rsidRPr="0001503D">
          <w:rPr>
            <w:rStyle w:val="af"/>
            <w:rFonts w:asciiTheme="minorEastAsia" w:eastAsiaTheme="minorEastAsia" w:hAnsiTheme="minorEastAsia" w:hint="eastAsia"/>
            <w:bCs/>
            <w:color w:val="auto"/>
            <w:u w:val="none"/>
          </w:rPr>
          <w:t>（三）基金管理人的职责</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3" w:history="1">
        <w:r w:rsidR="00702E31" w:rsidRPr="0001503D">
          <w:rPr>
            <w:rStyle w:val="af"/>
            <w:rFonts w:asciiTheme="minorEastAsia" w:eastAsiaTheme="minorEastAsia" w:hAnsiTheme="minorEastAsia" w:hint="eastAsia"/>
            <w:bCs/>
            <w:color w:val="auto"/>
            <w:u w:val="none"/>
          </w:rPr>
          <w:t>（四）基金管理人的承诺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4" w:history="1">
        <w:r w:rsidR="00702E31" w:rsidRPr="0001503D">
          <w:rPr>
            <w:rStyle w:val="af"/>
            <w:rFonts w:asciiTheme="minorEastAsia" w:eastAsiaTheme="minorEastAsia" w:hAnsiTheme="minorEastAsia" w:hint="eastAsia"/>
            <w:bCs/>
            <w:color w:val="auto"/>
            <w:u w:val="none"/>
          </w:rPr>
          <w:t>（五）基金管理人的内部控制制度</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25" w:history="1">
        <w:r w:rsidR="00702E31" w:rsidRPr="0001503D">
          <w:rPr>
            <w:rStyle w:val="af"/>
            <w:rFonts w:asciiTheme="minorEastAsia" w:eastAsiaTheme="minorEastAsia" w:hAnsiTheme="minorEastAsia" w:hint="eastAsia"/>
            <w:bCs/>
            <w:color w:val="auto"/>
            <w:u w:val="none"/>
          </w:rPr>
          <w:t>四、基金托管人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18</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26" w:history="1">
        <w:r w:rsidR="00702E31" w:rsidRPr="0001503D">
          <w:rPr>
            <w:rStyle w:val="af"/>
            <w:rFonts w:asciiTheme="minorEastAsia" w:eastAsiaTheme="minorEastAsia" w:hAnsiTheme="minorEastAsia" w:hint="eastAsia"/>
            <w:color w:val="auto"/>
            <w:u w:val="none"/>
          </w:rPr>
          <w:t>五、相关服务机构</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21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7" w:history="1">
        <w:r w:rsidR="00702E31" w:rsidRPr="0001503D">
          <w:rPr>
            <w:rStyle w:val="af"/>
            <w:rFonts w:asciiTheme="minorEastAsia" w:eastAsiaTheme="minorEastAsia" w:hAnsiTheme="minorEastAsia" w:hint="eastAsia"/>
            <w:bCs/>
            <w:color w:val="auto"/>
            <w:u w:val="none"/>
          </w:rPr>
          <w:t>（一）基金份额销售机构</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21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8" w:history="1">
        <w:r w:rsidR="00702E31" w:rsidRPr="0001503D">
          <w:rPr>
            <w:rStyle w:val="af"/>
            <w:rFonts w:asciiTheme="minorEastAsia" w:eastAsiaTheme="minorEastAsia" w:hAnsiTheme="minorEastAsia" w:hint="eastAsia"/>
            <w:bCs/>
            <w:color w:val="auto"/>
            <w:u w:val="none"/>
          </w:rPr>
          <w:t>（二）基金注册登记机构</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87</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29" w:history="1">
        <w:r w:rsidR="00702E31" w:rsidRPr="0001503D">
          <w:rPr>
            <w:rStyle w:val="af"/>
            <w:rFonts w:asciiTheme="minorEastAsia" w:eastAsiaTheme="minorEastAsia" w:hAnsiTheme="minorEastAsia" w:hint="eastAsia"/>
            <w:color w:val="auto"/>
            <w:u w:val="none"/>
          </w:rPr>
          <w:t>（三）</w:t>
        </w:r>
        <w:r w:rsidR="00702E31" w:rsidRPr="0001503D">
          <w:rPr>
            <w:rStyle w:val="af"/>
            <w:rFonts w:asciiTheme="minorEastAsia" w:eastAsiaTheme="minorEastAsia" w:hAnsiTheme="minorEastAsia" w:hint="eastAsia"/>
            <w:bCs/>
            <w:color w:val="auto"/>
            <w:u w:val="none"/>
          </w:rPr>
          <w:t>律师事务所和经办律师</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_Toc28803529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87</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0" w:history="1">
        <w:r w:rsidR="00702E31" w:rsidRPr="0001503D">
          <w:rPr>
            <w:rStyle w:val="af"/>
            <w:rFonts w:asciiTheme="minorEastAsia" w:eastAsiaTheme="minorEastAsia" w:hAnsiTheme="minorEastAsia" w:hint="eastAsia"/>
            <w:color w:val="auto"/>
            <w:u w:val="none"/>
          </w:rPr>
          <w:t>（四）</w:t>
        </w:r>
        <w:r w:rsidR="00702E31" w:rsidRPr="0001503D">
          <w:rPr>
            <w:rStyle w:val="af"/>
            <w:rFonts w:asciiTheme="minorEastAsia" w:eastAsiaTheme="minorEastAsia" w:hAnsiTheme="minorEastAsia" w:hint="eastAsia"/>
            <w:bCs/>
            <w:color w:val="auto"/>
            <w:u w:val="none"/>
          </w:rPr>
          <w:t>会计师事务所和经办注册会计师</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88</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31" w:history="1">
        <w:r w:rsidR="00702E31" w:rsidRPr="0001503D">
          <w:rPr>
            <w:rStyle w:val="af"/>
            <w:rFonts w:asciiTheme="minorEastAsia" w:eastAsiaTheme="minorEastAsia" w:hAnsiTheme="minorEastAsia" w:hint="eastAsia"/>
            <w:bCs/>
            <w:color w:val="auto"/>
            <w:u w:val="none"/>
          </w:rPr>
          <w:t>六、基金的募集</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89</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32" w:history="1">
        <w:r w:rsidR="00702E31" w:rsidRPr="0001503D">
          <w:rPr>
            <w:rStyle w:val="af"/>
            <w:rFonts w:asciiTheme="minorEastAsia" w:eastAsiaTheme="minorEastAsia" w:hAnsiTheme="minorEastAsia" w:hint="eastAsia"/>
            <w:bCs/>
            <w:color w:val="auto"/>
            <w:u w:val="none"/>
          </w:rPr>
          <w:t>七、基金合同的生效</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3" w:history="1">
        <w:r w:rsidR="00702E31" w:rsidRPr="0001503D">
          <w:rPr>
            <w:rStyle w:val="af"/>
            <w:rFonts w:asciiTheme="minorEastAsia" w:eastAsiaTheme="minorEastAsia" w:hAnsiTheme="minorEastAsia" w:hint="eastAsia"/>
            <w:bCs/>
            <w:color w:val="auto"/>
            <w:u w:val="none"/>
          </w:rPr>
          <w:t>（一）基金合同的生效</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4" w:history="1">
        <w:r w:rsidR="00702E31" w:rsidRPr="0001503D">
          <w:rPr>
            <w:rStyle w:val="af"/>
            <w:rFonts w:asciiTheme="minorEastAsia" w:eastAsiaTheme="minorEastAsia" w:hAnsiTheme="minorEastAsia" w:hint="eastAsia"/>
            <w:bCs/>
            <w:color w:val="auto"/>
            <w:u w:val="none"/>
          </w:rPr>
          <w:t>（二）基金存续期内的基金份额持有人数量和资产规模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90</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35" w:history="1">
        <w:r w:rsidR="00702E31" w:rsidRPr="0001503D">
          <w:rPr>
            <w:rStyle w:val="af"/>
            <w:rFonts w:asciiTheme="minorEastAsia" w:eastAsiaTheme="minorEastAsia" w:hAnsiTheme="minorEastAsia" w:hint="eastAsia"/>
            <w:bCs/>
            <w:color w:val="auto"/>
            <w:u w:val="none"/>
          </w:rPr>
          <w:t>八、基金份额的申购、赎回</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6" w:history="1">
        <w:r w:rsidR="00702E31" w:rsidRPr="0001503D">
          <w:rPr>
            <w:rStyle w:val="af"/>
            <w:rFonts w:asciiTheme="minorEastAsia" w:eastAsiaTheme="minorEastAsia" w:hAnsiTheme="minorEastAsia" w:hint="eastAsia"/>
            <w:color w:val="auto"/>
            <w:u w:val="none"/>
          </w:rPr>
          <w:t>（一）基金投资者范围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7" w:history="1">
        <w:r w:rsidR="00702E31" w:rsidRPr="0001503D">
          <w:rPr>
            <w:rStyle w:val="af"/>
            <w:rFonts w:asciiTheme="minorEastAsia" w:eastAsiaTheme="minorEastAsia" w:hAnsiTheme="minorEastAsia" w:hint="eastAsia"/>
            <w:color w:val="auto"/>
            <w:u w:val="none"/>
          </w:rPr>
          <w:t>（二）申购、赎回的场所</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8" w:history="1">
        <w:r w:rsidR="00702E31" w:rsidRPr="0001503D">
          <w:rPr>
            <w:rStyle w:val="af"/>
            <w:rFonts w:asciiTheme="minorEastAsia" w:eastAsiaTheme="minorEastAsia" w:hAnsiTheme="minorEastAsia" w:hint="eastAsia"/>
            <w:color w:val="auto"/>
            <w:u w:val="none"/>
          </w:rPr>
          <w:t>（三）申购、赎回的时间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39" w:history="1">
        <w:r w:rsidR="00702E31" w:rsidRPr="0001503D">
          <w:rPr>
            <w:rStyle w:val="af"/>
            <w:rFonts w:asciiTheme="minorEastAsia" w:eastAsiaTheme="minorEastAsia" w:hAnsiTheme="minorEastAsia" w:hint="eastAsia"/>
            <w:bCs/>
            <w:color w:val="auto"/>
            <w:u w:val="none"/>
          </w:rPr>
          <w:t>（四）申购、赎回的原则</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_Toc28803539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0" w:history="1">
        <w:r w:rsidR="00702E31" w:rsidRPr="0001503D">
          <w:rPr>
            <w:rStyle w:val="af"/>
            <w:rFonts w:asciiTheme="minorEastAsia" w:eastAsiaTheme="minorEastAsia" w:hAnsiTheme="minorEastAsia" w:hint="eastAsia"/>
            <w:color w:val="auto"/>
            <w:u w:val="none"/>
          </w:rPr>
          <w:t>（五）申购、赎回的程序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1" w:history="1">
        <w:r w:rsidR="00702E31" w:rsidRPr="0001503D">
          <w:rPr>
            <w:rStyle w:val="af"/>
            <w:rFonts w:asciiTheme="minorEastAsia" w:eastAsiaTheme="minorEastAsia" w:hAnsiTheme="minorEastAsia" w:hint="eastAsia"/>
            <w:color w:val="auto"/>
            <w:u w:val="none"/>
          </w:rPr>
          <w:t>（六）申购、赎回的数额限制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2" w:history="1">
        <w:r w:rsidR="00702E31" w:rsidRPr="0001503D">
          <w:rPr>
            <w:rStyle w:val="af"/>
            <w:rFonts w:asciiTheme="minorEastAsia" w:eastAsiaTheme="minorEastAsia" w:hAnsiTheme="minorEastAsia" w:hint="eastAsia"/>
            <w:color w:val="auto"/>
            <w:u w:val="none"/>
          </w:rPr>
          <w:t>（七）申购、赎回的费率</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3" w:history="1">
        <w:r w:rsidR="00702E31" w:rsidRPr="0001503D">
          <w:rPr>
            <w:rStyle w:val="af"/>
            <w:rFonts w:asciiTheme="minorEastAsia" w:eastAsiaTheme="minorEastAsia" w:hAnsiTheme="minorEastAsia" w:hint="eastAsia"/>
            <w:color w:val="auto"/>
            <w:u w:val="none"/>
          </w:rPr>
          <w:t>（八）申购份额、赎回金额的计算方式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94</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4" w:history="1">
        <w:r w:rsidR="00702E31" w:rsidRPr="0001503D">
          <w:rPr>
            <w:rStyle w:val="af"/>
            <w:rFonts w:asciiTheme="minorEastAsia" w:eastAsiaTheme="minorEastAsia" w:hAnsiTheme="minorEastAsia" w:hint="eastAsia"/>
            <w:color w:val="auto"/>
            <w:u w:val="none"/>
          </w:rPr>
          <w:t>（九）申购、赎回的注册登记</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5" w:history="1">
        <w:r w:rsidR="00702E31" w:rsidRPr="0001503D">
          <w:rPr>
            <w:rStyle w:val="af"/>
            <w:rFonts w:asciiTheme="minorEastAsia" w:eastAsiaTheme="minorEastAsia" w:hAnsiTheme="minorEastAsia" w:hint="eastAsia"/>
            <w:color w:val="auto"/>
            <w:u w:val="none"/>
          </w:rPr>
          <w:t>（十）巨额赎回的认定及处理方式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6" w:history="1">
        <w:r w:rsidR="00702E31" w:rsidRPr="0001503D">
          <w:rPr>
            <w:rStyle w:val="af"/>
            <w:rFonts w:asciiTheme="minorEastAsia" w:eastAsiaTheme="minorEastAsia" w:hAnsiTheme="minorEastAsia" w:hint="eastAsia"/>
            <w:color w:val="auto"/>
            <w:u w:val="none"/>
          </w:rPr>
          <w:t>（十一）拒绝或暂停申购、赎回的情形及处理方式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96</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47" w:history="1">
        <w:r w:rsidR="00702E31" w:rsidRPr="0001503D">
          <w:rPr>
            <w:rStyle w:val="af"/>
            <w:rFonts w:asciiTheme="minorEastAsia" w:eastAsiaTheme="minorEastAsia" w:hAnsiTheme="minorEastAsia" w:hint="eastAsia"/>
            <w:color w:val="auto"/>
            <w:u w:val="none"/>
          </w:rPr>
          <w:t>九、基金转换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8" w:history="1">
        <w:r w:rsidR="00702E31" w:rsidRPr="0001503D">
          <w:rPr>
            <w:rStyle w:val="af"/>
            <w:rFonts w:asciiTheme="minorEastAsia" w:eastAsiaTheme="minorEastAsia" w:hAnsiTheme="minorEastAsia" w:hint="eastAsia"/>
            <w:color w:val="auto"/>
            <w:u w:val="none"/>
          </w:rPr>
          <w:t>（一）基金转换开始日及时间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49" w:history="1">
        <w:r w:rsidR="00702E31" w:rsidRPr="0001503D">
          <w:rPr>
            <w:rStyle w:val="af"/>
            <w:rFonts w:asciiTheme="minorEastAsia" w:eastAsiaTheme="minorEastAsia" w:hAnsiTheme="minorEastAsia" w:hint="eastAsia"/>
            <w:color w:val="auto"/>
            <w:u w:val="none"/>
          </w:rPr>
          <w:t>（二）基金转换的原则</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_Toc28803549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0" w:history="1">
        <w:r w:rsidR="00702E31" w:rsidRPr="0001503D">
          <w:rPr>
            <w:rStyle w:val="af"/>
            <w:rFonts w:asciiTheme="minorEastAsia" w:eastAsiaTheme="minorEastAsia" w:hAnsiTheme="minorEastAsia" w:hint="eastAsia"/>
            <w:color w:val="auto"/>
            <w:u w:val="none"/>
          </w:rPr>
          <w:t>（三）基金转换的程序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99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1" w:history="1">
        <w:r w:rsidR="00702E31" w:rsidRPr="0001503D">
          <w:rPr>
            <w:rStyle w:val="af"/>
            <w:rFonts w:asciiTheme="minorEastAsia" w:eastAsiaTheme="minorEastAsia" w:hAnsiTheme="minorEastAsia" w:hint="eastAsia"/>
            <w:color w:val="auto"/>
            <w:u w:val="none"/>
          </w:rPr>
          <w:t>（四）基金转换的数额限制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2" w:history="1">
        <w:r w:rsidR="00702E31" w:rsidRPr="0001503D">
          <w:rPr>
            <w:rStyle w:val="af"/>
            <w:rFonts w:asciiTheme="minorEastAsia" w:eastAsiaTheme="minorEastAsia" w:hAnsiTheme="minorEastAsia" w:hint="eastAsia"/>
            <w:color w:val="auto"/>
            <w:u w:val="none"/>
          </w:rPr>
          <w:t>（五）基金转换费率</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3" w:history="1">
        <w:r w:rsidR="00702E31" w:rsidRPr="0001503D">
          <w:rPr>
            <w:rStyle w:val="af"/>
            <w:rFonts w:asciiTheme="minorEastAsia" w:eastAsiaTheme="minorEastAsia" w:hAnsiTheme="minorEastAsia" w:hint="eastAsia"/>
            <w:color w:val="auto"/>
            <w:u w:val="none"/>
          </w:rPr>
          <w:t>（六）基金转换份额的计算方式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4" w:history="1">
        <w:r w:rsidR="00702E31" w:rsidRPr="0001503D">
          <w:rPr>
            <w:rStyle w:val="af"/>
            <w:rFonts w:asciiTheme="minorEastAsia" w:eastAsiaTheme="minorEastAsia" w:hAnsiTheme="minorEastAsia" w:hint="eastAsia"/>
            <w:color w:val="auto"/>
            <w:u w:val="none"/>
          </w:rPr>
          <w:t>（七）基金转换的注册登记</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5" w:history="1">
        <w:r w:rsidR="00702E31" w:rsidRPr="0001503D">
          <w:rPr>
            <w:rStyle w:val="af"/>
            <w:rFonts w:asciiTheme="minorEastAsia" w:eastAsiaTheme="minorEastAsia" w:hAnsiTheme="minorEastAsia" w:hint="eastAsia"/>
            <w:color w:val="auto"/>
            <w:u w:val="none"/>
          </w:rPr>
          <w:t>（八）基金转换与巨额赎回</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6" w:history="1">
        <w:r w:rsidR="00702E31" w:rsidRPr="0001503D">
          <w:rPr>
            <w:rStyle w:val="af"/>
            <w:rFonts w:asciiTheme="minorEastAsia" w:eastAsiaTheme="minorEastAsia" w:hAnsiTheme="minorEastAsia" w:hint="eastAsia"/>
            <w:color w:val="auto"/>
            <w:u w:val="none"/>
          </w:rPr>
          <w:t>（九）拒绝或暂停基金转换的情形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103</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57" w:history="1">
        <w:r w:rsidR="00702E31" w:rsidRPr="0001503D">
          <w:rPr>
            <w:rStyle w:val="af"/>
            <w:rFonts w:asciiTheme="minorEastAsia" w:eastAsiaTheme="minorEastAsia" w:hAnsiTheme="minorEastAsia" w:hint="eastAsia"/>
            <w:color w:val="auto"/>
            <w:u w:val="none"/>
          </w:rPr>
          <w:t>十、基金的非交易过户、转托管及</w:t>
        </w:r>
        <w:r w:rsidR="00702E31" w:rsidRPr="0001503D">
          <w:rPr>
            <w:rStyle w:val="af"/>
            <w:rFonts w:asciiTheme="minorEastAsia" w:eastAsiaTheme="minorEastAsia" w:hAnsiTheme="minorEastAsia" w:hint="eastAsia"/>
            <w:bCs/>
            <w:color w:val="auto"/>
            <w:u w:val="none"/>
          </w:rPr>
          <w:t>冻结与解冻</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8" w:history="1">
        <w:r w:rsidR="00702E31" w:rsidRPr="0001503D">
          <w:rPr>
            <w:rStyle w:val="af"/>
            <w:rFonts w:asciiTheme="minorEastAsia" w:eastAsiaTheme="minorEastAsia" w:hAnsiTheme="minorEastAsia" w:hint="eastAsia"/>
            <w:color w:val="auto"/>
            <w:u w:val="none"/>
          </w:rPr>
          <w:t>（一）基金的非交易过户</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59" w:history="1">
        <w:r w:rsidR="00702E31" w:rsidRPr="0001503D">
          <w:rPr>
            <w:rStyle w:val="af"/>
            <w:rFonts w:asciiTheme="minorEastAsia" w:eastAsiaTheme="minorEastAsia" w:hAnsiTheme="minorEastAsia" w:hint="eastAsia"/>
            <w:color w:val="auto"/>
            <w:u w:val="none"/>
          </w:rPr>
          <w:t>（二）转托管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_Toc28803559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0" w:history="1">
        <w:r w:rsidR="00702E31" w:rsidRPr="0001503D">
          <w:rPr>
            <w:rStyle w:val="af"/>
            <w:rFonts w:asciiTheme="minorEastAsia" w:eastAsiaTheme="minorEastAsia" w:hAnsiTheme="minorEastAsia" w:hint="eastAsia"/>
            <w:color w:val="auto"/>
            <w:u w:val="none"/>
          </w:rPr>
          <w:t>（三）基金的冻结与解冻</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105</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61" w:history="1">
        <w:r w:rsidR="00702E31" w:rsidRPr="0001503D">
          <w:rPr>
            <w:rStyle w:val="af"/>
            <w:rFonts w:asciiTheme="minorEastAsia" w:eastAsiaTheme="minorEastAsia" w:hAnsiTheme="minorEastAsia" w:hint="eastAsia"/>
            <w:bCs/>
            <w:color w:val="auto"/>
            <w:u w:val="none"/>
          </w:rPr>
          <w:t>十一、基金的投资</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2" w:history="1">
        <w:r w:rsidR="00702E31" w:rsidRPr="0001503D">
          <w:rPr>
            <w:rStyle w:val="af"/>
            <w:rFonts w:asciiTheme="minorEastAsia" w:eastAsiaTheme="minorEastAsia" w:hAnsiTheme="minorEastAsia" w:hint="eastAsia"/>
            <w:color w:val="auto"/>
            <w:u w:val="none"/>
          </w:rPr>
          <w:t>（一）投资目标</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3" w:history="1">
        <w:r w:rsidR="00702E31" w:rsidRPr="0001503D">
          <w:rPr>
            <w:rStyle w:val="af"/>
            <w:rFonts w:asciiTheme="minorEastAsia" w:eastAsiaTheme="minorEastAsia" w:hAnsiTheme="minorEastAsia" w:hint="eastAsia"/>
            <w:color w:val="auto"/>
            <w:u w:val="none"/>
          </w:rPr>
          <w:t>（二）投资范围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4" w:history="1">
        <w:r w:rsidR="00702E31" w:rsidRPr="0001503D">
          <w:rPr>
            <w:rStyle w:val="af"/>
            <w:rFonts w:asciiTheme="minorEastAsia" w:eastAsiaTheme="minorEastAsia" w:hAnsiTheme="minorEastAsia" w:hint="eastAsia"/>
            <w:color w:val="auto"/>
            <w:u w:val="none"/>
          </w:rPr>
          <w:t>（三）投资理念</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5" w:history="1">
        <w:r w:rsidR="00702E31" w:rsidRPr="0001503D">
          <w:rPr>
            <w:rStyle w:val="af"/>
            <w:rFonts w:asciiTheme="minorEastAsia" w:eastAsiaTheme="minorEastAsia" w:hAnsiTheme="minorEastAsia" w:hint="eastAsia"/>
            <w:color w:val="auto"/>
            <w:u w:val="none"/>
          </w:rPr>
          <w:t>（四）投资策略</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6" w:history="1">
        <w:r w:rsidR="00702E31" w:rsidRPr="0001503D">
          <w:rPr>
            <w:rStyle w:val="af"/>
            <w:rFonts w:asciiTheme="minorEastAsia" w:eastAsiaTheme="minorEastAsia" w:hAnsiTheme="minorEastAsia" w:hint="eastAsia"/>
            <w:color w:val="auto"/>
            <w:u w:val="none"/>
          </w:rPr>
          <w:t>（五）业绩比较基准</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109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7" w:history="1">
        <w:r w:rsidR="00702E31" w:rsidRPr="0001503D">
          <w:rPr>
            <w:rStyle w:val="af"/>
            <w:rFonts w:asciiTheme="minorEastAsia" w:eastAsiaTheme="minorEastAsia" w:hAnsiTheme="minorEastAsia" w:hint="eastAsia"/>
            <w:color w:val="auto"/>
            <w:u w:val="none"/>
          </w:rPr>
          <w:t>（六）风险收益特征</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8" w:history="1">
        <w:r w:rsidR="00702E31" w:rsidRPr="0001503D">
          <w:rPr>
            <w:rStyle w:val="af"/>
            <w:rFonts w:asciiTheme="minorEastAsia" w:eastAsiaTheme="minorEastAsia" w:hAnsiTheme="minorEastAsia" w:hint="eastAsia"/>
            <w:color w:val="auto"/>
            <w:u w:val="none"/>
          </w:rPr>
          <w:t>（七）投资决策依据</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69" w:history="1">
        <w:r w:rsidR="00702E31" w:rsidRPr="0001503D">
          <w:rPr>
            <w:rStyle w:val="af"/>
            <w:rFonts w:asciiTheme="minorEastAsia" w:eastAsiaTheme="minorEastAsia" w:hAnsiTheme="minorEastAsia" w:hint="eastAsia"/>
            <w:color w:val="auto"/>
            <w:u w:val="none"/>
          </w:rPr>
          <w:t>（八）投资决策流程</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_Toc28803569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0" w:history="1">
        <w:r w:rsidR="00702E31" w:rsidRPr="0001503D">
          <w:rPr>
            <w:rStyle w:val="af"/>
            <w:rFonts w:asciiTheme="minorEastAsia" w:eastAsiaTheme="minorEastAsia" w:hAnsiTheme="minorEastAsia" w:hint="eastAsia"/>
            <w:color w:val="auto"/>
            <w:u w:val="none"/>
          </w:rPr>
          <w:t>（九）投资限制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1" w:history="1">
        <w:r w:rsidR="00702E31" w:rsidRPr="0001503D">
          <w:rPr>
            <w:rStyle w:val="af"/>
            <w:rFonts w:asciiTheme="minorEastAsia" w:eastAsiaTheme="minorEastAsia" w:hAnsiTheme="minorEastAsia" w:hint="eastAsia"/>
            <w:color w:val="auto"/>
            <w:u w:val="none"/>
          </w:rPr>
          <w:t>（十）禁止行为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2" w:history="1">
        <w:r w:rsidR="00702E31" w:rsidRPr="0001503D">
          <w:rPr>
            <w:rStyle w:val="af"/>
            <w:rFonts w:asciiTheme="minorEastAsia" w:eastAsiaTheme="minorEastAsia" w:hAnsiTheme="minorEastAsia" w:hint="eastAsia"/>
            <w:color w:val="auto"/>
            <w:u w:val="none"/>
          </w:rPr>
          <w:t>（十一）基金管理人代表基金行使股东权利的处理原则及方法</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3" w:history="1">
        <w:r w:rsidR="00702E31" w:rsidRPr="0001503D">
          <w:rPr>
            <w:rStyle w:val="af"/>
            <w:rFonts w:asciiTheme="minorEastAsia" w:eastAsiaTheme="minorEastAsia" w:hAnsiTheme="minorEastAsia" w:hint="eastAsia"/>
            <w:color w:val="auto"/>
            <w:u w:val="none"/>
          </w:rPr>
          <w:t>（十二）基金的融资、融券</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4" w:history="1">
        <w:r w:rsidR="00702E31" w:rsidRPr="0001503D">
          <w:rPr>
            <w:rStyle w:val="af"/>
            <w:rFonts w:asciiTheme="minorEastAsia" w:eastAsiaTheme="minorEastAsia" w:hAnsiTheme="minorEastAsia" w:hint="eastAsia"/>
            <w:color w:val="auto"/>
            <w:u w:val="none"/>
          </w:rPr>
          <w:t>（十三）基金投资组合报告（未经审计）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112</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75" w:history="1">
        <w:r w:rsidR="00702E31" w:rsidRPr="0001503D">
          <w:rPr>
            <w:rStyle w:val="af"/>
            <w:rFonts w:asciiTheme="minorEastAsia" w:eastAsiaTheme="minorEastAsia" w:hAnsiTheme="minorEastAsia" w:hint="eastAsia"/>
            <w:bCs/>
            <w:color w:val="auto"/>
            <w:u w:val="none"/>
          </w:rPr>
          <w:t>十二、基金的业绩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117</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76" w:history="1">
        <w:r w:rsidR="00702E31" w:rsidRPr="0001503D">
          <w:rPr>
            <w:rStyle w:val="af"/>
            <w:rFonts w:asciiTheme="minorEastAsia" w:eastAsiaTheme="minorEastAsia" w:hAnsiTheme="minorEastAsia" w:hint="eastAsia"/>
            <w:bCs/>
            <w:color w:val="auto"/>
            <w:u w:val="none"/>
          </w:rPr>
          <w:t>十三、基金的财产</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7" w:history="1">
        <w:r w:rsidR="00702E31" w:rsidRPr="0001503D">
          <w:rPr>
            <w:rStyle w:val="af"/>
            <w:rFonts w:asciiTheme="minorEastAsia" w:eastAsiaTheme="minorEastAsia" w:hAnsiTheme="minorEastAsia" w:hint="eastAsia"/>
            <w:bCs/>
            <w:color w:val="auto"/>
            <w:u w:val="none"/>
          </w:rPr>
          <w:t>（一）基金资产总值</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8" w:history="1">
        <w:r w:rsidR="00702E31" w:rsidRPr="0001503D">
          <w:rPr>
            <w:rStyle w:val="af"/>
            <w:rFonts w:asciiTheme="minorEastAsia" w:eastAsiaTheme="minorEastAsia" w:hAnsiTheme="minorEastAsia" w:hint="eastAsia"/>
            <w:color w:val="auto"/>
            <w:u w:val="none"/>
          </w:rPr>
          <w:t>（二）基金资产净值</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79" w:history="1">
        <w:r w:rsidR="00702E31" w:rsidRPr="0001503D">
          <w:rPr>
            <w:rStyle w:val="af"/>
            <w:rFonts w:asciiTheme="minorEastAsia" w:eastAsiaTheme="minorEastAsia" w:hAnsiTheme="minorEastAsia" w:hint="eastAsia"/>
            <w:color w:val="auto"/>
            <w:u w:val="none"/>
          </w:rPr>
          <w:t>（三）基金财产的账户</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_Toc28803579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0" w:history="1">
        <w:r w:rsidR="00702E31" w:rsidRPr="0001503D">
          <w:rPr>
            <w:rStyle w:val="af"/>
            <w:rFonts w:asciiTheme="minorEastAsia" w:eastAsiaTheme="minorEastAsia" w:hAnsiTheme="minorEastAsia" w:hint="eastAsia"/>
            <w:color w:val="auto"/>
            <w:u w:val="none"/>
          </w:rPr>
          <w:t>（四）基金财产的处分</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119</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81" w:history="1">
        <w:r w:rsidR="00702E31" w:rsidRPr="0001503D">
          <w:rPr>
            <w:rStyle w:val="af"/>
            <w:rFonts w:asciiTheme="minorEastAsia" w:eastAsiaTheme="minorEastAsia" w:hAnsiTheme="minorEastAsia" w:hint="eastAsia"/>
            <w:bCs/>
            <w:color w:val="auto"/>
            <w:u w:val="none"/>
          </w:rPr>
          <w:t>十四、基金资产估值</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2" w:history="1">
        <w:r w:rsidR="00702E31" w:rsidRPr="0001503D">
          <w:rPr>
            <w:rStyle w:val="af"/>
            <w:rFonts w:asciiTheme="minorEastAsia" w:eastAsiaTheme="minorEastAsia" w:hAnsiTheme="minorEastAsia" w:hint="eastAsia"/>
            <w:color w:val="auto"/>
            <w:u w:val="none"/>
          </w:rPr>
          <w:t>（一）估值目的</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3" w:history="1">
        <w:r w:rsidR="00702E31" w:rsidRPr="0001503D">
          <w:rPr>
            <w:rStyle w:val="af"/>
            <w:rFonts w:asciiTheme="minorEastAsia" w:eastAsiaTheme="minorEastAsia" w:hAnsiTheme="minorEastAsia" w:hint="eastAsia"/>
            <w:color w:val="auto"/>
            <w:u w:val="none"/>
          </w:rPr>
          <w:t>（二）估值日</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4" w:history="1">
        <w:r w:rsidR="00702E31" w:rsidRPr="0001503D">
          <w:rPr>
            <w:rStyle w:val="af"/>
            <w:rFonts w:asciiTheme="minorEastAsia" w:eastAsiaTheme="minorEastAsia" w:hAnsiTheme="minorEastAsia" w:hint="eastAsia"/>
            <w:color w:val="auto"/>
            <w:u w:val="none"/>
          </w:rPr>
          <w:t>（三）估值对象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5" w:history="1">
        <w:r w:rsidR="00702E31" w:rsidRPr="0001503D">
          <w:rPr>
            <w:rStyle w:val="af"/>
            <w:rFonts w:asciiTheme="minorEastAsia" w:eastAsiaTheme="minorEastAsia" w:hAnsiTheme="minorEastAsia" w:hint="eastAsia"/>
            <w:color w:val="auto"/>
            <w:u w:val="none"/>
          </w:rPr>
          <w:t>（四）估值方法</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6" w:history="1">
        <w:r w:rsidR="00702E31" w:rsidRPr="0001503D">
          <w:rPr>
            <w:rStyle w:val="af"/>
            <w:rFonts w:asciiTheme="minorEastAsia" w:eastAsiaTheme="minorEastAsia" w:hAnsiTheme="minorEastAsia" w:hint="eastAsia"/>
            <w:color w:val="auto"/>
            <w:u w:val="none"/>
          </w:rPr>
          <w:t>（五）估值程序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7" w:history="1">
        <w:r w:rsidR="00702E31" w:rsidRPr="0001503D">
          <w:rPr>
            <w:rStyle w:val="af"/>
            <w:rFonts w:asciiTheme="minorEastAsia" w:eastAsiaTheme="minorEastAsia" w:hAnsiTheme="minorEastAsia" w:hint="eastAsia"/>
            <w:color w:val="auto"/>
            <w:u w:val="none"/>
          </w:rPr>
          <w:t>（六）估值错误的处理</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8" w:history="1">
        <w:r w:rsidR="00702E31" w:rsidRPr="0001503D">
          <w:rPr>
            <w:rStyle w:val="af"/>
            <w:rFonts w:asciiTheme="minorEastAsia" w:eastAsiaTheme="minorEastAsia" w:hAnsiTheme="minorEastAsia" w:hint="eastAsia"/>
            <w:color w:val="auto"/>
            <w:u w:val="none"/>
          </w:rPr>
          <w:t>（七）暂停估值的情形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124</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89" w:history="1">
        <w:r w:rsidR="00702E31" w:rsidRPr="0001503D">
          <w:rPr>
            <w:rStyle w:val="af"/>
            <w:rFonts w:asciiTheme="minorEastAsia" w:eastAsiaTheme="minorEastAsia" w:hAnsiTheme="minorEastAsia" w:hint="eastAsia"/>
            <w:color w:val="auto"/>
            <w:u w:val="none"/>
          </w:rPr>
          <w:t>（八）基金净值的确认</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_Toc28803589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124</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0" w:history="1">
        <w:r w:rsidR="00702E31" w:rsidRPr="0001503D">
          <w:rPr>
            <w:rStyle w:val="af"/>
            <w:rFonts w:asciiTheme="minorEastAsia" w:eastAsiaTheme="minorEastAsia" w:hAnsiTheme="minorEastAsia" w:hint="eastAsia"/>
            <w:color w:val="auto"/>
            <w:u w:val="none"/>
          </w:rPr>
          <w:t>（九）特殊情形的处理</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125</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91" w:history="1">
        <w:r w:rsidR="00702E31" w:rsidRPr="0001503D">
          <w:rPr>
            <w:rStyle w:val="af"/>
            <w:rFonts w:asciiTheme="minorEastAsia" w:eastAsiaTheme="minorEastAsia" w:hAnsiTheme="minorEastAsia" w:hint="eastAsia"/>
            <w:bCs/>
            <w:color w:val="auto"/>
            <w:u w:val="none"/>
          </w:rPr>
          <w:t>十五、基金的收益与分配</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2" w:history="1">
        <w:r w:rsidR="00702E31" w:rsidRPr="0001503D">
          <w:rPr>
            <w:rStyle w:val="af"/>
            <w:rFonts w:asciiTheme="minorEastAsia" w:eastAsiaTheme="minorEastAsia" w:hAnsiTheme="minorEastAsia" w:hint="eastAsia"/>
            <w:color w:val="auto"/>
            <w:u w:val="none"/>
          </w:rPr>
          <w:t>（一）基金利润的构成</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3" w:history="1">
        <w:r w:rsidR="00702E31" w:rsidRPr="0001503D">
          <w:rPr>
            <w:rStyle w:val="af"/>
            <w:rFonts w:asciiTheme="minorEastAsia" w:eastAsiaTheme="minorEastAsia" w:hAnsiTheme="minorEastAsia" w:hint="eastAsia"/>
            <w:color w:val="auto"/>
            <w:u w:val="none"/>
          </w:rPr>
          <w:t>（二）基金可供分配利润</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4" w:history="1">
        <w:r w:rsidR="00702E31" w:rsidRPr="0001503D">
          <w:rPr>
            <w:rStyle w:val="af"/>
            <w:rFonts w:asciiTheme="minorEastAsia" w:eastAsiaTheme="minorEastAsia" w:hAnsiTheme="minorEastAsia" w:hint="eastAsia"/>
            <w:color w:val="auto"/>
            <w:u w:val="none"/>
          </w:rPr>
          <w:t>（三）收益分配原则</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5" w:history="1">
        <w:r w:rsidR="00702E31" w:rsidRPr="0001503D">
          <w:rPr>
            <w:rStyle w:val="af"/>
            <w:rFonts w:asciiTheme="minorEastAsia" w:eastAsiaTheme="minorEastAsia" w:hAnsiTheme="minorEastAsia" w:hint="eastAsia"/>
            <w:color w:val="auto"/>
            <w:u w:val="none"/>
          </w:rPr>
          <w:t>（四）收益分配方案</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6" w:history="1">
        <w:r w:rsidR="00702E31" w:rsidRPr="0001503D">
          <w:rPr>
            <w:rStyle w:val="af"/>
            <w:rFonts w:asciiTheme="minorEastAsia" w:eastAsiaTheme="minorEastAsia" w:hAnsiTheme="minorEastAsia" w:hint="eastAsia"/>
            <w:color w:val="auto"/>
            <w:u w:val="none"/>
          </w:rPr>
          <w:t>（五）收益分配方案的确定、公告与实施</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7" w:history="1">
        <w:r w:rsidR="00702E31" w:rsidRPr="0001503D">
          <w:rPr>
            <w:rStyle w:val="af"/>
            <w:rFonts w:asciiTheme="minorEastAsia" w:eastAsiaTheme="minorEastAsia" w:hAnsiTheme="minorEastAsia" w:hint="eastAsia"/>
            <w:color w:val="auto"/>
            <w:u w:val="none"/>
          </w:rPr>
          <w:t>（六）收益分配中发生的费用</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127</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598" w:history="1">
        <w:r w:rsidR="00702E31" w:rsidRPr="0001503D">
          <w:rPr>
            <w:rStyle w:val="af"/>
            <w:rFonts w:asciiTheme="minorEastAsia" w:eastAsiaTheme="minorEastAsia" w:hAnsiTheme="minorEastAsia" w:hint="eastAsia"/>
            <w:bCs/>
            <w:color w:val="auto"/>
            <w:u w:val="none"/>
          </w:rPr>
          <w:t>十六、基金的费用与税收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599" w:history="1">
        <w:r w:rsidR="00702E31" w:rsidRPr="0001503D">
          <w:rPr>
            <w:rStyle w:val="af"/>
            <w:rFonts w:asciiTheme="minorEastAsia" w:eastAsiaTheme="minorEastAsia" w:hAnsiTheme="minorEastAsia" w:hint="eastAsia"/>
            <w:color w:val="auto"/>
            <w:u w:val="none"/>
          </w:rPr>
          <w:t>（一）与基金运作相关的费用</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_Toc28803599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0" w:history="1">
        <w:r w:rsidR="00702E31" w:rsidRPr="0001503D">
          <w:rPr>
            <w:rStyle w:val="af"/>
            <w:rFonts w:asciiTheme="minorEastAsia" w:eastAsiaTheme="minorEastAsia" w:hAnsiTheme="minorEastAsia" w:hint="eastAsia"/>
            <w:color w:val="auto"/>
            <w:u w:val="none"/>
          </w:rPr>
          <w:t>（二）与基金销售有关的费用</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129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1" w:history="1">
        <w:r w:rsidR="00702E31" w:rsidRPr="0001503D">
          <w:rPr>
            <w:rStyle w:val="af"/>
            <w:rFonts w:asciiTheme="minorEastAsia" w:eastAsiaTheme="minorEastAsia" w:hAnsiTheme="minorEastAsia" w:hint="eastAsia"/>
            <w:color w:val="auto"/>
            <w:u w:val="none"/>
          </w:rPr>
          <w:t>（三）基金税收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131</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02" w:history="1">
        <w:r w:rsidR="00702E31" w:rsidRPr="0001503D">
          <w:rPr>
            <w:rStyle w:val="af"/>
            <w:rFonts w:asciiTheme="minorEastAsia" w:eastAsiaTheme="minorEastAsia" w:hAnsiTheme="minorEastAsia" w:hint="eastAsia"/>
            <w:bCs/>
            <w:color w:val="auto"/>
            <w:u w:val="none"/>
          </w:rPr>
          <w:t>十七、基金的会计与审计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3" w:history="1">
        <w:r w:rsidR="00702E31" w:rsidRPr="0001503D">
          <w:rPr>
            <w:rStyle w:val="af"/>
            <w:rFonts w:asciiTheme="minorEastAsia" w:eastAsiaTheme="minorEastAsia" w:hAnsiTheme="minorEastAsia" w:hint="eastAsia"/>
            <w:color w:val="auto"/>
            <w:u w:val="none"/>
          </w:rPr>
          <w:t>（一）基金会计政策</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4" w:history="1">
        <w:r w:rsidR="00702E31" w:rsidRPr="0001503D">
          <w:rPr>
            <w:rStyle w:val="af"/>
            <w:rFonts w:asciiTheme="minorEastAsia" w:eastAsiaTheme="minorEastAsia" w:hAnsiTheme="minorEastAsia" w:hint="eastAsia"/>
            <w:color w:val="auto"/>
            <w:u w:val="none"/>
          </w:rPr>
          <w:t>（二）基金的审计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132</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05" w:history="1">
        <w:r w:rsidR="00702E31" w:rsidRPr="0001503D">
          <w:rPr>
            <w:rStyle w:val="af"/>
            <w:rFonts w:asciiTheme="minorEastAsia" w:eastAsiaTheme="minorEastAsia" w:hAnsiTheme="minorEastAsia" w:hint="eastAsia"/>
            <w:bCs/>
            <w:color w:val="auto"/>
            <w:u w:val="none"/>
          </w:rPr>
          <w:t>十八、基金的信息披露</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133</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06" w:history="1">
        <w:r w:rsidR="00702E31" w:rsidRPr="0001503D">
          <w:rPr>
            <w:rStyle w:val="af"/>
            <w:rFonts w:asciiTheme="minorEastAsia" w:eastAsiaTheme="minorEastAsia" w:hAnsiTheme="minorEastAsia" w:hint="eastAsia"/>
            <w:bCs/>
            <w:color w:val="auto"/>
            <w:u w:val="none"/>
          </w:rPr>
          <w:t>十九、风险揭示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7" w:history="1">
        <w:r w:rsidR="00702E31" w:rsidRPr="0001503D">
          <w:rPr>
            <w:rStyle w:val="af"/>
            <w:rFonts w:asciiTheme="minorEastAsia" w:eastAsiaTheme="minorEastAsia" w:hAnsiTheme="minorEastAsia" w:hint="eastAsia"/>
            <w:color w:val="auto"/>
            <w:u w:val="none"/>
          </w:rPr>
          <w:t>（一）市场风险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8" w:history="1">
        <w:r w:rsidR="00702E31" w:rsidRPr="0001503D">
          <w:rPr>
            <w:rStyle w:val="af"/>
            <w:rFonts w:asciiTheme="minorEastAsia" w:eastAsiaTheme="minorEastAsia" w:hAnsiTheme="minorEastAsia" w:hint="eastAsia"/>
            <w:color w:val="auto"/>
            <w:u w:val="none"/>
          </w:rPr>
          <w:t>（二）本基金特有的风险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09" w:history="1">
        <w:r w:rsidR="00702E31" w:rsidRPr="0001503D">
          <w:rPr>
            <w:rStyle w:val="af"/>
            <w:rFonts w:asciiTheme="minorEastAsia" w:eastAsiaTheme="minorEastAsia" w:hAnsiTheme="minorEastAsia" w:hint="eastAsia"/>
            <w:color w:val="auto"/>
            <w:u w:val="none"/>
          </w:rPr>
          <w:t>（三）流动性风险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_Toc28803609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139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0" w:history="1">
        <w:r w:rsidR="00702E31" w:rsidRPr="0001503D">
          <w:rPr>
            <w:rStyle w:val="af"/>
            <w:rFonts w:asciiTheme="minorEastAsia" w:eastAsiaTheme="minorEastAsia" w:hAnsiTheme="minorEastAsia" w:hint="eastAsia"/>
            <w:color w:val="auto"/>
            <w:u w:val="none"/>
          </w:rPr>
          <w:t>（四）本基金法律文件中涉及基金风险特征的表述与销售机构对基金的风险评级可能不一致的风险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1" w:history="1">
        <w:r w:rsidR="00702E31" w:rsidRPr="0001503D">
          <w:rPr>
            <w:rStyle w:val="af"/>
            <w:rFonts w:asciiTheme="minorEastAsia" w:eastAsiaTheme="minorEastAsia" w:hAnsiTheme="minorEastAsia" w:hint="eastAsia"/>
            <w:color w:val="auto"/>
            <w:u w:val="none"/>
          </w:rPr>
          <w:t>（五）管理风险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141</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2" w:history="1">
        <w:r w:rsidR="00702E31" w:rsidRPr="0001503D">
          <w:rPr>
            <w:rStyle w:val="af"/>
            <w:rFonts w:asciiTheme="minorEastAsia" w:eastAsiaTheme="minorEastAsia" w:hAnsiTheme="minorEastAsia" w:hint="eastAsia"/>
            <w:color w:val="auto"/>
            <w:u w:val="none"/>
          </w:rPr>
          <w:t>（六）其他风险</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141</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13" w:history="1">
        <w:r w:rsidR="00702E31" w:rsidRPr="0001503D">
          <w:rPr>
            <w:rStyle w:val="af"/>
            <w:rFonts w:asciiTheme="minorEastAsia" w:eastAsiaTheme="minorEastAsia" w:hAnsiTheme="minorEastAsia" w:hint="eastAsia"/>
            <w:b/>
            <w:bCs/>
            <w:color w:val="auto"/>
            <w:u w:val="none"/>
          </w:rPr>
          <w:t>二</w:t>
        </w:r>
        <w:r w:rsidR="00702E31" w:rsidRPr="0001503D">
          <w:rPr>
            <w:rStyle w:val="af"/>
            <w:rFonts w:asciiTheme="minorEastAsia" w:eastAsiaTheme="minorEastAsia" w:hAnsiTheme="minorEastAsia" w:hint="eastAsia"/>
            <w:bCs/>
            <w:color w:val="auto"/>
            <w:u w:val="none"/>
          </w:rPr>
          <w:t>十、基金合同的变更、终止与基金财产的清算</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4" w:history="1">
        <w:r w:rsidR="00702E31" w:rsidRPr="0001503D">
          <w:rPr>
            <w:rStyle w:val="af"/>
            <w:rFonts w:asciiTheme="minorEastAsia" w:eastAsiaTheme="minorEastAsia" w:hAnsiTheme="minorEastAsia" w:hint="eastAsia"/>
            <w:color w:val="auto"/>
            <w:u w:val="none"/>
          </w:rPr>
          <w:t>（一）基金合同的变更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5" w:history="1">
        <w:r w:rsidR="00702E31" w:rsidRPr="0001503D">
          <w:rPr>
            <w:rStyle w:val="af"/>
            <w:rFonts w:asciiTheme="minorEastAsia" w:eastAsiaTheme="minorEastAsia" w:hAnsiTheme="minorEastAsia" w:hint="eastAsia"/>
            <w:color w:val="auto"/>
            <w:u w:val="none"/>
          </w:rPr>
          <w:t>（二）基金合同的终止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142</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6" w:history="1">
        <w:r w:rsidR="00702E31" w:rsidRPr="0001503D">
          <w:rPr>
            <w:rStyle w:val="af"/>
            <w:rFonts w:asciiTheme="minorEastAsia" w:eastAsiaTheme="minorEastAsia" w:hAnsiTheme="minorEastAsia" w:hint="eastAsia"/>
            <w:color w:val="auto"/>
            <w:u w:val="none"/>
          </w:rPr>
          <w:t>（三）基金财产的清算</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143</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17" w:history="1">
        <w:r w:rsidR="00702E31" w:rsidRPr="0001503D">
          <w:rPr>
            <w:rStyle w:val="af"/>
            <w:rFonts w:asciiTheme="minorEastAsia" w:eastAsiaTheme="minorEastAsia" w:hAnsiTheme="minorEastAsia" w:hint="eastAsia"/>
            <w:bCs/>
            <w:color w:val="auto"/>
            <w:u w:val="none"/>
          </w:rPr>
          <w:t>二十一、基金合同内容摘要</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8" w:history="1">
        <w:r w:rsidR="00702E31" w:rsidRPr="0001503D">
          <w:rPr>
            <w:rStyle w:val="af"/>
            <w:rFonts w:asciiTheme="minorEastAsia" w:eastAsiaTheme="minorEastAsia" w:hAnsiTheme="minorEastAsia" w:hint="eastAsia"/>
            <w:bCs/>
            <w:color w:val="auto"/>
            <w:u w:val="none"/>
          </w:rPr>
          <w:t>（一）基金管理人的权利与义务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19" w:history="1">
        <w:r w:rsidR="00702E31" w:rsidRPr="0001503D">
          <w:rPr>
            <w:rStyle w:val="af"/>
            <w:rFonts w:asciiTheme="minorEastAsia" w:eastAsiaTheme="minorEastAsia" w:hAnsiTheme="minorEastAsia" w:hint="eastAsia"/>
            <w:bCs/>
            <w:color w:val="auto"/>
            <w:u w:val="none"/>
          </w:rPr>
          <w:t>（二）基金托管人的权利与义务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_Toc28803619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147</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0" w:history="1">
        <w:r w:rsidR="00702E31" w:rsidRPr="0001503D">
          <w:rPr>
            <w:rStyle w:val="af"/>
            <w:rFonts w:asciiTheme="minorEastAsia" w:eastAsiaTheme="minorEastAsia" w:hAnsiTheme="minorEastAsia" w:hint="eastAsia"/>
            <w:bCs/>
            <w:color w:val="auto"/>
            <w:u w:val="none"/>
          </w:rPr>
          <w:t>（三）基金份额持有人的权利与义务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1" w:history="1">
        <w:r w:rsidR="00702E31" w:rsidRPr="0001503D">
          <w:rPr>
            <w:rStyle w:val="af"/>
            <w:rFonts w:asciiTheme="minorEastAsia" w:eastAsiaTheme="minorEastAsia" w:hAnsiTheme="minorEastAsia" w:hint="eastAsia"/>
            <w:bCs/>
            <w:color w:val="auto"/>
            <w:u w:val="none"/>
          </w:rPr>
          <w:t>（四）基金份额持有人大会</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149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2" w:history="1">
        <w:r w:rsidR="00702E31" w:rsidRPr="0001503D">
          <w:rPr>
            <w:rStyle w:val="af"/>
            <w:rFonts w:asciiTheme="minorEastAsia" w:eastAsiaTheme="minorEastAsia" w:hAnsiTheme="minorEastAsia" w:hint="eastAsia"/>
            <w:bCs/>
            <w:color w:val="auto"/>
            <w:u w:val="none"/>
          </w:rPr>
          <w:t>（五）基金合同的变更</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3" w:history="1">
        <w:r w:rsidR="00702E31" w:rsidRPr="0001503D">
          <w:rPr>
            <w:rStyle w:val="af"/>
            <w:rFonts w:asciiTheme="minorEastAsia" w:eastAsiaTheme="minorEastAsia" w:hAnsiTheme="minorEastAsia" w:hint="eastAsia"/>
            <w:bCs/>
            <w:color w:val="auto"/>
            <w:u w:val="none"/>
          </w:rPr>
          <w:t>（六）基金合同的终止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4" w:history="1">
        <w:r w:rsidR="00702E31" w:rsidRPr="0001503D">
          <w:rPr>
            <w:rStyle w:val="af"/>
            <w:rFonts w:asciiTheme="minorEastAsia" w:eastAsiaTheme="minorEastAsia" w:hAnsiTheme="minorEastAsia" w:hint="eastAsia"/>
            <w:bCs/>
            <w:color w:val="auto"/>
            <w:u w:val="none"/>
          </w:rPr>
          <w:t>（七）基金财产的清算</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156</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5" w:history="1">
        <w:r w:rsidR="00702E31" w:rsidRPr="0001503D">
          <w:rPr>
            <w:rStyle w:val="af"/>
            <w:rFonts w:asciiTheme="minorEastAsia" w:eastAsiaTheme="minorEastAsia" w:hAnsiTheme="minorEastAsia" w:hint="eastAsia"/>
            <w:bCs/>
            <w:color w:val="auto"/>
            <w:u w:val="none"/>
          </w:rPr>
          <w:t>（八）争议的处理和适用的法律</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157</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6" w:history="1">
        <w:r w:rsidR="00702E31" w:rsidRPr="0001503D">
          <w:rPr>
            <w:rStyle w:val="af"/>
            <w:rFonts w:asciiTheme="minorEastAsia" w:eastAsiaTheme="minorEastAsia" w:hAnsiTheme="minorEastAsia" w:hint="eastAsia"/>
            <w:bCs/>
            <w:color w:val="auto"/>
            <w:u w:val="none"/>
          </w:rPr>
          <w:t>（九）基金合同的存放及查阅方式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157</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27" w:history="1">
        <w:r w:rsidR="00702E31" w:rsidRPr="0001503D">
          <w:rPr>
            <w:rStyle w:val="af"/>
            <w:rFonts w:asciiTheme="minorEastAsia" w:eastAsiaTheme="minorEastAsia" w:hAnsiTheme="minorEastAsia" w:hint="eastAsia"/>
            <w:bCs/>
            <w:color w:val="auto"/>
            <w:u w:val="none"/>
          </w:rPr>
          <w:t>二十二、基金托管协议的内容摘要</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8" w:history="1">
        <w:r w:rsidR="00702E31" w:rsidRPr="0001503D">
          <w:rPr>
            <w:rStyle w:val="af"/>
            <w:rFonts w:asciiTheme="minorEastAsia" w:eastAsiaTheme="minorEastAsia" w:hAnsiTheme="minorEastAsia" w:hint="eastAsia"/>
            <w:bCs/>
            <w:color w:val="auto"/>
            <w:u w:val="none"/>
          </w:rPr>
          <w:t>（一）托管协议当事人</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29" w:history="1">
        <w:r w:rsidR="00702E31" w:rsidRPr="0001503D">
          <w:rPr>
            <w:rStyle w:val="af"/>
            <w:rFonts w:asciiTheme="minorEastAsia" w:eastAsiaTheme="minorEastAsia" w:hAnsiTheme="minorEastAsia" w:hint="eastAsia"/>
            <w:bCs/>
            <w:color w:val="auto"/>
            <w:u w:val="none"/>
          </w:rPr>
          <w:t>（二）基金托管人对基金管理人的业务监督和核查</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_Toc28803629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159</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0" w:history="1">
        <w:r w:rsidR="00702E31" w:rsidRPr="0001503D">
          <w:rPr>
            <w:rStyle w:val="af"/>
            <w:rFonts w:asciiTheme="minorEastAsia" w:eastAsiaTheme="minorEastAsia" w:hAnsiTheme="minorEastAsia" w:hint="eastAsia"/>
            <w:bCs/>
            <w:color w:val="auto"/>
            <w:u w:val="none"/>
          </w:rPr>
          <w:t>（三）基金管理人对基金托管人的业务核查</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1" w:history="1">
        <w:r w:rsidR="00702E31" w:rsidRPr="0001503D">
          <w:rPr>
            <w:rStyle w:val="af"/>
            <w:rFonts w:asciiTheme="minorEastAsia" w:eastAsiaTheme="minorEastAsia" w:hAnsiTheme="minorEastAsia" w:hint="eastAsia"/>
            <w:bCs/>
            <w:color w:val="auto"/>
            <w:u w:val="none"/>
          </w:rPr>
          <w:t>（四）基金财产保管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163</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2" w:history="1">
        <w:r w:rsidR="00702E31" w:rsidRPr="0001503D">
          <w:rPr>
            <w:rStyle w:val="af"/>
            <w:rFonts w:asciiTheme="minorEastAsia" w:eastAsiaTheme="minorEastAsia" w:hAnsiTheme="minorEastAsia" w:hint="eastAsia"/>
            <w:bCs/>
            <w:color w:val="auto"/>
            <w:u w:val="none"/>
          </w:rPr>
          <w:t>（五）基金资产净值计算与复核</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165</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3" w:history="1">
        <w:r w:rsidR="00702E31" w:rsidRPr="0001503D">
          <w:rPr>
            <w:rStyle w:val="af"/>
            <w:rFonts w:asciiTheme="minorEastAsia" w:eastAsiaTheme="minorEastAsia" w:hAnsiTheme="minorEastAsia" w:hint="eastAsia"/>
            <w:bCs/>
            <w:color w:val="auto"/>
            <w:u w:val="none"/>
          </w:rPr>
          <w:t>（六）基金份额持有人名册的保管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4" w:history="1">
        <w:r w:rsidR="00702E31" w:rsidRPr="0001503D">
          <w:rPr>
            <w:rStyle w:val="af"/>
            <w:rFonts w:asciiTheme="minorEastAsia" w:eastAsiaTheme="minorEastAsia" w:hAnsiTheme="minorEastAsia" w:hint="eastAsia"/>
            <w:bCs/>
            <w:color w:val="auto"/>
            <w:u w:val="none"/>
          </w:rPr>
          <w:t>（七）争议解决方式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168</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5" w:history="1">
        <w:r w:rsidR="00702E31" w:rsidRPr="0001503D">
          <w:rPr>
            <w:rStyle w:val="af"/>
            <w:rFonts w:asciiTheme="minorEastAsia" w:eastAsiaTheme="minorEastAsia" w:hAnsiTheme="minorEastAsia" w:hint="eastAsia"/>
            <w:bCs/>
            <w:color w:val="auto"/>
            <w:u w:val="none"/>
          </w:rPr>
          <w:t>（八）托管协议的变更与终止</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_Toc28803635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168</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36" w:history="1">
        <w:r w:rsidR="00702E31" w:rsidRPr="0001503D">
          <w:rPr>
            <w:rStyle w:val="af"/>
            <w:rFonts w:asciiTheme="minorEastAsia" w:eastAsiaTheme="minorEastAsia" w:hAnsiTheme="minorEastAsia" w:hint="eastAsia"/>
            <w:bCs/>
            <w:color w:val="auto"/>
            <w:u w:val="none"/>
          </w:rPr>
          <w:t>二十三、对基金份额持有人的服务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_Toc28803636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7" w:history="1">
        <w:r w:rsidR="00702E31" w:rsidRPr="0001503D">
          <w:rPr>
            <w:rStyle w:val="af"/>
            <w:rFonts w:asciiTheme="minorEastAsia" w:eastAsiaTheme="minorEastAsia" w:hAnsiTheme="minorEastAsia" w:hint="eastAsia"/>
            <w:bCs/>
            <w:color w:val="auto"/>
            <w:u w:val="none"/>
          </w:rPr>
          <w:t>（一）基金份额持有人投资交易确认服务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_Toc28803637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8" w:history="1">
        <w:r w:rsidR="00702E31" w:rsidRPr="0001503D">
          <w:rPr>
            <w:rStyle w:val="af"/>
            <w:rFonts w:asciiTheme="minorEastAsia" w:eastAsiaTheme="minorEastAsia" w:hAnsiTheme="minorEastAsia" w:hint="eastAsia"/>
            <w:bCs/>
            <w:color w:val="auto"/>
            <w:u w:val="none"/>
          </w:rPr>
          <w:t>（二）基金份额持有人交易记录查询服务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_Toc28803638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39" w:history="1">
        <w:r w:rsidR="00702E31" w:rsidRPr="0001503D">
          <w:rPr>
            <w:rStyle w:val="af"/>
            <w:rFonts w:asciiTheme="minorEastAsia" w:eastAsiaTheme="minorEastAsia" w:hAnsiTheme="minorEastAsia" w:hint="eastAsia"/>
            <w:bCs/>
            <w:color w:val="auto"/>
            <w:u w:val="none"/>
          </w:rPr>
          <w:t>（三）基金份额持有人对帐单服务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_Toc28803639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40" w:history="1">
        <w:r w:rsidR="00702E31" w:rsidRPr="0001503D">
          <w:rPr>
            <w:rStyle w:val="af"/>
            <w:rFonts w:asciiTheme="minorEastAsia" w:eastAsiaTheme="minorEastAsia" w:hAnsiTheme="minorEastAsia" w:hint="eastAsia"/>
            <w:bCs/>
            <w:color w:val="auto"/>
            <w:u w:val="none"/>
          </w:rPr>
          <w:t>（四）定期定额投资计划</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_Toc28803640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21"/>
        <w:rPr>
          <w:rFonts w:asciiTheme="minorEastAsia" w:eastAsiaTheme="minorEastAsia" w:hAnsiTheme="minorEastAsia" w:cstheme="minorBidi"/>
          <w:smallCaps w:val="0"/>
          <w:szCs w:val="22"/>
        </w:rPr>
      </w:pPr>
      <w:hyperlink w:anchor="_Toc28803641" w:history="1">
        <w:r w:rsidR="00702E31" w:rsidRPr="0001503D">
          <w:rPr>
            <w:rStyle w:val="af"/>
            <w:rFonts w:asciiTheme="minorEastAsia" w:eastAsiaTheme="minorEastAsia" w:hAnsiTheme="minorEastAsia" w:hint="eastAsia"/>
            <w:bCs/>
            <w:color w:val="auto"/>
            <w:u w:val="none"/>
          </w:rPr>
          <w:t>（五）资讯服务</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_Toc28803641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170</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42" w:history="1">
        <w:r w:rsidR="00702E31" w:rsidRPr="0001503D">
          <w:rPr>
            <w:rStyle w:val="af"/>
            <w:rFonts w:asciiTheme="minorEastAsia" w:eastAsiaTheme="minorEastAsia" w:hAnsiTheme="minorEastAsia" w:hint="eastAsia"/>
            <w:bCs/>
            <w:color w:val="auto"/>
            <w:u w:val="none"/>
          </w:rPr>
          <w:t>二十四、其他应披露事项</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_Toc28803642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171</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43" w:history="1">
        <w:r w:rsidR="00702E31" w:rsidRPr="0001503D">
          <w:rPr>
            <w:rStyle w:val="af"/>
            <w:rFonts w:asciiTheme="minorEastAsia" w:eastAsiaTheme="minorEastAsia" w:hAnsiTheme="minorEastAsia" w:hint="eastAsia"/>
            <w:bCs/>
            <w:color w:val="auto"/>
            <w:u w:val="none"/>
          </w:rPr>
          <w:t>二十五、招募说明书存放及查阅方式</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_Toc28803643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174</w:t>
        </w:r>
        <w:r w:rsidR="00702E31" w:rsidRPr="0001503D">
          <w:rPr>
            <w:rFonts w:asciiTheme="minorEastAsia" w:eastAsiaTheme="minorEastAsia" w:hAnsiTheme="minorEastAsia"/>
            <w:webHidden/>
          </w:rPr>
          <w:fldChar w:fldCharType="end"/>
        </w:r>
      </w:hyperlink>
    </w:p>
    <w:p w:rsidR="00702E31" w:rsidRPr="0001503D" w:rsidRDefault="0076650D">
      <w:pPr>
        <w:pStyle w:val="10"/>
        <w:rPr>
          <w:rFonts w:asciiTheme="minorEastAsia" w:eastAsiaTheme="minorEastAsia" w:hAnsiTheme="minorEastAsia" w:cstheme="minorBidi"/>
          <w:caps w:val="0"/>
          <w:sz w:val="21"/>
          <w:szCs w:val="22"/>
        </w:rPr>
      </w:pPr>
      <w:hyperlink w:anchor="_Toc28803644" w:history="1">
        <w:r w:rsidR="00702E31" w:rsidRPr="0001503D">
          <w:rPr>
            <w:rStyle w:val="af"/>
            <w:rFonts w:asciiTheme="minorEastAsia" w:eastAsiaTheme="minorEastAsia" w:hAnsiTheme="minorEastAsia" w:hint="eastAsia"/>
            <w:color w:val="auto"/>
            <w:u w:val="none"/>
          </w:rPr>
          <w:t>二十六、备查文件</w:t>
        </w:r>
        <w:r w:rsidR="00702E31" w:rsidRPr="0001503D">
          <w:rPr>
            <w:rFonts w:asciiTheme="minorEastAsia" w:eastAsiaTheme="minorEastAsia" w:hAnsiTheme="minorEastAsia"/>
            <w:webHidden/>
          </w:rPr>
          <w:tab/>
        </w:r>
        <w:r w:rsidR="00702E31" w:rsidRPr="0001503D">
          <w:rPr>
            <w:rFonts w:asciiTheme="minorEastAsia" w:eastAsiaTheme="minorEastAsia" w:hAnsiTheme="minorEastAsia"/>
            <w:webHidden/>
          </w:rPr>
          <w:fldChar w:fldCharType="begin"/>
        </w:r>
        <w:r w:rsidR="00702E31" w:rsidRPr="0001503D">
          <w:rPr>
            <w:rFonts w:asciiTheme="minorEastAsia" w:eastAsiaTheme="minorEastAsia" w:hAnsiTheme="minorEastAsia"/>
            <w:webHidden/>
          </w:rPr>
          <w:instrText xml:space="preserve"> PAGEREF _Toc28803644 \h </w:instrText>
        </w:r>
        <w:r w:rsidR="00702E31" w:rsidRPr="0001503D">
          <w:rPr>
            <w:rFonts w:asciiTheme="minorEastAsia" w:eastAsiaTheme="minorEastAsia" w:hAnsiTheme="minorEastAsia"/>
            <w:webHidden/>
          </w:rPr>
        </w:r>
        <w:r w:rsidR="00702E31" w:rsidRPr="0001503D">
          <w:rPr>
            <w:rFonts w:asciiTheme="minorEastAsia" w:eastAsiaTheme="minorEastAsia" w:hAnsiTheme="minorEastAsia"/>
            <w:webHidden/>
          </w:rPr>
          <w:fldChar w:fldCharType="separate"/>
        </w:r>
        <w:r w:rsidR="00DD13B2">
          <w:rPr>
            <w:rFonts w:asciiTheme="minorEastAsia" w:eastAsiaTheme="minorEastAsia" w:hAnsiTheme="minorEastAsia"/>
            <w:webHidden/>
          </w:rPr>
          <w:t>175</w:t>
        </w:r>
        <w:r w:rsidR="00702E31" w:rsidRPr="0001503D">
          <w:rPr>
            <w:rFonts w:asciiTheme="minorEastAsia" w:eastAsiaTheme="minorEastAsia" w:hAnsiTheme="minorEastAsia"/>
            <w:webHidden/>
          </w:rPr>
          <w:fldChar w:fldCharType="end"/>
        </w:r>
      </w:hyperlink>
    </w:p>
    <w:p w:rsidR="002F5370" w:rsidRPr="0001503D" w:rsidRDefault="000E46AF" w:rsidP="000B57E8">
      <w:pPr>
        <w:adjustRightInd w:val="0"/>
        <w:snapToGrid w:val="0"/>
        <w:spacing w:line="360" w:lineRule="auto"/>
        <w:jc w:val="center"/>
        <w:rPr>
          <w:rFonts w:asciiTheme="minorEastAsia" w:eastAsiaTheme="minorEastAsia" w:hAnsiTheme="minorEastAsia"/>
          <w:b/>
          <w:sz w:val="28"/>
          <w:szCs w:val="28"/>
        </w:rPr>
      </w:pPr>
      <w:r w:rsidRPr="0001503D">
        <w:rPr>
          <w:rFonts w:asciiTheme="minorEastAsia" w:eastAsiaTheme="minorEastAsia" w:hAnsiTheme="minorEastAsia"/>
          <w:b/>
          <w:sz w:val="28"/>
          <w:szCs w:val="28"/>
        </w:rPr>
        <w:fldChar w:fldCharType="end"/>
      </w:r>
    </w:p>
    <w:p w:rsidR="002F5370" w:rsidRPr="0001503D" w:rsidRDefault="002F5370" w:rsidP="000B57E8">
      <w:pPr>
        <w:snapToGrid w:val="0"/>
        <w:spacing w:line="360" w:lineRule="auto"/>
        <w:ind w:firstLine="560"/>
        <w:jc w:val="center"/>
        <w:rPr>
          <w:rFonts w:asciiTheme="minorEastAsia" w:eastAsiaTheme="minorEastAsia" w:hAnsiTheme="minorEastAsia"/>
          <w:szCs w:val="21"/>
        </w:rPr>
        <w:sectPr w:rsidR="002F5370" w:rsidRPr="0001503D" w:rsidSect="002F5370">
          <w:footerReference w:type="default" r:id="rId15"/>
          <w:pgSz w:w="11907" w:h="16840" w:code="9"/>
          <w:pgMar w:top="1701" w:right="1814" w:bottom="1701" w:left="1814" w:header="1134" w:footer="1247" w:gutter="0"/>
          <w:pgNumType w:fmt="upperRoman" w:start="1"/>
          <w:cols w:space="425"/>
          <w:docGrid w:type="lines" w:linePitch="447"/>
        </w:sectPr>
      </w:pPr>
    </w:p>
    <w:p w:rsidR="002F5370" w:rsidRPr="0001503D" w:rsidRDefault="002F5370" w:rsidP="00467CAF">
      <w:pPr>
        <w:pStyle w:val="11"/>
        <w:snapToGrid w:val="0"/>
        <w:spacing w:beforeLines="0" w:afterLines="0" w:line="360" w:lineRule="auto"/>
        <w:ind w:firstLineChars="0" w:firstLine="0"/>
        <w:rPr>
          <w:rFonts w:asciiTheme="minorEastAsia" w:eastAsiaTheme="minorEastAsia" w:hAnsiTheme="minorEastAsia"/>
          <w:b w:val="0"/>
        </w:rPr>
      </w:pPr>
      <w:bookmarkStart w:id="0" w:name="_Toc38432421"/>
      <w:bookmarkStart w:id="1" w:name="_Toc238870158"/>
      <w:bookmarkStart w:id="2" w:name="_Toc28803517"/>
      <w:r w:rsidRPr="0001503D">
        <w:rPr>
          <w:rFonts w:asciiTheme="minorEastAsia" w:eastAsiaTheme="minorEastAsia" w:hAnsiTheme="minorEastAsia" w:hint="eastAsia"/>
          <w:b w:val="0"/>
        </w:rPr>
        <w:lastRenderedPageBreak/>
        <w:t>一、绪言</w:t>
      </w:r>
      <w:bookmarkEnd w:id="0"/>
      <w:bookmarkEnd w:id="1"/>
      <w:bookmarkEnd w:id="2"/>
    </w:p>
    <w:p w:rsidR="002F5370" w:rsidRPr="0001503D" w:rsidRDefault="002F5370" w:rsidP="000B57E8">
      <w:pPr>
        <w:snapToGrid w:val="0"/>
        <w:spacing w:line="360" w:lineRule="auto"/>
        <w:ind w:firstLine="482"/>
        <w:rPr>
          <w:rFonts w:asciiTheme="minorEastAsia" w:eastAsiaTheme="minorEastAsia" w:hAnsiTheme="minorEastAsia"/>
          <w:szCs w:val="21"/>
        </w:rPr>
      </w:pPr>
      <w:r w:rsidRPr="0001503D">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114994" w:rsidRPr="0001503D">
        <w:rPr>
          <w:rFonts w:asciiTheme="minorEastAsia" w:eastAsiaTheme="minorEastAsia" w:hAnsiTheme="minorEastAsia" w:hint="eastAsia"/>
          <w:szCs w:val="21"/>
        </w:rPr>
        <w:t>公开募集</w:t>
      </w:r>
      <w:r w:rsidRPr="0001503D">
        <w:rPr>
          <w:rFonts w:asciiTheme="minorEastAsia" w:eastAsiaTheme="minorEastAsia" w:hAnsiTheme="minorEastAsia" w:hint="eastAsia"/>
          <w:szCs w:val="21"/>
        </w:rPr>
        <w:t>证券投资基金信息披露管理办法》（以下简称《信息披露办法》）</w:t>
      </w:r>
      <w:r w:rsidR="00CB0645" w:rsidRPr="0001503D">
        <w:rPr>
          <w:rFonts w:asciiTheme="minorEastAsia" w:eastAsiaTheme="minorEastAsia" w:hAnsiTheme="minorEastAsia" w:hint="eastAsia"/>
        </w:rPr>
        <w:t>、</w:t>
      </w:r>
      <w:r w:rsidR="00CB0645" w:rsidRPr="0001503D">
        <w:rPr>
          <w:rFonts w:asciiTheme="minorEastAsia" w:eastAsiaTheme="minorEastAsia" w:hAnsiTheme="minorEastAsia" w:hint="eastAsia"/>
          <w:szCs w:val="21"/>
        </w:rPr>
        <w:t>《公开募集开放式证券投资基金流动性风险管理规定》（以下简称《管理规定》）</w:t>
      </w:r>
      <w:r w:rsidRPr="0001503D">
        <w:rPr>
          <w:rFonts w:asciiTheme="minorEastAsia" w:eastAsiaTheme="minorEastAsia" w:hAnsiTheme="minorEastAsia" w:hint="eastAsia"/>
          <w:szCs w:val="21"/>
        </w:rPr>
        <w:t>、</w:t>
      </w:r>
      <w:r w:rsidRPr="0001503D">
        <w:rPr>
          <w:rFonts w:asciiTheme="minorEastAsia" w:eastAsiaTheme="minorEastAsia" w:hAnsiTheme="minorEastAsia" w:hint="eastAsia"/>
        </w:rPr>
        <w:t>《证券投资基金信息披露内容与格式准则第</w:t>
      </w:r>
      <w:r w:rsidRPr="0001503D">
        <w:rPr>
          <w:rFonts w:asciiTheme="minorEastAsia" w:eastAsiaTheme="minorEastAsia" w:hAnsiTheme="minorEastAsia"/>
        </w:rPr>
        <w:t>5</w:t>
      </w:r>
      <w:r w:rsidRPr="0001503D">
        <w:rPr>
          <w:rFonts w:asciiTheme="minorEastAsia" w:eastAsiaTheme="minorEastAsia" w:hAnsiTheme="minorEastAsia" w:hint="eastAsia"/>
        </w:rPr>
        <w:t>号</w:t>
      </w:r>
      <w:r w:rsidRPr="0001503D">
        <w:rPr>
          <w:rFonts w:asciiTheme="minorEastAsia" w:eastAsiaTheme="minorEastAsia" w:hAnsiTheme="minorEastAsia"/>
        </w:rPr>
        <w:t>&lt;</w:t>
      </w:r>
      <w:r w:rsidRPr="0001503D">
        <w:rPr>
          <w:rFonts w:asciiTheme="minorEastAsia" w:eastAsiaTheme="minorEastAsia" w:hAnsiTheme="minorEastAsia" w:hint="eastAsia"/>
        </w:rPr>
        <w:t>招募说明书的内容与格式</w:t>
      </w:r>
      <w:r w:rsidRPr="0001503D">
        <w:rPr>
          <w:rFonts w:asciiTheme="minorEastAsia" w:eastAsiaTheme="minorEastAsia" w:hAnsiTheme="minorEastAsia"/>
        </w:rPr>
        <w:t>&gt;</w:t>
      </w:r>
      <w:r w:rsidRPr="0001503D">
        <w:rPr>
          <w:rFonts w:asciiTheme="minorEastAsia" w:eastAsiaTheme="minorEastAsia" w:hAnsiTheme="minorEastAsia" w:hint="eastAsia"/>
        </w:rPr>
        <w:t>》</w:t>
      </w:r>
      <w:r w:rsidRPr="0001503D">
        <w:rPr>
          <w:rFonts w:asciiTheme="minorEastAsia" w:eastAsiaTheme="minorEastAsia" w:hAnsiTheme="minorEastAsia" w:hint="eastAsia"/>
          <w:szCs w:val="21"/>
        </w:rPr>
        <w:t>等有关法律法规以及《</w:t>
      </w:r>
      <w:r w:rsidRPr="0001503D">
        <w:rPr>
          <w:rFonts w:asciiTheme="minorEastAsia" w:eastAsiaTheme="minorEastAsia" w:hAnsiTheme="minorEastAsia" w:cs="宋体" w:hint="eastAsia"/>
          <w:szCs w:val="21"/>
        </w:rPr>
        <w:t>易方达消费行业股票型证券投资基金</w:t>
      </w:r>
      <w:r w:rsidRPr="0001503D">
        <w:rPr>
          <w:rFonts w:asciiTheme="minorEastAsia" w:eastAsiaTheme="minorEastAsia" w:hAnsiTheme="minorEastAsia" w:hint="eastAsia"/>
          <w:szCs w:val="21"/>
        </w:rPr>
        <w:t>基金合同》编写。</w:t>
      </w:r>
    </w:p>
    <w:p w:rsidR="002F5370" w:rsidRPr="0001503D" w:rsidRDefault="002F5370" w:rsidP="000B57E8">
      <w:pPr>
        <w:snapToGrid w:val="0"/>
        <w:spacing w:line="360" w:lineRule="auto"/>
        <w:ind w:firstLine="482"/>
        <w:rPr>
          <w:rStyle w:val="da"/>
          <w:rFonts w:asciiTheme="minorEastAsia" w:eastAsiaTheme="minorEastAsia" w:hAnsiTheme="minorEastAsia"/>
        </w:rPr>
      </w:pPr>
      <w:r w:rsidRPr="0001503D">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或对本招募说明书作任何解释或者说明。</w:t>
      </w:r>
    </w:p>
    <w:p w:rsidR="002F5370" w:rsidRPr="0001503D" w:rsidRDefault="002F5370" w:rsidP="000B57E8">
      <w:pPr>
        <w:snapToGrid w:val="0"/>
        <w:spacing w:line="360" w:lineRule="auto"/>
        <w:ind w:firstLine="482"/>
        <w:rPr>
          <w:rStyle w:val="da"/>
          <w:rFonts w:asciiTheme="minorEastAsia" w:eastAsiaTheme="minorEastAsia" w:hAnsiTheme="minorEastAsia"/>
        </w:rPr>
      </w:pPr>
      <w:r w:rsidRPr="0001503D">
        <w:rPr>
          <w:rStyle w:val="da"/>
          <w:rFonts w:asciiTheme="minorEastAsia" w:eastAsiaTheme="minorEastAsia" w:hAnsiTheme="minorEastAsia"/>
        </w:rPr>
        <w:t>本招募说明书根据本基金的基金合同编写</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即成为基金份额持有人和基金合同的当事人</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其持有基金份额的行为本身即表明其对基金合同的承认和接受</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并按照《基金法》、基金合同及其他有关规定享有权利、承担义务。基金投资者欲了解基金份额持有人的权利和义务</w:t>
      </w:r>
      <w:r w:rsidRPr="0001503D">
        <w:rPr>
          <w:rStyle w:val="da"/>
          <w:rFonts w:asciiTheme="minorEastAsia" w:eastAsiaTheme="minorEastAsia" w:hAnsiTheme="minorEastAsia" w:hint="eastAsia"/>
        </w:rPr>
        <w:t>，</w:t>
      </w:r>
      <w:r w:rsidRPr="0001503D">
        <w:rPr>
          <w:rStyle w:val="da"/>
          <w:rFonts w:asciiTheme="minorEastAsia" w:eastAsiaTheme="minorEastAsia" w:hAnsiTheme="minorEastAsia"/>
        </w:rPr>
        <w:t>应详细查阅基金合同</w:t>
      </w:r>
      <w:r w:rsidRPr="0001503D">
        <w:rPr>
          <w:rStyle w:val="da"/>
          <w:rFonts w:asciiTheme="minorEastAsia" w:eastAsiaTheme="minorEastAsia" w:hAnsiTheme="minorEastAsia" w:hint="eastAsia"/>
        </w:rPr>
        <w:t>。</w:t>
      </w:r>
    </w:p>
    <w:p w:rsidR="002F5370" w:rsidRPr="0001503D" w:rsidRDefault="002F5370" w:rsidP="000B57E8">
      <w:pPr>
        <w:snapToGrid w:val="0"/>
        <w:spacing w:line="360" w:lineRule="auto"/>
        <w:ind w:firstLine="482"/>
        <w:rPr>
          <w:rFonts w:asciiTheme="minorEastAsia" w:eastAsiaTheme="minorEastAsia" w:hAnsiTheme="minorEastAsia"/>
          <w:szCs w:val="21"/>
        </w:rPr>
      </w:pPr>
    </w:p>
    <w:p w:rsidR="002F5370" w:rsidRPr="0001503D" w:rsidRDefault="002F5370" w:rsidP="000B57E8">
      <w:pPr>
        <w:snapToGrid w:val="0"/>
        <w:spacing w:line="360" w:lineRule="auto"/>
        <w:ind w:firstLine="482"/>
        <w:rPr>
          <w:rFonts w:asciiTheme="minorEastAsia" w:eastAsiaTheme="minorEastAsia" w:hAnsiTheme="minorEastAsia"/>
          <w:szCs w:val="21"/>
        </w:rPr>
      </w:pPr>
    </w:p>
    <w:p w:rsidR="002F5370" w:rsidRPr="0001503D" w:rsidRDefault="002F5370" w:rsidP="000B57E8">
      <w:pPr>
        <w:snapToGrid w:val="0"/>
        <w:spacing w:line="360" w:lineRule="auto"/>
        <w:ind w:firstLine="482"/>
        <w:rPr>
          <w:rFonts w:asciiTheme="minorEastAsia" w:eastAsiaTheme="minorEastAsia" w:hAnsiTheme="minorEastAsia"/>
          <w:szCs w:val="21"/>
        </w:rPr>
      </w:pPr>
    </w:p>
    <w:p w:rsidR="002F5370" w:rsidRPr="0001503D" w:rsidRDefault="002F5370" w:rsidP="000B57E8">
      <w:pPr>
        <w:snapToGrid w:val="0"/>
        <w:spacing w:line="360" w:lineRule="auto"/>
        <w:ind w:firstLine="482"/>
        <w:rPr>
          <w:rFonts w:asciiTheme="minorEastAsia" w:eastAsiaTheme="minorEastAsia" w:hAnsiTheme="minorEastAsia"/>
          <w:szCs w:val="21"/>
        </w:rPr>
      </w:pPr>
    </w:p>
    <w:p w:rsidR="002F5370" w:rsidRPr="0001503D" w:rsidRDefault="002F5370" w:rsidP="000B57E8">
      <w:pPr>
        <w:snapToGrid w:val="0"/>
        <w:spacing w:line="360" w:lineRule="auto"/>
        <w:ind w:firstLine="482"/>
        <w:rPr>
          <w:rFonts w:asciiTheme="minorEastAsia" w:eastAsiaTheme="minorEastAsia" w:hAnsiTheme="minorEastAsia"/>
          <w:szCs w:val="21"/>
        </w:rPr>
      </w:pPr>
    </w:p>
    <w:p w:rsidR="002F5370" w:rsidRPr="0001503D"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3" w:name="_Toc38432422"/>
      <w:bookmarkStart w:id="4" w:name="_Toc238870159"/>
      <w:bookmarkStart w:id="5" w:name="_Toc28803518"/>
      <w:r w:rsidRPr="0001503D">
        <w:rPr>
          <w:rFonts w:asciiTheme="minorEastAsia" w:eastAsiaTheme="minorEastAsia" w:hAnsiTheme="minorEastAsia" w:hint="eastAsia"/>
          <w:szCs w:val="32"/>
        </w:rPr>
        <w:lastRenderedPageBreak/>
        <w:t>二、释义</w:t>
      </w:r>
      <w:bookmarkEnd w:id="3"/>
      <w:bookmarkEnd w:id="4"/>
      <w:bookmarkEnd w:id="5"/>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本《招募说明书》中除非文意另有所指</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下列词语有如下含义：</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基金或本基金：指</w:t>
      </w:r>
      <w:r w:rsidRPr="0001503D">
        <w:rPr>
          <w:rFonts w:asciiTheme="minorEastAsia" w:eastAsiaTheme="minorEastAsia" w:hAnsiTheme="minorEastAsia"/>
          <w:szCs w:val="21"/>
        </w:rPr>
        <w:t>易方达消费行业股票型</w:t>
      </w:r>
      <w:r w:rsidRPr="0001503D">
        <w:rPr>
          <w:rFonts w:asciiTheme="minorEastAsia" w:eastAsiaTheme="minorEastAsia" w:hAnsiTheme="minorEastAsia" w:hint="eastAsia"/>
          <w:szCs w:val="21"/>
        </w:rPr>
        <w:t>证券投资基金</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基金管理人或本基金管理人：指</w:t>
      </w:r>
      <w:r w:rsidRPr="0001503D">
        <w:rPr>
          <w:rFonts w:asciiTheme="minorEastAsia" w:eastAsiaTheme="minorEastAsia" w:hAnsiTheme="minorEastAsia"/>
          <w:szCs w:val="21"/>
        </w:rPr>
        <w:t>易方达</w:t>
      </w:r>
      <w:r w:rsidRPr="0001503D">
        <w:rPr>
          <w:rFonts w:asciiTheme="minorEastAsia" w:eastAsiaTheme="minorEastAsia" w:hAnsiTheme="minorEastAsia" w:hint="eastAsia"/>
          <w:szCs w:val="21"/>
        </w:rPr>
        <w:t>基金管理有限公司</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基金托管人或本基金托管人：指中国农业银行股份有限公司</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基金合同：指《</w:t>
      </w:r>
      <w:r w:rsidRPr="0001503D">
        <w:rPr>
          <w:rFonts w:asciiTheme="minorEastAsia" w:eastAsiaTheme="minorEastAsia" w:hAnsiTheme="minorEastAsia"/>
          <w:szCs w:val="21"/>
        </w:rPr>
        <w:t>易方达消费行业股票型</w:t>
      </w:r>
      <w:r w:rsidRPr="0001503D">
        <w:rPr>
          <w:rFonts w:asciiTheme="minorEastAsia" w:eastAsiaTheme="minorEastAsia" w:hAnsiTheme="minorEastAsia" w:hint="eastAsia"/>
          <w:szCs w:val="21"/>
        </w:rPr>
        <w:t>证券投资基金基金合同》及对基金合同的任何有效修订和补充</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托管协议：指基金管理人与基金托管人就本基金签订之《</w:t>
      </w:r>
      <w:r w:rsidRPr="0001503D">
        <w:rPr>
          <w:rFonts w:asciiTheme="minorEastAsia" w:eastAsiaTheme="minorEastAsia" w:hAnsiTheme="minorEastAsia"/>
          <w:szCs w:val="21"/>
        </w:rPr>
        <w:t>易方达消费行业股票型</w:t>
      </w:r>
      <w:r w:rsidRPr="0001503D">
        <w:rPr>
          <w:rFonts w:asciiTheme="minorEastAsia" w:eastAsiaTheme="minorEastAsia" w:hAnsiTheme="minorEastAsia" w:hint="eastAsia"/>
          <w:szCs w:val="21"/>
        </w:rPr>
        <w:t>证券投资基金托管协议》及对该托管协议的任何有效修订和补充</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招募说明书：指《</w:t>
      </w:r>
      <w:r w:rsidRPr="0001503D">
        <w:rPr>
          <w:rFonts w:asciiTheme="minorEastAsia" w:eastAsiaTheme="minorEastAsia" w:hAnsiTheme="minorEastAsia"/>
          <w:szCs w:val="21"/>
        </w:rPr>
        <w:t>易方达消费行业股票型</w:t>
      </w:r>
      <w:r w:rsidRPr="0001503D">
        <w:rPr>
          <w:rFonts w:asciiTheme="minorEastAsia" w:eastAsiaTheme="minorEastAsia" w:hAnsiTheme="minorEastAsia" w:hint="eastAsia"/>
          <w:szCs w:val="21"/>
        </w:rPr>
        <w:t>证券投资基金招募说明书》，及其更新</w:t>
      </w:r>
    </w:p>
    <w:p w:rsidR="00421A46" w:rsidRPr="0001503D" w:rsidRDefault="00421A46"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基金产品资料概要：指《易方达消费行业股票型证券投资基金基金产品资料概要》及其更新</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发售公告：指《</w:t>
      </w:r>
      <w:r w:rsidRPr="0001503D">
        <w:rPr>
          <w:rFonts w:asciiTheme="minorEastAsia" w:eastAsiaTheme="minorEastAsia" w:hAnsiTheme="minorEastAsia"/>
          <w:szCs w:val="21"/>
        </w:rPr>
        <w:t>易方达消费行业股票型</w:t>
      </w:r>
      <w:r w:rsidRPr="0001503D">
        <w:rPr>
          <w:rFonts w:asciiTheme="minorEastAsia" w:eastAsiaTheme="minorEastAsia" w:hAnsiTheme="minorEastAsia" w:hint="eastAsia"/>
          <w:szCs w:val="21"/>
        </w:rPr>
        <w:t>证券投资基金份额发售公告》</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法律法规：指中国现行有效并公布实施的法律、行政法规、司法解释、部门规章、地方性法规、地方政府规章及其他对基金合同当事人有约束力的规范性文件及对该等法律法规不时作出的修订</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《基金法》：指</w:t>
      </w:r>
      <w:r w:rsidRPr="0001503D">
        <w:rPr>
          <w:rFonts w:asciiTheme="minorEastAsia" w:eastAsiaTheme="minorEastAsia" w:hAnsiTheme="minorEastAsia"/>
          <w:szCs w:val="21"/>
        </w:rPr>
        <w:t>2003</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28</w:t>
      </w:r>
      <w:r w:rsidRPr="0001503D">
        <w:rPr>
          <w:rFonts w:asciiTheme="minorEastAsia" w:eastAsiaTheme="minorEastAsia" w:hAnsiTheme="minorEastAsia" w:hint="eastAsia"/>
          <w:szCs w:val="21"/>
        </w:rPr>
        <w:t>日经第十届全国人民代表大会常务委员会第五次会议通过，自</w:t>
      </w:r>
      <w:r w:rsidRPr="0001503D">
        <w:rPr>
          <w:rFonts w:asciiTheme="minorEastAsia" w:eastAsiaTheme="minorEastAsia" w:hAnsiTheme="minorEastAsia"/>
          <w:szCs w:val="21"/>
        </w:rPr>
        <w:t>2004</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日起实施的《中华人民共和国证券投资基金法》及颁布机关对其不时作出的修订</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《销售办法》：</w:t>
      </w:r>
      <w:r w:rsidR="00E50DA7" w:rsidRPr="0001503D">
        <w:rPr>
          <w:rFonts w:asciiTheme="minorEastAsia" w:eastAsiaTheme="minorEastAsia" w:hAnsiTheme="minorEastAsia" w:hint="eastAsia"/>
          <w:szCs w:val="21"/>
        </w:rPr>
        <w:t>指中国证监会2004年6月25日颁布、同年7月1日实施的《证券投资基金销售管理办法》及对其不时作出的修订</w:t>
      </w:r>
    </w:p>
    <w:p w:rsidR="002F5370" w:rsidRPr="0001503D" w:rsidRDefault="002F5370"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《信息披露办法》：</w:t>
      </w:r>
      <w:r w:rsidR="00421A46" w:rsidRPr="0001503D">
        <w:rPr>
          <w:rFonts w:asciiTheme="minorEastAsia" w:eastAsiaTheme="minorEastAsia" w:hAnsiTheme="minorEastAsia" w:hint="eastAsia"/>
          <w:szCs w:val="21"/>
        </w:rPr>
        <w:t>指中国证监会2019年7月26颁布、同年9月1日实施的《公开募集证券投资基金信息披露管理办法》及及颁布机关对其不时作出的修订</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《运作办法》：指中国证监会</w:t>
      </w:r>
      <w:r w:rsidRPr="0001503D">
        <w:rPr>
          <w:rFonts w:asciiTheme="minorEastAsia" w:eastAsiaTheme="minorEastAsia" w:hAnsiTheme="minorEastAsia"/>
          <w:szCs w:val="21"/>
        </w:rPr>
        <w:t>2004</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29</w:t>
      </w:r>
      <w:r w:rsidRPr="0001503D">
        <w:rPr>
          <w:rFonts w:asciiTheme="minorEastAsia" w:eastAsiaTheme="minorEastAsia" w:hAnsiTheme="minorEastAsia" w:hint="eastAsia"/>
          <w:szCs w:val="21"/>
        </w:rPr>
        <w:t>日颁布、同年</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日实施的《证券投资基金运作管理办法》及对其不时作出的修订</w:t>
      </w:r>
    </w:p>
    <w:p w:rsidR="00F86F9B" w:rsidRPr="0001503D" w:rsidRDefault="00F86F9B"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《管理规定》：指中国证监会</w:t>
      </w:r>
      <w:r w:rsidRPr="0001503D">
        <w:rPr>
          <w:rFonts w:asciiTheme="minorEastAsia" w:eastAsiaTheme="minorEastAsia" w:hAnsiTheme="minorEastAsia"/>
          <w:szCs w:val="21"/>
        </w:rPr>
        <w:t>2017</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31</w:t>
      </w:r>
      <w:r w:rsidRPr="0001503D">
        <w:rPr>
          <w:rFonts w:asciiTheme="minorEastAsia" w:eastAsiaTheme="minorEastAsia" w:hAnsiTheme="minorEastAsia" w:hint="eastAsia"/>
          <w:szCs w:val="21"/>
        </w:rPr>
        <w:t>日颁布、同年</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日实施的《公开募集开放式证券投资基金流动性风险管理规定》及颁布机关对其不时做出的修订</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中国：指中华人民共和国，就基金合同而言，不包括香港特别行政区、澳门特别行政区和台湾地区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中国证监会：指中国证券监督管理委员会</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银行业监督管理机构：指</w:t>
      </w:r>
      <w:r w:rsidR="00695DA6" w:rsidRPr="0001503D">
        <w:rPr>
          <w:rStyle w:val="da"/>
          <w:rFonts w:asciiTheme="minorEastAsia" w:eastAsiaTheme="minorEastAsia" w:hAnsiTheme="minorEastAsia" w:hint="eastAsia"/>
        </w:rPr>
        <w:t>中国银行保险监督管理委员会</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基金合同当事人：指受基金合同约束，根据基金合同享有权利并承担义务的法律主体，包括基金管理人、基金托管人和基金份额持有人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个人投资者：指符合法律法规规定的条件可以投资证券投资基金的自然人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机构投资者：指符合法律法规规定可以投资证券投资基金的在中华人民共和国注册登记或经政府有关部门批准设立的机构</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合格境外机构投资者：指符合《合格境外机构投资者境内证券投资管理办法》及其他相关法律法规</w:t>
      </w:r>
      <w:r w:rsidRPr="0001503D">
        <w:rPr>
          <w:rFonts w:asciiTheme="minorEastAsia" w:eastAsiaTheme="minorEastAsia" w:hAnsiTheme="minorEastAsia"/>
          <w:szCs w:val="21"/>
        </w:rPr>
        <w:t>规定的条件，经中国证监会批准</w:t>
      </w:r>
      <w:r w:rsidRPr="0001503D">
        <w:rPr>
          <w:rFonts w:asciiTheme="minorEastAsia" w:eastAsiaTheme="minorEastAsia" w:hAnsiTheme="minorEastAsia" w:hint="eastAsia"/>
          <w:szCs w:val="21"/>
        </w:rPr>
        <w:t>可</w:t>
      </w:r>
      <w:r w:rsidRPr="0001503D">
        <w:rPr>
          <w:rFonts w:asciiTheme="minorEastAsia" w:eastAsiaTheme="minorEastAsia" w:hAnsiTheme="minorEastAsia"/>
          <w:szCs w:val="21"/>
        </w:rPr>
        <w:t>投资于中国证券市场，并取得国家外汇管理局额度批准</w:t>
      </w:r>
      <w:r w:rsidRPr="0001503D">
        <w:rPr>
          <w:rFonts w:asciiTheme="minorEastAsia" w:eastAsiaTheme="minorEastAsia" w:hAnsiTheme="minorEastAsia" w:hint="eastAsia"/>
          <w:szCs w:val="21"/>
        </w:rPr>
        <w:t>的中国境外的机构投资者</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基金投资者：指个人投资者、机构投资者和合格境外机构投资者，以及法律法规或中国证监会允许购买证券投资基金的其他投资者</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基金份额持有人：指依招募说明书和基金合同合法取得基金份额的基金投资者</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基金销售业务：指基金的宣传推介、认购、申购、赎回、转换、非交易过户、转托管及定期定额投资等业务</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销售机构：指直销机构和</w:t>
      </w:r>
      <w:r w:rsidR="00C512E8" w:rsidRPr="0001503D">
        <w:rPr>
          <w:rFonts w:asciiTheme="minorEastAsia" w:eastAsiaTheme="minorEastAsia" w:hAnsiTheme="minorEastAsia" w:hint="eastAsia"/>
          <w:szCs w:val="21"/>
        </w:rPr>
        <w:t>非直销销售</w:t>
      </w:r>
      <w:r w:rsidRPr="0001503D">
        <w:rPr>
          <w:rFonts w:asciiTheme="minorEastAsia" w:eastAsiaTheme="minorEastAsia" w:hAnsiTheme="minorEastAsia" w:hint="eastAsia"/>
          <w:szCs w:val="21"/>
        </w:rPr>
        <w:t>机构</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直销机构：指</w:t>
      </w:r>
      <w:r w:rsidRPr="0001503D">
        <w:rPr>
          <w:rFonts w:asciiTheme="minorEastAsia" w:eastAsiaTheme="minorEastAsia" w:hAnsiTheme="minorEastAsia"/>
          <w:szCs w:val="21"/>
        </w:rPr>
        <w:t>易方达</w:t>
      </w:r>
      <w:r w:rsidRPr="0001503D">
        <w:rPr>
          <w:rFonts w:asciiTheme="minorEastAsia" w:eastAsiaTheme="minorEastAsia" w:hAnsiTheme="minorEastAsia" w:hint="eastAsia"/>
          <w:szCs w:val="21"/>
        </w:rPr>
        <w:t>基金管理有限公司</w:t>
      </w:r>
    </w:p>
    <w:p w:rsidR="002F5370" w:rsidRPr="0001503D" w:rsidRDefault="00C512E8"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非直销销售机构</w:t>
      </w:r>
      <w:r w:rsidR="002F5370"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指符合《销售办法》和中国证监会规定的其他条件，取得基金销售业务资格并</w:t>
      </w:r>
      <w:r w:rsidR="00D2333A" w:rsidRPr="0001503D">
        <w:rPr>
          <w:rFonts w:asciiTheme="minorEastAsia" w:eastAsiaTheme="minorEastAsia" w:hAnsiTheme="minorEastAsia" w:hint="eastAsia"/>
          <w:szCs w:val="21"/>
        </w:rPr>
        <w:t>与基金管理人签订了基金销售服务协议</w:t>
      </w:r>
      <w:r w:rsidRPr="0001503D">
        <w:rPr>
          <w:rFonts w:asciiTheme="minorEastAsia" w:eastAsiaTheme="minorEastAsia" w:hAnsiTheme="minorEastAsia" w:hint="eastAsia"/>
          <w:szCs w:val="21"/>
        </w:rPr>
        <w:t>，办理基金销售业务的机构；</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基金销售网点：指直销机构的直销</w:t>
      </w:r>
      <w:r w:rsidR="0030725A" w:rsidRPr="0001503D">
        <w:rPr>
          <w:rFonts w:asciiTheme="minorEastAsia" w:eastAsiaTheme="minorEastAsia" w:hAnsiTheme="minorEastAsia" w:hint="eastAsia"/>
          <w:szCs w:val="21"/>
        </w:rPr>
        <w:t>网点</w:t>
      </w:r>
      <w:r w:rsidRPr="0001503D">
        <w:rPr>
          <w:rFonts w:asciiTheme="minorEastAsia" w:eastAsiaTheme="minorEastAsia" w:hAnsiTheme="minorEastAsia" w:hint="eastAsia"/>
          <w:szCs w:val="21"/>
        </w:rPr>
        <w:t>及</w:t>
      </w:r>
      <w:r w:rsidR="00C512E8" w:rsidRPr="0001503D">
        <w:rPr>
          <w:rFonts w:asciiTheme="minorEastAsia" w:eastAsiaTheme="minorEastAsia" w:hAnsiTheme="minorEastAsia" w:hint="eastAsia"/>
          <w:szCs w:val="21"/>
        </w:rPr>
        <w:t>非直销销售机构的销售网点；</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注册登记业务：指基金登记、存管、过户、清算和结算业务，具体内容包括基金投资者基金账户的建立和管理、基金份额注册登记、基金销售业务的确认、清算和结算、代理发放红利、建立并保管基金份额持有人名册等</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注册登记机构：指办理注册登记业务的机构。基金的注册登记机构为</w:t>
      </w:r>
      <w:r w:rsidRPr="0001503D">
        <w:rPr>
          <w:rFonts w:asciiTheme="minorEastAsia" w:eastAsiaTheme="minorEastAsia" w:hAnsiTheme="minorEastAsia"/>
          <w:szCs w:val="21"/>
        </w:rPr>
        <w:t>易方达</w:t>
      </w:r>
      <w:r w:rsidRPr="0001503D">
        <w:rPr>
          <w:rFonts w:asciiTheme="minorEastAsia" w:eastAsiaTheme="minorEastAsia" w:hAnsiTheme="minorEastAsia" w:hint="eastAsia"/>
          <w:szCs w:val="21"/>
        </w:rPr>
        <w:t>基金管理有限公司或接受</w:t>
      </w:r>
      <w:r w:rsidRPr="0001503D">
        <w:rPr>
          <w:rFonts w:asciiTheme="minorEastAsia" w:eastAsiaTheme="minorEastAsia" w:hAnsiTheme="minorEastAsia"/>
          <w:szCs w:val="21"/>
        </w:rPr>
        <w:t>易方达</w:t>
      </w:r>
      <w:r w:rsidRPr="0001503D">
        <w:rPr>
          <w:rFonts w:asciiTheme="minorEastAsia" w:eastAsiaTheme="minorEastAsia" w:hAnsiTheme="minorEastAsia" w:hint="eastAsia"/>
          <w:szCs w:val="21"/>
        </w:rPr>
        <w:t>基金管理有限公司委托代为办理注册登记业务的机构</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基金账户：指注册登记机构为基金投资者开立的、记录其持有的、基金管理人所管理的基金份额余额及其变动情况的账户</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基金交易账户：指销售机构为基金投资者开立的、记录基金投资者通过该销售机构办理交易</w:t>
      </w:r>
      <w:r w:rsidRPr="0001503D">
        <w:rPr>
          <w:rFonts w:asciiTheme="minorEastAsia" w:eastAsiaTheme="minorEastAsia" w:hAnsiTheme="minorEastAsia"/>
          <w:szCs w:val="21"/>
        </w:rPr>
        <w:t>业务</w:t>
      </w:r>
      <w:r w:rsidRPr="0001503D">
        <w:rPr>
          <w:rFonts w:asciiTheme="minorEastAsia" w:eastAsiaTheme="minorEastAsia" w:hAnsiTheme="minorEastAsia" w:hint="eastAsia"/>
          <w:szCs w:val="21"/>
        </w:rPr>
        <w:t>而引起的基金份额的变动及结余情况的账户</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基金合同生效日：指基金募集期结束后达到法律法规规定及基金合同约定的备案条件，基金管理人向中国证监会办理基金备案手续完毕，并收到其书面确认的日期</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基金合同终止日：指基金合同规定的基金合同终止事由出现后，按照基金合同规定的程序终止基金合同的日期</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基金募集期限：指自基金份额发售之日起至发售结束之日止的期间，最长不得超过</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个月</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存续期：指基金合同生效至终止之间的不定期期限</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工作日：指上海证券交易所、深圳证券交易所的正常交易日</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日/天：指公历日</w:t>
      </w:r>
      <w:r w:rsidRPr="0001503D">
        <w:rPr>
          <w:rFonts w:asciiTheme="minorEastAsia" w:eastAsiaTheme="minorEastAsia" w:hAnsiTheme="minorEastAsia"/>
          <w:szCs w:val="21"/>
        </w:rPr>
        <w:tab/>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月：指公历月</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szCs w:val="21"/>
        </w:rPr>
        <w:t>T</w:t>
      </w:r>
      <w:r w:rsidRPr="0001503D">
        <w:rPr>
          <w:rFonts w:asciiTheme="minorEastAsia" w:eastAsiaTheme="minorEastAsia" w:hAnsiTheme="minorEastAsia" w:hint="eastAsia"/>
          <w:szCs w:val="21"/>
        </w:rPr>
        <w:t>日：指销售机构在规定时间受理基金投资者有效申请工作日</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szCs w:val="21"/>
        </w:rPr>
        <w:t>T+n</w:t>
      </w:r>
      <w:r w:rsidRPr="0001503D">
        <w:rPr>
          <w:rFonts w:asciiTheme="minorEastAsia" w:eastAsiaTheme="minorEastAsia" w:hAnsiTheme="minorEastAsia" w:hint="eastAsia"/>
          <w:szCs w:val="21"/>
        </w:rPr>
        <w:t>日：指自</w:t>
      </w:r>
      <w:r w:rsidRPr="0001503D">
        <w:rPr>
          <w:rFonts w:asciiTheme="minorEastAsia" w:eastAsiaTheme="minorEastAsia" w:hAnsiTheme="minorEastAsia"/>
          <w:szCs w:val="21"/>
        </w:rPr>
        <w:t>T</w:t>
      </w:r>
      <w:r w:rsidRPr="0001503D">
        <w:rPr>
          <w:rFonts w:asciiTheme="minorEastAsia" w:eastAsiaTheme="minorEastAsia" w:hAnsiTheme="minorEastAsia" w:hint="eastAsia"/>
          <w:szCs w:val="21"/>
        </w:rPr>
        <w:t>日起第</w:t>
      </w:r>
      <w:r w:rsidRPr="0001503D">
        <w:rPr>
          <w:rFonts w:asciiTheme="minorEastAsia" w:eastAsiaTheme="minorEastAsia" w:hAnsiTheme="minorEastAsia"/>
          <w:szCs w:val="21"/>
        </w:rPr>
        <w:t>n</w:t>
      </w:r>
      <w:r w:rsidRPr="0001503D">
        <w:rPr>
          <w:rFonts w:asciiTheme="minorEastAsia" w:eastAsiaTheme="minorEastAsia" w:hAnsiTheme="minorEastAsia" w:hint="eastAsia"/>
          <w:szCs w:val="21"/>
        </w:rPr>
        <w:t>个工作日</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不包含</w:t>
      </w:r>
      <w:r w:rsidRPr="0001503D">
        <w:rPr>
          <w:rFonts w:asciiTheme="minorEastAsia" w:eastAsiaTheme="minorEastAsia" w:hAnsiTheme="minorEastAsia"/>
          <w:szCs w:val="21"/>
        </w:rPr>
        <w:t>T</w:t>
      </w:r>
      <w:r w:rsidRPr="0001503D">
        <w:rPr>
          <w:rFonts w:asciiTheme="minorEastAsia" w:eastAsiaTheme="minorEastAsia" w:hAnsiTheme="minorEastAsia" w:hint="eastAsia"/>
          <w:szCs w:val="21"/>
        </w:rPr>
        <w:t>日</w:t>
      </w:r>
      <w:r w:rsidRPr="0001503D">
        <w:rPr>
          <w:rFonts w:asciiTheme="minorEastAsia" w:eastAsiaTheme="minorEastAsia" w:hAnsiTheme="minorEastAsia"/>
          <w:szCs w:val="21"/>
        </w:rPr>
        <w:t>)</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开放日：指为基金投资者办理基金份额申购、赎回或其他业务的工作日</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交易时间：指开放日基金接受申购、赎回或其他交易的时间段</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认购：指在基金募集期间，基金投资者申请购买基金份额的行为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申购：指在基金存续期内，基金投资者申请购买基金份额的行为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赎回：指在基金存续期内基金份额持有人按基金合同规定的条件要求卖出基金份额的行为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基金转换：指基金份额持有人按照基金合同和基金管理人届时的公告在本基金份额与基金管理人管理的其他基金份额间的转换行为</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转托管：指基金份额持有人在本基金的不同销售机构之间实施变更所持基金份额销售机构的操作</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巨额赎回：本基金单个开放日，基金净赎回申请</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超过上一日基金总份额的</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的情形</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元：指人民币元</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基金利润：指基金利息收入、投资收益、公允价值变动收益和其他收入扣除相关费用后的余额</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基金资产总值：指基金拥有的各类有价证券、银行存款本息、基金应收申购款及其他资产的价值总和</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基金资产净值：指基金资产总值减去基金负债后的净资产值</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基金份额净值：指计算日基金资产净值除以计算日基金份额总数的数值</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基金资产估值：指计算评估基金资产和负债的价值，以确定基金资产净值和基金份额净值的过程</w:t>
      </w:r>
    </w:p>
    <w:p w:rsidR="002F5370" w:rsidRPr="0001503D" w:rsidRDefault="00421A46"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指定媒介：指中国证监会指定的用以进行信息披露的全国性报刊及指定互联网网站（包括基金管理人网站、基金托管人网站、中国证监会基金电子披露网站）等媒介</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《业务规则》：</w:t>
      </w:r>
      <w:r w:rsidRPr="0001503D">
        <w:rPr>
          <w:rFonts w:asciiTheme="minorEastAsia" w:eastAsiaTheme="minorEastAsia" w:hAnsiTheme="minorEastAsia"/>
          <w:szCs w:val="21"/>
        </w:rPr>
        <w:t>指《</w:t>
      </w:r>
      <w:r w:rsidRPr="0001503D">
        <w:rPr>
          <w:rFonts w:asciiTheme="minorEastAsia" w:eastAsiaTheme="minorEastAsia" w:hAnsiTheme="minorEastAsia" w:hint="eastAsia"/>
          <w:szCs w:val="21"/>
        </w:rPr>
        <w:t>易方达</w:t>
      </w:r>
      <w:r w:rsidRPr="0001503D">
        <w:rPr>
          <w:rFonts w:asciiTheme="minorEastAsia" w:eastAsiaTheme="minorEastAsia" w:hAnsiTheme="minorEastAsia"/>
          <w:szCs w:val="21"/>
        </w:rPr>
        <w:t>基金管理有限公司开放式基金业务规则》，是规范基金管理人所管理的开放式证券投资基金注册登记方面的业务规则，由基金管理人和</w:t>
      </w:r>
      <w:r w:rsidRPr="0001503D">
        <w:rPr>
          <w:rFonts w:asciiTheme="minorEastAsia" w:eastAsiaTheme="minorEastAsia" w:hAnsiTheme="minorEastAsia" w:hint="eastAsia"/>
          <w:szCs w:val="21"/>
        </w:rPr>
        <w:t>基金</w:t>
      </w:r>
      <w:r w:rsidRPr="0001503D">
        <w:rPr>
          <w:rFonts w:asciiTheme="minorEastAsia" w:eastAsiaTheme="minorEastAsia" w:hAnsiTheme="minorEastAsia"/>
          <w:szCs w:val="21"/>
        </w:rPr>
        <w:t>投资</w:t>
      </w:r>
      <w:r w:rsidRPr="0001503D">
        <w:rPr>
          <w:rFonts w:asciiTheme="minorEastAsia" w:eastAsiaTheme="minorEastAsia" w:hAnsiTheme="minorEastAsia" w:hint="eastAsia"/>
          <w:szCs w:val="21"/>
        </w:rPr>
        <w:t>者</w:t>
      </w:r>
      <w:r w:rsidRPr="0001503D">
        <w:rPr>
          <w:rFonts w:asciiTheme="minorEastAsia" w:eastAsiaTheme="minorEastAsia" w:hAnsiTheme="minorEastAsia"/>
          <w:szCs w:val="21"/>
        </w:rPr>
        <w:t>共同遵守</w:t>
      </w:r>
    </w:p>
    <w:p w:rsidR="002F5370" w:rsidRPr="0001503D"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CA17BF" w:rsidRPr="0001503D" w:rsidRDefault="00CA17BF"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01503D">
        <w:rPr>
          <w:rFonts w:asciiTheme="minorEastAsia" w:eastAsiaTheme="minorEastAsia" w:hAnsiTheme="minorEastAsia" w:hint="eastAsia"/>
          <w:szCs w:val="21"/>
        </w:rPr>
        <w:t>流动性受限资产：指由于法律法规、监管、合同或操作障碍等原因无法以合理价格予以变现的资产，包括但不限于到期日在</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CA17BF" w:rsidRPr="0001503D" w:rsidRDefault="00CA17BF" w:rsidP="000B57E8">
      <w:pPr>
        <w:snapToGrid w:val="0"/>
        <w:spacing w:line="360" w:lineRule="auto"/>
        <w:ind w:firstLineChars="200" w:firstLine="420"/>
        <w:rPr>
          <w:rFonts w:asciiTheme="minorEastAsia" w:eastAsiaTheme="minorEastAsia" w:hAnsiTheme="minorEastAsia"/>
          <w:szCs w:val="21"/>
        </w:rPr>
      </w:pP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sectPr w:rsidR="002F5370" w:rsidRPr="0001503D" w:rsidSect="002F5370">
          <w:pgSz w:w="11907" w:h="16840" w:code="9"/>
          <w:pgMar w:top="1701" w:right="1814" w:bottom="1701" w:left="1814" w:header="851" w:footer="992" w:gutter="0"/>
          <w:pgNumType w:start="1"/>
          <w:cols w:space="425"/>
          <w:docGrid w:type="lines" w:linePitch="312"/>
        </w:sectPr>
      </w:pPr>
    </w:p>
    <w:p w:rsidR="002F5370" w:rsidRPr="0001503D"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6" w:name="_Toc238870160"/>
      <w:bookmarkStart w:id="7" w:name="_Toc28803519"/>
      <w:r w:rsidRPr="0001503D">
        <w:rPr>
          <w:rFonts w:asciiTheme="minorEastAsia" w:eastAsiaTheme="minorEastAsia" w:hAnsiTheme="minorEastAsia" w:hint="eastAsia"/>
          <w:szCs w:val="32"/>
        </w:rPr>
        <w:lastRenderedPageBreak/>
        <w:t>三、基金管理人</w:t>
      </w:r>
      <w:bookmarkEnd w:id="6"/>
      <w:bookmarkEnd w:id="7"/>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sz w:val="21"/>
        </w:rPr>
      </w:pPr>
      <w:bookmarkStart w:id="8" w:name="_Toc133292563"/>
      <w:bookmarkStart w:id="9" w:name="_Toc163189520"/>
      <w:bookmarkStart w:id="10" w:name="_Toc28803520"/>
      <w:r w:rsidRPr="0001503D">
        <w:rPr>
          <w:rFonts w:asciiTheme="minorEastAsia" w:eastAsiaTheme="minorEastAsia" w:hAnsiTheme="minorEastAsia" w:cs="仿宋_GB2312" w:hint="eastAsia"/>
          <w:b w:val="0"/>
          <w:bCs/>
          <w:kern w:val="0"/>
          <w:szCs w:val="24"/>
        </w:rPr>
        <w:t>（一）</w:t>
      </w:r>
      <w:r w:rsidRPr="0001503D">
        <w:rPr>
          <w:rFonts w:asciiTheme="minorEastAsia" w:eastAsiaTheme="minorEastAsia" w:hAnsiTheme="minorEastAsia" w:cs="仿宋_GB2312"/>
          <w:b w:val="0"/>
          <w:bCs/>
          <w:kern w:val="0"/>
          <w:szCs w:val="24"/>
        </w:rPr>
        <w:t>基金管理人</w:t>
      </w:r>
      <w:r w:rsidRPr="0001503D">
        <w:rPr>
          <w:rFonts w:asciiTheme="minorEastAsia" w:eastAsiaTheme="minorEastAsia" w:hAnsiTheme="minorEastAsia" w:cs="仿宋_GB2312" w:hint="eastAsia"/>
          <w:b w:val="0"/>
          <w:bCs/>
          <w:kern w:val="0"/>
          <w:szCs w:val="24"/>
        </w:rPr>
        <w:t>基本情况</w:t>
      </w:r>
      <w:bookmarkEnd w:id="8"/>
      <w:bookmarkEnd w:id="9"/>
      <w:bookmarkEnd w:id="10"/>
    </w:p>
    <w:p w:rsidR="00C74F2E" w:rsidRPr="0001503D" w:rsidRDefault="000B57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C74F2E" w:rsidRPr="0001503D">
        <w:rPr>
          <w:rFonts w:asciiTheme="minorEastAsia" w:eastAsiaTheme="minorEastAsia" w:hAnsiTheme="minorEastAsia" w:hint="eastAsia"/>
          <w:szCs w:val="21"/>
        </w:rPr>
        <w:t>基金管理人：易方达基金管理有限公司</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注册地址：</w:t>
      </w:r>
      <w:r w:rsidR="00066B61" w:rsidRPr="0001503D">
        <w:rPr>
          <w:rFonts w:asciiTheme="minorEastAsia" w:eastAsiaTheme="minorEastAsia" w:hAnsiTheme="minorEastAsia" w:hint="eastAsia"/>
          <w:szCs w:val="21"/>
        </w:rPr>
        <w:t>广东省珠海市横琴新区宝华路6号105室－42891（集中办公区）</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办公地址：广州市天河区珠江新城珠江东路30号广州银行大厦40-43楼</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设立日期：2001年4月17日</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法定代表人：</w:t>
      </w:r>
      <w:r w:rsidR="00D82DD2" w:rsidRPr="0001503D">
        <w:rPr>
          <w:rFonts w:asciiTheme="minorEastAsia" w:eastAsiaTheme="minorEastAsia" w:hAnsiTheme="minorEastAsia" w:hint="eastAsia"/>
          <w:szCs w:val="21"/>
        </w:rPr>
        <w:t>刘晓艳</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联系电话：4008818088</w:t>
      </w:r>
    </w:p>
    <w:p w:rsidR="00C74F2E" w:rsidRPr="0001503D" w:rsidRDefault="00C74F2E"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联系人：</w:t>
      </w:r>
      <w:r w:rsidR="000C03BE" w:rsidRPr="0001503D">
        <w:rPr>
          <w:rFonts w:asciiTheme="minorEastAsia" w:eastAsiaTheme="minorEastAsia" w:hAnsiTheme="minorEastAsia" w:hint="eastAsia"/>
          <w:szCs w:val="21"/>
        </w:rPr>
        <w:t>李红枫</w:t>
      </w:r>
    </w:p>
    <w:p w:rsidR="002F5370" w:rsidRPr="0001503D" w:rsidRDefault="00E53C46" w:rsidP="000B57E8">
      <w:pPr>
        <w:snapToGrid w:val="0"/>
        <w:spacing w:line="360" w:lineRule="auto"/>
        <w:ind w:firstLine="420"/>
        <w:rPr>
          <w:rFonts w:asciiTheme="minorEastAsia" w:eastAsiaTheme="minorEastAsia" w:hAnsiTheme="minorEastAsia" w:cs="仿宋_GB2312"/>
          <w:kern w:val="0"/>
        </w:rPr>
      </w:pPr>
      <w:r w:rsidRPr="0001503D">
        <w:rPr>
          <w:rFonts w:asciiTheme="minorEastAsia" w:eastAsiaTheme="minorEastAsia" w:hAnsiTheme="minorEastAsia" w:hint="eastAsia"/>
          <w:szCs w:val="21"/>
        </w:rPr>
        <w:t>注册资本：13,244.2万元人民币</w:t>
      </w:r>
    </w:p>
    <w:p w:rsidR="002F5370" w:rsidRPr="0001503D" w:rsidRDefault="000B57E8" w:rsidP="000B57E8">
      <w:pPr>
        <w:snapToGrid w:val="0"/>
        <w:spacing w:line="360" w:lineRule="auto"/>
        <w:ind w:firstLine="420"/>
        <w:rPr>
          <w:rFonts w:asciiTheme="minorEastAsia" w:eastAsiaTheme="minorEastAsia" w:hAnsiTheme="minorEastAsia" w:cs="仿宋_GB2312"/>
          <w:kern w:val="0"/>
        </w:rPr>
      </w:pPr>
      <w:r w:rsidRPr="0001503D">
        <w:rPr>
          <w:rFonts w:asciiTheme="minorEastAsia" w:eastAsiaTheme="minorEastAsia" w:hAnsiTheme="minorEastAsia" w:cs="仿宋_GB2312" w:hint="eastAsia"/>
          <w:kern w:val="0"/>
        </w:rPr>
        <w:t>2、</w:t>
      </w:r>
      <w:r w:rsidR="002F5370" w:rsidRPr="0001503D">
        <w:rPr>
          <w:rFonts w:asciiTheme="minorEastAsia" w:eastAsiaTheme="minorEastAsia" w:hAnsiTheme="minorEastAsia" w:cs="仿宋_GB2312" w:hint="eastAsia"/>
          <w:kern w:val="0"/>
        </w:rPr>
        <w:t>股权结构：</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837"/>
      </w:tblGrid>
      <w:tr w:rsidR="0001503D" w:rsidRPr="0001503D" w:rsidTr="00702E31">
        <w:trPr>
          <w:jc w:val="center"/>
        </w:trPr>
        <w:tc>
          <w:tcPr>
            <w:tcW w:w="4630" w:type="dxa"/>
            <w:vAlign w:val="center"/>
          </w:tcPr>
          <w:p w:rsidR="002F5370" w:rsidRPr="0001503D" w:rsidRDefault="002F5370"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hint="eastAsia"/>
              </w:rPr>
              <w:t>股东名称</w:t>
            </w:r>
          </w:p>
        </w:tc>
        <w:tc>
          <w:tcPr>
            <w:tcW w:w="1837" w:type="dxa"/>
            <w:vAlign w:val="center"/>
          </w:tcPr>
          <w:p w:rsidR="002F5370" w:rsidRPr="0001503D" w:rsidRDefault="002F5370"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hint="eastAsia"/>
              </w:rPr>
              <w:t>出资比例</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广东粤财信托有限公司</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22.6514％</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广发证券股份有限公司</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22.6514％</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盈峰控股集团有限公司</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22.6514％</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广东省广晟资产经营有限公司</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15.1010％</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广州市广永国有资产经营有限公司</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7.5505％</w:t>
            </w:r>
          </w:p>
        </w:tc>
      </w:tr>
      <w:tr w:rsidR="0001503D" w:rsidRPr="0001503D" w:rsidTr="00702E31">
        <w:trPr>
          <w:jc w:val="center"/>
        </w:trPr>
        <w:tc>
          <w:tcPr>
            <w:tcW w:w="4630" w:type="dxa"/>
            <w:vAlign w:val="center"/>
          </w:tcPr>
          <w:p w:rsidR="002F5370"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珠海祺荣宝股权投资合伙企业（有限合伙）</w:t>
            </w:r>
          </w:p>
        </w:tc>
        <w:tc>
          <w:tcPr>
            <w:tcW w:w="1837" w:type="dxa"/>
            <w:vAlign w:val="center"/>
          </w:tcPr>
          <w:p w:rsidR="002F5370"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1.5087％</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珠海祺泰宝股权投资合伙企业（有限合伙）</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1.6205％</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珠海祺丰宝股权投资合伙企业（有限合伙）</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1.5309％</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珠海聚莱康股权投资合伙企业（有限合伙）</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1.7558％</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珠海聚宁康股权投资合伙企业（有限合伙）</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1.4396％</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珠海聚弘康股权投资合伙企业（有限合伙）</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1.5388％</w:t>
            </w:r>
          </w:p>
        </w:tc>
      </w:tr>
      <w:tr w:rsidR="0001503D" w:rsidRPr="0001503D" w:rsidTr="00702E31">
        <w:trPr>
          <w:jc w:val="center"/>
        </w:trPr>
        <w:tc>
          <w:tcPr>
            <w:tcW w:w="4630" w:type="dxa"/>
            <w:vAlign w:val="center"/>
          </w:tcPr>
          <w:p w:rsidR="00E53C46" w:rsidRPr="0001503D" w:rsidRDefault="00E53C46"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总</w:t>
            </w:r>
            <w:r w:rsidRPr="0001503D">
              <w:rPr>
                <w:rFonts w:asciiTheme="minorEastAsia" w:eastAsiaTheme="minorEastAsia" w:hAnsiTheme="minorEastAsia"/>
              </w:rPr>
              <w:t>计</w:t>
            </w:r>
          </w:p>
        </w:tc>
        <w:tc>
          <w:tcPr>
            <w:tcW w:w="1837" w:type="dxa"/>
            <w:vAlign w:val="center"/>
          </w:tcPr>
          <w:p w:rsidR="00E53C46" w:rsidRPr="0001503D" w:rsidRDefault="00E53C46" w:rsidP="000B57E8">
            <w:pPr>
              <w:snapToGrid w:val="0"/>
              <w:spacing w:line="360" w:lineRule="auto"/>
              <w:ind w:firstLine="420"/>
              <w:jc w:val="center"/>
              <w:rPr>
                <w:rFonts w:asciiTheme="minorEastAsia" w:eastAsiaTheme="minorEastAsia" w:hAnsiTheme="minorEastAsia"/>
              </w:rPr>
            </w:pPr>
            <w:r w:rsidRPr="0001503D">
              <w:rPr>
                <w:rFonts w:asciiTheme="minorEastAsia" w:eastAsiaTheme="minorEastAsia" w:hAnsiTheme="minorEastAsia"/>
              </w:rPr>
              <w:t>100％</w:t>
            </w:r>
          </w:p>
        </w:tc>
      </w:tr>
    </w:tbl>
    <w:p w:rsidR="002F5370" w:rsidRPr="0001503D" w:rsidRDefault="002F5370" w:rsidP="000B57E8">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11" w:name="_Toc133292564"/>
      <w:bookmarkStart w:id="12" w:name="_Toc163189521"/>
      <w:bookmarkStart w:id="13" w:name="_Toc28803521"/>
      <w:r w:rsidRPr="0001503D">
        <w:rPr>
          <w:rFonts w:asciiTheme="minorEastAsia" w:eastAsiaTheme="minorEastAsia" w:hAnsiTheme="minorEastAsia" w:hint="eastAsia"/>
          <w:b w:val="0"/>
          <w:bCs/>
          <w:szCs w:val="21"/>
        </w:rPr>
        <w:t>（二）</w:t>
      </w:r>
      <w:r w:rsidRPr="0001503D">
        <w:rPr>
          <w:rFonts w:asciiTheme="minorEastAsia" w:eastAsiaTheme="minorEastAsia" w:hAnsiTheme="minorEastAsia"/>
          <w:b w:val="0"/>
          <w:bCs/>
          <w:szCs w:val="21"/>
        </w:rPr>
        <w:t>主要人员情况</w:t>
      </w:r>
      <w:bookmarkEnd w:id="11"/>
      <w:bookmarkEnd w:id="12"/>
      <w:bookmarkEnd w:id="13"/>
    </w:p>
    <w:p w:rsidR="002F5370" w:rsidRPr="0001503D" w:rsidRDefault="000B57E8" w:rsidP="000B57E8">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bCs/>
          <w:sz w:val="21"/>
          <w:szCs w:val="21"/>
        </w:rPr>
      </w:pPr>
      <w:r w:rsidRPr="0001503D">
        <w:rPr>
          <w:rFonts w:asciiTheme="minorEastAsia" w:eastAsiaTheme="minorEastAsia" w:hAnsiTheme="minorEastAsia" w:cs="仿宋_GB2312"/>
          <w:bCs/>
          <w:kern w:val="0"/>
          <w:sz w:val="21"/>
          <w:szCs w:val="21"/>
        </w:rPr>
        <w:t>1、</w:t>
      </w:r>
      <w:r w:rsidR="002F5370" w:rsidRPr="0001503D">
        <w:rPr>
          <w:rFonts w:asciiTheme="minorEastAsia" w:eastAsiaTheme="minorEastAsia" w:hAnsiTheme="minorEastAsia" w:cs="仿宋_GB2312" w:hint="eastAsia"/>
          <w:bCs/>
          <w:kern w:val="0"/>
          <w:sz w:val="21"/>
          <w:szCs w:val="21"/>
        </w:rPr>
        <w:t>董事、监事及高级管理人员</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w:t>
      </w:r>
      <w:r w:rsidRPr="0001503D">
        <w:rPr>
          <w:rFonts w:asciiTheme="minorEastAsia" w:eastAsiaTheme="minorEastAsia" w:hAnsiTheme="minorEastAsia" w:cs="仿宋_GB2312" w:hint="eastAsia"/>
        </w:rPr>
        <w:lastRenderedPageBreak/>
        <w:t>境外投资部主任、投资部主任、证券投资部主任。现任易方达基金管理有限公司董事长，易方达国际控股有限公司董事长。</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lastRenderedPageBreak/>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w:t>
      </w:r>
      <w:r w:rsidRPr="0001503D">
        <w:rPr>
          <w:rFonts w:asciiTheme="minorEastAsia" w:eastAsiaTheme="minorEastAsia" w:hAnsiTheme="minorEastAsia" w:cs="仿宋_GB2312" w:hint="eastAsia"/>
        </w:rPr>
        <w:lastRenderedPageBreak/>
        <w:t>理股份有限公司总经理。现任易方达基金管理有限公司监事，广州市广永国有资产经营有限公司董事长，广州广永股权投资基金管理有限公司董事长，广州广永投资管理有限公司董事长、总经理。</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w:t>
      </w:r>
      <w:r w:rsidRPr="0001503D">
        <w:rPr>
          <w:rFonts w:asciiTheme="minorEastAsia" w:eastAsiaTheme="minorEastAsia" w:hAnsiTheme="minorEastAsia" w:cs="仿宋_GB2312" w:hint="eastAsia"/>
        </w:rPr>
        <w:lastRenderedPageBreak/>
        <w:t>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张南女士，经济学博士，督察长。曾任广东省经济贸易委员会主任科员、副处长，易方达基金管理有限公司市场拓展部副总经理、监察部总经理。现任易方达基金管理有限公司督察长。</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w:t>
      </w:r>
      <w:r w:rsidRPr="0001503D">
        <w:rPr>
          <w:rFonts w:asciiTheme="minorEastAsia" w:eastAsiaTheme="minorEastAsia" w:hAnsiTheme="minorEastAsia" w:cs="仿宋_GB2312" w:hint="eastAsia"/>
        </w:rPr>
        <w:lastRenderedPageBreak/>
        <w:t>任。现任易方达基金管理有限公司副总经理级高级管理人员，易方达资产管理（香港）有限公司董事，易方达资产管理有限公司监事，易方达海外投资（深圳）有限公司监事。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744A94"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8E7039" w:rsidRPr="0001503D" w:rsidRDefault="00744A94" w:rsidP="0001503D">
      <w:pPr>
        <w:spacing w:line="360" w:lineRule="auto"/>
        <w:ind w:firstLine="420"/>
        <w:rPr>
          <w:rFonts w:asciiTheme="minorEastAsia" w:eastAsiaTheme="minorEastAsia" w:hAnsiTheme="minorEastAsia" w:cs="仿宋_GB2312"/>
        </w:rPr>
      </w:pPr>
      <w:r w:rsidRPr="0001503D">
        <w:rPr>
          <w:rFonts w:asciiTheme="minorEastAsia" w:eastAsiaTheme="minorEastAsia" w:hAnsiTheme="minorEastAsia" w:cs="仿宋_GB2312"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7D2DC1" w:rsidRDefault="007D2DC1" w:rsidP="007D2DC1">
      <w:pPr>
        <w:spacing w:line="360" w:lineRule="auto"/>
        <w:ind w:firstLine="420"/>
        <w:rPr>
          <w:rFonts w:asciiTheme="minorEastAsia" w:eastAsiaTheme="minorEastAsia" w:hAnsiTheme="minorEastAsia" w:cs="仿宋_GB2312"/>
        </w:rPr>
      </w:pPr>
      <w:bookmarkStart w:id="14" w:name="_Toc133292565"/>
      <w:bookmarkStart w:id="15" w:name="_Toc163189522"/>
      <w:r>
        <w:rPr>
          <w:rFonts w:asciiTheme="minorEastAsia" w:eastAsiaTheme="minorEastAsia" w:hAnsiTheme="minorEastAsia" w:cs="仿宋_GB2312" w:hint="eastAsia"/>
        </w:rPr>
        <w:t>2、基金经理</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萧楠先生，经济学硕士。曾任易方达基金管理有限公司行业研究员、基金经理助理、投资经理、易方达裕如灵活配置混合型证券投资基金基金经理（自2015年3月24日至2016年8月5日）、易方达新享灵活配置混合型证券投资基金基金经理（自2015年5月29日至2016年8月5日）、易方达瑞和灵活配置混合型证券投资基金基金经理（自2018年2月2</w:t>
      </w:r>
      <w:r>
        <w:rPr>
          <w:rFonts w:asciiTheme="minorEastAsia" w:eastAsiaTheme="minorEastAsia" w:hAnsiTheme="minorEastAsia" w:cs="仿宋_GB2312" w:hint="eastAsia"/>
        </w:rPr>
        <w:lastRenderedPageBreak/>
        <w:t>日至2019年3月22日）、易方达现代服务业灵活配置混合型证券投资基金基金经理（自2017年11月22日至2020年6月5日）、易方达价值成长混合型证券投资基金基金经理助理。现任易方达基金管理有限公司投资三部总经理、研究部副总经理、易方达消费行业股票型证券投资基金基金经理（自2012年9月28日起任职）、易方达大健康主题灵活配置混合型证券投资基金基金经理（自2017年9月27日起任职）、易方达瑞恒灵活配置混合型证券投资基金基金经理（自2018年1月10日起任职）、易方达科顺定期开放灵活配置混合型证券投资基金基金经理（自2018年10月26日起任职）、易方达消费精选股票型证券投资基金基金经理（自2020年4月13日起任职）。</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王元春先生，工程师硕士、工学硕士。曾任广东新价值投资有限公司研究部行业研究员，光大永明资产管理股份有限公司研究部行业研究员，易方达基金管理有限公司行业研究员、易方达现代服务业灵活配置混合型证券投资基金基金经理助理。现任易方达基金管理有限公司易方达瑞恒灵活配置混合型证券投资基金基金经理（自2018年12月8日起任职）、易方达现代服务业灵活配置混合型证券投资基金基金经理（自2018年12月8日起任职）、易方达消费行业股票型证券投资基金基金经理助理。</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本基金历任基金经理情况：刘芳洁，管理时间为2010年8月20日至2012年11月23日；蔡海洪，管理时间为2013年4月27日至2015年1月9日。</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3、权益投资决策委员会成员</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本公司权益投资决策委员会成员包括：吴欣荣先生、冯波先生、陈皓先生、张坤先生、孙松先生、付浩先生。</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吴欣荣先生，同上。</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陈皓先生，管理学硕士。曾任易方达基金管理有限公司行业研究员、基金经理助理、投资一部总经理助理、投资一部副总经理、投资经理、易方达价值精选混合型证券投资基</w:t>
      </w:r>
      <w:r>
        <w:rPr>
          <w:rFonts w:asciiTheme="minorEastAsia" w:eastAsiaTheme="minorEastAsia" w:hAnsiTheme="minorEastAsia" w:cs="仿宋_GB2312" w:hint="eastAsia"/>
        </w:rPr>
        <w:lastRenderedPageBreak/>
        <w:t>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张坤先生，同上。</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投资经理。现任易方达基金管理有限公司投资二部总经理、易方达新常态灵活配置混合型证券投资基金基金经理。</w:t>
      </w:r>
    </w:p>
    <w:p w:rsidR="007D2DC1" w:rsidRDefault="007D2DC1" w:rsidP="007D2DC1">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易方达3年封闭运作战略配售灵活配置混合型证券投资基金（LOF）基金经理。</w:t>
      </w:r>
    </w:p>
    <w:p w:rsidR="006B3A6E" w:rsidRPr="007D2DC1" w:rsidRDefault="006B3A6E" w:rsidP="007D2DC1">
      <w:pPr>
        <w:spacing w:line="360" w:lineRule="auto"/>
        <w:ind w:firstLine="420"/>
        <w:rPr>
          <w:rFonts w:asciiTheme="minorEastAsia" w:eastAsiaTheme="minorEastAsia" w:hAnsiTheme="minorEastAsia" w:cs="仿宋_GB2312"/>
        </w:rPr>
      </w:pPr>
      <w:r w:rsidRPr="007D2DC1">
        <w:rPr>
          <w:rFonts w:asciiTheme="minorEastAsia" w:eastAsiaTheme="minorEastAsia" w:hAnsiTheme="minorEastAsia" w:cs="仿宋_GB2312"/>
        </w:rPr>
        <w:t>4、上述人员之间均不存在近亲属关系。</w:t>
      </w:r>
    </w:p>
    <w:p w:rsidR="002F5370" w:rsidRPr="0001503D" w:rsidRDefault="002F5370" w:rsidP="00467CAF">
      <w:pPr>
        <w:pStyle w:val="20"/>
        <w:snapToGrid w:val="0"/>
        <w:spacing w:beforeLines="0" w:afterLines="0" w:line="360" w:lineRule="auto"/>
        <w:ind w:firstLine="560"/>
        <w:rPr>
          <w:rFonts w:asciiTheme="minorEastAsia" w:eastAsiaTheme="minorEastAsia" w:hAnsiTheme="minorEastAsia" w:cs="仿宋_GB2312"/>
          <w:b w:val="0"/>
          <w:bCs/>
        </w:rPr>
      </w:pPr>
      <w:bookmarkStart w:id="16" w:name="_Toc28803522"/>
      <w:r w:rsidRPr="0001503D">
        <w:rPr>
          <w:rFonts w:asciiTheme="minorEastAsia" w:eastAsiaTheme="minorEastAsia" w:hAnsiTheme="minorEastAsia" w:hint="eastAsia"/>
          <w:b w:val="0"/>
          <w:bCs/>
          <w:szCs w:val="21"/>
        </w:rPr>
        <w:t>（三）</w:t>
      </w:r>
      <w:r w:rsidRPr="0001503D">
        <w:rPr>
          <w:rFonts w:asciiTheme="minorEastAsia" w:eastAsiaTheme="minorEastAsia" w:hAnsiTheme="minorEastAsia"/>
          <w:b w:val="0"/>
          <w:bCs/>
          <w:szCs w:val="21"/>
        </w:rPr>
        <w:t>基金管理人的职责</w:t>
      </w:r>
      <w:bookmarkEnd w:id="14"/>
      <w:bookmarkEnd w:id="15"/>
      <w:bookmarkEnd w:id="16"/>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w:t>
      </w:r>
      <w:r w:rsidR="0041111D" w:rsidRPr="0001503D">
        <w:rPr>
          <w:rFonts w:asciiTheme="minorEastAsia" w:eastAsiaTheme="minorEastAsia" w:hAnsiTheme="minorEastAsia" w:hint="eastAsia"/>
          <w:kern w:val="0"/>
        </w:rPr>
        <w:t>依法募集资金，办理基金份额的发售和登记事宜</w:t>
      </w:r>
      <w:r w:rsidR="002F5370" w:rsidRPr="0001503D">
        <w:rPr>
          <w:rFonts w:asciiTheme="minorEastAsia" w:eastAsiaTheme="minorEastAsia" w:hAnsiTheme="minorEastAsia"/>
          <w:kern w:val="0"/>
        </w:rPr>
        <w:t>；</w:t>
      </w:r>
    </w:p>
    <w:p w:rsidR="002F5370" w:rsidRPr="0001503D" w:rsidRDefault="000B57E8"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2、</w:t>
      </w:r>
      <w:r w:rsidR="002F5370" w:rsidRPr="0001503D">
        <w:rPr>
          <w:rFonts w:asciiTheme="minorEastAsia" w:eastAsiaTheme="minorEastAsia" w:hAnsiTheme="minorEastAsia"/>
          <w:kern w:val="0"/>
        </w:rPr>
        <w:t>办理基金备案手续；</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3、</w:t>
      </w:r>
      <w:r w:rsidR="002F5370" w:rsidRPr="0001503D">
        <w:rPr>
          <w:rFonts w:asciiTheme="minorEastAsia" w:eastAsiaTheme="minorEastAsia" w:hAnsiTheme="minorEastAsia"/>
          <w:kern w:val="0"/>
        </w:rPr>
        <w:t>对所管理的不同基金财产分别管理、分别记账，进行证券投资；</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4、</w:t>
      </w:r>
      <w:r w:rsidR="002F5370" w:rsidRPr="0001503D">
        <w:rPr>
          <w:rFonts w:asciiTheme="minorEastAsia" w:eastAsiaTheme="minorEastAsia" w:hAnsiTheme="minorEastAsia"/>
          <w:kern w:val="0"/>
        </w:rPr>
        <w:t>按照基金合同的约定确定基金收益分配方案，及时向基金份额持有人分配收益；</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5、</w:t>
      </w:r>
      <w:r w:rsidR="002F5370" w:rsidRPr="0001503D">
        <w:rPr>
          <w:rFonts w:asciiTheme="minorEastAsia" w:eastAsiaTheme="minorEastAsia" w:hAnsiTheme="minorEastAsia"/>
          <w:kern w:val="0"/>
        </w:rPr>
        <w:t>进行基金会计核算并编制基金财务会计报告；</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6、</w:t>
      </w:r>
      <w:r w:rsidR="002F5370" w:rsidRPr="0001503D">
        <w:rPr>
          <w:rFonts w:asciiTheme="minorEastAsia" w:eastAsiaTheme="minorEastAsia" w:hAnsiTheme="minorEastAsia"/>
          <w:kern w:val="0"/>
        </w:rPr>
        <w:t>编制</w:t>
      </w:r>
      <w:r w:rsidR="00421A46" w:rsidRPr="0001503D">
        <w:rPr>
          <w:rFonts w:asciiTheme="minorEastAsia" w:eastAsiaTheme="minorEastAsia" w:hAnsiTheme="minorEastAsia" w:hint="eastAsia"/>
          <w:kern w:val="0"/>
        </w:rPr>
        <w:t>季度报告、中期报告和年度报告</w:t>
      </w:r>
      <w:r w:rsidR="002F5370" w:rsidRPr="0001503D">
        <w:rPr>
          <w:rFonts w:asciiTheme="minorEastAsia" w:eastAsiaTheme="minorEastAsia" w:hAnsiTheme="minorEastAsia"/>
          <w:kern w:val="0"/>
        </w:rPr>
        <w:t>；</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7、</w:t>
      </w:r>
      <w:r w:rsidR="002F5370" w:rsidRPr="0001503D">
        <w:rPr>
          <w:rFonts w:asciiTheme="minorEastAsia" w:eastAsiaTheme="minorEastAsia" w:hAnsiTheme="minorEastAsia"/>
          <w:kern w:val="0"/>
        </w:rPr>
        <w:t>计算并公告基金</w:t>
      </w:r>
      <w:r w:rsidR="00421A46" w:rsidRPr="0001503D">
        <w:rPr>
          <w:rFonts w:asciiTheme="minorEastAsia" w:eastAsiaTheme="minorEastAsia" w:hAnsiTheme="minorEastAsia" w:hint="eastAsia"/>
          <w:kern w:val="0"/>
        </w:rPr>
        <w:t>净值</w:t>
      </w:r>
      <w:r w:rsidR="00421A46" w:rsidRPr="0001503D">
        <w:rPr>
          <w:rFonts w:asciiTheme="minorEastAsia" w:eastAsiaTheme="minorEastAsia" w:hAnsiTheme="minorEastAsia"/>
          <w:kern w:val="0"/>
        </w:rPr>
        <w:t>信息</w:t>
      </w:r>
      <w:r w:rsidR="002F5370" w:rsidRPr="0001503D">
        <w:rPr>
          <w:rFonts w:asciiTheme="minorEastAsia" w:eastAsiaTheme="minorEastAsia" w:hAnsiTheme="minorEastAsia"/>
          <w:kern w:val="0"/>
        </w:rPr>
        <w:t>，确定基金份额申购、赎回价格；</w:t>
      </w:r>
    </w:p>
    <w:p w:rsidR="002F5370" w:rsidRPr="0001503D" w:rsidRDefault="000B57E8"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8、</w:t>
      </w:r>
      <w:r w:rsidR="002F5370" w:rsidRPr="0001503D">
        <w:rPr>
          <w:rFonts w:asciiTheme="minorEastAsia" w:eastAsiaTheme="minorEastAsia" w:hAnsiTheme="minorEastAsia"/>
          <w:kern w:val="0"/>
        </w:rPr>
        <w:t>办理与基金财产管理业务活动有关的信息披露事项；</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lastRenderedPageBreak/>
        <w:t>9</w:t>
      </w:r>
      <w:r w:rsidR="000B57E8" w:rsidRPr="0001503D">
        <w:rPr>
          <w:rFonts w:asciiTheme="minorEastAsia" w:eastAsiaTheme="minorEastAsia" w:hAnsiTheme="minorEastAsia" w:hint="eastAsia"/>
          <w:kern w:val="0"/>
        </w:rPr>
        <w:t>、</w:t>
      </w:r>
      <w:r w:rsidR="0041111D" w:rsidRPr="0001503D">
        <w:rPr>
          <w:rFonts w:asciiTheme="minorEastAsia" w:eastAsiaTheme="minorEastAsia" w:hAnsiTheme="minorEastAsia" w:hint="eastAsia"/>
          <w:kern w:val="0"/>
        </w:rPr>
        <w:t>按照规定</w:t>
      </w:r>
      <w:r w:rsidRPr="0001503D">
        <w:rPr>
          <w:rFonts w:asciiTheme="minorEastAsia" w:eastAsiaTheme="minorEastAsia" w:hAnsiTheme="minorEastAsia"/>
          <w:kern w:val="0"/>
        </w:rPr>
        <w:t>召集基金份额持有人大会；</w:t>
      </w:r>
    </w:p>
    <w:p w:rsidR="002F5370" w:rsidRPr="0001503D" w:rsidRDefault="000B57E8"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10、</w:t>
      </w:r>
      <w:r w:rsidR="002F5370" w:rsidRPr="0001503D">
        <w:rPr>
          <w:rFonts w:asciiTheme="minorEastAsia" w:eastAsiaTheme="minorEastAsia" w:hAnsiTheme="minorEastAsia" w:hint="eastAsia"/>
          <w:kern w:val="0"/>
        </w:rPr>
        <w:t>保存基</w:t>
      </w:r>
      <w:r w:rsidR="002F5370" w:rsidRPr="0001503D">
        <w:rPr>
          <w:rFonts w:asciiTheme="minorEastAsia" w:eastAsiaTheme="minorEastAsia" w:hAnsiTheme="minorEastAsia"/>
          <w:kern w:val="0"/>
        </w:rPr>
        <w:t>金财产管理业务活动的记录、账册、报表和其他相关资料；</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11、</w:t>
      </w:r>
      <w:r w:rsidR="002F5370" w:rsidRPr="0001503D">
        <w:rPr>
          <w:rFonts w:asciiTheme="minorEastAsia" w:eastAsiaTheme="minorEastAsia" w:hAnsiTheme="minorEastAsia"/>
          <w:kern w:val="0"/>
        </w:rPr>
        <w:t>以基金管理人名义，代表基金份额持有人利益行使诉讼权利或者实施其他法律行为；</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12、</w:t>
      </w:r>
      <w:r w:rsidR="002F5370" w:rsidRPr="0001503D">
        <w:rPr>
          <w:rFonts w:asciiTheme="minorEastAsia" w:eastAsiaTheme="minorEastAsia" w:hAnsiTheme="minorEastAsia"/>
          <w:kern w:val="0"/>
        </w:rPr>
        <w:t>中国证监会规定的其他职责。</w:t>
      </w:r>
    </w:p>
    <w:p w:rsidR="002F5370" w:rsidRPr="0001503D" w:rsidRDefault="002F5370" w:rsidP="00467CAF">
      <w:pPr>
        <w:pStyle w:val="20"/>
        <w:snapToGrid w:val="0"/>
        <w:spacing w:beforeLines="0" w:afterLines="0" w:line="360" w:lineRule="auto"/>
        <w:ind w:firstLine="560"/>
        <w:rPr>
          <w:rFonts w:asciiTheme="minorEastAsia" w:eastAsiaTheme="minorEastAsia" w:hAnsiTheme="minorEastAsia"/>
          <w:sz w:val="21"/>
        </w:rPr>
      </w:pPr>
      <w:bookmarkStart w:id="17" w:name="_Toc133292566"/>
      <w:bookmarkStart w:id="18" w:name="_Toc163189523"/>
      <w:bookmarkStart w:id="19" w:name="_Toc28803523"/>
      <w:r w:rsidRPr="0001503D">
        <w:rPr>
          <w:rFonts w:asciiTheme="minorEastAsia" w:eastAsiaTheme="minorEastAsia" w:hAnsiTheme="minorEastAsia" w:hint="eastAsia"/>
          <w:b w:val="0"/>
          <w:bCs/>
          <w:szCs w:val="21"/>
        </w:rPr>
        <w:t>（四）</w:t>
      </w:r>
      <w:r w:rsidRPr="0001503D">
        <w:rPr>
          <w:rFonts w:asciiTheme="minorEastAsia" w:eastAsiaTheme="minorEastAsia" w:hAnsiTheme="minorEastAsia"/>
          <w:b w:val="0"/>
          <w:bCs/>
          <w:szCs w:val="21"/>
        </w:rPr>
        <w:t>基金管理人的承诺</w:t>
      </w:r>
      <w:bookmarkEnd w:id="17"/>
      <w:bookmarkEnd w:id="18"/>
      <w:bookmarkEnd w:id="19"/>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1</w:t>
      </w:r>
      <w:r w:rsidR="000B57E8" w:rsidRPr="0001503D">
        <w:rPr>
          <w:rFonts w:asciiTheme="minorEastAsia" w:eastAsiaTheme="minorEastAsia" w:hAnsiTheme="minorEastAsia" w:hint="eastAsia"/>
          <w:kern w:val="0"/>
        </w:rPr>
        <w:t>、</w:t>
      </w:r>
      <w:r w:rsidRPr="0001503D">
        <w:rPr>
          <w:rFonts w:asciiTheme="minorEastAsia" w:eastAsiaTheme="minorEastAsia" w:hAnsiTheme="minorEastAsia"/>
          <w:kern w:val="0"/>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2</w:t>
      </w:r>
      <w:r w:rsidR="000B57E8" w:rsidRPr="0001503D">
        <w:rPr>
          <w:rFonts w:asciiTheme="minorEastAsia" w:eastAsiaTheme="minorEastAsia" w:hAnsiTheme="minorEastAsia" w:hint="eastAsia"/>
          <w:kern w:val="0"/>
        </w:rPr>
        <w:t>、</w:t>
      </w:r>
      <w:r w:rsidRPr="0001503D">
        <w:rPr>
          <w:rFonts w:asciiTheme="minorEastAsia" w:eastAsiaTheme="minorEastAsia" w:hAnsiTheme="minorEastAsia"/>
          <w:kern w:val="0"/>
        </w:rPr>
        <w:t>本</w:t>
      </w:r>
      <w:r w:rsidRPr="0001503D">
        <w:rPr>
          <w:rFonts w:asciiTheme="minorEastAsia" w:eastAsiaTheme="minorEastAsia" w:hAnsiTheme="minorEastAsia" w:hint="eastAsia"/>
          <w:kern w:val="0"/>
        </w:rPr>
        <w:t>基金管理人承诺严格遵守《证券法》、《基金法》及有关法律法规，建立健全内部控</w:t>
      </w:r>
      <w:r w:rsidRPr="0001503D">
        <w:rPr>
          <w:rFonts w:asciiTheme="minorEastAsia" w:eastAsiaTheme="minorEastAsia" w:hAnsiTheme="minorEastAsia"/>
          <w:kern w:val="0"/>
        </w:rPr>
        <w:t>制制度，采取有效措施，防止下列行为发生：</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w:t>
      </w:r>
      <w:r w:rsidRPr="0001503D">
        <w:rPr>
          <w:rFonts w:asciiTheme="minorEastAsia" w:eastAsiaTheme="minorEastAsia" w:hAnsiTheme="minorEastAsia"/>
          <w:kern w:val="0"/>
        </w:rPr>
        <w:t>将其固有财产或者他人财产混同于基金财产从事证券投资；</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（2）</w:t>
      </w:r>
      <w:r w:rsidRPr="0001503D">
        <w:rPr>
          <w:rFonts w:asciiTheme="minorEastAsia" w:eastAsiaTheme="minorEastAsia" w:hAnsiTheme="minorEastAsia"/>
          <w:kern w:val="0"/>
        </w:rPr>
        <w:t>不公平地对待其管理的不同基金财产；</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（3）</w:t>
      </w:r>
      <w:r w:rsidRPr="0001503D">
        <w:rPr>
          <w:rFonts w:asciiTheme="minorEastAsia" w:eastAsiaTheme="minorEastAsia" w:hAnsiTheme="minorEastAsia"/>
          <w:kern w:val="0"/>
        </w:rPr>
        <w:t>利用基金财产</w:t>
      </w:r>
      <w:r w:rsidR="0041111D" w:rsidRPr="0001503D">
        <w:rPr>
          <w:rFonts w:asciiTheme="minorEastAsia" w:eastAsiaTheme="minorEastAsia" w:hAnsiTheme="minorEastAsia" w:hint="eastAsia"/>
          <w:kern w:val="0"/>
        </w:rPr>
        <w:t>或者职务之便</w:t>
      </w:r>
      <w:r w:rsidRPr="0001503D">
        <w:rPr>
          <w:rFonts w:asciiTheme="minorEastAsia" w:eastAsiaTheme="minorEastAsia" w:hAnsiTheme="minorEastAsia"/>
          <w:kern w:val="0"/>
        </w:rPr>
        <w:t>为基金份额持有人以外的第三人谋取利益；</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（4）</w:t>
      </w:r>
      <w:r w:rsidRPr="0001503D">
        <w:rPr>
          <w:rFonts w:asciiTheme="minorEastAsia" w:eastAsiaTheme="minorEastAsia" w:hAnsiTheme="minorEastAsia"/>
          <w:kern w:val="0"/>
        </w:rPr>
        <w:t>向基金份额持有人违规承诺收益或者承担损失；</w:t>
      </w:r>
    </w:p>
    <w:p w:rsidR="0041111D"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（5）</w:t>
      </w:r>
      <w:r w:rsidR="0041111D" w:rsidRPr="0001503D">
        <w:rPr>
          <w:rFonts w:asciiTheme="minorEastAsia" w:eastAsiaTheme="minorEastAsia" w:hAnsiTheme="minorEastAsia" w:hint="eastAsia"/>
          <w:kern w:val="0"/>
        </w:rPr>
        <w:t>侵占、挪用基金财产；</w:t>
      </w:r>
    </w:p>
    <w:p w:rsidR="0041111D" w:rsidRPr="0001503D" w:rsidRDefault="0041111D"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（6）泄露因职务便利获取的未公开信息、利用该信息从事或者明示、暗示他人从事相关的交易活动；</w:t>
      </w:r>
    </w:p>
    <w:p w:rsidR="0041111D" w:rsidRPr="0001503D" w:rsidRDefault="0041111D"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（7）玩忽职守，不按照规定履行职责；</w:t>
      </w:r>
    </w:p>
    <w:p w:rsidR="002F5370" w:rsidRPr="0001503D" w:rsidRDefault="0041111D"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（8）法律、行政法规和中国证监会规定禁止的其他行为。</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3</w:t>
      </w:r>
      <w:r w:rsidR="000B57E8" w:rsidRPr="0001503D">
        <w:rPr>
          <w:rFonts w:asciiTheme="minorEastAsia" w:eastAsiaTheme="minorEastAsia" w:hAnsiTheme="minorEastAsia" w:hint="eastAsia"/>
          <w:kern w:val="0"/>
        </w:rPr>
        <w:t>、</w:t>
      </w:r>
      <w:r w:rsidRPr="0001503D">
        <w:rPr>
          <w:rFonts w:asciiTheme="minorEastAsia" w:eastAsiaTheme="minorEastAsia" w:hAnsiTheme="minorEastAsia"/>
          <w:kern w:val="0"/>
        </w:rPr>
        <w:t>本基金管理人承诺加强人员管理，强化职业操守，督促和约束员工遵守国家有关法律法规及行业规范，诚实信用、勤勉尽责，不从事以下活动：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（1）越权或违规经营；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（2）违反基金合同或托管协议；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（3）故意损害基金份额持有人或其他基金相关机构的合法利益；</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（4）在向中国证监会报送的资料中弄虚作假；</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（5）拒绝、干扰、阻挠或严重影响中国证监会依法监管；</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（6）玩忽职守、滥用职权；</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（7）违反现行有效的有关法律法规、基金合同和中国证监会的有关规定，泄漏在任职期间知悉的有关证券、基金的商业秘密，尚未依法公开的基金投资内容、基金投资计划等信息；</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（8）违反证券交易场所业务规则，利用对敲、倒仓等手段操纵市场价格，扰乱市场秩</w:t>
      </w:r>
      <w:r w:rsidRPr="0001503D">
        <w:rPr>
          <w:rFonts w:asciiTheme="minorEastAsia" w:eastAsiaTheme="minorEastAsia" w:hAnsiTheme="minorEastAsia"/>
          <w:kern w:val="0"/>
        </w:rPr>
        <w:lastRenderedPageBreak/>
        <w:t>序；</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（9）贬损同行，以抬高自己；</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（10）以不正当手段谋求业务发展；</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（11）有悖社会公德，损害证券投资基金人员形象；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（12）在公开信息披露和广告中故意含有虚假、误导、欺诈成分；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（13）其他法律、行政法规以及中国证监会禁止的行为。</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4</w:t>
      </w:r>
      <w:r w:rsidR="000B57E8" w:rsidRPr="0001503D">
        <w:rPr>
          <w:rFonts w:asciiTheme="minorEastAsia" w:eastAsiaTheme="minorEastAsia" w:hAnsiTheme="minorEastAsia" w:hint="eastAsia"/>
          <w:kern w:val="0"/>
        </w:rPr>
        <w:t>、</w:t>
      </w:r>
      <w:r w:rsidRPr="0001503D">
        <w:rPr>
          <w:rFonts w:asciiTheme="minorEastAsia" w:eastAsiaTheme="minorEastAsia" w:hAnsiTheme="minorEastAsia"/>
          <w:kern w:val="0"/>
        </w:rPr>
        <w:t>基金经理承诺</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（1）依照有关法律法规和基金合同的规定，本着谨慎的原则为基金份额持有人谋取最大利益；</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（2）不利用职务之便为自己及其代理人、受雇人或任何第三人谋取利益；</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（3）不违反现行有效的有关法律法规、基金合同和中国证监会的有关规定，泄漏在任职期间知悉的有关证券、基金的商业秘密、尚未依法公开的基金投资内容、基金投资计划等信息；</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kern w:val="0"/>
        </w:rPr>
        <w:t>（4）不从事损害基金财产和基金份额持有人利益的证券交易及其他活动。</w:t>
      </w:r>
    </w:p>
    <w:p w:rsidR="002F5370" w:rsidRPr="0001503D" w:rsidRDefault="002F5370" w:rsidP="00467CAF">
      <w:pPr>
        <w:pStyle w:val="20"/>
        <w:snapToGrid w:val="0"/>
        <w:spacing w:beforeLines="0" w:afterLines="0" w:line="360" w:lineRule="auto"/>
        <w:ind w:firstLine="560"/>
        <w:rPr>
          <w:rStyle w:val="da"/>
          <w:rFonts w:asciiTheme="minorEastAsia" w:eastAsiaTheme="minorEastAsia" w:hAnsiTheme="minorEastAsia"/>
          <w:sz w:val="21"/>
        </w:rPr>
      </w:pPr>
      <w:bookmarkStart w:id="20" w:name="_Toc133292567"/>
      <w:bookmarkStart w:id="21" w:name="_Toc163189524"/>
      <w:bookmarkStart w:id="22" w:name="_Toc28803524"/>
      <w:r w:rsidRPr="0001503D">
        <w:rPr>
          <w:rFonts w:asciiTheme="minorEastAsia" w:eastAsiaTheme="minorEastAsia" w:hAnsiTheme="minorEastAsia" w:hint="eastAsia"/>
          <w:b w:val="0"/>
          <w:bCs/>
          <w:szCs w:val="21"/>
        </w:rPr>
        <w:t>（五）</w:t>
      </w:r>
      <w:r w:rsidRPr="0001503D">
        <w:rPr>
          <w:rFonts w:asciiTheme="minorEastAsia" w:eastAsiaTheme="minorEastAsia" w:hAnsiTheme="minorEastAsia"/>
          <w:b w:val="0"/>
          <w:bCs/>
          <w:szCs w:val="21"/>
        </w:rPr>
        <w:t>基金管理人的内部控制制度</w:t>
      </w:r>
      <w:bookmarkEnd w:id="20"/>
      <w:bookmarkEnd w:id="21"/>
      <w:bookmarkEnd w:id="22"/>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2F5370" w:rsidRPr="0001503D" w:rsidRDefault="000B57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公司内部控制的总体目标</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保证公司经营管理活动的合法合规性；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保证基金份额持有人的合法权益不受侵犯；</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Pr="0001503D">
        <w:rPr>
          <w:rFonts w:asciiTheme="minorEastAsia" w:eastAsiaTheme="minorEastAsia" w:hAnsiTheme="minorEastAsia"/>
          <w:szCs w:val="21"/>
        </w:rPr>
        <w:t>实现公司稳健、持续发展，维护股东权益；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促进公司全体员工恪守职业操守，正直诚信，廉洁自律，勤勉尽责；</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保护公司最重要的资本：公司声誉。</w:t>
      </w:r>
    </w:p>
    <w:p w:rsidR="002F5370" w:rsidRPr="0001503D" w:rsidRDefault="000B57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公司内部控制遵循的原则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全面性原则：内部控制必须覆盖公司的所有部门和岗位，渗透各项业务过程和业务环节，并普遍适用于公司每一位职员；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审慎性原则：内部控制的核心是有效防范各种风险，公司组织体系的构成、内部管理制度的建立都要以防范风险、审慎经营为出发点；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Pr="0001503D">
        <w:rPr>
          <w:rFonts w:asciiTheme="minorEastAsia" w:eastAsiaTheme="minorEastAsia" w:hAnsiTheme="minorEastAsia"/>
          <w:szCs w:val="21"/>
        </w:rPr>
        <w:t>相互制约原则：公司设置的各部门、各岗位权责分明、相互制衡。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独立性原则：公司根据业务的需要设立相对独立的机构、部门和岗位；公司内部部门和岗位的设置必须权责分明；</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（5）</w:t>
      </w:r>
      <w:r w:rsidRPr="0001503D">
        <w:rPr>
          <w:rFonts w:asciiTheme="minorEastAsia" w:eastAsiaTheme="minorEastAsia" w:hAnsiTheme="minorEastAsia"/>
          <w:szCs w:val="21"/>
        </w:rPr>
        <w:t>有效性原则：各种内部管理制度具有高度的权威性，应是所有员工严格遵守的行动指南；执行内部管理制度不能有任何例外，任何人不得拥有超越制度或违反规章的权力；</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Pr="0001503D">
        <w:rPr>
          <w:rFonts w:asciiTheme="minorEastAsia" w:eastAsiaTheme="minorEastAsia" w:hAnsiTheme="minorEastAsia"/>
          <w:szCs w:val="21"/>
        </w:rPr>
        <w:t>适时性原则：内部控制应具有前瞻性，并且必须随着公司经营战略、经营方针、经营理念等内部环境的变化和国家法律法规、政策制度等外部环境的改变及时进行相应的修改和完善；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w:t>
      </w:r>
      <w:r w:rsidRPr="0001503D">
        <w:rPr>
          <w:rFonts w:asciiTheme="minorEastAsia" w:eastAsiaTheme="minorEastAsia" w:hAnsiTheme="minorEastAsia"/>
          <w:szCs w:val="21"/>
        </w:rPr>
        <w:t>成本效益原则：公司运用科学化的经营管理方法降低运作成本，提高经济效益，力争以合理的控制成本达到最佳的内部控制效果。</w:t>
      </w:r>
    </w:p>
    <w:p w:rsidR="002F5370" w:rsidRPr="0001503D" w:rsidRDefault="000B57E8"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3、</w:t>
      </w:r>
      <w:r w:rsidR="002F5370" w:rsidRPr="0001503D">
        <w:rPr>
          <w:rFonts w:asciiTheme="minorEastAsia" w:eastAsiaTheme="minorEastAsia" w:hAnsiTheme="minorEastAsia" w:hint="eastAsia"/>
          <w:kern w:val="0"/>
        </w:rPr>
        <w:t>内部控制的制度体系</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2F5370" w:rsidRPr="0001503D" w:rsidRDefault="000B57E8"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4、</w:t>
      </w:r>
      <w:r w:rsidR="002F5370" w:rsidRPr="0001503D">
        <w:rPr>
          <w:rFonts w:asciiTheme="minorEastAsia" w:eastAsiaTheme="minorEastAsia" w:hAnsiTheme="minorEastAsia" w:hint="eastAsia"/>
          <w:kern w:val="0"/>
        </w:rPr>
        <w:t>关于授权、研究、投资、交易等方面的控制点</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（1）授权制度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kern w:val="0"/>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w:t>
      </w:r>
      <w:r w:rsidRPr="0001503D">
        <w:rPr>
          <w:rFonts w:asciiTheme="minorEastAsia" w:eastAsiaTheme="minorEastAsia" w:hAnsiTheme="minorEastAsia" w:hint="eastAsia"/>
          <w:szCs w:val="21"/>
        </w:rPr>
        <w:t>用的授权应及时修改或取消授权。</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（2）公司研究业务</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（3）基金投资业务</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w:t>
      </w:r>
      <w:r w:rsidRPr="0001503D">
        <w:rPr>
          <w:rFonts w:asciiTheme="minorEastAsia" w:eastAsiaTheme="minorEastAsia" w:hAnsiTheme="minorEastAsia" w:hint="eastAsia"/>
          <w:kern w:val="0"/>
        </w:rPr>
        <w:lastRenderedPageBreak/>
        <w:t>学的投资管理业绩评价体系。</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（4）交易业务</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（5）基金会计核算</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（6）信息披露</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2F5370" w:rsidRPr="0001503D" w:rsidRDefault="002F5370"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（7）</w:t>
      </w:r>
      <w:r w:rsidR="00344AA2" w:rsidRPr="0001503D">
        <w:rPr>
          <w:rFonts w:asciiTheme="minorEastAsia" w:eastAsiaTheme="minorEastAsia" w:hAnsiTheme="minorEastAsia" w:hint="eastAsia"/>
          <w:kern w:val="0"/>
        </w:rPr>
        <w:t>监察与合规管理</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公司设立督察长，经董事会聘任，报中国证监会核准。根据公司</w:t>
      </w:r>
      <w:r w:rsidR="00344AA2" w:rsidRPr="0001503D">
        <w:rPr>
          <w:rFonts w:asciiTheme="minorEastAsia" w:eastAsiaTheme="minorEastAsia" w:hAnsiTheme="minorEastAsia" w:hint="eastAsia"/>
          <w:kern w:val="0"/>
        </w:rPr>
        <w:t>监察与合规管理</w:t>
      </w:r>
      <w:r w:rsidRPr="0001503D">
        <w:rPr>
          <w:rFonts w:asciiTheme="minorEastAsia" w:eastAsiaTheme="minorEastAsia" w:hAnsiTheme="minorEastAsia" w:hint="eastAsia"/>
          <w:kern w:val="0"/>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2F5370" w:rsidRPr="0001503D" w:rsidRDefault="008E79F6"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2F5370" w:rsidRPr="0001503D" w:rsidRDefault="008E79F6"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监察合规管理部门强化内部检查制度，通过定期或不定期检查内部控制制度的执行情况，促使公司各项经营管理活动的规范运行。</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公司董事会和管理层充分重视和支持</w:t>
      </w:r>
      <w:r w:rsidR="00344AA2" w:rsidRPr="0001503D">
        <w:rPr>
          <w:rFonts w:asciiTheme="minorEastAsia" w:eastAsiaTheme="minorEastAsia" w:hAnsiTheme="minorEastAsia" w:hint="eastAsia"/>
          <w:kern w:val="0"/>
        </w:rPr>
        <w:t>监察与合规管理</w:t>
      </w:r>
      <w:r w:rsidRPr="0001503D">
        <w:rPr>
          <w:rFonts w:asciiTheme="minorEastAsia" w:eastAsiaTheme="minorEastAsia" w:hAnsiTheme="minorEastAsia" w:hint="eastAsia"/>
          <w:kern w:val="0"/>
        </w:rPr>
        <w:t>工作，对违反法律法规和公司内部控制制度的，追究有关部门和人员的责任。</w:t>
      </w:r>
    </w:p>
    <w:p w:rsidR="002F5370" w:rsidRPr="0001503D" w:rsidRDefault="000B57E8" w:rsidP="009B264B">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5、</w:t>
      </w:r>
      <w:r w:rsidR="002F5370" w:rsidRPr="0001503D">
        <w:rPr>
          <w:rFonts w:asciiTheme="minorEastAsia" w:eastAsiaTheme="minorEastAsia" w:hAnsiTheme="minorEastAsia" w:hint="eastAsia"/>
          <w:kern w:val="0"/>
        </w:rPr>
        <w:t>基金管理人关于内部控制制度声明书</w:t>
      </w:r>
    </w:p>
    <w:p w:rsidR="002F5370" w:rsidRPr="0001503D" w:rsidRDefault="002F5370" w:rsidP="000B57E8">
      <w:pPr>
        <w:snapToGrid w:val="0"/>
        <w:spacing w:line="360" w:lineRule="auto"/>
        <w:ind w:firstLineChars="200" w:firstLine="420"/>
        <w:rPr>
          <w:rFonts w:asciiTheme="minorEastAsia" w:eastAsiaTheme="minorEastAsia" w:hAnsiTheme="minorEastAsia"/>
          <w:kern w:val="0"/>
        </w:rPr>
      </w:pPr>
      <w:r w:rsidRPr="0001503D">
        <w:rPr>
          <w:rFonts w:asciiTheme="minorEastAsia" w:eastAsiaTheme="minorEastAsia" w:hAnsiTheme="minorEastAsia" w:hint="eastAsia"/>
          <w:kern w:val="0"/>
        </w:rPr>
        <w:t>（1）本公司承诺以上关于内部控制制度的披露真实、准确；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sectPr w:rsidR="002F5370" w:rsidRPr="0001503D" w:rsidSect="002F5370">
          <w:pgSz w:w="11907" w:h="16840" w:code="9"/>
          <w:pgMar w:top="1701" w:right="1814" w:bottom="1701" w:left="1814" w:header="1134" w:footer="1247" w:gutter="0"/>
          <w:cols w:space="425"/>
          <w:docGrid w:type="lines" w:linePitch="312"/>
        </w:sectPr>
      </w:pPr>
      <w:r w:rsidRPr="0001503D">
        <w:rPr>
          <w:rFonts w:asciiTheme="minorEastAsia" w:eastAsiaTheme="minorEastAsia" w:hAnsiTheme="minorEastAsia" w:hint="eastAsia"/>
          <w:szCs w:val="21"/>
        </w:rPr>
        <w:t>（2）本公司承诺根据市场变化和公司业务发展不断完善内部控制制度。</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23" w:name="_Toc238870161"/>
      <w:bookmarkStart w:id="24" w:name="_Toc28803525"/>
      <w:r w:rsidRPr="0001503D">
        <w:rPr>
          <w:rFonts w:asciiTheme="minorEastAsia" w:eastAsiaTheme="minorEastAsia" w:hAnsiTheme="minorEastAsia" w:hint="eastAsia"/>
          <w:bCs/>
        </w:rPr>
        <w:lastRenderedPageBreak/>
        <w:t>四、基金托管人</w:t>
      </w:r>
      <w:bookmarkEnd w:id="23"/>
      <w:bookmarkEnd w:id="24"/>
    </w:p>
    <w:p w:rsidR="008E79F6" w:rsidRPr="0001503D" w:rsidRDefault="008E79F6" w:rsidP="008E79F6">
      <w:pPr>
        <w:spacing w:line="360" w:lineRule="auto"/>
        <w:ind w:firstLineChars="200" w:firstLine="420"/>
        <w:rPr>
          <w:rFonts w:asciiTheme="minorEastAsia" w:eastAsiaTheme="minorEastAsia" w:hAnsiTheme="minorEastAsia"/>
          <w:szCs w:val="20"/>
        </w:rPr>
      </w:pPr>
      <w:bookmarkStart w:id="25" w:name="_Toc116971120"/>
      <w:bookmarkStart w:id="26" w:name="_Toc116971000"/>
      <w:bookmarkStart w:id="27" w:name="_Toc116970834"/>
      <w:r w:rsidRPr="0001503D">
        <w:rPr>
          <w:rFonts w:asciiTheme="minorEastAsia" w:eastAsiaTheme="minorEastAsia" w:hAnsiTheme="minorEastAsia" w:hint="eastAsia"/>
        </w:rPr>
        <w:t>（一）基金托管人情况</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1</w:t>
      </w:r>
      <w:r w:rsidRPr="0001503D">
        <w:rPr>
          <w:rFonts w:asciiTheme="minorEastAsia" w:eastAsiaTheme="minorEastAsia" w:hAnsiTheme="minorEastAsia" w:hint="eastAsia"/>
        </w:rPr>
        <w:t>、基本情况</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名称：中国农业银行股份有限公司（简称中国农业银行）</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住所：北京市东城区建国门内大街</w:t>
      </w:r>
      <w:r w:rsidRPr="0001503D">
        <w:rPr>
          <w:rFonts w:asciiTheme="minorEastAsia" w:eastAsiaTheme="minorEastAsia" w:hAnsiTheme="minorEastAsia"/>
        </w:rPr>
        <w:t>69</w:t>
      </w:r>
      <w:r w:rsidRPr="0001503D">
        <w:rPr>
          <w:rFonts w:asciiTheme="minorEastAsia" w:eastAsiaTheme="minorEastAsia" w:hAnsiTheme="minorEastAsia" w:hint="eastAsia"/>
        </w:rPr>
        <w:t>号</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办公地址：北京市西城区复兴门内大街</w:t>
      </w:r>
      <w:r w:rsidRPr="0001503D">
        <w:rPr>
          <w:rFonts w:asciiTheme="minorEastAsia" w:eastAsiaTheme="minorEastAsia" w:hAnsiTheme="minorEastAsia"/>
        </w:rPr>
        <w:t>28</w:t>
      </w:r>
      <w:r w:rsidRPr="0001503D">
        <w:rPr>
          <w:rFonts w:asciiTheme="minorEastAsia" w:eastAsiaTheme="minorEastAsia" w:hAnsiTheme="minorEastAsia" w:hint="eastAsia"/>
        </w:rPr>
        <w:t>号凯晨世贸中心东座</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法定代表人：周慕冰</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成立日期：</w:t>
      </w:r>
      <w:r w:rsidRPr="0001503D">
        <w:rPr>
          <w:rFonts w:asciiTheme="minorEastAsia" w:eastAsiaTheme="minorEastAsia" w:hAnsiTheme="minorEastAsia"/>
        </w:rPr>
        <w:t>2009</w:t>
      </w:r>
      <w:r w:rsidRPr="0001503D">
        <w:rPr>
          <w:rFonts w:asciiTheme="minorEastAsia" w:eastAsiaTheme="minorEastAsia" w:hAnsiTheme="minorEastAsia" w:hint="eastAsia"/>
        </w:rPr>
        <w:t>年</w:t>
      </w:r>
      <w:r w:rsidRPr="0001503D">
        <w:rPr>
          <w:rFonts w:asciiTheme="minorEastAsia" w:eastAsiaTheme="minorEastAsia" w:hAnsiTheme="minorEastAsia"/>
        </w:rPr>
        <w:t>1</w:t>
      </w:r>
      <w:r w:rsidRPr="0001503D">
        <w:rPr>
          <w:rFonts w:asciiTheme="minorEastAsia" w:eastAsiaTheme="minorEastAsia" w:hAnsiTheme="minorEastAsia" w:hint="eastAsia"/>
        </w:rPr>
        <w:t>月</w:t>
      </w:r>
      <w:r w:rsidRPr="0001503D">
        <w:rPr>
          <w:rFonts w:asciiTheme="minorEastAsia" w:eastAsiaTheme="minorEastAsia" w:hAnsiTheme="minorEastAsia"/>
        </w:rPr>
        <w:t>15</w:t>
      </w:r>
      <w:r w:rsidRPr="0001503D">
        <w:rPr>
          <w:rFonts w:asciiTheme="minorEastAsia" w:eastAsiaTheme="minorEastAsia" w:hAnsiTheme="minorEastAsia" w:hint="eastAsia"/>
        </w:rPr>
        <w:t>日</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批准设立机关和批准设立文号：中国银监会银监复</w:t>
      </w:r>
      <w:r w:rsidRPr="0001503D">
        <w:rPr>
          <w:rFonts w:asciiTheme="minorEastAsia" w:eastAsiaTheme="minorEastAsia" w:hAnsiTheme="minorEastAsia"/>
        </w:rPr>
        <w:t>[2009]13</w:t>
      </w:r>
      <w:r w:rsidRPr="0001503D">
        <w:rPr>
          <w:rFonts w:asciiTheme="minorEastAsia" w:eastAsiaTheme="minorEastAsia" w:hAnsiTheme="minorEastAsia" w:hint="eastAsia"/>
        </w:rPr>
        <w:t>号</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基金托管资格批文及文号：中国证监会证监基字</w:t>
      </w:r>
      <w:r w:rsidRPr="0001503D">
        <w:rPr>
          <w:rFonts w:asciiTheme="minorEastAsia" w:eastAsiaTheme="minorEastAsia" w:hAnsiTheme="minorEastAsia"/>
        </w:rPr>
        <w:t>[1998]23</w:t>
      </w:r>
      <w:r w:rsidRPr="0001503D">
        <w:rPr>
          <w:rFonts w:asciiTheme="minorEastAsia" w:eastAsiaTheme="minorEastAsia" w:hAnsiTheme="minorEastAsia" w:hint="eastAsia"/>
        </w:rPr>
        <w:t>号</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注册资本：</w:t>
      </w:r>
      <w:r w:rsidRPr="0001503D">
        <w:rPr>
          <w:rFonts w:asciiTheme="minorEastAsia" w:eastAsiaTheme="minorEastAsia" w:hAnsiTheme="minorEastAsia"/>
        </w:rPr>
        <w:t>34,998,303.4</w:t>
      </w:r>
      <w:r w:rsidRPr="0001503D">
        <w:rPr>
          <w:rFonts w:asciiTheme="minorEastAsia" w:eastAsiaTheme="minorEastAsia" w:hAnsiTheme="minorEastAsia" w:hint="eastAsia"/>
        </w:rPr>
        <w:t>万元人民币</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存续期间：持续经营</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w:t>
      </w:r>
      <w:r w:rsidRPr="0001503D">
        <w:rPr>
          <w:rFonts w:asciiTheme="minorEastAsia" w:eastAsiaTheme="minorEastAsia" w:hAnsiTheme="minorEastAsia"/>
        </w:rPr>
        <w:t>010-66060069</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w:t>
      </w:r>
      <w:r w:rsidRPr="0001503D">
        <w:rPr>
          <w:rFonts w:asciiTheme="minorEastAsia" w:eastAsiaTheme="minorEastAsia" w:hAnsiTheme="minorEastAsia"/>
        </w:rPr>
        <w:t>010-68121816</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联系人：贺倩</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中国农业银行股份有限公司是中国金融体系的重要组成部分</w:t>
      </w:r>
      <w:r w:rsidRPr="0001503D">
        <w:rPr>
          <w:rFonts w:asciiTheme="minorEastAsia" w:eastAsiaTheme="minorEastAsia" w:hAnsiTheme="minorEastAsia"/>
        </w:rPr>
        <w:t>,</w:t>
      </w:r>
      <w:r w:rsidRPr="0001503D">
        <w:rPr>
          <w:rFonts w:asciiTheme="minorEastAsia" w:eastAsiaTheme="minorEastAsia" w:hAnsiTheme="minorEastAsia" w:hint="eastAsia"/>
        </w:rPr>
        <w:t>总行设在北京。经国务院批准，中国农业银行整体改制为中国农业银行股份有限公司并于</w:t>
      </w:r>
      <w:r w:rsidRPr="0001503D">
        <w:rPr>
          <w:rFonts w:asciiTheme="minorEastAsia" w:eastAsiaTheme="minorEastAsia" w:hAnsiTheme="minorEastAsia"/>
        </w:rPr>
        <w:t>2009</w:t>
      </w:r>
      <w:r w:rsidRPr="0001503D">
        <w:rPr>
          <w:rFonts w:asciiTheme="minorEastAsia" w:eastAsiaTheme="minorEastAsia" w:hAnsiTheme="minorEastAsia" w:hint="eastAsia"/>
        </w:rPr>
        <w:t>年</w:t>
      </w:r>
      <w:r w:rsidRPr="0001503D">
        <w:rPr>
          <w:rFonts w:asciiTheme="minorEastAsia" w:eastAsiaTheme="minorEastAsia" w:hAnsiTheme="minorEastAsia"/>
        </w:rPr>
        <w:t>1</w:t>
      </w:r>
      <w:r w:rsidRPr="0001503D">
        <w:rPr>
          <w:rFonts w:asciiTheme="minorEastAsia" w:eastAsiaTheme="minorEastAsia" w:hAnsiTheme="minorEastAsia" w:hint="eastAsia"/>
        </w:rPr>
        <w:t>月</w:t>
      </w:r>
      <w:r w:rsidRPr="0001503D">
        <w:rPr>
          <w:rFonts w:asciiTheme="minorEastAsia" w:eastAsiaTheme="minorEastAsia" w:hAnsiTheme="minorEastAsia"/>
        </w:rPr>
        <w:t>15</w:t>
      </w:r>
      <w:r w:rsidRPr="0001503D">
        <w:rPr>
          <w:rFonts w:asciiTheme="minorEastAsia" w:eastAsiaTheme="minorEastAsia" w:hAnsiTheme="minorEastAsia" w:hint="eastAsia"/>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01503D">
        <w:rPr>
          <w:rFonts w:asciiTheme="minorEastAsia" w:eastAsiaTheme="minorEastAsia" w:hAnsiTheme="minorEastAsia"/>
        </w:rPr>
        <w:t>500</w:t>
      </w:r>
      <w:r w:rsidRPr="0001503D">
        <w:rPr>
          <w:rFonts w:asciiTheme="minorEastAsia" w:eastAsiaTheme="minorEastAsia" w:hAnsiTheme="minorEastAsia" w:hint="eastAsia"/>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中国农业银行是中国第一批开展托管业务的国内商业银行，经验丰富，服务优质，业绩突出，</w:t>
      </w:r>
      <w:r w:rsidRPr="0001503D">
        <w:rPr>
          <w:rFonts w:asciiTheme="minorEastAsia" w:eastAsiaTheme="minorEastAsia" w:hAnsiTheme="minorEastAsia"/>
        </w:rPr>
        <w:t>2004</w:t>
      </w:r>
      <w:r w:rsidRPr="0001503D">
        <w:rPr>
          <w:rFonts w:asciiTheme="minorEastAsia" w:eastAsiaTheme="minorEastAsia" w:hAnsiTheme="minorEastAsia" w:hint="eastAsia"/>
        </w:rPr>
        <w:t>年被英国《全球托管人》评为中国“最佳托管银行”。</w:t>
      </w:r>
      <w:r w:rsidRPr="0001503D">
        <w:rPr>
          <w:rFonts w:asciiTheme="minorEastAsia" w:eastAsiaTheme="minorEastAsia" w:hAnsiTheme="minorEastAsia"/>
        </w:rPr>
        <w:t>2007</w:t>
      </w:r>
      <w:r w:rsidRPr="0001503D">
        <w:rPr>
          <w:rFonts w:asciiTheme="minorEastAsia" w:eastAsiaTheme="minorEastAsia" w:hAnsiTheme="minorEastAsia" w:hint="eastAsia"/>
        </w:rPr>
        <w:t>年中国农业银行</w:t>
      </w:r>
      <w:r w:rsidRPr="0001503D">
        <w:rPr>
          <w:rFonts w:asciiTheme="minorEastAsia" w:eastAsiaTheme="minorEastAsia" w:hAnsiTheme="minorEastAsia" w:hint="eastAsia"/>
        </w:rPr>
        <w:lastRenderedPageBreak/>
        <w:t>通过了美国</w:t>
      </w:r>
      <w:r w:rsidRPr="0001503D">
        <w:rPr>
          <w:rFonts w:asciiTheme="minorEastAsia" w:eastAsiaTheme="minorEastAsia" w:hAnsiTheme="minorEastAsia"/>
        </w:rPr>
        <w:t>SAS70</w:t>
      </w:r>
      <w:r w:rsidRPr="0001503D">
        <w:rPr>
          <w:rFonts w:asciiTheme="minorEastAsia" w:eastAsiaTheme="minorEastAsia" w:hAnsiTheme="minorEastAsia" w:hint="eastAsia"/>
        </w:rPr>
        <w:t>内部控制审计，并获得无保留意见的</w:t>
      </w:r>
      <w:r w:rsidRPr="0001503D">
        <w:rPr>
          <w:rFonts w:asciiTheme="minorEastAsia" w:eastAsiaTheme="minorEastAsia" w:hAnsiTheme="minorEastAsia"/>
        </w:rPr>
        <w:t>SAS70</w:t>
      </w:r>
      <w:r w:rsidRPr="0001503D">
        <w:rPr>
          <w:rFonts w:asciiTheme="minorEastAsia" w:eastAsiaTheme="minorEastAsia" w:hAnsiTheme="minorEastAsia" w:hint="eastAsia"/>
        </w:rPr>
        <w:t>审计报告。自</w:t>
      </w:r>
      <w:r w:rsidRPr="0001503D">
        <w:rPr>
          <w:rFonts w:asciiTheme="minorEastAsia" w:eastAsiaTheme="minorEastAsia" w:hAnsiTheme="minorEastAsia"/>
        </w:rPr>
        <w:t>2010</w:t>
      </w:r>
      <w:r w:rsidRPr="0001503D">
        <w:rPr>
          <w:rFonts w:asciiTheme="minorEastAsia" w:eastAsiaTheme="minorEastAsia" w:hAnsiTheme="minorEastAsia" w:hint="eastAsia"/>
        </w:rPr>
        <w:t>年起中国农业银行连续通过托管业务国际内控标准（</w:t>
      </w:r>
      <w:r w:rsidRPr="0001503D">
        <w:rPr>
          <w:rFonts w:asciiTheme="minorEastAsia" w:eastAsiaTheme="minorEastAsia" w:hAnsiTheme="minorEastAsia"/>
        </w:rPr>
        <w:t>ISAE3402</w:t>
      </w:r>
      <w:r w:rsidRPr="0001503D">
        <w:rPr>
          <w:rFonts w:asciiTheme="minorEastAsia" w:eastAsiaTheme="minorEastAsia" w:hAnsiTheme="minorEastAsia" w:hint="eastAsia"/>
        </w:rPr>
        <w:t>）认证，表明了独立公正第三方对中国农业银行托管服务运作流程的风险管理、内部控制的健全有效性的全面认可。中国农业银行着力加强能力建设，品牌声誉进一步提升，在</w:t>
      </w:r>
      <w:r w:rsidRPr="0001503D">
        <w:rPr>
          <w:rFonts w:asciiTheme="minorEastAsia" w:eastAsiaTheme="minorEastAsia" w:hAnsiTheme="minorEastAsia"/>
        </w:rPr>
        <w:t>2010</w:t>
      </w:r>
      <w:r w:rsidRPr="0001503D">
        <w:rPr>
          <w:rFonts w:asciiTheme="minorEastAsia" w:eastAsiaTheme="minorEastAsia" w:hAnsiTheme="minorEastAsia" w:hint="eastAsia"/>
        </w:rPr>
        <w:t>年首届“‘金牌理财’</w:t>
      </w:r>
      <w:r w:rsidRPr="0001503D">
        <w:rPr>
          <w:rFonts w:asciiTheme="minorEastAsia" w:eastAsiaTheme="minorEastAsia" w:hAnsiTheme="minorEastAsia"/>
        </w:rPr>
        <w:t>TOP10</w:t>
      </w:r>
      <w:r w:rsidRPr="0001503D">
        <w:rPr>
          <w:rFonts w:asciiTheme="minorEastAsia" w:eastAsiaTheme="minorEastAsia" w:hAnsiTheme="minorEastAsia" w:hint="eastAsia"/>
        </w:rPr>
        <w:t>颁奖盛典”中成绩突出，获“最佳托管银行”奖。</w:t>
      </w:r>
      <w:r w:rsidRPr="0001503D">
        <w:rPr>
          <w:rFonts w:asciiTheme="minorEastAsia" w:eastAsiaTheme="minorEastAsia" w:hAnsiTheme="minorEastAsia"/>
        </w:rPr>
        <w:t>2010</w:t>
      </w:r>
      <w:r w:rsidRPr="0001503D">
        <w:rPr>
          <w:rFonts w:asciiTheme="minorEastAsia" w:eastAsiaTheme="minorEastAsia" w:hAnsiTheme="minorEastAsia" w:hint="eastAsia"/>
        </w:rPr>
        <w:t>年再次荣获《首席财务官》杂志颁发的“最佳资产托管奖”。</w:t>
      </w:r>
      <w:r w:rsidRPr="0001503D">
        <w:rPr>
          <w:rFonts w:asciiTheme="minorEastAsia" w:eastAsiaTheme="minorEastAsia" w:hAnsiTheme="minorEastAsia"/>
        </w:rPr>
        <w:t>2012</w:t>
      </w:r>
      <w:r w:rsidRPr="0001503D">
        <w:rPr>
          <w:rFonts w:asciiTheme="minorEastAsia" w:eastAsiaTheme="minorEastAsia" w:hAnsiTheme="minorEastAsia" w:hint="eastAsia"/>
        </w:rPr>
        <w:t>年荣获第十届中国财经风云榜“最佳资产托管银行”称号；</w:t>
      </w:r>
      <w:r w:rsidRPr="0001503D">
        <w:rPr>
          <w:rFonts w:asciiTheme="minorEastAsia" w:eastAsiaTheme="minorEastAsia" w:hAnsiTheme="minorEastAsia"/>
        </w:rPr>
        <w:t>2013</w:t>
      </w:r>
      <w:r w:rsidRPr="0001503D">
        <w:rPr>
          <w:rFonts w:asciiTheme="minorEastAsia" w:eastAsiaTheme="minorEastAsia" w:hAnsiTheme="minorEastAsia" w:hint="eastAsia"/>
        </w:rPr>
        <w:t>年至</w:t>
      </w:r>
      <w:r w:rsidRPr="0001503D">
        <w:rPr>
          <w:rFonts w:asciiTheme="minorEastAsia" w:eastAsiaTheme="minorEastAsia" w:hAnsiTheme="minorEastAsia"/>
        </w:rPr>
        <w:t>2017</w:t>
      </w:r>
      <w:r w:rsidRPr="0001503D">
        <w:rPr>
          <w:rFonts w:asciiTheme="minorEastAsia" w:eastAsiaTheme="minorEastAsia" w:hAnsiTheme="minorEastAsia" w:hint="eastAsia"/>
        </w:rPr>
        <w:t>年连续荣获上海清算所授予的“托管银行优秀奖”和中央国债登记结算有限责任公司授予的“优秀托管机构奖”称号；</w:t>
      </w:r>
      <w:r w:rsidRPr="0001503D">
        <w:rPr>
          <w:rFonts w:asciiTheme="minorEastAsia" w:eastAsiaTheme="minorEastAsia" w:hAnsiTheme="minorEastAsia"/>
        </w:rPr>
        <w:t>2015</w:t>
      </w:r>
      <w:r w:rsidRPr="0001503D">
        <w:rPr>
          <w:rFonts w:asciiTheme="minorEastAsia" w:eastAsiaTheme="minorEastAsia" w:hAnsiTheme="minorEastAsia" w:hint="eastAsia"/>
        </w:rPr>
        <w:t>年、</w:t>
      </w:r>
      <w:r w:rsidRPr="0001503D">
        <w:rPr>
          <w:rFonts w:asciiTheme="minorEastAsia" w:eastAsiaTheme="minorEastAsia" w:hAnsiTheme="minorEastAsia"/>
        </w:rPr>
        <w:t>2016</w:t>
      </w:r>
      <w:r w:rsidRPr="0001503D">
        <w:rPr>
          <w:rFonts w:asciiTheme="minorEastAsia" w:eastAsiaTheme="minorEastAsia" w:hAnsiTheme="minorEastAsia" w:hint="eastAsia"/>
        </w:rPr>
        <w:t>年荣获中国银行业协会授予的“养老金业务最佳发展奖”称号；</w:t>
      </w:r>
      <w:r w:rsidRPr="0001503D">
        <w:rPr>
          <w:rFonts w:asciiTheme="minorEastAsia" w:eastAsiaTheme="minorEastAsia" w:hAnsiTheme="minorEastAsia"/>
        </w:rPr>
        <w:t>2018</w:t>
      </w:r>
      <w:r w:rsidRPr="0001503D">
        <w:rPr>
          <w:rFonts w:asciiTheme="minorEastAsia" w:eastAsiaTheme="minorEastAsia" w:hAnsiTheme="minorEastAsia" w:hint="eastAsia"/>
        </w:rPr>
        <w:t>年荣获中国基金报授予的公募基金</w:t>
      </w:r>
      <w:r w:rsidRPr="0001503D">
        <w:rPr>
          <w:rFonts w:asciiTheme="minorEastAsia" w:eastAsiaTheme="minorEastAsia" w:hAnsiTheme="minorEastAsia"/>
        </w:rPr>
        <w:t>20</w:t>
      </w:r>
      <w:r w:rsidRPr="0001503D">
        <w:rPr>
          <w:rFonts w:asciiTheme="minorEastAsia" w:eastAsiaTheme="minorEastAsia" w:hAnsiTheme="minorEastAsia" w:hint="eastAsia"/>
        </w:rPr>
        <w:t>年“最佳基金托管银行”奖；</w:t>
      </w:r>
      <w:r w:rsidRPr="0001503D">
        <w:rPr>
          <w:rFonts w:asciiTheme="minorEastAsia" w:eastAsiaTheme="minorEastAsia" w:hAnsiTheme="minorEastAsia"/>
        </w:rPr>
        <w:t>2019</w:t>
      </w:r>
      <w:r w:rsidRPr="0001503D">
        <w:rPr>
          <w:rFonts w:asciiTheme="minorEastAsia" w:eastAsiaTheme="minorEastAsia" w:hAnsiTheme="minorEastAsia" w:hint="eastAsia"/>
        </w:rPr>
        <w:t>年荣获证券时报授予的“</w:t>
      </w:r>
      <w:r w:rsidRPr="0001503D">
        <w:rPr>
          <w:rFonts w:asciiTheme="minorEastAsia" w:eastAsiaTheme="minorEastAsia" w:hAnsiTheme="minorEastAsia"/>
        </w:rPr>
        <w:t>2019</w:t>
      </w:r>
      <w:r w:rsidRPr="0001503D">
        <w:rPr>
          <w:rFonts w:asciiTheme="minorEastAsia" w:eastAsiaTheme="minorEastAsia" w:hAnsiTheme="minorEastAsia" w:hint="eastAsia"/>
        </w:rPr>
        <w:t>年度资产托管银行天玑奖”称号。</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中国农业银行证券投资基金托管部于</w:t>
      </w:r>
      <w:r w:rsidRPr="0001503D">
        <w:rPr>
          <w:rFonts w:asciiTheme="minorEastAsia" w:eastAsiaTheme="minorEastAsia" w:hAnsiTheme="minorEastAsia"/>
        </w:rPr>
        <w:t>1998</w:t>
      </w:r>
      <w:r w:rsidRPr="0001503D">
        <w:rPr>
          <w:rFonts w:asciiTheme="minorEastAsia" w:eastAsiaTheme="minorEastAsia" w:hAnsiTheme="minorEastAsia" w:hint="eastAsia"/>
        </w:rPr>
        <w:t>年</w:t>
      </w:r>
      <w:r w:rsidRPr="0001503D">
        <w:rPr>
          <w:rFonts w:asciiTheme="minorEastAsia" w:eastAsiaTheme="minorEastAsia" w:hAnsiTheme="minorEastAsia"/>
        </w:rPr>
        <w:t>5</w:t>
      </w:r>
      <w:r w:rsidRPr="0001503D">
        <w:rPr>
          <w:rFonts w:asciiTheme="minorEastAsia" w:eastAsiaTheme="minorEastAsia" w:hAnsiTheme="minorEastAsia" w:hint="eastAsia"/>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2</w:t>
      </w:r>
      <w:r w:rsidRPr="0001503D">
        <w:rPr>
          <w:rFonts w:asciiTheme="minorEastAsia" w:eastAsiaTheme="minorEastAsia" w:hAnsiTheme="minorEastAsia" w:hint="eastAsia"/>
        </w:rPr>
        <w:t>、主要人员情况</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中国农业银行托管业务部现有员工近</w:t>
      </w:r>
      <w:r w:rsidRPr="0001503D">
        <w:rPr>
          <w:rFonts w:asciiTheme="minorEastAsia" w:eastAsiaTheme="minorEastAsia" w:hAnsiTheme="minorEastAsia"/>
        </w:rPr>
        <w:t>310</w:t>
      </w:r>
      <w:r w:rsidRPr="0001503D">
        <w:rPr>
          <w:rFonts w:asciiTheme="minorEastAsia" w:eastAsiaTheme="minorEastAsia" w:hAnsiTheme="minorEastAsia" w:hint="eastAsia"/>
        </w:rPr>
        <w:t>名，其中具有高级职称的专家</w:t>
      </w:r>
      <w:r w:rsidRPr="0001503D">
        <w:rPr>
          <w:rFonts w:asciiTheme="minorEastAsia" w:eastAsiaTheme="minorEastAsia" w:hAnsiTheme="minorEastAsia"/>
        </w:rPr>
        <w:t>60</w:t>
      </w:r>
      <w:r w:rsidRPr="0001503D">
        <w:rPr>
          <w:rFonts w:asciiTheme="minorEastAsia" w:eastAsiaTheme="minorEastAsia" w:hAnsiTheme="minorEastAsia" w:hint="eastAsia"/>
        </w:rPr>
        <w:t>名，服务团队成员专业水平高、业务素质好、服务能力强，高级管理层均有</w:t>
      </w:r>
      <w:r w:rsidRPr="0001503D">
        <w:rPr>
          <w:rFonts w:asciiTheme="minorEastAsia" w:eastAsiaTheme="minorEastAsia" w:hAnsiTheme="minorEastAsia"/>
        </w:rPr>
        <w:t>20</w:t>
      </w:r>
      <w:r w:rsidRPr="0001503D">
        <w:rPr>
          <w:rFonts w:asciiTheme="minorEastAsia" w:eastAsiaTheme="minorEastAsia" w:hAnsiTheme="minorEastAsia" w:hint="eastAsia"/>
        </w:rPr>
        <w:t>年以上金融从业经验和高级技术职称，精通国内外证券市场的运作。</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3</w:t>
      </w:r>
      <w:r w:rsidRPr="0001503D">
        <w:rPr>
          <w:rFonts w:asciiTheme="minorEastAsia" w:eastAsiaTheme="minorEastAsia" w:hAnsiTheme="minorEastAsia" w:hint="eastAsia"/>
        </w:rPr>
        <w:t>、基金托管业务经营情况</w:t>
      </w:r>
    </w:p>
    <w:p w:rsidR="008E79F6" w:rsidRPr="0001503D" w:rsidRDefault="008E79F6" w:rsidP="008E79F6">
      <w:pPr>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截止到</w:t>
      </w:r>
      <w:r w:rsidRPr="0001503D">
        <w:rPr>
          <w:rFonts w:asciiTheme="minorEastAsia" w:eastAsiaTheme="minorEastAsia" w:hAnsiTheme="minorEastAsia"/>
        </w:rPr>
        <w:t>2020</w:t>
      </w:r>
      <w:r w:rsidRPr="0001503D">
        <w:rPr>
          <w:rFonts w:asciiTheme="minorEastAsia" w:eastAsiaTheme="minorEastAsia" w:hAnsiTheme="minorEastAsia" w:hint="eastAsia"/>
        </w:rPr>
        <w:t>年</w:t>
      </w:r>
      <w:r w:rsidRPr="0001503D">
        <w:rPr>
          <w:rFonts w:asciiTheme="minorEastAsia" w:eastAsiaTheme="minorEastAsia" w:hAnsiTheme="minorEastAsia"/>
        </w:rPr>
        <w:t>3</w:t>
      </w:r>
      <w:r w:rsidRPr="0001503D">
        <w:rPr>
          <w:rFonts w:asciiTheme="minorEastAsia" w:eastAsiaTheme="minorEastAsia" w:hAnsiTheme="minorEastAsia" w:hint="eastAsia"/>
        </w:rPr>
        <w:t>月</w:t>
      </w:r>
      <w:r w:rsidRPr="0001503D">
        <w:rPr>
          <w:rFonts w:asciiTheme="minorEastAsia" w:eastAsiaTheme="minorEastAsia" w:hAnsiTheme="minorEastAsia"/>
        </w:rPr>
        <w:t>31</w:t>
      </w:r>
      <w:r w:rsidRPr="0001503D">
        <w:rPr>
          <w:rFonts w:asciiTheme="minorEastAsia" w:eastAsiaTheme="minorEastAsia" w:hAnsiTheme="minorEastAsia" w:hint="eastAsia"/>
        </w:rPr>
        <w:t>日，中国农业银行托管的封闭式证券投资基金和开放式证券投资基金共</w:t>
      </w:r>
      <w:r w:rsidRPr="0001503D">
        <w:rPr>
          <w:rFonts w:asciiTheme="minorEastAsia" w:eastAsiaTheme="minorEastAsia" w:hAnsiTheme="minorEastAsia"/>
        </w:rPr>
        <w:t>523</w:t>
      </w:r>
      <w:r w:rsidRPr="0001503D">
        <w:rPr>
          <w:rFonts w:asciiTheme="minorEastAsia" w:eastAsiaTheme="minorEastAsia" w:hAnsiTheme="minorEastAsia" w:hint="eastAsia"/>
        </w:rPr>
        <w:t>只。</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（二）基金托管人的内部风险控制制度说明</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1、内部控制目标</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2、内部控制组织结构</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风险管理委员会总体负责中国农业银行的风险管理与内部控制工作,对托管业务风险</w:t>
      </w:r>
      <w:r w:rsidRPr="0001503D">
        <w:rPr>
          <w:rFonts w:asciiTheme="minorEastAsia" w:eastAsiaTheme="minorEastAsia" w:hAnsiTheme="minorEastAsia" w:cs="宋体" w:hint="eastAsia"/>
          <w:bCs/>
          <w:szCs w:val="21"/>
        </w:rPr>
        <w:lastRenderedPageBreak/>
        <w:t>管理和内部控制工作进行监督和评价。托管业务部专门设置了风险管理处,配备了专职内控监督人员负责托管业务的内控监督工作,独立行使监督稽核职权。</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3、内部控制制度及措施</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（三）基金托管人对基金管理人运作基金进行监督的方法和程序</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当基金出现异常交易行为时，基金托管人应当针对不同情况进行以下方式的处理：</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1、电话提示。对媒体和舆论反映集中的问题，电话提示基金管理人；</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2、书面警示。对本基金投资比例接近超标、资金头寸不足等问题，以书面方式对基金管理人进行提示；</w:t>
      </w:r>
    </w:p>
    <w:p w:rsidR="008E79F6" w:rsidRPr="0001503D" w:rsidRDefault="008E79F6" w:rsidP="008E79F6">
      <w:pPr>
        <w:spacing w:line="360" w:lineRule="auto"/>
        <w:ind w:firstLineChars="200" w:firstLine="420"/>
        <w:rPr>
          <w:rFonts w:asciiTheme="minorEastAsia" w:eastAsiaTheme="minorEastAsia" w:hAnsiTheme="minorEastAsia" w:cs="宋体"/>
          <w:bCs/>
          <w:szCs w:val="21"/>
        </w:rPr>
      </w:pPr>
      <w:r w:rsidRPr="0001503D">
        <w:rPr>
          <w:rFonts w:asciiTheme="minorEastAsia" w:eastAsiaTheme="minorEastAsia" w:hAnsiTheme="minorEastAsia" w:cs="宋体" w:hint="eastAsia"/>
          <w:bCs/>
          <w:szCs w:val="21"/>
        </w:rPr>
        <w:t>3、书面报告。对投资比例超标、清算资金透支以及其他涉嫌违规交易等行为，书面提示有关基金管理人并报中国证监会。</w:t>
      </w:r>
    </w:p>
    <w:p w:rsidR="008E79F6" w:rsidRPr="0001503D" w:rsidRDefault="008E79F6" w:rsidP="008E79F6">
      <w:pPr>
        <w:rPr>
          <w:rFonts w:asciiTheme="minorEastAsia" w:eastAsiaTheme="minorEastAsia" w:hAnsiTheme="minorEastAsia"/>
          <w:szCs w:val="20"/>
        </w:rPr>
      </w:pPr>
    </w:p>
    <w:p w:rsidR="002F5370" w:rsidRPr="0001503D" w:rsidRDefault="002F5370" w:rsidP="00467CAF">
      <w:pPr>
        <w:pStyle w:val="111"/>
        <w:snapToGrid w:val="0"/>
        <w:spacing w:beforeLines="0" w:afterLines="0" w:line="360" w:lineRule="auto"/>
        <w:ind w:firstLineChars="0" w:firstLine="0"/>
        <w:rPr>
          <w:rFonts w:asciiTheme="minorEastAsia" w:eastAsiaTheme="minorEastAsia" w:hAnsiTheme="minorEastAsia"/>
          <w:b/>
          <w:szCs w:val="32"/>
        </w:rPr>
      </w:pPr>
      <w:bookmarkStart w:id="28" w:name="_Toc238870162"/>
      <w:bookmarkStart w:id="29" w:name="_Toc28803526"/>
      <w:bookmarkEnd w:id="25"/>
      <w:bookmarkEnd w:id="26"/>
      <w:bookmarkEnd w:id="27"/>
      <w:r w:rsidRPr="0001503D">
        <w:rPr>
          <w:rFonts w:asciiTheme="minorEastAsia" w:eastAsiaTheme="minorEastAsia" w:hAnsiTheme="minorEastAsia" w:hint="eastAsia"/>
          <w:szCs w:val="21"/>
        </w:rPr>
        <w:lastRenderedPageBreak/>
        <w:t>五、相关服务机构</w:t>
      </w:r>
      <w:bookmarkEnd w:id="28"/>
      <w:bookmarkEnd w:id="29"/>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0" w:name="_Toc28803527"/>
      <w:r w:rsidRPr="0001503D">
        <w:rPr>
          <w:rFonts w:asciiTheme="minorEastAsia" w:eastAsiaTheme="minorEastAsia" w:hAnsiTheme="minorEastAsia" w:hint="eastAsia"/>
          <w:b w:val="0"/>
          <w:bCs/>
          <w:szCs w:val="21"/>
        </w:rPr>
        <w:t>（一）基金份额</w:t>
      </w:r>
      <w:r w:rsidR="00130437" w:rsidRPr="0001503D">
        <w:rPr>
          <w:rFonts w:asciiTheme="minorEastAsia" w:eastAsiaTheme="minorEastAsia" w:hAnsiTheme="minorEastAsia" w:hint="eastAsia"/>
          <w:b w:val="0"/>
          <w:bCs/>
          <w:szCs w:val="21"/>
        </w:rPr>
        <w:t>销售</w:t>
      </w:r>
      <w:r w:rsidRPr="0001503D">
        <w:rPr>
          <w:rFonts w:asciiTheme="minorEastAsia" w:eastAsiaTheme="minorEastAsia" w:hAnsiTheme="minorEastAsia" w:hint="eastAsia"/>
          <w:b w:val="0"/>
          <w:bCs/>
          <w:szCs w:val="21"/>
        </w:rPr>
        <w:t>机构</w:t>
      </w:r>
      <w:bookmarkEnd w:id="30"/>
    </w:p>
    <w:p w:rsidR="002F5370" w:rsidRPr="0001503D" w:rsidRDefault="000B57E8" w:rsidP="000B57E8">
      <w:pPr>
        <w:tabs>
          <w:tab w:val="num" w:pos="360"/>
        </w:tabs>
        <w:snapToGrid w:val="0"/>
        <w:spacing w:line="360" w:lineRule="auto"/>
        <w:ind w:leftChars="171" w:left="359"/>
        <w:rPr>
          <w:rFonts w:asciiTheme="minorEastAsia" w:eastAsiaTheme="minorEastAsia" w:hAnsiTheme="minorEastAsia"/>
          <w:b/>
          <w:szCs w:val="21"/>
        </w:rPr>
      </w:pPr>
      <w:r w:rsidRPr="0001503D">
        <w:rPr>
          <w:rFonts w:asciiTheme="minorEastAsia" w:eastAsiaTheme="minorEastAsia" w:hAnsiTheme="minorEastAsia" w:hint="eastAsia"/>
          <w:b/>
          <w:szCs w:val="21"/>
        </w:rPr>
        <w:t>1、</w:t>
      </w:r>
      <w:r w:rsidR="002F5370" w:rsidRPr="0001503D">
        <w:rPr>
          <w:rFonts w:asciiTheme="minorEastAsia" w:eastAsiaTheme="minorEastAsia" w:hAnsiTheme="minorEastAsia" w:hint="eastAsia"/>
          <w:b/>
          <w:szCs w:val="21"/>
        </w:rPr>
        <w:t>直销机构：易方达基金管理有限公司</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注册地址：</w:t>
      </w:r>
      <w:r w:rsidR="00066B61" w:rsidRPr="0001503D">
        <w:rPr>
          <w:rStyle w:val="da"/>
          <w:rFonts w:asciiTheme="minorEastAsia" w:eastAsiaTheme="minorEastAsia" w:hAnsiTheme="minorEastAsia" w:hint="eastAsia"/>
        </w:rPr>
        <w:t>广东省珠海市横琴新区宝华路6号105室－42891（集中办公区）</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办公地址：</w:t>
      </w:r>
      <w:r w:rsidR="00C9553C" w:rsidRPr="0001503D">
        <w:rPr>
          <w:rFonts w:asciiTheme="minorEastAsia" w:eastAsiaTheme="minorEastAsia" w:hAnsiTheme="minorEastAsia" w:hint="eastAsia"/>
          <w:szCs w:val="21"/>
        </w:rPr>
        <w:t>广州市天河区珠江新城珠江东路30号广州银行大厦40-43楼</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法定代表人：</w:t>
      </w:r>
      <w:r w:rsidR="008D3A67" w:rsidRPr="0001503D">
        <w:rPr>
          <w:rFonts w:asciiTheme="minorEastAsia" w:eastAsiaTheme="minorEastAsia" w:hAnsiTheme="minorEastAsia" w:hint="eastAsia"/>
          <w:szCs w:val="21"/>
        </w:rPr>
        <w:t>刘晓艳</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电话：020-85102506</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传真：4008818099</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联系人：</w:t>
      </w:r>
      <w:r w:rsidR="00085FF3" w:rsidRPr="0001503D">
        <w:rPr>
          <w:rFonts w:asciiTheme="minorEastAsia" w:eastAsiaTheme="minorEastAsia" w:hAnsiTheme="minorEastAsia" w:hint="eastAsia"/>
          <w:szCs w:val="21"/>
        </w:rPr>
        <w:t>王峰</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网址：www.efunds.com.cn</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直销机构网点信息：</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（1）易方达基金管理有限公司广州直销中心</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办公地址：</w:t>
      </w:r>
      <w:r w:rsidR="00C9553C" w:rsidRPr="0001503D">
        <w:rPr>
          <w:rFonts w:asciiTheme="minorEastAsia" w:eastAsiaTheme="minorEastAsia" w:hAnsiTheme="minorEastAsia" w:hint="eastAsia"/>
          <w:szCs w:val="21"/>
        </w:rPr>
        <w:t>广州市天河区珠江新城珠江东路30号广州银行大厦40楼</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电话：020-85102506</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传真：4008818099</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联系人：</w:t>
      </w:r>
      <w:r w:rsidR="00085FF3" w:rsidRPr="0001503D">
        <w:rPr>
          <w:rFonts w:asciiTheme="minorEastAsia" w:eastAsiaTheme="minorEastAsia" w:hAnsiTheme="minorEastAsia" w:hint="eastAsia"/>
          <w:szCs w:val="21"/>
        </w:rPr>
        <w:t>王峰</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（2）易方达基金管理有限公司北京直销中心</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办公地址：</w:t>
      </w:r>
      <w:r w:rsidR="008661DF" w:rsidRPr="0001503D">
        <w:rPr>
          <w:rFonts w:asciiTheme="minorEastAsia" w:eastAsiaTheme="minorEastAsia" w:hAnsiTheme="minorEastAsia" w:hint="eastAsia"/>
          <w:szCs w:val="21"/>
        </w:rPr>
        <w:t>北京市西城区武定侯街2号泰康国际大厦18层</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电话：010-63213377</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传真：4008818099</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联系人：</w:t>
      </w:r>
      <w:r w:rsidR="008D3A67" w:rsidRPr="0001503D">
        <w:rPr>
          <w:rFonts w:asciiTheme="minorEastAsia" w:eastAsiaTheme="minorEastAsia" w:hAnsiTheme="minorEastAsia" w:hint="eastAsia"/>
          <w:szCs w:val="21"/>
        </w:rPr>
        <w:t>刘蕾</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（3）易方达基金管理有限公司上海直销中心</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办公地址：上海市</w:t>
      </w:r>
      <w:r w:rsidR="00474521" w:rsidRPr="0001503D">
        <w:rPr>
          <w:rFonts w:asciiTheme="minorEastAsia" w:eastAsiaTheme="minorEastAsia" w:hAnsiTheme="minorEastAsia" w:hint="eastAsia"/>
          <w:szCs w:val="21"/>
        </w:rPr>
        <w:t>浦东</w:t>
      </w:r>
      <w:r w:rsidR="00474521" w:rsidRPr="0001503D">
        <w:rPr>
          <w:rFonts w:asciiTheme="minorEastAsia" w:eastAsiaTheme="minorEastAsia" w:hAnsiTheme="minorEastAsia"/>
          <w:szCs w:val="21"/>
        </w:rPr>
        <w:t>新区</w:t>
      </w:r>
      <w:r w:rsidRPr="0001503D">
        <w:rPr>
          <w:rFonts w:asciiTheme="minorEastAsia" w:eastAsiaTheme="minorEastAsia" w:hAnsiTheme="minorEastAsia" w:hint="eastAsia"/>
          <w:szCs w:val="21"/>
        </w:rPr>
        <w:t>世纪大道88号金</w:t>
      </w:r>
      <w:r w:rsidR="00C9553C" w:rsidRPr="0001503D">
        <w:rPr>
          <w:rFonts w:asciiTheme="minorEastAsia" w:eastAsiaTheme="minorEastAsia" w:hAnsiTheme="minorEastAsia" w:hint="eastAsia"/>
          <w:szCs w:val="21"/>
        </w:rPr>
        <w:t>茂</w:t>
      </w:r>
      <w:r w:rsidRPr="0001503D">
        <w:rPr>
          <w:rFonts w:asciiTheme="minorEastAsia" w:eastAsiaTheme="minorEastAsia" w:hAnsiTheme="minorEastAsia" w:hint="eastAsia"/>
          <w:szCs w:val="21"/>
        </w:rPr>
        <w:t>大厦</w:t>
      </w:r>
      <w:r w:rsidR="00474521" w:rsidRPr="0001503D">
        <w:rPr>
          <w:rFonts w:asciiTheme="minorEastAsia" w:eastAsiaTheme="minorEastAsia" w:hAnsiTheme="minorEastAsia"/>
          <w:szCs w:val="21"/>
        </w:rPr>
        <w:t>46楼</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电话：021-50476668</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传真：4008818099</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联系人：</w:t>
      </w:r>
      <w:r w:rsidR="00DC6680" w:rsidRPr="0001503D">
        <w:rPr>
          <w:rFonts w:asciiTheme="minorEastAsia" w:eastAsiaTheme="minorEastAsia" w:hAnsiTheme="minorEastAsia" w:hint="eastAsia"/>
          <w:szCs w:val="21"/>
        </w:rPr>
        <w:t>王程</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（4）易方达基金管理有限公司网上交易系统</w:t>
      </w:r>
    </w:p>
    <w:p w:rsidR="002F5370" w:rsidRPr="0001503D"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01503D">
        <w:rPr>
          <w:rFonts w:asciiTheme="minorEastAsia" w:eastAsiaTheme="minorEastAsia" w:hAnsiTheme="minorEastAsia" w:hint="eastAsia"/>
          <w:szCs w:val="21"/>
        </w:rPr>
        <w:t>网址：www.efunds.com.cn</w:t>
      </w:r>
    </w:p>
    <w:p w:rsidR="002F5370" w:rsidRPr="0001503D" w:rsidRDefault="002F5370" w:rsidP="000B57E8">
      <w:pPr>
        <w:snapToGrid w:val="0"/>
        <w:spacing w:line="360" w:lineRule="auto"/>
        <w:ind w:firstLine="480"/>
        <w:rPr>
          <w:rFonts w:asciiTheme="minorEastAsia" w:eastAsiaTheme="minorEastAsia" w:hAnsiTheme="minorEastAsia"/>
          <w:b/>
          <w:szCs w:val="21"/>
        </w:rPr>
      </w:pPr>
      <w:r w:rsidRPr="0001503D">
        <w:rPr>
          <w:rFonts w:asciiTheme="minorEastAsia" w:eastAsiaTheme="minorEastAsia" w:hAnsiTheme="minorEastAsia" w:hint="eastAsia"/>
          <w:b/>
          <w:szCs w:val="21"/>
        </w:rPr>
        <w:t>2</w:t>
      </w:r>
      <w:r w:rsidR="000B57E8" w:rsidRPr="0001503D">
        <w:rPr>
          <w:rFonts w:asciiTheme="minorEastAsia" w:eastAsiaTheme="minorEastAsia" w:hAnsiTheme="minorEastAsia" w:hint="eastAsia"/>
          <w:b/>
          <w:szCs w:val="21"/>
        </w:rPr>
        <w:t>、</w:t>
      </w:r>
      <w:r w:rsidR="00C512E8" w:rsidRPr="0001503D">
        <w:rPr>
          <w:rFonts w:asciiTheme="minorEastAsia" w:eastAsiaTheme="minorEastAsia" w:hAnsiTheme="minorEastAsia" w:hint="eastAsia"/>
          <w:b/>
          <w:szCs w:val="21"/>
        </w:rPr>
        <w:t>非直销销售</w:t>
      </w:r>
      <w:r w:rsidRPr="0001503D">
        <w:rPr>
          <w:rFonts w:asciiTheme="minorEastAsia" w:eastAsiaTheme="minorEastAsia" w:hAnsiTheme="minorEastAsia" w:hint="eastAsia"/>
          <w:b/>
          <w:szCs w:val="21"/>
        </w:rPr>
        <w:t>机构（以下排序不分先后）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 中国农业银行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注册地址：北京市东城区建国门内大街69号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办公地址：北京市东城区建国门内大街69号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法定代表人：周慕冰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联系人：李紫钰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传真：010-85109219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网址：www.abchina.com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 渤海银行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注册地址：天津市河东区海河东路218号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办公地址：天津市河东区海河东路218号渤海银行大厦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法定代表人：李伏安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联系电话：022-58316666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客户服务电话：95541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传真：022-58316569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网址：www.cbhb.com.cn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 广发银行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注册地址：广东省广州市越秀区东风东路713号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办公地址：广东省广州市越秀区东风东路713号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法定代表人：尹兆君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客户服务电话：400-830-8003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网址：www.cgbchina.com.cn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 华夏银行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注册地址：北京市东城区建国门内大街22号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办公地址：北京市东城区建国门内大街22号华夏银行大厦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法定代表人：李民吉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联系人：刘湘波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传真：010-85238680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网址：www.hxb.com.cn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 交通银行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注册地址：中国（上海）自由贸易试验区银城中路188号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办公地址：中国（上海）自由贸易试验区银城中路188号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法定代表人：任德奇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联系人：王菁</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联系电话：021-58781234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客户服务电话：95559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网址：www.bankcomm.com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 平安银行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注册地址：广东省深圳市罗湖区深南东路5047号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办公地址：广东省深圳市罗湖区深南东路5047号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法定代表人：谢永林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联系人：赵杨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联系电话：0755-22166574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客户服务电话：95511-3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传真：021-50979507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网址：bank.pingan.com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 浦发银行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注册地址：上海市中山东一路12号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办公地址：上海市中山东一路12号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法定代表人：郑杨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联系人：赵守良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联系电话：021-61618888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传真：021-63604196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网址：www.spdb.com.cn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 兴业银行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注册地址：福州市湖东路154号中山大厦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办公地址：上海市银城路167号兴业银行大厦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法定代表人：陶以平（代为履行法定代表人职权）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联系人：孙琪虹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网址：www.cib.com.cn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 招商银行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注册地址：深圳市福田区深南大道7088号招商银行大厦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办公地址：深圳市福田区深南大道7088号招商银行大厦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法定代表人：李建红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联系人：季平伟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客户服务电话：95555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网址：www.cmbchina.com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 浙商银行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注册地址：浙江省杭州市萧山区鸿宁路1788号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办公地址：浙江杭州市庆春路288号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法定代表人：沈仁康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联系人：沈崟杰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联系电话：0571- 88261822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传真：0571-87659954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网址：www.czbank.com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 中国工商银行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注册地址：北京西城区复兴门内大街55号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办公地址：北京西城区复兴门内大街55号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法定代表人：陈四清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网址：www.icbc.com.cn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 中国光大银行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注册地址：北京市西城区太平桥大街25号、甲25号中国光大中心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办公地址：北京市西城区太平桥大街25号金融街F3大厦（中国光大中心）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法定代表人：李晓鹏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联系人：朱红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联系电话：010-63636153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传真：010-63639709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网址：www.cebbank.com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 中国建设银行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注册地址：北京市西城区金融大街25号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办公地址：北京市西城区闹市口大街1号院1号楼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法定代表人：田国立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联系人：王未雨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网址：www.ccb.com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 中国民生银行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注册地址：北京市西城区复兴门内大街2号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办公地址：北京市西城区复兴门内大街2号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法定代表人：洪崎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联系人：徐野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网址：www.cmbc.com.cn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 中国银行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注册地址：北京市西城区复兴门内大街1号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办公地址：北京市西城区复兴门内大街1号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法定代表人：刘连舸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网址：www.boc.cn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 中国邮政储蓄银行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法定代表人：张金良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传真：010-68858057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网址：www.psbc.com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 中信银行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注册地址：北京市东城区朝阳门北大街9号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办公地址：北京市东城区朝阳门北大街9号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法定代表人：李庆萍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联系人：王晓琳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传真：010-85230049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网址：bank.ecitic.com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 包商银行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注册地址：内蒙古自治区包头市青山区钢铁大街6号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办公地址：内蒙古自治区包头市青山区钢铁大街6号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法定代表人：周学东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联系人：张晶</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联系电话：0472-5189165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传真：010-84596546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网址：www.bsb.com.cn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 北京农商银行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注册地址：北京市西城区月坛南街1号院2号楼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办公地址：北京市西城区月坛南街1号院2号楼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法定代表人：王金山</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联系人：鲁娟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联系电话：010-89198762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客户服务电话：96198（北京）、400-66-96198（全国）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网址：www.bjrcb.com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 北京银行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注册地址：北京市西城区金融大街甲17号首层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办公地址：北京市西城区金融大街丙17号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法定代表人：张东宁</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联系人：周黎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网址：www.bankofbeijing.com.cn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 长安银行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注册地址：西安市高新技术产业开发区高新四路13号1幢1单元10101室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办公地址：西安市高新技术产业开发区高新四路13号朗臣大厦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法定代表人：赵永军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联系人：闫石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客户服务电话：400-05-96669；（029）96669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传真：029-88609566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网址：http://www.ccabchina.com/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 长沙银行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注册地址：长沙市岳麓区滨江路53号楷林商务中心B座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办公地址：长沙市岳麓区滨江路长沙银行大厦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法定代表人：朱玉国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联系人：龙秀芳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联系电话：0731-89736250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客户服务电话：0731-96511（湖南省内）、40067-96511（全国）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网址：www.bankofchangsha.com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 大连银行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注册地址：辽宁省大连市中山区中山路88号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办公地址：大连市中山区中山路88号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法定代表人：崔磊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联系人：卜书慧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联系电话：0411-82311936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客户服务电话：400-664-0099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网址：www.bankofdl.com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 德州银行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注册地址：山东省德州市三八东路1266号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办公地址：山东省德州市三八东路1266号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法定代表人：董合平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联系人：王方震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电话：0534-2297326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客户服务电话：400-01-96588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网址：www.dzbchina.com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(25) 东莞农村商业银行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注册地址：广东省东莞市东城区鸿福东路2号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办公地址：广东省东莞市东城区鸿福东路2号东莞农商银行大厦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法定代表人：王耀球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联系人：钟燕珊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客户服务电话：0769-961122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网址：www.drcbank.com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(26) 东莞银行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注册地址：东莞市莞城区体育路21号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办公地址：东莞市莞城区体育路21号东莞银行大厦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法定代表人：卢国锋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联系人：朱杰霞</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联系电话：0769-22865177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客户服务电话：956033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网址：www.dongguanbank.cn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(27) 东亚银行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注册地址：中国(上海)自由贸易试验区花园石桥路66号23楼、25楼、26楼、27楼、28楼、37楼、38楼(名义楼层:26楼、28楼、29楼、30楼、31楼、41楼、42楼)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办公地址：上海浦东新区花园石桥路66号东亚银行大厦29楼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法定代表人：李国宝(LI, Kwok Po David)</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联系电话：8621-38663866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网址：http://www.hkbea.com.cn/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(28) 佛山农商银行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注册地址：佛山市禅城区华远东路5号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办公地址：佛山市禅城区华远东路5号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法定代表人：李川</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联系人：陈棠熙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客户服务电话：96138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网址：www.foshanbank.cn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(29) 福建海峡银行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注册地址：福建省福州市台江区江滨中大道358号海峡银行大厦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办公地址：福建省福州市台江区江滨中大道358号福建海峡银行8楼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法定代表人：俞敏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联系人：黄钰雯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联系电话：0591-87332762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客户服务电话：400-893-9999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传真：0591-87330926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网址：www.fjhxbank.com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(30) 富滇银行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注册地址：云南省昆明市拓东路41号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办公地址：云南省昆明市拓东路41号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法定代表人：洪维智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联系人：杨翊琳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电话：0871-63140324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客户服务电话：400-88-96533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传真：0871-63194471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网址：http://www.fudian-bank.com/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(31) 富阳农商银行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注册地址：杭州市富阳区鹿山街道依江路501号第1幢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办公地址：杭州市富阳区鹿山街道依江路501号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法定代表人：丁松茂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联系电话：0571-63280253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客户服务电话：96596、4008896596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网址：www.fyrcbk.com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(32) 广东华兴银行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注册地址：广东省汕头市龙湖区黄山路28号四层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办公地址：广州市天河区天河路533号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法定代表人：周泽荣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联系人：许悦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联系电话：020-38173552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客户服务电话：400-830-8001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传真：020-38173857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网址：www.ghbank.com.cn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(33) 广东南粤银行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注册地址：广东省湛江市经济技术开发区乐山大道60号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办公地址：广东省湛江市经济技术开发区乐山大道60号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法定代表人：蒋丹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联系电话：020-28308757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客户服务电话：4000-961818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网址：www.gdnybank.com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(34) 广州农商银行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注册地址：广州市黄埔区映日路9号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办公地址：广州市天河区珠江新城华夏路1号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法定代表人：王继康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联系电话：020-22389067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传真：020-22389031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网址：www.grcbank.com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(35) 广州银行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注册地址：广州市天河区珠江东路30号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办公地址：广州市天河区珠江东路30号广州银行大厦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法定代表人：黄子励</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联系人：唐荟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客户服务电话：96699（广东）400-83-96699（全国）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网址：www.gzcb.com.cn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(36) 贵阳银行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注册地址：贵州省贵阳市观山湖区长岭北路中天•会展城B区金融商务区东区1-6栋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办公地址：贵州省贵阳市中华北路77号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法定代表人： 张正海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联系人：何西</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电话：0851-86858673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客户服务电话：40011-96033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传真：0851-86858673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网址：http://www.96033.cn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(37) 哈尔滨银行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注册地址：哈尔滨市道里区尚志大街160号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办公地址：哈尔滨市道里区上江街888号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法定代表人：郭志文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联系人：何岩岩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电话：0451-87792450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传真：0451-87792682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网址：www.hrbb.com.cn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(38) 汉口银行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注册地址：武汉市江汉区建设大道933号武汉商业银行大厦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办公地址：武汉市江汉区建设大道933号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法定代表人：陈新民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联系人：周田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联系电话：027-82656785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客户服务电话：4006096558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传真：027-82656213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网址：http://www.hkbchina.com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(39) 杭州联合银行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注册地址：浙江省杭州市上城区建国中路99号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办公地址：杭州市建国中路99号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法定代表人：张海林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联系人：吴徐立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联系电话：0571-87923324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传真：0571-87923214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网址：www.urcb.com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(40) 杭州银行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注册地址：浙江省杭州市下城区庆春路46号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办公地址：杭州市下城区庆春路46号杭州银行大厦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法定代表人：陈震山</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联系人：蒋梦君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联系电话：0571-85120718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客户服务电话：95398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传真：0571-85106576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网址：www.hzbank.com.cn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(41) 河北银行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注册地址：石家庄市平安北大街28号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办公地址：石家庄市平安北大街28号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法定代表人：乔志强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联系电话：0311-88627587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客户服务电话：400-612-9999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传真：0311-67806407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网址：www.hebbank.com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(42) 华融湘江银行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注册地址：长沙市天心区芙蓉南路一段828号杰座大厦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办公地址：湖南省长沙市湘府东路二段208号万境财智中心南栋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法定代表人：黄卫忠</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联系人：闾娇蓉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联系电话：0731-89828182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客户服务电话：0731-96599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传真：0731-89828806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网址：www.hrxjbank.com.cn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(43) 吉林银行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注册地址：吉林省长春市经济技术开发区东南湖大路1817号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办公地址：吉林省长春市经济技术开发区东南湖大路1817号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法定代表人：陈宇龙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联系人：孟明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联系电话：0431-84992680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客户服务电话：400-88-96666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传真：0431-84992649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网址：www.jlbank.com.cn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(44) 嘉兴银行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注册地址：浙江省嘉兴市昌盛南路1001号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办公地址：浙江省嘉兴市昌盛南路1001号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法定代表人：夏林生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联系人：余舟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联系电话：0573-82080201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客户服务电话：0573-96528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网址：http://www.bojx.com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(45) 江南农村商业银行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注册地址：常州市和平中路413号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办公地址：常州市和平中路413号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法定代表人：陆向阳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电话：0519-80585939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客户服务电话：0519-96005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传真：0519-89995170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网址：http://www.jnbank.com.cn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(46) 江苏银行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注册地址：南京市中华路26号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办公地址：南京市中华路26号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法定代表人：夏平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联系人：展海军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联系电话：025-58587039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传真：025-58587820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网址：www.jsbchina.cn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(47) 江西银行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注册地址：江西省南昌市红谷滩新区金融大街699号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办公地址：江西省南昌市红谷滩新区金融大街699号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法定代表人：陈晓明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联系人：陈云波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联系电话：0791-86796029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传真：0791-86790795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网址：www.jx-bank.com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(48) 金华银行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注册地址：浙江省金华市丹溪路1388号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办公地址：浙江省金华市金东区光南路668号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法定代表人：徐雅清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联系人：何赛丽、陈霞</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联系电话：0579-82178270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客户服务电话：400-711-6668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传真：0579-82178321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网址：www.jhccb.com.cn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(49) 锦州银行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注册地址：辽宁省锦州市科技路68号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办公地址：辽宁省锦州市科技路68号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法定代表人：魏学坤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联系人：庞璐璐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客户服务电话：400-66-96178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网址：www.jinzhoubank.com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(50) 晋商银行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注册地址：山西省太原市小店区长风街59号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办公地址：山西省太原市小店区长风街59号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法定代表人：阎俊生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联系人：董嘉文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联系电话：0351-6819579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客户服务电话：9510-5588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传真：0351-6819926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网址：www.jshbank.com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(51) 九江银行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注册地址：江西省九江市濂溪区长虹大道619号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办公地址：江西省九江市濂溪区长虹大道619号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法定代表人：刘羡庭</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联系人：胡浩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联系电话：0792-2171968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网址：www.jjccb.com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(52) 九台农商银行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注册地址：吉林省长春市九台区新华大街504号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办公地址：吉林省长春市高新开发区蔚山路2559号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法定代表人：高兵</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联系人：曲凌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客户服务电话：0431-96888-0-2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网址：http://www.jtnsh.com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(53) 昆仑银行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注册地址：新疆克拉玛依市世纪大道7号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办公地址：北京市西城区金融大街1号B座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法定代表人：蒋尚军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联系人：张碧华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联系电话：010-89026813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传真：010-89025421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网址：www.klb.cn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(54) 昆山农村商业银行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注册地址：江苏省昆山市前进东路828号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办公地址：江苏省昆山市前进东路828号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法定代表人：张哲清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联系人：黄怡</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客户服务电话：0512-96079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网址：www.ksrcb.com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(55) 乐清农商银行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注册地址：浙江省乐清市城南街道伯乐西路99号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办公地址：浙江省乐清市城南街道伯乐西路99号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法定代表人：高剑飞</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联系人：金晓娇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联系电话：0577-61566028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传真：0577-61566063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网址：www.yqbank.com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(56) 龙江银行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注册地址：黑龙江省哈尔滨市道里区友谊路436号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办公地址：黑龙江省哈尔滨市道里区友谊路436号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法定代表人：张建辉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联系人：闫勇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联系电话：0451-85706107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客户服务电话：400-645-8888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传真：0451-85706036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网址：http://www.lj-bank.com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(57) 龙湾农商银行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注册地址：浙江省温州市龙湾区永中街道永宁西路555号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办公地址：浙江省温州市龙湾区永中街道永宁西路555号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法定代表人：朱朋远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联系人：胡俊杰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联系电话：0577-86923223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客户服务电话：4008296596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传真：0577-86921250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网址：www.lwrcb.com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(58) 鹿城农商银行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注册地址：浙江省温州市鹿城区会展路1500号富银大厦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办公地址：温州市车站大道547号信合大厦A幢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法定代表人：陈宏强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联系人：董雷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联系电话：0577-88077675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网址：http://www.lcrcbank.com/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(59) 洛阳银行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注册地址：洛阳市洛阳新区开元大道与通济街交叉口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办公地址：河南省洛阳市开元大道256号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法定代表人：王建甫</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联系人：郭文博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联系电话：0379-65921977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客户服务电话：0379-96699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传真：0379-65938595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网址：www.bankofluoyang.com.cn/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(60) 南海农商银行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注册地址：广东省佛山市南海区桂城街道南海大道北26号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办公地址：广东省佛山市南海区桂城街道南海大道北26号农商银行大厦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法定代表人：李宜心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联系人：廖雪</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电话：0757-86266566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客户服务电话：96138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传真：0757-86250627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网址：www.nanhaibank.com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(61) 南京银行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注册地址：南京市玄武区中山路288号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办公地址：南京市玄武区中山路288号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法定代表人：胡升荣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联系人：赵世光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客户服务电话：95302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网址：www.njcb.com.cn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(62) 南洋商业银行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注册地址：中国（上海）自由贸易试验区世纪大道800号三层、六层至九层（不含六层A座）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办公地址：中国（上海）自由贸易试验区世纪大道800号三层、六层至九层（不含六层A座）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法定代表人：陈孝周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联系人：马小明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联系电话：021-38566452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客户服务电话：8008207898（内地固话用户）、4008207898（内地手机用户）、（86551）64360499（港澳台及境外）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传真：021-38566400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网址：http://www.ncbchina.cn/cn/index.html</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(63) 宁波银行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注册地址：浙江省宁波市鄞州区宁东路345号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办公地址：浙江省宁波市鄞州区宁东路345号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法定代表人：陆华裕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联系人：夏禾</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网址：www.nbcb.com.cn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(64) 宁夏银行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注册地址：银川市金凤区北京中路157号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办公地址：银川市金凤区北京中路157号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法定代表人：居光华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联系人：蒋阳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联系电话：0951-5165256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客户服务电话：4008096558、0951-96558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网址：http://www.bankofnx.com.cn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(65) 齐商银行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注册地址：淄博市张店区中心路105号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办公地址：山东省淄博市张店区金晶大道105号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法定代表人：杲传勇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联系人：焦浦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联系电话：0533-2178888-9907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客户服务电话：400-86-96588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传真：0533-2180303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网址：www.qsbank.cc</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(66) 青岛农商银行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注册地址：山东省青岛市崂山区秦岭路6号1号楼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办公地址：山东省青岛市崂山区秦岭路6号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法定代表人：刘仲生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联系人：严菲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联系电话：0532-66957360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客户服务电话：0532-96668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传真：0532-66957229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网址：www.qrcb.com.cn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(67) 青岛银行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注册地址：山东省青岛市崂山区秦岭路6号3号楼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办公地址：山东省青岛市崂山区秦岭路6号3号楼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法定代表人：郭少泉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联系人：陈界交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联系电话：0532-68629956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客户服务电话：96588（青岛）400-66-96588（全国）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网址：http://www.qdccb.com/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(68) 泉州银行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注册地址：泉州市丰泽区云鹿路3号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办公地址：泉州市丰泽区云鹿路3号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法定代表人：傅子能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联系人：董培姗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联系电话：0595-22551071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客户服务电话：400-88-96312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传真：0595-22578871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网址：http://www.qzccbank.com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(69) 日照银行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注册地址：山东省日照市烟台路197号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办公地址：山东省日照市烟台路197号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联系人：孔颖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联系电话：0633-8081590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客户服务电话：400-68-96588（全国）、0633-96588（日照）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传真：0633-8081276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网址：http://www.bankofrizhao.com.cn/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(70) 瑞安农商银行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注册地址：瑞安市安阳街道万松东路148号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办公地址：瑞安市安阳街道万松东路148号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法定代表人：王光领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联系人：吴小娜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联系电话：0577-66681245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客户服务电话：4008057702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(71) 瑞丰银行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注册地址：浙江省绍兴市柯桥区笛扬路1363号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办公地址：浙江省绍兴市柯桥区笛扬路1363号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法定代表人：章伟东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联系人：孟建潮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联系电话：0575-81105323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传真：0575-84788134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网址：www.borf.cn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(72) 上海农村商业银行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注册地址：上海市黄浦区中山东二路70号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办公地址：上海市黄浦区中山东二路70号上海农商银行大厦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法定代表人：徐力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联系人：施传荣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联系电话：021-61899999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客户服务电话：021-962999、4006962999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开放式基金业务传真：021-50105124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(73) 上海银行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注册地址：中国（上海）自由贸易试验区银城中路168号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办公地址：上海市浦东新区银城中路168号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法定代表人：金煜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联系电话：021-68475732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客户服务电话：95594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网址：http://www.bosc.cn/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(74) 深圳农村商业银行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注册地址：深圳市罗湖区深南东路3038号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办公地址：深圳市罗湖区深南东路3038号合作金融大厦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法定代表人：李光安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联系人：陈泽鑫</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联系电话：0755-25188271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客户服务电话：4001961200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网址：http://www.4001961200.com/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(75) 顺德农村商业银行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注册地址：广东佛山市顺德区大良德和居委会拥翠路2号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办公地址：广东佛山市顺德区大良德和居委会拥翠路2号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法定代表人：姚真勇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联系人：杨素苗、区敏欣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联系电话：0757-22382524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客户服务电话：0757-22223388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传真：0757-22388235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网址：www.sdebank.com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(76) 四川天府银行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注册地址：四川省南充市涪江路1号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办公地址：四川省成都市锦江区东大街下东大街258号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法定代表人：邢敏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联系人：周乃雍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联系电话：028-67676038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客户服务电话：400-16-96869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网址：www.tf.cn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(77) 苏州银行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注册地址：江苏省苏州市工业园区钟园路728号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办公地址：江苏省苏州市工业园区钟园路728号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法定代表人：王兰凤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联系人：吴骏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联系电话：0512-69868373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客户服务电话：96067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传真：0512-69868373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网址：www.suzhoubank.com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(78) 天津银行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注册地址：天津市河西区友谊路15号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办公地址：天津市河西区友谊路15号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法定代表人：李宗唐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联系电话：022-28405684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客户服务电话：956056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传真：022-28405631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网址：www.bank-of-tianjin.com.cn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(79) 威海市商业银行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注册地址：威海市宝泉路9号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办公地址：威海市宝泉路9号财政大厦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法定代表人：谭先国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联系人：冯十卉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联系电话：0531-68978175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客户服务电话：山东省内96636、中国境内40000-96636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传真：0531-68978176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网址：www.whccb.com，www.whccb.com.cn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(80) 微众银行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注册地址：深圳市前海深港合作区前湾一路1号A栋201室（入驻深圳市前海商务秘书有限公司）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办公地址：广东省深圳市南山区沙河西路1819号深圳湾科技生态园7栋A座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法定代表人：顾敏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网址：http://www.webank.com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(81) 潍坊银行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注册地址：山东省潍坊市奎文区胜利东街5139号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办公地址：山东省潍坊市奎文区胜利东街5139号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法定代表人：郭虎英</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联系人：井靖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联系电话：0536-8051904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客户服务电话：400-61-96588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传真：0536-8056061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网址：www.wfccb.com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(82) 厦门银行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注册地址：厦门市思明区湖滨北路101号商业银行大厦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办公地址：厦门市思明区湖滨北路101号商业银行大厦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法定代表人：吴世群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联系人：孙瑜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联系电话：0592-5310251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客户服务电话：400-858-8888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传真：0592-5373973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网址：www.xmbankonline.com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(83) 西安银行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注册地址：西安市高新路60号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办公地址：西安市高新路60号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法定代表人：郭军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联系人：白智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联系电话：029-88992881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客户服务电话：40086-96779（全国）、96779（陕西）</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网址：www.xacbank.com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(84) 萧山农商银行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注册地址：萧山区人民路258号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办公地址：浙江省杭州市萧山区人民路258号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法定代表人：王云龙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联系人：朱光锋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联系电话：0571-82739513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网址：http://www.zjxsbank.com/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(85) 新昌农商银行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注册地址：浙江省绍兴市新昌县七星街道七星路18号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办公地址：浙江省绍兴市新昌县七星街道七星路18号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法定代表人：陆斌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联系人：陈春华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联系电话：0575-86266991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客户服务电话：96596、0575-86266928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传真：0575-86383121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网址：http://xcbank.com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(86) 烟台银行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注册地址：山东省烟台市芝罘区海港路25号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办公地址：山东省烟台市芝罘区海港路25号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法定代表人：吴明理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联系人：张卓智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联系电话：0535-6699671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客户服务电话：4008-311-777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传真：0535-6699884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网址：www.yantaibank.net</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(87) 鄞州银行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注册地址：宁波市鄞州区民惠西路88号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办公地址：宁波市鄞州区民惠西路88号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法定代表人：周建斌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联系人：朱霓虹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联系电话：0574-87412569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网址：www.beeb.com.cn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(88) 余杭农村商业银行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注册地址：杭州市余杭区南苑街道南大街72号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办公地址：杭州市余杭区南苑街道南大街72号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法定代表人：来煜标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联系人：蔡亮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联系电话：0571-86209980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客户服务电话：96596，4008896596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网址：www.yhrcb.com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(89) 云南红塔银行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注册地址：云南省玉溪市东风南路2号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办公地址：云南省昆明市盘龙区世博路低碳中心A座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法定代表人：李光林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联系人：马杰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联系电话：0871-65236624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客户服务电话：0877-96522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网址：www.ynhtbank.com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(90) 浙江稠州商业银行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注册地址：浙江省义乌市江滨路义乌乐园东侧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办公地址：杭州市上城区望潮路158号稠银大厦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法定代表人：金子军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联系人：谢圆圆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联系电话：0571-87117661/13777805250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客户服务电话：0571-96527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传真：0571-87117607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网址：http://www.czcb.com.cn/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(91) 浙江泰隆商业银行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注册地址：浙江省台州市路桥区南官大道188号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办公地址：浙江省台州市路桥区南官大道188号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联系人：陈妍宇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联系电话：0571-87219677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网址：www.zjtlcb.com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(92) 郑州银行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注册地址：河南省郑州市郑东新区商务外环路22号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办公地址：河南省郑州市郑东新区商务外环路22号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法定代表人：王天宇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联系人：庞骏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联系电话：0371-67009917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客户服务电话：95097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传真：0371-67009097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网址：http://www.zzbank.cn/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(93) 中原银行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注册地址：河南省郑州市郑东新区CBD商务外环路23号中科金座大厦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办公地址：河南省郑州市郑东新区CBD商务外环路23号中科金座大厦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法定代表人：窦荣兴</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联系电话：0371-61910217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客户服务电话：95186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网址：www.zybank.com.cn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(94) 重庆农村商业银行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注册地址：重庆市江北区金沙门路36号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办公地址：重庆市江北区金沙门路36号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法定代表人：刘建忠</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联系人：范亮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联系电话：023-61110146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客户服务电话：95389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传真：023-61110146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网址：www.cqrcb.com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(95) 重庆银行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注册地址：重庆市渝中区邹容路153号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办公地址：重庆市江北区永平门街6号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法定代表人：林军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联系人：石千凡</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联系电话：023-63367180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客户服务电话：96899，4007096899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网址：www.cqcbank.com.cn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(96) 珠海华润银行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注册地址：广东省珠海市吉大九洲大道东1346号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办公地址：广东省珠海市吉大九洲大道东1346号珠海华润银行大厦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法定代表人：刘晓勇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联系人：李阳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联系电话：4008800338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客户服务电话：96588（广东省外请加拨0756），400-8800-338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网址：www.crbank.com.cn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(97) 安信证券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注册地址：深圳市福田区金田路4018号安联大厦35层、28层A02单元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办公地址：深圳市福田区金田路4018号安联大厦35层、28层A02单元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          深圳市福田区深南大道2008号中国凤凰大厦1栋9层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法定代表人：黄炎勋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联系人：陈剑虹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联系电话：0755-82825551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传真：0755-82558355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网址：www.essence.com.cn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(98) 渤海证券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注册地址：天津市经济技术开发区第二大街42号写字楼101室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办公地址：天津市南开区宾水西道8号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法定代表人：安志勇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联系电话：022-28451922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客户服务电话：400-651-5988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传真：022-28451892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网址：www.ewww.com.cn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(99) 财达证券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注册地址：河北省石家庄市桥西区自强路35号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办公地址：河北省石家庄市桥西区自强路35号庄家金融大厦23-26层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法定代表人：翟建强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联系人：李卓颖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联系电话：0311-66008561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客户服务电话：95363（河北省内）；0311-95363（河北省外）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传真：0311-66006414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网址：www.s10000.com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(100) 财通证券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注册地址：杭州市西湖区天目山路198号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办公地址：杭州市西湖区天目山路198号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法定代表人：陆建强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联系人：陶志华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联系电话：0571－87789160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网址：www.ctsec.com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(101) 财信证券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注册地址：长沙市芙蓉中路二段80号顺天国际财富中心26层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办公地址：长沙市芙蓉中路二段80号顺天国际财富中心26-28层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法定代表人：刘宛晨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联系人：郭静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联系电话：0731-84403347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传真：0731-84403439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网址：www.cfzq.com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(102) 长城国瑞证券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注册地址：厦门市思明区莲前西路2号莲富大厦17楼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办公地址：厦门市思明区深田路46号深田国际大厦20楼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联系人：邱震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联系电话：0592-2079259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客户服务电话：400-0099-886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传真：0592-2079602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网址：www.gwgsc.com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(103) 长城证券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注册地址：深圳市福田区福田街道金田路2026号能源大厦南塔楼10-19层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办公地址：深圳市福田区福田街道金田路2026号能源大厦南塔楼10-19层长城证券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法定代表人：曹宏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联系人：梁浩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联系电话：0755-83530715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客户服务电话：400-6666-888或95514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传真：0755--83515567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网址：www.cgws.com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(104) 长江证券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注册地址：湖北省武汉市新华路特8号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办公地址：湖北省武汉市新华路特8号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法定代表人：李新华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联系人：奚博宇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联系电话：027-65799999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客户服务电话：95579或4008-888-999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传真：027-85481900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网址：www.95579.com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(105) 川财证券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注册地址：中国（四川）自由贸易试验区成都高新区交子大道177号中海国际中心B座17楼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办公地址：四川省成都高新区交子大道177号中海国际中心B座17楼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法定代表人：孟建军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联系人：匡婷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联系电话：028-86583053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客户服务电话：028-962708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网址：www.cczq.com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(106) 大通证券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注册地址：辽宁省大连市沙河口区会展路129号大连国际金融中心A座-大连期货大厦38、39层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办公地址：辽宁省大连市沙河口区会展路129号大连国际金融中心A座-大连期货大厦38、39层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联系人：谢立军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联系电话：0411-39991807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客户服务电话：4008-169-169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传真：0411-39673214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网址：www.daton.com.cn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(107) 大同证券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注册地址：山西省大同市城区迎宾街15号桐城中央21层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办公地址：山西省太原市小店区长治路111号山西世贸中心A座F12、F13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法定代表人：董祥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联系人：薛津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联系电话：0351-4130322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客户服务电话：4007121212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传真：0351-7219891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网址：www.dtsbc.com.cn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(108) 德邦证券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注册地址：上海市普陀区曹杨路510号南半幢9楼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办公地址：上海市福山路500号城建国际中心29楼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法定代表人：武晓春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联系人：刘熠</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联系电话：021-68761616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客户服务电话：400-8888-128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传真：021-68767880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网址：http://www.tebon.com.cn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(109) 第一创业证券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注册地址：深圳市福田区福华一路115号投行大厦20楼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办公地址：深圳市福田区福华一路115号投行大厦20楼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法定代表人：刘学民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联系人：单晶</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联系电话：0755-23838750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网址：www.firstcapital.com.cn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(110) 东北证券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注册地址：长春市生态大街6666号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办公地址：长春市生态大街6666号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法定代表人：李福春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联系人：安岩岩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联系电话：0431-85096517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客户服务电话：95360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传真：0431-85096795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网址：www.nesc.cn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(111) 东方证券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注册地址：上海市中山南路318号2号楼22层、23层、25层-29层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办公地址：上海市中山南路318号2号楼22层、23层、25层-29层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法定代表人：潘鑫军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联系人：龚玉君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联系电话：021-63325888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传真：021-63326729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网址：http://www.dfzq.com.cn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(112) 东莞证券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注册地址：东莞市莞城区可园南路一号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办公地址：东莞市莞城区可园南路1号金源中心30楼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法定代表人：陈照星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联系电话：0769-22115712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传真：0769-22115712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网址：www.dgzq.com.cn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(113) 东海证券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注册地址：江苏省常州市延陵西路23号投资广场18层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办公地址：上海市浦东新区东方路1928号东海证券大厦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法定代表人：钱俊文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联系人：王一彦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联系电话：021-20333333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客户服务电话：95531、400-8888-588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传真：021-50498825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网址：www.longone.com.cn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(114) 东吴证券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注册地址：苏州工业园区星阳街5号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办公地址：苏州工业园区星阳街5号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法定代表人：范力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联系人：陆晓</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联系电话：0512-62938521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客户服务电话：95330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传真：0512-65588021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网址：www.dwzq.com.cn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(115) 东兴证券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注册地址：北京市西城区金融大街5号（新盛大厦）12、15层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办公地址：北京市西城区金融大街5号新盛大厦B座10层、12层、15层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法定代表人：魏庆华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联系人：夏锐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联系电话：010-66559079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客户服务电话：95309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传真：010-66555133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网址：www.dxzq.net</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(116) 方正证券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注册地址：湖南省长沙市天心区湘江中路二段36号华远华中心4、5号楼3701-3717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办公地址：北京市朝阳区北四环中路27号盘古大观A座40F</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法定代表人：施华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联系人：周静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联系电话：010-59355412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传真：010-56437030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网址：www.foundersc.com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(117) 光大证券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注册地址：上海市静安区新闸路1508号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办公地址：上海市静安区新闸路1508号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法定代表人：刘秋明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联系人：郁疆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联系电话：021-22169999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网址：www.ebscn.com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(118) 广发证券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注册地址：广东省广州市黄埔区中新广州知识城腾飞一街2号618室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办公地址：广州市天河区马场路26号广发证券大厦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法定代表人：孙树明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联系人：黄岚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客户服务电话：95575或02095575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网址：www.gf.com.cn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(119) 国都证券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注册地址：北京市东城区东直门南大街3号国华投资大厦9层10层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办公地址：北京市东城区东直门南大街3号国华投资大厦9层10层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法定代表人：翁振杰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联系人：黄静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联系电话：010-84183333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客户服务电话：400-818-8118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传真：010-84183311-3122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网址：www.guodu.com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(120) 国海证券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注册地址：广西桂林市辅星路13号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办公地址：深圳市福田区竹子林四路光大银行大厦3楼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法定代表人：何春梅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联系人：田密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联系电话：0755-83716916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客户服务电话：95563或0771-95563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网址：www.ghzq.com.cn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(121) 国金证券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注册地址：成都市青羊区东城根上街95号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办公地址：成都市青羊区东城根上街95号成证大厦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法定代表人：冉云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联系人：杜晶、黎建平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联系电话：028-86690057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传真：028-86690126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网址：www.gjzq.com.cn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(122) 国开证券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注册地址：北京市西城区阜成门外大街29号1-9层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办公地址：北京市西城区阜成门外大街29号1-9层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法定代表人：张宝荣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联系人：刘欣灿</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联系电话：010-88300715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客户服务电话：400-88-95593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传真：010-88300694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网址：www.gkzq.com.cn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(123) 国联证券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注册地址：江苏省无锡市太湖新城金融一街8号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办公地址：江苏省无锡市太湖新城金融一街8号国联金融大厦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法定代表人：姚志勇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联系人：祁昊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联系电话：0510-82831662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传真：0510-82830162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网址：www.glsc.com.cn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(124) 国融证券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注册地址：内蒙古自治区呼和浩特市武川县腾飞大道1号4楼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办公地址：北京市西城区宣武门西大街甲129号金隅大厦16层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法定代表人：张智河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联系人：李思萱</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联系电话：010-83991848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客户服务电话：95385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传真：010-66412537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网址：www.grzq.com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(125) 国盛证券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注册地址：江西省南昌市新建区子实路1589号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办公地址：江西省南昌市红谷滩新区凤凰中大道1115号北京银行大厦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法定代表人：徐丽峰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联系人：占文驰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联系电话：0791-88250812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传真：0791-86281305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网址：www.gszq.com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(126) 国泰君安证券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注册地址：中国（上海）自由贸易试验区商城路618号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 xml:space="preserve">办公地址：上海市静安区南京西路768号国泰君安大厦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法定代表人：贺青</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联系人：芮敏祺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传真：021-38670666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网址：www.gtja.com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(127) 国信证券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注册地址：深圳市罗湖区红岭中路1012号国信证券大厦十六层至二十六层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办公地址：深圳市罗湖区红岭中路1012号国信证券大厦十六层至二十六层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法定代表人：何如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联系电话：0755-82130833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传真：0755-82133952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网址：www.guosen.com.cn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(128) 国元证券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注册地址：安徽省合肥市梅山路18号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办公地址：安徽省合肥市梅山路18号安徽国际金融中心A座国元证券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法定代表人：俞仕新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联系人：李蔡</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传真：0551-2272100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网址：www.gyzq.com.cn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(129) 海通证券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注册地址：上海市广东路689号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办公地址：上海市广东路689号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法定代表人：周杰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联系人：金芸、李笑鸣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联系电话：021-23219000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传真：021-23219100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网址：www.htsec.com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(130) 恒泰证券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注册地址：内蒙古自治区呼和浩特市新城区海拉尔东街满世尚都办公商业综合楼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办公地址：内蒙古自治区呼和浩特市新城区海拉尔东街满世尚都办公商业综合楼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法定代表人：庞介民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联系人：熊丽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联系电话：0471-4972675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网址：www.cnht.com.cn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(131) 华安证券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注册地址：安徽省合肥市政务文化新区天鹅湖路198号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办公地址：安徽省合肥市政务文化新区天鹅湖路198号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法定代表人：章宏韬</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联系人：范超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联系电话：0551-65161821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传真：0551-65161825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网址：www.hazq.com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(132) 华宝证券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注册地址：中国（上海）自由贸易试验区世纪大道100号57层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办公地址：中国（上海）自由贸易试验区世纪大道100号57层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法定代表人：刘加海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联系人：刘闻川</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联系电话：021-20657517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客户服务电话：400-820-9898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传真：021-20515593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网址：www.cnhbstock.com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(133) 华福证券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注册地址：福建省福州市鼓楼区鼓屏路27号1#楼3层、4层、5层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办公地址：上海市浦东新区陆家嘴环路1088号招商银行大厦18-19楼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法定代表人：黄金琳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联系电话：021-20655183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传真：021-20655196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网址：www.hfzq.com.cn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(134) 华金证券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注册地址：中国（上海）自由贸易试验区杨高南路759号30层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办公地址：中国（上海）自由贸易试验区杨高南路759号30层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法定代表人：宋卫东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联系人：郑媛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联系电话：021-20655746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传真：021-20655577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网址：www.huajinsc.cn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(135) 华林证券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注册地址：拉萨市柳梧新区国际总部城3幢1单元5-5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办公地址：深圳市福田区民田路178号华融大厦6楼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法定代表人：林立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联系人：胡倩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联系电话：0755-83255199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客户服务电话：400-188-3888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网址：www.chinalin.com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(136) 华龙证券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注册地址：兰州市城关区东岗西路638号兰州财富中心21楼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办公地址：兰州市城关区东岗西路638号兰州财富中心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法定代表人：陈牧原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联系人：范坤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联系电话：0931-4890208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客户服务电话：95368、400-689-8888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传真：0931-4890628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网址：www.hlzq.com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(137) 华融证券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办公地址：北京市朝阳区朝阳门北大街18号中国人保寿险大厦12至18层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法定代表人：张海文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联系人：孙燕波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联系电话：010-85556048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客户服务电话：95390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传真：010-85556088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网址：www.hrsec.com.cn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(138) 华泰证券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注册地址：南京市江东中路228号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办公地址：南京市建邺区江东中路228号华泰证券广场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联系人：庞晓芸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联系电话：0755-82492193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客户服务电话：95597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传真：025-83387523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网址：www.htsc.com.cn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(139) 华西证券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注册地址：四川省成都市高新区天府二街198号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办公地址：四川省成都市高新区天府二街198号华西证券大厦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法定代表人：杨炯洋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联系人：张彬</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联系电话：010-58124967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传真：028-86150040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网址：www.hx168.com.cn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(140) 华鑫证券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注册地址：深圳市福田区莲花街道福中社区深南大道2008号中国凤凰大厦1栋20C-1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办公地址：上海市徐汇区宛平南路8号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法定代表人：俞洋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联系人：杨莉娟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联系电话：021-54967552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客户服务电话：95323（全国）、400-109-9918（全国）、029-68918888（西安）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传真：021-54967293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网址：www.cfsc.com.cn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(141) 华信证券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注册地址：上海浦东新区世纪大道100号环球金融中心9楼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办公地址：上海市黄浦区南京西路399号明天广场23楼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法定代表人：陈灿辉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联系人：徐璐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联系电话：021-63898952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客户服务电话：400-820-5999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传真：021-68776977转8952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网址：www.shhxzq.com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(142) 江海证券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注册地址：黑龙江省哈尔滨市香坊区赣水路56号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办公地址：黑龙江省哈尔滨市松北区创新三路833号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法定代表人：赵洪波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联系人：姜志伟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联系电话：0451-87765732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客户服务电话：956007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传真：0451-82337279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网址：www.jhzq.com.cn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(143) 金元证券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注册地址：海口市南宝路36号证券大厦4楼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办公地址：深圳市深南大道4001号时代金融中心大厦17楼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法定代表人：王作义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联系电话：0755-83025693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客户服务电话：95372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传真：0755-83025625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网址：www.jyzq.cn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(144) 九州证券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注册地址：青海省西宁市南川工业园区创业路108号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办公地址：北京市朝阳区安立路30号仰山公园东一门2号楼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法定代表人：魏先锋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联系人：张思思</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联系电话：010-57672272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网址：www.jzsec.com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(145) 开源证券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注册地址：陕西省西安市高新区锦业路1号都市之门B座5层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办公地址：陕西省西安市高新区锦业路1号都市之门B座5层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联系电话：029-88365809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网址：www.kysec.cn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(146) 联储证券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注册地址：广东省深圳市福田区福田街道岗厦社区深南大道南侧金地中心大厦9楼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办公地址：上海市浦东新区陆家嘴环路333号金砖大厦8楼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法定代表人：吕春卫</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联系人：张婉婷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联系电话：010-86499765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客户服务电话：400-620-6868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网址：www.lczq.com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(147) 民生证券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注册地址：北京市东城区建国门内大街28号民生金融中心A座16层-18层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办公地址：北京市东城区建国门内大街28号民生金融中心A座16-20层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法定代表人：冯鹤年</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联系人：胡梦雅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联系电话：010-85127627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客户服务电话：95376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网址：www.mszq.com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(148) 南京证券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注册地址：南京市江东中路389号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办公地址：南京市江东中路389号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法定代表人：李剑锋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联系人：王万君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联系电话：025-58519523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传真：025-83369725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网址：www.njzq.com.cn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(149) 平安证券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注册地址：深圳市福田区福田街道益田路5023号平安金融中心B座第22-25层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办公地址：深圳市福田区金田路4036号荣超大厦16-20层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法定代表人：何之江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联系人：周驰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联系电话：021-38643230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客户服务电话：95511-8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传真：021-58991896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网址：stock.pingan.com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(150) 瑞银证券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注册地址：北京市西城区金融大街7号英蓝国际金融中心12层、15层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办公地址：北京市西城区金融大街7号英蓝国际金融中心12层、15层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法定代表人：钱于军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联系人：谢丹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联系电话：0755-22158878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客户服务电话：400-887-8827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传真：010-58328170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网址：https://www.ubs.com/ubssecurities</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(151) 山西证券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注册地址：太原市府西街69号山西国际贸易中心东塔楼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办公地址：太原市府西街69号山西国际贸易中心东塔楼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法定代表人：侯巍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联系人：谢武兵</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联系电话：0351-8686721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客户服务电话：95573或400-666-1618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传真：0351-8686619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网址：www.i618.com.cn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(152) 上海证券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注册地址：上海市黄浦区四川中路213号7楼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办公地址：上海市四川中路213号久事商务大厦7楼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法定代表人：李俊杰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联系人：邵珍珍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联系电话：021-53686888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客户服务电话：4008-918-918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传真：021-53686100、021-53686200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网址：https://www.shzq.com/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(153) 申万宏源西部证券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注册地址：新疆乌鲁木齐市高新区（新市区）北京南路358号大成国际大厦20楼2005室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办公地址：新疆乌鲁木齐市高新区（新市区）北京南路358号大成国际大厦20楼2005室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联系人：王怀春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联系电话：0991-2307105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客户服务电话：4008-000-562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传真：010-88085195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网址：www.hysec.com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(154) 申万宏源证券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注册地址：上海市徐汇区长乐路989号45层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办公地址：上海市徐汇区长乐路989号世纪商贸广场45层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法定代表人：杨玉成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联系人：胡馨文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联系电话：021-33388252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客户服务电话：95523、4008895523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传真：021-33388224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网址：www.swhysc.com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(155) 世纪证券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注册地址：深圳市前海深港合作区南山街道桂湾五路128号前海深港基金小镇对冲基金中心406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办公地址：深圳市福田区深南大道招商银行大厦40-42层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联系人：徐玲娟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联系电话：0755-83199553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客户服务电话：4008323000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网址：www.csco.com.cn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(156) 首创证券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注册地址：北京市西城区德胜门外大街115号德胜尚城E座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办公地址：北京市西城区德胜门外大街115号德胜尚城E座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法定代表人：毕劲松</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联系电话：010-59366070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客户服务电话：400-620-0620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传真：010-59366055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网址：http://www.sczq.com.cn/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(157) 天风证券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注册地址：湖北省武汉市东湖新技术开发区关东园路2号高科大厦四楼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办公地址：湖北省武汉市武昌区中南路99号保利广场A座37楼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法定代表人：余磊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联系人：王雅薇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联系电话：027-87617017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客户服务电话：95391/400-800-5000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传真：027-87618863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网址：http://www.tfzq.com/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(158) 万联证券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注册地址：广州市天河区珠江东路11号18、19楼全层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办公地址：广州市天河区珠江东路13号高德置地广场E栋12层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法定代表人：罗钦城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联系人：甘蕾</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联系电话：020-38286026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传真：020-38286588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网址：www.wlzq.cn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(159) 五矿证券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注册地址：深圳市福田区金田路4028号荣超经贸中心办公楼47层01单元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办公地址：深圳市福田区金田路4028号荣超经贸中心办公楼47层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法定代表人：黄海洲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联系人：戴佳璐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联系电话：0755-88311518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客户服务电话：40018-40028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传真：0755-82545500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网址：www.wkzq.com.cn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(160) 西部证券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注册地址：陕西省西安市新城区东新街319号8幢10000室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办公地址：陕西省西安市新城区东新街319号8幢10000室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法定代表人：徐朝晖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联系人：梁承华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联系电话：029-87211526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传真：029-87211478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网址：www.westsecu.com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(161) 西南证券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注册地址：重庆市江北区桥北苑8号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办公地址：重庆市江北区桥北苑8号西南证券大厦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法定代表人：廖庆轩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联系人：周青</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联系电话：023-63786633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客户服务电话：4008096096或95355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传真：023-63786212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网址：www.swsc.com.cn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(162) 湘财证券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注册地址：湖南省长沙市天心区湘府中路198号新南城商务中心A栋11楼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办公地址：湖南省长沙市天心区湘府中路198号新南城商务中心A栋11楼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法定代表人：孙永祥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联系人：江恩前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联系电话：021-38784580-8920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客户服务电话：95351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传真：021-68865680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网址：www.xcsc.com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(163) 新时代证券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注册地址：北京市海淀区北三环西路99号院1号楼15层1501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办公地址：北京市海淀区北三环西路99号院1号楼15层1501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法定代表人：叶顺德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联系人：马文玺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联系电话：010-83561072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网址：www.xsdzq.cn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(164) 信达证券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注册地址：北京市西城区闹市口大街9号院1号楼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办公地址：北京市西城区闹市口大街9号院1号楼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法定代表人：肖林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联系人：尹旭航</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联系电话：010-63081000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传真：010-63080978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网址：www.cindasc.com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(165) 兴业证券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注册地址：福州市湖东路268号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办公地址：上海浦东新区长柳路36号兴业证券大厦20楼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法定代表人：杨华辉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联系人：乔琳雪</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联系电话：021-38565547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网址：www.xyzq.com.cn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(166) 银河证券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注册地址：北京市西城区金融大街35号2-6层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办公地址：北京市西城区金融大街35号国际企业大厦C座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法定代表人：陈共炎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联系人：辛国政</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联系电话：010-83574507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客户服务电话：4008-888-888或95551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网址：www.chinastock.com.cn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(167) 粤开证券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注册地址：惠州市江北东江三路55号广播电视新闻中心西面一层大堂和三、四层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办公地址：广东省广州市黄埔区科学大道60号开发区金控中心21-23层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法定代表人：严亦斌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联系人：彭莲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联系电话：0755-83331195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公司网址：http://www.ykzq.com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(168) 招商证券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注册地址：深圳市福田区福田街道福华一路111号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办公地址：深圳市福田区福田街道福华一路111号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法定代表人：霍达</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联系人：黄婵君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联系电话：0755-82943666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客户服务电话：95565、400-8888-111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传真：0755-82943636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网址：www.newone.com.cn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(169) 浙商证券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注册地址：浙江省杭州市江干区五星路201号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办公地址：浙江省杭州市江干区五星路201号浙商证券大楼8楼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法定代表人：吴承根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联系人：高扬</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联系电话：0571-87902974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客户服务电话：95345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传真：0571-87901913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网址：www.stocke.com.cn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(170) 中航证券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注册地址：江西省南昌市红谷滩新区红谷中大道1619号南昌国际金融大厦A栋41层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办公地址：江西省南昌市红谷滩新区红谷中大道1619号南昌国际金融大厦A栋41层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法定代表人：王晓峰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联系人：王紫雯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联系电话：15611538682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客户服务电话：95335或400-88-95335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传真：010-59562637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网址：www.avicsec.com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(171) 中金财富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注册地址：深圳市福田区益田路与福中路交界处荣超商务中心A栋第18-21层及第04层01.02.03.05.11.12.13.15.16.18.19.20.21.22.23单元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办公地址：深圳福田区益田路6003号荣超商务中心A座4层、18-21层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法定代表人：高涛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联系人：万玉琳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联系电话：0755-82026907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网址：https://www.ciccwm.com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(172) 中金公司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注册地址：北京市朝阳区建国门外大街1号国贸大厦2座27层及28层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办公地址：北京市朝阳区建国门外大街甲6号SK大厦38层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法定代表人：沈如军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联系人：杨涵宇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联系电话：010-65051166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客户服务电话：4009101166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网址：www.cicc.com.cn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(173) 中山证券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注册地址：深圳市南山区粤海街道蔚蓝海岸社区创业路1777号海信南方大厦21、22层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办公地址：深圳市南山区创业路1777号海信南方大厦21、22层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法定代表人：林炳城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联系人：罗艺琳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电话：0755-82943755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传真：0755-82960582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网址：www.zszq.com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(174) 中泰证券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注册地址：济南市市中区经七路86号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办公地址：山东省济南市经七路86号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联系人：许曼华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联系电话：021-20315290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客户服务电话：95538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传真：0531-68889095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网址：www.zts.com.cn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(175) 中天证券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注册地址：辽宁省沈阳市和平区光荣街23甲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办公地址：辽宁省沈阳市和平区光荣街23甲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法定代表人：马功勋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联系人：李泓灏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联系电话：024-23255256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客户服务电话：024-95346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传真：024-23255606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网址：www.iztzq.com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(176) 中信建投证券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注册地址：北京市朝阳区安立路66号4号楼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办公地址：北京市朝阳门内大街188号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法定代表人：王常青</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联系电话：010－85130554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客户服务电话：95587或4008-888-108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网址：http://www.csc108.com/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(177) 中信证券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注册地址：广东省深圳市福田区中心三路8号卓越时代广场（二期）北座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办公地址：北京市朝阳区亮马桥路48号中信证券大厦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法定代表人：张佑君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联系人：王一通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联系电话：010-60838888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客户服务电话：95548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传真：010-60836029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网址：www.cs.ecitic.com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(178) 中信证券华南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注册地址：广州市天河区珠江西路5号广州国际金融中心主塔19层、20层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办公地址：广州市天河区珠江西路5号广州国际金融中心主塔19层、20层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法定代表人：胡伏云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联系人：陈靖</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联系电话：020-88836999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客户服务电话：95548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传真：020-88836984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网址：www.gzs.com.cn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(179) 中信证券（山东）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注册地址：青岛市崂山区深圳路222号1号楼2001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办公地址：青岛市市南区东海西路28号龙翔广场东座5层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法定代表人：姜晓林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联系人：焦刚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联系电话：0531-89606166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客户服务电话：95548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传真：0532-85022605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网址：http://sd.citics.com/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(180) 中银证券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注册地址：上海市浦东新区银城中路200号中银大厦39层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办公地址：上海市浦东新区银城中路200号中银大厦39-40层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法定代表人：宁敏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联系人：王炜哲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客户服务电话：400-620-8888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传真：021-50372474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网址：www.bocichina.com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(181) 中邮证券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注册地址：陕西省西安市唐延路5号（陕西邮政信息大厦9-11层）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办公地址：北京市东城区珠市口东大街17号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法定代表人：丁奇文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联系人：岳帅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 010-67017788-6068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客户服务电话：4008-888-005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传真：010-67017788-9696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网址：www.cnpsec.com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(182) 中原证券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注册地址：郑州市郑东新区商务外环路10号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办公地址：河南省郑州市郑东新区商务外环路10号中原广发金融大厦19楼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法定代表人：菅明军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联系人：程月艳  李盼盼 党静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联系电话：0371-69099882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客户服务电话：95377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传真：0371-65585899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网址：www.ccnew.com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(183) </w:t>
      </w:r>
      <w:r w:rsidR="00C20458" w:rsidRPr="0001503D">
        <w:rPr>
          <w:rFonts w:asciiTheme="minorEastAsia" w:eastAsiaTheme="minorEastAsia" w:hAnsiTheme="minorEastAsia" w:hint="eastAsia"/>
        </w:rPr>
        <w:t>度小满基金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注册地址：北京市海淀区西北旺东路10号院西区4号楼1层103室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办公地址：北京市海淀区西北旺东路10号院西区4号楼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法定代表人：葛新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联系人：孙博超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联系电话：010-59403028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客户服务电话：95055-4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网址：www.baiyingfund.com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(184) 长量基金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注册地址：上海市浦东新区高翔路526号2幢220室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办公地址：上海市浦东新区东方路1267号陆家嘴金融服务广场二期11层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法定代表人：张跃伟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联系人：党敏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联系电话：021-20691935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客户服务电话：400-820-2899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传真：021-20691861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网址：www.erichfund.com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(185) 朝阳永续</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注册地址：浦东新区上丰路977号1幢B座812室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办公地址：上海市浦东新区碧波路690号4幢201-2A室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法定代表人：孙晓慧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联系人：陆纪青</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联系电话：021-80234888-6813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客户服务电话：400-699-1888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网址：www.998fund.com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(186) 创金启富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注册地址：北京市西城区白纸坊东街2号院6号楼712室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办公地址：北京市西城区白纸坊东街2号院6号楼712室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法定代表人：梁蓉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联系人：杨凤椅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联系电话：010-66154828-8047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客户服务电话：400-6262-818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传真：010-63583991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网址：www.5irich.com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(187) 大泰金石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注册地址：南京市建邺区江东中路102号708室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办公地址：上海市浦东新区峨山路505号东方纯一大厦15楼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法定代表人：陈达伟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联系人：孟召社</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联系电话：021-20324176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客户服务电话：400-995-9220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传真：021-20324199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网址：www.dtfunds.com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(188) 大智慧基金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注册地址：中国（上海）自由贸易试验区杨高南路428号1号楼1102单元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办公地址：中国（上海）自由贸易试验区杨高南路428号1号楼1102单元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法定代表人：申健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联系人：张蜓</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联系电话：021-20219988-35374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客户服务电话：021-20292031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传真：021-20219923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网址：https://www.wg.com.cn/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(189) 蛋卷基金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注册地址：北京市朝阳区创远路34号院6号楼15层1501室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办公地址：北京市朝阳区创远路 34 号院融新科技中心 C 座 17 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法定代表人：钟斐斐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联系人：侯芳芳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联系电话：010-61840688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客户服务电话：400-159-9288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网址：https://danjuanapp.com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(190) 鼎信汇金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注册地址：北京市海淀区太月园3号楼5层521室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办公地址：北京市海淀区太月园3号楼5层521室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法定代表人：齐凌峰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联系人：阮志凌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联系电话：010-82050520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客户服务电话：400-158-5050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传真：010-82086110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网址：www.9ifund.com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(191) 东证期货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注册地址：中国（上海）自由贸易试验区浦电路500号上海期货大厦14层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办公地址：上海市黄浦区中山南路318号2号楼22楼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法定代表人：卢大印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联系人：张敏圆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联系电话：021-63325888-4259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客户服务电话：4008859999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传真：021-63326752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网址：www.dzqh.com.cn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(192) 泛华普益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注册地址：四川省成都市成华区建设路9号高地中心1101室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办公地址：成都市金牛区花照壁西顺街399号1栋1单元龙湖西宸天街B座1201号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法定代表人：于海锋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联系电话：15114053620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客户服务电话：400-080-3388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网址：www.puyifund.com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(193) 富济基金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注册地址：深圳市福田区福田街道岗厦社区金田路3088号中洲大厦3203A单元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办公地址：深圳市福田区福田街道岗厦社区金田路3088号中洲大厦3203A单元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法定代表人：祝中村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联系人：曾瑶敏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联系电话：0755-83999907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客户服务电话：0755-83999907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传真：0755-83999926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网址：www.fujifund.cn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(194) 海银基金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注册地址：中国（上海）自由贸易试验区银城中路8号402室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办公地址：上海市浦东新区银城中路8号海银金融中心4楼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法定代表人：巩巧丽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联系人：毛林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联系电话：021-80133597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客户服务电话：400-808-1016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传真：021-80133413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网址：www.fundhaiyin.com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(195) 好买基金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注册地址：上海市虹口区欧阳路196号26号楼2楼41号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办公地址：上海市浦东南路1118号鄂尔多斯国际大厦903～906室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法定代表人：杨文斌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联系人：高源</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联系电话：021-36696312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客户服务电话：400-700-9665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传真：021-68596919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网址：www.ehowbuy.com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(196) 和谐销售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注册地址：北京市朝阳区建国门外大街6号11层1102内103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办公地址：北京市朝阳区建国门外大街6号安邦金融中心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法定代表人：左荣林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联系人：张楠</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联系电话：010-85256214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客户服务电话：4008195569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网址：www.hx-sales.com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(197) 和讯信息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注册地址：北京市朝阳区朝外大街22号1002室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办公地址：北京市朝阳区朝外大街22号泛利大厦10层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联系人：陈慧慧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联系电话：010-85657353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客户服务电话：400-920-0022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传真：010-65884788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网址：http://licaike.hexun.com/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(198) 恒天明泽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注册地址：北京市经济技术开发区宏达北路10号五层5122室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办公地址：北京市朝阳区东三环北路甲19号SOHO嘉盛中心30层3001室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法定代表人：周斌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联系人：陈霞</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联系电话：010-59313555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客户服务电话：400-8980-618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传真：010-59313586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网址：www.chtwm.com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(199) 弘业期货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注册地址：江苏省南京市秦淮区中华路50号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办公地址：江苏省南京市秦淮区中华路50号弘业大厦9楼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法人代表：周剑秋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联系人：张苏怡</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联系电话：025-52278981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客户服务电话：400-828-1288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网址：www.ftol.com.cn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(200) 虹点基金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注册地址：北京市朝阳区东三环北路17号10层1015室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办公地址：北京市朝阳区东三环北路17号10层1015室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法定代表人：何静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联系人：王重阳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联系电话：010-65951887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客户服务电话：400-618-0707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网址：www.hongdianfund.com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(201) 华瑞保险销售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注册地址：上海市嘉定区南翔镇众仁路399号运通星财富广场1号楼B座13、14层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办公地址：上海市浦东新区向城路288号国华人寿金融大厦8层806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法定代表人：路昊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联系人：茆勇强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联系电话：021-68595698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客户服务电话：952303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传真：021-68595766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网址：www.huaruisales.com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(202) 华夏财富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注册地址：上海市虹口区东大名路687号1幢2楼268室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办公地址：北京市西城区金融大街33号通泰大厦B座8层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法定代表人：毛淮平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联系人：张静怡</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联系电话：010-88066326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客户服务电话：400-817-5666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传真：010-63136184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网址：www.amcfortune.com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(203) 徽商期货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注册地址：安徽省合肥市芜湖路258号3号楼6-7层，6号楼1-2层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办公地址：合肥市芜湖路258号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法人代表：吴国华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联系人：申倩倩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联系电话：0551-62865215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客户服务电话：400-887-8707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网址：www.hsqh.net</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(204) 汇成基金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注册地址：北京市海淀区中关村大街11号11层1108号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办公地址：北京市西城区西直门外大街1号院2号楼 19层 19C13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法定代表人：王伟刚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联系人：王骁骁</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联系电话：010-56251471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客户服务电话：400-619-9059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网址：www.hcfunds.com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(205) 汇付基金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注册地址：上海市黄浦区黄河路333号201室A区056单元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办公地址：上海市徐汇区宜山路700号普天信息产业园2期C5栋 汇付天下总部大楼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法定代表人：金佶</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联系人：甄宝林</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联系电话：021-34013996-3011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客户服务电话：021-34013999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传真：021-33323837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网址：www.hotjijin.com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(206) 济安财富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注册地址：北京市朝阳区太阳宫中路16号院1号楼3层307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办公地址：北京市朝阳区太阳宫中路16号院1号楼冠捷大厦3层307单元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法定代表人：杨健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联系人：李海燕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联系电话：010-65309516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客户服务电话：400-673-7010（济安财富官网）  400-071-6766（腾讯财经）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传真：010-65330699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网址：www.jianfortune.com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(207) 加和基金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注册地址：北京市西城区德胜门外大街13号院1号楼5层505室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办公地址：北京市西城区德胜门外大街13号院1号楼5层505室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法定代表人：曲阳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联系人：王梓骄</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联系电话：010-80456756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客户服务电话：400-803-1188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传真：010-80456278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网址：www.bzfunds.com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(208) 嘉实财富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注册地址：中国（上海）自由贸易试验区世纪大道8号上海国金中心办公楼二期53层5312-15单元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办公地址：北京市朝阳区建国路91号金地中心A座6层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法定代表人：赵学军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联系电话：010-60842306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客户服务电话：400-021-8850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传真：010-85712195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网址：www.harvestwm.cn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(209) 金百临</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注册地址：无锡市滨湖区锦溪路99号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办公地址：江苏省无锡市太湖新城锦溪道楝泽路9号楼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法人代表：费晓燕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联系人：邹云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联系电话：0510-81188088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客户服务电话：0510-9688988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网址：www.jsjbl.com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(210) 金观诚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注册地址：杭州拱墅区登云路45号金诚集团（锦昌大厦）1幢10楼1001室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办公地址：杭州拱墅区登云路55号金诚集团（锦昌大厦）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法定代表人：蒋雪琦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联系人：来舒岚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联系电话：0571-88337888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客户服务电话：4000680058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传真：0571-88337666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网址：http://www.jincheng-fund.com/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(211) 久富财富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注册地址：上海市浦东新区莱阳路2819号1幢109室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办公地址：上海市浦东新区民生路1403号上海信息大厦1215室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法定代表人：赵惠蓉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联系人：赵惠蓉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联系电话：021-68682279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客户服务电话：400-102-1813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传真：021-68682297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网址：www.jfcta.com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(212) 凯石财富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注册地址：上海市黄浦区西藏南路765号602-115室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办公地址：上海市黄浦区延安东路1号凯石大厦4楼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法定代表人：陈继武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联系人：冯强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联系电话：021-63333389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客户服务电话：4006-433-389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传真：021-63333390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网址：www.vstonewealth.com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(213) 肯特瑞基金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注册地址：北京市海淀区西三旗建材城中路12号17号平房157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办公地址：北京市大兴区亦庄经济开发区科创十一街十八号院京东集团总部A座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法定代表人：王苏宁</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联系人：娄云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联系电话：010-89189291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客户服务电话：95118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网址：http://fund.jd.com/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(214) 利得基金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注册地址：上海市宝山区蕴川路5475号1033室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办公地址：上海市虹口区东大名路1098号浦江国际金融广场53层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法定代表人：李兴春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联系人：陈孜明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联系电话：86-021-50583533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客户服务电话：95733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传真：86-21-61101630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网址：www.leadfund.com.cn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(215) 联泰基金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注册地址：中国（上海）自由贸易试验区富特北路277号3层310室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办公地址：上海市长宁区福泉北路518号8座3楼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法定代表人：尹彬彬</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联系人：陈东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联系电话：021-52822063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客户服务电话：400-118-1188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传真：021-52975270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网址：www.66zichan.com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(216) 陆基金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注册地址：中国（上海）自由贸易试验区陆家嘴环路1333号14楼09单元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办公地址：中国（上海）自由贸易试验区陆家嘴环路1333号14楼09单元</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法定代表人：王之光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联系人：宁博宇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联系电话：021-20665952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客户服务电话：4008219031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传真：021-22066653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网址：www.lufunds.com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(217) 蚂蚁基金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注册地址：浙江省杭州市余杭区五常街道文一西路969号3幢5层599室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办公地址：浙江省杭州市西湖区万塘路18号黄龙时代广场B座6F</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法定代表人：祖国明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联系人：韩爱彬</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联系电话：0571-26888888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客户服务电话：4000-766-123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网址：http://www.fund123.cn/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(218) 民商基金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注册地址：上海市黄浦区北京东路666号H区（东座）6楼A31室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办公地址：上海市浦东新区张杨路707号生命人寿大厦32楼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法定代表人：贲惠琴</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联系人：林志枫</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联系电话：021-50206003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客户服务电话：021-50206003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传真：021-50206001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网址：http://www.msftec.com/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(219) 诺亚正行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注册地址：上海市虹口区飞虹路360弄9号3724室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办公地址：上海市杨浦区长阳路1687号长阳谷2号楼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法定代表人：汪静波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联系人：李娟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联系电话：021-80358523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客户服务电话：400-821-5399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传真：021-38509777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网址：www.noah-fund.com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(220) 浦领基金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注册地址：北京市朝阳区望京东园四区13号楼A座9层908室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办公地址：北京市朝阳区望京浦项中心A座9层04-08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法定代表人：聂婉君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联系人：李艳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联系电话：010-59497361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客户服务电话：400-012-5899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传真：010-64788016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网址：www.zscffund.com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(221) 钱景基金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注册地址：北京市海淀区中关村东路18号1号楼11层B-1108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办公地址：北京市海淀区中关村东路18号财智国际大厦B-1108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法定代表人：王利刚</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联系人：白皓</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联系电话：010-59422766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客户服务电话：400-893-6885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传真：010-62565181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网址：www.qianjing.com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(222) 深圳新兰德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注册地址：深圳市福田区福田街道民田路178号华融大厦27层2704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办公地址：北京市西城区宣武门外大街28号富卓大厦A座7层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法定代表人：洪弘</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联系人：张燕</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联系电话：010-83363099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客户服务电话：400-166-1188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传真：010-83363010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网址：http://8.jrj.com.cn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(223) 晟视天下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注册地址：北京市怀柔区九渡河镇黄坎村735号03室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办公地址：北京市朝阳区朝外大街甲六号万通中心D座21层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法定代表人：蒋煜</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联系人：史俊杰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联系电话：010-58170936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客户服务电话：010-58170761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传真：010-58170800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网址：www.shengshiview.com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(224) 苏宁基金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注册地址：南京市玄武区苏宁大道1-5号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办公地址：南京市玄武区苏宁大道1-5号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联系人：冯鹏鹏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联系电话：025-66996699-882796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客户服务电话：95177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网址：www.snjijin.com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(225) 腾安基金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注册地址：深圳市前海深港合作区前湾一路1号A栋201室（入驻深圳市前海商务秘书有限公司）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办公地址：深圳市南山区海天二路33号腾讯滨海大厦15楼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法定代表人：刘明军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联系人：谭广锋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客户服务电话：95017（拨通后转1转8）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公司网址：https://www.txfund.com/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(226) 天天基金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注册地址：上海市徐汇区龙田路190号2号楼2层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办公地址：上海市徐汇区宛平南路88号东方财富大厦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法定代表人：其实</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联系人：屠彦洋</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联系电话：021-54509977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客户服务电话：95021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传真：021-64385308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网址：www.1234567.com.cn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(227) 通华财富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注册地址：上海市虹口区同丰路667弄107号201室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办公地址：上海市浦东新区金沪路55号通华科技大厦2楼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法定代表人：沈丹义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联系人：杨涛、庄洁茹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联系电话：021-60810586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客户服务电话：400-101-9301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传真：021-60810695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网址：www.tonghuafund.com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(228) 同花顺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注册地址：浙江省杭州市文二西路1号903室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办公地址：杭州市余杭区五常街道同顺街18号同花顺大楼4层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法定代表人：吴强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联系人：吴强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联系电话：0571-88911818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客户服务电话：952555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传真：0571-86800423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网址：www.5ifund.com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(229) 途牛基金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注册地址：江苏省南京市玄武区玄武大道699-1号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办公地址：江苏省南京市玄武区玄武大道699-32号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法人代表：宋时琳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联系人：贺杰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联系电话：025-86853960-66727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客户服务电话：4007-999-999转3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网址：http://jr.tuniu.com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(230) 挖财基金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注册地址：中国（上海）自由贸易试验区杨高南路799号5楼04室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办公地址：上海市浦东新区杨高南路799号陆家嘴世纪金融广场3号楼5层04室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法定代表人：吕柳霞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联系人：曾芸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联系电话：021-50810687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客户服务电话：021-50810673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网址：www.wacaijijin.com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(231) 万得基金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注册地址：中国（上海）自由贸易试验区福山路33号11楼B座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办公地址：上海市浦东新区浦明路1500号万得大厦11楼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联系人：徐亚丹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联系电话：021-50712782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客户服务电话：400-799-1888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网址：www.520fund.com.cn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(232) 万家财富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注册地址：天津自贸区（中心商务区）迎宾大道1988号滨海浙商大厦公寓2-2413室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办公地址：北京市西城区丰盛胡同28号太平洋保险大厦A座5层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联系人：王芳芳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联系电话：010-59013828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客户服务电话：010-59013895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网址：http://www.wanjiawealth.com/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(233) 新浪仓石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注册地址：北京市海淀区东北旺西路中关村软件园二期（西扩）N-1、N-2地块新浪总部科研楼5层518室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办公地址：北京市海淀区西北旺东路10号院东区3号楼为明大厦C座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法定代表人：赵芯蕊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联系人：赵芯蕊</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联系电话：010-62625768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客户服务电话：010-62675369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传真：010-62676582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网址：www.xincai.com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(234) 鑫鼎盛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注册地址：厦门市思明区鹭江道2号厦门第一广场西座1501-1502室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办公地址：厦门市思明区鹭江道2号厦门第一广场西座1501-1502室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 xml:space="preserve">法定代表人：陈洪生 </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联系人：梁云波</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联系电话：0592-3122757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客户服务电话：400-6533-789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网址：www.xds.com.cn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(235) 阳光人寿保险</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注册地址：海南省三亚市迎宾路360-1号三亚阳光金融广场16层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办公地址：北京市朝阳区朝阳门外大街乙12号院1号昆泰国际大厦12层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法定代表人：李科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联系人：王超</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联系电话：010-85632771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客户服务电话：95510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传真：010-85632773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网址：http://fund.sinosig.com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(236) 一路财富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注册地址：北京市海淀区宝盛南路1号院20号楼9层101-14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办公地址：北京市海淀区宝盛南路奥北科技园20号楼国泰大厦9层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法定代表人：吴雪秀</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联系人：董宣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联系电话：010-88312877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客户服务电话：400-001-1566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传真：010-88312099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网址：www.yilucaifu.com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(237) 宜投基金销售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注册地址：深圳市前海深港合作区前湾一路1号A栋201室（入驻深圳市前海商务秘书有限公司）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办公地址：深圳市福田区嘉里建设广场2座15楼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法定代表人：雷凤潮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联系人：梁菲菲</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联系电话：0755-88603874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客户服务电话：4008-955-811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网址：www.yitfund.com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(238) 宜信普泽</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注册地址：北京市朝阳区西大望路1号9层公寓1008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办公地址：北京市朝阳区西大望路1号9层公寓1008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法定代表人：戎兵</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联系人：魏晨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联系电话：010-52413385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客户服务电话：400-6099-200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传真：010-85800047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网址：www.yixinfund.com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(239) 奕丰金融</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注册地址：深圳市前海深港合作区前湾一路1号A栋201室（入驻深圳市前海商务秘书有限公司）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办公地址：深圳市南山区海德三道航天科技广场A座17楼1704室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法定代表人：TEO WEE HOWE</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联系人：叶健</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联系电话：0755-89460507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客户服务电话：400-684-0500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传真：0755-21674453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网址：www.ifastps.com.cn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(240) 盈米基金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注册地址：珠海市横琴新区宝华路6号105室-3491（集中办公区）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办公地址：广州市海珠区琶洲大道东路1号保利国际广场南塔1201-1203室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法定代表人：肖雯</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联系人：邱湘湘</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联系电话：020-89629099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客户服务电话：020-89629066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传真：020-89629011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网址：www.yingmi.cn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(241) 云湾基金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注册地址：中国（上海）自由贸易试验区新金桥路27号、明月路1257号1幢1层103-1、103-2办公区</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办公地址：上海市浦东新区新金桥路27号1号楼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法定代表人：冯轶明</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联系人：范泽杰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联系电话：021-20530186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客户服务电话：400-820-1515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传真：021-20539999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网址：http://www.zhengtongfunds.com/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(242) 增财基金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注册地址：北京市西城区南礼士路66号建威大厦1208室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办公地址：北京市西城区南礼士路66号建威大厦1208-1209室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法定代表人：罗细安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联系人：闫丽敏</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联系电话：010-67000988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客户服务电话：400-001-8811</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传真：010-67000988-6000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网址：www.zcvc.com.cn</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(243) 展恒基金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注册地址：北京市朝阳区安苑路11号西楼6层604、607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办公地址：北京市朝阳区北四环中路27号盘古大观3205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法定代表人：闫振杰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联系人：武文佳</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联系电话：010-59601399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客户服务电话：400-818-8000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传真：0351-4110714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网址：www.myfund.com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(244) 中国国际期货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注册地址：北京市朝阳区建国门外光华路14号1幢6层609号、610号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办公地址：北京市朝阳区建国门外光华路14号1幢1层、2层、9层、11层、12层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法定代表人：王兵</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联系人：霍丽文</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联系电话：010-65807827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客户服务电话：95162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传真：010-59539806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网址：http://www.cifco.net/</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(245) 中欧财富</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注册地址：中国（上海）自由贸易试验区陆家嘴环路333号502室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办公地址：上海市虹口区公平路18号8栋嘉昱大厦6层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法定代表人：许欣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联系人：黎静</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联系电话：021-68609600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客户服务电话：400-700-9700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网址：www.qiangungun.com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(246) 中期时代基金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注册地址：北京市朝阳区建国门外光华路14号1幢11层1103号</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办公地址：北京市朝阳区建国门外光华路14号1幢4层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法定代表人：田宏莉</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联系人：尹庆</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联系电话：010-65807865</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客户服务电话：95162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传真：010-65807864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网址：www.jrtoo.com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(247) 中信建投期货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注册地址：重庆市渝中区中山三路107号上站大楼平街11-B，名义层11-A，8-B4，9-B、C</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办公地址：重庆市渝中区中山三路107号皇冠大厦11楼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法定代表人：王广学</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联系人：刘芸</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联系电话：023-86769637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客户服务电话：400-8877-780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传真：023-86769629</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网址：www.cfc108.com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(248) 中信期货</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注册地址：广东省深圳市福田区中心三路8号卓越时代广场（二期）北座13层1301-1305室、14层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办公地址：深圳市福田区中心三路8号卓越时代广场（二期）北座13层1301-1305室、14层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法定代表人：张皓</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联系人：刘宏莹</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联系电话：010-6083 3754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客户服务电话：400-990-8826</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传真：021-60819988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网址：www.citicsf.com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(249) 中正达广</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注册地址：上海市徐汇区龙腾大道2815号302室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办公地址：上海市徐汇区龙腾大道2815号302室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法定代表人：黄欣</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联系人：戴珉微</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联系电话：021-33768132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客户服务电话：400-6767-523</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传真：021-33768132-802</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网址：www.zhongzhengfund.com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(250) 中证金牛</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注册地址：北京市丰台区东管头1号2号楼2-45室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办公地址：北京市西城区宣武门外大街甲1号环球财讯中心A座5层</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法定代表人：钱昊旻</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联系人：沈晨</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联系电话：010-59336544</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客户服务电话：4008-909-998</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网址：www.jnlc.com</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(251) 众禄基金</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注册地址：深圳市罗湖区笋岗街道笋西社区梨园路8号HALO广场一期四层12-13室</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办公地址：深圳市罗湖区梨园路HALO广场4楼</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法定代表人：薛峰</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联系人：龚江江</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联系电话：0755-33227950</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客户服务电话：4006-788-887</w:t>
      </w:r>
    </w:p>
    <w:p w:rsidR="00331E97" w:rsidRPr="0001503D" w:rsidRDefault="00331E97" w:rsidP="00331E97">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传真：0755-33227951</w:t>
      </w:r>
    </w:p>
    <w:p w:rsidR="008E79F6" w:rsidRPr="0001503D" w:rsidRDefault="00331E97">
      <w:pPr>
        <w:snapToGrid w:val="0"/>
        <w:spacing w:line="360" w:lineRule="auto"/>
        <w:ind w:firstLineChars="200" w:firstLine="420"/>
        <w:rPr>
          <w:rFonts w:asciiTheme="minorEastAsia" w:eastAsiaTheme="minorEastAsia" w:hAnsiTheme="minorEastAsia"/>
          <w:b/>
        </w:rPr>
      </w:pPr>
      <w:r w:rsidRPr="0001503D">
        <w:rPr>
          <w:rFonts w:asciiTheme="minorEastAsia" w:eastAsiaTheme="minorEastAsia" w:hAnsiTheme="minorEastAsia" w:hint="eastAsia"/>
        </w:rPr>
        <w:t>网址：www.zlfund.cn    www.jjmmw.com</w:t>
      </w:r>
    </w:p>
    <w:p w:rsidR="002F5370" w:rsidRPr="0001503D" w:rsidRDefault="002F5370" w:rsidP="00D55F4A">
      <w:pPr>
        <w:pStyle w:val="20"/>
        <w:snapToGrid w:val="0"/>
        <w:spacing w:beforeLines="0" w:afterLines="0" w:line="360" w:lineRule="auto"/>
        <w:ind w:firstLineChars="0" w:firstLine="0"/>
        <w:rPr>
          <w:rFonts w:asciiTheme="minorEastAsia" w:eastAsiaTheme="minorEastAsia" w:hAnsiTheme="minorEastAsia"/>
          <w:b w:val="0"/>
          <w:bCs/>
          <w:szCs w:val="21"/>
        </w:rPr>
      </w:pPr>
      <w:bookmarkStart w:id="31" w:name="_Toc38432429"/>
      <w:bookmarkStart w:id="32" w:name="_Toc28803528"/>
      <w:r w:rsidRPr="0001503D">
        <w:rPr>
          <w:rFonts w:asciiTheme="minorEastAsia" w:eastAsiaTheme="minorEastAsia" w:hAnsiTheme="minorEastAsia" w:hint="eastAsia"/>
          <w:b w:val="0"/>
          <w:bCs/>
          <w:szCs w:val="21"/>
        </w:rPr>
        <w:t>（二）基金注册登记机构</w:t>
      </w:r>
      <w:bookmarkEnd w:id="31"/>
      <w:bookmarkEnd w:id="32"/>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名称：易方达基金管理有限公司</w:t>
      </w:r>
    </w:p>
    <w:p w:rsidR="00727A83" w:rsidRPr="0001503D" w:rsidRDefault="00727A83"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注册地址：</w:t>
      </w:r>
      <w:r w:rsidR="00066B61" w:rsidRPr="0001503D">
        <w:rPr>
          <w:rStyle w:val="da"/>
          <w:rFonts w:asciiTheme="minorEastAsia" w:eastAsiaTheme="minorEastAsia" w:hAnsiTheme="minorEastAsia" w:hint="eastAsia"/>
        </w:rPr>
        <w:t>广东省珠海市</w:t>
      </w:r>
      <w:r w:rsidR="00066B61" w:rsidRPr="0001503D">
        <w:rPr>
          <w:rFonts w:asciiTheme="minorEastAsia" w:eastAsiaTheme="minorEastAsia" w:hAnsiTheme="minorEastAsia" w:hint="eastAsia"/>
        </w:rPr>
        <w:t>横琴新区宝华路6号105室－42891（集中办公区）</w:t>
      </w:r>
    </w:p>
    <w:p w:rsidR="002F5370" w:rsidRPr="0001503D" w:rsidRDefault="00727A83"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办公地址：广州市天河区珠江新城珠江东路30号广州银行大厦40-43楼</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法定代表人：</w:t>
      </w:r>
      <w:r w:rsidR="003175EF" w:rsidRPr="0001503D">
        <w:rPr>
          <w:rFonts w:asciiTheme="minorEastAsia" w:eastAsiaTheme="minorEastAsia" w:hAnsiTheme="minorEastAsia" w:hint="eastAsia"/>
        </w:rPr>
        <w:t>刘晓艳</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电话：4008818088</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w:t>
      </w:r>
      <w:r w:rsidRPr="0001503D">
        <w:rPr>
          <w:rFonts w:asciiTheme="minorEastAsia" w:eastAsiaTheme="minorEastAsia" w:hAnsiTheme="minorEastAsia"/>
        </w:rPr>
        <w:t>020</w:t>
      </w:r>
      <w:r w:rsidRPr="0001503D">
        <w:rPr>
          <w:rFonts w:asciiTheme="minorEastAsia" w:eastAsiaTheme="minorEastAsia" w:hAnsiTheme="minorEastAsia" w:hint="eastAsia"/>
        </w:rPr>
        <w:t>-38799249</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联系人：余贤高</w:t>
      </w:r>
    </w:p>
    <w:p w:rsidR="002F5370" w:rsidRPr="0001503D"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3" w:name="_Toc38432430"/>
      <w:bookmarkStart w:id="34" w:name="_Toc28803529"/>
      <w:r w:rsidRPr="0001503D">
        <w:rPr>
          <w:rFonts w:asciiTheme="minorEastAsia" w:eastAsiaTheme="minorEastAsia" w:hAnsiTheme="minorEastAsia" w:hint="eastAsia"/>
          <w:b w:val="0"/>
          <w:szCs w:val="24"/>
        </w:rPr>
        <w:t>（三）</w:t>
      </w:r>
      <w:r w:rsidRPr="0001503D">
        <w:rPr>
          <w:rFonts w:asciiTheme="minorEastAsia" w:eastAsiaTheme="minorEastAsia" w:hAnsiTheme="minorEastAsia" w:hint="eastAsia"/>
          <w:b w:val="0"/>
          <w:bCs/>
          <w:szCs w:val="21"/>
        </w:rPr>
        <w:t>律师事务所和经办律师</w:t>
      </w:r>
      <w:bookmarkEnd w:id="33"/>
      <w:bookmarkEnd w:id="34"/>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律师事务所：上海源泰律师事务所</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地址：上海市浦东新区浦东南路256号华夏银行大厦14层</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负责人：廖海</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w:t>
      </w:r>
      <w:r w:rsidRPr="0001503D">
        <w:rPr>
          <w:rFonts w:asciiTheme="minorEastAsia" w:eastAsiaTheme="minorEastAsia" w:hAnsiTheme="minorEastAsia"/>
        </w:rPr>
        <w:t>021</w:t>
      </w:r>
      <w:r w:rsidRPr="0001503D">
        <w:rPr>
          <w:rFonts w:asciiTheme="minorEastAsia" w:eastAsiaTheme="minorEastAsia" w:hAnsiTheme="minorEastAsia" w:hint="eastAsia"/>
        </w:rPr>
        <w:t>）</w:t>
      </w:r>
      <w:r w:rsidRPr="0001503D">
        <w:rPr>
          <w:rFonts w:asciiTheme="minorEastAsia" w:eastAsiaTheme="minorEastAsia" w:hAnsiTheme="minorEastAsia"/>
        </w:rPr>
        <w:t>51150298</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w:t>
      </w:r>
      <w:r w:rsidRPr="0001503D">
        <w:rPr>
          <w:rFonts w:asciiTheme="minorEastAsia" w:eastAsiaTheme="minorEastAsia" w:hAnsiTheme="minorEastAsia"/>
        </w:rPr>
        <w:t>021</w:t>
      </w:r>
      <w:r w:rsidRPr="0001503D">
        <w:rPr>
          <w:rFonts w:asciiTheme="minorEastAsia" w:eastAsiaTheme="minorEastAsia" w:hAnsiTheme="minorEastAsia" w:hint="eastAsia"/>
        </w:rPr>
        <w:t>）</w:t>
      </w:r>
      <w:r w:rsidRPr="0001503D">
        <w:rPr>
          <w:rFonts w:asciiTheme="minorEastAsia" w:eastAsiaTheme="minorEastAsia" w:hAnsiTheme="minorEastAsia"/>
        </w:rPr>
        <w:t>51150398</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经办律师：梁丽金、刘佳</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联系人：廖海</w:t>
      </w:r>
    </w:p>
    <w:p w:rsidR="002F5370" w:rsidRPr="0001503D"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5" w:name="_Toc38432431"/>
      <w:bookmarkStart w:id="36" w:name="_Toc28803530"/>
      <w:r w:rsidRPr="0001503D">
        <w:rPr>
          <w:rFonts w:asciiTheme="minorEastAsia" w:eastAsiaTheme="minorEastAsia" w:hAnsiTheme="minorEastAsia" w:hint="eastAsia"/>
          <w:b w:val="0"/>
          <w:szCs w:val="24"/>
        </w:rPr>
        <w:t>（四）</w:t>
      </w:r>
      <w:r w:rsidRPr="0001503D">
        <w:rPr>
          <w:rFonts w:asciiTheme="minorEastAsia" w:eastAsiaTheme="minorEastAsia" w:hAnsiTheme="minorEastAsia" w:hint="eastAsia"/>
          <w:b w:val="0"/>
          <w:bCs/>
          <w:szCs w:val="21"/>
        </w:rPr>
        <w:t>会计师事务所和经办注册会计师</w:t>
      </w:r>
      <w:bookmarkEnd w:id="35"/>
      <w:bookmarkEnd w:id="36"/>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会计师事务所：</w:t>
      </w:r>
      <w:r w:rsidR="00B402B0" w:rsidRPr="0001503D">
        <w:rPr>
          <w:rFonts w:asciiTheme="minorEastAsia" w:eastAsiaTheme="minorEastAsia" w:hAnsiTheme="minorEastAsia" w:hint="eastAsia"/>
        </w:rPr>
        <w:t>安永华明会计师事务所（特殊普通合伙）</w:t>
      </w:r>
    </w:p>
    <w:p w:rsidR="00DA068F" w:rsidRPr="0001503D" w:rsidRDefault="008A497E"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主要经营场所</w:t>
      </w:r>
      <w:r w:rsidR="00DA068F" w:rsidRPr="0001503D">
        <w:rPr>
          <w:rFonts w:asciiTheme="minorEastAsia" w:eastAsiaTheme="minorEastAsia" w:hAnsiTheme="minorEastAsia" w:hint="eastAsia"/>
        </w:rPr>
        <w:t>：北京市东城区东长安街1号东方广场安永大楼17层01-12室</w:t>
      </w:r>
    </w:p>
    <w:p w:rsidR="00DA068F" w:rsidRPr="0001503D" w:rsidRDefault="00DA068F"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执行事务合伙人：</w:t>
      </w:r>
      <w:r w:rsidR="00C66494" w:rsidRPr="0001503D">
        <w:rPr>
          <w:rFonts w:asciiTheme="minorEastAsia" w:eastAsiaTheme="minorEastAsia" w:hAnsiTheme="minorEastAsia" w:hint="eastAsia"/>
        </w:rPr>
        <w:t>TonyMao毛鞍宁</w:t>
      </w:r>
    </w:p>
    <w:p w:rsidR="00DA068F" w:rsidRPr="0001503D" w:rsidRDefault="00DA068F"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电话：010-58153000</w:t>
      </w:r>
    </w:p>
    <w:p w:rsidR="002F5370" w:rsidRPr="0001503D" w:rsidRDefault="002F5370" w:rsidP="009B264B">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传真：010-85188298</w:t>
      </w:r>
    </w:p>
    <w:p w:rsidR="00B71FFC" w:rsidRPr="00B71FFC" w:rsidRDefault="00B71FFC" w:rsidP="00B71FFC">
      <w:pPr>
        <w:snapToGrid w:val="0"/>
        <w:spacing w:line="360" w:lineRule="auto"/>
        <w:ind w:firstLineChars="200" w:firstLine="420"/>
        <w:rPr>
          <w:rFonts w:asciiTheme="minorEastAsia" w:eastAsiaTheme="minorEastAsia" w:hAnsiTheme="minorEastAsia"/>
        </w:rPr>
      </w:pPr>
      <w:r w:rsidRPr="00B71FFC">
        <w:rPr>
          <w:rFonts w:asciiTheme="minorEastAsia" w:eastAsiaTheme="minorEastAsia" w:hAnsiTheme="minorEastAsia" w:hint="eastAsia"/>
        </w:rPr>
        <w:t>经办注册会计师：昌华、马婧</w:t>
      </w:r>
    </w:p>
    <w:p w:rsidR="002F5370" w:rsidRPr="0001503D" w:rsidRDefault="00B71FFC" w:rsidP="00B71FFC">
      <w:pPr>
        <w:snapToGrid w:val="0"/>
        <w:spacing w:line="360" w:lineRule="auto"/>
        <w:ind w:firstLineChars="200" w:firstLine="420"/>
        <w:rPr>
          <w:rFonts w:asciiTheme="minorEastAsia" w:eastAsiaTheme="minorEastAsia" w:hAnsiTheme="minorEastAsia"/>
          <w:szCs w:val="21"/>
        </w:rPr>
      </w:pPr>
      <w:r w:rsidRPr="00B71FFC">
        <w:rPr>
          <w:rFonts w:asciiTheme="minorEastAsia" w:eastAsiaTheme="minorEastAsia" w:hAnsiTheme="minorEastAsia" w:hint="eastAsia"/>
        </w:rPr>
        <w:t>联系人：昌华</w:t>
      </w:r>
    </w:p>
    <w:p w:rsidR="002F5370" w:rsidRPr="0001503D" w:rsidRDefault="002F5370" w:rsidP="00467CAF">
      <w:pPr>
        <w:pStyle w:val="111"/>
        <w:pageBreakBefore w:val="0"/>
        <w:snapToGrid w:val="0"/>
        <w:spacing w:beforeLines="0" w:afterLines="0" w:line="360" w:lineRule="auto"/>
        <w:ind w:firstLineChars="0" w:firstLine="0"/>
        <w:rPr>
          <w:rFonts w:asciiTheme="minorEastAsia" w:eastAsiaTheme="minorEastAsia" w:hAnsiTheme="minorEastAsia"/>
          <w:bCs/>
          <w:szCs w:val="21"/>
        </w:rPr>
      </w:pPr>
      <w:r w:rsidRPr="0001503D">
        <w:rPr>
          <w:rFonts w:asciiTheme="minorEastAsia" w:eastAsiaTheme="minorEastAsia" w:hAnsiTheme="minorEastAsia"/>
          <w:szCs w:val="21"/>
        </w:rPr>
        <w:br w:type="page"/>
      </w:r>
      <w:bookmarkStart w:id="37" w:name="_Toc38432432"/>
      <w:bookmarkStart w:id="38" w:name="_Toc238870163"/>
      <w:bookmarkStart w:id="39" w:name="_Toc28803531"/>
      <w:r w:rsidRPr="0001503D">
        <w:rPr>
          <w:rFonts w:asciiTheme="minorEastAsia" w:eastAsiaTheme="minorEastAsia" w:hAnsiTheme="minorEastAsia" w:hint="eastAsia"/>
          <w:bCs/>
          <w:szCs w:val="21"/>
        </w:rPr>
        <w:lastRenderedPageBreak/>
        <w:t>六、基金的募集</w:t>
      </w:r>
      <w:bookmarkEnd w:id="37"/>
      <w:bookmarkEnd w:id="38"/>
      <w:bookmarkEnd w:id="39"/>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bookmarkStart w:id="40" w:name="_Toc38432433"/>
      <w:r w:rsidRPr="0001503D">
        <w:rPr>
          <w:rFonts w:asciiTheme="minorEastAsia" w:eastAsiaTheme="minorEastAsia" w:hAnsiTheme="minorEastAsia" w:hint="eastAsia"/>
          <w:szCs w:val="21"/>
        </w:rPr>
        <w:t>本基金由基金管理人依照《基金法》、《运作办法》、《销售办法》、基金合同的相关规定、并经中国证券监督管理委员会</w:t>
      </w:r>
      <w:r w:rsidR="00665033" w:rsidRPr="0001503D">
        <w:rPr>
          <w:rFonts w:asciiTheme="minorEastAsia" w:eastAsiaTheme="minorEastAsia" w:hAnsiTheme="minorEastAsia" w:hint="eastAsia"/>
          <w:szCs w:val="21"/>
        </w:rPr>
        <w:t>2010年6月30日</w:t>
      </w:r>
      <w:r w:rsidRPr="0001503D">
        <w:rPr>
          <w:rFonts w:asciiTheme="minorEastAsia" w:eastAsiaTheme="minorEastAsia" w:hAnsiTheme="minorEastAsia" w:hint="eastAsia"/>
          <w:szCs w:val="21"/>
        </w:rPr>
        <w:t>《关于核准易方达消费行业股票型证券投资基金募集的批复》（证监许可</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2010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875号）核准募集。</w:t>
      </w:r>
    </w:p>
    <w:bookmarkEnd w:id="40"/>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本基金为</w:t>
      </w:r>
      <w:r w:rsidRPr="0001503D">
        <w:rPr>
          <w:rFonts w:asciiTheme="minorEastAsia" w:eastAsiaTheme="minorEastAsia" w:hAnsiTheme="minorEastAsia"/>
        </w:rPr>
        <w:t>契约型开放式</w:t>
      </w:r>
      <w:r w:rsidRPr="0001503D">
        <w:rPr>
          <w:rFonts w:asciiTheme="minorEastAsia" w:eastAsiaTheme="minorEastAsia" w:hAnsiTheme="minorEastAsia" w:hint="eastAsia"/>
        </w:rPr>
        <w:t>股票型基金</w:t>
      </w:r>
      <w:r w:rsidRPr="0001503D">
        <w:rPr>
          <w:rFonts w:asciiTheme="minorEastAsia" w:eastAsiaTheme="minorEastAsia" w:hAnsiTheme="minorEastAsia"/>
        </w:rPr>
        <w:t>。基金</w:t>
      </w:r>
      <w:r w:rsidRPr="0001503D">
        <w:rPr>
          <w:rFonts w:asciiTheme="minorEastAsia" w:eastAsiaTheme="minorEastAsia" w:hAnsiTheme="minorEastAsia" w:hint="eastAsia"/>
        </w:rPr>
        <w:t>的</w:t>
      </w:r>
      <w:r w:rsidRPr="0001503D">
        <w:rPr>
          <w:rFonts w:asciiTheme="minorEastAsia" w:eastAsiaTheme="minorEastAsia" w:hAnsiTheme="minorEastAsia"/>
        </w:rPr>
        <w:t>存续期间</w:t>
      </w:r>
      <w:r w:rsidRPr="0001503D">
        <w:rPr>
          <w:rFonts w:asciiTheme="minorEastAsia" w:eastAsiaTheme="minorEastAsia" w:hAnsiTheme="minorEastAsia" w:hint="eastAsia"/>
        </w:rPr>
        <w:t>为</w:t>
      </w:r>
      <w:r w:rsidRPr="0001503D">
        <w:rPr>
          <w:rFonts w:asciiTheme="minorEastAsia" w:eastAsiaTheme="minorEastAsia" w:hAnsiTheme="minorEastAsia"/>
        </w:rPr>
        <w:t>不定期</w:t>
      </w:r>
      <w:r w:rsidRPr="0001503D">
        <w:rPr>
          <w:rFonts w:asciiTheme="minorEastAsia" w:eastAsiaTheme="minorEastAsia" w:hAnsiTheme="minorEastAsia" w:hint="eastAsia"/>
        </w:rPr>
        <w:t>。</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本基金</w:t>
      </w:r>
      <w:r w:rsidRPr="0001503D">
        <w:rPr>
          <w:rFonts w:asciiTheme="minorEastAsia" w:eastAsiaTheme="minorEastAsia" w:hAnsiTheme="minorEastAsia" w:hint="eastAsia"/>
        </w:rPr>
        <w:t>募集期间</w:t>
      </w:r>
      <w:r w:rsidRPr="0001503D">
        <w:rPr>
          <w:rFonts w:asciiTheme="minorEastAsia" w:eastAsiaTheme="minorEastAsia" w:hAnsiTheme="minorEastAsia"/>
        </w:rPr>
        <w:t>每份基金份额的</w:t>
      </w:r>
      <w:r w:rsidRPr="0001503D">
        <w:rPr>
          <w:rFonts w:asciiTheme="minorEastAsia" w:eastAsiaTheme="minorEastAsia" w:hAnsiTheme="minorEastAsia" w:hint="eastAsia"/>
        </w:rPr>
        <w:t>初始</w:t>
      </w:r>
      <w:r w:rsidRPr="0001503D">
        <w:rPr>
          <w:rFonts w:asciiTheme="minorEastAsia" w:eastAsiaTheme="minorEastAsia" w:hAnsiTheme="minorEastAsia"/>
        </w:rPr>
        <w:t>面值为人民币1.00元</w:t>
      </w:r>
      <w:r w:rsidRPr="0001503D">
        <w:rPr>
          <w:rFonts w:asciiTheme="minorEastAsia" w:eastAsiaTheme="minorEastAsia" w:hAnsiTheme="minorEastAsia" w:hint="eastAsia"/>
        </w:rPr>
        <w:t>。</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本基金募集期自</w:t>
      </w:r>
      <w:r w:rsidRPr="0001503D">
        <w:rPr>
          <w:rFonts w:asciiTheme="minorEastAsia" w:eastAsiaTheme="minorEastAsia" w:hAnsiTheme="minorEastAsia"/>
          <w:szCs w:val="21"/>
        </w:rPr>
        <w:t>20</w:t>
      </w:r>
      <w:r w:rsidRPr="0001503D">
        <w:rPr>
          <w:rFonts w:asciiTheme="minorEastAsia" w:eastAsiaTheme="minorEastAsia" w:hAnsiTheme="minorEastAsia" w:hint="eastAsia"/>
          <w:szCs w:val="21"/>
        </w:rPr>
        <w:t>10</w:t>
      </w:r>
      <w:r w:rsidRPr="0001503D">
        <w:rPr>
          <w:rFonts w:asciiTheme="minorEastAsia" w:eastAsiaTheme="minorEastAsia" w:hAnsiTheme="minorEastAsia"/>
          <w:szCs w:val="21"/>
        </w:rPr>
        <w:t>年</w:t>
      </w:r>
      <w:r w:rsidRPr="0001503D">
        <w:rPr>
          <w:rFonts w:asciiTheme="minorEastAsia" w:eastAsiaTheme="minorEastAsia" w:hAnsiTheme="minorEastAsia" w:hint="eastAsia"/>
          <w:szCs w:val="21"/>
        </w:rPr>
        <w:t>7</w:t>
      </w:r>
      <w:r w:rsidRPr="0001503D">
        <w:rPr>
          <w:rFonts w:asciiTheme="minorEastAsia" w:eastAsiaTheme="minorEastAsia" w:hAnsiTheme="minorEastAsia"/>
          <w:szCs w:val="21"/>
        </w:rPr>
        <w:t>月</w:t>
      </w:r>
      <w:r w:rsidRPr="0001503D">
        <w:rPr>
          <w:rFonts w:asciiTheme="minorEastAsia" w:eastAsiaTheme="minorEastAsia" w:hAnsiTheme="minorEastAsia" w:hint="eastAsia"/>
          <w:szCs w:val="21"/>
        </w:rPr>
        <w:t>26</w:t>
      </w:r>
      <w:r w:rsidRPr="0001503D">
        <w:rPr>
          <w:rFonts w:asciiTheme="minorEastAsia" w:eastAsiaTheme="minorEastAsia" w:hAnsiTheme="minorEastAsia"/>
          <w:szCs w:val="21"/>
        </w:rPr>
        <w:t>日</w:t>
      </w:r>
      <w:r w:rsidRPr="0001503D">
        <w:rPr>
          <w:rFonts w:asciiTheme="minorEastAsia" w:eastAsiaTheme="minorEastAsia" w:hAnsiTheme="minorEastAsia" w:hint="eastAsia"/>
        </w:rPr>
        <w:t>至</w:t>
      </w:r>
      <w:r w:rsidRPr="0001503D">
        <w:rPr>
          <w:rFonts w:asciiTheme="minorEastAsia" w:eastAsiaTheme="minorEastAsia" w:hAnsiTheme="minorEastAsia"/>
        </w:rPr>
        <w:t>20</w:t>
      </w:r>
      <w:r w:rsidRPr="0001503D">
        <w:rPr>
          <w:rFonts w:asciiTheme="minorEastAsia" w:eastAsiaTheme="minorEastAsia" w:hAnsiTheme="minorEastAsia" w:hint="eastAsia"/>
        </w:rPr>
        <w:t>10</w:t>
      </w:r>
      <w:r w:rsidRPr="0001503D">
        <w:rPr>
          <w:rFonts w:asciiTheme="minorEastAsia" w:eastAsiaTheme="minorEastAsia" w:hAnsiTheme="minorEastAsia"/>
        </w:rPr>
        <w:t>年</w:t>
      </w:r>
      <w:r w:rsidRPr="0001503D">
        <w:rPr>
          <w:rFonts w:asciiTheme="minorEastAsia" w:eastAsiaTheme="minorEastAsia" w:hAnsiTheme="minorEastAsia" w:hint="eastAsia"/>
        </w:rPr>
        <w:t>8</w:t>
      </w:r>
      <w:r w:rsidRPr="0001503D">
        <w:rPr>
          <w:rFonts w:asciiTheme="minorEastAsia" w:eastAsiaTheme="minorEastAsia" w:hAnsiTheme="minorEastAsia"/>
        </w:rPr>
        <w:t>月</w:t>
      </w:r>
      <w:r w:rsidRPr="0001503D">
        <w:rPr>
          <w:rFonts w:asciiTheme="minorEastAsia" w:eastAsiaTheme="minorEastAsia" w:hAnsiTheme="minorEastAsia" w:hint="eastAsia"/>
        </w:rPr>
        <w:t>18</w:t>
      </w:r>
      <w:r w:rsidRPr="0001503D">
        <w:rPr>
          <w:rFonts w:asciiTheme="minorEastAsia" w:eastAsiaTheme="minorEastAsia" w:hAnsiTheme="minorEastAsia"/>
        </w:rPr>
        <w:t>日</w:t>
      </w:r>
      <w:r w:rsidRPr="0001503D">
        <w:rPr>
          <w:rFonts w:asciiTheme="minorEastAsia" w:eastAsiaTheme="minorEastAsia" w:hAnsiTheme="minorEastAsia" w:hint="eastAsia"/>
        </w:rPr>
        <w:t>。募集对象为中国境内的个人投资者和机构投资者、合格境外机构投资者及法律法规或中国证监会允许购买证券投资基金的其他投资者。</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rPr>
      </w:pPr>
      <w:r w:rsidRPr="0001503D">
        <w:rPr>
          <w:rFonts w:asciiTheme="minorEastAsia" w:eastAsiaTheme="minorEastAsia" w:hAnsiTheme="minorEastAsia"/>
          <w:kern w:val="0"/>
          <w:sz w:val="20"/>
          <w:szCs w:val="20"/>
        </w:rPr>
        <w:br w:type="page"/>
      </w:r>
      <w:bookmarkStart w:id="41" w:name="_Toc238870164"/>
      <w:bookmarkStart w:id="42" w:name="_Toc28803532"/>
      <w:r w:rsidRPr="0001503D">
        <w:rPr>
          <w:rFonts w:asciiTheme="minorEastAsia" w:eastAsiaTheme="minorEastAsia" w:hAnsiTheme="minorEastAsia" w:hint="eastAsia"/>
          <w:bCs/>
        </w:rPr>
        <w:lastRenderedPageBreak/>
        <w:t>七、基金合同的生效</w:t>
      </w:r>
      <w:bookmarkEnd w:id="41"/>
      <w:bookmarkEnd w:id="42"/>
    </w:p>
    <w:p w:rsidR="006F71F4" w:rsidRPr="0001503D"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3" w:name="_Toc28803533"/>
      <w:bookmarkStart w:id="44" w:name="_Toc38432438"/>
      <w:bookmarkStart w:id="45" w:name="_Toc133292585"/>
      <w:r w:rsidRPr="0001503D">
        <w:rPr>
          <w:rFonts w:asciiTheme="minorEastAsia" w:eastAsiaTheme="minorEastAsia" w:hAnsiTheme="minorEastAsia" w:hint="eastAsia"/>
          <w:b w:val="0"/>
          <w:bCs/>
          <w:szCs w:val="21"/>
        </w:rPr>
        <w:t>（一）基金合同</w:t>
      </w:r>
      <w:r w:rsidR="00D05FA7" w:rsidRPr="0001503D">
        <w:rPr>
          <w:rFonts w:asciiTheme="minorEastAsia" w:eastAsiaTheme="minorEastAsia" w:hAnsiTheme="minorEastAsia" w:hint="eastAsia"/>
          <w:b w:val="0"/>
          <w:bCs/>
          <w:szCs w:val="21"/>
        </w:rPr>
        <w:t>的</w:t>
      </w:r>
      <w:r w:rsidRPr="0001503D">
        <w:rPr>
          <w:rFonts w:asciiTheme="minorEastAsia" w:eastAsiaTheme="minorEastAsia" w:hAnsiTheme="minorEastAsia" w:hint="eastAsia"/>
          <w:b w:val="0"/>
          <w:bCs/>
          <w:szCs w:val="21"/>
        </w:rPr>
        <w:t>生效</w:t>
      </w:r>
      <w:bookmarkEnd w:id="43"/>
    </w:p>
    <w:p w:rsidR="002F5370" w:rsidRPr="0001503D" w:rsidRDefault="002F5370"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rPr>
        <w:t>本基金</w:t>
      </w:r>
      <w:r w:rsidRPr="0001503D">
        <w:rPr>
          <w:rFonts w:asciiTheme="minorEastAsia" w:eastAsiaTheme="minorEastAsia" w:hAnsiTheme="minorEastAsia" w:hint="eastAsia"/>
        </w:rPr>
        <w:t>基金合同于2010年8月20日正式生效。自基金合同生效日起，本基金管理人正式开始管理本基金。</w:t>
      </w:r>
      <w:bookmarkEnd w:id="44"/>
      <w:bookmarkEnd w:id="45"/>
    </w:p>
    <w:p w:rsidR="006F71F4" w:rsidRPr="0001503D"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6" w:name="_Toc28803534"/>
      <w:r w:rsidRPr="0001503D">
        <w:rPr>
          <w:rFonts w:asciiTheme="minorEastAsia" w:eastAsiaTheme="minorEastAsia" w:hAnsiTheme="minorEastAsia" w:hint="eastAsia"/>
          <w:b w:val="0"/>
          <w:bCs/>
          <w:szCs w:val="21"/>
        </w:rPr>
        <w:t>（二）基金存续期内的基金份额持有人数量和资产规模</w:t>
      </w:r>
      <w:bookmarkEnd w:id="46"/>
    </w:p>
    <w:p w:rsidR="006F71F4" w:rsidRPr="0001503D" w:rsidRDefault="006F71F4"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hint="eastAsia"/>
        </w:rPr>
        <w:t>基金合同生效后的存续期内，基金份额持有人数量不满</w:t>
      </w:r>
      <w:r w:rsidRPr="0001503D">
        <w:rPr>
          <w:rFonts w:asciiTheme="minorEastAsia" w:eastAsiaTheme="minorEastAsia" w:hAnsiTheme="minorEastAsia"/>
        </w:rPr>
        <w:t>200</w:t>
      </w:r>
      <w:r w:rsidRPr="0001503D">
        <w:rPr>
          <w:rFonts w:asciiTheme="minorEastAsia" w:eastAsiaTheme="minorEastAsia" w:hAnsiTheme="minorEastAsia" w:hint="eastAsia"/>
        </w:rPr>
        <w:t>人或者基金资产净值低于</w:t>
      </w:r>
      <w:r w:rsidRPr="0001503D">
        <w:rPr>
          <w:rFonts w:asciiTheme="minorEastAsia" w:eastAsiaTheme="minorEastAsia" w:hAnsiTheme="minorEastAsia"/>
        </w:rPr>
        <w:t>5000</w:t>
      </w:r>
      <w:r w:rsidRPr="0001503D">
        <w:rPr>
          <w:rFonts w:asciiTheme="minorEastAsia" w:eastAsiaTheme="minorEastAsia" w:hAnsiTheme="minorEastAsia" w:hint="eastAsia"/>
        </w:rPr>
        <w:t>万元，基金管理人应当及时报告中国证监会；基金份额持有人数量连续</w:t>
      </w:r>
      <w:r w:rsidRPr="0001503D">
        <w:rPr>
          <w:rFonts w:asciiTheme="minorEastAsia" w:eastAsiaTheme="minorEastAsia" w:hAnsiTheme="minorEastAsia"/>
        </w:rPr>
        <w:t>20</w:t>
      </w:r>
      <w:r w:rsidRPr="0001503D">
        <w:rPr>
          <w:rFonts w:asciiTheme="minorEastAsia" w:eastAsiaTheme="minorEastAsia" w:hAnsiTheme="minorEastAsia" w:hint="eastAsia"/>
        </w:rPr>
        <w:t>个工作日达不到</w:t>
      </w:r>
      <w:r w:rsidRPr="0001503D">
        <w:rPr>
          <w:rFonts w:asciiTheme="minorEastAsia" w:eastAsiaTheme="minorEastAsia" w:hAnsiTheme="minorEastAsia"/>
        </w:rPr>
        <w:t>200</w:t>
      </w:r>
      <w:r w:rsidRPr="0001503D">
        <w:rPr>
          <w:rFonts w:asciiTheme="minorEastAsia" w:eastAsiaTheme="minorEastAsia" w:hAnsiTheme="minorEastAsia" w:hint="eastAsia"/>
        </w:rPr>
        <w:t>人，或连续</w:t>
      </w:r>
      <w:r w:rsidRPr="0001503D">
        <w:rPr>
          <w:rFonts w:asciiTheme="minorEastAsia" w:eastAsiaTheme="minorEastAsia" w:hAnsiTheme="minorEastAsia"/>
        </w:rPr>
        <w:t>20</w:t>
      </w:r>
      <w:r w:rsidRPr="0001503D">
        <w:rPr>
          <w:rFonts w:asciiTheme="minorEastAsia" w:eastAsiaTheme="minorEastAsia" w:hAnsiTheme="minorEastAsia" w:hint="eastAsia"/>
        </w:rPr>
        <w:t>个工作日基金资产净值低于</w:t>
      </w:r>
      <w:r w:rsidRPr="0001503D">
        <w:rPr>
          <w:rFonts w:asciiTheme="minorEastAsia" w:eastAsiaTheme="minorEastAsia" w:hAnsiTheme="minorEastAsia"/>
        </w:rPr>
        <w:t>5000</w:t>
      </w:r>
      <w:r w:rsidRPr="0001503D">
        <w:rPr>
          <w:rFonts w:asciiTheme="minorEastAsia" w:eastAsiaTheme="minorEastAsia" w:hAnsiTheme="minorEastAsia" w:hint="eastAsia"/>
        </w:rPr>
        <w:t>万元，基金管理人应当及时向中国证监会报告，说明出现上述情况的原因并提出解决方案。</w:t>
      </w:r>
    </w:p>
    <w:p w:rsidR="006F71F4" w:rsidRPr="0001503D" w:rsidRDefault="006F71F4"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rPr>
        <w:t>法律法规另有规定时，从其规定。</w:t>
      </w:r>
    </w:p>
    <w:p w:rsidR="00155196" w:rsidRPr="0001503D" w:rsidRDefault="00155196" w:rsidP="00467CAF">
      <w:pPr>
        <w:pStyle w:val="1"/>
        <w:snapToGrid w:val="0"/>
        <w:spacing w:beforeLines="0" w:afterLines="0" w:line="360" w:lineRule="auto"/>
        <w:ind w:firstLineChars="0" w:firstLine="0"/>
        <w:rPr>
          <w:rFonts w:asciiTheme="minorEastAsia" w:eastAsiaTheme="minorEastAsia" w:hAnsiTheme="minorEastAsia"/>
          <w:bCs/>
        </w:rPr>
        <w:sectPr w:rsidR="00155196" w:rsidRPr="0001503D" w:rsidSect="002F5370">
          <w:pgSz w:w="11907" w:h="16840" w:code="9"/>
          <w:pgMar w:top="1701" w:right="1814" w:bottom="1701" w:left="1814" w:header="1134" w:footer="1247" w:gutter="0"/>
          <w:cols w:space="425"/>
          <w:docGrid w:type="lines" w:linePitch="312"/>
        </w:sectPr>
      </w:pPr>
      <w:bookmarkStart w:id="47" w:name="_Toc238870165"/>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48" w:name="_Toc28803535"/>
      <w:r w:rsidRPr="0001503D">
        <w:rPr>
          <w:rFonts w:asciiTheme="minorEastAsia" w:eastAsiaTheme="minorEastAsia" w:hAnsiTheme="minorEastAsia" w:hint="eastAsia"/>
          <w:bCs/>
        </w:rPr>
        <w:lastRenderedPageBreak/>
        <w:t>八、基金份额的申购、赎回</w:t>
      </w:r>
      <w:bookmarkEnd w:id="47"/>
      <w:bookmarkEnd w:id="48"/>
    </w:p>
    <w:p w:rsidR="00ED75A4"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49" w:name="_Toc28803536"/>
      <w:r w:rsidRPr="0001503D">
        <w:rPr>
          <w:rFonts w:asciiTheme="minorEastAsia" w:eastAsiaTheme="minorEastAsia" w:hAnsiTheme="minorEastAsia" w:hint="eastAsia"/>
          <w:b w:val="0"/>
        </w:rPr>
        <w:t>（一）基金投资者范围</w:t>
      </w:r>
      <w:bookmarkEnd w:id="49"/>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中国境内的个人投资者和机构投资者、合格境外机构投资者及法律法规或中国证监会允许购买证券投资基金的其他投资者。</w:t>
      </w:r>
    </w:p>
    <w:p w:rsidR="00ED75A4" w:rsidRPr="0001503D" w:rsidRDefault="002F5370" w:rsidP="00467CAF">
      <w:pPr>
        <w:pStyle w:val="20"/>
        <w:snapToGrid w:val="0"/>
        <w:spacing w:beforeLines="0" w:afterLines="0" w:line="360" w:lineRule="auto"/>
        <w:ind w:firstLineChars="0" w:firstLine="0"/>
        <w:rPr>
          <w:rFonts w:asciiTheme="minorEastAsia" w:eastAsiaTheme="minorEastAsia" w:hAnsiTheme="minorEastAsia"/>
        </w:rPr>
      </w:pPr>
      <w:bookmarkStart w:id="50" w:name="_Toc28803537"/>
      <w:r w:rsidRPr="0001503D">
        <w:rPr>
          <w:rFonts w:asciiTheme="minorEastAsia" w:eastAsiaTheme="minorEastAsia" w:hAnsiTheme="minorEastAsia" w:hint="eastAsia"/>
          <w:b w:val="0"/>
        </w:rPr>
        <w:t>（二）申购、赎回的场所</w:t>
      </w:r>
      <w:bookmarkEnd w:id="50"/>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基金管理</w:t>
      </w:r>
      <w:r w:rsidRPr="0001503D">
        <w:rPr>
          <w:rFonts w:asciiTheme="minorEastAsia" w:eastAsiaTheme="minorEastAsia" w:hAnsiTheme="minorEastAsia" w:hint="eastAsia"/>
          <w:szCs w:val="21"/>
        </w:rPr>
        <w:t>人的直销</w:t>
      </w:r>
      <w:r w:rsidR="00C9553C" w:rsidRPr="0001503D">
        <w:rPr>
          <w:rFonts w:asciiTheme="minorEastAsia" w:eastAsiaTheme="minorEastAsia" w:hAnsiTheme="minorEastAsia" w:hint="eastAsia"/>
          <w:szCs w:val="21"/>
        </w:rPr>
        <w:t>中心</w:t>
      </w:r>
      <w:r w:rsidRPr="0001503D">
        <w:rPr>
          <w:rFonts w:asciiTheme="minorEastAsia" w:eastAsiaTheme="minorEastAsia" w:hAnsiTheme="minorEastAsia" w:hint="eastAsia"/>
          <w:szCs w:val="21"/>
        </w:rPr>
        <w:t>、网上交易系统</w:t>
      </w:r>
      <w:r w:rsidRPr="0001503D">
        <w:rPr>
          <w:rFonts w:asciiTheme="minorEastAsia" w:eastAsiaTheme="minorEastAsia" w:hAnsiTheme="minorEastAsia" w:hint="eastAsia"/>
        </w:rPr>
        <w:t>(www.efunds.com.cn)</w:t>
      </w:r>
      <w:r w:rsidRPr="0001503D">
        <w:rPr>
          <w:rFonts w:asciiTheme="minorEastAsia" w:eastAsiaTheme="minorEastAsia" w:hAnsiTheme="minorEastAsia"/>
          <w:szCs w:val="21"/>
        </w:rPr>
        <w:t>；</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各</w:t>
      </w:r>
      <w:r w:rsidR="00C512E8" w:rsidRPr="0001503D">
        <w:rPr>
          <w:rFonts w:asciiTheme="minorEastAsia" w:eastAsiaTheme="minorEastAsia" w:hAnsiTheme="minorEastAsia" w:hint="eastAsia"/>
          <w:szCs w:val="21"/>
        </w:rPr>
        <w:t>非直销销售</w:t>
      </w:r>
      <w:r w:rsidRPr="0001503D">
        <w:rPr>
          <w:rFonts w:asciiTheme="minorEastAsia" w:eastAsiaTheme="minorEastAsia" w:hAnsiTheme="minorEastAsia" w:hint="eastAsia"/>
          <w:szCs w:val="21"/>
        </w:rPr>
        <w:t>机构</w:t>
      </w:r>
      <w:r w:rsidRPr="0001503D">
        <w:rPr>
          <w:rFonts w:asciiTheme="minorEastAsia" w:eastAsiaTheme="minorEastAsia" w:hAnsiTheme="minorEastAsia"/>
          <w:szCs w:val="21"/>
        </w:rPr>
        <w:t>开办开放式基金业务的营业网点。</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基金管理人可根据情况变更基金的销售机构，</w:t>
      </w:r>
      <w:r w:rsidR="00421A46" w:rsidRPr="0001503D">
        <w:rPr>
          <w:rFonts w:asciiTheme="minorEastAsia" w:eastAsiaTheme="minorEastAsia" w:hAnsiTheme="minorEastAsia" w:hint="eastAsia"/>
          <w:szCs w:val="21"/>
        </w:rPr>
        <w:t>并在基金管理人网站公示</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投资者还可通过基金管理人或者指定的基金</w:t>
      </w:r>
      <w:r w:rsidR="00C512E8"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机构以电话或互联网等其他电子交易方式进行申购、赎回，具体以各销售机构的规定为准。</w:t>
      </w:r>
    </w:p>
    <w:p w:rsidR="00ED75A4"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1" w:name="_Toc28803538"/>
      <w:r w:rsidRPr="0001503D">
        <w:rPr>
          <w:rFonts w:asciiTheme="minorEastAsia" w:eastAsiaTheme="minorEastAsia" w:hAnsiTheme="minorEastAsia" w:hint="eastAsia"/>
          <w:b w:val="0"/>
        </w:rPr>
        <w:t>（三）申购、赎回的时间</w:t>
      </w:r>
      <w:bookmarkEnd w:id="51"/>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rPr>
        <w:t>本基金已于</w:t>
      </w:r>
      <w:r w:rsidRPr="0001503D">
        <w:rPr>
          <w:rFonts w:asciiTheme="minorEastAsia" w:eastAsiaTheme="minorEastAsia" w:hAnsiTheme="minorEastAsia"/>
          <w:kern w:val="0"/>
          <w:szCs w:val="21"/>
        </w:rPr>
        <w:t>20</w:t>
      </w:r>
      <w:r w:rsidRPr="0001503D">
        <w:rPr>
          <w:rFonts w:asciiTheme="minorEastAsia" w:eastAsiaTheme="minorEastAsia" w:hAnsiTheme="minorEastAsia" w:hint="eastAsia"/>
          <w:kern w:val="0"/>
          <w:szCs w:val="21"/>
        </w:rPr>
        <w:t>10</w:t>
      </w:r>
      <w:r w:rsidRPr="0001503D">
        <w:rPr>
          <w:rFonts w:asciiTheme="minorEastAsia" w:eastAsiaTheme="minorEastAsia" w:hAnsiTheme="minorEastAsia"/>
          <w:kern w:val="0"/>
          <w:szCs w:val="21"/>
        </w:rPr>
        <w:t>年</w:t>
      </w:r>
      <w:r w:rsidRPr="0001503D">
        <w:rPr>
          <w:rFonts w:asciiTheme="minorEastAsia" w:eastAsiaTheme="minorEastAsia" w:hAnsiTheme="minorEastAsia" w:hint="eastAsia"/>
          <w:kern w:val="0"/>
          <w:szCs w:val="21"/>
        </w:rPr>
        <w:t>10</w:t>
      </w:r>
      <w:r w:rsidRPr="0001503D">
        <w:rPr>
          <w:rFonts w:asciiTheme="minorEastAsia" w:eastAsiaTheme="minorEastAsia" w:hAnsiTheme="minorEastAsia"/>
          <w:kern w:val="0"/>
          <w:szCs w:val="21"/>
        </w:rPr>
        <w:t>月</w:t>
      </w:r>
      <w:r w:rsidRPr="0001503D">
        <w:rPr>
          <w:rFonts w:asciiTheme="minorEastAsia" w:eastAsiaTheme="minorEastAsia" w:hAnsiTheme="minorEastAsia" w:hint="eastAsia"/>
          <w:kern w:val="0"/>
          <w:szCs w:val="21"/>
        </w:rPr>
        <w:t>28</w:t>
      </w:r>
      <w:r w:rsidRPr="0001503D">
        <w:rPr>
          <w:rFonts w:asciiTheme="minorEastAsia" w:eastAsiaTheme="minorEastAsia" w:hAnsiTheme="minorEastAsia"/>
          <w:kern w:val="0"/>
          <w:szCs w:val="21"/>
        </w:rPr>
        <w:t>日</w:t>
      </w:r>
      <w:r w:rsidRPr="0001503D">
        <w:rPr>
          <w:rFonts w:asciiTheme="minorEastAsia" w:eastAsiaTheme="minorEastAsia" w:hAnsiTheme="minorEastAsia" w:hint="eastAsia"/>
        </w:rPr>
        <w:t>开始办理日常申购和赎回业务。</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上海证券交易所和深圳证券交易所同时开放交易的工作日为本基金的开放日（基金管理人根据法律法规或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411C50"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公告。</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52" w:name="_Toc28803539"/>
      <w:r w:rsidRPr="0001503D">
        <w:rPr>
          <w:rFonts w:asciiTheme="minorEastAsia" w:eastAsiaTheme="minorEastAsia" w:hAnsiTheme="minorEastAsia" w:hint="eastAsia"/>
          <w:b w:val="0"/>
          <w:bCs/>
        </w:rPr>
        <w:t>（四）申购、赎回的原则</w:t>
      </w:r>
      <w:bookmarkEnd w:id="52"/>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“未知价”原则，即基金份额的申购与赎回价格以申请当日收市后计算的基金份额净值为基准进行计算；</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基金采用金额申购和份额赎回的方式，即申购以金额申请，赎回以份额申请；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基金份额持有人赎回时，除指定赎回外，基金管理人按</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先进先出</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的原则，对该持有人账户在该销售机构托管的基金份额进行处理，即先确认的份额先赎回，后确认的份额后赎回，以确定所适用的赎回费率</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当日的申购与赎回申请可以在基金管理人规定的时间以内撤销；</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基金管理人在不损害基金份额持有人权益的情况下可更改上述原则，但最迟应在新的原则实施前依照有关规定在</w:t>
      </w:r>
      <w:r w:rsidR="00411C50"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上予以公告。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3" w:name="_Toc28803540"/>
      <w:r w:rsidRPr="0001503D">
        <w:rPr>
          <w:rFonts w:asciiTheme="minorEastAsia" w:eastAsiaTheme="minorEastAsia" w:hAnsiTheme="minorEastAsia" w:hint="eastAsia"/>
          <w:b w:val="0"/>
        </w:rPr>
        <w:t>（五）申购、赎回的程序</w:t>
      </w:r>
      <w:bookmarkEnd w:id="53"/>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申购、赎回的申请方式</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基金投资者必须根据基金管理人和基金</w:t>
      </w:r>
      <w:r w:rsidR="00C512E8"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机构规定的手续，在开放日的业务办理时间提出申购、赎回的申请。</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t>投资者在提交申购申请时</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须按销售机构规定的方式备足申购资金；提交赎回申请时,帐户中必须有足够的基金</w:t>
      </w:r>
      <w:r w:rsidRPr="0001503D">
        <w:rPr>
          <w:rFonts w:asciiTheme="minorEastAsia" w:eastAsiaTheme="minorEastAsia" w:hAnsiTheme="minorEastAsia" w:hint="eastAsia"/>
          <w:szCs w:val="21"/>
        </w:rPr>
        <w:t>份额</w:t>
      </w:r>
      <w:r w:rsidRPr="0001503D">
        <w:rPr>
          <w:rFonts w:asciiTheme="minorEastAsia" w:eastAsiaTheme="minorEastAsia" w:hAnsiTheme="minorEastAsia"/>
          <w:szCs w:val="21"/>
        </w:rPr>
        <w:t>余额</w:t>
      </w:r>
      <w:r w:rsidRPr="0001503D">
        <w:rPr>
          <w:rFonts w:asciiTheme="minorEastAsia" w:eastAsiaTheme="minorEastAsia" w:hAnsiTheme="minorEastAsia" w:hint="eastAsia"/>
          <w:szCs w:val="21"/>
        </w:rPr>
        <w:t>，否则所提交的申购、赎回的申请无效而不予成交。</w:t>
      </w:r>
    </w:p>
    <w:p w:rsidR="002F5370" w:rsidRPr="0001503D" w:rsidRDefault="000B57E8"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申购、赎回申请的确认</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t>T</w:t>
      </w:r>
      <w:r w:rsidRPr="0001503D">
        <w:rPr>
          <w:rFonts w:asciiTheme="minorEastAsia" w:eastAsiaTheme="minorEastAsia" w:hAnsiTheme="minorEastAsia" w:hint="eastAsia"/>
          <w:szCs w:val="21"/>
        </w:rPr>
        <w:t>日规定时间受理的申请，正常情况下，注册登记机构在</w:t>
      </w:r>
      <w:r w:rsidRPr="0001503D">
        <w:rPr>
          <w:rFonts w:asciiTheme="minorEastAsia" w:eastAsiaTheme="minorEastAsia" w:hAnsiTheme="minorEastAsia"/>
          <w:szCs w:val="21"/>
        </w:rPr>
        <w:t>T+1</w:t>
      </w:r>
      <w:r w:rsidRPr="0001503D">
        <w:rPr>
          <w:rFonts w:asciiTheme="minorEastAsia" w:eastAsiaTheme="minorEastAsia" w:hAnsiTheme="minorEastAsia" w:hint="eastAsia"/>
          <w:szCs w:val="21"/>
        </w:rPr>
        <w:t>日内（包括该日）为投资者对该交易的有效性进行确认，基金投资者可在</w:t>
      </w:r>
      <w:r w:rsidRPr="0001503D">
        <w:rPr>
          <w:rFonts w:asciiTheme="minorEastAsia" w:eastAsiaTheme="minorEastAsia" w:hAnsiTheme="minorEastAsia"/>
          <w:szCs w:val="21"/>
        </w:rPr>
        <w:t>T+2</w:t>
      </w:r>
      <w:r w:rsidRPr="0001503D">
        <w:rPr>
          <w:rFonts w:asciiTheme="minorEastAsia" w:eastAsiaTheme="minorEastAsia" w:hAnsiTheme="minorEastAsia" w:hint="eastAsia"/>
          <w:szCs w:val="21"/>
        </w:rPr>
        <w:t>日后（包括该日）到销售网点柜台或以销售机构规定的其他方式查询申请的确认情况。</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基金销售机构对申购申请的受理并不代表该申请一定成功，而仅代表销售机构确实接收到申购申请。申购的确认以基金注册登记机构的确认结果为准。</w:t>
      </w:r>
    </w:p>
    <w:p w:rsidR="002F5370" w:rsidRPr="0001503D" w:rsidRDefault="000B57E8"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申购和赎回的款项支付</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申购采用全额缴款方式，若申购资金在规定时间内未全额到账则申购不成功，若申购不成功或无效，申购款项将退回投资者账户。</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投资者T日赎回申请成功后，基金管理人将通过基金注册登记机构及相关基金销售机构在</w:t>
      </w:r>
      <w:r w:rsidRPr="0001503D">
        <w:rPr>
          <w:rFonts w:asciiTheme="minorEastAsia" w:eastAsiaTheme="minorEastAsia" w:hAnsiTheme="minorEastAsia"/>
          <w:szCs w:val="21"/>
        </w:rPr>
        <w:t>T</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日（包括该日）内支付赎回款项。在发生巨额赎回的情形时，款项的支付办法参照《基金合同》的有关条款处理。</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4" w:name="_Toc28803541"/>
      <w:r w:rsidRPr="0001503D">
        <w:rPr>
          <w:rFonts w:asciiTheme="minorEastAsia" w:eastAsiaTheme="minorEastAsia" w:hAnsiTheme="minorEastAsia" w:hint="eastAsia"/>
          <w:b w:val="0"/>
        </w:rPr>
        <w:t>（六）申购、赎回的数额限制</w:t>
      </w:r>
      <w:bookmarkEnd w:id="54"/>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申购基金的金额限制</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投资者通过</w:t>
      </w:r>
      <w:r w:rsidR="00C512E8" w:rsidRPr="0001503D">
        <w:rPr>
          <w:rStyle w:val="da"/>
          <w:rFonts w:asciiTheme="minorEastAsia" w:eastAsiaTheme="minorEastAsia" w:hAnsiTheme="minorEastAsia" w:hint="eastAsia"/>
        </w:rPr>
        <w:t>非直销销售机构</w:t>
      </w:r>
      <w:r w:rsidRPr="0001503D">
        <w:rPr>
          <w:rFonts w:asciiTheme="minorEastAsia" w:eastAsiaTheme="minorEastAsia" w:hAnsiTheme="minorEastAsia" w:hint="eastAsia"/>
          <w:szCs w:val="21"/>
        </w:rPr>
        <w:t>或本公司网上交易系统首次申购的单笔最低金额为1元人民币，</w:t>
      </w:r>
      <w:r w:rsidR="00C512E8" w:rsidRPr="0001503D">
        <w:rPr>
          <w:rFonts w:asciiTheme="minorEastAsia" w:eastAsiaTheme="minorEastAsia" w:hAnsiTheme="minorEastAsia" w:hint="eastAsia"/>
          <w:szCs w:val="21"/>
        </w:rPr>
        <w:t>追加申购单笔最低金额为1元人民币；</w:t>
      </w:r>
      <w:r w:rsidRPr="0001503D">
        <w:rPr>
          <w:rFonts w:asciiTheme="minorEastAsia" w:eastAsiaTheme="minorEastAsia" w:hAnsiTheme="minorEastAsia" w:hint="eastAsia"/>
          <w:szCs w:val="21"/>
        </w:rPr>
        <w:t>通过直销中心首次申购的单笔最低金额为50000元人民币，追加申购单笔最低金额为1000元人民币。</w:t>
      </w:r>
      <w:r w:rsidR="00D71801" w:rsidRPr="0001503D">
        <w:rPr>
          <w:rFonts w:asciiTheme="minorEastAsia" w:eastAsiaTheme="minorEastAsia" w:hAnsiTheme="minorEastAsia" w:hint="eastAsia"/>
          <w:szCs w:val="21"/>
        </w:rPr>
        <w:t>在符合法律法规规定的前提下，</w:t>
      </w:r>
      <w:r w:rsidRPr="0001503D">
        <w:rPr>
          <w:rFonts w:asciiTheme="minorEastAsia" w:eastAsiaTheme="minorEastAsia" w:hAnsiTheme="minorEastAsia" w:hint="eastAsia"/>
          <w:szCs w:val="21"/>
        </w:rPr>
        <w:t>各</w:t>
      </w:r>
      <w:r w:rsidR="00C512E8"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机构对最低申购限额及交易级差有其他规定的,</w:t>
      </w:r>
      <w:r w:rsidR="00D2333A" w:rsidRPr="0001503D">
        <w:rPr>
          <w:rFonts w:asciiTheme="minorEastAsia" w:eastAsiaTheme="minorEastAsia" w:hAnsiTheme="minorEastAsia" w:hint="eastAsia"/>
          <w:szCs w:val="21"/>
        </w:rPr>
        <w:t>需同时遵循该销售机构的相关规定</w:t>
      </w:r>
      <w:r w:rsidRPr="0001503D">
        <w:rPr>
          <w:rFonts w:asciiTheme="minorEastAsia" w:eastAsiaTheme="minorEastAsia" w:hAnsiTheme="minorEastAsia" w:hint="eastAsia"/>
          <w:szCs w:val="21"/>
        </w:rPr>
        <w:t>。</w:t>
      </w:r>
      <w:r w:rsidR="00C512E8" w:rsidRPr="0001503D">
        <w:rPr>
          <w:rFonts w:asciiTheme="minorEastAsia" w:eastAsiaTheme="minorEastAsia" w:hAnsiTheme="minorEastAsia" w:hint="eastAsia"/>
        </w:rPr>
        <w:t>（以上金额均含申购费）</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投资者将当期分配的基金收益转购基金份额或采用定期定额投资计划时，不受最低申购金额的限制。</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投资者可多次申购，对单个投资者累计持有份额不设上限限制。</w:t>
      </w:r>
      <w:r w:rsidR="0034167B" w:rsidRPr="0001503D">
        <w:rPr>
          <w:rFonts w:asciiTheme="minorEastAsia" w:eastAsiaTheme="minorEastAsia" w:hAnsiTheme="minorEastAsia" w:hint="eastAsia"/>
          <w:szCs w:val="21"/>
        </w:rPr>
        <w:t>但对于可能导致单一投资者持有基金份额的比例达到或者超过</w:t>
      </w:r>
      <w:r w:rsidR="0034167B" w:rsidRPr="0001503D">
        <w:rPr>
          <w:rFonts w:asciiTheme="minorEastAsia" w:eastAsiaTheme="minorEastAsia" w:hAnsiTheme="minorEastAsia"/>
          <w:szCs w:val="21"/>
        </w:rPr>
        <w:t>50%，或者变相规避50%集中度的情形，基金管理人有权采取控制措施。</w:t>
      </w:r>
      <w:r w:rsidR="0034167B" w:rsidRPr="0001503D">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01503D">
        <w:rPr>
          <w:rFonts w:asciiTheme="minorEastAsia" w:eastAsiaTheme="minorEastAsia" w:hAnsiTheme="minorEastAsia" w:hint="eastAsia"/>
          <w:szCs w:val="21"/>
        </w:rPr>
        <w:t>法律法规、中国证监会另有规定的除外。</w:t>
      </w:r>
    </w:p>
    <w:p w:rsidR="002F5370" w:rsidRPr="0001503D" w:rsidRDefault="000B57E8" w:rsidP="009B264B">
      <w:pPr>
        <w:snapToGrid w:val="0"/>
        <w:spacing w:line="360" w:lineRule="auto"/>
        <w:ind w:firstLineChars="202" w:firstLine="424"/>
        <w:rPr>
          <w:rFonts w:asciiTheme="minorEastAsia" w:eastAsiaTheme="minorEastAsia" w:hAnsiTheme="minorEastAsia"/>
          <w:szCs w:val="21"/>
        </w:rPr>
      </w:pPr>
      <w:bookmarkStart w:id="55" w:name="OLE_LINK2"/>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赎回的份额限制</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lastRenderedPageBreak/>
        <w:t>投资者可将其全部或部分基金</w:t>
      </w:r>
      <w:r w:rsidRPr="0001503D">
        <w:rPr>
          <w:rFonts w:asciiTheme="minorEastAsia" w:eastAsiaTheme="minorEastAsia" w:hAnsiTheme="minorEastAsia" w:hint="eastAsia"/>
          <w:szCs w:val="21"/>
        </w:rPr>
        <w:t>份额</w:t>
      </w:r>
      <w:r w:rsidRPr="0001503D">
        <w:rPr>
          <w:rFonts w:asciiTheme="minorEastAsia" w:eastAsiaTheme="minorEastAsia" w:hAnsiTheme="minorEastAsia"/>
          <w:szCs w:val="21"/>
        </w:rPr>
        <w:t>赎回。单笔赎回或转换不得少于</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份(</w:t>
      </w:r>
      <w:r w:rsidR="00722D97" w:rsidRPr="0001503D">
        <w:rPr>
          <w:rFonts w:asciiTheme="minorEastAsia" w:eastAsiaTheme="minorEastAsia" w:hAnsiTheme="minorEastAsia"/>
          <w:szCs w:val="21"/>
        </w:rPr>
        <w:t>如该</w:t>
      </w:r>
      <w:r w:rsidR="00722D97" w:rsidRPr="0001503D">
        <w:rPr>
          <w:rFonts w:asciiTheme="minorEastAsia" w:eastAsiaTheme="minorEastAsia" w:hAnsiTheme="minorEastAsia" w:hint="eastAsia"/>
          <w:szCs w:val="21"/>
        </w:rPr>
        <w:t>账户</w:t>
      </w:r>
      <w:r w:rsidR="00722D97" w:rsidRPr="0001503D">
        <w:rPr>
          <w:rFonts w:asciiTheme="minorEastAsia" w:eastAsiaTheme="minorEastAsia" w:hAnsiTheme="minorEastAsia"/>
          <w:szCs w:val="21"/>
        </w:rPr>
        <w:t>在该销售机构托管的</w:t>
      </w:r>
      <w:r w:rsidR="00722D97" w:rsidRPr="0001503D">
        <w:rPr>
          <w:rFonts w:asciiTheme="minorEastAsia" w:eastAsiaTheme="minorEastAsia" w:hAnsiTheme="minorEastAsia" w:hint="eastAsia"/>
          <w:szCs w:val="21"/>
        </w:rPr>
        <w:t>该</w:t>
      </w:r>
      <w:r w:rsidR="00722D97" w:rsidRPr="0001503D">
        <w:rPr>
          <w:rFonts w:asciiTheme="minorEastAsia" w:eastAsiaTheme="minorEastAsia" w:hAnsiTheme="minorEastAsia"/>
          <w:szCs w:val="21"/>
        </w:rPr>
        <w:t>基金余额不足</w:t>
      </w:r>
      <w:r w:rsidRPr="0001503D">
        <w:rPr>
          <w:rFonts w:asciiTheme="minorEastAsia" w:eastAsiaTheme="minorEastAsia" w:hAnsiTheme="minorEastAsia"/>
          <w:szCs w:val="21"/>
        </w:rPr>
        <w:t>1份</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则必须一次性赎回或转出该基金全部份额)；若某笔赎回将导致投资者在</w:t>
      </w:r>
      <w:r w:rsidR="00722D97" w:rsidRPr="0001503D">
        <w:rPr>
          <w:rFonts w:asciiTheme="minorEastAsia" w:eastAsiaTheme="minorEastAsia" w:hAnsiTheme="minorEastAsia" w:hint="eastAsia"/>
          <w:szCs w:val="21"/>
        </w:rPr>
        <w:t>该</w:t>
      </w:r>
      <w:r w:rsidRPr="0001503D">
        <w:rPr>
          <w:rFonts w:asciiTheme="minorEastAsia" w:eastAsiaTheme="minorEastAsia" w:hAnsiTheme="minorEastAsia"/>
          <w:szCs w:val="21"/>
        </w:rPr>
        <w:t>销售机构托管的</w:t>
      </w:r>
      <w:r w:rsidR="00722D97" w:rsidRPr="0001503D">
        <w:rPr>
          <w:rFonts w:asciiTheme="minorEastAsia" w:eastAsiaTheme="minorEastAsia" w:hAnsiTheme="minorEastAsia" w:hint="eastAsia"/>
          <w:szCs w:val="21"/>
        </w:rPr>
        <w:t>该</w:t>
      </w:r>
      <w:r w:rsidRPr="0001503D">
        <w:rPr>
          <w:rFonts w:asciiTheme="minorEastAsia" w:eastAsiaTheme="minorEastAsia" w:hAnsiTheme="minorEastAsia"/>
          <w:szCs w:val="21"/>
        </w:rPr>
        <w:t>基金余额不足1份时</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基金管理人有权将投资者在该销售机构托管的该基金剩余份额一次性全部赎回。</w:t>
      </w:r>
      <w:r w:rsidR="00D71801" w:rsidRPr="0001503D">
        <w:rPr>
          <w:rFonts w:asciiTheme="minorEastAsia" w:eastAsiaTheme="minorEastAsia" w:hAnsiTheme="minorEastAsia" w:hint="eastAsia"/>
          <w:szCs w:val="21"/>
        </w:rPr>
        <w:t>在符合法律法规规定的前提下，</w:t>
      </w:r>
      <w:r w:rsidRPr="0001503D">
        <w:rPr>
          <w:rFonts w:asciiTheme="minorEastAsia" w:eastAsiaTheme="minorEastAsia" w:hAnsiTheme="minorEastAsia" w:hint="eastAsia"/>
          <w:szCs w:val="21"/>
        </w:rPr>
        <w:t>各销售机构对赎回份额限制有其他规定的,</w:t>
      </w:r>
      <w:r w:rsidR="00D2333A" w:rsidRPr="0001503D">
        <w:rPr>
          <w:rFonts w:asciiTheme="minorEastAsia" w:eastAsiaTheme="minorEastAsia" w:hAnsiTheme="minorEastAsia" w:hint="eastAsia"/>
          <w:szCs w:val="21"/>
        </w:rPr>
        <w:t>需同时遵循该销售机构的相关规定</w:t>
      </w:r>
      <w:r w:rsidRPr="0001503D">
        <w:rPr>
          <w:rFonts w:asciiTheme="minorEastAsia" w:eastAsiaTheme="minorEastAsia" w:hAnsiTheme="minorEastAsia" w:hint="eastAsia"/>
          <w:szCs w:val="21"/>
        </w:rPr>
        <w:t>。</w:t>
      </w:r>
    </w:p>
    <w:bookmarkEnd w:id="55"/>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基金管理人可根据市场情况制定或调整上述申购、赎回的程序及有关限制，</w:t>
      </w:r>
      <w:r w:rsidR="00B14A07" w:rsidRPr="0001503D">
        <w:rPr>
          <w:rFonts w:asciiTheme="minorEastAsia" w:eastAsiaTheme="minorEastAsia" w:hAnsiTheme="minorEastAsia" w:hint="eastAsia"/>
          <w:szCs w:val="21"/>
        </w:rPr>
        <w:t>或者新增基金规模控制措施，</w:t>
      </w:r>
      <w:r w:rsidR="002F5370" w:rsidRPr="0001503D">
        <w:rPr>
          <w:rFonts w:asciiTheme="minorEastAsia" w:eastAsiaTheme="minorEastAsia" w:hAnsiTheme="minorEastAsia" w:hint="eastAsia"/>
          <w:szCs w:val="21"/>
        </w:rPr>
        <w:t>但应按照《信息披露办法》或其他相关规定在调整生效前</w:t>
      </w:r>
      <w:r w:rsidR="00411C50" w:rsidRPr="0001503D">
        <w:rPr>
          <w:rFonts w:asciiTheme="minorEastAsia" w:eastAsiaTheme="minorEastAsia" w:hAnsiTheme="minorEastAsia" w:hint="eastAsia"/>
          <w:szCs w:val="21"/>
        </w:rPr>
        <w:t>在指定媒介</w:t>
      </w:r>
      <w:r w:rsidR="002F5370" w:rsidRPr="0001503D">
        <w:rPr>
          <w:rFonts w:asciiTheme="minorEastAsia" w:eastAsiaTheme="minorEastAsia" w:hAnsiTheme="minorEastAsia" w:hint="eastAsia"/>
          <w:szCs w:val="21"/>
        </w:rPr>
        <w:t>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6" w:name="_Toc28803542"/>
      <w:r w:rsidRPr="0001503D">
        <w:rPr>
          <w:rFonts w:asciiTheme="minorEastAsia" w:eastAsiaTheme="minorEastAsia" w:hAnsiTheme="minorEastAsia" w:hint="eastAsia"/>
          <w:b w:val="0"/>
        </w:rPr>
        <w:t>（七）申购、赎回的费率</w:t>
      </w:r>
      <w:bookmarkEnd w:id="56"/>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本基金的申购费率</w:t>
      </w:r>
      <w:r w:rsidR="008A025C" w:rsidRPr="0001503D">
        <w:rPr>
          <w:rFonts w:asciiTheme="minorEastAsia" w:eastAsiaTheme="minorEastAsia" w:hAnsiTheme="minorEastAsia" w:hint="eastAsia"/>
          <w:szCs w:val="21"/>
        </w:rPr>
        <w:t>为</w:t>
      </w:r>
      <w:r w:rsidR="002F5370" w:rsidRPr="0001503D">
        <w:rPr>
          <w:rFonts w:asciiTheme="minorEastAsia" w:eastAsiaTheme="minorEastAsia" w:hAnsiTheme="minorEastAsia" w:hint="eastAsia"/>
          <w:szCs w:val="21"/>
        </w:rPr>
        <w:t>：</w:t>
      </w:r>
    </w:p>
    <w:p w:rsidR="008A025C" w:rsidRPr="0001503D"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01503D">
        <w:rPr>
          <w:rFonts w:asciiTheme="minorEastAsia" w:eastAsiaTheme="minorEastAsia" w:hAnsiTheme="minorEastAsia" w:hint="eastAsia"/>
        </w:rPr>
        <w:t>本基金对通过直销中心申购的特定投资群体与除此之外的其他投资者实施差别的申购费率。</w:t>
      </w:r>
    </w:p>
    <w:p w:rsidR="008A025C" w:rsidRPr="0001503D"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01503D">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A025C" w:rsidRPr="0001503D" w:rsidRDefault="008A025C" w:rsidP="000B57E8">
      <w:pPr>
        <w:autoSpaceDE w:val="0"/>
        <w:autoSpaceDN w:val="0"/>
        <w:adjustRightInd w:val="0"/>
        <w:snapToGrid w:val="0"/>
        <w:spacing w:line="360" w:lineRule="auto"/>
        <w:ind w:left="420"/>
        <w:jc w:val="left"/>
        <w:rPr>
          <w:rFonts w:asciiTheme="minorEastAsia" w:eastAsiaTheme="minorEastAsia" w:hAnsiTheme="minorEastAsia"/>
          <w:szCs w:val="21"/>
        </w:rPr>
      </w:pPr>
      <w:r w:rsidRPr="0001503D">
        <w:rPr>
          <w:rFonts w:asciiTheme="minorEastAsia" w:eastAsiaTheme="minorEastAsia" w:hAnsiTheme="minorEastAsia" w:hint="eastAsia"/>
          <w:szCs w:val="21"/>
        </w:rPr>
        <w:t>通过基金管理人的直销中心申购本基金的</w:t>
      </w:r>
      <w:r w:rsidRPr="0001503D">
        <w:rPr>
          <w:rFonts w:asciiTheme="minorEastAsia" w:eastAsiaTheme="minorEastAsia" w:hAnsiTheme="minorEastAsia" w:hint="eastAsia"/>
        </w:rPr>
        <w:t>特定投资群体</w:t>
      </w:r>
      <w:r w:rsidRPr="0001503D">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01503D" w:rsidRPr="0001503D"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tabs>
                <w:tab w:val="num" w:pos="360"/>
              </w:tabs>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申购金额</w:t>
            </w:r>
            <w:r w:rsidRPr="0001503D">
              <w:rPr>
                <w:rFonts w:asciiTheme="minorEastAsia" w:eastAsiaTheme="minorEastAsia" w:hAnsiTheme="minorEastAsia" w:hint="eastAsia"/>
              </w:rPr>
              <w:t>M（元）</w:t>
            </w:r>
            <w:r w:rsidRPr="0001503D">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tabs>
                <w:tab w:val="num" w:pos="360"/>
              </w:tabs>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申购费率</w:t>
            </w:r>
          </w:p>
        </w:tc>
      </w:tr>
      <w:tr w:rsidR="0001503D" w:rsidRPr="0001503D"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0.15%</w:t>
            </w:r>
          </w:p>
        </w:tc>
      </w:tr>
      <w:tr w:rsidR="0001503D" w:rsidRPr="0001503D"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0.12%</w:t>
            </w:r>
          </w:p>
        </w:tc>
      </w:tr>
      <w:tr w:rsidR="0001503D" w:rsidRPr="0001503D"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0.03%</w:t>
            </w:r>
          </w:p>
        </w:tc>
      </w:tr>
      <w:tr w:rsidR="0001503D" w:rsidRPr="0001503D"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01503D" w:rsidRDefault="008A025C" w:rsidP="000B57E8">
            <w:pPr>
              <w:snapToGrid w:val="0"/>
              <w:spacing w:line="360" w:lineRule="auto"/>
              <w:ind w:firstLineChars="632" w:firstLine="1327"/>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1000元/笔</w:t>
            </w:r>
          </w:p>
        </w:tc>
      </w:tr>
    </w:tbl>
    <w:p w:rsidR="008A025C" w:rsidRPr="0001503D" w:rsidRDefault="008A025C"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70"/>
      </w:tblGrid>
      <w:tr w:rsidR="0001503D" w:rsidRPr="0001503D" w:rsidTr="000B57E8">
        <w:trPr>
          <w:jc w:val="center"/>
        </w:trPr>
        <w:tc>
          <w:tcPr>
            <w:tcW w:w="3573" w:type="dxa"/>
            <w:vAlign w:val="center"/>
          </w:tcPr>
          <w:p w:rsidR="002F5370" w:rsidRPr="0001503D" w:rsidRDefault="002F5370" w:rsidP="000B57E8">
            <w:pPr>
              <w:tabs>
                <w:tab w:val="num" w:pos="360"/>
              </w:tabs>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申购金额</w:t>
            </w:r>
            <w:r w:rsidRPr="0001503D">
              <w:rPr>
                <w:rStyle w:val="big1"/>
                <w:rFonts w:asciiTheme="minorEastAsia" w:eastAsiaTheme="minorEastAsia" w:hAnsiTheme="minorEastAsia" w:hint="eastAsia"/>
                <w:bCs/>
                <w:szCs w:val="21"/>
              </w:rPr>
              <w:t>M</w:t>
            </w:r>
            <w:r w:rsidRPr="0001503D">
              <w:rPr>
                <w:rFonts w:asciiTheme="minorEastAsia" w:eastAsiaTheme="minorEastAsia" w:hAnsiTheme="minorEastAsia" w:hint="eastAsia"/>
                <w:szCs w:val="21"/>
              </w:rPr>
              <w:t>（元）（含申购费）</w:t>
            </w:r>
          </w:p>
        </w:tc>
        <w:tc>
          <w:tcPr>
            <w:tcW w:w="3570"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hint="eastAsia"/>
                <w:szCs w:val="21"/>
              </w:rPr>
              <w:t>申购费率</w:t>
            </w:r>
          </w:p>
        </w:tc>
      </w:tr>
      <w:tr w:rsidR="0001503D" w:rsidRPr="0001503D" w:rsidTr="000B57E8">
        <w:trPr>
          <w:jc w:val="center"/>
        </w:trPr>
        <w:tc>
          <w:tcPr>
            <w:tcW w:w="3573" w:type="dxa"/>
            <w:vAlign w:val="center"/>
          </w:tcPr>
          <w:p w:rsidR="002F5370" w:rsidRPr="0001503D" w:rsidRDefault="002F5370" w:rsidP="000B57E8">
            <w:pPr>
              <w:tabs>
                <w:tab w:val="num" w:pos="360"/>
              </w:tabs>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M＜100万</w:t>
            </w:r>
          </w:p>
        </w:tc>
        <w:tc>
          <w:tcPr>
            <w:tcW w:w="3570"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1.5%</w:t>
            </w:r>
          </w:p>
        </w:tc>
      </w:tr>
      <w:tr w:rsidR="0001503D" w:rsidRPr="0001503D" w:rsidTr="000B57E8">
        <w:trPr>
          <w:jc w:val="center"/>
        </w:trPr>
        <w:tc>
          <w:tcPr>
            <w:tcW w:w="3573" w:type="dxa"/>
            <w:vAlign w:val="center"/>
          </w:tcPr>
          <w:p w:rsidR="002F5370" w:rsidRPr="0001503D" w:rsidRDefault="002F5370" w:rsidP="000B57E8">
            <w:pPr>
              <w:tabs>
                <w:tab w:val="num" w:pos="360"/>
              </w:tabs>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100万≤M＜500万</w:t>
            </w:r>
          </w:p>
        </w:tc>
        <w:tc>
          <w:tcPr>
            <w:tcW w:w="3570"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1.2%</w:t>
            </w:r>
          </w:p>
        </w:tc>
      </w:tr>
      <w:tr w:rsidR="0001503D" w:rsidRPr="0001503D" w:rsidTr="000B57E8">
        <w:trPr>
          <w:jc w:val="center"/>
        </w:trPr>
        <w:tc>
          <w:tcPr>
            <w:tcW w:w="3573" w:type="dxa"/>
            <w:vAlign w:val="center"/>
          </w:tcPr>
          <w:p w:rsidR="002F5370" w:rsidRPr="0001503D" w:rsidRDefault="002F5370" w:rsidP="000B57E8">
            <w:pPr>
              <w:tabs>
                <w:tab w:val="num" w:pos="360"/>
              </w:tabs>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500万≤M＜1000万</w:t>
            </w:r>
          </w:p>
        </w:tc>
        <w:tc>
          <w:tcPr>
            <w:tcW w:w="3570"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0.3%</w:t>
            </w:r>
          </w:p>
        </w:tc>
      </w:tr>
      <w:tr w:rsidR="0001503D" w:rsidRPr="0001503D" w:rsidTr="000B57E8">
        <w:trPr>
          <w:jc w:val="center"/>
        </w:trPr>
        <w:tc>
          <w:tcPr>
            <w:tcW w:w="3573" w:type="dxa"/>
            <w:vAlign w:val="center"/>
          </w:tcPr>
          <w:p w:rsidR="002F5370" w:rsidRPr="0001503D" w:rsidRDefault="002F5370" w:rsidP="000B57E8">
            <w:pPr>
              <w:tabs>
                <w:tab w:val="num" w:pos="360"/>
              </w:tabs>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M≥1000万</w:t>
            </w:r>
          </w:p>
        </w:tc>
        <w:tc>
          <w:tcPr>
            <w:tcW w:w="3570" w:type="dxa"/>
            <w:vAlign w:val="center"/>
          </w:tcPr>
          <w:p w:rsidR="002F5370" w:rsidRPr="0001503D" w:rsidRDefault="002F5370" w:rsidP="000B57E8">
            <w:pPr>
              <w:tabs>
                <w:tab w:val="num" w:pos="360"/>
              </w:tabs>
              <w:snapToGrid w:val="0"/>
              <w:spacing w:line="360" w:lineRule="auto"/>
              <w:ind w:firstLineChars="632" w:firstLine="1327"/>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1000元/笔</w:t>
            </w:r>
          </w:p>
        </w:tc>
      </w:tr>
    </w:tbl>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2、</w:t>
      </w:r>
      <w:r w:rsidR="008A025C" w:rsidRPr="0001503D">
        <w:rPr>
          <w:rFonts w:asciiTheme="minorEastAsia" w:eastAsiaTheme="minorEastAsia" w:hAnsiTheme="minorEastAsia" w:hint="eastAsia"/>
          <w:szCs w:val="21"/>
        </w:rPr>
        <w:t>本基金的</w:t>
      </w:r>
      <w:r w:rsidR="002F5370" w:rsidRPr="0001503D">
        <w:rPr>
          <w:rFonts w:asciiTheme="minorEastAsia" w:eastAsiaTheme="minorEastAsia" w:hAnsiTheme="minorEastAsia"/>
          <w:szCs w:val="21"/>
        </w:rPr>
        <w:t>赎回</w:t>
      </w:r>
      <w:r w:rsidR="002F5370" w:rsidRPr="0001503D">
        <w:rPr>
          <w:rFonts w:asciiTheme="minorEastAsia" w:eastAsiaTheme="minorEastAsia" w:hAnsiTheme="minorEastAsia" w:hint="eastAsia"/>
          <w:szCs w:val="21"/>
        </w:rPr>
        <w:t>费率为</w:t>
      </w:r>
      <w:r w:rsidR="002F5370" w:rsidRPr="0001503D">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01503D" w:rsidRPr="0001503D" w:rsidTr="000B57E8">
        <w:trPr>
          <w:jc w:val="center"/>
        </w:trPr>
        <w:tc>
          <w:tcPr>
            <w:tcW w:w="3543"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持有时间</w:t>
            </w:r>
            <w:r w:rsidRPr="0001503D">
              <w:rPr>
                <w:rFonts w:asciiTheme="minorEastAsia" w:eastAsiaTheme="minorEastAsia" w:hAnsiTheme="minorEastAsia" w:cs="宋体" w:hint="eastAsia"/>
                <w:kern w:val="0"/>
                <w:szCs w:val="21"/>
              </w:rPr>
              <w:t>（天）</w:t>
            </w:r>
          </w:p>
        </w:tc>
        <w:tc>
          <w:tcPr>
            <w:tcW w:w="3585"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赎回费率</w:t>
            </w:r>
          </w:p>
        </w:tc>
      </w:tr>
      <w:tr w:rsidR="0001503D" w:rsidRPr="0001503D" w:rsidTr="000B57E8">
        <w:trPr>
          <w:jc w:val="center"/>
        </w:trPr>
        <w:tc>
          <w:tcPr>
            <w:tcW w:w="3543" w:type="dxa"/>
            <w:vAlign w:val="center"/>
          </w:tcPr>
          <w:p w:rsidR="00185746" w:rsidRPr="0001503D" w:rsidRDefault="00185746" w:rsidP="00185746">
            <w:pPr>
              <w:widowControl/>
              <w:tabs>
                <w:tab w:val="num" w:pos="360"/>
              </w:tabs>
              <w:snapToGrid w:val="0"/>
              <w:spacing w:line="360" w:lineRule="auto"/>
              <w:jc w:val="left"/>
              <w:rPr>
                <w:rFonts w:asciiTheme="minorEastAsia" w:eastAsiaTheme="minorEastAsia" w:hAnsiTheme="minorEastAsia" w:cs="宋体"/>
                <w:kern w:val="0"/>
                <w:szCs w:val="21"/>
              </w:rPr>
            </w:pPr>
            <w:r w:rsidRPr="0001503D">
              <w:rPr>
                <w:rFonts w:asciiTheme="minorEastAsia" w:eastAsiaTheme="minorEastAsia" w:hAnsiTheme="minorEastAsia"/>
              </w:rPr>
              <w:t>0</w:t>
            </w:r>
            <w:r w:rsidRPr="0001503D">
              <w:rPr>
                <w:rFonts w:asciiTheme="minorEastAsia" w:eastAsiaTheme="minorEastAsia" w:hAnsiTheme="minorEastAsia" w:hint="eastAsia"/>
              </w:rPr>
              <w:t>-</w:t>
            </w:r>
            <w:r w:rsidRPr="0001503D">
              <w:rPr>
                <w:rFonts w:asciiTheme="minorEastAsia" w:eastAsiaTheme="minorEastAsia" w:hAnsiTheme="minorEastAsia"/>
              </w:rPr>
              <w:t>6</w:t>
            </w:r>
          </w:p>
        </w:tc>
        <w:tc>
          <w:tcPr>
            <w:tcW w:w="3585" w:type="dxa"/>
            <w:vAlign w:val="center"/>
          </w:tcPr>
          <w:p w:rsidR="00185746" w:rsidRPr="0001503D" w:rsidRDefault="00185746" w:rsidP="00185746">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rPr>
              <w:t>1.5%</w:t>
            </w:r>
          </w:p>
        </w:tc>
      </w:tr>
      <w:tr w:rsidR="0001503D" w:rsidRPr="0001503D" w:rsidTr="000B57E8">
        <w:trPr>
          <w:jc w:val="center"/>
        </w:trPr>
        <w:tc>
          <w:tcPr>
            <w:tcW w:w="3543" w:type="dxa"/>
            <w:vAlign w:val="center"/>
          </w:tcPr>
          <w:p w:rsidR="002F5370" w:rsidRPr="0001503D" w:rsidRDefault="00185746"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lastRenderedPageBreak/>
              <w:t>7</w:t>
            </w:r>
            <w:r w:rsidR="002F5370" w:rsidRPr="0001503D">
              <w:rPr>
                <w:rFonts w:asciiTheme="minorEastAsia" w:eastAsiaTheme="minorEastAsia" w:hAnsiTheme="minorEastAsia" w:cs="宋体"/>
                <w:kern w:val="0"/>
                <w:szCs w:val="21"/>
              </w:rPr>
              <w:t>-364</w:t>
            </w:r>
          </w:p>
        </w:tc>
        <w:tc>
          <w:tcPr>
            <w:tcW w:w="3585"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0.5%</w:t>
            </w:r>
          </w:p>
        </w:tc>
      </w:tr>
      <w:tr w:rsidR="0001503D" w:rsidRPr="0001503D" w:rsidTr="000B57E8">
        <w:trPr>
          <w:jc w:val="center"/>
        </w:trPr>
        <w:tc>
          <w:tcPr>
            <w:tcW w:w="3543" w:type="dxa"/>
            <w:vAlign w:val="center"/>
          </w:tcPr>
          <w:p w:rsidR="002F5370" w:rsidRPr="0001503D"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365-729</w:t>
            </w:r>
          </w:p>
        </w:tc>
        <w:tc>
          <w:tcPr>
            <w:tcW w:w="3585"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0.25%</w:t>
            </w:r>
          </w:p>
        </w:tc>
      </w:tr>
      <w:tr w:rsidR="0001503D" w:rsidRPr="0001503D" w:rsidTr="000B57E8">
        <w:trPr>
          <w:jc w:val="center"/>
        </w:trPr>
        <w:tc>
          <w:tcPr>
            <w:tcW w:w="3543" w:type="dxa"/>
            <w:vAlign w:val="center"/>
          </w:tcPr>
          <w:p w:rsidR="002F5370" w:rsidRPr="0001503D"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730及以上</w:t>
            </w:r>
          </w:p>
        </w:tc>
        <w:tc>
          <w:tcPr>
            <w:tcW w:w="3585"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w:t>
            </w:r>
          </w:p>
        </w:tc>
      </w:tr>
    </w:tbl>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在申购费按金额分档的情况下，如果投资者多次申购，申购费适用单笔申购金额所对应的费率。</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szCs w:val="21"/>
        </w:rPr>
        <w:t>基金管理人可以在基金合同规定的范围内调整申购费率和赎回费率，调整后的申购费率和赎回费率在</w:t>
      </w:r>
      <w:r w:rsidRPr="0001503D">
        <w:rPr>
          <w:rFonts w:asciiTheme="minorEastAsia" w:eastAsiaTheme="minorEastAsia" w:hAnsiTheme="minorEastAsia" w:hint="eastAsia"/>
          <w:szCs w:val="21"/>
        </w:rPr>
        <w:t>《更新的招募说明书》</w:t>
      </w:r>
      <w:r w:rsidRPr="0001503D">
        <w:rPr>
          <w:rFonts w:asciiTheme="minorEastAsia" w:eastAsiaTheme="minorEastAsia" w:hAnsiTheme="minorEastAsia"/>
          <w:szCs w:val="21"/>
        </w:rPr>
        <w:t>中列示。上述费率如发生变更，基金管理人</w:t>
      </w:r>
      <w:r w:rsidRPr="0001503D">
        <w:rPr>
          <w:rFonts w:asciiTheme="minorEastAsia" w:eastAsiaTheme="minorEastAsia" w:hAnsiTheme="minorEastAsia" w:hint="eastAsia"/>
          <w:szCs w:val="21"/>
        </w:rPr>
        <w:t>还</w:t>
      </w:r>
      <w:r w:rsidRPr="0001503D">
        <w:rPr>
          <w:rFonts w:asciiTheme="minorEastAsia" w:eastAsiaTheme="minorEastAsia" w:hAnsiTheme="minorEastAsia"/>
          <w:szCs w:val="21"/>
        </w:rPr>
        <w:t>应</w:t>
      </w:r>
      <w:r w:rsidRPr="0001503D">
        <w:rPr>
          <w:rFonts w:asciiTheme="minorEastAsia" w:eastAsiaTheme="minorEastAsia" w:hAnsiTheme="minorEastAsia" w:hint="eastAsia"/>
          <w:szCs w:val="21"/>
        </w:rPr>
        <w:t>按照《信息披露办法》或其他相关规定</w:t>
      </w:r>
      <w:r w:rsidRPr="0001503D">
        <w:rPr>
          <w:rFonts w:asciiTheme="minorEastAsia" w:eastAsiaTheme="minorEastAsia" w:hAnsiTheme="minorEastAsia"/>
          <w:szCs w:val="21"/>
        </w:rPr>
        <w:t>于新的费率实施前</w:t>
      </w:r>
      <w:r w:rsidRPr="0001503D">
        <w:rPr>
          <w:rFonts w:asciiTheme="minorEastAsia" w:eastAsiaTheme="minorEastAsia" w:hAnsiTheme="minorEastAsia" w:hint="eastAsia"/>
          <w:szCs w:val="21"/>
        </w:rPr>
        <w:t>在</w:t>
      </w:r>
      <w:r w:rsidR="00411C50"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公告</w:t>
      </w:r>
      <w:r w:rsidRPr="0001503D">
        <w:rPr>
          <w:rFonts w:asciiTheme="minorEastAsia" w:eastAsiaTheme="minorEastAsia" w:hAnsiTheme="minorEastAsia"/>
          <w:szCs w:val="21"/>
        </w:rPr>
        <w:t>。</w:t>
      </w:r>
    </w:p>
    <w:p w:rsidR="002F5370" w:rsidRPr="0001503D" w:rsidRDefault="00C31E4E"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7" w:name="_Toc28803543"/>
      <w:r w:rsidRPr="0001503D">
        <w:rPr>
          <w:rFonts w:asciiTheme="minorEastAsia" w:eastAsiaTheme="minorEastAsia" w:hAnsiTheme="minorEastAsia" w:hint="eastAsia"/>
          <w:b w:val="0"/>
        </w:rPr>
        <w:t>（八）申购份额、赎回金额的计算方式</w:t>
      </w:r>
      <w:bookmarkEnd w:id="57"/>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申购份额的计算</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本基金的申购金额包括申购费用和净申购金额，其中：</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净申购金额=申购金额/（1+申购费率）</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申购费用=申购金额-净申购金额</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申购份数=净申购金额/T日基金份额净值</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对于1000万元（含）以上的申购，净申购金额=申购金额-绝对数额的申购费金额</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举例说明：</w:t>
      </w:r>
    </w:p>
    <w:p w:rsidR="00C61179" w:rsidRPr="0001503D" w:rsidRDefault="00C61179"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举例一：通过基金管理人的直销中心申购本基金的</w:t>
      </w:r>
      <w:r w:rsidRPr="0001503D">
        <w:rPr>
          <w:rFonts w:asciiTheme="minorEastAsia" w:eastAsiaTheme="minorEastAsia" w:hAnsiTheme="minorEastAsia" w:hint="eastAsia"/>
        </w:rPr>
        <w:t>特定投资群体</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01503D" w:rsidRPr="0001503D"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申购金额</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申购费率</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净申购金额</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申购费用</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基金份额净值</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申购份数</w:t>
            </w:r>
          </w:p>
        </w:tc>
      </w:tr>
      <w:tr w:rsidR="0001503D" w:rsidRPr="0001503D"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50,000元</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ind w:firstLineChars="100" w:firstLine="210"/>
              <w:rPr>
                <w:rFonts w:asciiTheme="minorEastAsia" w:eastAsiaTheme="minorEastAsia" w:hAnsiTheme="minorEastAsia"/>
                <w:szCs w:val="21"/>
              </w:rPr>
            </w:pPr>
            <w:r w:rsidRPr="0001503D">
              <w:rPr>
                <w:rFonts w:asciiTheme="minorEastAsia" w:eastAsiaTheme="minorEastAsia" w:hAnsiTheme="minorEastAsia" w:hint="eastAsia"/>
                <w:szCs w:val="21"/>
              </w:rPr>
              <w:t>0.15%</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49925.11元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74.89元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1.000元</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01503D" w:rsidRDefault="00C61179"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49925.11份</w:t>
            </w:r>
          </w:p>
        </w:tc>
      </w:tr>
    </w:tbl>
    <w:p w:rsidR="00C61179" w:rsidRPr="0001503D" w:rsidRDefault="00C61179"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举例二：其他投资者申购本基金</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01503D" w:rsidRPr="0001503D" w:rsidTr="002F5370">
        <w:trPr>
          <w:jc w:val="center"/>
        </w:trPr>
        <w:tc>
          <w:tcPr>
            <w:tcW w:w="1581"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申购金额</w:t>
            </w:r>
          </w:p>
        </w:tc>
        <w:tc>
          <w:tcPr>
            <w:tcW w:w="1134"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申购费率</w:t>
            </w:r>
          </w:p>
        </w:tc>
        <w:tc>
          <w:tcPr>
            <w:tcW w:w="1418"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净申购金额</w:t>
            </w:r>
          </w:p>
        </w:tc>
        <w:tc>
          <w:tcPr>
            <w:tcW w:w="1660"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申购费用</w:t>
            </w:r>
          </w:p>
        </w:tc>
        <w:tc>
          <w:tcPr>
            <w:tcW w:w="1660"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基金份额净值</w:t>
            </w:r>
          </w:p>
        </w:tc>
        <w:tc>
          <w:tcPr>
            <w:tcW w:w="1422" w:type="dxa"/>
          </w:tcPr>
          <w:p w:rsidR="002F5370" w:rsidRPr="0001503D" w:rsidRDefault="002F5370" w:rsidP="000B57E8">
            <w:pPr>
              <w:snapToGrid w:val="0"/>
              <w:spacing w:line="360" w:lineRule="auto"/>
              <w:jc w:val="center"/>
              <w:rPr>
                <w:rFonts w:asciiTheme="minorEastAsia" w:eastAsiaTheme="minorEastAsia" w:hAnsiTheme="minorEastAsia"/>
                <w:b/>
                <w:szCs w:val="21"/>
              </w:rPr>
            </w:pPr>
            <w:r w:rsidRPr="0001503D">
              <w:rPr>
                <w:rFonts w:asciiTheme="minorEastAsia" w:eastAsiaTheme="minorEastAsia" w:hAnsiTheme="minorEastAsia" w:hint="eastAsia"/>
                <w:b/>
                <w:szCs w:val="21"/>
              </w:rPr>
              <w:t>申购份数</w:t>
            </w:r>
          </w:p>
        </w:tc>
      </w:tr>
      <w:tr w:rsidR="0001503D" w:rsidRPr="0001503D" w:rsidTr="002F5370">
        <w:trPr>
          <w:jc w:val="center"/>
        </w:trPr>
        <w:tc>
          <w:tcPr>
            <w:tcW w:w="1581"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10,000元</w:t>
            </w:r>
          </w:p>
        </w:tc>
        <w:tc>
          <w:tcPr>
            <w:tcW w:w="1134" w:type="dxa"/>
          </w:tcPr>
          <w:p w:rsidR="002F5370" w:rsidRPr="0001503D" w:rsidRDefault="002F5370" w:rsidP="000B57E8">
            <w:pPr>
              <w:snapToGrid w:val="0"/>
              <w:spacing w:line="360" w:lineRule="auto"/>
              <w:ind w:firstLineChars="100" w:firstLine="210"/>
              <w:rPr>
                <w:rFonts w:asciiTheme="minorEastAsia" w:eastAsiaTheme="minorEastAsia" w:hAnsiTheme="minorEastAsia"/>
                <w:szCs w:val="21"/>
              </w:rPr>
            </w:pPr>
            <w:r w:rsidRPr="0001503D">
              <w:rPr>
                <w:rFonts w:asciiTheme="minorEastAsia" w:eastAsiaTheme="minorEastAsia" w:hAnsiTheme="minorEastAsia" w:hint="eastAsia"/>
                <w:szCs w:val="21"/>
              </w:rPr>
              <w:t>1.5%</w:t>
            </w:r>
          </w:p>
        </w:tc>
        <w:tc>
          <w:tcPr>
            <w:tcW w:w="1418"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9,852.22元</w:t>
            </w:r>
          </w:p>
        </w:tc>
        <w:tc>
          <w:tcPr>
            <w:tcW w:w="166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147.78元</w:t>
            </w:r>
          </w:p>
        </w:tc>
        <w:tc>
          <w:tcPr>
            <w:tcW w:w="166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1.000元</w:t>
            </w:r>
          </w:p>
        </w:tc>
        <w:tc>
          <w:tcPr>
            <w:tcW w:w="1422"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9,852.22份</w:t>
            </w:r>
          </w:p>
        </w:tc>
      </w:tr>
      <w:tr w:rsidR="0001503D" w:rsidRPr="0001503D" w:rsidTr="002F5370">
        <w:trPr>
          <w:jc w:val="center"/>
        </w:trPr>
        <w:tc>
          <w:tcPr>
            <w:tcW w:w="1581"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10,000,000元</w:t>
            </w:r>
          </w:p>
        </w:tc>
        <w:tc>
          <w:tcPr>
            <w:tcW w:w="1134"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1000元</w:t>
            </w:r>
          </w:p>
        </w:tc>
        <w:tc>
          <w:tcPr>
            <w:tcW w:w="1418"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9,999,000元</w:t>
            </w:r>
          </w:p>
        </w:tc>
        <w:tc>
          <w:tcPr>
            <w:tcW w:w="166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1000元</w:t>
            </w:r>
          </w:p>
        </w:tc>
        <w:tc>
          <w:tcPr>
            <w:tcW w:w="166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1.000元</w:t>
            </w:r>
          </w:p>
        </w:tc>
        <w:tc>
          <w:tcPr>
            <w:tcW w:w="1422" w:type="dxa"/>
          </w:tcPr>
          <w:p w:rsidR="002F5370" w:rsidRPr="0001503D" w:rsidRDefault="002F5370" w:rsidP="000B57E8">
            <w:pPr>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9,999,000份</w:t>
            </w:r>
          </w:p>
        </w:tc>
      </w:tr>
    </w:tbl>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申购费用以人民币元为单位，四舍五入，保留至小数点后二位；申购份数采取四舍五入的方法保留小数点后二位，由此误差产生的损失由基金财产承担，产生的收益归基金财产所有。</w:t>
      </w:r>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基金赎回金额的计算</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本基金的净赎回金额为赎回总金额扣减赎回费用，其中：</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赎回总金额=赎回份额×T日基金份额净值</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赎回费用=赎回总金额×赎回费率</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净赎回金额=赎回总金额-赎回费用</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01503D" w:rsidRPr="0001503D" w:rsidTr="002F5370">
        <w:trPr>
          <w:jc w:val="center"/>
        </w:trPr>
        <w:tc>
          <w:tcPr>
            <w:tcW w:w="1243"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赎回份额</w:t>
            </w:r>
          </w:p>
        </w:tc>
        <w:tc>
          <w:tcPr>
            <w:tcW w:w="1650"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基金份额净值</w:t>
            </w:r>
          </w:p>
        </w:tc>
        <w:tc>
          <w:tcPr>
            <w:tcW w:w="1436"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持有时间</w:t>
            </w:r>
          </w:p>
        </w:tc>
        <w:tc>
          <w:tcPr>
            <w:tcW w:w="1437"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赎回费率</w:t>
            </w:r>
          </w:p>
        </w:tc>
        <w:tc>
          <w:tcPr>
            <w:tcW w:w="1409"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赎回费</w:t>
            </w:r>
            <w:r w:rsidRPr="0001503D">
              <w:rPr>
                <w:rFonts w:asciiTheme="minorEastAsia" w:eastAsiaTheme="minorEastAsia" w:hAnsiTheme="minorEastAsia" w:hint="eastAsia"/>
                <w:szCs w:val="21"/>
              </w:rPr>
              <w:t>用</w:t>
            </w:r>
          </w:p>
        </w:tc>
        <w:tc>
          <w:tcPr>
            <w:tcW w:w="1457"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净</w:t>
            </w:r>
            <w:r w:rsidRPr="0001503D">
              <w:rPr>
                <w:rFonts w:asciiTheme="minorEastAsia" w:eastAsiaTheme="minorEastAsia" w:hAnsiTheme="minorEastAsia"/>
                <w:szCs w:val="21"/>
              </w:rPr>
              <w:t>赎回</w:t>
            </w:r>
            <w:r w:rsidRPr="0001503D">
              <w:rPr>
                <w:rFonts w:asciiTheme="minorEastAsia" w:eastAsiaTheme="minorEastAsia" w:hAnsiTheme="minorEastAsia" w:hint="eastAsia"/>
                <w:szCs w:val="21"/>
              </w:rPr>
              <w:t>金</w:t>
            </w:r>
            <w:r w:rsidRPr="0001503D">
              <w:rPr>
                <w:rFonts w:asciiTheme="minorEastAsia" w:eastAsiaTheme="minorEastAsia" w:hAnsiTheme="minorEastAsia"/>
                <w:szCs w:val="21"/>
              </w:rPr>
              <w:t>额</w:t>
            </w:r>
          </w:p>
        </w:tc>
      </w:tr>
      <w:tr w:rsidR="0001503D" w:rsidRPr="0001503D" w:rsidTr="002F5370">
        <w:trPr>
          <w:jc w:val="center"/>
        </w:trPr>
        <w:tc>
          <w:tcPr>
            <w:tcW w:w="1243"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10,000</w:t>
            </w:r>
          </w:p>
        </w:tc>
        <w:tc>
          <w:tcPr>
            <w:tcW w:w="165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1.00</w:t>
            </w:r>
            <w:r w:rsidRPr="0001503D">
              <w:rPr>
                <w:rFonts w:asciiTheme="minorEastAsia" w:eastAsiaTheme="minorEastAsia" w:hAnsiTheme="minorEastAsia" w:hint="eastAsia"/>
                <w:szCs w:val="21"/>
              </w:rPr>
              <w:t>0</w:t>
            </w:r>
            <w:r w:rsidRPr="0001503D">
              <w:rPr>
                <w:rFonts w:asciiTheme="minorEastAsia" w:eastAsiaTheme="minorEastAsia" w:hAnsiTheme="minorEastAsia"/>
                <w:szCs w:val="21"/>
              </w:rPr>
              <w:t>元</w:t>
            </w:r>
          </w:p>
        </w:tc>
        <w:tc>
          <w:tcPr>
            <w:tcW w:w="1436"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100天</w:t>
            </w:r>
          </w:p>
        </w:tc>
        <w:tc>
          <w:tcPr>
            <w:tcW w:w="1437"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0.5%</w:t>
            </w:r>
          </w:p>
        </w:tc>
        <w:tc>
          <w:tcPr>
            <w:tcW w:w="1409"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50元</w:t>
            </w:r>
          </w:p>
        </w:tc>
        <w:tc>
          <w:tcPr>
            <w:tcW w:w="1457"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9,950元</w:t>
            </w:r>
          </w:p>
        </w:tc>
      </w:tr>
      <w:tr w:rsidR="0001503D" w:rsidRPr="0001503D" w:rsidTr="002F5370">
        <w:trPr>
          <w:jc w:val="center"/>
        </w:trPr>
        <w:tc>
          <w:tcPr>
            <w:tcW w:w="1243"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10,000</w:t>
            </w:r>
          </w:p>
        </w:tc>
        <w:tc>
          <w:tcPr>
            <w:tcW w:w="165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0</w:t>
            </w:r>
            <w:r w:rsidRPr="0001503D">
              <w:rPr>
                <w:rFonts w:asciiTheme="minorEastAsia" w:eastAsiaTheme="minorEastAsia" w:hAnsiTheme="minorEastAsia"/>
                <w:szCs w:val="21"/>
              </w:rPr>
              <w:t>0元</w:t>
            </w:r>
          </w:p>
        </w:tc>
        <w:tc>
          <w:tcPr>
            <w:tcW w:w="1436" w:type="dxa"/>
          </w:tcPr>
          <w:p w:rsidR="002F5370" w:rsidRPr="0001503D" w:rsidRDefault="002F5370" w:rsidP="000B57E8">
            <w:pPr>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500天</w:t>
            </w:r>
          </w:p>
        </w:tc>
        <w:tc>
          <w:tcPr>
            <w:tcW w:w="1437"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0.</w:t>
            </w:r>
            <w:r w:rsidRPr="0001503D">
              <w:rPr>
                <w:rFonts w:asciiTheme="minorEastAsia" w:eastAsiaTheme="minorEastAsia" w:hAnsiTheme="minorEastAsia" w:hint="eastAsia"/>
                <w:szCs w:val="21"/>
              </w:rPr>
              <w:t>25</w:t>
            </w:r>
            <w:r w:rsidRPr="0001503D">
              <w:rPr>
                <w:rFonts w:asciiTheme="minorEastAsia" w:eastAsiaTheme="minorEastAsia" w:hAnsiTheme="minorEastAsia"/>
                <w:szCs w:val="21"/>
              </w:rPr>
              <w:t>%</w:t>
            </w:r>
          </w:p>
        </w:tc>
        <w:tc>
          <w:tcPr>
            <w:tcW w:w="1409"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25</w:t>
            </w:r>
            <w:r w:rsidRPr="0001503D">
              <w:rPr>
                <w:rFonts w:asciiTheme="minorEastAsia" w:eastAsiaTheme="minorEastAsia" w:hAnsiTheme="minorEastAsia"/>
                <w:szCs w:val="21"/>
              </w:rPr>
              <w:t>元</w:t>
            </w:r>
          </w:p>
        </w:tc>
        <w:tc>
          <w:tcPr>
            <w:tcW w:w="1457"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9,97</w:t>
            </w: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元</w:t>
            </w:r>
          </w:p>
        </w:tc>
      </w:tr>
      <w:tr w:rsidR="0001503D" w:rsidRPr="0001503D" w:rsidTr="002F5370">
        <w:trPr>
          <w:jc w:val="center"/>
        </w:trPr>
        <w:tc>
          <w:tcPr>
            <w:tcW w:w="1243"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10,000</w:t>
            </w:r>
          </w:p>
        </w:tc>
        <w:tc>
          <w:tcPr>
            <w:tcW w:w="1650"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1.00</w:t>
            </w:r>
            <w:r w:rsidRPr="0001503D">
              <w:rPr>
                <w:rFonts w:asciiTheme="minorEastAsia" w:eastAsiaTheme="minorEastAsia" w:hAnsiTheme="minorEastAsia" w:hint="eastAsia"/>
                <w:szCs w:val="21"/>
              </w:rPr>
              <w:t>0</w:t>
            </w:r>
            <w:r w:rsidRPr="0001503D">
              <w:rPr>
                <w:rFonts w:asciiTheme="minorEastAsia" w:eastAsiaTheme="minorEastAsia" w:hAnsiTheme="minorEastAsia"/>
                <w:szCs w:val="21"/>
              </w:rPr>
              <w:t>元</w:t>
            </w:r>
          </w:p>
        </w:tc>
        <w:tc>
          <w:tcPr>
            <w:tcW w:w="1436" w:type="dxa"/>
          </w:tcPr>
          <w:p w:rsidR="002F5370" w:rsidRPr="0001503D" w:rsidRDefault="002F5370" w:rsidP="000B57E8">
            <w:pPr>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800天</w:t>
            </w:r>
          </w:p>
        </w:tc>
        <w:tc>
          <w:tcPr>
            <w:tcW w:w="1437"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0%</w:t>
            </w:r>
          </w:p>
        </w:tc>
        <w:tc>
          <w:tcPr>
            <w:tcW w:w="1409" w:type="dxa"/>
          </w:tcPr>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0</w:t>
            </w:r>
          </w:p>
        </w:tc>
        <w:tc>
          <w:tcPr>
            <w:tcW w:w="1457" w:type="dxa"/>
          </w:tcPr>
          <w:p w:rsidR="002F5370" w:rsidRPr="0001503D" w:rsidRDefault="002F5370" w:rsidP="000B57E8">
            <w:pPr>
              <w:snapToGrid w:val="0"/>
              <w:spacing w:line="360" w:lineRule="auto"/>
              <w:ind w:firstLineChars="100" w:firstLine="210"/>
              <w:rPr>
                <w:rFonts w:asciiTheme="minorEastAsia" w:eastAsiaTheme="minorEastAsia" w:hAnsiTheme="minorEastAsia"/>
                <w:szCs w:val="21"/>
              </w:rPr>
            </w:pPr>
            <w:r w:rsidRPr="0001503D">
              <w:rPr>
                <w:rFonts w:asciiTheme="minorEastAsia" w:eastAsiaTheme="minorEastAsia" w:hAnsiTheme="minorEastAsia"/>
                <w:szCs w:val="21"/>
              </w:rPr>
              <w:t>10,000元</w:t>
            </w:r>
          </w:p>
        </w:tc>
      </w:tr>
    </w:tbl>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赎回总金额、赎回费用以人民币元为单位，四舍五入，保留小数点后两位，由此误差产生的损失由基金财产承担，产生的收益归基金财产所有</w:t>
      </w:r>
      <w:r w:rsidRPr="0001503D">
        <w:rPr>
          <w:rFonts w:asciiTheme="minorEastAsia" w:eastAsiaTheme="minorEastAsia" w:hAnsiTheme="minorEastAsia"/>
          <w:szCs w:val="21"/>
        </w:rPr>
        <w:t>。</w:t>
      </w:r>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T日的基金份额净值在当天收市后计算，并在T+1日内公告。遇特殊情况，可以适当延迟计算或公告。其计算公式为：</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基金份额净值=计算日基金资产净值÷计算日基金总份额</w:t>
      </w:r>
    </w:p>
    <w:p w:rsidR="002F5370" w:rsidRPr="0001503D" w:rsidRDefault="000B57E8"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1F6904" w:rsidRPr="0001503D">
        <w:rPr>
          <w:rFonts w:asciiTheme="minorEastAsia" w:eastAsiaTheme="minorEastAsia" w:hAnsiTheme="minorEastAsia" w:hint="eastAsia"/>
          <w:szCs w:val="21"/>
        </w:rPr>
        <w:t>对持有期少于</w:t>
      </w:r>
      <w:r w:rsidR="001F6904" w:rsidRPr="0001503D">
        <w:rPr>
          <w:rFonts w:asciiTheme="minorEastAsia" w:eastAsiaTheme="minorEastAsia" w:hAnsiTheme="minorEastAsia"/>
          <w:szCs w:val="21"/>
        </w:rPr>
        <w:t>7</w:t>
      </w:r>
      <w:r w:rsidR="001F6904" w:rsidRPr="0001503D">
        <w:rPr>
          <w:rFonts w:asciiTheme="minorEastAsia" w:eastAsiaTheme="minorEastAsia" w:hAnsiTheme="minorEastAsia" w:hint="eastAsia"/>
          <w:szCs w:val="21"/>
        </w:rPr>
        <w:t>天（不含）的基金份额持有人所收取赎回费用全额计入基金财产；对持有期在</w:t>
      </w:r>
      <w:r w:rsidR="001F6904" w:rsidRPr="0001503D">
        <w:rPr>
          <w:rFonts w:asciiTheme="minorEastAsia" w:eastAsiaTheme="minorEastAsia" w:hAnsiTheme="minorEastAsia"/>
          <w:szCs w:val="21"/>
        </w:rPr>
        <w:t>7</w:t>
      </w:r>
      <w:r w:rsidR="001F6904" w:rsidRPr="0001503D">
        <w:rPr>
          <w:rFonts w:asciiTheme="minorEastAsia" w:eastAsiaTheme="minorEastAsia" w:hAnsiTheme="minorEastAsia" w:hint="eastAsia"/>
          <w:szCs w:val="21"/>
        </w:rPr>
        <w:t>天以上（含）的基金份额持有人</w:t>
      </w:r>
      <w:r w:rsidR="001F6904" w:rsidRPr="0001503D">
        <w:rPr>
          <w:rFonts w:asciiTheme="minorEastAsia" w:eastAsiaTheme="minorEastAsia" w:hAnsiTheme="minorEastAsia" w:hint="eastAsia"/>
        </w:rPr>
        <w:t>所收取</w:t>
      </w:r>
      <w:r w:rsidR="002F5370" w:rsidRPr="0001503D">
        <w:rPr>
          <w:rFonts w:asciiTheme="minorEastAsia" w:eastAsiaTheme="minorEastAsia" w:hAnsiTheme="minorEastAsia"/>
          <w:szCs w:val="21"/>
        </w:rPr>
        <w:t>赎回费总额的25%归基金财产，</w:t>
      </w:r>
      <w:r w:rsidR="002F5370" w:rsidRPr="0001503D">
        <w:rPr>
          <w:rFonts w:asciiTheme="minorEastAsia" w:eastAsiaTheme="minorEastAsia" w:hAnsiTheme="minorEastAsia" w:hint="eastAsia"/>
          <w:szCs w:val="21"/>
        </w:rPr>
        <w:t>其余</w:t>
      </w:r>
      <w:r w:rsidR="002F5370" w:rsidRPr="0001503D">
        <w:rPr>
          <w:rFonts w:asciiTheme="minorEastAsia" w:eastAsiaTheme="minorEastAsia" w:hAnsiTheme="minorEastAsia"/>
          <w:szCs w:val="21"/>
        </w:rPr>
        <w:t>用于支付注册登记费和其他必要的手续费</w:t>
      </w:r>
      <w:r w:rsidR="002F5370" w:rsidRPr="0001503D">
        <w:rPr>
          <w:rFonts w:asciiTheme="minorEastAsia" w:eastAsiaTheme="minorEastAsia" w:hAnsiTheme="minorEastAsia" w:hint="eastAsia"/>
          <w:szCs w:val="21"/>
        </w:rPr>
        <w:t>。</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szCs w:val="21"/>
        </w:rPr>
      </w:pPr>
      <w:bookmarkStart w:id="58" w:name="_Toc28803544"/>
      <w:r w:rsidRPr="0001503D">
        <w:rPr>
          <w:rFonts w:asciiTheme="minorEastAsia" w:eastAsiaTheme="minorEastAsia" w:hAnsiTheme="minorEastAsia" w:hint="eastAsia"/>
          <w:b w:val="0"/>
        </w:rPr>
        <w:t>（九）申购、赎回的注册登记</w:t>
      </w:r>
      <w:bookmarkEnd w:id="58"/>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1</w:t>
      </w:r>
      <w:r w:rsidR="000B57E8" w:rsidRPr="0001503D">
        <w:rPr>
          <w:rFonts w:asciiTheme="minorEastAsia" w:eastAsiaTheme="minorEastAsia" w:hAnsiTheme="minorEastAsia" w:hint="eastAsia"/>
        </w:rPr>
        <w:t>、</w:t>
      </w:r>
      <w:r w:rsidRPr="0001503D">
        <w:rPr>
          <w:rFonts w:asciiTheme="minorEastAsia" w:eastAsiaTheme="minorEastAsia" w:hAnsiTheme="minorEastAsia" w:hint="eastAsia"/>
        </w:rPr>
        <w:t>投资者</w:t>
      </w:r>
      <w:r w:rsidRPr="0001503D">
        <w:rPr>
          <w:rFonts w:asciiTheme="minorEastAsia" w:eastAsiaTheme="minorEastAsia" w:hAnsiTheme="minorEastAsia"/>
        </w:rPr>
        <w:t>T</w:t>
      </w:r>
      <w:r w:rsidRPr="0001503D">
        <w:rPr>
          <w:rFonts w:asciiTheme="minorEastAsia" w:eastAsiaTheme="minorEastAsia" w:hAnsiTheme="minorEastAsia" w:hint="eastAsia"/>
        </w:rPr>
        <w:t>日申购基金成功后，正常情况下，基金注册登记机构在</w:t>
      </w:r>
      <w:r w:rsidRPr="0001503D">
        <w:rPr>
          <w:rFonts w:asciiTheme="minorEastAsia" w:eastAsiaTheme="minorEastAsia" w:hAnsiTheme="minorEastAsia"/>
        </w:rPr>
        <w:t>T</w:t>
      </w:r>
      <w:r w:rsidRPr="0001503D">
        <w:rPr>
          <w:rFonts w:asciiTheme="minorEastAsia" w:eastAsiaTheme="minorEastAsia" w:hAnsiTheme="minorEastAsia" w:hint="eastAsia"/>
        </w:rPr>
        <w:t>＋</w:t>
      </w:r>
      <w:r w:rsidRPr="0001503D">
        <w:rPr>
          <w:rFonts w:asciiTheme="minorEastAsia" w:eastAsiaTheme="minorEastAsia" w:hAnsiTheme="minorEastAsia"/>
        </w:rPr>
        <w:t>1</w:t>
      </w:r>
      <w:r w:rsidRPr="0001503D">
        <w:rPr>
          <w:rFonts w:asciiTheme="minorEastAsia" w:eastAsiaTheme="minorEastAsia" w:hAnsiTheme="minorEastAsia" w:hint="eastAsia"/>
        </w:rPr>
        <w:t>日为投资者增加权益并办理注册登记手续，投资者自</w:t>
      </w:r>
      <w:r w:rsidRPr="0001503D">
        <w:rPr>
          <w:rFonts w:asciiTheme="minorEastAsia" w:eastAsiaTheme="minorEastAsia" w:hAnsiTheme="minorEastAsia"/>
        </w:rPr>
        <w:t>T</w:t>
      </w:r>
      <w:r w:rsidRPr="0001503D">
        <w:rPr>
          <w:rFonts w:asciiTheme="minorEastAsia" w:eastAsiaTheme="minorEastAsia" w:hAnsiTheme="minorEastAsia" w:hint="eastAsia"/>
        </w:rPr>
        <w:t>＋</w:t>
      </w:r>
      <w:r w:rsidRPr="0001503D">
        <w:rPr>
          <w:rFonts w:asciiTheme="minorEastAsia" w:eastAsiaTheme="minorEastAsia" w:hAnsiTheme="minorEastAsia"/>
        </w:rPr>
        <w:t>2</w:t>
      </w:r>
      <w:r w:rsidRPr="0001503D">
        <w:rPr>
          <w:rFonts w:asciiTheme="minorEastAsia" w:eastAsiaTheme="minorEastAsia" w:hAnsiTheme="minorEastAsia" w:hint="eastAsia"/>
        </w:rPr>
        <w:t>日起有权赎回该部分基金份额。</w:t>
      </w:r>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2</w:t>
      </w:r>
      <w:r w:rsidR="000B57E8" w:rsidRPr="0001503D">
        <w:rPr>
          <w:rFonts w:asciiTheme="minorEastAsia" w:eastAsiaTheme="minorEastAsia" w:hAnsiTheme="minorEastAsia" w:hint="eastAsia"/>
        </w:rPr>
        <w:t>、</w:t>
      </w:r>
      <w:r w:rsidRPr="0001503D">
        <w:rPr>
          <w:rFonts w:asciiTheme="minorEastAsia" w:eastAsiaTheme="minorEastAsia" w:hAnsiTheme="minorEastAsia" w:hint="eastAsia"/>
        </w:rPr>
        <w:t>投资者</w:t>
      </w:r>
      <w:r w:rsidRPr="0001503D">
        <w:rPr>
          <w:rFonts w:asciiTheme="minorEastAsia" w:eastAsiaTheme="minorEastAsia" w:hAnsiTheme="minorEastAsia"/>
        </w:rPr>
        <w:t>T</w:t>
      </w:r>
      <w:r w:rsidRPr="0001503D">
        <w:rPr>
          <w:rFonts w:asciiTheme="minorEastAsia" w:eastAsiaTheme="minorEastAsia" w:hAnsiTheme="minorEastAsia" w:hint="eastAsia"/>
        </w:rPr>
        <w:t>日赎回基金成功后，正常情况下，基金注册登记机构在</w:t>
      </w:r>
      <w:r w:rsidRPr="0001503D">
        <w:rPr>
          <w:rFonts w:asciiTheme="minorEastAsia" w:eastAsiaTheme="minorEastAsia" w:hAnsiTheme="minorEastAsia"/>
        </w:rPr>
        <w:t>T</w:t>
      </w:r>
      <w:r w:rsidRPr="0001503D">
        <w:rPr>
          <w:rFonts w:asciiTheme="minorEastAsia" w:eastAsiaTheme="minorEastAsia" w:hAnsiTheme="minorEastAsia" w:hint="eastAsia"/>
        </w:rPr>
        <w:t>＋</w:t>
      </w:r>
      <w:r w:rsidRPr="0001503D">
        <w:rPr>
          <w:rFonts w:asciiTheme="minorEastAsia" w:eastAsiaTheme="minorEastAsia" w:hAnsiTheme="minorEastAsia"/>
        </w:rPr>
        <w:t>1</w:t>
      </w:r>
      <w:r w:rsidRPr="0001503D">
        <w:rPr>
          <w:rFonts w:asciiTheme="minorEastAsia" w:eastAsiaTheme="minorEastAsia" w:hAnsiTheme="minorEastAsia" w:hint="eastAsia"/>
        </w:rPr>
        <w:t>日为投资者扣除权益并办理相应的注册登记手续。</w:t>
      </w:r>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3</w:t>
      </w:r>
      <w:r w:rsidR="000B57E8" w:rsidRPr="0001503D">
        <w:rPr>
          <w:rFonts w:asciiTheme="minorEastAsia" w:eastAsiaTheme="minorEastAsia" w:hAnsiTheme="minorEastAsia" w:hint="eastAsia"/>
        </w:rPr>
        <w:t>、</w:t>
      </w:r>
      <w:r w:rsidRPr="0001503D">
        <w:rPr>
          <w:rFonts w:asciiTheme="minorEastAsia" w:eastAsiaTheme="minorEastAsia" w:hAnsiTheme="minorEastAsia" w:hint="eastAsia"/>
        </w:rPr>
        <w:t>基金管理人可在法律法规允许的范围内，对上述注册登记办理时间进行调整，并最迟于开始实施前</w:t>
      </w:r>
      <w:r w:rsidRPr="0001503D">
        <w:rPr>
          <w:rFonts w:asciiTheme="minorEastAsia" w:eastAsiaTheme="minorEastAsia" w:hAnsiTheme="minorEastAsia"/>
        </w:rPr>
        <w:t>3</w:t>
      </w:r>
      <w:r w:rsidRPr="0001503D">
        <w:rPr>
          <w:rFonts w:asciiTheme="minorEastAsia" w:eastAsiaTheme="minorEastAsia" w:hAnsiTheme="minorEastAsia" w:hint="eastAsia"/>
        </w:rPr>
        <w:t>个工作日在指定</w:t>
      </w:r>
      <w:r w:rsidR="00411C50" w:rsidRPr="0001503D">
        <w:rPr>
          <w:rFonts w:asciiTheme="minorEastAsia" w:eastAsiaTheme="minorEastAsia" w:hAnsiTheme="minorEastAsia" w:hint="eastAsia"/>
        </w:rPr>
        <w:t>媒介</w:t>
      </w:r>
      <w:r w:rsidRPr="0001503D">
        <w:rPr>
          <w:rFonts w:asciiTheme="minorEastAsia" w:eastAsiaTheme="minorEastAsia" w:hAnsiTheme="minorEastAsia" w:hint="eastAsia"/>
        </w:rPr>
        <w:t>上公告。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9" w:name="_Toc28803545"/>
      <w:r w:rsidRPr="0001503D">
        <w:rPr>
          <w:rFonts w:asciiTheme="minorEastAsia" w:eastAsiaTheme="minorEastAsia" w:hAnsiTheme="minorEastAsia" w:hint="eastAsia"/>
          <w:b w:val="0"/>
        </w:rPr>
        <w:t>（十）巨额赎回的认定及处理方式</w:t>
      </w:r>
      <w:bookmarkEnd w:id="59"/>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w:t>
      </w:r>
      <w:r w:rsidR="000B57E8" w:rsidRPr="0001503D">
        <w:rPr>
          <w:rFonts w:asciiTheme="minorEastAsia" w:eastAsiaTheme="minorEastAsia" w:hAnsiTheme="minorEastAsia" w:hint="eastAsia"/>
        </w:rPr>
        <w:t>、</w:t>
      </w:r>
      <w:r w:rsidRPr="0001503D">
        <w:rPr>
          <w:rFonts w:asciiTheme="minorEastAsia" w:eastAsiaTheme="minorEastAsia" w:hAnsiTheme="minorEastAsia" w:hint="eastAsia"/>
        </w:rPr>
        <w:t>巨额赎回的认定</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若本基金单个开放日内的基金份额净赎回申请</w:t>
      </w:r>
      <w:r w:rsidRPr="0001503D">
        <w:rPr>
          <w:rFonts w:asciiTheme="minorEastAsia" w:eastAsiaTheme="minorEastAsia" w:hAnsiTheme="minorEastAsia"/>
        </w:rPr>
        <w:t>(</w:t>
      </w:r>
      <w:r w:rsidRPr="0001503D">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sidRPr="0001503D">
        <w:rPr>
          <w:rFonts w:asciiTheme="minorEastAsia" w:eastAsiaTheme="minorEastAsia" w:hAnsiTheme="minorEastAsia"/>
        </w:rPr>
        <w:t>)</w:t>
      </w:r>
      <w:r w:rsidRPr="0001503D">
        <w:rPr>
          <w:rFonts w:asciiTheme="minorEastAsia" w:eastAsiaTheme="minorEastAsia" w:hAnsiTheme="minorEastAsia" w:hint="eastAsia"/>
        </w:rPr>
        <w:t>超过前一日的基金总份额的</w:t>
      </w:r>
      <w:r w:rsidRPr="0001503D">
        <w:rPr>
          <w:rFonts w:asciiTheme="minorEastAsia" w:eastAsiaTheme="minorEastAsia" w:hAnsiTheme="minorEastAsia"/>
        </w:rPr>
        <w:t>10%</w:t>
      </w:r>
      <w:r w:rsidRPr="0001503D">
        <w:rPr>
          <w:rFonts w:asciiTheme="minorEastAsia" w:eastAsiaTheme="minorEastAsia" w:hAnsiTheme="minorEastAsia" w:hint="eastAsia"/>
        </w:rPr>
        <w:t>，即认为是发生了巨额赎回。</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巨额赎回的处理方式</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当基金出现巨额赎回时，基金管理人可以根据基金当时的资产组合状况决定全额赎回或部分顺延赎回。</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1)</w:t>
      </w:r>
      <w:r w:rsidRPr="0001503D">
        <w:rPr>
          <w:rFonts w:asciiTheme="minorEastAsia" w:eastAsiaTheme="minorEastAsia" w:hAnsiTheme="minorEastAsia" w:hint="eastAsia"/>
        </w:rPr>
        <w:t>全额赎回：当基金管理人认为有能力支付基金投资者的赎回申请时，按正常赎回程序执行。</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(2)</w:t>
      </w:r>
      <w:r w:rsidRPr="0001503D">
        <w:rPr>
          <w:rFonts w:asciiTheme="minorEastAsia" w:eastAsiaTheme="minorEastAsia" w:hAnsiTheme="minorEastAsia" w:hint="eastAsia"/>
        </w:rPr>
        <w:t>部分顺延赎回：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01503D">
        <w:rPr>
          <w:rFonts w:asciiTheme="minorEastAsia" w:eastAsiaTheme="minorEastAsia" w:hAnsiTheme="minorEastAsia"/>
        </w:rPr>
        <w:t>10</w:t>
      </w:r>
      <w:r w:rsidRPr="0001503D">
        <w:rPr>
          <w:rFonts w:asciiTheme="minorEastAsia" w:eastAsiaTheme="minorEastAsia" w:hAnsiTheme="minorEastAsia" w:hint="eastAsia"/>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如基金投资者在提交赎回申请时未作明确选择，投资者未能赎回部分作自动延期赎回处理。</w:t>
      </w:r>
    </w:p>
    <w:p w:rsidR="00833827" w:rsidRPr="0001503D" w:rsidRDefault="00833827" w:rsidP="00A6256D">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若本基金发生巨额赎回且单个基金份额持有人的赎回申请超过上一开放日基金总份额</w:t>
      </w:r>
      <w:r w:rsidRPr="0001503D">
        <w:rPr>
          <w:rFonts w:asciiTheme="minorEastAsia" w:eastAsiaTheme="minorEastAsia" w:hAnsiTheme="minorEastAsia"/>
        </w:rPr>
        <w:t>10%</w:t>
      </w:r>
      <w:r w:rsidRPr="0001503D">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巨额赎回的公告</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当发生巨额赎回并顺延赎回时，基金管理人应在</w:t>
      </w:r>
      <w:r w:rsidRPr="0001503D">
        <w:rPr>
          <w:rFonts w:asciiTheme="minorEastAsia" w:eastAsiaTheme="minorEastAsia" w:hAnsiTheme="minorEastAsia"/>
        </w:rPr>
        <w:t>2</w:t>
      </w:r>
      <w:r w:rsidRPr="0001503D">
        <w:rPr>
          <w:rFonts w:asciiTheme="minorEastAsia" w:eastAsiaTheme="minorEastAsia" w:hAnsiTheme="minorEastAsia" w:hint="eastAsia"/>
        </w:rPr>
        <w:t>日内通过</w:t>
      </w:r>
      <w:r w:rsidR="00411C50"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刊登公告，并通过邮寄、传真或者招募说明书规定的其他方式在</w:t>
      </w:r>
      <w:r w:rsidRPr="0001503D">
        <w:rPr>
          <w:rFonts w:asciiTheme="minorEastAsia" w:eastAsiaTheme="minorEastAsia" w:hAnsiTheme="minorEastAsia"/>
        </w:rPr>
        <w:t>3</w:t>
      </w:r>
      <w:r w:rsidRPr="0001503D">
        <w:rPr>
          <w:rFonts w:asciiTheme="minorEastAsia" w:eastAsiaTheme="minorEastAsia" w:hAnsiTheme="minorEastAsia" w:hint="eastAsia"/>
        </w:rPr>
        <w:t>个工作日内通知基金份额持有人，并说明有关处理方法。</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连续</w:t>
      </w:r>
      <w:r w:rsidRPr="0001503D">
        <w:rPr>
          <w:rFonts w:asciiTheme="minorEastAsia" w:eastAsiaTheme="minorEastAsia" w:hAnsiTheme="minorEastAsia"/>
        </w:rPr>
        <w:t>2</w:t>
      </w:r>
      <w:r w:rsidRPr="0001503D">
        <w:rPr>
          <w:rFonts w:asciiTheme="minorEastAsia" w:eastAsiaTheme="minorEastAsia" w:hAnsiTheme="minorEastAsia" w:hint="eastAsia"/>
        </w:rPr>
        <w:t>日以上</w:t>
      </w:r>
      <w:r w:rsidRPr="0001503D">
        <w:rPr>
          <w:rFonts w:asciiTheme="minorEastAsia" w:eastAsiaTheme="minorEastAsia" w:hAnsiTheme="minorEastAsia"/>
        </w:rPr>
        <w:t>(</w:t>
      </w:r>
      <w:r w:rsidRPr="0001503D">
        <w:rPr>
          <w:rFonts w:asciiTheme="minorEastAsia" w:eastAsiaTheme="minorEastAsia" w:hAnsiTheme="minorEastAsia" w:hint="eastAsia"/>
        </w:rPr>
        <w:t>含本数</w:t>
      </w:r>
      <w:r w:rsidRPr="0001503D">
        <w:rPr>
          <w:rFonts w:asciiTheme="minorEastAsia" w:eastAsiaTheme="minorEastAsia" w:hAnsiTheme="minorEastAsia"/>
        </w:rPr>
        <w:t>)</w:t>
      </w:r>
      <w:r w:rsidRPr="0001503D">
        <w:rPr>
          <w:rFonts w:asciiTheme="minorEastAsia" w:eastAsiaTheme="minorEastAsia" w:hAnsiTheme="minorEastAsia" w:hint="eastAsia"/>
        </w:rPr>
        <w:t>发生巨额赎回，如基金管理人认为有必要，可暂停接受基金的赎回申请；已经接受的赎回申请可以延缓支付赎回款项，但不得超过</w:t>
      </w:r>
      <w:r w:rsidRPr="0001503D">
        <w:rPr>
          <w:rFonts w:asciiTheme="minorEastAsia" w:eastAsiaTheme="minorEastAsia" w:hAnsiTheme="minorEastAsia"/>
        </w:rPr>
        <w:t>20</w:t>
      </w:r>
      <w:r w:rsidRPr="0001503D">
        <w:rPr>
          <w:rFonts w:asciiTheme="minorEastAsia" w:eastAsiaTheme="minorEastAsia" w:hAnsiTheme="minorEastAsia" w:hint="eastAsia"/>
        </w:rPr>
        <w:t>个工作日，并应当在</w:t>
      </w:r>
      <w:r w:rsidR="00411C50"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上进行公告。</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0" w:name="_Toc28803546"/>
      <w:r w:rsidRPr="0001503D">
        <w:rPr>
          <w:rFonts w:asciiTheme="minorEastAsia" w:eastAsiaTheme="minorEastAsia" w:hAnsiTheme="minorEastAsia" w:hint="eastAsia"/>
          <w:b w:val="0"/>
        </w:rPr>
        <w:t>（十一）拒绝或暂停申购、赎回的情形及处理方式</w:t>
      </w:r>
      <w:bookmarkEnd w:id="60"/>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w:t>
      </w:r>
      <w:r w:rsidR="000B57E8" w:rsidRPr="0001503D">
        <w:rPr>
          <w:rFonts w:asciiTheme="minorEastAsia" w:eastAsiaTheme="minorEastAsia" w:hAnsiTheme="minorEastAsia" w:hint="eastAsia"/>
        </w:rPr>
        <w:t>、</w:t>
      </w:r>
      <w:r w:rsidRPr="0001503D">
        <w:rPr>
          <w:rFonts w:asciiTheme="minorEastAsia" w:eastAsiaTheme="minorEastAsia" w:hAnsiTheme="minorEastAsia" w:hint="eastAsia"/>
        </w:rPr>
        <w:t>发生下列情况时，基金管理人可拒绝或暂停接受基金投资者的申购申请：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）因不可抗力导致基金无法正常运作；</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）证券交易所交易时间非正常停市，导致基金管理人无法计算当日基金资产净值；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）发生基金合同规定的暂停基金资产估值情况；</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）基金资产规模过大，使基金管理人无法找到合适的投资品种，或基金管理人认为会损害已有基金份额持有人利益的申购；</w:t>
      </w:r>
    </w:p>
    <w:p w:rsidR="00321F92" w:rsidRPr="0001503D" w:rsidRDefault="00321F92" w:rsidP="00A6256D">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5</w:t>
      </w:r>
      <w:r w:rsidRPr="0001503D">
        <w:rPr>
          <w:rFonts w:asciiTheme="minorEastAsia" w:eastAsiaTheme="minorEastAsia" w:hAnsiTheme="minorEastAsia" w:hint="eastAsia"/>
        </w:rPr>
        <w:t>）基金管理人接受某笔或者某些申购申请有可能导致单一投资者持有基金份额的比例达到或者超过</w:t>
      </w:r>
      <w:r w:rsidRPr="0001503D">
        <w:rPr>
          <w:rFonts w:asciiTheme="minorEastAsia" w:eastAsiaTheme="minorEastAsia" w:hAnsiTheme="minorEastAsia"/>
        </w:rPr>
        <w:t>50%</w:t>
      </w:r>
      <w:r w:rsidRPr="0001503D">
        <w:rPr>
          <w:rFonts w:asciiTheme="minorEastAsia" w:eastAsiaTheme="minorEastAsia" w:hAnsiTheme="minorEastAsia" w:hint="eastAsia"/>
        </w:rPr>
        <w:t>，或者变相规避</w:t>
      </w:r>
      <w:r w:rsidRPr="0001503D">
        <w:rPr>
          <w:rFonts w:asciiTheme="minorEastAsia" w:eastAsiaTheme="minorEastAsia" w:hAnsiTheme="minorEastAsia"/>
        </w:rPr>
        <w:t>50%</w:t>
      </w:r>
      <w:r w:rsidRPr="0001503D">
        <w:rPr>
          <w:rFonts w:asciiTheme="minorEastAsia" w:eastAsiaTheme="minorEastAsia" w:hAnsiTheme="minorEastAsia" w:hint="eastAsia"/>
        </w:rPr>
        <w:t>集中度的情形时。</w:t>
      </w:r>
    </w:p>
    <w:p w:rsidR="00321F92" w:rsidRPr="0001503D" w:rsidRDefault="00321F92" w:rsidP="00A6256D">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lastRenderedPageBreak/>
        <w:t>（</w:t>
      </w:r>
      <w:r w:rsidRPr="0001503D">
        <w:rPr>
          <w:rFonts w:asciiTheme="minorEastAsia" w:eastAsiaTheme="minorEastAsia" w:hAnsiTheme="minorEastAsia"/>
        </w:rPr>
        <w:t>6</w:t>
      </w:r>
      <w:r w:rsidRPr="0001503D">
        <w:rPr>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21F92" w:rsidRPr="0001503D" w:rsidRDefault="00321F92" w:rsidP="00A6256D">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7</w:t>
      </w:r>
      <w:r w:rsidRPr="0001503D">
        <w:rPr>
          <w:rFonts w:asciiTheme="minorEastAsia" w:eastAsiaTheme="minorEastAsia" w:hAnsiTheme="minorEastAsia" w:hint="eastAsia"/>
        </w:rPr>
        <w:t>）当前一估值日基金资产净值</w:t>
      </w:r>
      <w:r w:rsidRPr="0001503D">
        <w:rPr>
          <w:rFonts w:asciiTheme="minorEastAsia" w:eastAsiaTheme="minorEastAsia" w:hAnsiTheme="minorEastAsia"/>
        </w:rPr>
        <w:t>50%</w:t>
      </w:r>
      <w:r w:rsidRPr="0001503D">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2F5370" w:rsidRPr="0001503D" w:rsidRDefault="00321F92" w:rsidP="00A6256D">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8</w:t>
      </w:r>
      <w:r w:rsidRPr="0001503D">
        <w:rPr>
          <w:rFonts w:asciiTheme="minorEastAsia" w:eastAsiaTheme="minorEastAsia" w:hAnsiTheme="minorEastAsia" w:hint="eastAsia"/>
        </w:rPr>
        <w:t>）</w:t>
      </w:r>
      <w:r w:rsidR="002F5370" w:rsidRPr="0001503D">
        <w:rPr>
          <w:rFonts w:asciiTheme="minorEastAsia" w:eastAsiaTheme="minorEastAsia" w:hAnsiTheme="minorEastAsia" w:hint="eastAsia"/>
        </w:rPr>
        <w:t>法律法规规定或中国证监会认定的其他情形。</w:t>
      </w:r>
    </w:p>
    <w:p w:rsidR="002F5370" w:rsidRPr="0001503D" w:rsidRDefault="002F5370"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hint="eastAsia"/>
          <w:szCs w:val="21"/>
        </w:rPr>
        <w:t>发生上述</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1</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2</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3</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4</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6</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7</w:t>
      </w:r>
      <w:r w:rsidR="00321F92" w:rsidRPr="0001503D">
        <w:rPr>
          <w:rFonts w:asciiTheme="minorEastAsia" w:eastAsiaTheme="minorEastAsia" w:hAnsiTheme="minorEastAsia" w:hint="eastAsia"/>
          <w:szCs w:val="21"/>
        </w:rPr>
        <w:t>）、（</w:t>
      </w:r>
      <w:r w:rsidR="00321F92" w:rsidRPr="0001503D">
        <w:rPr>
          <w:rFonts w:asciiTheme="minorEastAsia" w:eastAsiaTheme="minorEastAsia" w:hAnsiTheme="minorEastAsia"/>
          <w:szCs w:val="21"/>
        </w:rPr>
        <w:t>8</w:t>
      </w:r>
      <w:r w:rsidR="00321F92"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暂</w:t>
      </w:r>
      <w:r w:rsidRPr="0001503D">
        <w:rPr>
          <w:rFonts w:asciiTheme="minorEastAsia" w:eastAsiaTheme="minorEastAsia" w:hAnsiTheme="minorEastAsia" w:hint="eastAsia"/>
        </w:rPr>
        <w:t>停申购情形时，基金管理人应当根据有关规定在</w:t>
      </w:r>
      <w:r w:rsidR="000D0687"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上刊登暂停申购公告。如果基金投资者的申购申请被拒绝，被拒绝的申购款项将退还给投资者。在暂停申购的情况消除时，基金管理人应及时恢复申购业务的办理。</w:t>
      </w:r>
    </w:p>
    <w:p w:rsidR="002F5370" w:rsidRPr="0001503D" w:rsidRDefault="002F5370" w:rsidP="000B57E8">
      <w:pPr>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基金管理人拒绝或暂停接受申购的方式包括：</w:t>
      </w:r>
    </w:p>
    <w:p w:rsidR="002F5370" w:rsidRPr="0001503D" w:rsidRDefault="002F5370"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（1）拒绝接受、暂停接受某笔或某数笔申购申请；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（2）拒绝接受、暂停接受某个或某数个工作日的全部申购申请；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（3）按比例拒绝接受、暂停接受某个或某数个工作日的申购申请。</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2</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发生下列情形时，基金管理人可暂停接受基金投资者的赎回申请或延缓支付赎回款项：</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）因不可抗力导致基金管理人不能支付赎回款项。</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）证券交易所交易时间依法决定临时停市，导致基金管理人无法计算当日基金资产净值。</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）连续两个或两个以上开放日发生巨额赎回，导致本基金的现金支付出现困难。</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）发生基金合同规定的暂停基金资产估值情况。</w:t>
      </w:r>
    </w:p>
    <w:p w:rsidR="00573B72" w:rsidRPr="0001503D" w:rsidRDefault="00573B72" w:rsidP="00A6256D">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）当前一估值日基金资产净值</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w:t>
      </w:r>
      <w:r w:rsidR="00573B72"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）法律法规规定或中国证监会认定的其他情形。</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发生上述情形时，基金管理人应在当日向中国证监会报告，已接受的赎回申请，基金管理人应按时足额支付；如暂时不能足额支付，可支付部分按单个账户申请量占申请总量的比例分配给赎回申请人，未支付部分可延期支付，并以后续开放日的基金份额净值为依据计算赎回金额，若出现上述第（</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）项所述情形，按基金合同的相关条款处理。投资者在申请赎回时可事先选择将当日可能未获受理部分予以撤销。在暂停赎回的情况消除时，基金管理人应及时恢复赎回业务的办理并公告。</w:t>
      </w:r>
    </w:p>
    <w:p w:rsidR="002F5370" w:rsidRPr="0001503D" w:rsidRDefault="002F5370"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3</w:t>
      </w:r>
      <w:r w:rsidR="000B57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暂停申购或赎回的公告和重新开放申购或赎回的公告</w:t>
      </w:r>
    </w:p>
    <w:p w:rsidR="002F5370" w:rsidRPr="0001503D" w:rsidRDefault="00137AE8"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（1）</w:t>
      </w:r>
      <w:r w:rsidR="002F5370" w:rsidRPr="0001503D">
        <w:rPr>
          <w:rFonts w:asciiTheme="minorEastAsia" w:eastAsiaTheme="minorEastAsia" w:hAnsiTheme="minorEastAsia" w:hint="eastAsia"/>
        </w:rPr>
        <w:t>发生上述暂停申购或赎回情况的，</w:t>
      </w:r>
      <w:r w:rsidR="000C6E8C" w:rsidRPr="0001503D">
        <w:rPr>
          <w:rFonts w:asciiTheme="minorEastAsia" w:eastAsiaTheme="minorEastAsia" w:hAnsiTheme="minorEastAsia" w:hint="eastAsia"/>
        </w:rPr>
        <w:t>基金管理人应在规定期限内在指定媒介上刊登暂停公告</w:t>
      </w:r>
      <w:r w:rsidR="002F5370" w:rsidRPr="0001503D">
        <w:rPr>
          <w:rFonts w:asciiTheme="minorEastAsia" w:eastAsiaTheme="minorEastAsia" w:hAnsiTheme="minorEastAsia" w:hint="eastAsia"/>
        </w:rPr>
        <w:t>。</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2</w:t>
      </w:r>
      <w:r w:rsidRPr="0001503D">
        <w:rPr>
          <w:rFonts w:asciiTheme="minorEastAsia" w:eastAsiaTheme="minorEastAsia" w:hAnsiTheme="minorEastAsia" w:hint="eastAsia"/>
        </w:rPr>
        <w:t>）如发生暂停的时间为</w:t>
      </w:r>
      <w:r w:rsidRPr="0001503D">
        <w:rPr>
          <w:rFonts w:asciiTheme="minorEastAsia" w:eastAsiaTheme="minorEastAsia" w:hAnsiTheme="minorEastAsia"/>
        </w:rPr>
        <w:t>1</w:t>
      </w:r>
      <w:r w:rsidRPr="0001503D">
        <w:rPr>
          <w:rFonts w:asciiTheme="minorEastAsia" w:eastAsiaTheme="minorEastAsia" w:hAnsiTheme="minorEastAsia" w:hint="eastAsia"/>
        </w:rPr>
        <w:t>日，第</w:t>
      </w:r>
      <w:r w:rsidRPr="0001503D">
        <w:rPr>
          <w:rFonts w:asciiTheme="minorEastAsia" w:eastAsiaTheme="minorEastAsia" w:hAnsiTheme="minorEastAsia"/>
        </w:rPr>
        <w:t>2</w:t>
      </w:r>
      <w:r w:rsidRPr="0001503D">
        <w:rPr>
          <w:rFonts w:asciiTheme="minorEastAsia" w:eastAsiaTheme="minorEastAsia" w:hAnsiTheme="minorEastAsia" w:hint="eastAsia"/>
        </w:rPr>
        <w:t>日基金管理人应依照有关规定在</w:t>
      </w:r>
      <w:r w:rsidR="000D0687"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上刊登基金重新开放申购或赎回公告，并公布最近</w:t>
      </w:r>
      <w:r w:rsidRPr="0001503D">
        <w:rPr>
          <w:rFonts w:asciiTheme="minorEastAsia" w:eastAsiaTheme="minorEastAsia" w:hAnsiTheme="minorEastAsia"/>
        </w:rPr>
        <w:t>1</w:t>
      </w:r>
      <w:r w:rsidRPr="0001503D">
        <w:rPr>
          <w:rFonts w:asciiTheme="minorEastAsia" w:eastAsiaTheme="minorEastAsia" w:hAnsiTheme="minorEastAsia" w:hint="eastAsia"/>
        </w:rPr>
        <w:t>个工作日的基金份额净值。</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3</w:t>
      </w:r>
      <w:r w:rsidRPr="0001503D">
        <w:rPr>
          <w:rFonts w:asciiTheme="minorEastAsia" w:eastAsiaTheme="minorEastAsia" w:hAnsiTheme="minorEastAsia" w:hint="eastAsia"/>
        </w:rPr>
        <w:t>）如发生暂停的时间超过</w:t>
      </w:r>
      <w:r w:rsidRPr="0001503D">
        <w:rPr>
          <w:rFonts w:asciiTheme="minorEastAsia" w:eastAsiaTheme="minorEastAsia" w:hAnsiTheme="minorEastAsia"/>
        </w:rPr>
        <w:t>1</w:t>
      </w:r>
      <w:r w:rsidRPr="0001503D">
        <w:rPr>
          <w:rFonts w:asciiTheme="minorEastAsia" w:eastAsiaTheme="minorEastAsia" w:hAnsiTheme="minorEastAsia" w:hint="eastAsia"/>
        </w:rPr>
        <w:t>日但少于</w:t>
      </w:r>
      <w:r w:rsidRPr="0001503D">
        <w:rPr>
          <w:rFonts w:asciiTheme="minorEastAsia" w:eastAsiaTheme="minorEastAsia" w:hAnsiTheme="minorEastAsia"/>
        </w:rPr>
        <w:t>2</w:t>
      </w:r>
      <w:r w:rsidRPr="0001503D">
        <w:rPr>
          <w:rFonts w:asciiTheme="minorEastAsia" w:eastAsiaTheme="minorEastAsia" w:hAnsiTheme="minorEastAsia" w:hint="eastAsia"/>
        </w:rPr>
        <w:t>周，暂停结束，基金重新开放申购或赎回时，基金管理人应依照《信息披露管理办法》的有关规定，在</w:t>
      </w:r>
      <w:r w:rsidR="000D0687"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上刊登基金重新开放申购或赎回公告，并公告最近</w:t>
      </w:r>
      <w:r w:rsidRPr="0001503D">
        <w:rPr>
          <w:rFonts w:asciiTheme="minorEastAsia" w:eastAsiaTheme="minorEastAsia" w:hAnsiTheme="minorEastAsia"/>
        </w:rPr>
        <w:t>1</w:t>
      </w:r>
      <w:r w:rsidRPr="0001503D">
        <w:rPr>
          <w:rFonts w:asciiTheme="minorEastAsia" w:eastAsiaTheme="minorEastAsia" w:hAnsiTheme="minorEastAsia" w:hint="eastAsia"/>
        </w:rPr>
        <w:t>个工作日的基金份额净值。</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4</w:t>
      </w:r>
      <w:r w:rsidRPr="0001503D">
        <w:rPr>
          <w:rFonts w:asciiTheme="minorEastAsia" w:eastAsiaTheme="minorEastAsia" w:hAnsiTheme="minorEastAsia" w:hint="eastAsia"/>
        </w:rPr>
        <w:t>）如发生暂停的时间超过</w:t>
      </w:r>
      <w:r w:rsidRPr="0001503D">
        <w:rPr>
          <w:rFonts w:asciiTheme="minorEastAsia" w:eastAsiaTheme="minorEastAsia" w:hAnsiTheme="minorEastAsia"/>
        </w:rPr>
        <w:t>2</w:t>
      </w:r>
      <w:r w:rsidRPr="0001503D">
        <w:rPr>
          <w:rFonts w:asciiTheme="minorEastAsia" w:eastAsiaTheme="minorEastAsia" w:hAnsiTheme="minorEastAsia" w:hint="eastAsia"/>
        </w:rPr>
        <w:t>周，暂停期间，基金管理人应每</w:t>
      </w:r>
      <w:r w:rsidRPr="0001503D">
        <w:rPr>
          <w:rFonts w:asciiTheme="minorEastAsia" w:eastAsiaTheme="minorEastAsia" w:hAnsiTheme="minorEastAsia"/>
        </w:rPr>
        <w:t>2</w:t>
      </w:r>
      <w:r w:rsidRPr="0001503D">
        <w:rPr>
          <w:rFonts w:asciiTheme="minorEastAsia" w:eastAsiaTheme="minorEastAsia" w:hAnsiTheme="minorEastAsia" w:hint="eastAsia"/>
        </w:rPr>
        <w:t>周至少刊登暂停公告</w:t>
      </w:r>
      <w:r w:rsidRPr="0001503D">
        <w:rPr>
          <w:rFonts w:asciiTheme="minorEastAsia" w:eastAsiaTheme="minorEastAsia" w:hAnsiTheme="minorEastAsia"/>
        </w:rPr>
        <w:t>1</w:t>
      </w:r>
      <w:r w:rsidRPr="0001503D">
        <w:rPr>
          <w:rFonts w:asciiTheme="minorEastAsia" w:eastAsiaTheme="minorEastAsia" w:hAnsiTheme="minorEastAsia" w:hint="eastAsia"/>
        </w:rPr>
        <w:t>次。暂停结束，基金重新开放申购或赎回时，基金管理人应依照《信息披露管理办法》的有关规定，在</w:t>
      </w:r>
      <w:r w:rsidR="000D0687" w:rsidRPr="0001503D">
        <w:rPr>
          <w:rFonts w:asciiTheme="minorEastAsia" w:eastAsiaTheme="minorEastAsia" w:hAnsiTheme="minorEastAsia" w:hint="eastAsia"/>
        </w:rPr>
        <w:t>指定媒介</w:t>
      </w:r>
      <w:r w:rsidRPr="0001503D">
        <w:rPr>
          <w:rFonts w:asciiTheme="minorEastAsia" w:eastAsiaTheme="minorEastAsia" w:hAnsiTheme="minorEastAsia" w:hint="eastAsia"/>
        </w:rPr>
        <w:t>上刊登基金重新开放申购或赎回公告，并公告最近</w:t>
      </w:r>
      <w:r w:rsidRPr="0001503D">
        <w:rPr>
          <w:rFonts w:asciiTheme="minorEastAsia" w:eastAsiaTheme="minorEastAsia" w:hAnsiTheme="minorEastAsia"/>
        </w:rPr>
        <w:t>1</w:t>
      </w:r>
      <w:r w:rsidRPr="0001503D">
        <w:rPr>
          <w:rFonts w:asciiTheme="minorEastAsia" w:eastAsiaTheme="minorEastAsia" w:hAnsiTheme="minorEastAsia" w:hint="eastAsia"/>
        </w:rPr>
        <w:t>个工作日的基金份额净值。</w:t>
      </w:r>
    </w:p>
    <w:p w:rsidR="002F5370" w:rsidRPr="0001503D" w:rsidRDefault="002F5370" w:rsidP="000B57E8">
      <w:pPr>
        <w:snapToGrid w:val="0"/>
        <w:spacing w:line="360" w:lineRule="auto"/>
        <w:rPr>
          <w:rFonts w:asciiTheme="minorEastAsia" w:eastAsiaTheme="minorEastAsia" w:hAnsiTheme="minorEastAsia"/>
          <w:sz w:val="24"/>
        </w:rPr>
      </w:pPr>
    </w:p>
    <w:p w:rsidR="002F5370" w:rsidRPr="0001503D"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rPr>
      </w:pPr>
      <w:bookmarkStart w:id="61" w:name="_Toc236639827"/>
      <w:bookmarkStart w:id="62" w:name="_Toc236640272"/>
      <w:bookmarkStart w:id="63" w:name="_Toc236640728"/>
      <w:bookmarkStart w:id="64" w:name="_Toc236641051"/>
      <w:bookmarkStart w:id="65" w:name="_Toc91334992"/>
      <w:bookmarkStart w:id="66" w:name="_Toc238870166"/>
      <w:bookmarkStart w:id="67" w:name="_Toc28803547"/>
      <w:bookmarkEnd w:id="61"/>
      <w:bookmarkEnd w:id="62"/>
      <w:bookmarkEnd w:id="63"/>
      <w:bookmarkEnd w:id="64"/>
      <w:r w:rsidRPr="0001503D">
        <w:rPr>
          <w:rFonts w:asciiTheme="minorEastAsia" w:eastAsiaTheme="minorEastAsia" w:hAnsiTheme="minorEastAsia" w:hint="eastAsia"/>
        </w:rPr>
        <w:lastRenderedPageBreak/>
        <w:t>九、基金转换</w:t>
      </w:r>
      <w:bookmarkEnd w:id="65"/>
      <w:bookmarkEnd w:id="66"/>
      <w:bookmarkEnd w:id="67"/>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8" w:name="_Toc198959616"/>
      <w:bookmarkStart w:id="69" w:name="_Toc229996707"/>
      <w:bookmarkStart w:id="70" w:name="_Toc245693553"/>
      <w:bookmarkStart w:id="71" w:name="_Toc258398101"/>
      <w:bookmarkStart w:id="72" w:name="_Toc264906008"/>
      <w:bookmarkStart w:id="73" w:name="_Toc28803548"/>
      <w:r w:rsidRPr="0001503D">
        <w:rPr>
          <w:rFonts w:asciiTheme="minorEastAsia" w:eastAsiaTheme="minorEastAsia" w:hAnsiTheme="minorEastAsia" w:hint="eastAsia"/>
          <w:b w:val="0"/>
        </w:rPr>
        <w:t>（一）</w:t>
      </w:r>
      <w:r w:rsidRPr="0001503D">
        <w:rPr>
          <w:rFonts w:asciiTheme="minorEastAsia" w:eastAsiaTheme="minorEastAsia" w:hAnsiTheme="minorEastAsia"/>
          <w:b w:val="0"/>
        </w:rPr>
        <w:t>基金转换开始日及</w:t>
      </w:r>
      <w:r w:rsidRPr="0001503D">
        <w:rPr>
          <w:rFonts w:asciiTheme="minorEastAsia" w:eastAsiaTheme="minorEastAsia" w:hAnsiTheme="minorEastAsia" w:hint="eastAsia"/>
          <w:b w:val="0"/>
        </w:rPr>
        <w:t>时间</w:t>
      </w:r>
      <w:bookmarkEnd w:id="68"/>
      <w:bookmarkEnd w:id="69"/>
      <w:bookmarkEnd w:id="70"/>
      <w:bookmarkEnd w:id="71"/>
      <w:bookmarkEnd w:id="72"/>
      <w:bookmarkEnd w:id="73"/>
    </w:p>
    <w:p w:rsidR="002F5370" w:rsidRPr="0001503D" w:rsidRDefault="00213EB0" w:rsidP="000B57E8">
      <w:pPr>
        <w:pStyle w:val="ad"/>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rPr>
        <w:t>本基金已于</w:t>
      </w:r>
      <w:r w:rsidRPr="0001503D">
        <w:rPr>
          <w:rFonts w:asciiTheme="minorEastAsia" w:eastAsiaTheme="minorEastAsia" w:hAnsiTheme="minorEastAsia" w:hint="eastAsia"/>
          <w:kern w:val="0"/>
          <w:szCs w:val="21"/>
        </w:rPr>
        <w:t>2010年11月1日</w:t>
      </w:r>
      <w:r w:rsidRPr="0001503D">
        <w:rPr>
          <w:rFonts w:asciiTheme="minorEastAsia" w:eastAsiaTheme="minorEastAsia" w:hAnsiTheme="minorEastAsia" w:hint="eastAsia"/>
        </w:rPr>
        <w:t>开始办理</w:t>
      </w:r>
      <w:r w:rsidRPr="0001503D">
        <w:rPr>
          <w:rFonts w:asciiTheme="minorEastAsia" w:eastAsiaTheme="minorEastAsia" w:hAnsiTheme="minorEastAsia" w:hint="eastAsia"/>
          <w:szCs w:val="21"/>
        </w:rPr>
        <w:t>转换</w:t>
      </w:r>
      <w:r w:rsidRPr="0001503D">
        <w:rPr>
          <w:rFonts w:asciiTheme="minorEastAsia" w:eastAsiaTheme="minorEastAsia" w:hAnsiTheme="minorEastAsia" w:hint="eastAsia"/>
        </w:rPr>
        <w:t>业务</w:t>
      </w:r>
      <w:r w:rsidR="002F5370" w:rsidRPr="0001503D">
        <w:rPr>
          <w:rFonts w:asciiTheme="minorEastAsia" w:eastAsiaTheme="minorEastAsia" w:hAnsiTheme="minorEastAsia" w:hint="eastAsia"/>
        </w:rPr>
        <w:t>，具体实施办法参见相关公告</w:t>
      </w:r>
      <w:r w:rsidR="002F5370" w:rsidRPr="0001503D">
        <w:rPr>
          <w:rFonts w:asciiTheme="minorEastAsia" w:eastAsiaTheme="minorEastAsia" w:hAnsiTheme="minorEastAsia" w:cs="宋体" w:hint="eastAsia"/>
          <w:kern w:val="0"/>
          <w:szCs w:val="21"/>
        </w:rPr>
        <w:t>。</w:t>
      </w:r>
    </w:p>
    <w:p w:rsidR="002F5370" w:rsidRPr="0001503D" w:rsidRDefault="002F5370" w:rsidP="000B57E8">
      <w:pPr>
        <w:widowControl/>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本基金转换业务的开放日为上海证券交易所和深圳证券交易所同时开放交易的工作日（基金管理人根据法律法规或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证券投资基金信息披露管理办法》或其他相关规定在实施日前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公告。</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投资者需在转出基金和转入基金均有交易的当日，方可办理基金转换业务。</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74" w:name="_Toc198959617"/>
      <w:bookmarkStart w:id="75" w:name="_Toc229996708"/>
      <w:bookmarkStart w:id="76" w:name="_Toc245693554"/>
      <w:bookmarkStart w:id="77" w:name="_Toc258398102"/>
      <w:bookmarkStart w:id="78" w:name="_Toc264906009"/>
      <w:bookmarkStart w:id="79" w:name="_Toc28803549"/>
      <w:r w:rsidRPr="0001503D">
        <w:rPr>
          <w:rFonts w:asciiTheme="minorEastAsia" w:eastAsiaTheme="minorEastAsia" w:hAnsiTheme="minorEastAsia" w:hint="eastAsia"/>
          <w:b w:val="0"/>
        </w:rPr>
        <w:t>（二）</w:t>
      </w:r>
      <w:r w:rsidRPr="0001503D">
        <w:rPr>
          <w:rFonts w:asciiTheme="minorEastAsia" w:eastAsiaTheme="minorEastAsia" w:hAnsiTheme="minorEastAsia"/>
          <w:b w:val="0"/>
        </w:rPr>
        <w:t>基金转换的原则</w:t>
      </w:r>
      <w:bookmarkEnd w:id="74"/>
      <w:bookmarkEnd w:id="75"/>
      <w:bookmarkEnd w:id="76"/>
      <w:bookmarkEnd w:id="77"/>
      <w:bookmarkEnd w:id="78"/>
      <w:bookmarkEnd w:id="79"/>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1</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2F5370" w:rsidRPr="0001503D" w:rsidRDefault="00137AE8"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2、</w:t>
      </w:r>
      <w:r w:rsidR="002F5370" w:rsidRPr="0001503D">
        <w:rPr>
          <w:rFonts w:asciiTheme="minorEastAsia" w:eastAsiaTheme="minorEastAsia" w:hAnsiTheme="minorEastAsia" w:hint="eastAsia"/>
        </w:rPr>
        <w:t>当日的转换申请可以在当日交易结束时间前撤销，在当日的交易时间结束后不得撤销。</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3</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kern w:val="0"/>
          <w:szCs w:val="21"/>
        </w:rPr>
        <w:t>基金转换采取未知价法，即基金的转换价格以转换申请受理当日各转出、转入基金的份额净值为基准进行计算。</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4</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kern w:val="0"/>
          <w:szCs w:val="21"/>
        </w:rPr>
        <w:t>基金转换只能在同一销售机构进行。转换的两只基金必须都是该销售机构</w:t>
      </w:r>
      <w:r w:rsidR="00FB125C" w:rsidRPr="0001503D">
        <w:rPr>
          <w:rFonts w:asciiTheme="minorEastAsia" w:eastAsiaTheme="minorEastAsia" w:hAnsiTheme="minorEastAsia" w:hint="eastAsia"/>
          <w:kern w:val="0"/>
          <w:szCs w:val="21"/>
        </w:rPr>
        <w:t>销售</w:t>
      </w:r>
      <w:r w:rsidRPr="0001503D">
        <w:rPr>
          <w:rFonts w:asciiTheme="minorEastAsia" w:eastAsiaTheme="minorEastAsia" w:hAnsiTheme="minorEastAsia" w:hint="eastAsia"/>
          <w:kern w:val="0"/>
          <w:szCs w:val="21"/>
        </w:rPr>
        <w:t>的同一基金管理人管理的、在同一注册登记机构注册登记的基金。</w:t>
      </w:r>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5</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2F5370" w:rsidRPr="0001503D" w:rsidRDefault="002F5370" w:rsidP="000B57E8">
      <w:pPr>
        <w:pStyle w:val="ad"/>
        <w:snapToGrid w:val="0"/>
        <w:spacing w:line="360" w:lineRule="auto"/>
        <w:ind w:firstLineChars="200"/>
        <w:rPr>
          <w:rFonts w:asciiTheme="minorEastAsia" w:eastAsiaTheme="minorEastAsia" w:hAnsiTheme="minorEastAsia"/>
        </w:rPr>
      </w:pPr>
      <w:r w:rsidRPr="0001503D">
        <w:rPr>
          <w:rFonts w:asciiTheme="minorEastAsia" w:eastAsiaTheme="minorEastAsia" w:hAnsiTheme="minorEastAsia" w:hint="eastAsia"/>
        </w:rPr>
        <w:t>6</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2F5370" w:rsidRPr="0001503D" w:rsidRDefault="00137AE8" w:rsidP="000B57E8">
      <w:pPr>
        <w:pStyle w:val="ad"/>
        <w:snapToGrid w:val="0"/>
        <w:spacing w:line="360" w:lineRule="auto"/>
        <w:ind w:firstLineChars="200"/>
        <w:rPr>
          <w:rFonts w:asciiTheme="minorEastAsia" w:eastAsiaTheme="minorEastAsia" w:hAnsiTheme="minorEastAsia"/>
        </w:rPr>
      </w:pPr>
      <w:r w:rsidRPr="0001503D">
        <w:rPr>
          <w:rFonts w:asciiTheme="minorEastAsia" w:eastAsiaTheme="minorEastAsia" w:hAnsiTheme="minorEastAsia" w:hint="eastAsia"/>
          <w:kern w:val="0"/>
          <w:szCs w:val="21"/>
        </w:rPr>
        <w:t>7、</w:t>
      </w:r>
      <w:r w:rsidR="002F5370" w:rsidRPr="0001503D">
        <w:rPr>
          <w:rFonts w:asciiTheme="minorEastAsia" w:eastAsiaTheme="minorEastAsia" w:hAnsiTheme="minorEastAsia" w:hint="eastAsia"/>
          <w:kern w:val="0"/>
          <w:szCs w:val="21"/>
        </w:rPr>
        <w:t>基金份额在转换后，</w:t>
      </w:r>
      <w:r w:rsidR="002F5370" w:rsidRPr="0001503D">
        <w:rPr>
          <w:rFonts w:asciiTheme="minorEastAsia" w:eastAsiaTheme="minorEastAsia" w:hAnsiTheme="minorEastAsia"/>
        </w:rPr>
        <w:t>转入的基金份额的持有期将自转入的基金份额被确认之日起重新开始计算。</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基金管理人可在不损害基金份额持有人权益的情况下更改上述原则，</w:t>
      </w:r>
      <w:r w:rsidRPr="0001503D">
        <w:rPr>
          <w:rFonts w:asciiTheme="minorEastAsia" w:eastAsiaTheme="minorEastAsia" w:hAnsiTheme="minorEastAsia" w:hint="eastAsia"/>
          <w:kern w:val="0"/>
          <w:szCs w:val="21"/>
        </w:rPr>
        <w:t>但应在调整生效前在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kern w:val="0"/>
          <w:szCs w:val="21"/>
        </w:rPr>
        <w:t>上予以公告。</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0" w:name="_Toc198959618"/>
      <w:bookmarkStart w:id="81" w:name="_Toc229996709"/>
      <w:bookmarkStart w:id="82" w:name="_Toc245693555"/>
      <w:bookmarkStart w:id="83" w:name="_Toc258398103"/>
      <w:bookmarkStart w:id="84" w:name="_Toc264906010"/>
      <w:bookmarkStart w:id="85" w:name="_Toc28803550"/>
      <w:r w:rsidRPr="0001503D">
        <w:rPr>
          <w:rFonts w:asciiTheme="minorEastAsia" w:eastAsiaTheme="minorEastAsia" w:hAnsiTheme="minorEastAsia" w:hint="eastAsia"/>
          <w:b w:val="0"/>
        </w:rPr>
        <w:t>（三）基金转换的程序</w:t>
      </w:r>
      <w:bookmarkEnd w:id="80"/>
      <w:bookmarkEnd w:id="81"/>
      <w:bookmarkEnd w:id="82"/>
      <w:bookmarkEnd w:id="83"/>
      <w:bookmarkEnd w:id="84"/>
      <w:bookmarkEnd w:id="85"/>
    </w:p>
    <w:p w:rsidR="002F5370" w:rsidRPr="0001503D" w:rsidRDefault="00137AE8"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1、</w:t>
      </w:r>
      <w:r w:rsidR="002F5370" w:rsidRPr="0001503D">
        <w:rPr>
          <w:rFonts w:asciiTheme="minorEastAsia" w:eastAsiaTheme="minorEastAsia" w:hAnsiTheme="minorEastAsia" w:hint="eastAsia"/>
        </w:rPr>
        <w:t>基金转换的申请方式</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lastRenderedPageBreak/>
        <w:t>基金投资者必须根据基金管理人和基金</w:t>
      </w:r>
      <w:r w:rsidR="00820662" w:rsidRPr="0001503D">
        <w:rPr>
          <w:rFonts w:asciiTheme="minorEastAsia" w:eastAsiaTheme="minorEastAsia" w:hAnsiTheme="minorEastAsia" w:hint="eastAsia"/>
        </w:rPr>
        <w:t>销售</w:t>
      </w:r>
      <w:r w:rsidRPr="0001503D">
        <w:rPr>
          <w:rFonts w:asciiTheme="minorEastAsia" w:eastAsiaTheme="minorEastAsia" w:hAnsiTheme="minorEastAsia" w:hint="eastAsia"/>
        </w:rPr>
        <w:t>机构规定的手续，在开放日的业务办理时间提出转换的申请。</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提交基金转换申请时，账户中必须有足够可用的转出基金份额余额。</w:t>
      </w:r>
    </w:p>
    <w:p w:rsidR="002F5370" w:rsidRPr="0001503D" w:rsidRDefault="00137AE8"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2、</w:t>
      </w:r>
      <w:r w:rsidR="002F5370" w:rsidRPr="0001503D">
        <w:rPr>
          <w:rFonts w:asciiTheme="minorEastAsia" w:eastAsiaTheme="minorEastAsia" w:hAnsiTheme="minorEastAsia" w:hint="eastAsia"/>
        </w:rPr>
        <w:t>基金转换申请的确认</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6" w:name="_Toc198959619"/>
      <w:bookmarkStart w:id="87" w:name="_Toc229996710"/>
      <w:bookmarkStart w:id="88" w:name="_Toc245693556"/>
      <w:bookmarkStart w:id="89" w:name="_Toc258398104"/>
      <w:bookmarkStart w:id="90" w:name="_Toc264906011"/>
      <w:bookmarkStart w:id="91" w:name="_Toc28803551"/>
      <w:r w:rsidRPr="0001503D">
        <w:rPr>
          <w:rFonts w:asciiTheme="minorEastAsia" w:eastAsiaTheme="minorEastAsia" w:hAnsiTheme="minorEastAsia" w:hint="eastAsia"/>
          <w:b w:val="0"/>
        </w:rPr>
        <w:t>（四）基金转换的数额限制</w:t>
      </w:r>
      <w:bookmarkEnd w:id="86"/>
      <w:bookmarkEnd w:id="87"/>
      <w:bookmarkEnd w:id="88"/>
      <w:bookmarkEnd w:id="89"/>
      <w:bookmarkEnd w:id="90"/>
      <w:bookmarkEnd w:id="91"/>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cs="宋体"/>
          <w:kern w:val="0"/>
          <w:szCs w:val="21"/>
        </w:rPr>
        <w:t>基金份额持有人可将其全部或部分基金份额转换成另一只基金，本基金单笔转出申请不得少于</w:t>
      </w:r>
      <w:r w:rsidRPr="0001503D">
        <w:rPr>
          <w:rFonts w:asciiTheme="minorEastAsia" w:eastAsiaTheme="minorEastAsia" w:hAnsiTheme="minorEastAsia" w:cs="宋体" w:hint="eastAsia"/>
          <w:kern w:val="0"/>
          <w:szCs w:val="21"/>
        </w:rPr>
        <w:t>1</w:t>
      </w:r>
      <w:r w:rsidRPr="0001503D">
        <w:rPr>
          <w:rFonts w:asciiTheme="minorEastAsia" w:eastAsiaTheme="minorEastAsia" w:hAnsiTheme="minorEastAsia" w:cs="宋体"/>
          <w:kern w:val="0"/>
          <w:szCs w:val="21"/>
        </w:rPr>
        <w:t>份（如该账户在该销售机构托管的该基金余额不足</w:t>
      </w:r>
      <w:r w:rsidRPr="0001503D">
        <w:rPr>
          <w:rFonts w:asciiTheme="minorEastAsia" w:eastAsiaTheme="minorEastAsia" w:hAnsiTheme="minorEastAsia" w:cs="宋体" w:hint="eastAsia"/>
          <w:kern w:val="0"/>
          <w:szCs w:val="21"/>
        </w:rPr>
        <w:t>1</w:t>
      </w:r>
      <w:r w:rsidRPr="0001503D">
        <w:rPr>
          <w:rFonts w:asciiTheme="minorEastAsia" w:eastAsiaTheme="minorEastAsia" w:hAnsiTheme="minorEastAsia" w:cs="宋体"/>
          <w:kern w:val="0"/>
          <w:szCs w:val="21"/>
        </w:rPr>
        <w:t>份，则必须一次性赎回或转出该基金全部份额）；若某笔转换导致投资者在</w:t>
      </w:r>
      <w:r w:rsidR="00722D97" w:rsidRPr="0001503D">
        <w:rPr>
          <w:rFonts w:asciiTheme="minorEastAsia" w:eastAsiaTheme="minorEastAsia" w:hAnsiTheme="minorEastAsia" w:hint="eastAsia"/>
          <w:szCs w:val="21"/>
        </w:rPr>
        <w:t>该</w:t>
      </w:r>
      <w:r w:rsidRPr="0001503D">
        <w:rPr>
          <w:rFonts w:asciiTheme="minorEastAsia" w:eastAsiaTheme="minorEastAsia" w:hAnsiTheme="minorEastAsia" w:cs="宋体"/>
          <w:kern w:val="0"/>
          <w:szCs w:val="21"/>
        </w:rPr>
        <w:t>销售机构托管的该基金余额不足</w:t>
      </w:r>
      <w:r w:rsidRPr="0001503D">
        <w:rPr>
          <w:rFonts w:asciiTheme="minorEastAsia" w:eastAsiaTheme="minorEastAsia" w:hAnsiTheme="minorEastAsia" w:cs="宋体" w:hint="eastAsia"/>
          <w:kern w:val="0"/>
          <w:szCs w:val="21"/>
        </w:rPr>
        <w:t>1</w:t>
      </w:r>
      <w:r w:rsidRPr="0001503D">
        <w:rPr>
          <w:rFonts w:asciiTheme="minorEastAsia" w:eastAsiaTheme="minorEastAsia" w:hAnsiTheme="minorEastAsia" w:cs="宋体"/>
          <w:kern w:val="0"/>
          <w:szCs w:val="21"/>
        </w:rPr>
        <w:t>份时，基金管理人有权将投资者在该销售机构托管的该基金剩余份额一次性全部赎回。</w:t>
      </w:r>
    </w:p>
    <w:p w:rsidR="002F5370" w:rsidRPr="0001503D" w:rsidRDefault="002F5370" w:rsidP="000B57E8">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hint="eastAsia"/>
        </w:rPr>
        <w:t>基金管理人可根据市场情况制定或调整上述基金转换的程序及有关限制，但</w:t>
      </w:r>
      <w:r w:rsidRPr="0001503D">
        <w:rPr>
          <w:rFonts w:asciiTheme="minorEastAsia" w:eastAsiaTheme="minorEastAsia" w:hAnsiTheme="minorEastAsia" w:hint="eastAsia"/>
          <w:kern w:val="0"/>
          <w:szCs w:val="21"/>
        </w:rPr>
        <w:t>应在调整生效前在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kern w:val="0"/>
          <w:szCs w:val="21"/>
        </w:rPr>
        <w:t>上予以公告。</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92" w:name="_Toc87367293"/>
      <w:bookmarkStart w:id="93" w:name="_Toc198959620"/>
      <w:bookmarkStart w:id="94" w:name="_Toc229996711"/>
      <w:bookmarkStart w:id="95" w:name="_Toc245693557"/>
      <w:bookmarkStart w:id="96" w:name="_Toc258398105"/>
      <w:bookmarkStart w:id="97" w:name="_Toc264906012"/>
      <w:bookmarkStart w:id="98" w:name="_Toc28803552"/>
      <w:r w:rsidRPr="0001503D">
        <w:rPr>
          <w:rFonts w:asciiTheme="minorEastAsia" w:eastAsiaTheme="minorEastAsia" w:hAnsiTheme="minorEastAsia" w:hint="eastAsia"/>
          <w:b w:val="0"/>
        </w:rPr>
        <w:t>（五）基金转换费率</w:t>
      </w:r>
      <w:bookmarkEnd w:id="92"/>
      <w:bookmarkEnd w:id="93"/>
      <w:bookmarkEnd w:id="94"/>
      <w:bookmarkEnd w:id="95"/>
      <w:bookmarkEnd w:id="96"/>
      <w:bookmarkEnd w:id="97"/>
      <w:bookmarkEnd w:id="98"/>
    </w:p>
    <w:p w:rsidR="002F5370" w:rsidRPr="0001503D" w:rsidRDefault="002F5370" w:rsidP="000B57E8">
      <w:pPr>
        <w:autoSpaceDE w:val="0"/>
        <w:autoSpaceDN w:val="0"/>
        <w:snapToGrid w:val="0"/>
        <w:spacing w:line="360" w:lineRule="auto"/>
        <w:ind w:firstLine="420"/>
        <w:textAlignment w:val="bottom"/>
        <w:rPr>
          <w:rFonts w:asciiTheme="minorEastAsia" w:eastAsiaTheme="minorEastAsia" w:hAnsiTheme="minorEastAsia"/>
          <w:szCs w:val="21"/>
        </w:rPr>
      </w:pPr>
      <w:r w:rsidRPr="0001503D">
        <w:rPr>
          <w:rFonts w:asciiTheme="minorEastAsia" w:eastAsiaTheme="minorEastAsia" w:hAnsiTheme="minorEastAsia" w:hint="eastAsia"/>
        </w:rPr>
        <w:t>基金转换费由基金份额持有人承担，</w:t>
      </w:r>
      <w:r w:rsidRPr="0001503D">
        <w:rPr>
          <w:rFonts w:asciiTheme="minorEastAsia" w:eastAsiaTheme="minorEastAsia" w:hAnsiTheme="minorEastAsia" w:hint="eastAsia"/>
          <w:szCs w:val="21"/>
        </w:rPr>
        <w:t>由转出基金赎回费用及基金申购补差费用构成，其中转出基金赎回费</w:t>
      </w:r>
      <w:r w:rsidR="00181977" w:rsidRPr="0001503D">
        <w:rPr>
          <w:rFonts w:asciiTheme="minorEastAsia" w:eastAsiaTheme="minorEastAsia" w:hAnsiTheme="minorEastAsia" w:hint="eastAsia"/>
          <w:szCs w:val="21"/>
        </w:rPr>
        <w:t>按照</w:t>
      </w:r>
      <w:r w:rsidR="0025217D" w:rsidRPr="0001503D">
        <w:rPr>
          <w:rFonts w:asciiTheme="minorEastAsia" w:eastAsiaTheme="minorEastAsia" w:hAnsiTheme="minorEastAsia" w:hint="eastAsia"/>
          <w:szCs w:val="21"/>
        </w:rPr>
        <w:t>各</w:t>
      </w:r>
      <w:r w:rsidR="0025217D" w:rsidRPr="0001503D">
        <w:rPr>
          <w:rFonts w:asciiTheme="minorEastAsia" w:eastAsiaTheme="minorEastAsia" w:hAnsiTheme="minorEastAsia"/>
          <w:szCs w:val="21"/>
        </w:rPr>
        <w:t>基金的</w:t>
      </w:r>
      <w:r w:rsidR="00920A24" w:rsidRPr="0001503D">
        <w:rPr>
          <w:rFonts w:asciiTheme="minorEastAsia" w:eastAsiaTheme="minorEastAsia" w:hAnsiTheme="minorEastAsia" w:hint="eastAsia"/>
        </w:rPr>
        <w:t>基金合同、更新的招募说明书</w:t>
      </w:r>
      <w:r w:rsidR="00181977" w:rsidRPr="0001503D">
        <w:rPr>
          <w:rFonts w:asciiTheme="minorEastAsia" w:eastAsiaTheme="minorEastAsia" w:hAnsiTheme="minorEastAsia" w:hint="eastAsia"/>
          <w:szCs w:val="21"/>
        </w:rPr>
        <w:t>及最新的相关公告约定的比例归入基金财产</w:t>
      </w:r>
      <w:r w:rsidRPr="0001503D">
        <w:rPr>
          <w:rFonts w:asciiTheme="minorEastAsia" w:eastAsiaTheme="minorEastAsia" w:hAnsiTheme="minorEastAsia" w:hint="eastAsia"/>
          <w:szCs w:val="21"/>
        </w:rPr>
        <w:t>，其余部分用于支付注册登记费等相关手续费，</w:t>
      </w:r>
      <w:r w:rsidRPr="0001503D">
        <w:rPr>
          <w:rFonts w:asciiTheme="minorEastAsia" w:eastAsiaTheme="minorEastAsia" w:hAnsiTheme="minorEastAsia" w:hint="eastAsia"/>
        </w:rPr>
        <w:t>具体实施办法和转换费率详见相关公告。</w:t>
      </w:r>
      <w:r w:rsidRPr="0001503D">
        <w:rPr>
          <w:rFonts w:asciiTheme="minorEastAsia" w:eastAsiaTheme="minorEastAsia" w:hAnsiTheme="minorEastAsia"/>
          <w:szCs w:val="21"/>
        </w:rPr>
        <w:t>转换费用以人民币元为单位，计算结果按照四舍五入方法，保留小数点后两位。</w:t>
      </w:r>
    </w:p>
    <w:p w:rsidR="002F5370" w:rsidRPr="0001503D" w:rsidRDefault="002F5370" w:rsidP="000B57E8">
      <w:pPr>
        <w:autoSpaceDE w:val="0"/>
        <w:autoSpaceDN w:val="0"/>
        <w:snapToGrid w:val="0"/>
        <w:spacing w:line="360" w:lineRule="auto"/>
        <w:ind w:firstLine="420"/>
        <w:textAlignment w:val="bottom"/>
        <w:rPr>
          <w:rFonts w:asciiTheme="minorEastAsia" w:eastAsiaTheme="minorEastAsia" w:hAnsiTheme="minorEastAsia"/>
        </w:rPr>
      </w:pPr>
      <w:bookmarkStart w:id="99" w:name="_Toc182826360"/>
      <w:bookmarkStart w:id="100" w:name="_Toc198959621"/>
      <w:r w:rsidRPr="0001503D">
        <w:rPr>
          <w:rFonts w:asciiTheme="minorEastAsia" w:eastAsiaTheme="minorEastAsia" w:hAnsiTheme="minorEastAsia"/>
        </w:rPr>
        <w:t>基金管理人可以在基金合同规定的范围内调整</w:t>
      </w:r>
      <w:r w:rsidRPr="0001503D">
        <w:rPr>
          <w:rFonts w:asciiTheme="minorEastAsia" w:eastAsiaTheme="minorEastAsia" w:hAnsiTheme="minorEastAsia" w:hint="eastAsia"/>
        </w:rPr>
        <w:t>上述</w:t>
      </w:r>
      <w:r w:rsidRPr="0001503D">
        <w:rPr>
          <w:rFonts w:asciiTheme="minorEastAsia" w:eastAsiaTheme="minorEastAsia" w:hAnsiTheme="minorEastAsia"/>
        </w:rPr>
        <w:t>费率</w:t>
      </w:r>
      <w:r w:rsidRPr="0001503D">
        <w:rPr>
          <w:rFonts w:asciiTheme="minorEastAsia" w:eastAsiaTheme="minorEastAsia" w:hAnsiTheme="minorEastAsia" w:hint="eastAsia"/>
        </w:rPr>
        <w:t>。</w:t>
      </w:r>
      <w:r w:rsidRPr="0001503D">
        <w:rPr>
          <w:rFonts w:asciiTheme="minorEastAsia" w:eastAsiaTheme="minorEastAsia" w:hAnsiTheme="minorEastAsia"/>
        </w:rPr>
        <w:t>上述费率如发生变更，</w:t>
      </w:r>
      <w:r w:rsidRPr="0001503D">
        <w:rPr>
          <w:rFonts w:asciiTheme="minorEastAsia" w:eastAsiaTheme="minorEastAsia" w:hAnsiTheme="minorEastAsia" w:hint="eastAsia"/>
          <w:kern w:val="0"/>
          <w:szCs w:val="21"/>
        </w:rPr>
        <w:t>应在调整生效前在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kern w:val="0"/>
          <w:szCs w:val="21"/>
        </w:rPr>
        <w:t>上予以公告。</w:t>
      </w:r>
    </w:p>
    <w:p w:rsidR="002F5370" w:rsidRPr="0001503D" w:rsidRDefault="00C31E4E" w:rsidP="000B57E8">
      <w:pPr>
        <w:autoSpaceDE w:val="0"/>
        <w:autoSpaceDN w:val="0"/>
        <w:snapToGrid w:val="0"/>
        <w:spacing w:line="360" w:lineRule="auto"/>
        <w:ind w:firstLine="420"/>
        <w:textAlignment w:val="bottom"/>
        <w:rPr>
          <w:rFonts w:asciiTheme="minorEastAsia" w:eastAsiaTheme="minorEastAsia" w:hAnsiTheme="minorEastAsia"/>
        </w:rPr>
      </w:pPr>
      <w:r w:rsidRPr="0001503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1" w:name="_Toc229996712"/>
      <w:bookmarkStart w:id="102" w:name="_Toc245693558"/>
      <w:bookmarkStart w:id="103" w:name="_Toc258398106"/>
      <w:bookmarkStart w:id="104" w:name="_Toc264906013"/>
      <w:bookmarkStart w:id="105" w:name="_Toc28803553"/>
      <w:r w:rsidRPr="0001503D">
        <w:rPr>
          <w:rFonts w:asciiTheme="minorEastAsia" w:eastAsiaTheme="minorEastAsia" w:hAnsiTheme="minorEastAsia" w:hint="eastAsia"/>
          <w:b w:val="0"/>
        </w:rPr>
        <w:t>（六）基金转换份额的计算方式</w:t>
      </w:r>
      <w:bookmarkEnd w:id="99"/>
      <w:bookmarkEnd w:id="100"/>
      <w:bookmarkEnd w:id="101"/>
      <w:bookmarkEnd w:id="102"/>
      <w:bookmarkEnd w:id="103"/>
      <w:bookmarkEnd w:id="104"/>
      <w:bookmarkEnd w:id="105"/>
    </w:p>
    <w:p w:rsidR="002F5370" w:rsidRPr="0001503D" w:rsidRDefault="002F5370"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01503D">
        <w:rPr>
          <w:rFonts w:asciiTheme="minorEastAsia" w:eastAsiaTheme="minorEastAsia" w:hAnsiTheme="minorEastAsia" w:hint="eastAsia"/>
        </w:rPr>
        <w:t>计算公式：</w:t>
      </w:r>
    </w:p>
    <w:p w:rsidR="002F5370" w:rsidRPr="0001503D" w:rsidRDefault="002F5370"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A＝［B×C×(1-D)/（1+G）+F］/E</w:t>
      </w:r>
    </w:p>
    <w:p w:rsidR="002F5370" w:rsidRPr="0001503D" w:rsidRDefault="002F5370"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H＝</w:t>
      </w:r>
      <w:r w:rsidRPr="0001503D">
        <w:rPr>
          <w:rFonts w:asciiTheme="minorEastAsia" w:eastAsiaTheme="minorEastAsia" w:hAnsiTheme="minorEastAsia"/>
          <w:szCs w:val="21"/>
        </w:rPr>
        <w:t>B×C×D</w:t>
      </w:r>
    </w:p>
    <w:p w:rsidR="002F5370" w:rsidRPr="0001503D" w:rsidRDefault="002F5370" w:rsidP="009B264B">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J＝[B×C×(1-D)/(1+G)]×G</w:t>
      </w:r>
    </w:p>
    <w:p w:rsidR="002F5370" w:rsidRPr="0001503D" w:rsidRDefault="002F5370"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hint="eastAsia"/>
          <w:szCs w:val="21"/>
        </w:rPr>
        <w:t>其中，</w:t>
      </w:r>
      <w:r w:rsidRPr="0001503D">
        <w:rPr>
          <w:rFonts w:asciiTheme="minorEastAsia" w:eastAsiaTheme="minorEastAsia" w:hAnsiTheme="minorEastAsia"/>
          <w:szCs w:val="21"/>
        </w:rPr>
        <w:t>A</w:t>
      </w:r>
      <w:r w:rsidRPr="0001503D">
        <w:rPr>
          <w:rFonts w:asciiTheme="minorEastAsia" w:eastAsiaTheme="minorEastAsia" w:hAnsiTheme="minorEastAsia" w:hint="eastAsia"/>
          <w:szCs w:val="21"/>
        </w:rPr>
        <w:t>为转入的基金份额；</w:t>
      </w:r>
      <w:r w:rsidRPr="0001503D">
        <w:rPr>
          <w:rFonts w:asciiTheme="minorEastAsia" w:eastAsiaTheme="minorEastAsia" w:hAnsiTheme="minorEastAsia"/>
          <w:szCs w:val="21"/>
        </w:rPr>
        <w:t>B</w:t>
      </w:r>
      <w:r w:rsidRPr="0001503D">
        <w:rPr>
          <w:rFonts w:asciiTheme="minorEastAsia" w:eastAsiaTheme="minorEastAsia" w:hAnsiTheme="minorEastAsia" w:hint="eastAsia"/>
          <w:szCs w:val="21"/>
        </w:rPr>
        <w:t>为转出的基金份额；</w:t>
      </w:r>
      <w:r w:rsidRPr="0001503D">
        <w:rPr>
          <w:rFonts w:asciiTheme="minorEastAsia" w:eastAsiaTheme="minorEastAsia" w:hAnsiTheme="minorEastAsia"/>
          <w:szCs w:val="21"/>
        </w:rPr>
        <w:t>C</w:t>
      </w:r>
      <w:r w:rsidRPr="0001503D">
        <w:rPr>
          <w:rFonts w:asciiTheme="minorEastAsia" w:eastAsiaTheme="minorEastAsia" w:hAnsiTheme="minorEastAsia" w:hint="eastAsia"/>
          <w:szCs w:val="21"/>
        </w:rPr>
        <w:t>为转换申请当日转出基金的基金</w:t>
      </w:r>
      <w:r w:rsidRPr="0001503D">
        <w:rPr>
          <w:rFonts w:asciiTheme="minorEastAsia" w:eastAsiaTheme="minorEastAsia" w:hAnsiTheme="minorEastAsia" w:hint="eastAsia"/>
          <w:szCs w:val="21"/>
        </w:rPr>
        <w:lastRenderedPageBreak/>
        <w:t>份额净值；</w:t>
      </w:r>
      <w:r w:rsidRPr="0001503D">
        <w:rPr>
          <w:rFonts w:asciiTheme="minorEastAsia" w:eastAsiaTheme="minorEastAsia" w:hAnsiTheme="minorEastAsia"/>
          <w:szCs w:val="21"/>
        </w:rPr>
        <w:t>D</w:t>
      </w:r>
      <w:r w:rsidRPr="0001503D">
        <w:rPr>
          <w:rFonts w:asciiTheme="minorEastAsia" w:eastAsiaTheme="minorEastAsia" w:hAnsiTheme="minorEastAsia" w:hint="eastAsia"/>
          <w:szCs w:val="21"/>
        </w:rPr>
        <w:t>为转出基金的对应赎回费率，</w:t>
      </w:r>
      <w:r w:rsidRPr="0001503D">
        <w:rPr>
          <w:rFonts w:asciiTheme="minorEastAsia" w:eastAsiaTheme="minorEastAsia" w:hAnsiTheme="minorEastAsia"/>
          <w:szCs w:val="21"/>
        </w:rPr>
        <w:t>G</w:t>
      </w:r>
      <w:r w:rsidRPr="0001503D">
        <w:rPr>
          <w:rFonts w:asciiTheme="minorEastAsia" w:eastAsiaTheme="minorEastAsia" w:hAnsiTheme="minorEastAsia" w:hint="eastAsia"/>
          <w:szCs w:val="21"/>
        </w:rPr>
        <w:t>为对应的申购补差费率；</w:t>
      </w:r>
      <w:r w:rsidRPr="0001503D">
        <w:rPr>
          <w:rFonts w:asciiTheme="minorEastAsia" w:eastAsiaTheme="minorEastAsia" w:hAnsiTheme="minorEastAsia"/>
          <w:szCs w:val="21"/>
        </w:rPr>
        <w:t>E</w:t>
      </w:r>
      <w:r w:rsidRPr="0001503D">
        <w:rPr>
          <w:rFonts w:asciiTheme="minorEastAsia" w:eastAsiaTheme="minorEastAsia" w:hAnsiTheme="minorEastAsia" w:hint="eastAsia"/>
          <w:szCs w:val="21"/>
        </w:rPr>
        <w:t>为转换申请当日转</w:t>
      </w:r>
      <w:r w:rsidRPr="0001503D">
        <w:rPr>
          <w:rFonts w:asciiTheme="minorEastAsia" w:eastAsiaTheme="minorEastAsia" w:hAnsiTheme="minorEastAsia" w:hint="eastAsia"/>
        </w:rPr>
        <w:t>入基金的基金份额净值；</w:t>
      </w:r>
      <w:r w:rsidR="00A05C13" w:rsidRPr="0001503D">
        <w:rPr>
          <w:rFonts w:asciiTheme="minorEastAsia" w:eastAsiaTheme="minorEastAsia" w:hAnsiTheme="minorEastAsia" w:hint="eastAsia"/>
        </w:rPr>
        <w:t>F为货币市场基金全部转出时注册登记机构已支付的未付收益</w:t>
      </w:r>
      <w:r w:rsidR="00D2333A" w:rsidRPr="0001503D">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4E27B3" w:rsidRPr="0001503D">
        <w:rPr>
          <w:rFonts w:asciiTheme="minorEastAsia" w:eastAsiaTheme="minorEastAsia" w:hAnsiTheme="minorEastAsia" w:hint="eastAsia"/>
        </w:rPr>
        <w:t>、易方达龙宝货币市场基金</w:t>
      </w:r>
      <w:r w:rsidR="002A6677" w:rsidRPr="0001503D">
        <w:rPr>
          <w:rFonts w:asciiTheme="minorEastAsia" w:eastAsiaTheme="minorEastAsia" w:hAnsiTheme="minorEastAsia" w:hint="eastAsia"/>
        </w:rPr>
        <w:t>、</w:t>
      </w:r>
      <w:r w:rsidR="004E27B3" w:rsidRPr="0001503D">
        <w:rPr>
          <w:rFonts w:asciiTheme="minorEastAsia" w:eastAsiaTheme="minorEastAsia" w:hAnsiTheme="minorEastAsia" w:hint="eastAsia"/>
        </w:rPr>
        <w:t>易方达增金宝货币市场基金</w:t>
      </w:r>
      <w:r w:rsidR="00467CAF" w:rsidRPr="0001503D">
        <w:rPr>
          <w:rFonts w:asciiTheme="minorEastAsia" w:eastAsiaTheme="minorEastAsia" w:hAnsiTheme="minorEastAsia" w:hint="eastAsia"/>
          <w:kern w:val="0"/>
        </w:rPr>
        <w:t>、</w:t>
      </w:r>
      <w:r w:rsidR="002A6677" w:rsidRPr="0001503D">
        <w:rPr>
          <w:rFonts w:asciiTheme="minorEastAsia" w:eastAsiaTheme="minorEastAsia" w:hAnsiTheme="minorEastAsia" w:hint="eastAsia"/>
          <w:kern w:val="0"/>
        </w:rPr>
        <w:t>易方达现金增利货币市场基金</w:t>
      </w:r>
      <w:r w:rsidR="00C86AF2" w:rsidRPr="0001503D">
        <w:rPr>
          <w:rFonts w:asciiTheme="minorEastAsia" w:eastAsiaTheme="minorEastAsia" w:hAnsiTheme="minorEastAsia" w:hint="eastAsia"/>
          <w:kern w:val="0"/>
        </w:rPr>
        <w:t>、</w:t>
      </w:r>
      <w:r w:rsidR="00467CAF" w:rsidRPr="0001503D">
        <w:rPr>
          <w:rFonts w:asciiTheme="minorEastAsia" w:eastAsiaTheme="minorEastAsia" w:hAnsiTheme="minorEastAsia" w:hint="eastAsia"/>
          <w:kern w:val="0"/>
        </w:rPr>
        <w:t>易方达天天发货币市场基金</w:t>
      </w:r>
      <w:r w:rsidR="00C86AF2" w:rsidRPr="0001503D">
        <w:rPr>
          <w:rFonts w:asciiTheme="minorEastAsia" w:eastAsiaTheme="minorEastAsia" w:hAnsiTheme="minorEastAsia" w:hint="eastAsia"/>
          <w:kern w:val="0"/>
        </w:rPr>
        <w:t>和易方达易理财货币市场基金</w:t>
      </w:r>
      <w:r w:rsidR="00D2333A" w:rsidRPr="0001503D">
        <w:rPr>
          <w:rFonts w:asciiTheme="minorEastAsia" w:eastAsiaTheme="minorEastAsia" w:hAnsiTheme="minorEastAsia" w:hint="eastAsia"/>
        </w:rPr>
        <w:t>）或者短期理财基金转出时对应的累计未付收益（</w:t>
      </w:r>
      <w:r w:rsidR="00722D97" w:rsidRPr="0001503D">
        <w:rPr>
          <w:rFonts w:asciiTheme="minorEastAsia" w:eastAsiaTheme="minorEastAsia" w:hAnsiTheme="minorEastAsia" w:hint="eastAsia"/>
        </w:rPr>
        <w:t>转出基金为易方达月月利理财债券型基金</w:t>
      </w:r>
      <w:r w:rsidR="00A05C13" w:rsidRPr="0001503D">
        <w:rPr>
          <w:rFonts w:asciiTheme="minorEastAsia" w:eastAsiaTheme="minorEastAsia" w:hAnsiTheme="minorEastAsia" w:hint="eastAsia"/>
        </w:rPr>
        <w:t>和</w:t>
      </w:r>
      <w:r w:rsidR="00722D97" w:rsidRPr="0001503D">
        <w:rPr>
          <w:rFonts w:asciiTheme="minorEastAsia" w:eastAsiaTheme="minorEastAsia" w:hAnsiTheme="minorEastAsia" w:hint="eastAsia"/>
        </w:rPr>
        <w:t>易方达掌柜季季盈理财债券型基金</w:t>
      </w:r>
      <w:r w:rsidR="00D2333A" w:rsidRPr="0001503D">
        <w:rPr>
          <w:rFonts w:asciiTheme="minorEastAsia" w:eastAsiaTheme="minorEastAsia" w:hAnsiTheme="minorEastAsia" w:hint="eastAsia"/>
        </w:rPr>
        <w:t>）</w:t>
      </w:r>
      <w:r w:rsidRPr="0001503D">
        <w:rPr>
          <w:rFonts w:asciiTheme="minorEastAsia" w:eastAsiaTheme="minorEastAsia" w:hAnsiTheme="minorEastAsia" w:cs="宋体" w:hint="eastAsia"/>
          <w:kern w:val="0"/>
          <w:szCs w:val="21"/>
        </w:rPr>
        <w:t>；H为</w:t>
      </w:r>
      <w:r w:rsidRPr="0001503D">
        <w:rPr>
          <w:rFonts w:asciiTheme="minorEastAsia" w:eastAsiaTheme="minorEastAsia" w:hAnsiTheme="minorEastAsia" w:hint="eastAsia"/>
        </w:rPr>
        <w:t>转出基金赎回费；J为申购补差费。</w:t>
      </w:r>
    </w:p>
    <w:p w:rsidR="00A05C13" w:rsidRPr="0001503D" w:rsidRDefault="00A05C13"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说明：</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1</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rPr>
        <w:t>基金转换费用由转出基金赎回费用及基金申购补差费用构成。</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rPr>
        <w:t>2</w:t>
      </w:r>
      <w:r w:rsidR="00137AE8" w:rsidRPr="0001503D">
        <w:rPr>
          <w:rFonts w:asciiTheme="minorEastAsia" w:eastAsiaTheme="minorEastAsia" w:hAnsiTheme="minorEastAsia" w:hint="eastAsia"/>
        </w:rPr>
        <w:t>、</w:t>
      </w:r>
      <w:r w:rsidRPr="0001503D">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01503D">
        <w:rPr>
          <w:rFonts w:asciiTheme="minorEastAsia" w:eastAsiaTheme="minorEastAsia" w:hAnsiTheme="minorEastAsia"/>
        </w:rPr>
        <w:t>,</w:t>
      </w:r>
      <w:r w:rsidRPr="0001503D">
        <w:rPr>
          <w:rFonts w:asciiTheme="minorEastAsia" w:eastAsiaTheme="minorEastAsia" w:hAnsiTheme="minorEastAsia" w:hint="eastAsia"/>
        </w:rPr>
        <w:t>不收取申购补差费用</w:t>
      </w:r>
      <w:r w:rsidR="00DC6680" w:rsidRPr="0001503D">
        <w:rPr>
          <w:rFonts w:asciiTheme="minorEastAsia" w:eastAsiaTheme="minorEastAsia" w:hAnsiTheme="minorEastAsia" w:hint="eastAsia"/>
        </w:rPr>
        <w:t>（注：对通过直销中心申购实施差别申购费率的特定投资群体基金份额的申购费，以除通过直销中心申购的特定投资群体之外的其他投资者申购费为比较标准）</w:t>
      </w:r>
      <w:r w:rsidRPr="0001503D">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2F5370" w:rsidRPr="0001503D" w:rsidRDefault="00137AE8"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3、</w:t>
      </w:r>
      <w:r w:rsidR="002F5370" w:rsidRPr="0001503D">
        <w:rPr>
          <w:rFonts w:asciiTheme="minorEastAsia" w:eastAsiaTheme="minorEastAsia" w:hAnsiTheme="minorEastAsia" w:hint="eastAsia"/>
        </w:rPr>
        <w:t>转出基金时，如涉及的转出基金有赎回费用，收取该基金的赎回费用。收取的赎回费</w:t>
      </w:r>
      <w:r w:rsidR="00181977" w:rsidRPr="0001503D">
        <w:rPr>
          <w:rFonts w:asciiTheme="minorEastAsia" w:eastAsiaTheme="minorEastAsia" w:hAnsiTheme="minorEastAsia" w:hint="eastAsia"/>
        </w:rPr>
        <w:t>按照</w:t>
      </w:r>
      <w:r w:rsidR="00467CAF" w:rsidRPr="0001503D">
        <w:rPr>
          <w:rFonts w:asciiTheme="minorEastAsia" w:eastAsiaTheme="minorEastAsia" w:hAnsiTheme="minorEastAsia" w:hint="eastAsia"/>
        </w:rPr>
        <w:t>各基金的</w:t>
      </w:r>
      <w:r w:rsidR="001179DB" w:rsidRPr="0001503D">
        <w:rPr>
          <w:rFonts w:asciiTheme="minorEastAsia" w:eastAsiaTheme="minorEastAsia" w:hAnsiTheme="minorEastAsia" w:hint="eastAsia"/>
        </w:rPr>
        <w:t>基金合同、更新的招募说明书</w:t>
      </w:r>
      <w:r w:rsidR="00181977" w:rsidRPr="0001503D">
        <w:rPr>
          <w:rFonts w:asciiTheme="minorEastAsia" w:eastAsiaTheme="minorEastAsia" w:hAnsiTheme="minorEastAsia" w:hint="eastAsia"/>
        </w:rPr>
        <w:t>及最新的相关公告约定的比例归入基金财产</w:t>
      </w:r>
      <w:r w:rsidR="002F5370" w:rsidRPr="0001503D">
        <w:rPr>
          <w:rFonts w:asciiTheme="minorEastAsia" w:eastAsiaTheme="minorEastAsia" w:hAnsiTheme="minorEastAsia" w:hint="eastAsia"/>
        </w:rPr>
        <w:t>，其余部分用于支付注册登记费等相关手续费。</w:t>
      </w:r>
    </w:p>
    <w:p w:rsidR="002F5370" w:rsidRPr="0001503D" w:rsidRDefault="00137AE8"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4、</w:t>
      </w:r>
      <w:r w:rsidR="002F5370" w:rsidRPr="0001503D">
        <w:rPr>
          <w:rFonts w:asciiTheme="minorEastAsia" w:eastAsiaTheme="minorEastAsia" w:hAnsiTheme="minorEastAsia" w:hint="eastAsia"/>
        </w:rPr>
        <w:t>投资者可以发起多次基金转换业务，基金转换费用按每笔申请单独计算。</w:t>
      </w:r>
      <w:r w:rsidR="002F5370" w:rsidRPr="0001503D">
        <w:rPr>
          <w:rFonts w:asciiTheme="minorEastAsia" w:eastAsiaTheme="minorEastAsia" w:hAnsiTheme="minorEastAsia" w:hint="eastAsia"/>
          <w:kern w:val="0"/>
          <w:szCs w:val="21"/>
        </w:rPr>
        <w:t>转换费用以人民币元为单位，计算结果按照四舍五入方法，保留小数点后两位。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举例说明</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假定某投资者在T日转出10,000份易方达消费行业股票型基金至</w:t>
      </w:r>
      <w:r w:rsidRPr="0001503D">
        <w:rPr>
          <w:rFonts w:asciiTheme="minorEastAsia" w:eastAsiaTheme="minorEastAsia" w:hAnsiTheme="minorEastAsia"/>
          <w:szCs w:val="21"/>
        </w:rPr>
        <w:t>易方达策略成长二号混合型基金</w:t>
      </w:r>
      <w:r w:rsidRPr="0001503D">
        <w:rPr>
          <w:rFonts w:asciiTheme="minorEastAsia" w:eastAsiaTheme="minorEastAsia" w:hAnsiTheme="minorEastAsia" w:hint="eastAsia"/>
          <w:szCs w:val="21"/>
        </w:rPr>
        <w:t>份额，转出基金T日的基金份额净值为1.100元，转入</w:t>
      </w:r>
      <w:r w:rsidRPr="0001503D">
        <w:rPr>
          <w:rFonts w:asciiTheme="minorEastAsia" w:eastAsiaTheme="minorEastAsia" w:hAnsiTheme="minorEastAsia"/>
          <w:szCs w:val="21"/>
        </w:rPr>
        <w:t>易方达策略成长二号混合型基金</w:t>
      </w:r>
      <w:r w:rsidRPr="0001503D">
        <w:rPr>
          <w:rFonts w:asciiTheme="minorEastAsia" w:eastAsiaTheme="minorEastAsia" w:hAnsiTheme="minorEastAsia" w:hint="eastAsia"/>
          <w:szCs w:val="21"/>
        </w:rPr>
        <w:t>T日的基金份额净值为1.020元，假设该转出基金的赎回费率为0.5%，申购补差费率为0.5%，则可获得转入基金的</w:t>
      </w:r>
      <w:r w:rsidRPr="0001503D">
        <w:rPr>
          <w:rFonts w:asciiTheme="minorEastAsia" w:eastAsiaTheme="minorEastAsia" w:hAnsiTheme="minorEastAsia"/>
          <w:szCs w:val="21"/>
        </w:rPr>
        <w:t>易方达策略成长二号混合型基金</w:t>
      </w:r>
      <w:r w:rsidRPr="0001503D">
        <w:rPr>
          <w:rFonts w:asciiTheme="minorEastAsia" w:eastAsiaTheme="minorEastAsia" w:hAnsiTheme="minorEastAsia" w:hint="eastAsia"/>
          <w:szCs w:val="21"/>
        </w:rPr>
        <w:t>基金份额计算如下：</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转换</w:t>
      </w:r>
      <w:r w:rsidRPr="0001503D">
        <w:rPr>
          <w:rFonts w:asciiTheme="minorEastAsia" w:eastAsiaTheme="minorEastAsia" w:hAnsiTheme="minorEastAsia"/>
          <w:szCs w:val="21"/>
        </w:rPr>
        <w:t>金额＝转出基金申请份额×转出基金份额净值=10</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000×1</w:t>
      </w:r>
      <w:r w:rsidRPr="0001503D">
        <w:rPr>
          <w:rFonts w:asciiTheme="minorEastAsia" w:eastAsiaTheme="minorEastAsia" w:hAnsiTheme="minorEastAsia" w:hint="eastAsia"/>
          <w:szCs w:val="21"/>
        </w:rPr>
        <w:t>.100</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000</w:t>
      </w:r>
      <w:r w:rsidRPr="0001503D">
        <w:rPr>
          <w:rFonts w:asciiTheme="minorEastAsia" w:eastAsiaTheme="minorEastAsia" w:hAnsiTheme="minorEastAsia" w:hint="eastAsia"/>
          <w:szCs w:val="21"/>
        </w:rPr>
        <w:t>.00</w:t>
      </w:r>
      <w:r w:rsidRPr="0001503D">
        <w:rPr>
          <w:rFonts w:asciiTheme="minorEastAsia" w:eastAsiaTheme="minorEastAsia" w:hAnsiTheme="minorEastAsia"/>
          <w:szCs w:val="21"/>
        </w:rPr>
        <w:t>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转出基金</w:t>
      </w:r>
      <w:r w:rsidRPr="0001503D">
        <w:rPr>
          <w:rFonts w:asciiTheme="minorEastAsia" w:eastAsiaTheme="minorEastAsia" w:hAnsiTheme="minorEastAsia"/>
          <w:szCs w:val="21"/>
        </w:rPr>
        <w:t>赎回费＝</w:t>
      </w:r>
      <w:r w:rsidRPr="0001503D">
        <w:rPr>
          <w:rFonts w:asciiTheme="minorEastAsia" w:eastAsiaTheme="minorEastAsia" w:hAnsiTheme="minorEastAsia" w:hint="eastAsia"/>
          <w:szCs w:val="21"/>
        </w:rPr>
        <w:t>转换</w:t>
      </w:r>
      <w:r w:rsidRPr="0001503D">
        <w:rPr>
          <w:rFonts w:asciiTheme="minorEastAsia" w:eastAsiaTheme="minorEastAsia" w:hAnsiTheme="minorEastAsia"/>
          <w:szCs w:val="21"/>
        </w:rPr>
        <w:t>金额×</w:t>
      </w:r>
      <w:r w:rsidRPr="0001503D">
        <w:rPr>
          <w:rFonts w:asciiTheme="minorEastAsia" w:eastAsiaTheme="minorEastAsia" w:hAnsiTheme="minorEastAsia" w:hint="eastAsia"/>
          <w:szCs w:val="21"/>
        </w:rPr>
        <w:t>转出基金</w:t>
      </w:r>
      <w:r w:rsidRPr="0001503D">
        <w:rPr>
          <w:rFonts w:asciiTheme="minorEastAsia" w:eastAsiaTheme="minorEastAsia" w:hAnsiTheme="minorEastAsia"/>
          <w:szCs w:val="21"/>
        </w:rPr>
        <w:t>赎回费率</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000</w:t>
      </w:r>
      <w:r w:rsidRPr="0001503D">
        <w:rPr>
          <w:rFonts w:asciiTheme="minorEastAsia" w:eastAsiaTheme="minorEastAsia" w:hAnsiTheme="minorEastAsia" w:hint="eastAsia"/>
          <w:szCs w:val="21"/>
        </w:rPr>
        <w:t>.00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0.5%=55.00元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申购</w:t>
      </w:r>
      <w:r w:rsidRPr="0001503D">
        <w:rPr>
          <w:rFonts w:asciiTheme="minorEastAsia" w:eastAsiaTheme="minorEastAsia" w:hAnsiTheme="minorEastAsia"/>
          <w:szCs w:val="21"/>
        </w:rPr>
        <w:t>补差费</w:t>
      </w:r>
      <w:r w:rsidRPr="0001503D">
        <w:rPr>
          <w:rFonts w:asciiTheme="minorEastAsia" w:eastAsiaTheme="minorEastAsia" w:hAnsiTheme="minorEastAsia" w:hint="eastAsia"/>
          <w:szCs w:val="21"/>
        </w:rPr>
        <w:t>=（转换</w:t>
      </w:r>
      <w:r w:rsidRPr="0001503D">
        <w:rPr>
          <w:rFonts w:asciiTheme="minorEastAsia" w:eastAsiaTheme="minorEastAsia" w:hAnsiTheme="minorEastAsia"/>
          <w:szCs w:val="21"/>
        </w:rPr>
        <w:t>金额</w:t>
      </w:r>
      <w:r w:rsidRPr="0001503D">
        <w:rPr>
          <w:rFonts w:asciiTheme="minorEastAsia" w:eastAsiaTheme="minorEastAsia" w:hAnsiTheme="minorEastAsia" w:hint="eastAsia"/>
          <w:szCs w:val="21"/>
        </w:rPr>
        <w:t>—转出基金</w:t>
      </w:r>
      <w:r w:rsidRPr="0001503D">
        <w:rPr>
          <w:rFonts w:asciiTheme="minorEastAsia" w:eastAsiaTheme="minorEastAsia" w:hAnsiTheme="minorEastAsia"/>
          <w:szCs w:val="21"/>
        </w:rPr>
        <w:t>赎回费</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申购</w:t>
      </w:r>
      <w:r w:rsidRPr="0001503D">
        <w:rPr>
          <w:rFonts w:asciiTheme="minorEastAsia" w:eastAsiaTheme="minorEastAsia" w:hAnsiTheme="minorEastAsia"/>
          <w:szCs w:val="21"/>
        </w:rPr>
        <w:t>补差费率÷（１＋</w:t>
      </w:r>
      <w:r w:rsidRPr="0001503D">
        <w:rPr>
          <w:rFonts w:asciiTheme="minorEastAsia" w:eastAsiaTheme="minorEastAsia" w:hAnsiTheme="minorEastAsia" w:hint="eastAsia"/>
          <w:szCs w:val="21"/>
        </w:rPr>
        <w:t>申购</w:t>
      </w:r>
      <w:r w:rsidRPr="0001503D">
        <w:rPr>
          <w:rFonts w:asciiTheme="minorEastAsia" w:eastAsiaTheme="minorEastAsia" w:hAnsiTheme="minorEastAsia"/>
          <w:szCs w:val="21"/>
        </w:rPr>
        <w:t>补差费率）</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000</w:t>
      </w:r>
      <w:r w:rsidRPr="0001503D">
        <w:rPr>
          <w:rFonts w:asciiTheme="minorEastAsia" w:eastAsiaTheme="minorEastAsia" w:hAnsiTheme="minorEastAsia" w:hint="eastAsia"/>
          <w:szCs w:val="21"/>
        </w:rPr>
        <w:t>.00-55.00）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0.5%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(1+0.5%)=54.45元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转换费＝转出基金赎回费+申购补差费=</w:t>
      </w:r>
      <w:r w:rsidRPr="0001503D">
        <w:rPr>
          <w:rFonts w:asciiTheme="minorEastAsia" w:eastAsiaTheme="minorEastAsia" w:hAnsiTheme="minorEastAsia" w:hint="eastAsia"/>
          <w:szCs w:val="21"/>
        </w:rPr>
        <w:t>55.00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54.45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109.45元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转入金额=转换</w:t>
      </w:r>
      <w:r w:rsidRPr="0001503D">
        <w:rPr>
          <w:rFonts w:asciiTheme="minorEastAsia" w:eastAsiaTheme="minorEastAsia" w:hAnsiTheme="minorEastAsia"/>
          <w:szCs w:val="21"/>
        </w:rPr>
        <w:t>金额</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转换费</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000</w:t>
      </w:r>
      <w:r w:rsidRPr="0001503D">
        <w:rPr>
          <w:rFonts w:asciiTheme="minorEastAsia" w:eastAsiaTheme="minorEastAsia" w:hAnsiTheme="minorEastAsia" w:hint="eastAsia"/>
          <w:szCs w:val="21"/>
        </w:rPr>
        <w:t>.00-109.45=10,890.55元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转入份额=转入金额</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转入基金份额净值=10,890.55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1.020=10,677.01份</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1276"/>
        <w:gridCol w:w="1134"/>
        <w:gridCol w:w="992"/>
        <w:gridCol w:w="1276"/>
        <w:gridCol w:w="992"/>
        <w:gridCol w:w="1276"/>
      </w:tblGrid>
      <w:tr w:rsidR="0001503D" w:rsidRPr="0001503D" w:rsidTr="0090714F">
        <w:trPr>
          <w:trHeight w:val="413"/>
        </w:trPr>
        <w:tc>
          <w:tcPr>
            <w:tcW w:w="851"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转出</w:t>
            </w:r>
            <w:r w:rsidRPr="0001503D">
              <w:rPr>
                <w:rFonts w:asciiTheme="minorEastAsia" w:eastAsiaTheme="minorEastAsia" w:hAnsiTheme="minorEastAsia"/>
                <w:szCs w:val="21"/>
              </w:rPr>
              <w:t>份额</w:t>
            </w:r>
          </w:p>
        </w:tc>
        <w:tc>
          <w:tcPr>
            <w:tcW w:w="992"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转出</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份额</w:t>
            </w:r>
            <w:r w:rsidRPr="0001503D">
              <w:rPr>
                <w:rFonts w:asciiTheme="minorEastAsia" w:eastAsiaTheme="minorEastAsia" w:hAnsiTheme="minorEastAsia"/>
                <w:szCs w:val="21"/>
              </w:rPr>
              <w:t>净值</w:t>
            </w:r>
          </w:p>
        </w:tc>
        <w:tc>
          <w:tcPr>
            <w:tcW w:w="1276"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转换金额</w:t>
            </w:r>
          </w:p>
        </w:tc>
        <w:tc>
          <w:tcPr>
            <w:tcW w:w="2126" w:type="dxa"/>
            <w:gridSpan w:val="2"/>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转换费</w:t>
            </w:r>
          </w:p>
        </w:tc>
        <w:tc>
          <w:tcPr>
            <w:tcW w:w="1276"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转入金额</w:t>
            </w:r>
          </w:p>
        </w:tc>
        <w:tc>
          <w:tcPr>
            <w:tcW w:w="992"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转入</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份额</w:t>
            </w:r>
            <w:r w:rsidRPr="0001503D">
              <w:rPr>
                <w:rFonts w:asciiTheme="minorEastAsia" w:eastAsiaTheme="minorEastAsia" w:hAnsiTheme="minorEastAsia"/>
                <w:szCs w:val="21"/>
              </w:rPr>
              <w:t>净值</w:t>
            </w:r>
          </w:p>
        </w:tc>
        <w:tc>
          <w:tcPr>
            <w:tcW w:w="1276" w:type="dxa"/>
            <w:vMerge w:val="restart"/>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转入份额</w:t>
            </w:r>
          </w:p>
        </w:tc>
      </w:tr>
      <w:tr w:rsidR="0001503D" w:rsidRPr="0001503D" w:rsidTr="0090714F">
        <w:trPr>
          <w:trHeight w:val="412"/>
        </w:trPr>
        <w:tc>
          <w:tcPr>
            <w:tcW w:w="851" w:type="dxa"/>
            <w:vMerge/>
          </w:tcPr>
          <w:p w:rsidR="002F5370" w:rsidRPr="0001503D"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01503D"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01503D" w:rsidRDefault="002F5370" w:rsidP="000B57E8">
            <w:pPr>
              <w:snapToGrid w:val="0"/>
              <w:spacing w:line="360" w:lineRule="auto"/>
              <w:rPr>
                <w:rFonts w:asciiTheme="minorEastAsia" w:eastAsiaTheme="minorEastAsia" w:hAnsiTheme="minorEastAsia"/>
                <w:szCs w:val="21"/>
              </w:rPr>
            </w:pPr>
          </w:p>
        </w:tc>
        <w:tc>
          <w:tcPr>
            <w:tcW w:w="1134"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转出基金</w:t>
            </w:r>
            <w:r w:rsidRPr="0001503D">
              <w:rPr>
                <w:rFonts w:asciiTheme="minorEastAsia" w:eastAsiaTheme="minorEastAsia" w:hAnsiTheme="minorEastAsia"/>
                <w:szCs w:val="21"/>
              </w:rPr>
              <w:t>赎回费</w:t>
            </w:r>
          </w:p>
        </w:tc>
        <w:tc>
          <w:tcPr>
            <w:tcW w:w="992"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申购</w:t>
            </w:r>
            <w:r w:rsidRPr="0001503D">
              <w:rPr>
                <w:rFonts w:asciiTheme="minorEastAsia" w:eastAsiaTheme="minorEastAsia" w:hAnsiTheme="minorEastAsia"/>
                <w:szCs w:val="21"/>
              </w:rPr>
              <w:t>补差费</w:t>
            </w:r>
          </w:p>
        </w:tc>
        <w:tc>
          <w:tcPr>
            <w:tcW w:w="1276" w:type="dxa"/>
            <w:vMerge/>
          </w:tcPr>
          <w:p w:rsidR="002F5370" w:rsidRPr="0001503D"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01503D"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01503D" w:rsidRDefault="002F5370" w:rsidP="000B57E8">
            <w:pPr>
              <w:snapToGrid w:val="0"/>
              <w:spacing w:line="360" w:lineRule="auto"/>
              <w:rPr>
                <w:rFonts w:asciiTheme="minorEastAsia" w:eastAsiaTheme="minorEastAsia" w:hAnsiTheme="minorEastAsia"/>
                <w:szCs w:val="21"/>
              </w:rPr>
            </w:pPr>
          </w:p>
        </w:tc>
      </w:tr>
      <w:tr w:rsidR="0001503D" w:rsidRPr="0001503D" w:rsidTr="0090714F">
        <w:tc>
          <w:tcPr>
            <w:tcW w:w="851"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10,000</w:t>
            </w:r>
            <w:r w:rsidRPr="0001503D">
              <w:rPr>
                <w:rFonts w:asciiTheme="minorEastAsia" w:eastAsiaTheme="minorEastAsia" w:hAnsiTheme="minorEastAsia" w:hint="eastAsia"/>
                <w:szCs w:val="21"/>
              </w:rPr>
              <w:t>份</w:t>
            </w:r>
          </w:p>
        </w:tc>
        <w:tc>
          <w:tcPr>
            <w:tcW w:w="992"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0</w:t>
            </w:r>
            <w:r w:rsidRPr="0001503D">
              <w:rPr>
                <w:rFonts w:asciiTheme="minorEastAsia" w:eastAsiaTheme="minorEastAsia" w:hAnsiTheme="minorEastAsia" w:hint="eastAsia"/>
                <w:szCs w:val="21"/>
              </w:rPr>
              <w:t>0</w:t>
            </w:r>
            <w:r w:rsidRPr="0001503D">
              <w:rPr>
                <w:rFonts w:asciiTheme="minorEastAsia" w:eastAsiaTheme="minorEastAsia" w:hAnsiTheme="minorEastAsia"/>
                <w:szCs w:val="21"/>
              </w:rPr>
              <w:t>元</w:t>
            </w:r>
          </w:p>
        </w:tc>
        <w:tc>
          <w:tcPr>
            <w:tcW w:w="1276"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11,000.00元</w:t>
            </w:r>
          </w:p>
        </w:tc>
        <w:tc>
          <w:tcPr>
            <w:tcW w:w="1134"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55.00元</w:t>
            </w:r>
          </w:p>
        </w:tc>
        <w:tc>
          <w:tcPr>
            <w:tcW w:w="992"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54.45元</w:t>
            </w:r>
          </w:p>
        </w:tc>
        <w:tc>
          <w:tcPr>
            <w:tcW w:w="1276"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10,890.55元</w:t>
            </w:r>
          </w:p>
        </w:tc>
        <w:tc>
          <w:tcPr>
            <w:tcW w:w="992"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1.020元</w:t>
            </w:r>
          </w:p>
        </w:tc>
        <w:tc>
          <w:tcPr>
            <w:tcW w:w="1276" w:type="dxa"/>
          </w:tcPr>
          <w:p w:rsidR="002F5370" w:rsidRPr="0001503D" w:rsidRDefault="002F5370" w:rsidP="000B57E8">
            <w:pPr>
              <w:snapToGrid w:val="0"/>
              <w:spacing w:line="360" w:lineRule="auto"/>
              <w:rPr>
                <w:rFonts w:asciiTheme="minorEastAsia" w:eastAsiaTheme="minorEastAsia" w:hAnsiTheme="minorEastAsia"/>
                <w:szCs w:val="21"/>
              </w:rPr>
            </w:pPr>
            <w:r w:rsidRPr="0001503D">
              <w:rPr>
                <w:rFonts w:asciiTheme="minorEastAsia" w:eastAsiaTheme="minorEastAsia" w:hAnsiTheme="minorEastAsia" w:hint="eastAsia"/>
                <w:szCs w:val="21"/>
              </w:rPr>
              <w:t>10,677.01份</w:t>
            </w:r>
          </w:p>
        </w:tc>
      </w:tr>
    </w:tbl>
    <w:p w:rsidR="008E79F6" w:rsidRPr="0001503D" w:rsidRDefault="008E79F6" w:rsidP="008E79F6">
      <w:pPr>
        <w:adjustRightInd w:val="0"/>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注：本基金转出至易方达平稳增长混合、易方达策略成长混合、易方达上证</w:t>
      </w:r>
      <w:r w:rsidRPr="0001503D">
        <w:rPr>
          <w:rFonts w:asciiTheme="minorEastAsia" w:eastAsiaTheme="minorEastAsia" w:hAnsiTheme="minorEastAsia"/>
        </w:rPr>
        <w:t>50</w:t>
      </w:r>
      <w:r w:rsidRPr="0001503D">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01503D">
        <w:rPr>
          <w:rFonts w:asciiTheme="minorEastAsia" w:eastAsiaTheme="minorEastAsia" w:hAnsiTheme="minorEastAsia"/>
        </w:rPr>
        <w:t>1</w:t>
      </w:r>
      <w:r w:rsidRPr="0001503D">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01503D">
        <w:rPr>
          <w:rFonts w:asciiTheme="minorEastAsia" w:eastAsiaTheme="minorEastAsia" w:hAnsiTheme="minorEastAsia"/>
        </w:rPr>
        <w:t>1</w:t>
      </w:r>
      <w:r w:rsidRPr="0001503D">
        <w:rPr>
          <w:rFonts w:asciiTheme="minorEastAsia" w:eastAsiaTheme="minorEastAsia" w:hAnsiTheme="minorEastAsia" w:hint="eastAsia"/>
        </w:rPr>
        <w:t>年定期债券、易方达黄金</w:t>
      </w:r>
      <w:r w:rsidRPr="0001503D">
        <w:rPr>
          <w:rFonts w:asciiTheme="minorEastAsia" w:eastAsiaTheme="minorEastAsia" w:hAnsiTheme="minorEastAsia"/>
        </w:rPr>
        <w:t>ETF</w:t>
      </w:r>
      <w:r w:rsidRPr="0001503D">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01503D">
        <w:rPr>
          <w:rFonts w:asciiTheme="minorEastAsia" w:eastAsiaTheme="minorEastAsia" w:hAnsiTheme="minorEastAsia"/>
        </w:rPr>
        <w:t>300</w:t>
      </w:r>
      <w:r w:rsidRPr="0001503D">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01503D">
        <w:rPr>
          <w:rFonts w:asciiTheme="minorEastAsia" w:eastAsiaTheme="minorEastAsia" w:hAnsiTheme="minorEastAsia"/>
        </w:rPr>
        <w:t>300</w:t>
      </w:r>
      <w:r w:rsidRPr="0001503D">
        <w:rPr>
          <w:rFonts w:asciiTheme="minorEastAsia" w:eastAsiaTheme="minorEastAsia" w:hAnsiTheme="minorEastAsia" w:hint="eastAsia"/>
        </w:rPr>
        <w:t>医药</w:t>
      </w:r>
      <w:r w:rsidRPr="0001503D">
        <w:rPr>
          <w:rFonts w:asciiTheme="minorEastAsia" w:eastAsiaTheme="minorEastAsia" w:hAnsiTheme="minorEastAsia"/>
        </w:rPr>
        <w:t>ETF</w:t>
      </w:r>
      <w:r w:rsidRPr="0001503D">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01503D">
        <w:rPr>
          <w:rFonts w:asciiTheme="minorEastAsia" w:eastAsiaTheme="minorEastAsia" w:hAnsiTheme="minorEastAsia"/>
        </w:rPr>
        <w:t>3-5</w:t>
      </w:r>
      <w:r w:rsidRPr="0001503D">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01503D">
        <w:rPr>
          <w:rFonts w:asciiTheme="minorEastAsia" w:eastAsiaTheme="minorEastAsia" w:hAnsiTheme="minorEastAsia"/>
        </w:rPr>
        <w:t>6</w:t>
      </w:r>
      <w:r w:rsidRPr="0001503D">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01503D">
        <w:rPr>
          <w:rFonts w:asciiTheme="minorEastAsia" w:eastAsiaTheme="minorEastAsia" w:hAnsiTheme="minorEastAsia"/>
        </w:rPr>
        <w:t>7-10</w:t>
      </w:r>
      <w:r w:rsidRPr="0001503D">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w:t>
      </w:r>
      <w:r w:rsidRPr="0001503D">
        <w:rPr>
          <w:rFonts w:asciiTheme="minorEastAsia" w:eastAsiaTheme="minorEastAsia" w:hAnsiTheme="minorEastAsia" w:hint="eastAsia"/>
        </w:rPr>
        <w:lastRenderedPageBreak/>
        <w:t>合、易方达安悦超短债债券、易方达</w:t>
      </w:r>
      <w:r w:rsidRPr="0001503D">
        <w:rPr>
          <w:rFonts w:asciiTheme="minorEastAsia" w:eastAsiaTheme="minorEastAsia" w:hAnsiTheme="minorEastAsia"/>
        </w:rPr>
        <w:t>MSCI</w:t>
      </w:r>
      <w:r w:rsidRPr="0001503D">
        <w:rPr>
          <w:rFonts w:asciiTheme="minorEastAsia" w:eastAsiaTheme="minorEastAsia" w:hAnsiTheme="minorEastAsia" w:hint="eastAsia"/>
        </w:rPr>
        <w:t>中国</w:t>
      </w:r>
      <w:r w:rsidRPr="0001503D">
        <w:rPr>
          <w:rFonts w:asciiTheme="minorEastAsia" w:eastAsiaTheme="minorEastAsia" w:hAnsiTheme="minorEastAsia"/>
        </w:rPr>
        <w:t>A</w:t>
      </w:r>
      <w:r w:rsidRPr="0001503D">
        <w:rPr>
          <w:rFonts w:asciiTheme="minorEastAsia" w:eastAsiaTheme="minorEastAsia" w:hAnsiTheme="minorEastAsia" w:hint="eastAsia"/>
        </w:rPr>
        <w:t>股国际通</w:t>
      </w:r>
      <w:r w:rsidRPr="0001503D">
        <w:rPr>
          <w:rFonts w:asciiTheme="minorEastAsia" w:eastAsiaTheme="minorEastAsia" w:hAnsiTheme="minorEastAsia"/>
        </w:rPr>
        <w:t>ETF</w:t>
      </w:r>
      <w:r w:rsidRPr="0001503D">
        <w:rPr>
          <w:rFonts w:asciiTheme="minorEastAsia" w:eastAsiaTheme="minorEastAsia" w:hAnsiTheme="minorEastAsia" w:hint="eastAsia"/>
        </w:rPr>
        <w:t>联接发起式、易方达中证</w:t>
      </w:r>
      <w:r w:rsidRPr="0001503D">
        <w:rPr>
          <w:rFonts w:asciiTheme="minorEastAsia" w:eastAsiaTheme="minorEastAsia" w:hAnsiTheme="minorEastAsia"/>
        </w:rPr>
        <w:t>500ETF</w:t>
      </w:r>
      <w:r w:rsidRPr="0001503D">
        <w:rPr>
          <w:rFonts w:asciiTheme="minorEastAsia" w:eastAsiaTheme="minorEastAsia" w:hAnsiTheme="minorEastAsia" w:hint="eastAsia"/>
        </w:rPr>
        <w:t>联接发起式、易方达恒利</w:t>
      </w:r>
      <w:r w:rsidRPr="0001503D">
        <w:rPr>
          <w:rFonts w:asciiTheme="minorEastAsia" w:eastAsiaTheme="minorEastAsia" w:hAnsiTheme="minorEastAsia"/>
        </w:rPr>
        <w:t>3</w:t>
      </w:r>
      <w:r w:rsidRPr="0001503D">
        <w:rPr>
          <w:rFonts w:asciiTheme="minorEastAsia" w:eastAsiaTheme="minorEastAsia" w:hAnsiTheme="minorEastAsia" w:hint="eastAsia"/>
        </w:rPr>
        <w:t>个月定开债券发起式、易方达中债</w:t>
      </w:r>
      <w:r w:rsidRPr="0001503D">
        <w:rPr>
          <w:rFonts w:asciiTheme="minorEastAsia" w:eastAsiaTheme="minorEastAsia" w:hAnsiTheme="minorEastAsia"/>
        </w:rPr>
        <w:t>1-3</w:t>
      </w:r>
      <w:r w:rsidRPr="0001503D">
        <w:rPr>
          <w:rFonts w:asciiTheme="minorEastAsia" w:eastAsiaTheme="minorEastAsia" w:hAnsiTheme="minorEastAsia" w:hint="eastAsia"/>
        </w:rPr>
        <w:t>年国开行债券指数、易方达中债</w:t>
      </w:r>
      <w:r w:rsidRPr="0001503D">
        <w:rPr>
          <w:rFonts w:asciiTheme="minorEastAsia" w:eastAsiaTheme="minorEastAsia" w:hAnsiTheme="minorEastAsia"/>
        </w:rPr>
        <w:t>3-5</w:t>
      </w:r>
      <w:r w:rsidRPr="0001503D">
        <w:rPr>
          <w:rFonts w:asciiTheme="minorEastAsia" w:eastAsiaTheme="minorEastAsia" w:hAnsiTheme="minorEastAsia" w:hint="eastAsia"/>
        </w:rPr>
        <w:t>年国开行债券指数、易方达中债</w:t>
      </w:r>
      <w:r w:rsidRPr="0001503D">
        <w:rPr>
          <w:rFonts w:asciiTheme="minorEastAsia" w:eastAsiaTheme="minorEastAsia" w:hAnsiTheme="minorEastAsia"/>
        </w:rPr>
        <w:t>1-3</w:t>
      </w:r>
      <w:r w:rsidRPr="0001503D">
        <w:rPr>
          <w:rFonts w:asciiTheme="minorEastAsia" w:eastAsiaTheme="minorEastAsia" w:hAnsiTheme="minorEastAsia" w:hint="eastAsia"/>
        </w:rPr>
        <w:t>年政金债指数、易方达中债</w:t>
      </w:r>
      <w:r w:rsidRPr="0001503D">
        <w:rPr>
          <w:rFonts w:asciiTheme="minorEastAsia" w:eastAsiaTheme="minorEastAsia" w:hAnsiTheme="minorEastAsia"/>
        </w:rPr>
        <w:t>3-5</w:t>
      </w:r>
      <w:r w:rsidRPr="0001503D">
        <w:rPr>
          <w:rFonts w:asciiTheme="minorEastAsia" w:eastAsiaTheme="minorEastAsia" w:hAnsiTheme="minorEastAsia" w:hint="eastAsia"/>
        </w:rPr>
        <w:t>年政金债指数、易方达上证</w:t>
      </w:r>
      <w:r w:rsidRPr="0001503D">
        <w:rPr>
          <w:rFonts w:asciiTheme="minorEastAsia" w:eastAsiaTheme="minorEastAsia" w:hAnsiTheme="minorEastAsia"/>
        </w:rPr>
        <w:t>50ETF</w:t>
      </w:r>
      <w:r w:rsidRPr="0001503D">
        <w:rPr>
          <w:rFonts w:asciiTheme="minorEastAsia" w:eastAsiaTheme="minorEastAsia" w:hAnsiTheme="minorEastAsia" w:hint="eastAsia"/>
        </w:rPr>
        <w:t>联接发起式、易方达恒兴</w:t>
      </w:r>
      <w:r w:rsidRPr="0001503D">
        <w:rPr>
          <w:rFonts w:asciiTheme="minorEastAsia" w:eastAsiaTheme="minorEastAsia" w:hAnsiTheme="minorEastAsia"/>
        </w:rPr>
        <w:t>3</w:t>
      </w:r>
      <w:r w:rsidRPr="0001503D">
        <w:rPr>
          <w:rFonts w:asciiTheme="minorEastAsia" w:eastAsiaTheme="minorEastAsia" w:hAnsiTheme="minorEastAsia" w:hint="eastAsia"/>
        </w:rPr>
        <w:t>个月定开债券发起式、易方达</w:t>
      </w:r>
      <w:r w:rsidRPr="0001503D">
        <w:rPr>
          <w:rFonts w:asciiTheme="minorEastAsia" w:eastAsiaTheme="minorEastAsia" w:hAnsiTheme="minorEastAsia"/>
        </w:rPr>
        <w:t>ESG</w:t>
      </w:r>
      <w:r w:rsidRPr="0001503D">
        <w:rPr>
          <w:rFonts w:asciiTheme="minorEastAsia" w:eastAsiaTheme="minorEastAsia" w:hAnsiTheme="minorEastAsia" w:hint="eastAsia"/>
        </w:rPr>
        <w:t>责任投资股票发起式、易方达中证国企一带一路</w:t>
      </w:r>
      <w:r w:rsidRPr="0001503D">
        <w:rPr>
          <w:rFonts w:asciiTheme="minorEastAsia" w:eastAsiaTheme="minorEastAsia" w:hAnsiTheme="minorEastAsia"/>
        </w:rPr>
        <w:t>ETF</w:t>
      </w:r>
      <w:r w:rsidRPr="0001503D">
        <w:rPr>
          <w:rFonts w:asciiTheme="minorEastAsia" w:eastAsiaTheme="minorEastAsia" w:hAnsiTheme="minorEastAsia" w:hint="eastAsia"/>
        </w:rPr>
        <w:t>联接、易方达中证</w:t>
      </w:r>
      <w:r w:rsidRPr="0001503D">
        <w:rPr>
          <w:rFonts w:asciiTheme="minorEastAsia" w:eastAsiaTheme="minorEastAsia" w:hAnsiTheme="minorEastAsia"/>
        </w:rPr>
        <w:t>800ETF</w:t>
      </w:r>
      <w:r w:rsidRPr="0001503D">
        <w:rPr>
          <w:rFonts w:asciiTheme="minorEastAsia" w:eastAsiaTheme="minorEastAsia" w:hAnsiTheme="minorEastAsia" w:hint="eastAsia"/>
        </w:rPr>
        <w:t>联接发起式、易方达恒盛</w:t>
      </w:r>
      <w:r w:rsidRPr="0001503D">
        <w:rPr>
          <w:rFonts w:asciiTheme="minorEastAsia" w:eastAsiaTheme="minorEastAsia" w:hAnsiTheme="minorEastAsia"/>
        </w:rPr>
        <w:t>3</w:t>
      </w:r>
      <w:r w:rsidRPr="0001503D">
        <w:rPr>
          <w:rFonts w:asciiTheme="minorEastAsia" w:eastAsiaTheme="minorEastAsia" w:hAnsiTheme="minorEastAsia" w:hint="eastAsia"/>
        </w:rPr>
        <w:t>个月定开混合发起式、易方达研究精选股票、易方达裕富债券、易方达高端制造混合发起式、易方达消费精选股票、</w:t>
      </w:r>
      <w:r w:rsidR="00C86AF2" w:rsidRPr="0001503D">
        <w:rPr>
          <w:rFonts w:asciiTheme="minorEastAsia" w:eastAsiaTheme="minorEastAsia" w:hAnsiTheme="minorEastAsia" w:hint="eastAsia"/>
        </w:rPr>
        <w:t>易方达金融行业股票发起式、易方达年年恒夏纯债一年定开债券发起式、</w:t>
      </w:r>
      <w:r w:rsidRPr="0001503D">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01503D">
        <w:rPr>
          <w:rFonts w:asciiTheme="minorEastAsia" w:eastAsiaTheme="minorEastAsia" w:hAnsiTheme="minorEastAsia"/>
        </w:rPr>
        <w:t>100ETF</w:t>
      </w:r>
      <w:r w:rsidRPr="0001503D">
        <w:rPr>
          <w:rFonts w:asciiTheme="minorEastAsia" w:eastAsiaTheme="minorEastAsia" w:hAnsiTheme="minorEastAsia" w:hint="eastAsia"/>
        </w:rPr>
        <w:t>联接、易方达沪深</w:t>
      </w:r>
      <w:r w:rsidRPr="0001503D">
        <w:rPr>
          <w:rFonts w:asciiTheme="minorEastAsia" w:eastAsiaTheme="minorEastAsia" w:hAnsiTheme="minorEastAsia"/>
        </w:rPr>
        <w:t>300ETF</w:t>
      </w:r>
      <w:r w:rsidRPr="0001503D">
        <w:rPr>
          <w:rFonts w:asciiTheme="minorEastAsia" w:eastAsiaTheme="minorEastAsia" w:hAnsiTheme="minorEastAsia" w:hint="eastAsia"/>
        </w:rPr>
        <w:t>发起式联接、易方达上证中盘</w:t>
      </w:r>
      <w:r w:rsidRPr="0001503D">
        <w:rPr>
          <w:rFonts w:asciiTheme="minorEastAsia" w:eastAsiaTheme="minorEastAsia" w:hAnsiTheme="minorEastAsia"/>
        </w:rPr>
        <w:t>ETF</w:t>
      </w:r>
      <w:r w:rsidRPr="0001503D">
        <w:rPr>
          <w:rFonts w:asciiTheme="minorEastAsia" w:eastAsiaTheme="minorEastAsia" w:hAnsiTheme="minorEastAsia" w:hint="eastAsia"/>
        </w:rPr>
        <w:t>联接、易方达医疗保健行业混合、易方达资源行业混合、易方达创业板</w:t>
      </w:r>
      <w:r w:rsidRPr="0001503D">
        <w:rPr>
          <w:rFonts w:asciiTheme="minorEastAsia" w:eastAsiaTheme="minorEastAsia" w:hAnsiTheme="minorEastAsia"/>
        </w:rPr>
        <w:t>ETF</w:t>
      </w:r>
      <w:r w:rsidRPr="0001503D">
        <w:rPr>
          <w:rFonts w:asciiTheme="minorEastAsia" w:eastAsiaTheme="minorEastAsia" w:hAnsiTheme="minorEastAsia" w:hint="eastAsia"/>
        </w:rPr>
        <w:t>联接、易方达安心回报债券、易方达科讯混合、易方达沪深</w:t>
      </w:r>
      <w:r w:rsidRPr="0001503D">
        <w:rPr>
          <w:rFonts w:asciiTheme="minorEastAsia" w:eastAsiaTheme="minorEastAsia" w:hAnsiTheme="minorEastAsia"/>
        </w:rPr>
        <w:t>300</w:t>
      </w:r>
      <w:r w:rsidRPr="0001503D">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6" w:name="_Toc198959622"/>
      <w:bookmarkStart w:id="107" w:name="_Toc229996713"/>
      <w:bookmarkStart w:id="108" w:name="_Toc245693559"/>
      <w:bookmarkStart w:id="109" w:name="_Toc258398107"/>
      <w:bookmarkStart w:id="110" w:name="_Toc264906014"/>
      <w:bookmarkStart w:id="111" w:name="_Toc28803554"/>
      <w:r w:rsidRPr="0001503D">
        <w:rPr>
          <w:rFonts w:asciiTheme="minorEastAsia" w:eastAsiaTheme="minorEastAsia" w:hAnsiTheme="minorEastAsia" w:hint="eastAsia"/>
          <w:b w:val="0"/>
        </w:rPr>
        <w:t>（七）基金转换的注册登记</w:t>
      </w:r>
      <w:bookmarkEnd w:id="106"/>
      <w:bookmarkEnd w:id="107"/>
      <w:bookmarkEnd w:id="108"/>
      <w:bookmarkEnd w:id="109"/>
      <w:bookmarkEnd w:id="110"/>
      <w:bookmarkEnd w:id="11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基金管理人可在法律法规允许的范围内，对上述注册登记办理时间进行调整，并应在调整生效前在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上予以公告。</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2" w:name="_Toc198959623"/>
      <w:bookmarkStart w:id="113" w:name="_Toc229996714"/>
      <w:bookmarkStart w:id="114" w:name="_Toc245693560"/>
      <w:bookmarkStart w:id="115" w:name="_Toc258398108"/>
      <w:bookmarkStart w:id="116" w:name="_Toc264906015"/>
      <w:bookmarkStart w:id="117" w:name="_Toc28803555"/>
      <w:r w:rsidRPr="0001503D">
        <w:rPr>
          <w:rFonts w:asciiTheme="minorEastAsia" w:eastAsiaTheme="minorEastAsia" w:hAnsiTheme="minorEastAsia" w:hint="eastAsia"/>
          <w:b w:val="0"/>
        </w:rPr>
        <w:t>（八）基金转换</w:t>
      </w:r>
      <w:r w:rsidRPr="0001503D">
        <w:rPr>
          <w:rFonts w:asciiTheme="minorEastAsia" w:eastAsiaTheme="minorEastAsia" w:hAnsiTheme="minorEastAsia"/>
          <w:b w:val="0"/>
        </w:rPr>
        <w:t>与巨额赎回</w:t>
      </w:r>
      <w:bookmarkEnd w:id="112"/>
      <w:bookmarkEnd w:id="113"/>
      <w:bookmarkEnd w:id="114"/>
      <w:bookmarkEnd w:id="115"/>
      <w:bookmarkEnd w:id="116"/>
      <w:bookmarkEnd w:id="117"/>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当</w:t>
      </w:r>
      <w:r w:rsidRPr="0001503D">
        <w:rPr>
          <w:rFonts w:asciiTheme="minorEastAsia" w:eastAsiaTheme="minorEastAsia" w:hAnsiTheme="minorEastAsia" w:hint="eastAsia"/>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8" w:name="_Toc198959624"/>
      <w:bookmarkStart w:id="119" w:name="_Toc229996715"/>
      <w:bookmarkStart w:id="120" w:name="_Toc245693561"/>
      <w:bookmarkStart w:id="121" w:name="_Toc258398109"/>
      <w:bookmarkStart w:id="122" w:name="_Toc264906016"/>
      <w:bookmarkStart w:id="123" w:name="_Toc28803556"/>
      <w:r w:rsidRPr="0001503D">
        <w:rPr>
          <w:rFonts w:asciiTheme="minorEastAsia" w:eastAsiaTheme="minorEastAsia" w:hAnsiTheme="minorEastAsia" w:hint="eastAsia"/>
          <w:b w:val="0"/>
        </w:rPr>
        <w:t>（九）拒绝或暂停基金转换的情形</w:t>
      </w:r>
      <w:bookmarkEnd w:id="118"/>
      <w:bookmarkEnd w:id="119"/>
      <w:bookmarkEnd w:id="120"/>
      <w:bookmarkEnd w:id="121"/>
      <w:bookmarkEnd w:id="122"/>
      <w:bookmarkEnd w:id="123"/>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发生下列情况时，基金管理人可拒绝或暂停接受基金投资者的转换申请：</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002F5370" w:rsidRPr="0001503D">
        <w:rPr>
          <w:rFonts w:asciiTheme="minorEastAsia" w:eastAsiaTheme="minorEastAsia" w:hAnsiTheme="minorEastAsia" w:hint="eastAsia"/>
          <w:szCs w:val="21"/>
        </w:rPr>
        <w:t>因不可抗力导致基金无法正常运作。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证券交易所交易时间非正常停市或依法决定临时停市，导致基金管理人无法计算当日基金资产净值。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发生基金合同规定的暂停基金资产估值情况</w:t>
      </w:r>
      <w:r w:rsidR="000C03BE" w:rsidRPr="0001503D">
        <w:rPr>
          <w:rFonts w:asciiTheme="minorEastAsia" w:eastAsiaTheme="minorEastAsia" w:hAnsiTheme="minorEastAsia" w:hint="eastAsia"/>
          <w:szCs w:val="21"/>
        </w:rPr>
        <w:t>时，基金管理人可采取拒绝或暂停接受</w:t>
      </w:r>
      <w:r w:rsidR="000C03BE" w:rsidRPr="0001503D">
        <w:rPr>
          <w:rFonts w:asciiTheme="minorEastAsia" w:eastAsiaTheme="minorEastAsia" w:hAnsiTheme="minorEastAsia" w:hint="eastAsia"/>
          <w:szCs w:val="21"/>
        </w:rPr>
        <w:lastRenderedPageBreak/>
        <w:t>投资者转换申请等措施。</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基金资产规模过大，使基金管理人无法找到合适的投资品种，或基金管理人认为会损害已有基金份额持有人利益的转换。</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连续两个或两个以上开放日发生巨额赎回，导致本基金的现金支付出现困难。</w:t>
      </w:r>
    </w:p>
    <w:p w:rsidR="0029287B" w:rsidRPr="0001503D" w:rsidRDefault="0029287B" w:rsidP="0029287B">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rPr>
        <w:t>6</w:t>
      </w:r>
      <w:r w:rsidRPr="0001503D">
        <w:rPr>
          <w:rFonts w:asciiTheme="minorEastAsia" w:eastAsiaTheme="minorEastAsia" w:hAnsiTheme="minorEastAsia" w:hint="eastAsia"/>
        </w:rPr>
        <w:t>、</w:t>
      </w:r>
      <w:r w:rsidRPr="0001503D">
        <w:rPr>
          <w:rFonts w:asciiTheme="minorEastAsia" w:eastAsiaTheme="minorEastAsia" w:hAnsiTheme="minorEastAsia"/>
        </w:rPr>
        <w:t>基金管理人接受某笔或者某些转换转入申请有可能导致单一投资者持有基金份额的比例达到或者超过50%，或者变相规避50%集中度的情形时。</w:t>
      </w:r>
    </w:p>
    <w:p w:rsidR="0029287B" w:rsidRPr="0001503D" w:rsidRDefault="0029287B" w:rsidP="0029287B">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rPr>
        <w:t>7</w:t>
      </w:r>
      <w:r w:rsidRPr="0001503D">
        <w:rPr>
          <w:rFonts w:asciiTheme="minorEastAsia" w:eastAsiaTheme="minorEastAsia" w:hAnsiTheme="minorEastAsia" w:hint="eastAsia"/>
        </w:rPr>
        <w:t>、当一笔新的转换</w:t>
      </w:r>
      <w:r w:rsidRPr="0001503D">
        <w:rPr>
          <w:rFonts w:asciiTheme="minorEastAsia" w:eastAsiaTheme="minorEastAsia" w:hAnsiTheme="minorEastAsia"/>
        </w:rPr>
        <w:t>转入</w:t>
      </w:r>
      <w:r w:rsidRPr="0001503D">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29287B" w:rsidRPr="0001503D" w:rsidRDefault="0029287B" w:rsidP="0029287B">
      <w:pPr>
        <w:pStyle w:val="ad"/>
        <w:snapToGrid w:val="0"/>
        <w:spacing w:line="360" w:lineRule="auto"/>
        <w:rPr>
          <w:rFonts w:asciiTheme="minorEastAsia" w:eastAsiaTheme="minorEastAsia" w:hAnsiTheme="minorEastAsia"/>
        </w:rPr>
      </w:pPr>
      <w:r w:rsidRPr="0001503D">
        <w:rPr>
          <w:rFonts w:asciiTheme="minorEastAsia" w:eastAsiaTheme="minorEastAsia" w:hAnsiTheme="minorEastAsia"/>
        </w:rPr>
        <w:t>8</w:t>
      </w:r>
      <w:r w:rsidRPr="0001503D">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F5370" w:rsidRPr="0001503D" w:rsidRDefault="0029287B"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9</w:t>
      </w:r>
      <w:r w:rsidR="00137AE8" w:rsidRPr="0001503D">
        <w:rPr>
          <w:rFonts w:asciiTheme="minorEastAsia" w:eastAsiaTheme="minorEastAsia" w:hAnsiTheme="minorEastAsia" w:hint="eastAsia"/>
          <w:szCs w:val="21"/>
        </w:rPr>
        <w:t>、</w:t>
      </w:r>
      <w:r w:rsidR="002F5370" w:rsidRPr="0001503D">
        <w:rPr>
          <w:rFonts w:asciiTheme="minorEastAsia" w:eastAsiaTheme="minorEastAsia" w:hAnsiTheme="minorEastAsia" w:hint="eastAsia"/>
          <w:szCs w:val="21"/>
        </w:rPr>
        <w:t>法律法规规定或中国证监会认定的其他情形。</w:t>
      </w:r>
    </w:p>
    <w:p w:rsidR="002F5370" w:rsidRPr="0001503D" w:rsidRDefault="002F5370" w:rsidP="00B13E0C">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szCs w:val="21"/>
        </w:rPr>
        <w:t>发生上述</w:t>
      </w:r>
      <w:r w:rsidR="0029287B" w:rsidRPr="0001503D">
        <w:rPr>
          <w:rFonts w:asciiTheme="minorEastAsia" w:eastAsiaTheme="minorEastAsia" w:hAnsiTheme="minorEastAsia"/>
          <w:kern w:val="0"/>
          <w:szCs w:val="18"/>
        </w:rPr>
        <w:t>1</w:t>
      </w:r>
      <w:r w:rsidR="0029287B" w:rsidRPr="0001503D">
        <w:rPr>
          <w:rFonts w:asciiTheme="minorEastAsia" w:eastAsiaTheme="minorEastAsia" w:hAnsiTheme="minorEastAsia" w:hint="eastAsia"/>
          <w:kern w:val="0"/>
          <w:szCs w:val="18"/>
        </w:rPr>
        <w:t>、</w:t>
      </w:r>
      <w:r w:rsidR="0029287B" w:rsidRPr="0001503D">
        <w:rPr>
          <w:rFonts w:asciiTheme="minorEastAsia" w:eastAsiaTheme="minorEastAsia" w:hAnsiTheme="minorEastAsia"/>
          <w:kern w:val="0"/>
          <w:szCs w:val="18"/>
        </w:rPr>
        <w:t>2、3、4</w:t>
      </w:r>
      <w:r w:rsidR="0029287B" w:rsidRPr="0001503D">
        <w:rPr>
          <w:rFonts w:asciiTheme="minorEastAsia" w:eastAsiaTheme="minorEastAsia" w:hAnsiTheme="minorEastAsia" w:hint="eastAsia"/>
          <w:kern w:val="0"/>
          <w:szCs w:val="18"/>
        </w:rPr>
        <w:t>、</w:t>
      </w:r>
      <w:r w:rsidR="0029287B" w:rsidRPr="0001503D">
        <w:rPr>
          <w:rFonts w:asciiTheme="minorEastAsia" w:eastAsiaTheme="minorEastAsia" w:hAnsiTheme="minorEastAsia"/>
          <w:kern w:val="0"/>
          <w:szCs w:val="18"/>
        </w:rPr>
        <w:t>5、7、8</w:t>
      </w:r>
      <w:r w:rsidR="0029287B" w:rsidRPr="0001503D">
        <w:rPr>
          <w:rFonts w:asciiTheme="minorEastAsia" w:eastAsiaTheme="minorEastAsia" w:hAnsiTheme="minorEastAsia" w:hint="eastAsia"/>
          <w:kern w:val="0"/>
          <w:szCs w:val="18"/>
        </w:rPr>
        <w:t>、</w:t>
      </w:r>
      <w:r w:rsidR="0029287B" w:rsidRPr="0001503D">
        <w:rPr>
          <w:rFonts w:asciiTheme="minorEastAsia" w:eastAsiaTheme="minorEastAsia" w:hAnsiTheme="minorEastAsia"/>
          <w:kern w:val="0"/>
          <w:szCs w:val="18"/>
        </w:rPr>
        <w:t>9</w:t>
      </w:r>
      <w:r w:rsidRPr="0001503D">
        <w:rPr>
          <w:rFonts w:asciiTheme="minorEastAsia" w:eastAsiaTheme="minorEastAsia" w:hAnsiTheme="minorEastAsia" w:hint="eastAsia"/>
          <w:szCs w:val="21"/>
        </w:rPr>
        <w:t>项暂停</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转换时，基金管理人应当在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刊登相关公告。</w:t>
      </w:r>
    </w:p>
    <w:p w:rsidR="002F5370" w:rsidRPr="0001503D"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bCs/>
          <w:szCs w:val="21"/>
        </w:rPr>
      </w:pPr>
      <w:bookmarkStart w:id="124" w:name="_Toc86560070"/>
      <w:bookmarkStart w:id="125" w:name="_Toc86635162"/>
      <w:bookmarkStart w:id="126" w:name="_Toc91335002"/>
      <w:bookmarkStart w:id="127" w:name="_Toc238870167"/>
      <w:bookmarkStart w:id="128" w:name="_Toc28803557"/>
      <w:r w:rsidRPr="0001503D">
        <w:rPr>
          <w:rFonts w:asciiTheme="minorEastAsia" w:eastAsiaTheme="minorEastAsia" w:hAnsiTheme="minorEastAsia" w:hint="eastAsia"/>
        </w:rPr>
        <w:lastRenderedPageBreak/>
        <w:t>十、基金的非交易过户、转托管及</w:t>
      </w:r>
      <w:r w:rsidRPr="0001503D">
        <w:rPr>
          <w:rFonts w:asciiTheme="minorEastAsia" w:eastAsiaTheme="minorEastAsia" w:hAnsiTheme="minorEastAsia" w:hint="eastAsia"/>
          <w:bCs/>
          <w:szCs w:val="21"/>
        </w:rPr>
        <w:t>冻结与解冻</w:t>
      </w:r>
      <w:bookmarkEnd w:id="124"/>
      <w:bookmarkEnd w:id="125"/>
      <w:bookmarkEnd w:id="126"/>
      <w:bookmarkEnd w:id="127"/>
      <w:bookmarkEnd w:id="128"/>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29" w:name="_Toc28803558"/>
      <w:r w:rsidRPr="0001503D">
        <w:rPr>
          <w:rFonts w:asciiTheme="minorEastAsia" w:eastAsiaTheme="minorEastAsia" w:hAnsiTheme="minorEastAsia" w:hint="eastAsia"/>
          <w:b w:val="0"/>
        </w:rPr>
        <w:t>（一）基金的非交易过户</w:t>
      </w:r>
      <w:bookmarkEnd w:id="129"/>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指注册登记机构受理继承、捐赠、司法强制执行和经注册登记机构认可的其它情况而产生的非交易过户。无论在上述何种情况下，接受划转的主体必须是依法可以持有本基金基金份额的投资者。</w:t>
      </w:r>
    </w:p>
    <w:p w:rsidR="002F5370" w:rsidRPr="0001503D" w:rsidRDefault="002F5370" w:rsidP="000B57E8">
      <w:pPr>
        <w:snapToGrid w:val="0"/>
        <w:spacing w:line="360" w:lineRule="auto"/>
        <w:ind w:firstLine="468"/>
        <w:rPr>
          <w:rFonts w:asciiTheme="minorEastAsia" w:eastAsiaTheme="minorEastAsia" w:hAnsiTheme="minorEastAsia"/>
          <w:szCs w:val="21"/>
        </w:rPr>
      </w:pPr>
      <w:r w:rsidRPr="0001503D">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自申请受理日起</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个月内办理，并按注册登记机构规定的标准收费。</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0" w:name="_Toc28803559"/>
      <w:r w:rsidRPr="0001503D">
        <w:rPr>
          <w:rFonts w:asciiTheme="minorEastAsia" w:eastAsiaTheme="minorEastAsia" w:hAnsiTheme="minorEastAsia" w:hint="eastAsia"/>
          <w:b w:val="0"/>
        </w:rPr>
        <w:t>（二）转托管</w:t>
      </w:r>
      <w:bookmarkEnd w:id="130"/>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基金份额持有人可办理已持有基金份额在不同销售机构之间的转托管，销售机构可以按照规定的标准收取转托管费。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如果出现基金管理人、注册登记机构、办理转托管的销售机构因技术系统性能限制或其它合理原因，可以暂停该业务或者拒绝基金份额持有人的转托管申请。</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1" w:name="_Toc28803560"/>
      <w:r w:rsidRPr="0001503D">
        <w:rPr>
          <w:rFonts w:asciiTheme="minorEastAsia" w:eastAsiaTheme="minorEastAsia" w:hAnsiTheme="minorEastAsia" w:hint="eastAsia"/>
          <w:b w:val="0"/>
        </w:rPr>
        <w:t>（三）基金的冻结与解冻</w:t>
      </w:r>
      <w:bookmarkEnd w:id="13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基金账户和基金份额冻结、解冻的业务，由注册登记机构办理。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注册登记机构只受理国家有关机关依法要求的基金账户或基金份额的冻结与解冻以及注册登记机构认可的其他情况的基金账户或基金份额的冻结与解冻。基金账户或基金份额被冻结的，被冻结基金份额所产生的权益一并冻结，法律法规、中国证监会或法院判决、裁定另有规定的除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当基金份额处于冻结状态时，注册登记机构或其他相关机构应拒绝该部分基金份额的赎回申请、转出申请、非交易过户以及基金的转托管。</w:t>
      </w:r>
    </w:p>
    <w:p w:rsidR="00137AE8" w:rsidRPr="0001503D" w:rsidRDefault="00137AE8" w:rsidP="000B57E8">
      <w:pPr>
        <w:snapToGrid w:val="0"/>
        <w:spacing w:line="360" w:lineRule="auto"/>
        <w:ind w:firstLineChars="200" w:firstLine="420"/>
        <w:rPr>
          <w:rFonts w:asciiTheme="minorEastAsia" w:eastAsiaTheme="minorEastAsia" w:hAnsiTheme="minorEastAsia"/>
          <w:szCs w:val="21"/>
        </w:rPr>
      </w:pPr>
    </w:p>
    <w:p w:rsidR="00137AE8" w:rsidRPr="0001503D" w:rsidRDefault="00137AE8" w:rsidP="000B57E8">
      <w:pPr>
        <w:snapToGrid w:val="0"/>
        <w:spacing w:line="360" w:lineRule="auto"/>
        <w:ind w:firstLineChars="200" w:firstLine="420"/>
        <w:rPr>
          <w:rFonts w:asciiTheme="minorEastAsia" w:eastAsiaTheme="minorEastAsia" w:hAnsiTheme="minorEastAsia"/>
          <w:szCs w:val="21"/>
        </w:rPr>
      </w:pPr>
    </w:p>
    <w:p w:rsidR="00137AE8" w:rsidRPr="0001503D" w:rsidRDefault="00137AE8" w:rsidP="000B57E8">
      <w:pPr>
        <w:snapToGrid w:val="0"/>
        <w:spacing w:line="360" w:lineRule="auto"/>
        <w:ind w:firstLineChars="200" w:firstLine="420"/>
        <w:rPr>
          <w:rFonts w:asciiTheme="minorEastAsia" w:eastAsiaTheme="minorEastAsia" w:hAnsiTheme="minorEastAsia"/>
          <w:szCs w:val="21"/>
        </w:rPr>
      </w:pPr>
    </w:p>
    <w:p w:rsidR="00137AE8" w:rsidRPr="0001503D" w:rsidRDefault="00137AE8" w:rsidP="000B57E8">
      <w:pPr>
        <w:snapToGrid w:val="0"/>
        <w:spacing w:line="360" w:lineRule="auto"/>
        <w:ind w:firstLineChars="200" w:firstLine="420"/>
        <w:rPr>
          <w:rFonts w:asciiTheme="minorEastAsia" w:eastAsiaTheme="minorEastAsia" w:hAnsiTheme="minorEastAsia"/>
          <w:szCs w:val="21"/>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132" w:name="_Toc238870168"/>
      <w:bookmarkStart w:id="133" w:name="_Toc28803561"/>
      <w:bookmarkStart w:id="134" w:name="_Toc52310853"/>
      <w:r w:rsidRPr="0001503D">
        <w:rPr>
          <w:rFonts w:asciiTheme="minorEastAsia" w:eastAsiaTheme="minorEastAsia" w:hAnsiTheme="minorEastAsia" w:hint="eastAsia"/>
          <w:bCs/>
        </w:rPr>
        <w:lastRenderedPageBreak/>
        <w:t>十一、基金的投资</w:t>
      </w:r>
      <w:bookmarkEnd w:id="132"/>
      <w:bookmarkEnd w:id="133"/>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5" w:name="_Toc28803562"/>
      <w:bookmarkStart w:id="136" w:name="_Toc52310848"/>
      <w:bookmarkStart w:id="137" w:name="_Toc64861723"/>
      <w:r w:rsidRPr="0001503D">
        <w:rPr>
          <w:rFonts w:asciiTheme="minorEastAsia" w:eastAsiaTheme="minorEastAsia" w:hAnsiTheme="minorEastAsia" w:hint="eastAsia"/>
          <w:b w:val="0"/>
          <w:szCs w:val="21"/>
        </w:rPr>
        <w:t>（一）投资目标</w:t>
      </w:r>
      <w:bookmarkEnd w:id="135"/>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本基金主要投资消费行业股票，在严格控制风险的前提下，追求超越业绩比较基准的投资回报。</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8" w:name="_Toc28803563"/>
      <w:r w:rsidRPr="0001503D">
        <w:rPr>
          <w:rFonts w:asciiTheme="minorEastAsia" w:eastAsiaTheme="minorEastAsia" w:hAnsiTheme="minorEastAsia" w:hint="eastAsia"/>
          <w:b w:val="0"/>
          <w:szCs w:val="21"/>
        </w:rPr>
        <w:t>（二）投资范围</w:t>
      </w:r>
      <w:bookmarkEnd w:id="138"/>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01503D" w:rsidRDefault="002F5370" w:rsidP="000B57E8">
      <w:pPr>
        <w:snapToGrid w:val="0"/>
        <w:spacing w:line="360" w:lineRule="auto"/>
        <w:ind w:firstLineChars="150" w:firstLine="315"/>
        <w:rPr>
          <w:rFonts w:asciiTheme="minorEastAsia" w:eastAsiaTheme="minorEastAsia" w:hAnsiTheme="minorEastAsia"/>
          <w:szCs w:val="21"/>
        </w:rPr>
      </w:pPr>
      <w:r w:rsidRPr="0001503D">
        <w:rPr>
          <w:rFonts w:asciiTheme="minorEastAsia" w:eastAsiaTheme="minorEastAsia" w:hAnsiTheme="minorEastAsia" w:hint="eastAsia"/>
          <w:szCs w:val="21"/>
        </w:rPr>
        <w:t>本基金为股票型基金，投资比例范围为：股票资产占基金资产的80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—95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01503D">
        <w:rPr>
          <w:rFonts w:asciiTheme="minorEastAsia" w:eastAsiaTheme="minorEastAsia" w:hAnsiTheme="minorEastAsia"/>
          <w:szCs w:val="21"/>
        </w:rPr>
        <w:t>5%</w:t>
      </w:r>
      <w:r w:rsidR="00AC1463" w:rsidRPr="0001503D">
        <w:rPr>
          <w:rFonts w:asciiTheme="minorEastAsia" w:eastAsiaTheme="minorEastAsia" w:hAnsiTheme="minorEastAsia" w:hint="eastAsia"/>
          <w:bCs/>
          <w:sz w:val="24"/>
        </w:rPr>
        <w:t>，</w:t>
      </w:r>
      <w:r w:rsidR="00AC1463" w:rsidRPr="0001503D">
        <w:rPr>
          <w:rFonts w:asciiTheme="minorEastAsia" w:eastAsiaTheme="minorEastAsia" w:hAnsiTheme="minorEastAsia" w:hint="eastAsia"/>
          <w:szCs w:val="21"/>
        </w:rPr>
        <w:t>现金不包括结算备付金、存出保证金、应收申购款等</w:t>
      </w:r>
      <w:r w:rsidRPr="0001503D">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9" w:name="_Toc28803564"/>
      <w:r w:rsidRPr="0001503D">
        <w:rPr>
          <w:rFonts w:asciiTheme="minorEastAsia" w:eastAsiaTheme="minorEastAsia" w:hAnsiTheme="minorEastAsia" w:hint="eastAsia"/>
          <w:b w:val="0"/>
          <w:szCs w:val="21"/>
        </w:rPr>
        <w:t>（三）投资理念</w:t>
      </w:r>
      <w:bookmarkEnd w:id="139"/>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本基金通过投资具有较强竞争优势的消费行业上市公司，把握中国经济增长和居民消费升级过程中的投资机会，力争实现基金资产的长期稳健增值。</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40" w:name="_Toc28803565"/>
      <w:r w:rsidRPr="0001503D">
        <w:rPr>
          <w:rFonts w:asciiTheme="minorEastAsia" w:eastAsiaTheme="minorEastAsia" w:hAnsiTheme="minorEastAsia" w:hint="eastAsia"/>
          <w:b w:val="0"/>
          <w:szCs w:val="21"/>
        </w:rPr>
        <w:t>（四）投资策略</w:t>
      </w:r>
      <w:bookmarkEnd w:id="140"/>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资产配置策略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本基金基于定量与定性相结合的宏观及市场分析，确定组合中股票、债券、货币市场工具及其他金融工具的比例，追求更高收益，回避市场风险。</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在资产配置中，本基金主要考虑（1）宏观经济指标，包括GDP增长率、工业增加值、PPI、CPI、市场利率变化、进出口贸易数据、金融政策等，以判断经济波动对市场的影响；（2）微观经济指标，包括各行业主要企业的盈利变化情况及盈利预期；（3）市场方面指标，包括股票及债券市场的涨跌及预期收益率、市场整体估值水平及与国外市场的比较、市场资金供求关系及其变化；（4）政策因素，与证券市场密切相关的各种政策出台对市场的影响等。</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股票投资策略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（1）消费行业股票的界定</w:t>
      </w:r>
    </w:p>
    <w:p w:rsidR="002F5370" w:rsidRPr="0001503D" w:rsidRDefault="002F5370" w:rsidP="000B57E8">
      <w:pPr>
        <w:snapToGrid w:val="0"/>
        <w:spacing w:line="360" w:lineRule="auto"/>
        <w:ind w:firstLineChars="150" w:firstLine="315"/>
        <w:rPr>
          <w:rFonts w:asciiTheme="minorEastAsia" w:eastAsiaTheme="minorEastAsia" w:hAnsiTheme="minorEastAsia"/>
          <w:szCs w:val="21"/>
        </w:rPr>
      </w:pPr>
      <w:r w:rsidRPr="0001503D">
        <w:rPr>
          <w:rFonts w:asciiTheme="minorEastAsia" w:eastAsiaTheme="minorEastAsia" w:hAnsiTheme="minorEastAsia" w:hint="eastAsia"/>
          <w:szCs w:val="21"/>
        </w:rPr>
        <w:t>本基金所指的消费行业由主要消费行业和可选消费行业组成。主要消费行业包括食品与</w:t>
      </w:r>
      <w:r w:rsidRPr="0001503D">
        <w:rPr>
          <w:rFonts w:asciiTheme="minorEastAsia" w:eastAsiaTheme="minorEastAsia" w:hAnsiTheme="minorEastAsia" w:hint="eastAsia"/>
          <w:szCs w:val="21"/>
        </w:rPr>
        <w:lastRenderedPageBreak/>
        <w:t>主要用品零售行业、家庭与个人用品行业和食品、饮料与烟草行业；可选消费行业包括汽车与汽车零部件行业、耐用消费品与服装行业、消费者服务行业、媒体行业和零售业。本基金投资于中证指数公司界定的主要消费行业和可选消费行业股票的比例不低于股票资产的95%。</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根据中证指数公司《关于行业分类的说明》，中证指数公司进行上市公司行业分类的方法为：“中证指数有限公司根据上市公司正式公告中不同业务的营业收入为分类准则，如果仅公司主营业务收入无法确定行业分类，将同时考察主营业务收入与利润状况。上市公司行业划分原则如下：（</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）如果公司某项主营业务的收入占公司总收入的</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以上，则该公司归属该项业务对应的行业；（</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）如果公司没有一项主营收入占到总收入的</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以上，但某项业务的收入和利润均在所有业务中最高，而且均占到公司总收入和总利润的</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以上，则该公司归属该业务对应的行业；（</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）如果公司没有一项业务的收入和利润占到</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以上，则由专家组进一步研究和分析确定行业归属。”</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如果中证指数公司调整或停止行业分类，或者基金管理人认为有更适当的消费行业划分标准，</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管理人在履行适当程序后</w:t>
      </w:r>
      <w:r w:rsidRPr="0001503D">
        <w:rPr>
          <w:rFonts w:asciiTheme="minorEastAsia" w:eastAsiaTheme="minorEastAsia" w:hAnsiTheme="minorEastAsia"/>
          <w:szCs w:val="21"/>
        </w:rPr>
        <w:t>有权对</w:t>
      </w:r>
      <w:r w:rsidRPr="0001503D">
        <w:rPr>
          <w:rFonts w:asciiTheme="minorEastAsia" w:eastAsiaTheme="minorEastAsia" w:hAnsiTheme="minorEastAsia" w:hint="eastAsia"/>
          <w:szCs w:val="21"/>
        </w:rPr>
        <w:t>消费行业的界定方法</w:t>
      </w:r>
      <w:r w:rsidRPr="0001503D">
        <w:rPr>
          <w:rFonts w:asciiTheme="minorEastAsia" w:eastAsiaTheme="minorEastAsia" w:hAnsiTheme="minorEastAsia"/>
          <w:szCs w:val="21"/>
        </w:rPr>
        <w:t>进行调整并</w:t>
      </w:r>
      <w:r w:rsidRPr="0001503D">
        <w:rPr>
          <w:rFonts w:asciiTheme="minorEastAsia" w:eastAsiaTheme="minorEastAsia" w:hAnsiTheme="minorEastAsia" w:hint="eastAsia"/>
          <w:szCs w:val="21"/>
        </w:rPr>
        <w:t>及时</w:t>
      </w:r>
      <w:r w:rsidRPr="0001503D">
        <w:rPr>
          <w:rFonts w:asciiTheme="minorEastAsia" w:eastAsiaTheme="minorEastAsia" w:hAnsiTheme="minorEastAsia"/>
          <w:szCs w:val="21"/>
        </w:rPr>
        <w:t>公告</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如因基金管理人界定消费行业的方法调整或者上市公司经营发生变化等，本基金持有消费行业股票的比例低于股票资产的95%，本基金将在三个月之内进行调整。</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（2）消费行业子行业配置策略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消费行业由主要消费行业和可选消费行业组成。主要消费行业和可选消费行业根据所提供的产品与服务类别不同，可划分为不同的细分子行业。本基金将综合考虑以下因素，进行股票资产在各消费子行业间的配置。</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1）国家经济政策</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动态跟踪国家财政与税收政策、货币政策、产业政策、贸易政策、汇率政策等政策的变化，分析国家政策对消费行业各子行业的影响，超配受益于国家政策变化、预期收益率较高的子行业，低配受国家政策影响、预期收益率较低的子行业。</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2）消费结构变化</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随着我国居民收入水平提高，消费升级趋势越来越明显，导致消费升级受益行业公司业绩提升。本基金将对影响居民收入水平及消费结构的因素以及消费结构的变化趋势进行跟踪分析，发掘不同时期的消费升级主题，在不同子行业间进行积极的轮换，不断优化股票资产结构。</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3）经济周期</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本基金将对当前经济在经济周期所处的阶段进行前瞻性分析，根据各消费子行业在经济周期各阶段的预期表现，进行行业配置与调整，为投资者追求更高回报。</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4）各子行业自身的生命周期</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本基金将对各消费子行业的生命周期进行动态分析，判断各子行业所处的生命周期阶段，并采取相应的投资策略。</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5）各子行业基本面的变化</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本基金将对影响各子行业基本面的因素进行跟踪分析，预期各子行业基本面变化的拐点，超配基本面即将发生有利变化的子行业，低配基本面即将发生不利变化的子行业。</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6）各子行业的相对估值水平</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本基金将对各子行业的相对估值水平进行动态分析，增加被市场低估的子行业配置比例，降低盈利低于预期的子行业配置比例。</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（3）消费行业个股投资策略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在股票选择方面，本基金将从公司治理结构、核心竞争优势、议价能力、市场占有率、成长性、盈利能力、运营效率、财务结构、现金流情况、公司基本面变化等方面，对消费行业上市公司的投资价值进行综合评价，精选具有较高投资价值的上市公司。具体来讲，主要考虑的因素包括：</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1）具有完善的法人治理结构：公司已建立起完善的法人治理结构，经营活动高效、有序；</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2）具有较强的核心竞争优势：公司在管理水平、人才储备、资源禀赋、品牌或业务模式等方面具有较强的核心竞争优势；</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3）议价能力较强：公司具有较强的议价能力，对采购成本和销售定价控制能力较强；</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4）市场占有率较高：消费者对公司产品或服务忠诚度高，公司产品或服务市场占有率较高且保持稳定或继续提高；</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5）成长性较高：公司成长性良好，预期营业收入增长率高于行业平均水平；</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6）盈利能力较强：公司盈利能力强，预期营业利润率、净资产收益率高于行业平均水平；</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7）运营效率较高：公司运营效率较高，</w:t>
      </w:r>
      <w:r w:rsidRPr="0001503D">
        <w:rPr>
          <w:rFonts w:asciiTheme="minorEastAsia" w:eastAsiaTheme="minorEastAsia" w:hAnsiTheme="minorEastAsia"/>
          <w:szCs w:val="21"/>
        </w:rPr>
        <w:t>总资产周转率、存货周转率、应收账款周转率</w:t>
      </w:r>
      <w:r w:rsidRPr="0001503D">
        <w:rPr>
          <w:rFonts w:asciiTheme="minorEastAsia" w:eastAsiaTheme="minorEastAsia" w:hAnsiTheme="minorEastAsia" w:hint="eastAsia"/>
          <w:szCs w:val="21"/>
        </w:rPr>
        <w:t>等指标在业内处于领先水平；</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8）财务结构合理：公司</w:t>
      </w:r>
      <w:r w:rsidRPr="0001503D">
        <w:rPr>
          <w:rFonts w:asciiTheme="minorEastAsia" w:eastAsiaTheme="minorEastAsia" w:hAnsiTheme="minorEastAsia"/>
          <w:szCs w:val="21"/>
        </w:rPr>
        <w:t>资产负债</w:t>
      </w:r>
      <w:r w:rsidRPr="0001503D">
        <w:rPr>
          <w:rFonts w:asciiTheme="minorEastAsia" w:eastAsiaTheme="minorEastAsia" w:hAnsiTheme="minorEastAsia" w:hint="eastAsia"/>
          <w:szCs w:val="21"/>
        </w:rPr>
        <w:t>结构相对合理，财务风险较小；</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9）现金流充裕：公司现金流充足，能够满足运营的需要；</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10）公司基本面即将发生重大变化：预期公司基本面处于变化的拐点，公司盈利能力将大幅提升。</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（4）估值水平分析</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在精选消费行业股票的基础上，基金管理人将对备选股票进行估值分析。采用的估值方法包括市盈率法（P/E）、市净率法（P/B）、市盈率－长期成长法（PEG）、企业价值/销售收入(EV/SALES)、企业价值/息税折旧摊销前利润法（EV/EBITDA）、自由现金流贴现模型</w:t>
      </w:r>
      <w:r w:rsidRPr="0001503D">
        <w:rPr>
          <w:rFonts w:asciiTheme="minorEastAsia" w:eastAsiaTheme="minorEastAsia" w:hAnsiTheme="minorEastAsia" w:hint="eastAsia"/>
          <w:szCs w:val="21"/>
        </w:rPr>
        <w:lastRenderedPageBreak/>
        <w:t>（FCFF、FCFE）或股利贴现模型（DDM）等。</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通过估值水平分析，基金管理人将发掘出价值被低估或估值合理的股票。</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（5）股票组合的构建与调整</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根据对消费行业各子行业的综合分析，确定各子行业的资产配置比例。在各子行业中，本基金将选择具有较强竞争优势且估值具有吸引力的上市公司进行投资。当各子行业与上市公司的基本面、股票的估值水平出现较大变化时，本基金将对股票组合适时进行调整。</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债券投资策略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在券种选择上，本基金以长期利率趋势分析为基础，结合经济变化趋势、货币政策及不同债券品种的收益率水平、流动性和信用风险等因素，合理运用投资管理策略，实施积极主动的债券投资管理。</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随着国内债券市场的深入发展和结构性变迁，更多债券新品种和交易形式将增加债券投资盈利模式，本基金会密切跟踪市场动态变化，选择合适的介入机会，谋求高于市场平均水平的投资回报。</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衍生产品投资策略</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权证为本基金辅助性投资工具。权证的投资原则为有利于基金资产增值、控制下跌风险、实现保值和锁定收益。</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将关注股指期货等国内金融衍生产品的推出情况，如法律法规或监管机构允许基金投资该衍生工具，本基金将制定与本基金投资目标相适应的投资策略，在充分评估衍生产品的风险和收益的基础上，谨慎地进行投资。</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1" w:name="_Toc28803566"/>
      <w:r w:rsidRPr="0001503D">
        <w:rPr>
          <w:rFonts w:asciiTheme="minorEastAsia" w:eastAsiaTheme="minorEastAsia" w:hAnsiTheme="minorEastAsia" w:hint="eastAsia"/>
          <w:b w:val="0"/>
        </w:rPr>
        <w:t>（五）业绩比较基准</w:t>
      </w:r>
      <w:bookmarkEnd w:id="141"/>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中证内地消费主题指数收益率×85%+中债总指数收益率×15%</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股票部分主要投资于主要消费行业和可选消费行业股票。中证内地消费主题指数成份股由主要消费行业股票和可选消费行业股票组成，具有较强的代表性，因此股票部分的业绩基准采用中证内地消费主题指数。固定收益部分的业绩基准则采用了市场上通用的中债总指数。此外，本基金还按照预期的大类资产平均配置比例设置了业绩基准的权重。</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如果指数编制单位停止计算编制该指数或更改指数名称、或有更适当的、更能为市场普遍接受的业绩比较基准推出，</w:t>
      </w:r>
      <w:r w:rsidRPr="0001503D">
        <w:rPr>
          <w:rFonts w:asciiTheme="minorEastAsia" w:eastAsiaTheme="minorEastAsia" w:hAnsiTheme="minorEastAsia"/>
          <w:szCs w:val="21"/>
        </w:rPr>
        <w:t>本基金管理人可以依据维护投资者合法权益的原则，</w:t>
      </w:r>
      <w:r w:rsidRPr="0001503D">
        <w:rPr>
          <w:rFonts w:asciiTheme="minorEastAsia" w:eastAsiaTheme="minorEastAsia" w:hAnsiTheme="minorEastAsia" w:hint="eastAsia"/>
          <w:szCs w:val="21"/>
        </w:rPr>
        <w:t>履行</w:t>
      </w:r>
      <w:r w:rsidRPr="0001503D">
        <w:rPr>
          <w:rFonts w:asciiTheme="minorEastAsia" w:eastAsiaTheme="minorEastAsia" w:hAnsiTheme="minorEastAsia" w:hint="eastAsia"/>
          <w:szCs w:val="21"/>
        </w:rPr>
        <w:lastRenderedPageBreak/>
        <w:t>适当程序后，调整</w:t>
      </w:r>
      <w:r w:rsidRPr="0001503D">
        <w:rPr>
          <w:rFonts w:asciiTheme="minorEastAsia" w:eastAsiaTheme="minorEastAsia" w:hAnsiTheme="minorEastAsia"/>
          <w:szCs w:val="21"/>
        </w:rPr>
        <w:t>业绩比较基准并及时公告。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2" w:name="_Toc28803567"/>
      <w:r w:rsidRPr="0001503D">
        <w:rPr>
          <w:rFonts w:asciiTheme="minorEastAsia" w:eastAsiaTheme="minorEastAsia" w:hAnsiTheme="minorEastAsia" w:hint="eastAsia"/>
          <w:b w:val="0"/>
        </w:rPr>
        <w:t>（六）风险收益特征</w:t>
      </w:r>
      <w:bookmarkEnd w:id="142"/>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本基金为主动股票</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理论上其</w:t>
      </w:r>
      <w:r w:rsidRPr="0001503D">
        <w:rPr>
          <w:rFonts w:asciiTheme="minorEastAsia" w:eastAsiaTheme="minorEastAsia" w:hAnsiTheme="minorEastAsia"/>
          <w:szCs w:val="21"/>
        </w:rPr>
        <w:t>风险</w:t>
      </w:r>
      <w:r w:rsidRPr="0001503D">
        <w:rPr>
          <w:rFonts w:asciiTheme="minorEastAsia" w:eastAsiaTheme="minorEastAsia" w:hAnsiTheme="minorEastAsia" w:hint="eastAsia"/>
          <w:szCs w:val="21"/>
        </w:rPr>
        <w:t>收益水平高于混合基金和债</w:t>
      </w:r>
      <w:r w:rsidRPr="0001503D">
        <w:rPr>
          <w:rFonts w:asciiTheme="minorEastAsia" w:eastAsiaTheme="minorEastAsia" w:hAnsiTheme="minorEastAsia"/>
          <w:szCs w:val="21"/>
        </w:rPr>
        <w:t>券基金</w:t>
      </w:r>
      <w:r w:rsidRPr="0001503D">
        <w:rPr>
          <w:rFonts w:asciiTheme="minorEastAsia" w:eastAsiaTheme="minorEastAsia" w:hAnsiTheme="minorEastAsia" w:hint="eastAsia"/>
          <w:szCs w:val="21"/>
        </w:rPr>
        <w:t>。同时，本基金为行业基金，在享受消费行业收益的同时，也必须承担单一行业带来的风险。</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3" w:name="_Toc28803568"/>
      <w:r w:rsidRPr="0001503D">
        <w:rPr>
          <w:rFonts w:asciiTheme="minorEastAsia" w:eastAsiaTheme="minorEastAsia" w:hAnsiTheme="minorEastAsia" w:hint="eastAsia"/>
          <w:b w:val="0"/>
        </w:rPr>
        <w:t>（七）投资决策依据</w:t>
      </w:r>
      <w:bookmarkEnd w:id="143"/>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国家有关法律、法规和《基金合同》的规定；</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政治形势、政策趋势和宏观经济形势；</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行业和上市公司基本面；</w:t>
      </w:r>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证券市场发展趋势。</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4" w:name="_Toc28803569"/>
      <w:r w:rsidRPr="0001503D">
        <w:rPr>
          <w:rFonts w:asciiTheme="minorEastAsia" w:eastAsiaTheme="minorEastAsia" w:hAnsiTheme="minorEastAsia" w:hint="eastAsia"/>
          <w:b w:val="0"/>
        </w:rPr>
        <w:t>（八）投资决策流程</w:t>
      </w:r>
      <w:bookmarkEnd w:id="144"/>
    </w:p>
    <w:p w:rsidR="002F5370" w:rsidRPr="0001503D" w:rsidRDefault="002F5370"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资产配置决策</w:t>
      </w:r>
    </w:p>
    <w:p w:rsidR="002F5370" w:rsidRPr="0001503D" w:rsidRDefault="006053F4" w:rsidP="000B57E8">
      <w:pPr>
        <w:snapToGrid w:val="0"/>
        <w:spacing w:line="360" w:lineRule="auto"/>
        <w:ind w:firstLine="420"/>
        <w:rPr>
          <w:rFonts w:asciiTheme="minorEastAsia" w:eastAsiaTheme="minorEastAsia" w:hAnsiTheme="minorEastAsia"/>
        </w:rPr>
      </w:pPr>
      <w:r w:rsidRPr="006053F4">
        <w:rPr>
          <w:rFonts w:asciiTheme="minorEastAsia" w:eastAsiaTheme="minorEastAsia" w:hAnsiTheme="minorEastAsia" w:hint="eastAsia"/>
        </w:rPr>
        <w:t>基金经理根据基金合同的要求以及投资决策委员会的指导性意见，确定基金资产的配置比例。</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类别资产投资决策</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基金经理根据前述各类资产的投资策略，分别进行股票、债券和货币市场工具等资产类别的投资决策。</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（1）股票投资决策</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基金经理对影响消费行业各子行业的因素进行综合分析，确定并调整各子行业资产配置比例；</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基金经理从消费行业各子行业中选择具有较强竞争优势且估值具有吸引力的上市公司进行投资；</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基金经理根据各子行业及上市公司基本面变化、股票估值水平变化以及对组合风险的评估，持续地对组合进行优化调整。</w:t>
      </w:r>
    </w:p>
    <w:p w:rsidR="002F5370" w:rsidRPr="0001503D" w:rsidRDefault="002F5370"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（2）债券及货币市场工具的投资决策</w:t>
      </w:r>
    </w:p>
    <w:p w:rsidR="002F5370" w:rsidRPr="0001503D" w:rsidRDefault="002F5370" w:rsidP="000B57E8">
      <w:pPr>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5" w:name="_Toc28803570"/>
      <w:r w:rsidRPr="0001503D">
        <w:rPr>
          <w:rFonts w:asciiTheme="minorEastAsia" w:eastAsiaTheme="minorEastAsia" w:hAnsiTheme="minorEastAsia" w:hint="eastAsia"/>
          <w:b w:val="0"/>
        </w:rPr>
        <w:t>（九）投资限制</w:t>
      </w:r>
      <w:bookmarkEnd w:id="145"/>
    </w:p>
    <w:p w:rsidR="002F5370" w:rsidRPr="0001503D" w:rsidRDefault="002F5370" w:rsidP="000B57E8">
      <w:pPr>
        <w:snapToGrid w:val="0"/>
        <w:spacing w:line="360" w:lineRule="auto"/>
        <w:ind w:firstLine="540"/>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本基金的投资组合将遵循以下限制：</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cs="宋体" w:hint="eastAsia"/>
          <w:kern w:val="0"/>
          <w:szCs w:val="21"/>
        </w:rPr>
        <w:t>本基金持有一家上市公司的股票，其市值不超过基金资产净值的</w:t>
      </w:r>
      <w:r w:rsidR="002F5370" w:rsidRPr="0001503D">
        <w:rPr>
          <w:rFonts w:asciiTheme="minorEastAsia" w:eastAsiaTheme="minorEastAsia" w:hAnsiTheme="minorEastAsia" w:cs="ËÎÌå" w:hint="eastAsia"/>
          <w:kern w:val="0"/>
          <w:szCs w:val="21"/>
        </w:rPr>
        <w:t>10%</w:t>
      </w:r>
      <w:r w:rsidR="002F5370" w:rsidRPr="0001503D">
        <w:rPr>
          <w:rFonts w:asciiTheme="minorEastAsia" w:eastAsiaTheme="minorEastAsia" w:hAnsiTheme="minorEastAsia" w:cs="宋体" w:hint="eastAsia"/>
          <w:kern w:val="0"/>
          <w:szCs w:val="21"/>
        </w:rPr>
        <w:t>；</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cs="宋体" w:hint="eastAsia"/>
          <w:kern w:val="0"/>
          <w:szCs w:val="21"/>
        </w:rPr>
        <w:t>本基金与由本基金管理人管理的其他基金持有一家公司发行的证券，不超过该证券的</w:t>
      </w:r>
      <w:r w:rsidR="002F5370" w:rsidRPr="0001503D">
        <w:rPr>
          <w:rFonts w:asciiTheme="minorEastAsia" w:eastAsiaTheme="minorEastAsia" w:hAnsiTheme="minorEastAsia" w:cs="ËÎÌå" w:hint="eastAsia"/>
          <w:kern w:val="0"/>
          <w:szCs w:val="21"/>
        </w:rPr>
        <w:t>10%</w:t>
      </w:r>
      <w:r w:rsidR="002F5370" w:rsidRPr="0001503D">
        <w:rPr>
          <w:rFonts w:asciiTheme="minorEastAsia" w:eastAsiaTheme="minorEastAsia" w:hAnsiTheme="minorEastAsia" w:cs="宋体" w:hint="eastAsia"/>
          <w:kern w:val="0"/>
          <w:szCs w:val="21"/>
        </w:rPr>
        <w:t>；</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3、</w:t>
      </w:r>
      <w:r w:rsidR="002F5370" w:rsidRPr="0001503D">
        <w:rPr>
          <w:rFonts w:asciiTheme="minorEastAsia" w:eastAsiaTheme="minorEastAsia" w:hAnsiTheme="minorEastAsia" w:hint="eastAsia"/>
          <w:szCs w:val="21"/>
        </w:rPr>
        <w:t>进入全国银行间同业市场的债券回购融入的资金余额不得超过基金资产净值的40%；</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cs="宋体" w:hint="eastAsia"/>
          <w:kern w:val="0"/>
          <w:szCs w:val="21"/>
        </w:rPr>
        <w:t>本基金参与股票发行申购，本基金所申报的金额不超过本基金的总资产，本基金所申报的股票数量不超过拟发行股票公司本次发行股票的总量；</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5、</w:t>
      </w:r>
      <w:r w:rsidR="002F5370" w:rsidRPr="0001503D">
        <w:rPr>
          <w:rFonts w:asciiTheme="minorEastAsia" w:eastAsiaTheme="minorEastAsia" w:hAnsiTheme="minorEastAsia" w:cs="宋体" w:hint="eastAsia"/>
          <w:kern w:val="0"/>
          <w:szCs w:val="21"/>
        </w:rPr>
        <w:t>保持不低于基金资产净值5％的现金或者到期日在一年以内的政府债券</w:t>
      </w:r>
      <w:r w:rsidR="009E0617" w:rsidRPr="0001503D">
        <w:rPr>
          <w:rFonts w:asciiTheme="minorEastAsia" w:eastAsiaTheme="minorEastAsia" w:hAnsiTheme="minorEastAsia" w:cs="宋体" w:hint="eastAsia"/>
          <w:kern w:val="0"/>
          <w:szCs w:val="21"/>
        </w:rPr>
        <w:t>，现金不包括结算备付金、存出保证金、应收申购款等</w:t>
      </w:r>
      <w:r w:rsidR="002F5370" w:rsidRPr="0001503D">
        <w:rPr>
          <w:rFonts w:asciiTheme="minorEastAsia" w:eastAsiaTheme="minorEastAsia" w:hAnsiTheme="minorEastAsia" w:cs="宋体" w:hint="eastAsia"/>
          <w:kern w:val="0"/>
          <w:szCs w:val="21"/>
        </w:rPr>
        <w:t>；</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6、</w:t>
      </w:r>
      <w:r w:rsidR="002F5370" w:rsidRPr="0001503D">
        <w:rPr>
          <w:rFonts w:asciiTheme="minorEastAsia" w:eastAsiaTheme="minorEastAsia" w:hAnsiTheme="minorEastAsia" w:cs="宋体" w:hint="eastAsia"/>
          <w:kern w:val="0"/>
          <w:szCs w:val="21"/>
        </w:rPr>
        <w:t>本</w:t>
      </w:r>
      <w:r w:rsidR="002F5370" w:rsidRPr="0001503D">
        <w:rPr>
          <w:rFonts w:asciiTheme="minorEastAsia" w:eastAsiaTheme="minorEastAsia" w:hAnsiTheme="minorEastAsia" w:hint="eastAsia"/>
          <w:szCs w:val="21"/>
        </w:rPr>
        <w:t>基金投资权证，在任何交易日买入的总金额，不超过上一交易日基金资产净值的0.5%，基金持有的全部权证的市值不超过基金资产净值的3％，本基金管理人管理的全部基金持有同一权证的比例不超过该权证的10％。</w:t>
      </w:r>
    </w:p>
    <w:p w:rsidR="002F5370" w:rsidRPr="0001503D"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hint="eastAsia"/>
          <w:szCs w:val="21"/>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01503D" w:rsidRDefault="00137AE8" w:rsidP="000B57E8">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8、</w:t>
      </w:r>
      <w:r w:rsidR="002F5370" w:rsidRPr="0001503D">
        <w:rPr>
          <w:rFonts w:asciiTheme="minorEastAsia" w:eastAsiaTheme="minorEastAsia" w:hAnsiTheme="minorEastAsia" w:hint="eastAsia"/>
          <w:szCs w:val="21"/>
        </w:rPr>
        <w:t>本基金不得违反基金合同中有关投资范围、投资策略、投资比例的规定；</w:t>
      </w:r>
    </w:p>
    <w:p w:rsidR="008F3391" w:rsidRPr="0001503D"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9</w:t>
      </w:r>
      <w:r w:rsidRPr="0001503D">
        <w:rPr>
          <w:rFonts w:asciiTheme="minorEastAsia" w:eastAsiaTheme="minorEastAsia" w:hAnsiTheme="minorEastAsia" w:cs="宋体" w:hint="eastAsia"/>
          <w:kern w:val="0"/>
          <w:szCs w:val="21"/>
        </w:rPr>
        <w:t>、本基金管理人管理的全部开放式基金持有一家上市公司发行的可流通股票，不得超过该上市公司可流通股票的</w:t>
      </w:r>
      <w:r w:rsidRPr="0001503D">
        <w:rPr>
          <w:rFonts w:asciiTheme="minorEastAsia" w:eastAsiaTheme="minorEastAsia" w:hAnsiTheme="minorEastAsia" w:cs="宋体"/>
          <w:kern w:val="0"/>
          <w:szCs w:val="21"/>
        </w:rPr>
        <w:t>15%</w:t>
      </w:r>
      <w:r w:rsidRPr="0001503D">
        <w:rPr>
          <w:rFonts w:asciiTheme="minorEastAsia" w:eastAsiaTheme="minorEastAsia" w:hAnsiTheme="minorEastAsia" w:cs="宋体" w:hint="eastAsia"/>
          <w:kern w:val="0"/>
          <w:szCs w:val="21"/>
        </w:rPr>
        <w:t>；本基金管理人管理的全部投资组合持有一家上市公司发行的可流通股票，不得超过该上市公司可流通股票的</w:t>
      </w:r>
      <w:r w:rsidRPr="0001503D">
        <w:rPr>
          <w:rFonts w:asciiTheme="minorEastAsia" w:eastAsiaTheme="minorEastAsia" w:hAnsiTheme="minorEastAsia" w:cs="宋体"/>
          <w:kern w:val="0"/>
          <w:szCs w:val="21"/>
        </w:rPr>
        <w:t>30%</w:t>
      </w:r>
      <w:r w:rsidRPr="0001503D">
        <w:rPr>
          <w:rFonts w:asciiTheme="minorEastAsia" w:eastAsiaTheme="minorEastAsia" w:hAnsiTheme="minorEastAsia" w:cs="宋体" w:hint="eastAsia"/>
          <w:kern w:val="0"/>
          <w:szCs w:val="21"/>
        </w:rPr>
        <w:t>。</w:t>
      </w:r>
    </w:p>
    <w:p w:rsidR="008F3391" w:rsidRPr="0001503D"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10</w:t>
      </w:r>
      <w:r w:rsidRPr="0001503D">
        <w:rPr>
          <w:rFonts w:asciiTheme="minorEastAsia" w:eastAsiaTheme="minorEastAsia" w:hAnsiTheme="minorEastAsia" w:cs="宋体" w:hint="eastAsia"/>
          <w:kern w:val="0"/>
          <w:szCs w:val="21"/>
        </w:rPr>
        <w:t>、本基金主动投资于流动性受限资产的市值合计不得超过该基金资产净值的</w:t>
      </w:r>
      <w:r w:rsidRPr="0001503D">
        <w:rPr>
          <w:rFonts w:asciiTheme="minorEastAsia" w:eastAsiaTheme="minorEastAsia" w:hAnsiTheme="minorEastAsia" w:cs="宋体"/>
          <w:kern w:val="0"/>
          <w:szCs w:val="21"/>
        </w:rPr>
        <w:t>15%</w:t>
      </w:r>
      <w:r w:rsidRPr="0001503D">
        <w:rPr>
          <w:rFonts w:asciiTheme="minorEastAsia" w:eastAsiaTheme="minorEastAsia" w:hAnsiTheme="minorEastAsia" w:cs="宋体" w:hint="eastAsia"/>
          <w:kern w:val="0"/>
          <w:szCs w:val="21"/>
        </w:rPr>
        <w:t>。</w:t>
      </w:r>
    </w:p>
    <w:p w:rsidR="008F3391" w:rsidRPr="0001503D"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因证券市场波动、上市公司股票停牌、基金规模变动等基金管理人之外的因素致使基金不符合前款所规定比例限制的，基金管理人不得主动新增流动性受限资产的投资。</w:t>
      </w:r>
    </w:p>
    <w:p w:rsidR="008F3391" w:rsidRPr="0001503D"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11</w:t>
      </w:r>
      <w:r w:rsidRPr="0001503D">
        <w:rPr>
          <w:rFonts w:asciiTheme="minorEastAsia" w:eastAsiaTheme="minorEastAsia" w:hAnsiTheme="minorEastAsia" w:cs="宋体" w:hint="eastAsia"/>
          <w:kern w:val="0"/>
          <w:szCs w:val="21"/>
        </w:rPr>
        <w:t>、本基金与私募类证券资管产品及中国证监会认定的其他主体为交易对手开展逆回购交易的，可接受质押品的资质要求应当与基金合同约定的投资范围保持一致。</w:t>
      </w:r>
    </w:p>
    <w:p w:rsidR="002F5370" w:rsidRPr="0001503D"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12</w:t>
      </w:r>
      <w:r w:rsidRPr="0001503D">
        <w:rPr>
          <w:rFonts w:asciiTheme="minorEastAsia" w:eastAsiaTheme="minorEastAsia" w:hAnsiTheme="minorEastAsia" w:cs="宋体" w:hint="eastAsia"/>
          <w:kern w:val="0"/>
          <w:szCs w:val="21"/>
        </w:rPr>
        <w:t>、</w:t>
      </w:r>
      <w:r w:rsidR="002F5370" w:rsidRPr="0001503D">
        <w:rPr>
          <w:rFonts w:asciiTheme="minorEastAsia" w:eastAsiaTheme="minorEastAsia" w:hAnsiTheme="minorEastAsia" w:cs="宋体" w:hint="eastAsia"/>
          <w:kern w:val="0"/>
          <w:szCs w:val="21"/>
        </w:rPr>
        <w:t>法律法规或监管部门对上述比例限制另有规定的，从其规定。</w:t>
      </w:r>
    </w:p>
    <w:p w:rsidR="002F5370" w:rsidRPr="0001503D"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基金管理人应当自基金合同生效之日起六个月内使基金的投资组合比例符合基金合同的约定</w:t>
      </w:r>
      <w:r w:rsidRPr="0001503D">
        <w:rPr>
          <w:rFonts w:asciiTheme="minorEastAsia" w:eastAsiaTheme="minorEastAsia" w:hAnsiTheme="minorEastAsia" w:cs="宋体" w:hint="eastAsia"/>
          <w:kern w:val="0"/>
          <w:szCs w:val="21"/>
        </w:rPr>
        <w:t>。</w:t>
      </w:r>
      <w:r w:rsidR="008F3391" w:rsidRPr="0001503D">
        <w:rPr>
          <w:rFonts w:asciiTheme="minorEastAsia" w:eastAsiaTheme="minorEastAsia" w:hAnsiTheme="minorEastAsia" w:cs="宋体" w:hint="eastAsia"/>
          <w:kern w:val="0"/>
          <w:szCs w:val="21"/>
        </w:rPr>
        <w:t>除上述</w:t>
      </w:r>
      <w:r w:rsidR="008F3391" w:rsidRPr="0001503D">
        <w:rPr>
          <w:rFonts w:asciiTheme="minorEastAsia" w:eastAsiaTheme="minorEastAsia" w:hAnsiTheme="minorEastAsia" w:cs="宋体"/>
          <w:kern w:val="0"/>
          <w:szCs w:val="21"/>
        </w:rPr>
        <w:t>4</w:t>
      </w:r>
      <w:r w:rsidR="008F3391" w:rsidRPr="0001503D">
        <w:rPr>
          <w:rFonts w:asciiTheme="minorEastAsia" w:eastAsiaTheme="minorEastAsia" w:hAnsiTheme="minorEastAsia" w:cs="宋体" w:hint="eastAsia"/>
          <w:kern w:val="0"/>
          <w:szCs w:val="21"/>
        </w:rPr>
        <w:t>、</w:t>
      </w:r>
      <w:r w:rsidR="008F3391" w:rsidRPr="0001503D">
        <w:rPr>
          <w:rFonts w:asciiTheme="minorEastAsia" w:eastAsiaTheme="minorEastAsia" w:hAnsiTheme="minorEastAsia" w:cs="宋体"/>
          <w:kern w:val="0"/>
          <w:szCs w:val="21"/>
        </w:rPr>
        <w:t>5</w:t>
      </w:r>
      <w:r w:rsidR="008F3391" w:rsidRPr="0001503D">
        <w:rPr>
          <w:rFonts w:asciiTheme="minorEastAsia" w:eastAsiaTheme="minorEastAsia" w:hAnsiTheme="minorEastAsia" w:cs="宋体" w:hint="eastAsia"/>
          <w:kern w:val="0"/>
          <w:szCs w:val="21"/>
        </w:rPr>
        <w:t>、</w:t>
      </w:r>
      <w:r w:rsidR="008F3391" w:rsidRPr="0001503D">
        <w:rPr>
          <w:rFonts w:asciiTheme="minorEastAsia" w:eastAsiaTheme="minorEastAsia" w:hAnsiTheme="minorEastAsia" w:cs="宋体"/>
          <w:kern w:val="0"/>
          <w:szCs w:val="21"/>
        </w:rPr>
        <w:t>10</w:t>
      </w:r>
      <w:r w:rsidR="008F3391" w:rsidRPr="0001503D">
        <w:rPr>
          <w:rFonts w:asciiTheme="minorEastAsia" w:eastAsiaTheme="minorEastAsia" w:hAnsiTheme="minorEastAsia" w:cs="宋体" w:hint="eastAsia"/>
          <w:kern w:val="0"/>
          <w:szCs w:val="21"/>
        </w:rPr>
        <w:t>、</w:t>
      </w:r>
      <w:r w:rsidR="008F3391" w:rsidRPr="0001503D">
        <w:rPr>
          <w:rFonts w:asciiTheme="minorEastAsia" w:eastAsiaTheme="minorEastAsia" w:hAnsiTheme="minorEastAsia" w:cs="宋体"/>
          <w:kern w:val="0"/>
          <w:szCs w:val="21"/>
        </w:rPr>
        <w:t>11</w:t>
      </w:r>
      <w:r w:rsidR="008F3391" w:rsidRPr="0001503D">
        <w:rPr>
          <w:rFonts w:asciiTheme="minorEastAsia" w:eastAsiaTheme="minorEastAsia" w:hAnsiTheme="minorEastAsia" w:cs="宋体" w:hint="eastAsia"/>
          <w:kern w:val="0"/>
          <w:szCs w:val="21"/>
        </w:rPr>
        <w:t>以外，</w:t>
      </w:r>
      <w:r w:rsidRPr="0001503D">
        <w:rPr>
          <w:rFonts w:asciiTheme="minorEastAsia" w:eastAsiaTheme="minorEastAsia" w:hAnsiTheme="minorEastAsia" w:cs="宋体" w:hint="eastAsia"/>
          <w:kern w:val="0"/>
          <w:szCs w:val="21"/>
        </w:rPr>
        <w:t>在</w:t>
      </w:r>
      <w:r w:rsidRPr="0001503D">
        <w:rPr>
          <w:rFonts w:asciiTheme="minorEastAsia" w:eastAsiaTheme="minorEastAsia" w:hAnsiTheme="minorEastAsia" w:hint="eastAsia"/>
          <w:szCs w:val="21"/>
        </w:rPr>
        <w:t>符合相关法律法规规定的前提下，</w:t>
      </w:r>
      <w:r w:rsidRPr="0001503D">
        <w:rPr>
          <w:rFonts w:asciiTheme="minorEastAsia" w:eastAsiaTheme="minorEastAsia" w:hAnsiTheme="minorEastAsia" w:cs="宋体" w:hint="eastAsia"/>
          <w:kern w:val="0"/>
          <w:szCs w:val="21"/>
        </w:rPr>
        <w:t>因证券市场波动、上市公司合并、基金规模变动等非本基金管理人的因素致使基金的投资组合不符合上述规定的投资比例的，基金管理人应当在10个交易日内进行调整。法律法规或监管部门另有规定的，从其规定。</w:t>
      </w:r>
    </w:p>
    <w:p w:rsidR="002F5370" w:rsidRPr="0001503D"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01503D">
        <w:rPr>
          <w:rFonts w:asciiTheme="minorEastAsia" w:eastAsiaTheme="minorEastAsia" w:hAnsiTheme="minorEastAsia" w:hint="eastAsia"/>
          <w:szCs w:val="21"/>
        </w:rPr>
        <w:t>若法律法规或监管部门取消上述限制，履行适当程序后，本基金投资可不受上述规定限制。</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6" w:name="_Toc28803571"/>
      <w:r w:rsidRPr="0001503D">
        <w:rPr>
          <w:rFonts w:asciiTheme="minorEastAsia" w:eastAsiaTheme="minorEastAsia" w:hAnsiTheme="minorEastAsia" w:hint="eastAsia"/>
          <w:b w:val="0"/>
        </w:rPr>
        <w:t>（十）禁止行为</w:t>
      </w:r>
      <w:bookmarkEnd w:id="146"/>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为维护基金份额持有人的合法权益，本基金禁止从事下列行为：</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1、</w:t>
      </w:r>
      <w:r w:rsidR="002F5370" w:rsidRPr="0001503D">
        <w:rPr>
          <w:rFonts w:asciiTheme="minorEastAsia" w:eastAsiaTheme="minorEastAsia" w:hAnsiTheme="minorEastAsia" w:hint="eastAsia"/>
          <w:szCs w:val="21"/>
        </w:rPr>
        <w:t>承销证券；</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向他人贷款或者提供担保；</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从事承担无限责任的投资；</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买卖其他基金份额，但是国务院另有规定的除外；</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hint="eastAsia"/>
          <w:szCs w:val="21"/>
        </w:rPr>
        <w:t>向基金管理人、基金托管人出资或者买卖基金管理人、基金托管人发行的股票或者债券；</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002F5370" w:rsidRPr="0001503D">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hint="eastAsia"/>
          <w:szCs w:val="21"/>
        </w:rPr>
        <w:t>从事内幕交易、操纵证券交易价格及其他不正当的证券交易活动；</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w:t>
      </w:r>
      <w:r w:rsidR="002F5370" w:rsidRPr="0001503D">
        <w:rPr>
          <w:rFonts w:asciiTheme="minorEastAsia" w:eastAsiaTheme="minorEastAsia" w:hAnsiTheme="minorEastAsia" w:hint="eastAsia"/>
          <w:szCs w:val="21"/>
        </w:rPr>
        <w:t>依照法律法规有关规定，由中国证监会规定禁止的其他活动。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若法律法规或监管部门取消上述禁止性规定，履行适当程序后，本基金投资可不受上述规定限制。</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7" w:name="_Toc28803572"/>
      <w:r w:rsidRPr="0001503D">
        <w:rPr>
          <w:rFonts w:asciiTheme="minorEastAsia" w:eastAsiaTheme="minorEastAsia" w:hAnsiTheme="minorEastAsia" w:hint="eastAsia"/>
          <w:b w:val="0"/>
        </w:rPr>
        <w:t>（十一）基金管理人代表基金行使股东权利的处理原则及方法</w:t>
      </w:r>
      <w:bookmarkEnd w:id="147"/>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基金管理人按照国家有关规定代表基金独立行使股东权利，保护基金份额持有人的利益；</w:t>
      </w:r>
    </w:p>
    <w:p w:rsidR="002F5370" w:rsidRPr="0001503D" w:rsidRDefault="00137AE8" w:rsidP="009B264B">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不谋求对上市公司的控股，不参与所投资上市公司的经营管理；</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有利于基金财产的安全与增值；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不通过关联交易为自身、雇员、授权代理人或任何存在利害关系的第三人牟取任何不当利益。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8" w:name="_Toc28803573"/>
      <w:r w:rsidRPr="0001503D">
        <w:rPr>
          <w:rFonts w:asciiTheme="minorEastAsia" w:eastAsiaTheme="minorEastAsia" w:hAnsiTheme="minorEastAsia" w:hint="eastAsia"/>
          <w:b w:val="0"/>
        </w:rPr>
        <w:t>（十二）基金的融资、融券</w:t>
      </w:r>
      <w:bookmarkEnd w:id="148"/>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本基金可以根据有关法律法规和政策的规定进行融资、融券。</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9" w:name="_Toc28803574"/>
      <w:bookmarkEnd w:id="134"/>
      <w:bookmarkEnd w:id="136"/>
      <w:bookmarkEnd w:id="137"/>
      <w:r w:rsidRPr="0001503D">
        <w:rPr>
          <w:rFonts w:asciiTheme="minorEastAsia" w:eastAsiaTheme="minorEastAsia" w:hAnsiTheme="minorEastAsia" w:hint="eastAsia"/>
          <w:b w:val="0"/>
        </w:rPr>
        <w:t>（十三）基金投资组合报告（未经审计）</w:t>
      </w:r>
      <w:bookmarkEnd w:id="149"/>
    </w:p>
    <w:p w:rsidR="002F5370" w:rsidRPr="0001503D"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2F5370" w:rsidRPr="0001503D"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本基金的托管人中国农业银行股份有限公司根据本基金合同的规定，复核了本报告的内容，保证复核内容不存在虚假记载、误导性陈述或者重大遗漏。</w:t>
      </w:r>
    </w:p>
    <w:p w:rsidR="001230FD" w:rsidRPr="0001503D" w:rsidRDefault="008E79F6" w:rsidP="00D458C1">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本投资组合报告有关数据的期间为2020年1月1日至2020年3月31日</w:t>
      </w:r>
      <w:r w:rsidR="002F5370" w:rsidRPr="0001503D">
        <w:rPr>
          <w:rFonts w:asciiTheme="minorEastAsia" w:eastAsiaTheme="minorEastAsia" w:hAnsiTheme="minorEastAsia" w:hint="eastAsia"/>
          <w:sz w:val="21"/>
          <w:szCs w:val="21"/>
        </w:rPr>
        <w:t>。</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占基金总资产的比例（%）</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14,606,687,688.72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82.41</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E79F6" w:rsidRPr="0001503D" w:rsidRDefault="008E79F6">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14,606,687,688.72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82.41</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17,898,024.50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0.10</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E79F6" w:rsidRPr="0001503D" w:rsidRDefault="008E79F6">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17,898,024.50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0.10</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E79F6" w:rsidRPr="0001503D" w:rsidRDefault="008E79F6">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8E79F6" w:rsidRPr="0001503D" w:rsidRDefault="008E79F6">
            <w:pPr>
              <w:spacing w:before="29" w:line="300" w:lineRule="auto"/>
              <w:ind w:leftChars="50" w:left="105"/>
              <w:rPr>
                <w:rFonts w:asciiTheme="minorEastAsia" w:eastAsiaTheme="minorEastAsia" w:hAnsiTheme="minorEastAsia"/>
                <w:kern w:val="0"/>
              </w:rPr>
            </w:pPr>
            <w:r w:rsidRPr="0001503D">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909,201,374.60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5.13</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E79F6" w:rsidRPr="0001503D" w:rsidRDefault="008E79F6">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2,053,770,387.89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11.59</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left"/>
              <w:rPr>
                <w:rFonts w:asciiTheme="minorEastAsia" w:eastAsiaTheme="minorEastAsia" w:hAnsiTheme="minorEastAsia"/>
                <w:kern w:val="0"/>
              </w:rPr>
            </w:pPr>
            <w:r w:rsidRPr="0001503D">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136,507,204.18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0.77</w:t>
            </w:r>
          </w:p>
        </w:tc>
      </w:tr>
      <w:tr w:rsidR="0001503D" w:rsidRPr="0001503D" w:rsidTr="008E79F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left"/>
              <w:rPr>
                <w:rFonts w:asciiTheme="minorEastAsia" w:eastAsiaTheme="minorEastAsia" w:hAnsiTheme="minorEastAsia"/>
                <w:kern w:val="0"/>
              </w:rPr>
            </w:pPr>
            <w:r w:rsidRPr="0001503D">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17,724,064,679.89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100.00</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2、报告期末按行业分类的股票投资组合</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（1）报告期末按行业分类的境内股票投资组合</w:t>
      </w:r>
    </w:p>
    <w:tbl>
      <w:tblPr>
        <w:tblW w:w="79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3222"/>
        <w:gridCol w:w="2705"/>
        <w:gridCol w:w="1420"/>
      </w:tblGrid>
      <w:tr w:rsidR="0001503D" w:rsidRPr="0001503D" w:rsidTr="008E79F6">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占基金资产净值比例（％）</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243,481,182.78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1.38</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p w:rsidR="008E79F6" w:rsidRPr="0001503D" w:rsidRDefault="008E79F6">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p w:rsidR="008E79F6" w:rsidRPr="0001503D" w:rsidRDefault="008E79F6">
            <w:pPr>
              <w:spacing w:line="300" w:lineRule="auto"/>
              <w:jc w:val="right"/>
              <w:rPr>
                <w:rFonts w:asciiTheme="minorEastAsia" w:eastAsiaTheme="minorEastAsia" w:hAnsiTheme="minorEastAsia"/>
                <w:kern w:val="0"/>
              </w:rPr>
            </w:pP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14,354,244,100.55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81.55</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0.00</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0.03</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3,810,333.32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0.02</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0.00</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20,639.46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0.00</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adjustRightInd w:val="0"/>
              <w:snapToGrid w:val="0"/>
              <w:spacing w:line="300" w:lineRule="auto"/>
              <w:jc w:val="center"/>
              <w:rPr>
                <w:rFonts w:asciiTheme="minorEastAsia" w:eastAsiaTheme="minorEastAsia" w:hAnsiTheme="minorEastAsia"/>
                <w:kern w:val="0"/>
              </w:rPr>
            </w:pPr>
            <w:r w:rsidRPr="0001503D">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79F6" w:rsidRPr="0001503D" w:rsidRDefault="008E79F6">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E79F6" w:rsidRPr="0001503D" w:rsidRDefault="008E79F6">
            <w:pPr>
              <w:adjustRightInd w:val="0"/>
              <w:snapToGrid w:val="0"/>
              <w:spacing w:line="300" w:lineRule="auto"/>
              <w:rPr>
                <w:rFonts w:asciiTheme="minorEastAsia" w:eastAsiaTheme="minorEastAsia" w:hAnsiTheme="minorEastAsia"/>
                <w:kern w:val="0"/>
              </w:rPr>
            </w:pPr>
            <w:r w:rsidRPr="0001503D">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14,606,687,688.72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E79F6" w:rsidRPr="0001503D" w:rsidRDefault="008E79F6">
            <w:pPr>
              <w:spacing w:line="300" w:lineRule="auto"/>
              <w:jc w:val="right"/>
              <w:rPr>
                <w:rFonts w:asciiTheme="minorEastAsia" w:eastAsiaTheme="minorEastAsia" w:hAnsiTheme="minorEastAsia"/>
                <w:kern w:val="0"/>
              </w:rPr>
            </w:pPr>
            <w:r w:rsidRPr="0001503D">
              <w:rPr>
                <w:rFonts w:asciiTheme="minorEastAsia" w:eastAsiaTheme="minorEastAsia" w:hAnsiTheme="minorEastAsia" w:hint="eastAsia"/>
                <w:kern w:val="0"/>
              </w:rPr>
              <w:t>82.99</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3、报告期末按公允价值占基金资产净值比例大小排序的前十名股票投资明细</w:t>
      </w:r>
    </w:p>
    <w:tbl>
      <w:tblPr>
        <w:tblW w:w="7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1164"/>
        <w:gridCol w:w="1291"/>
        <w:gridCol w:w="1543"/>
        <w:gridCol w:w="2023"/>
        <w:gridCol w:w="1190"/>
      </w:tblGrid>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cstheme="minorBidi"/>
                <w:kern w:val="0"/>
              </w:rPr>
            </w:pPr>
            <w:r w:rsidRPr="0001503D">
              <w:rPr>
                <w:rFonts w:asciiTheme="minorEastAsia" w:eastAsiaTheme="minorEastAsia" w:hAnsiTheme="minorEastAsia" w:hint="eastAsia"/>
                <w:kern w:val="0"/>
              </w:rPr>
              <w:t>序号</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股票代码</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股票名称</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数量（股）</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公允价值（元）</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占基金资产净值比例（％）</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1"/>
              </w:rPr>
            </w:pPr>
            <w:r w:rsidRPr="0001503D">
              <w:rPr>
                <w:rFonts w:asciiTheme="minorEastAsia" w:eastAsiaTheme="minorEastAsia" w:hAnsiTheme="minorEastAsia" w:hint="eastAsia"/>
                <w:kern w:val="0"/>
              </w:rPr>
              <w:t>1</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2"/>
              </w:rPr>
            </w:pPr>
            <w:r w:rsidRPr="0001503D">
              <w:rPr>
                <w:rFonts w:asciiTheme="minorEastAsia" w:eastAsiaTheme="minorEastAsia" w:hAnsiTheme="minorEastAsia" w:hint="eastAsia"/>
                <w:kern w:val="0"/>
              </w:rPr>
              <w:t>000860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顺鑫农业</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28,437,617</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1,745,785,307.63</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9.92</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2</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600519</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贵州茅台</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1,508,677</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1,676,140,147.00</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9.52</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3</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000858</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五粮液</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14,450,419</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1,664,688,268.80</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9.46</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4</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600809</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山西汾酒</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16,859,958</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1,520,431,012.44</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8.64</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000333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美的集团</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29,832,493</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1,444,489,311.06</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8.21</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6</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000568</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泸州老窖</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19,521,463</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1,437,755,749.95</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8.17</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7</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000651</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格力电器</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25,449,122</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1,328,444,168.40</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7.55</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8</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000596</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古井贡酒</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11,456,769</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1,308,706,722.87</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7.44</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9</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600887</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伊利股份</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14,468,529</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432,030,275.94</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2.45</w:t>
            </w:r>
          </w:p>
        </w:tc>
      </w:tr>
      <w:tr w:rsidR="0001503D" w:rsidRPr="0001503D" w:rsidTr="0001503D">
        <w:tc>
          <w:tcPr>
            <w:tcW w:w="7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10</w:t>
            </w:r>
          </w:p>
        </w:tc>
        <w:tc>
          <w:tcPr>
            <w:tcW w:w="116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000423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东阿阿胶</w:t>
            </w:r>
          </w:p>
        </w:tc>
        <w:tc>
          <w:tcPr>
            <w:tcW w:w="154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16,694,779</w:t>
            </w:r>
          </w:p>
        </w:tc>
        <w:tc>
          <w:tcPr>
            <w:tcW w:w="2023"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429,723,611.46</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2.44</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4、报告期末按债券品种分类的债券投资组合</w:t>
      </w:r>
    </w:p>
    <w:tbl>
      <w:tblPr>
        <w:tblStyle w:val="afa"/>
        <w:tblW w:w="7995" w:type="dxa"/>
        <w:jc w:val="center"/>
        <w:tblLayout w:type="fixed"/>
        <w:tblLook w:val="04A0" w:firstRow="1" w:lastRow="0" w:firstColumn="1" w:lastColumn="0" w:noHBand="0" w:noVBand="1"/>
      </w:tblPr>
      <w:tblGrid>
        <w:gridCol w:w="760"/>
        <w:gridCol w:w="2966"/>
        <w:gridCol w:w="2685"/>
        <w:gridCol w:w="1584"/>
      </w:tblGrid>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占基金资产净值比例(％)</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8E79F6" w:rsidRPr="0001503D" w:rsidRDefault="008E79F6">
            <w:pPr>
              <w:spacing w:before="29" w:line="300" w:lineRule="auto"/>
              <w:ind w:left="17"/>
              <w:jc w:val="center"/>
              <w:rPr>
                <w:rFonts w:asciiTheme="minorEastAsia" w:eastAsiaTheme="minorEastAsia" w:hAnsiTheme="minorEastAsia"/>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17,898,024.50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0.10</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lastRenderedPageBreak/>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left"/>
              <w:rPr>
                <w:rFonts w:asciiTheme="minorEastAsia" w:eastAsiaTheme="minorEastAsia" w:hAnsiTheme="minorEastAsia"/>
                <w:kern w:val="0"/>
              </w:rPr>
            </w:pPr>
            <w:r w:rsidRPr="0001503D">
              <w:rPr>
                <w:rFonts w:asciiTheme="minorEastAsia" w:eastAsiaTheme="minorEastAsia" w:hAnsiTheme="minorEastAsia" w:hint="eastAsia"/>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17,898,024.50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right"/>
              <w:rPr>
                <w:rFonts w:asciiTheme="minorEastAsia" w:eastAsiaTheme="minorEastAsia" w:hAnsiTheme="minorEastAsia"/>
                <w:kern w:val="0"/>
              </w:rPr>
            </w:pPr>
            <w:r w:rsidRPr="0001503D">
              <w:rPr>
                <w:rFonts w:asciiTheme="minorEastAsia" w:eastAsiaTheme="minorEastAsia" w:hAnsiTheme="minorEastAsia" w:hint="eastAsia"/>
                <w:kern w:val="0"/>
              </w:rPr>
              <w:t>0.10</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5、报告期末按公允价值占基金资产净值比例大小排序的前五名债券投资明细</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5"/>
        <w:gridCol w:w="1198"/>
        <w:gridCol w:w="1197"/>
        <w:gridCol w:w="1461"/>
        <w:gridCol w:w="1853"/>
        <w:gridCol w:w="1381"/>
      </w:tblGrid>
      <w:tr w:rsidR="0001503D" w:rsidRPr="0001503D" w:rsidTr="008E79F6">
        <w:tc>
          <w:tcPr>
            <w:tcW w:w="95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cstheme="minorBidi"/>
                <w:kern w:val="0"/>
              </w:rPr>
            </w:pPr>
            <w:r w:rsidRPr="0001503D">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债券名称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数量（张）</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公允价值（元）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占基金资产净值比例（％）</w:t>
            </w:r>
          </w:p>
        </w:tc>
      </w:tr>
      <w:tr w:rsidR="0001503D" w:rsidRPr="0001503D" w:rsidTr="008E79F6">
        <w:tc>
          <w:tcPr>
            <w:tcW w:w="95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1"/>
              </w:rPr>
            </w:pPr>
            <w:r w:rsidRPr="0001503D">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2"/>
              </w:rPr>
            </w:pPr>
            <w:r w:rsidRPr="0001503D">
              <w:rPr>
                <w:rFonts w:asciiTheme="minorEastAsia" w:eastAsiaTheme="minorEastAsia" w:hAnsiTheme="minorEastAsia" w:hint="eastAsia"/>
                <w:kern w:val="0"/>
              </w:rPr>
              <w:t>113543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欧派转债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59,390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7,233,702.00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0.04</w:t>
            </w:r>
          </w:p>
        </w:tc>
      </w:tr>
      <w:tr w:rsidR="0001503D" w:rsidRPr="0001503D" w:rsidTr="008E79F6">
        <w:tc>
          <w:tcPr>
            <w:tcW w:w="95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113544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桃李转债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51,250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6,446,737.50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0.04</w:t>
            </w:r>
          </w:p>
        </w:tc>
      </w:tr>
      <w:tr w:rsidR="0001503D" w:rsidRPr="0001503D" w:rsidTr="008E79F6">
        <w:tc>
          <w:tcPr>
            <w:tcW w:w="95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128045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机电转债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2,638,910.00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0.01</w:t>
            </w:r>
          </w:p>
        </w:tc>
      </w:tr>
      <w:tr w:rsidR="0001503D" w:rsidRPr="0001503D" w:rsidTr="008E79F6">
        <w:tc>
          <w:tcPr>
            <w:tcW w:w="95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113021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中信转债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14,550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1,578,675.00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0.01</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6、报告期末按公允价值占基金资产净值比例大小排序的前十名资产支持证券投资明细</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本基金本报告期末未持有资产支持证券。</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7、报告期末按公允价值占基金资产净值比例大小排序的前五名贵金属投资明细</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本基金本报告期末未持有贵金属。</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8、报告期末按公允价值占基金资产净值比例大小排序的前五名权证投资明细</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本基金本报告期末未持有权证。</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9、报告期末本基金投资的股指期货交易情况说明</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本基金本报告期末未投资股指期货。</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10、报告期末本基金投资的国债期货交易情况说明</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本基金本报告期末未投资国债期货。</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11、投资组合报告附注</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1）格力电器（代码：000651）为易方达消费行业股票型证券投资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本基金投资格力电器的投资决策程序符合公司投资制度的规定。</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除格力电器外，本基金投资的前十名证券的发行主体本期没有出现被监管部门立案调查，或在报告编制日前一年内受到公开谴责、处罚的情形。</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（2）本基金投资的前十名股票没有超出基金合同规定的备选股票库。</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6"/>
        <w:gridCol w:w="2295"/>
        <w:gridCol w:w="4539"/>
      </w:tblGrid>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金额（元）</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lastRenderedPageBreak/>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993,730.15</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271,096.84</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540,515.81</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134,701,861.38</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w:t>
            </w:r>
          </w:p>
        </w:tc>
      </w:tr>
      <w:tr w:rsidR="0001503D" w:rsidRPr="0001503D" w:rsidTr="008E79F6">
        <w:tc>
          <w:tcPr>
            <w:tcW w:w="1235"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center"/>
              <w:rPr>
                <w:rFonts w:asciiTheme="minorEastAsia" w:eastAsiaTheme="minorEastAsia" w:hAnsiTheme="minorEastAsia"/>
                <w:kern w:val="0"/>
              </w:rPr>
            </w:pPr>
            <w:r w:rsidRPr="0001503D">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left"/>
              <w:rPr>
                <w:rFonts w:asciiTheme="minorEastAsia" w:eastAsiaTheme="minorEastAsia" w:hAnsiTheme="minorEastAsia"/>
                <w:kern w:val="0"/>
              </w:rPr>
            </w:pPr>
            <w:r w:rsidRPr="0001503D">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autoSpaceDE w:val="0"/>
              <w:autoSpaceDN w:val="0"/>
              <w:adjustRightInd w:val="0"/>
              <w:spacing w:before="29" w:line="300" w:lineRule="auto"/>
              <w:ind w:left="15"/>
              <w:jc w:val="right"/>
              <w:rPr>
                <w:rFonts w:asciiTheme="minorEastAsia" w:eastAsiaTheme="minorEastAsia" w:hAnsiTheme="minorEastAsia"/>
                <w:kern w:val="0"/>
              </w:rPr>
            </w:pPr>
            <w:r w:rsidRPr="0001503D">
              <w:rPr>
                <w:rFonts w:asciiTheme="minorEastAsia" w:eastAsiaTheme="minorEastAsia" w:hAnsiTheme="minorEastAsia" w:hint="eastAsia"/>
                <w:kern w:val="0"/>
              </w:rPr>
              <w:t>136,507,204.18</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（4）报告期末持有的处于转股期的可转换债券明细</w:t>
      </w:r>
    </w:p>
    <w:tbl>
      <w:tblPr>
        <w:tblW w:w="79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624"/>
        <w:gridCol w:w="1558"/>
        <w:gridCol w:w="1594"/>
        <w:gridCol w:w="1523"/>
      </w:tblGrid>
      <w:tr w:rsidR="0001503D" w:rsidRPr="0001503D" w:rsidTr="008E79F6">
        <w:tc>
          <w:tcPr>
            <w:tcW w:w="1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cstheme="minorBidi"/>
                <w:kern w:val="0"/>
              </w:rPr>
            </w:pPr>
            <w:r w:rsidRPr="0001503D">
              <w:rPr>
                <w:rFonts w:asciiTheme="minorEastAsia" w:eastAsiaTheme="minorEastAsia" w:hAnsiTheme="minorEastAsia" w:hint="eastAsia"/>
                <w:kern w:val="0"/>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公允价值（元）</w:t>
            </w:r>
          </w:p>
        </w:tc>
        <w:tc>
          <w:tcPr>
            <w:tcW w:w="162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before="29" w:line="300" w:lineRule="auto"/>
              <w:ind w:left="17"/>
              <w:jc w:val="center"/>
              <w:rPr>
                <w:rFonts w:asciiTheme="minorEastAsia" w:eastAsiaTheme="minorEastAsia" w:hAnsiTheme="minorEastAsia"/>
                <w:kern w:val="0"/>
              </w:rPr>
            </w:pPr>
            <w:r w:rsidRPr="0001503D">
              <w:rPr>
                <w:rFonts w:asciiTheme="minorEastAsia" w:eastAsiaTheme="minorEastAsia" w:hAnsiTheme="minorEastAsia" w:hint="eastAsia"/>
                <w:kern w:val="0"/>
              </w:rPr>
              <w:t>占基金资产净值比例（%）</w:t>
            </w:r>
          </w:p>
        </w:tc>
      </w:tr>
      <w:tr w:rsidR="0001503D" w:rsidRPr="0001503D" w:rsidTr="008E79F6">
        <w:tc>
          <w:tcPr>
            <w:tcW w:w="1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1"/>
              </w:rPr>
            </w:pPr>
            <w:r w:rsidRPr="0001503D">
              <w:rPr>
                <w:rFonts w:asciiTheme="minorEastAsia" w:eastAsiaTheme="minorEastAsia" w:hAnsiTheme="minorEastAsia" w:hint="eastAsia"/>
                <w:kern w:val="0"/>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szCs w:val="22"/>
              </w:rPr>
            </w:pPr>
            <w:r w:rsidRPr="0001503D">
              <w:rPr>
                <w:rFonts w:asciiTheme="minorEastAsia" w:eastAsiaTheme="minorEastAsia" w:hAnsiTheme="minorEastAsia" w:hint="eastAsia"/>
                <w:kern w:val="0"/>
              </w:rPr>
              <w:t>113543</w:t>
            </w:r>
          </w:p>
        </w:tc>
        <w:tc>
          <w:tcPr>
            <w:tcW w:w="165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欧派转债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7,233,702.00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0.04</w:t>
            </w:r>
          </w:p>
        </w:tc>
      </w:tr>
      <w:tr w:rsidR="0001503D" w:rsidRPr="0001503D" w:rsidTr="008E79F6">
        <w:tc>
          <w:tcPr>
            <w:tcW w:w="1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113544</w:t>
            </w:r>
          </w:p>
        </w:tc>
        <w:tc>
          <w:tcPr>
            <w:tcW w:w="165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桃李转债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6,446,737.50</w:t>
            </w:r>
          </w:p>
        </w:tc>
        <w:tc>
          <w:tcPr>
            <w:tcW w:w="162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0.04</w:t>
            </w:r>
          </w:p>
        </w:tc>
      </w:tr>
      <w:tr w:rsidR="0001503D" w:rsidRPr="0001503D" w:rsidTr="008E79F6">
        <w:tc>
          <w:tcPr>
            <w:tcW w:w="1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128045</w:t>
            </w:r>
          </w:p>
        </w:tc>
        <w:tc>
          <w:tcPr>
            <w:tcW w:w="165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机电转债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2,638,910.00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0.01</w:t>
            </w:r>
          </w:p>
        </w:tc>
      </w:tr>
      <w:tr w:rsidR="0001503D" w:rsidRPr="0001503D" w:rsidTr="008E79F6">
        <w:tc>
          <w:tcPr>
            <w:tcW w:w="180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113021</w:t>
            </w:r>
          </w:p>
        </w:tc>
        <w:tc>
          <w:tcPr>
            <w:tcW w:w="1658"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center"/>
              <w:rPr>
                <w:rFonts w:asciiTheme="minorEastAsia" w:eastAsiaTheme="minorEastAsia" w:hAnsiTheme="minorEastAsia"/>
              </w:rPr>
            </w:pPr>
            <w:r w:rsidRPr="0001503D">
              <w:rPr>
                <w:rFonts w:asciiTheme="minorEastAsia" w:eastAsiaTheme="minorEastAsia" w:hAnsiTheme="minorEastAsia" w:hint="eastAsia"/>
                <w:kern w:val="0"/>
              </w:rPr>
              <w:t>中信转债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1,578,675.00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8E79F6" w:rsidRPr="0001503D" w:rsidRDefault="008E79F6">
            <w:pPr>
              <w:spacing w:line="300" w:lineRule="auto"/>
              <w:jc w:val="right"/>
              <w:rPr>
                <w:rFonts w:asciiTheme="minorEastAsia" w:eastAsiaTheme="minorEastAsia" w:hAnsiTheme="minorEastAsia"/>
              </w:rPr>
            </w:pPr>
            <w:r w:rsidRPr="0001503D">
              <w:rPr>
                <w:rFonts w:asciiTheme="minorEastAsia" w:eastAsiaTheme="minorEastAsia" w:hAnsiTheme="minorEastAsia" w:hint="eastAsia"/>
                <w:kern w:val="0"/>
              </w:rPr>
              <w:t>0.01</w:t>
            </w:r>
          </w:p>
        </w:tc>
      </w:tr>
    </w:tbl>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（5）报告期末前十名股票中存在流通受限情况的说明</w:t>
      </w:r>
    </w:p>
    <w:p w:rsidR="008E79F6" w:rsidRPr="0001503D" w:rsidRDefault="008E79F6" w:rsidP="0001503D">
      <w:pPr>
        <w:pStyle w:val="af1"/>
        <w:snapToGrid w:val="0"/>
        <w:spacing w:line="360" w:lineRule="auto"/>
        <w:ind w:firstLineChars="200" w:firstLine="420"/>
        <w:rPr>
          <w:rFonts w:asciiTheme="minorEastAsia" w:eastAsiaTheme="minorEastAsia" w:hAnsiTheme="minorEastAsia"/>
          <w:sz w:val="21"/>
          <w:szCs w:val="21"/>
        </w:rPr>
      </w:pPr>
      <w:r w:rsidRPr="0001503D">
        <w:rPr>
          <w:rFonts w:asciiTheme="minorEastAsia" w:eastAsiaTheme="minorEastAsia" w:hAnsiTheme="minorEastAsia" w:hint="eastAsia"/>
          <w:sz w:val="21"/>
          <w:szCs w:val="21"/>
        </w:rPr>
        <w:t>本基金本报告期末前十名股票中不存在流通受限情况。</w:t>
      </w:r>
    </w:p>
    <w:p w:rsidR="00402503" w:rsidRPr="0001503D" w:rsidRDefault="00402503">
      <w:pPr>
        <w:widowControl/>
        <w:jc w:val="left"/>
        <w:rPr>
          <w:rFonts w:asciiTheme="minorEastAsia" w:eastAsiaTheme="minorEastAsia" w:hAnsiTheme="minorEastAsia"/>
          <w:szCs w:val="22"/>
        </w:rPr>
      </w:pPr>
      <w:r w:rsidRPr="0001503D">
        <w:rPr>
          <w:rFonts w:asciiTheme="minorEastAsia" w:eastAsiaTheme="minorEastAsia" w:hAnsiTheme="minorEastAsia"/>
          <w:szCs w:val="22"/>
        </w:rPr>
        <w:br w:type="page"/>
      </w:r>
    </w:p>
    <w:p w:rsidR="008E79F6" w:rsidRPr="0001503D" w:rsidRDefault="008E79F6" w:rsidP="008E79F6">
      <w:pPr>
        <w:spacing w:line="300" w:lineRule="auto"/>
        <w:rPr>
          <w:rFonts w:asciiTheme="minorEastAsia" w:eastAsiaTheme="minorEastAsia" w:hAnsiTheme="minorEastAsia"/>
          <w:szCs w:val="22"/>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150" w:name="_Toc276631719"/>
      <w:bookmarkStart w:id="151" w:name="_Toc28803575"/>
      <w:r w:rsidRPr="0001503D">
        <w:rPr>
          <w:rFonts w:asciiTheme="minorEastAsia" w:eastAsiaTheme="minorEastAsia" w:hAnsiTheme="minorEastAsia" w:hint="eastAsia"/>
          <w:bCs/>
        </w:rPr>
        <w:t>十二、基金的业绩</w:t>
      </w:r>
      <w:bookmarkEnd w:id="150"/>
      <w:bookmarkEnd w:id="151"/>
    </w:p>
    <w:p w:rsidR="002F5370" w:rsidRPr="0001503D" w:rsidRDefault="002F5370" w:rsidP="000B57E8">
      <w:pPr>
        <w:autoSpaceDE w:val="0"/>
        <w:autoSpaceDN w:val="0"/>
        <w:adjustRightInd w:val="0"/>
        <w:snapToGrid w:val="0"/>
        <w:spacing w:line="360" w:lineRule="auto"/>
        <w:ind w:firstLine="420"/>
        <w:rPr>
          <w:rFonts w:asciiTheme="minorEastAsia" w:eastAsiaTheme="minorEastAsia" w:hAnsiTheme="minorEastAsia"/>
          <w:kern w:val="0"/>
        </w:rPr>
      </w:pPr>
      <w:r w:rsidRPr="0001503D">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01503D">
        <w:rPr>
          <w:rFonts w:asciiTheme="minorEastAsia" w:eastAsiaTheme="minorEastAsia" w:hAnsiTheme="minorEastAsia" w:hint="eastAsia"/>
          <w:kern w:val="0"/>
        </w:rPr>
        <w:t>作出</w:t>
      </w:r>
      <w:r w:rsidRPr="0001503D">
        <w:rPr>
          <w:rFonts w:asciiTheme="minorEastAsia" w:eastAsiaTheme="minorEastAsia" w:hAnsiTheme="minorEastAsia"/>
          <w:kern w:val="0"/>
        </w:rPr>
        <w:t>投资决策前应仔细阅读本基金的招募说明书。</w:t>
      </w:r>
    </w:p>
    <w:p w:rsidR="002F5370" w:rsidRPr="0001503D" w:rsidRDefault="002F5370" w:rsidP="000B57E8">
      <w:pPr>
        <w:autoSpaceDE w:val="0"/>
        <w:autoSpaceDN w:val="0"/>
        <w:adjustRightInd w:val="0"/>
        <w:snapToGrid w:val="0"/>
        <w:spacing w:line="360" w:lineRule="auto"/>
        <w:ind w:firstLine="420"/>
        <w:rPr>
          <w:rFonts w:asciiTheme="minorEastAsia" w:eastAsiaTheme="minorEastAsia" w:hAnsiTheme="minorEastAsia"/>
          <w:kern w:val="0"/>
          <w:szCs w:val="21"/>
        </w:rPr>
      </w:pPr>
      <w:r w:rsidRPr="0001503D">
        <w:rPr>
          <w:rFonts w:asciiTheme="minorEastAsia" w:eastAsiaTheme="minorEastAsia" w:hAnsiTheme="minorEastAsia" w:hint="eastAsia"/>
          <w:kern w:val="0"/>
        </w:rPr>
        <w:t>本基金</w:t>
      </w:r>
      <w:r w:rsidRPr="0001503D">
        <w:rPr>
          <w:rFonts w:asciiTheme="minorEastAsia" w:eastAsiaTheme="minorEastAsia" w:hAnsiTheme="minorEastAsia" w:hint="eastAsia"/>
          <w:kern w:val="0"/>
          <w:szCs w:val="21"/>
        </w:rPr>
        <w:t>合同生效日为2010年8月20日，</w:t>
      </w:r>
      <w:r w:rsidR="008E79F6" w:rsidRPr="0001503D">
        <w:rPr>
          <w:rFonts w:asciiTheme="minorEastAsia" w:eastAsiaTheme="minorEastAsia" w:hAnsiTheme="minorEastAsia" w:hint="eastAsia"/>
          <w:kern w:val="0"/>
          <w:szCs w:val="21"/>
        </w:rPr>
        <w:t>基金合同生效以来（截至</w:t>
      </w:r>
      <w:r w:rsidR="00744A94" w:rsidRPr="0001503D">
        <w:rPr>
          <w:rFonts w:asciiTheme="minorEastAsia" w:eastAsiaTheme="minorEastAsia" w:hAnsiTheme="minorEastAsia" w:hint="eastAsia"/>
          <w:kern w:val="0"/>
          <w:szCs w:val="21"/>
        </w:rPr>
        <w:t>2020年6月30日</w:t>
      </w:r>
      <w:r w:rsidR="008E79F6" w:rsidRPr="0001503D">
        <w:rPr>
          <w:rFonts w:asciiTheme="minorEastAsia" w:eastAsiaTheme="minorEastAsia" w:hAnsiTheme="minorEastAsia" w:hint="eastAsia"/>
          <w:kern w:val="0"/>
          <w:szCs w:val="21"/>
        </w:rPr>
        <w:t>）的投资业绩及与同期基准的比较如下表所示</w:t>
      </w:r>
      <w:r w:rsidRPr="0001503D">
        <w:rPr>
          <w:rFonts w:asciiTheme="minorEastAsia" w:eastAsiaTheme="minorEastAsia" w:hAnsiTheme="minorEastAsia" w:hint="eastAsia"/>
          <w:kern w:val="0"/>
          <w:szCs w:val="21"/>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02"/>
        <w:gridCol w:w="1080"/>
        <w:gridCol w:w="1440"/>
        <w:gridCol w:w="1440"/>
        <w:gridCol w:w="900"/>
        <w:gridCol w:w="900"/>
      </w:tblGrid>
      <w:tr w:rsidR="0001503D" w:rsidRPr="0001503D" w:rsidTr="00843CA5">
        <w:trPr>
          <w:trHeight w:val="315"/>
        </w:trPr>
        <w:tc>
          <w:tcPr>
            <w:tcW w:w="1418" w:type="dxa"/>
            <w:vAlign w:val="center"/>
          </w:tcPr>
          <w:p w:rsidR="002F5370" w:rsidRPr="0001503D" w:rsidRDefault="002F5370" w:rsidP="000B57E8">
            <w:pPr>
              <w:snapToGrid w:val="0"/>
              <w:spacing w:line="360" w:lineRule="auto"/>
              <w:jc w:val="center"/>
              <w:rPr>
                <w:rFonts w:asciiTheme="minorEastAsia" w:eastAsiaTheme="minorEastAsia" w:hAnsiTheme="minorEastAsia" w:cs="Arial Unicode MS"/>
                <w:szCs w:val="21"/>
              </w:rPr>
            </w:pPr>
            <w:r w:rsidRPr="0001503D">
              <w:rPr>
                <w:rFonts w:asciiTheme="minorEastAsia" w:eastAsiaTheme="minorEastAsia" w:hAnsiTheme="minorEastAsia" w:hint="eastAsia"/>
                <w:szCs w:val="21"/>
              </w:rPr>
              <w:t>阶段</w:t>
            </w:r>
          </w:p>
        </w:tc>
        <w:tc>
          <w:tcPr>
            <w:tcW w:w="1102" w:type="dxa"/>
            <w:vAlign w:val="center"/>
          </w:tcPr>
          <w:p w:rsidR="002F5370" w:rsidRPr="0001503D" w:rsidRDefault="002F5370" w:rsidP="000B57E8">
            <w:pPr>
              <w:snapToGrid w:val="0"/>
              <w:spacing w:line="360" w:lineRule="auto"/>
              <w:jc w:val="center"/>
              <w:rPr>
                <w:rFonts w:asciiTheme="minorEastAsia" w:eastAsiaTheme="minorEastAsia" w:hAnsiTheme="minorEastAsia" w:cs="Arial Unicode MS"/>
                <w:szCs w:val="21"/>
              </w:rPr>
            </w:pPr>
            <w:r w:rsidRPr="0001503D">
              <w:rPr>
                <w:rFonts w:asciiTheme="minorEastAsia" w:eastAsiaTheme="minorEastAsia" w:hAnsiTheme="minorEastAsia" w:hint="eastAsia"/>
                <w:szCs w:val="21"/>
              </w:rPr>
              <w:t>净值增长率（</w:t>
            </w:r>
            <w:r w:rsidRPr="0001503D">
              <w:rPr>
                <w:rFonts w:asciiTheme="minorEastAsia" w:eastAsiaTheme="minorEastAsia" w:hAnsiTheme="minorEastAsia"/>
                <w:szCs w:val="21"/>
              </w:rPr>
              <w:t>1）</w:t>
            </w:r>
          </w:p>
        </w:tc>
        <w:tc>
          <w:tcPr>
            <w:tcW w:w="1080" w:type="dxa"/>
            <w:vAlign w:val="center"/>
          </w:tcPr>
          <w:p w:rsidR="002F5370" w:rsidRPr="0001503D" w:rsidRDefault="002F5370" w:rsidP="000B57E8">
            <w:pPr>
              <w:snapToGrid w:val="0"/>
              <w:spacing w:line="360" w:lineRule="auto"/>
              <w:jc w:val="center"/>
              <w:rPr>
                <w:rFonts w:asciiTheme="minorEastAsia" w:eastAsiaTheme="minorEastAsia" w:hAnsiTheme="minorEastAsia" w:cs="Arial Unicode MS"/>
                <w:szCs w:val="21"/>
              </w:rPr>
            </w:pPr>
            <w:r w:rsidRPr="0001503D">
              <w:rPr>
                <w:rFonts w:asciiTheme="minorEastAsia" w:eastAsiaTheme="minorEastAsia" w:hAnsiTheme="minorEastAsia" w:hint="eastAsia"/>
                <w:szCs w:val="21"/>
              </w:rPr>
              <w:t>净值增长率标准差（</w:t>
            </w:r>
            <w:r w:rsidRPr="0001503D">
              <w:rPr>
                <w:rFonts w:asciiTheme="minorEastAsia" w:eastAsiaTheme="minorEastAsia" w:hAnsiTheme="minorEastAsia"/>
                <w:szCs w:val="21"/>
              </w:rPr>
              <w:t>2）</w:t>
            </w:r>
          </w:p>
        </w:tc>
        <w:tc>
          <w:tcPr>
            <w:tcW w:w="1440" w:type="dxa"/>
            <w:vAlign w:val="center"/>
          </w:tcPr>
          <w:p w:rsidR="002F5370" w:rsidRPr="0001503D" w:rsidRDefault="002F5370" w:rsidP="000B57E8">
            <w:pPr>
              <w:snapToGrid w:val="0"/>
              <w:spacing w:line="360" w:lineRule="auto"/>
              <w:jc w:val="center"/>
              <w:rPr>
                <w:rFonts w:asciiTheme="minorEastAsia" w:eastAsiaTheme="minorEastAsia" w:hAnsiTheme="minorEastAsia" w:cs="Arial Unicode MS"/>
                <w:szCs w:val="21"/>
              </w:rPr>
            </w:pPr>
            <w:r w:rsidRPr="0001503D">
              <w:rPr>
                <w:rFonts w:asciiTheme="minorEastAsia" w:eastAsiaTheme="minorEastAsia" w:hAnsiTheme="minorEastAsia" w:hint="eastAsia"/>
                <w:szCs w:val="21"/>
              </w:rPr>
              <w:t>业绩比较基准收益率（</w:t>
            </w:r>
            <w:r w:rsidRPr="0001503D">
              <w:rPr>
                <w:rFonts w:asciiTheme="minorEastAsia" w:eastAsiaTheme="minorEastAsia" w:hAnsiTheme="minorEastAsia"/>
                <w:szCs w:val="21"/>
              </w:rPr>
              <w:t>3）</w:t>
            </w:r>
          </w:p>
        </w:tc>
        <w:tc>
          <w:tcPr>
            <w:tcW w:w="1440" w:type="dxa"/>
            <w:vAlign w:val="center"/>
          </w:tcPr>
          <w:p w:rsidR="002F5370" w:rsidRPr="0001503D" w:rsidRDefault="002F5370" w:rsidP="000B57E8">
            <w:pPr>
              <w:snapToGrid w:val="0"/>
              <w:spacing w:line="360" w:lineRule="auto"/>
              <w:jc w:val="center"/>
              <w:rPr>
                <w:rFonts w:asciiTheme="minorEastAsia" w:eastAsiaTheme="minorEastAsia" w:hAnsiTheme="minorEastAsia" w:cs="Arial Unicode MS"/>
                <w:szCs w:val="21"/>
              </w:rPr>
            </w:pPr>
            <w:r w:rsidRPr="0001503D">
              <w:rPr>
                <w:rFonts w:asciiTheme="minorEastAsia" w:eastAsiaTheme="minorEastAsia" w:hAnsiTheme="minorEastAsia" w:hint="eastAsia"/>
                <w:szCs w:val="21"/>
              </w:rPr>
              <w:t>业绩比较基准收益率标准差（</w:t>
            </w:r>
            <w:r w:rsidRPr="0001503D">
              <w:rPr>
                <w:rFonts w:asciiTheme="minorEastAsia" w:eastAsiaTheme="minorEastAsia" w:hAnsiTheme="minorEastAsia"/>
                <w:szCs w:val="21"/>
              </w:rPr>
              <w:t>4）</w:t>
            </w:r>
          </w:p>
        </w:tc>
        <w:tc>
          <w:tcPr>
            <w:tcW w:w="900" w:type="dxa"/>
            <w:vAlign w:val="center"/>
          </w:tcPr>
          <w:p w:rsidR="002F5370" w:rsidRPr="0001503D" w:rsidRDefault="002F5370" w:rsidP="000B57E8">
            <w:pPr>
              <w:snapToGrid w:val="0"/>
              <w:spacing w:line="360" w:lineRule="auto"/>
              <w:ind w:leftChars="-51" w:left="-107" w:rightChars="-51" w:right="-107"/>
              <w:jc w:val="center"/>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p>
        </w:tc>
        <w:tc>
          <w:tcPr>
            <w:tcW w:w="900" w:type="dxa"/>
            <w:vAlign w:val="center"/>
          </w:tcPr>
          <w:p w:rsidR="002F5370" w:rsidRPr="0001503D" w:rsidRDefault="002F5370" w:rsidP="000B57E8">
            <w:pPr>
              <w:snapToGrid w:val="0"/>
              <w:spacing w:line="360" w:lineRule="auto"/>
              <w:ind w:leftChars="-51" w:left="-107"/>
              <w:jc w:val="center"/>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p>
        </w:tc>
      </w:tr>
      <w:tr w:rsidR="0001503D" w:rsidRPr="0001503D" w:rsidTr="00843CA5">
        <w:trPr>
          <w:trHeight w:val="300"/>
        </w:trPr>
        <w:tc>
          <w:tcPr>
            <w:tcW w:w="1418" w:type="dxa"/>
            <w:vAlign w:val="center"/>
          </w:tcPr>
          <w:p w:rsidR="002F5370" w:rsidRPr="0001503D" w:rsidRDefault="00344AA2" w:rsidP="000B57E8">
            <w:pPr>
              <w:snapToGrid w:val="0"/>
              <w:spacing w:line="360" w:lineRule="auto"/>
              <w:ind w:leftChars="-51" w:left="-107" w:rightChars="-51" w:right="-107"/>
              <w:rPr>
                <w:rFonts w:asciiTheme="minorEastAsia" w:eastAsiaTheme="minorEastAsia" w:hAnsiTheme="minorEastAsia" w:cs="Arial Unicode MS"/>
                <w:szCs w:val="21"/>
              </w:rPr>
            </w:pPr>
            <w:r w:rsidRPr="0001503D">
              <w:rPr>
                <w:rFonts w:asciiTheme="minorEastAsia" w:eastAsiaTheme="minorEastAsia" w:hAnsiTheme="minorEastAsia" w:hint="eastAsia"/>
                <w:kern w:val="0"/>
                <w:szCs w:val="21"/>
              </w:rPr>
              <w:t>自基金合同生效日至</w:t>
            </w:r>
            <w:r w:rsidR="002F5370" w:rsidRPr="0001503D">
              <w:rPr>
                <w:rFonts w:asciiTheme="minorEastAsia" w:eastAsiaTheme="minorEastAsia" w:hAnsiTheme="minorEastAsia" w:hint="eastAsia"/>
                <w:kern w:val="0"/>
                <w:szCs w:val="21"/>
              </w:rPr>
              <w:t>2010年12月31日</w:t>
            </w:r>
          </w:p>
        </w:tc>
        <w:tc>
          <w:tcPr>
            <w:tcW w:w="1102"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Arial Unicode MS"/>
                <w:szCs w:val="21"/>
              </w:rPr>
            </w:pPr>
            <w:r w:rsidRPr="0001503D">
              <w:rPr>
                <w:rFonts w:asciiTheme="minorEastAsia" w:eastAsiaTheme="minorEastAsia" w:hAnsiTheme="minorEastAsia" w:cs="TimesNewRoman" w:hint="eastAsia"/>
                <w:kern w:val="0"/>
                <w:szCs w:val="21"/>
              </w:rPr>
              <w:t>-</w:t>
            </w:r>
            <w:r w:rsidRPr="0001503D">
              <w:rPr>
                <w:rFonts w:asciiTheme="minorEastAsia" w:eastAsiaTheme="minorEastAsia" w:hAnsiTheme="minorEastAsia" w:cs="TimesNewRoman"/>
                <w:kern w:val="0"/>
                <w:szCs w:val="21"/>
              </w:rPr>
              <w:t>1.70%</w:t>
            </w:r>
          </w:p>
        </w:tc>
        <w:tc>
          <w:tcPr>
            <w:tcW w:w="1080" w:type="dxa"/>
            <w:vAlign w:val="center"/>
          </w:tcPr>
          <w:p w:rsidR="002F5370" w:rsidRPr="0001503D"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01503D">
              <w:rPr>
                <w:rFonts w:asciiTheme="minorEastAsia" w:eastAsiaTheme="minorEastAsia" w:hAnsiTheme="minorEastAsia" w:cs="TimesNewRoman"/>
                <w:kern w:val="0"/>
                <w:szCs w:val="21"/>
              </w:rPr>
              <w:t>0.84%</w:t>
            </w:r>
          </w:p>
        </w:tc>
        <w:tc>
          <w:tcPr>
            <w:tcW w:w="1440" w:type="dxa"/>
            <w:vAlign w:val="center"/>
          </w:tcPr>
          <w:p w:rsidR="002F5370" w:rsidRPr="0001503D"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01503D">
              <w:rPr>
                <w:rFonts w:asciiTheme="minorEastAsia" w:eastAsiaTheme="minorEastAsia" w:hAnsiTheme="minorEastAsia" w:cs="TimesNewRoman"/>
                <w:kern w:val="0"/>
                <w:szCs w:val="21"/>
              </w:rPr>
              <w:t>4.83%</w:t>
            </w:r>
          </w:p>
        </w:tc>
        <w:tc>
          <w:tcPr>
            <w:tcW w:w="1440" w:type="dxa"/>
            <w:vAlign w:val="center"/>
          </w:tcPr>
          <w:p w:rsidR="002F5370" w:rsidRPr="0001503D"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01503D">
              <w:rPr>
                <w:rFonts w:asciiTheme="minorEastAsia" w:eastAsiaTheme="minorEastAsia" w:hAnsiTheme="minorEastAsia" w:cs="TimesNewRoman"/>
                <w:kern w:val="0"/>
                <w:szCs w:val="21"/>
              </w:rPr>
              <w:t>1.45%</w:t>
            </w:r>
          </w:p>
        </w:tc>
        <w:tc>
          <w:tcPr>
            <w:tcW w:w="900" w:type="dxa"/>
            <w:vAlign w:val="center"/>
          </w:tcPr>
          <w:p w:rsidR="002F5370" w:rsidRPr="0001503D"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-6.53%</w:t>
            </w:r>
          </w:p>
        </w:tc>
        <w:tc>
          <w:tcPr>
            <w:tcW w:w="900" w:type="dxa"/>
            <w:vAlign w:val="center"/>
          </w:tcPr>
          <w:p w:rsidR="002F5370" w:rsidRPr="0001503D"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-0.61%</w:t>
            </w:r>
          </w:p>
        </w:tc>
      </w:tr>
      <w:tr w:rsidR="0001503D" w:rsidRPr="0001503D" w:rsidTr="00843CA5">
        <w:trPr>
          <w:trHeight w:val="300"/>
        </w:trPr>
        <w:tc>
          <w:tcPr>
            <w:tcW w:w="1418" w:type="dxa"/>
            <w:vAlign w:val="center"/>
          </w:tcPr>
          <w:p w:rsidR="002F5370" w:rsidRPr="0001503D" w:rsidRDefault="002F5370" w:rsidP="000B57E8">
            <w:pPr>
              <w:snapToGrid w:val="0"/>
              <w:spacing w:line="360" w:lineRule="auto"/>
              <w:ind w:leftChars="-51" w:left="-107" w:rightChars="-51" w:right="-107"/>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2011年1月1日至2011年12月31日</w:t>
            </w:r>
          </w:p>
        </w:tc>
        <w:tc>
          <w:tcPr>
            <w:tcW w:w="1102"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-15.06%</w:t>
            </w:r>
          </w:p>
        </w:tc>
        <w:tc>
          <w:tcPr>
            <w:tcW w:w="1080"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1.05%</w:t>
            </w:r>
          </w:p>
        </w:tc>
        <w:tc>
          <w:tcPr>
            <w:tcW w:w="1440"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-15.83%</w:t>
            </w:r>
          </w:p>
        </w:tc>
        <w:tc>
          <w:tcPr>
            <w:tcW w:w="1440"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1.05%</w:t>
            </w:r>
          </w:p>
        </w:tc>
        <w:tc>
          <w:tcPr>
            <w:tcW w:w="900"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0.77%</w:t>
            </w:r>
          </w:p>
        </w:tc>
        <w:tc>
          <w:tcPr>
            <w:tcW w:w="900" w:type="dxa"/>
            <w:vAlign w:val="center"/>
          </w:tcPr>
          <w:p w:rsidR="002F5370" w:rsidRPr="0001503D"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0.00%</w:t>
            </w:r>
          </w:p>
        </w:tc>
      </w:tr>
      <w:tr w:rsidR="0001503D" w:rsidRPr="0001503D" w:rsidTr="00843CA5">
        <w:trPr>
          <w:trHeight w:val="300"/>
        </w:trPr>
        <w:tc>
          <w:tcPr>
            <w:tcW w:w="1418" w:type="dxa"/>
            <w:vAlign w:val="center"/>
          </w:tcPr>
          <w:p w:rsidR="002367F2" w:rsidRPr="0001503D" w:rsidRDefault="002367F2" w:rsidP="000B57E8">
            <w:pPr>
              <w:snapToGrid w:val="0"/>
              <w:spacing w:line="360" w:lineRule="auto"/>
              <w:ind w:leftChars="-51" w:left="-107" w:rightChars="-51" w:right="-107"/>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2012年1月1日至2012年12月31日</w:t>
            </w:r>
          </w:p>
        </w:tc>
        <w:tc>
          <w:tcPr>
            <w:tcW w:w="1102"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-2.28%</w:t>
            </w:r>
          </w:p>
        </w:tc>
        <w:tc>
          <w:tcPr>
            <w:tcW w:w="1080"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1.11%</w:t>
            </w:r>
          </w:p>
        </w:tc>
        <w:tc>
          <w:tcPr>
            <w:tcW w:w="1440"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0.54%</w:t>
            </w:r>
          </w:p>
        </w:tc>
        <w:tc>
          <w:tcPr>
            <w:tcW w:w="1440"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1.08%</w:t>
            </w:r>
          </w:p>
        </w:tc>
        <w:tc>
          <w:tcPr>
            <w:tcW w:w="900"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-2.82%</w:t>
            </w:r>
          </w:p>
        </w:tc>
        <w:tc>
          <w:tcPr>
            <w:tcW w:w="900" w:type="dxa"/>
            <w:vAlign w:val="center"/>
          </w:tcPr>
          <w:p w:rsidR="002367F2" w:rsidRPr="0001503D"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0.03%</w:t>
            </w:r>
          </w:p>
        </w:tc>
      </w:tr>
      <w:tr w:rsidR="0001503D" w:rsidRPr="0001503D" w:rsidTr="00843CA5">
        <w:trPr>
          <w:trHeight w:val="300"/>
        </w:trPr>
        <w:tc>
          <w:tcPr>
            <w:tcW w:w="1418" w:type="dxa"/>
            <w:vAlign w:val="center"/>
          </w:tcPr>
          <w:p w:rsidR="006E58A1" w:rsidRPr="0001503D" w:rsidRDefault="006E58A1" w:rsidP="000B57E8">
            <w:pPr>
              <w:snapToGrid w:val="0"/>
              <w:spacing w:line="360" w:lineRule="auto"/>
              <w:ind w:leftChars="-51" w:left="-107" w:rightChars="-51" w:right="-107"/>
              <w:rPr>
                <w:rFonts w:asciiTheme="minorEastAsia" w:eastAsiaTheme="minorEastAsia" w:hAnsiTheme="minorEastAsia"/>
                <w:kern w:val="0"/>
                <w:szCs w:val="21"/>
              </w:rPr>
            </w:pPr>
            <w:r w:rsidRPr="0001503D">
              <w:rPr>
                <w:rFonts w:asciiTheme="minorEastAsia" w:eastAsiaTheme="minorEastAsia" w:hAnsiTheme="minorEastAsia" w:hint="eastAsia"/>
                <w:szCs w:val="21"/>
              </w:rPr>
              <w:t>2013年1月1日至2013年12月31日</w:t>
            </w:r>
          </w:p>
        </w:tc>
        <w:tc>
          <w:tcPr>
            <w:tcW w:w="1102"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17.40%</w:t>
            </w:r>
          </w:p>
        </w:tc>
        <w:tc>
          <w:tcPr>
            <w:tcW w:w="1080"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1.13%</w:t>
            </w:r>
          </w:p>
        </w:tc>
        <w:tc>
          <w:tcPr>
            <w:tcW w:w="1440"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5.49%</w:t>
            </w:r>
          </w:p>
        </w:tc>
        <w:tc>
          <w:tcPr>
            <w:tcW w:w="1440"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1.09%</w:t>
            </w:r>
          </w:p>
        </w:tc>
        <w:tc>
          <w:tcPr>
            <w:tcW w:w="900"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11.91%</w:t>
            </w:r>
          </w:p>
        </w:tc>
        <w:tc>
          <w:tcPr>
            <w:tcW w:w="900" w:type="dxa"/>
            <w:vAlign w:val="center"/>
          </w:tcPr>
          <w:p w:rsidR="006E58A1" w:rsidRPr="0001503D"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hint="eastAsia"/>
                <w:kern w:val="0"/>
                <w:szCs w:val="21"/>
              </w:rPr>
              <w:t>0.04%</w:t>
            </w:r>
          </w:p>
        </w:tc>
      </w:tr>
      <w:tr w:rsidR="0001503D" w:rsidRPr="0001503D" w:rsidTr="00843CA5">
        <w:trPr>
          <w:trHeight w:val="300"/>
        </w:trPr>
        <w:tc>
          <w:tcPr>
            <w:tcW w:w="1418" w:type="dxa"/>
            <w:vAlign w:val="center"/>
          </w:tcPr>
          <w:p w:rsidR="00F02DFA" w:rsidRPr="0001503D" w:rsidRDefault="00ED75A4" w:rsidP="000B57E8">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szCs w:val="21"/>
              </w:rPr>
              <w:t>2014</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日至</w:t>
            </w:r>
            <w:r w:rsidRPr="0001503D">
              <w:rPr>
                <w:rFonts w:asciiTheme="minorEastAsia" w:eastAsiaTheme="minorEastAsia" w:hAnsiTheme="minorEastAsia"/>
                <w:szCs w:val="21"/>
              </w:rPr>
              <w:t>2014</w:t>
            </w:r>
            <w:r w:rsidRPr="0001503D">
              <w:rPr>
                <w:rFonts w:asciiTheme="minorEastAsia" w:eastAsiaTheme="minorEastAsia" w:hAnsiTheme="minorEastAsia" w:hint="eastAsia"/>
                <w:szCs w:val="21"/>
              </w:rPr>
              <w:t>年12月</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1日</w:t>
            </w:r>
          </w:p>
        </w:tc>
        <w:tc>
          <w:tcPr>
            <w:tcW w:w="1102"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8.46%</w:t>
            </w:r>
          </w:p>
        </w:tc>
        <w:tc>
          <w:tcPr>
            <w:tcW w:w="1080"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1.08%</w:t>
            </w:r>
          </w:p>
        </w:tc>
        <w:tc>
          <w:tcPr>
            <w:tcW w:w="1440"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14.69%</w:t>
            </w:r>
          </w:p>
        </w:tc>
        <w:tc>
          <w:tcPr>
            <w:tcW w:w="1440"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1.00%</w:t>
            </w:r>
          </w:p>
        </w:tc>
        <w:tc>
          <w:tcPr>
            <w:tcW w:w="900"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-6.23%</w:t>
            </w:r>
          </w:p>
        </w:tc>
        <w:tc>
          <w:tcPr>
            <w:tcW w:w="900" w:type="dxa"/>
            <w:vAlign w:val="center"/>
          </w:tcPr>
          <w:p w:rsidR="00ED75A4" w:rsidRPr="0001503D"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0.08%</w:t>
            </w:r>
          </w:p>
        </w:tc>
      </w:tr>
      <w:tr w:rsidR="0001503D" w:rsidRPr="0001503D" w:rsidTr="008F264C">
        <w:trPr>
          <w:trHeight w:val="1258"/>
        </w:trPr>
        <w:tc>
          <w:tcPr>
            <w:tcW w:w="1418" w:type="dxa"/>
            <w:vAlign w:val="center"/>
          </w:tcPr>
          <w:p w:rsidR="00E94940" w:rsidRPr="0001503D" w:rsidRDefault="00C32CA7" w:rsidP="000B57E8">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szCs w:val="21"/>
              </w:rPr>
              <w:t>201</w:t>
            </w:r>
            <w:r w:rsidRPr="0001503D">
              <w:rPr>
                <w:rFonts w:asciiTheme="minorEastAsia" w:eastAsiaTheme="minorEastAsia" w:hAnsiTheme="minorEastAsia" w:hint="eastAsia"/>
                <w:szCs w:val="21"/>
              </w:rPr>
              <w:t>5年</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日至</w:t>
            </w:r>
            <w:r w:rsidRPr="0001503D">
              <w:rPr>
                <w:rFonts w:asciiTheme="minorEastAsia" w:eastAsiaTheme="minorEastAsia" w:hAnsiTheme="minorEastAsia"/>
                <w:szCs w:val="21"/>
              </w:rPr>
              <w:t>201</w:t>
            </w:r>
            <w:r w:rsidRPr="0001503D">
              <w:rPr>
                <w:rFonts w:asciiTheme="minorEastAsia" w:eastAsiaTheme="minorEastAsia" w:hAnsiTheme="minorEastAsia" w:hint="eastAsia"/>
                <w:szCs w:val="21"/>
              </w:rPr>
              <w:t>5年12月</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1日</w:t>
            </w:r>
          </w:p>
        </w:tc>
        <w:tc>
          <w:tcPr>
            <w:tcW w:w="1102"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26.85%</w:t>
            </w:r>
          </w:p>
        </w:tc>
        <w:tc>
          <w:tcPr>
            <w:tcW w:w="1080"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2.36%</w:t>
            </w:r>
          </w:p>
        </w:tc>
        <w:tc>
          <w:tcPr>
            <w:tcW w:w="1440"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20.01%</w:t>
            </w:r>
          </w:p>
        </w:tc>
        <w:tc>
          <w:tcPr>
            <w:tcW w:w="1440"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2.08%</w:t>
            </w:r>
          </w:p>
        </w:tc>
        <w:tc>
          <w:tcPr>
            <w:tcW w:w="900"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6.84%</w:t>
            </w:r>
          </w:p>
        </w:tc>
        <w:tc>
          <w:tcPr>
            <w:tcW w:w="900" w:type="dxa"/>
            <w:vAlign w:val="center"/>
          </w:tcPr>
          <w:p w:rsidR="00C32CA7" w:rsidRPr="0001503D"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0.28%</w:t>
            </w:r>
          </w:p>
        </w:tc>
      </w:tr>
      <w:tr w:rsidR="0001503D" w:rsidRPr="0001503D" w:rsidTr="00843CA5">
        <w:trPr>
          <w:trHeight w:val="300"/>
        </w:trPr>
        <w:tc>
          <w:tcPr>
            <w:tcW w:w="1418" w:type="dxa"/>
            <w:vAlign w:val="center"/>
          </w:tcPr>
          <w:p w:rsidR="00FD3799" w:rsidRPr="0001503D" w:rsidRDefault="006E7F68">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01</w:t>
            </w:r>
            <w:r w:rsidRPr="0001503D">
              <w:rPr>
                <w:rFonts w:asciiTheme="minorEastAsia" w:eastAsiaTheme="minorEastAsia" w:hAnsiTheme="minorEastAsia" w:hint="eastAsia"/>
                <w:szCs w:val="21"/>
              </w:rPr>
              <w:t>6年</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日至</w:t>
            </w:r>
            <w:r w:rsidRPr="0001503D">
              <w:rPr>
                <w:rFonts w:asciiTheme="minorEastAsia" w:eastAsiaTheme="minorEastAsia" w:hAnsiTheme="minorEastAsia"/>
                <w:szCs w:val="21"/>
              </w:rPr>
              <w:t>201</w:t>
            </w:r>
            <w:r w:rsidRPr="0001503D">
              <w:rPr>
                <w:rFonts w:asciiTheme="minorEastAsia" w:eastAsiaTheme="minorEastAsia" w:hAnsiTheme="minorEastAsia" w:hint="eastAsia"/>
                <w:szCs w:val="21"/>
              </w:rPr>
              <w:t>6年</w:t>
            </w:r>
            <w:r w:rsidR="00633BB7" w:rsidRPr="0001503D">
              <w:rPr>
                <w:rFonts w:asciiTheme="minorEastAsia" w:eastAsiaTheme="minorEastAsia" w:hAnsiTheme="minorEastAsia"/>
                <w:szCs w:val="21"/>
              </w:rPr>
              <w:t>12</w:t>
            </w:r>
            <w:r w:rsidRPr="0001503D">
              <w:rPr>
                <w:rFonts w:asciiTheme="minorEastAsia" w:eastAsiaTheme="minorEastAsia" w:hAnsiTheme="minorEastAsia" w:hint="eastAsia"/>
                <w:szCs w:val="21"/>
              </w:rPr>
              <w:t>月</w:t>
            </w:r>
            <w:r w:rsidR="00633BB7" w:rsidRPr="0001503D">
              <w:rPr>
                <w:rFonts w:asciiTheme="minorEastAsia" w:eastAsiaTheme="minorEastAsia" w:hAnsiTheme="minorEastAsia"/>
                <w:szCs w:val="21"/>
              </w:rPr>
              <w:t>31</w:t>
            </w:r>
            <w:r w:rsidRPr="0001503D">
              <w:rPr>
                <w:rFonts w:asciiTheme="minorEastAsia" w:eastAsiaTheme="minorEastAsia" w:hAnsiTheme="minorEastAsia" w:hint="eastAsia"/>
                <w:szCs w:val="21"/>
              </w:rPr>
              <w:t>日</w:t>
            </w:r>
          </w:p>
        </w:tc>
        <w:tc>
          <w:tcPr>
            <w:tcW w:w="1102" w:type="dxa"/>
            <w:vAlign w:val="center"/>
          </w:tcPr>
          <w:p w:rsidR="006E7F68" w:rsidRPr="0001503D" w:rsidRDefault="00633BB7" w:rsidP="000B57E8">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7.21</w:t>
            </w:r>
            <w:r w:rsidR="000E55CF" w:rsidRPr="0001503D">
              <w:rPr>
                <w:rFonts w:asciiTheme="minorEastAsia" w:eastAsiaTheme="minorEastAsia" w:hAnsiTheme="minorEastAsia" w:cs="TimesNewRoman"/>
                <w:kern w:val="0"/>
                <w:szCs w:val="21"/>
              </w:rPr>
              <w:t>%</w:t>
            </w:r>
          </w:p>
        </w:tc>
        <w:tc>
          <w:tcPr>
            <w:tcW w:w="1080" w:type="dxa"/>
            <w:vAlign w:val="center"/>
          </w:tcPr>
          <w:p w:rsidR="006E7F68" w:rsidRPr="0001503D" w:rsidRDefault="000E55CF">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w:t>
            </w:r>
            <w:r w:rsidR="00633BB7" w:rsidRPr="0001503D">
              <w:rPr>
                <w:rFonts w:asciiTheme="minorEastAsia" w:eastAsiaTheme="minorEastAsia" w:hAnsiTheme="minorEastAsia" w:cs="TimesNewRoman"/>
                <w:kern w:val="0"/>
                <w:szCs w:val="21"/>
              </w:rPr>
              <w:t>46</w:t>
            </w:r>
            <w:r w:rsidRPr="0001503D">
              <w:rPr>
                <w:rFonts w:asciiTheme="minorEastAsia" w:eastAsiaTheme="minorEastAsia" w:hAnsiTheme="minorEastAsia" w:cs="TimesNewRoman"/>
                <w:kern w:val="0"/>
                <w:szCs w:val="21"/>
              </w:rPr>
              <w:t>%</w:t>
            </w:r>
          </w:p>
        </w:tc>
        <w:tc>
          <w:tcPr>
            <w:tcW w:w="1440" w:type="dxa"/>
            <w:vAlign w:val="center"/>
          </w:tcPr>
          <w:p w:rsidR="006E7F68" w:rsidRPr="0001503D" w:rsidRDefault="000E55CF">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w:t>
            </w:r>
            <w:r w:rsidR="00633BB7" w:rsidRPr="0001503D">
              <w:rPr>
                <w:rFonts w:asciiTheme="minorEastAsia" w:eastAsiaTheme="minorEastAsia" w:hAnsiTheme="minorEastAsia" w:cs="TimesNewRoman"/>
                <w:kern w:val="0"/>
                <w:szCs w:val="21"/>
              </w:rPr>
              <w:t>5</w:t>
            </w:r>
            <w:r w:rsidRPr="0001503D">
              <w:rPr>
                <w:rFonts w:asciiTheme="minorEastAsia" w:eastAsiaTheme="minorEastAsia" w:hAnsiTheme="minorEastAsia" w:cs="TimesNewRoman"/>
                <w:kern w:val="0"/>
                <w:szCs w:val="21"/>
              </w:rPr>
              <w:t>.</w:t>
            </w:r>
            <w:r w:rsidR="00633BB7" w:rsidRPr="0001503D">
              <w:rPr>
                <w:rFonts w:asciiTheme="minorEastAsia" w:eastAsiaTheme="minorEastAsia" w:hAnsiTheme="minorEastAsia" w:cs="TimesNewRoman"/>
                <w:kern w:val="0"/>
                <w:szCs w:val="21"/>
              </w:rPr>
              <w:t>37</w:t>
            </w:r>
            <w:r w:rsidRPr="0001503D">
              <w:rPr>
                <w:rFonts w:asciiTheme="minorEastAsia" w:eastAsiaTheme="minorEastAsia" w:hAnsiTheme="minorEastAsia" w:cs="TimesNewRoman"/>
                <w:kern w:val="0"/>
                <w:szCs w:val="21"/>
              </w:rPr>
              <w:t>%</w:t>
            </w:r>
          </w:p>
        </w:tc>
        <w:tc>
          <w:tcPr>
            <w:tcW w:w="1440" w:type="dxa"/>
            <w:vAlign w:val="center"/>
          </w:tcPr>
          <w:p w:rsidR="006E7F68" w:rsidRPr="0001503D" w:rsidRDefault="000E55CF">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w:t>
            </w:r>
            <w:r w:rsidR="00633BB7" w:rsidRPr="0001503D">
              <w:rPr>
                <w:rFonts w:asciiTheme="minorEastAsia" w:eastAsiaTheme="minorEastAsia" w:hAnsiTheme="minorEastAsia" w:cs="TimesNewRoman"/>
                <w:kern w:val="0"/>
                <w:szCs w:val="21"/>
              </w:rPr>
              <w:t>27</w:t>
            </w:r>
            <w:r w:rsidRPr="0001503D">
              <w:rPr>
                <w:rFonts w:asciiTheme="minorEastAsia" w:eastAsiaTheme="minorEastAsia" w:hAnsiTheme="minorEastAsia" w:cs="TimesNewRoman"/>
                <w:kern w:val="0"/>
                <w:szCs w:val="21"/>
              </w:rPr>
              <w:t>%</w:t>
            </w:r>
          </w:p>
        </w:tc>
        <w:tc>
          <w:tcPr>
            <w:tcW w:w="900" w:type="dxa"/>
            <w:vAlign w:val="center"/>
          </w:tcPr>
          <w:p w:rsidR="006E7F68" w:rsidRPr="0001503D" w:rsidRDefault="00633BB7">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12</w:t>
            </w:r>
            <w:r w:rsidR="000E55CF" w:rsidRPr="0001503D">
              <w:rPr>
                <w:rFonts w:asciiTheme="minorEastAsia" w:eastAsiaTheme="minorEastAsia" w:hAnsiTheme="minorEastAsia" w:cs="TimesNewRoman"/>
                <w:kern w:val="0"/>
                <w:szCs w:val="21"/>
              </w:rPr>
              <w:t>.</w:t>
            </w:r>
            <w:r w:rsidRPr="0001503D">
              <w:rPr>
                <w:rFonts w:asciiTheme="minorEastAsia" w:eastAsiaTheme="minorEastAsia" w:hAnsiTheme="minorEastAsia" w:cs="TimesNewRoman"/>
                <w:kern w:val="0"/>
                <w:szCs w:val="21"/>
              </w:rPr>
              <w:t>5</w:t>
            </w:r>
            <w:r w:rsidR="000E55CF" w:rsidRPr="0001503D">
              <w:rPr>
                <w:rFonts w:asciiTheme="minorEastAsia" w:eastAsiaTheme="minorEastAsia" w:hAnsiTheme="minorEastAsia" w:cs="TimesNewRoman"/>
                <w:kern w:val="0"/>
                <w:szCs w:val="21"/>
              </w:rPr>
              <w:t>8%</w:t>
            </w:r>
          </w:p>
        </w:tc>
        <w:tc>
          <w:tcPr>
            <w:tcW w:w="900" w:type="dxa"/>
            <w:vAlign w:val="center"/>
          </w:tcPr>
          <w:p w:rsidR="006E7F68" w:rsidRPr="0001503D" w:rsidRDefault="000E55CF">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cs="TimesNewRoman"/>
                <w:kern w:val="0"/>
                <w:szCs w:val="21"/>
              </w:rPr>
              <w:t>0.</w:t>
            </w:r>
            <w:r w:rsidR="00633BB7" w:rsidRPr="0001503D">
              <w:rPr>
                <w:rFonts w:asciiTheme="minorEastAsia" w:eastAsiaTheme="minorEastAsia" w:hAnsiTheme="minorEastAsia" w:cs="TimesNewRoman"/>
                <w:kern w:val="0"/>
                <w:szCs w:val="21"/>
              </w:rPr>
              <w:t>19</w:t>
            </w:r>
            <w:r w:rsidRPr="0001503D">
              <w:rPr>
                <w:rFonts w:asciiTheme="minorEastAsia" w:eastAsiaTheme="minorEastAsia" w:hAnsiTheme="minorEastAsia" w:cs="TimesNewRoman"/>
                <w:kern w:val="0"/>
                <w:szCs w:val="21"/>
              </w:rPr>
              <w:t>%</w:t>
            </w:r>
          </w:p>
        </w:tc>
      </w:tr>
      <w:tr w:rsidR="0001503D" w:rsidRPr="0001503D" w:rsidTr="00843CA5">
        <w:trPr>
          <w:trHeight w:val="300"/>
        </w:trPr>
        <w:tc>
          <w:tcPr>
            <w:tcW w:w="1418" w:type="dxa"/>
            <w:vAlign w:val="center"/>
          </w:tcPr>
          <w:p w:rsidR="001B39CC" w:rsidRPr="0001503D" w:rsidRDefault="001B39CC" w:rsidP="001B39CC">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017</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lastRenderedPageBreak/>
              <w:t>日至</w:t>
            </w:r>
            <w:r w:rsidRPr="0001503D">
              <w:rPr>
                <w:rFonts w:asciiTheme="minorEastAsia" w:eastAsiaTheme="minorEastAsia" w:hAnsiTheme="minorEastAsia"/>
                <w:szCs w:val="21"/>
              </w:rPr>
              <w:t>2017</w:t>
            </w:r>
            <w:r w:rsidRPr="0001503D">
              <w:rPr>
                <w:rFonts w:asciiTheme="minorEastAsia" w:eastAsiaTheme="minorEastAsia" w:hAnsiTheme="minorEastAsia" w:hint="eastAsia"/>
                <w:szCs w:val="21"/>
              </w:rPr>
              <w:t>年</w:t>
            </w:r>
            <w:r w:rsidRPr="0001503D">
              <w:rPr>
                <w:rFonts w:asciiTheme="minorEastAsia" w:eastAsiaTheme="minorEastAsia" w:hAnsiTheme="minorEastAsia"/>
                <w:szCs w:val="21"/>
              </w:rPr>
              <w:t>12</w:t>
            </w:r>
            <w:r w:rsidRPr="0001503D">
              <w:rPr>
                <w:rFonts w:asciiTheme="minorEastAsia" w:eastAsiaTheme="minorEastAsia" w:hAnsiTheme="minorEastAsia" w:hint="eastAsia"/>
                <w:szCs w:val="21"/>
              </w:rPr>
              <w:t>月</w:t>
            </w:r>
            <w:r w:rsidRPr="0001503D">
              <w:rPr>
                <w:rFonts w:asciiTheme="minorEastAsia" w:eastAsiaTheme="minorEastAsia" w:hAnsiTheme="minorEastAsia"/>
                <w:szCs w:val="21"/>
              </w:rPr>
              <w:t>31</w:t>
            </w:r>
            <w:r w:rsidRPr="0001503D">
              <w:rPr>
                <w:rFonts w:asciiTheme="minorEastAsia" w:eastAsiaTheme="minorEastAsia" w:hAnsiTheme="minorEastAsia" w:hint="eastAsia"/>
                <w:szCs w:val="21"/>
              </w:rPr>
              <w:t>日</w:t>
            </w:r>
          </w:p>
        </w:tc>
        <w:tc>
          <w:tcPr>
            <w:tcW w:w="1102"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lastRenderedPageBreak/>
              <w:t>64.97%</w:t>
            </w:r>
          </w:p>
        </w:tc>
        <w:tc>
          <w:tcPr>
            <w:tcW w:w="1080"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t>1.06%</w:t>
            </w:r>
          </w:p>
        </w:tc>
        <w:tc>
          <w:tcPr>
            <w:tcW w:w="1440"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t>41.69%</w:t>
            </w:r>
          </w:p>
        </w:tc>
        <w:tc>
          <w:tcPr>
            <w:tcW w:w="1440"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t>0.84%</w:t>
            </w:r>
          </w:p>
        </w:tc>
        <w:tc>
          <w:tcPr>
            <w:tcW w:w="900"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t>23.28%</w:t>
            </w:r>
          </w:p>
        </w:tc>
        <w:tc>
          <w:tcPr>
            <w:tcW w:w="900" w:type="dxa"/>
            <w:vAlign w:val="center"/>
          </w:tcPr>
          <w:p w:rsidR="001B39CC" w:rsidRPr="0001503D"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01503D">
              <w:rPr>
                <w:rFonts w:asciiTheme="minorEastAsia" w:eastAsiaTheme="minorEastAsia" w:hAnsiTheme="minorEastAsia"/>
                <w:szCs w:val="21"/>
              </w:rPr>
              <w:t>0.22%</w:t>
            </w:r>
          </w:p>
        </w:tc>
      </w:tr>
      <w:tr w:rsidR="0001503D" w:rsidRPr="0001503D" w:rsidTr="00843CA5">
        <w:trPr>
          <w:trHeight w:val="300"/>
        </w:trPr>
        <w:tc>
          <w:tcPr>
            <w:tcW w:w="1418" w:type="dxa"/>
            <w:vAlign w:val="center"/>
          </w:tcPr>
          <w:p w:rsidR="00E926E8" w:rsidRPr="0001503D" w:rsidDel="00344AA2" w:rsidRDefault="00E926E8" w:rsidP="00E926E8">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hint="eastAsia"/>
                <w:szCs w:val="21"/>
              </w:rPr>
              <w:t>2018年1月1日至2018年</w:t>
            </w:r>
            <w:r w:rsidRPr="0001503D">
              <w:rPr>
                <w:rFonts w:asciiTheme="minorEastAsia" w:eastAsiaTheme="minorEastAsia" w:hAnsiTheme="minorEastAsia"/>
                <w:szCs w:val="21"/>
              </w:rPr>
              <w:t>12</w:t>
            </w:r>
            <w:r w:rsidRPr="0001503D">
              <w:rPr>
                <w:rFonts w:asciiTheme="minorEastAsia" w:eastAsiaTheme="minorEastAsia" w:hAnsiTheme="minorEastAsia" w:hint="eastAsia"/>
                <w:szCs w:val="21"/>
              </w:rPr>
              <w:t>月3</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日</w:t>
            </w:r>
          </w:p>
        </w:tc>
        <w:tc>
          <w:tcPr>
            <w:tcW w:w="1102"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-23.47%</w:t>
            </w:r>
          </w:p>
        </w:tc>
        <w:tc>
          <w:tcPr>
            <w:tcW w:w="1080"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1.69%</w:t>
            </w:r>
          </w:p>
        </w:tc>
        <w:tc>
          <w:tcPr>
            <w:tcW w:w="1440"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-21.93%</w:t>
            </w:r>
          </w:p>
        </w:tc>
        <w:tc>
          <w:tcPr>
            <w:tcW w:w="1440"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1.44%</w:t>
            </w:r>
          </w:p>
        </w:tc>
        <w:tc>
          <w:tcPr>
            <w:tcW w:w="900"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-1.54%</w:t>
            </w:r>
          </w:p>
        </w:tc>
        <w:tc>
          <w:tcPr>
            <w:tcW w:w="900" w:type="dxa"/>
            <w:vAlign w:val="center"/>
          </w:tcPr>
          <w:p w:rsidR="00E926E8" w:rsidRPr="0001503D" w:rsidRDefault="00E926E8" w:rsidP="00E926E8">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0.25%</w:t>
            </w:r>
          </w:p>
        </w:tc>
      </w:tr>
      <w:tr w:rsidR="0001503D" w:rsidRPr="0001503D" w:rsidTr="00843CA5">
        <w:trPr>
          <w:trHeight w:val="300"/>
        </w:trPr>
        <w:tc>
          <w:tcPr>
            <w:tcW w:w="1418" w:type="dxa"/>
            <w:vAlign w:val="center"/>
          </w:tcPr>
          <w:p w:rsidR="00753FF5" w:rsidRPr="0001503D" w:rsidRDefault="008E79F6" w:rsidP="00753FF5">
            <w:pPr>
              <w:snapToGrid w:val="0"/>
              <w:spacing w:line="360" w:lineRule="auto"/>
              <w:ind w:leftChars="-51" w:left="-107" w:rightChars="-51" w:right="-107"/>
              <w:rPr>
                <w:rFonts w:asciiTheme="minorEastAsia" w:eastAsiaTheme="minorEastAsia" w:hAnsiTheme="minorEastAsia"/>
                <w:kern w:val="0"/>
                <w:szCs w:val="21"/>
              </w:rPr>
            </w:pPr>
            <w:r w:rsidRPr="0001503D">
              <w:rPr>
                <w:rFonts w:asciiTheme="minorEastAsia" w:eastAsiaTheme="minorEastAsia" w:hAnsiTheme="minorEastAsia"/>
                <w:szCs w:val="21"/>
              </w:rPr>
              <w:t>2019年1月1日至2019年12月31日</w:t>
            </w:r>
          </w:p>
        </w:tc>
        <w:tc>
          <w:tcPr>
            <w:tcW w:w="1102" w:type="dxa"/>
            <w:vAlign w:val="center"/>
          </w:tcPr>
          <w:p w:rsidR="00753FF5" w:rsidRPr="0001503D" w:rsidRDefault="008E79F6" w:rsidP="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71.36%</w:t>
            </w:r>
          </w:p>
        </w:tc>
        <w:tc>
          <w:tcPr>
            <w:tcW w:w="1080" w:type="dxa"/>
            <w:vAlign w:val="center"/>
          </w:tcPr>
          <w:p w:rsidR="00753FF5" w:rsidRPr="0001503D" w:rsidRDefault="008E79F6" w:rsidP="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1.45%</w:t>
            </w:r>
          </w:p>
        </w:tc>
        <w:tc>
          <w:tcPr>
            <w:tcW w:w="1440" w:type="dxa"/>
            <w:vAlign w:val="center"/>
          </w:tcPr>
          <w:p w:rsidR="00753FF5" w:rsidRPr="0001503D" w:rsidRDefault="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47.56%</w:t>
            </w:r>
          </w:p>
        </w:tc>
        <w:tc>
          <w:tcPr>
            <w:tcW w:w="1440" w:type="dxa"/>
            <w:vAlign w:val="center"/>
          </w:tcPr>
          <w:p w:rsidR="00753FF5" w:rsidRPr="0001503D" w:rsidRDefault="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1.19%</w:t>
            </w:r>
          </w:p>
        </w:tc>
        <w:tc>
          <w:tcPr>
            <w:tcW w:w="900" w:type="dxa"/>
            <w:vAlign w:val="center"/>
          </w:tcPr>
          <w:p w:rsidR="00753FF5" w:rsidRPr="0001503D" w:rsidRDefault="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23.80%</w:t>
            </w:r>
          </w:p>
        </w:tc>
        <w:tc>
          <w:tcPr>
            <w:tcW w:w="900" w:type="dxa"/>
            <w:vAlign w:val="center"/>
          </w:tcPr>
          <w:p w:rsidR="00753FF5" w:rsidRPr="0001503D" w:rsidRDefault="008E79F6">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szCs w:val="21"/>
              </w:rPr>
              <w:t>0.26%</w:t>
            </w:r>
          </w:p>
        </w:tc>
      </w:tr>
      <w:tr w:rsidR="0001503D" w:rsidRPr="0001503D" w:rsidTr="0001503D">
        <w:trPr>
          <w:trHeight w:val="300"/>
        </w:trPr>
        <w:tc>
          <w:tcPr>
            <w:tcW w:w="1418" w:type="dxa"/>
            <w:vAlign w:val="center"/>
          </w:tcPr>
          <w:p w:rsidR="00744A94" w:rsidRPr="0001503D" w:rsidRDefault="00744A94" w:rsidP="00744A94">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hint="eastAsia"/>
                <w:szCs w:val="21"/>
              </w:rPr>
              <w:t>2020年1月1日至2020年6月30日</w:t>
            </w:r>
          </w:p>
        </w:tc>
        <w:tc>
          <w:tcPr>
            <w:tcW w:w="1102" w:type="dxa"/>
            <w:vAlign w:val="center"/>
          </w:tcPr>
          <w:p w:rsidR="00744A94" w:rsidRPr="0001503D" w:rsidRDefault="00744A94" w:rsidP="00744A94">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11.02%</w:t>
            </w:r>
          </w:p>
        </w:tc>
        <w:tc>
          <w:tcPr>
            <w:tcW w:w="1080" w:type="dxa"/>
            <w:vAlign w:val="center"/>
          </w:tcPr>
          <w:p w:rsidR="00744A94" w:rsidRPr="0001503D" w:rsidRDefault="00744A94" w:rsidP="00744A94">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1.71%</w:t>
            </w:r>
          </w:p>
        </w:tc>
        <w:tc>
          <w:tcPr>
            <w:tcW w:w="144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10.07%</w:t>
            </w:r>
          </w:p>
        </w:tc>
        <w:tc>
          <w:tcPr>
            <w:tcW w:w="144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1.45%</w:t>
            </w:r>
          </w:p>
        </w:tc>
        <w:tc>
          <w:tcPr>
            <w:tcW w:w="90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0.95%</w:t>
            </w:r>
          </w:p>
        </w:tc>
        <w:tc>
          <w:tcPr>
            <w:tcW w:w="90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0.26%</w:t>
            </w:r>
          </w:p>
        </w:tc>
      </w:tr>
      <w:tr w:rsidR="0001503D" w:rsidRPr="0001503D" w:rsidTr="0001503D">
        <w:trPr>
          <w:trHeight w:val="300"/>
        </w:trPr>
        <w:tc>
          <w:tcPr>
            <w:tcW w:w="1418" w:type="dxa"/>
            <w:vAlign w:val="center"/>
          </w:tcPr>
          <w:p w:rsidR="00744A94" w:rsidRPr="0001503D" w:rsidRDefault="00744A94" w:rsidP="00744A94">
            <w:pPr>
              <w:snapToGrid w:val="0"/>
              <w:spacing w:line="360" w:lineRule="auto"/>
              <w:ind w:leftChars="-51" w:left="-107" w:rightChars="-51" w:right="-107"/>
              <w:rPr>
                <w:rFonts w:asciiTheme="minorEastAsia" w:eastAsiaTheme="minorEastAsia" w:hAnsiTheme="minorEastAsia"/>
                <w:szCs w:val="21"/>
              </w:rPr>
            </w:pPr>
            <w:r w:rsidRPr="0001503D">
              <w:rPr>
                <w:rFonts w:asciiTheme="minorEastAsia" w:eastAsiaTheme="minorEastAsia" w:hAnsiTheme="minorEastAsia" w:hint="eastAsia"/>
                <w:szCs w:val="21"/>
              </w:rPr>
              <w:t>自基金合同生效日至2020年6月30日</w:t>
            </w:r>
          </w:p>
        </w:tc>
        <w:tc>
          <w:tcPr>
            <w:tcW w:w="1102" w:type="dxa"/>
            <w:vAlign w:val="center"/>
          </w:tcPr>
          <w:p w:rsidR="00744A94" w:rsidRPr="0001503D" w:rsidRDefault="00744A94" w:rsidP="00744A94">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239.40%</w:t>
            </w:r>
          </w:p>
        </w:tc>
        <w:tc>
          <w:tcPr>
            <w:tcW w:w="1080" w:type="dxa"/>
            <w:vAlign w:val="center"/>
          </w:tcPr>
          <w:p w:rsidR="00744A94" w:rsidRPr="0001503D" w:rsidRDefault="00744A94" w:rsidP="00744A94">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1.43%</w:t>
            </w:r>
          </w:p>
        </w:tc>
        <w:tc>
          <w:tcPr>
            <w:tcW w:w="144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117.67%</w:t>
            </w:r>
          </w:p>
        </w:tc>
        <w:tc>
          <w:tcPr>
            <w:tcW w:w="144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1.29%</w:t>
            </w:r>
          </w:p>
        </w:tc>
        <w:tc>
          <w:tcPr>
            <w:tcW w:w="90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121.73%</w:t>
            </w:r>
          </w:p>
        </w:tc>
        <w:tc>
          <w:tcPr>
            <w:tcW w:w="900" w:type="dxa"/>
            <w:vAlign w:val="center"/>
          </w:tcPr>
          <w:p w:rsidR="00744A94" w:rsidRPr="0001503D" w:rsidRDefault="00744A94" w:rsidP="0001503D">
            <w:pPr>
              <w:snapToGrid w:val="0"/>
              <w:spacing w:line="360" w:lineRule="auto"/>
              <w:ind w:leftChars="-51" w:left="-107"/>
              <w:jc w:val="right"/>
              <w:rPr>
                <w:rFonts w:asciiTheme="minorEastAsia" w:eastAsiaTheme="minorEastAsia" w:hAnsiTheme="minorEastAsia"/>
                <w:szCs w:val="21"/>
              </w:rPr>
            </w:pPr>
            <w:r w:rsidRPr="0001503D">
              <w:rPr>
                <w:rFonts w:asciiTheme="minorEastAsia" w:eastAsiaTheme="minorEastAsia" w:hAnsiTheme="minorEastAsia"/>
              </w:rPr>
              <w:t>0.14%</w:t>
            </w:r>
          </w:p>
        </w:tc>
      </w:tr>
    </w:tbl>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152" w:name="_Toc238870169"/>
      <w:bookmarkStart w:id="153" w:name="_Toc28803576"/>
      <w:r w:rsidRPr="0001503D">
        <w:rPr>
          <w:rFonts w:asciiTheme="minorEastAsia" w:eastAsiaTheme="minorEastAsia" w:hAnsiTheme="minorEastAsia" w:hint="eastAsia"/>
          <w:bCs/>
        </w:rPr>
        <w:lastRenderedPageBreak/>
        <w:t>十三、基金的财产</w:t>
      </w:r>
      <w:bookmarkEnd w:id="152"/>
      <w:bookmarkEnd w:id="153"/>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154" w:name="_Toc28803577"/>
      <w:r w:rsidRPr="0001503D">
        <w:rPr>
          <w:rFonts w:asciiTheme="minorEastAsia" w:eastAsiaTheme="minorEastAsia" w:hAnsiTheme="minorEastAsia" w:hint="eastAsia"/>
          <w:b w:val="0"/>
          <w:bCs/>
        </w:rPr>
        <w:t>（一）基金资产总值</w:t>
      </w:r>
      <w:bookmarkEnd w:id="154"/>
    </w:p>
    <w:p w:rsidR="002F5370" w:rsidRPr="0001503D" w:rsidRDefault="002F5370" w:rsidP="000B57E8">
      <w:pPr>
        <w:snapToGrid w:val="0"/>
        <w:spacing w:line="360" w:lineRule="auto"/>
        <w:ind w:firstLineChars="200" w:firstLine="420"/>
        <w:rPr>
          <w:rFonts w:asciiTheme="minorEastAsia" w:eastAsiaTheme="minorEastAsia" w:hAnsiTheme="minorEastAsia"/>
        </w:rPr>
      </w:pPr>
      <w:bookmarkStart w:id="155" w:name="_Toc79392635"/>
      <w:bookmarkStart w:id="156" w:name="_Toc79556449"/>
      <w:r w:rsidRPr="0001503D">
        <w:rPr>
          <w:rFonts w:asciiTheme="minorEastAsia" w:eastAsiaTheme="minorEastAsia" w:hAnsiTheme="minorEastAsia" w:hint="eastAsia"/>
        </w:rPr>
        <w:t>基金资产总值是指基金拥有的各类有价证券、银行存款本息、基金应收申购款以及其他资产的价值总和。</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7" w:name="_Toc28803578"/>
      <w:bookmarkEnd w:id="155"/>
      <w:bookmarkEnd w:id="156"/>
      <w:r w:rsidRPr="0001503D">
        <w:rPr>
          <w:rFonts w:asciiTheme="minorEastAsia" w:eastAsiaTheme="minorEastAsia" w:hAnsiTheme="minorEastAsia" w:hint="eastAsia"/>
          <w:b w:val="0"/>
        </w:rPr>
        <w:t>（二）基金资产净值</w:t>
      </w:r>
      <w:bookmarkEnd w:id="157"/>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基金资产净值是指基金资产总值减去基金负债后的金额。</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8" w:name="_Toc28803579"/>
      <w:r w:rsidRPr="0001503D">
        <w:rPr>
          <w:rFonts w:asciiTheme="minorEastAsia" w:eastAsiaTheme="minorEastAsia" w:hAnsiTheme="minorEastAsia" w:hint="eastAsia"/>
          <w:b w:val="0"/>
        </w:rPr>
        <w:t>（三）基金财产的账户</w:t>
      </w:r>
      <w:bookmarkEnd w:id="158"/>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注册登记机构自有的财产账户以及其他基金财产账户相独立。</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9" w:name="_Toc28803580"/>
      <w:r w:rsidRPr="0001503D">
        <w:rPr>
          <w:rFonts w:asciiTheme="minorEastAsia" w:eastAsiaTheme="minorEastAsia" w:hAnsiTheme="minorEastAsia" w:hint="eastAsia"/>
          <w:b w:val="0"/>
        </w:rPr>
        <w:t>（四）基金财产的处分</w:t>
      </w:r>
      <w:bookmarkEnd w:id="159"/>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基金财产独立于基金管理人、基金托管人和</w:t>
      </w:r>
      <w:r w:rsidR="008F227C"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2F5370" w:rsidRPr="0001503D" w:rsidRDefault="002F5370" w:rsidP="000B57E8">
      <w:pPr>
        <w:snapToGrid w:val="0"/>
        <w:spacing w:line="360" w:lineRule="auto"/>
        <w:ind w:firstLineChars="200" w:firstLine="420"/>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基金财产的债权，不得与基金管理人、基金托管人固有财产的债务相抵销；不同基金财产的债权债务，不得相互抵销。</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除依据《基金法》、基金合同及其他有关规定处分外，基金财产不得被处分。非因基金财产本身承担的债务，不得对基金财产强制执行。</w:t>
      </w:r>
    </w:p>
    <w:p w:rsidR="002F5370" w:rsidRPr="0001503D" w:rsidRDefault="002F5370" w:rsidP="000B57E8">
      <w:pPr>
        <w:snapToGrid w:val="0"/>
        <w:spacing w:line="360" w:lineRule="auto"/>
        <w:rPr>
          <w:rFonts w:asciiTheme="minorEastAsia" w:eastAsiaTheme="minorEastAsia" w:hAnsiTheme="minorEastAsia"/>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160" w:name="_Toc238870170"/>
      <w:bookmarkStart w:id="161" w:name="_Toc28803581"/>
      <w:r w:rsidRPr="0001503D">
        <w:rPr>
          <w:rFonts w:asciiTheme="minorEastAsia" w:eastAsiaTheme="minorEastAsia" w:hAnsiTheme="minorEastAsia" w:hint="eastAsia"/>
          <w:bCs/>
        </w:rPr>
        <w:lastRenderedPageBreak/>
        <w:t>十四、基金资产估值</w:t>
      </w:r>
      <w:bookmarkEnd w:id="160"/>
      <w:bookmarkEnd w:id="161"/>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62" w:name="_Toc44229106"/>
      <w:bookmarkStart w:id="163" w:name="_Toc44229201"/>
      <w:bookmarkStart w:id="164" w:name="_Toc44229107"/>
      <w:bookmarkStart w:id="165" w:name="_Toc44229202"/>
      <w:bookmarkStart w:id="166" w:name="_Toc44229108"/>
      <w:bookmarkStart w:id="167" w:name="_Toc44229203"/>
      <w:bookmarkStart w:id="168" w:name="_Toc44229109"/>
      <w:bookmarkStart w:id="169" w:name="_Toc44229204"/>
      <w:bookmarkStart w:id="170" w:name="_Toc44229110"/>
      <w:bookmarkStart w:id="171" w:name="_Toc44229205"/>
      <w:bookmarkStart w:id="172" w:name="_Toc44229111"/>
      <w:bookmarkStart w:id="173" w:name="_Toc44229206"/>
      <w:bookmarkStart w:id="174" w:name="_Toc44229112"/>
      <w:bookmarkStart w:id="175" w:name="_Toc44229207"/>
      <w:bookmarkStart w:id="176" w:name="_Toc44229113"/>
      <w:bookmarkStart w:id="177" w:name="_Toc44229208"/>
      <w:bookmarkStart w:id="178" w:name="_Toc97031289"/>
      <w:bookmarkStart w:id="179" w:name="_Toc97107249"/>
      <w:bookmarkStart w:id="180" w:name="_Toc2880358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1503D">
        <w:rPr>
          <w:rFonts w:asciiTheme="minorEastAsia" w:eastAsiaTheme="minorEastAsia" w:hAnsiTheme="minorEastAsia" w:hint="eastAsia"/>
          <w:b w:val="0"/>
        </w:rPr>
        <w:t>（一）估值目的</w:t>
      </w:r>
      <w:bookmarkEnd w:id="180"/>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基金资产的估值目的是客观、准确地反映基金相关金融资产的公允价值，并为基金份额提供计价依据。</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1" w:name="_Toc28803583"/>
      <w:r w:rsidRPr="0001503D">
        <w:rPr>
          <w:rFonts w:asciiTheme="minorEastAsia" w:eastAsiaTheme="minorEastAsia" w:hAnsiTheme="minorEastAsia" w:hint="eastAsia"/>
          <w:b w:val="0"/>
        </w:rPr>
        <w:t>（二）估值日</w:t>
      </w:r>
      <w:bookmarkEnd w:id="18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本基金的估值日为相关的证券交易场所的正常交易日，以及国家法律法规规定需要对外披露基金净值的非交易日。</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2" w:name="_Toc28803584"/>
      <w:r w:rsidRPr="0001503D">
        <w:rPr>
          <w:rFonts w:asciiTheme="minorEastAsia" w:eastAsiaTheme="minorEastAsia" w:hAnsiTheme="minorEastAsia" w:hint="eastAsia"/>
          <w:b w:val="0"/>
        </w:rPr>
        <w:t>（三）估值对象</w:t>
      </w:r>
      <w:bookmarkEnd w:id="182"/>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基金依法拥有的股票、债券、权证及其他基金资产。</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3" w:name="_Toc28803585"/>
      <w:r w:rsidRPr="0001503D">
        <w:rPr>
          <w:rFonts w:asciiTheme="minorEastAsia" w:eastAsiaTheme="minorEastAsia" w:hAnsiTheme="minorEastAsia" w:hint="eastAsia"/>
          <w:b w:val="0"/>
        </w:rPr>
        <w:t>（四）估值方法</w:t>
      </w:r>
      <w:bookmarkEnd w:id="183"/>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股票估值方法：</w:t>
      </w:r>
    </w:p>
    <w:p w:rsidR="002F5370" w:rsidRPr="0001503D" w:rsidRDefault="002F5370" w:rsidP="000B57E8">
      <w:pPr>
        <w:snapToGrid w:val="0"/>
        <w:spacing w:line="360" w:lineRule="auto"/>
        <w:ind w:firstLineChars="150" w:firstLine="315"/>
        <w:rPr>
          <w:rFonts w:asciiTheme="minorEastAsia" w:eastAsiaTheme="minorEastAsia" w:hAnsiTheme="minorEastAsia"/>
          <w:szCs w:val="21"/>
        </w:rPr>
      </w:pPr>
      <w:r w:rsidRPr="0001503D">
        <w:rPr>
          <w:rFonts w:asciiTheme="minorEastAsia" w:eastAsiaTheme="minorEastAsia" w:hAnsiTheme="minorEastAsia" w:hint="eastAsia"/>
          <w:szCs w:val="21"/>
        </w:rPr>
        <w:t>（1）上市股票的估值：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）未上市股票的估值：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首次发行未上市的股票，采用估值技术确定公允价值，在估值技术难以可靠计量公允价值的情况下，按成本价估值；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送股、转增股、配股和公开增发新股等发行未上市的股票，按估值日在证券交易所上市的同一股票的估值价格进行估值；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首次公开发行有明确锁定期的股票，同一股票在交易所上市后，按估值日在证券交易所上市的同一股票的估值价格进行估值；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非公开发行的且在发行时明确一定期限锁定期的股票，按监管机构或行业协会有关规定确定公允价值。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）在任何情况下，基金管理人如采用本项第（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）小项规定的方法对基金资产进行估值不能客观反映其公允价值的，基金管理人可根据具体情况，并与基金托管人商定后，按最能反映公允价值的价格估值。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）国家有最新规定的，按其规定进行估值。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债券估值方法：</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）交易所以大宗交易方式转让的资产支持证券，采用估值技术确定公允价值，在估值技术难以可靠计量公允价值的情况下，按成本进行后续计量。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）同一债券同时在两个或两个以上市场交易的，按债券所处的市场分别估值。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）在任何情况下，基金管理人如采用本项第（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）国家有最新规定的，按其规定进行估值。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权证估值方法：</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）在任何情况下，基金管理人如采用本项第（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）项规定的方法对基金资产进行估值，均应被认为采用了适当的估值方法。但是，如果基金管理人认为按本项第（</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）项规定的方法对基金资产进行估值不能客观反映其公允价值的，基金管理人可根据具体情况，并与基金托管人商定后，按最能反映公允价值的价格估值。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）国家有最新规定的，按其规定进行估值。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其他有价证券等资产按国家有关规定进行估值。</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4" w:name="_Toc28803586"/>
      <w:r w:rsidRPr="0001503D">
        <w:rPr>
          <w:rFonts w:asciiTheme="minorEastAsia" w:eastAsiaTheme="minorEastAsia" w:hAnsiTheme="minorEastAsia" w:hint="eastAsia"/>
          <w:b w:val="0"/>
        </w:rPr>
        <w:t>（五）估值程序</w:t>
      </w:r>
      <w:bookmarkEnd w:id="184"/>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5" w:name="_Toc28803587"/>
      <w:r w:rsidRPr="0001503D">
        <w:rPr>
          <w:rFonts w:asciiTheme="minorEastAsia" w:eastAsiaTheme="minorEastAsia" w:hAnsiTheme="minorEastAsia" w:hint="eastAsia"/>
          <w:b w:val="0"/>
        </w:rPr>
        <w:t>（六）估值错误的处理</w:t>
      </w:r>
      <w:bookmarkEnd w:id="185"/>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基金管理人和基金托管人将采取必要、适当、合理的措施确保基金资产估值的准确性、及时性。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基金合同的当事人应按照以下约定处理：</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差错类型</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本基金运作过程中，如果由于基金管理人或基金托管人或注册登记机构或</w:t>
      </w:r>
      <w:r w:rsidR="008F227C"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机构或投资者自身的过错造成差错，导致其他当事人遭受损失的，差错的责任人应当对由于该差错遭受损失的当事人（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受损方</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）按下述</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差错处理原则</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给予赔偿，承担赔偿责任。</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差错处理原则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）差错的责任方对可能导致有关当事人的直接损失负责，不对间接损失负责，并且</w:t>
      </w:r>
      <w:r w:rsidRPr="0001503D">
        <w:rPr>
          <w:rFonts w:asciiTheme="minorEastAsia" w:eastAsiaTheme="minorEastAsia" w:hAnsiTheme="minorEastAsia" w:hint="eastAsia"/>
          <w:szCs w:val="21"/>
        </w:rPr>
        <w:lastRenderedPageBreak/>
        <w:t>仅对差错的有关直接当事人负责，不对第三方负责；</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）差错调整采用尽量恢复至假设未发生差错的正确情形的方式；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）按法律法规规定的其他原则处理差错。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差错处理程序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差错被发现后，有关的当事人应当及时进行处理，处理的程序如下：</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）查明差错发生的原因，列明所有的当事人，并根据差错发生的原因确定差错的责任方；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）根据差错处理原则或当事人协商的方法对因差错造成的损失进行评估；</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）根据差错处理原则或当事人协商的方法由差错的责任方进行更正和赔偿损失；</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）根据差错处理的方法，需要修改注册登记机构交易数据的，由注册登记机构进行更正，并就差错的更正向有关当事人进行确认。</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基金份额净值差错处理的原则和方法</w:t>
      </w:r>
    </w:p>
    <w:p w:rsidR="002F5370" w:rsidRPr="0001503D" w:rsidRDefault="002F5370" w:rsidP="000B57E8">
      <w:pPr>
        <w:snapToGrid w:val="0"/>
        <w:spacing w:line="360" w:lineRule="auto"/>
        <w:ind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w:t>
      </w:r>
      <w:r w:rsidRPr="0001503D">
        <w:rPr>
          <w:rFonts w:asciiTheme="minorEastAsia" w:eastAsiaTheme="minorEastAsia" w:hAnsiTheme="minorEastAsia"/>
          <w:kern w:val="0"/>
          <w:szCs w:val="21"/>
        </w:rPr>
        <w:t>1</w:t>
      </w:r>
      <w:r w:rsidRPr="0001503D">
        <w:rPr>
          <w:rFonts w:asciiTheme="minorEastAsia" w:eastAsiaTheme="minorEastAsia" w:hAnsiTheme="minorEastAsia" w:hint="eastAsia"/>
          <w:kern w:val="0"/>
          <w:szCs w:val="21"/>
        </w:rPr>
        <w:t>）当基金份额净值小数点后</w:t>
      </w:r>
      <w:r w:rsidRPr="0001503D">
        <w:rPr>
          <w:rFonts w:asciiTheme="minorEastAsia" w:eastAsiaTheme="minorEastAsia" w:hAnsiTheme="minorEastAsia"/>
          <w:kern w:val="0"/>
          <w:szCs w:val="21"/>
        </w:rPr>
        <w:t>3</w:t>
      </w:r>
      <w:r w:rsidRPr="0001503D">
        <w:rPr>
          <w:rFonts w:asciiTheme="minorEastAsia" w:eastAsiaTheme="minorEastAsia" w:hAnsiTheme="minorEastAsia" w:hint="eastAsia"/>
          <w:kern w:val="0"/>
          <w:szCs w:val="21"/>
        </w:rPr>
        <w:t>位以内（含第</w:t>
      </w:r>
      <w:r w:rsidRPr="0001503D">
        <w:rPr>
          <w:rFonts w:asciiTheme="minorEastAsia" w:eastAsiaTheme="minorEastAsia" w:hAnsiTheme="minorEastAsia"/>
          <w:kern w:val="0"/>
          <w:szCs w:val="21"/>
        </w:rPr>
        <w:t>3</w:t>
      </w:r>
      <w:r w:rsidRPr="0001503D">
        <w:rPr>
          <w:rFonts w:asciiTheme="minorEastAsia" w:eastAsiaTheme="minorEastAsia" w:hAnsiTheme="minorEastAsia" w:hint="eastAsia"/>
          <w:kern w:val="0"/>
          <w:szCs w:val="21"/>
        </w:rPr>
        <w:t>位）发生差错时，视为基金份额净值错误；基金份额净值出现错误时，基金管理人应当立即予以纠正，通报基金托管人，并采取合理的措施防止损失进一步扩大；当错误达到或超过基金资产净值的</w:t>
      </w:r>
      <w:r w:rsidRPr="0001503D">
        <w:rPr>
          <w:rFonts w:asciiTheme="minorEastAsia" w:eastAsiaTheme="minorEastAsia" w:hAnsiTheme="minorEastAsia"/>
          <w:kern w:val="0"/>
          <w:szCs w:val="21"/>
        </w:rPr>
        <w:t>0.25%</w:t>
      </w:r>
      <w:r w:rsidRPr="0001503D">
        <w:rPr>
          <w:rFonts w:asciiTheme="minorEastAsia" w:eastAsiaTheme="minorEastAsia" w:hAnsiTheme="minorEastAsia" w:hint="eastAsia"/>
          <w:kern w:val="0"/>
          <w:szCs w:val="21"/>
        </w:rPr>
        <w:t>时，基金管理公司应当及时通知基金托管人并报中国证监会；错误偏差达到基金份额净值的</w:t>
      </w:r>
      <w:r w:rsidRPr="0001503D">
        <w:rPr>
          <w:rFonts w:asciiTheme="minorEastAsia" w:eastAsiaTheme="minorEastAsia" w:hAnsiTheme="minorEastAsia"/>
          <w:kern w:val="0"/>
          <w:szCs w:val="21"/>
        </w:rPr>
        <w:t>0.5%</w:t>
      </w:r>
      <w:r w:rsidRPr="0001503D">
        <w:rPr>
          <w:rFonts w:asciiTheme="minorEastAsia" w:eastAsiaTheme="minorEastAsia" w:hAnsiTheme="minorEastAsia" w:hint="eastAsia"/>
          <w:kern w:val="0"/>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2F5370" w:rsidRPr="0001503D" w:rsidRDefault="002F5370" w:rsidP="000B57E8">
      <w:pPr>
        <w:snapToGrid w:val="0"/>
        <w:spacing w:line="360" w:lineRule="auto"/>
        <w:ind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lastRenderedPageBreak/>
        <w:t>（</w:t>
      </w:r>
      <w:r w:rsidRPr="0001503D">
        <w:rPr>
          <w:rFonts w:asciiTheme="minorEastAsia" w:eastAsiaTheme="minorEastAsia" w:hAnsiTheme="minorEastAsia"/>
          <w:kern w:val="0"/>
          <w:szCs w:val="21"/>
        </w:rPr>
        <w:t>2</w:t>
      </w:r>
      <w:r w:rsidRPr="0001503D">
        <w:rPr>
          <w:rFonts w:asciiTheme="minorEastAsia" w:eastAsiaTheme="minorEastAsia" w:hAnsiTheme="minorEastAsia"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2F5370" w:rsidRPr="0001503D" w:rsidRDefault="00137AE8" w:rsidP="000B57E8">
      <w:pPr>
        <w:snapToGrid w:val="0"/>
        <w:spacing w:line="360" w:lineRule="auto"/>
        <w:ind w:firstLineChars="200"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1）</w:t>
      </w:r>
      <w:r w:rsidR="002F5370" w:rsidRPr="0001503D">
        <w:rPr>
          <w:rFonts w:asciiTheme="minorEastAsia" w:eastAsiaTheme="minorEastAsia" w:hAnsiTheme="minorEastAsia" w:hint="eastAsia"/>
          <w:kern w:val="0"/>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F5370" w:rsidRPr="0001503D" w:rsidRDefault="00137AE8" w:rsidP="000B57E8">
      <w:pPr>
        <w:snapToGrid w:val="0"/>
        <w:spacing w:line="360" w:lineRule="auto"/>
        <w:ind w:firstLineChars="200"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2）</w:t>
      </w:r>
      <w:r w:rsidR="002F5370" w:rsidRPr="0001503D">
        <w:rPr>
          <w:rFonts w:asciiTheme="minorEastAsia" w:eastAsiaTheme="minorEastAsia" w:hAnsiTheme="minorEastAsia" w:hint="eastAsia"/>
          <w:kern w:val="0"/>
          <w:szCs w:val="21"/>
        </w:rPr>
        <w:t>若基金管理人计算的基金份额净值已由基金托管人复核确认后公告，而且基金托管人未对计算过程提出书面疑义，份额净值出错且造成基金份额持有人损失的，应根据法律法规的规定对投资者或基金支付赔偿金，就实际向投资者或基金支付的赔偿金额，</w:t>
      </w:r>
      <w:r w:rsidR="002F5370" w:rsidRPr="0001503D">
        <w:rPr>
          <w:rStyle w:val="read"/>
          <w:rFonts w:asciiTheme="minorEastAsia" w:eastAsiaTheme="minorEastAsia" w:hAnsiTheme="minorEastAsia" w:hint="eastAsia"/>
          <w:szCs w:val="21"/>
        </w:rPr>
        <w:t>其中基金管理人承担</w:t>
      </w:r>
      <w:r w:rsidR="002F5370" w:rsidRPr="0001503D">
        <w:rPr>
          <w:rStyle w:val="read"/>
          <w:rFonts w:asciiTheme="minorEastAsia" w:eastAsiaTheme="minorEastAsia" w:hAnsiTheme="minorEastAsia"/>
          <w:szCs w:val="21"/>
        </w:rPr>
        <w:t>50%</w:t>
      </w:r>
      <w:r w:rsidR="002F5370" w:rsidRPr="0001503D">
        <w:rPr>
          <w:rStyle w:val="read"/>
          <w:rFonts w:asciiTheme="minorEastAsia" w:eastAsiaTheme="minorEastAsia" w:hAnsiTheme="minorEastAsia" w:hint="eastAsia"/>
          <w:szCs w:val="21"/>
        </w:rPr>
        <w:t>，基金托管人承担</w:t>
      </w:r>
      <w:r w:rsidR="002F5370" w:rsidRPr="0001503D">
        <w:rPr>
          <w:rStyle w:val="read"/>
          <w:rFonts w:asciiTheme="minorEastAsia" w:eastAsiaTheme="minorEastAsia" w:hAnsiTheme="minorEastAsia"/>
          <w:szCs w:val="21"/>
        </w:rPr>
        <w:t>50%</w:t>
      </w:r>
      <w:r w:rsidR="002F5370" w:rsidRPr="0001503D">
        <w:rPr>
          <w:rStyle w:val="read"/>
          <w:rFonts w:asciiTheme="minorEastAsia" w:eastAsiaTheme="minorEastAsia" w:hAnsiTheme="minorEastAsia" w:hint="eastAsia"/>
          <w:szCs w:val="21"/>
        </w:rPr>
        <w:t>；</w:t>
      </w:r>
    </w:p>
    <w:p w:rsidR="002F5370" w:rsidRPr="0001503D" w:rsidRDefault="00137AE8" w:rsidP="000B57E8">
      <w:pPr>
        <w:snapToGrid w:val="0"/>
        <w:spacing w:line="360" w:lineRule="auto"/>
        <w:ind w:firstLineChars="200"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3）</w:t>
      </w:r>
      <w:r w:rsidR="002F5370" w:rsidRPr="0001503D">
        <w:rPr>
          <w:rFonts w:asciiTheme="minorEastAsia" w:eastAsiaTheme="minorEastAsia" w:hAnsiTheme="minorEastAsia"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5370" w:rsidRPr="0001503D" w:rsidRDefault="00137AE8" w:rsidP="000B57E8">
      <w:pPr>
        <w:snapToGrid w:val="0"/>
        <w:spacing w:line="360" w:lineRule="auto"/>
        <w:ind w:firstLineChars="200"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4）</w:t>
      </w:r>
      <w:r w:rsidR="002F5370" w:rsidRPr="0001503D">
        <w:rPr>
          <w:rFonts w:asciiTheme="minorEastAsia" w:eastAsiaTheme="minorEastAsia" w:hAnsiTheme="minorEastAsia" w:hint="eastAsia"/>
          <w:kern w:val="0"/>
          <w:szCs w:val="21"/>
        </w:rPr>
        <w:t>由于基金管理人提供的基金申购或赎回数据错误，进而导致基金份额净值计算错误而引起的基金份额持有人和基金的损失，由基金管理人负责赔付。</w:t>
      </w:r>
    </w:p>
    <w:p w:rsidR="002F5370" w:rsidRPr="0001503D" w:rsidRDefault="002F5370" w:rsidP="000B57E8">
      <w:pPr>
        <w:snapToGrid w:val="0"/>
        <w:spacing w:line="360" w:lineRule="auto"/>
        <w:ind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w:t>
      </w:r>
      <w:r w:rsidRPr="0001503D">
        <w:rPr>
          <w:rFonts w:asciiTheme="minorEastAsia" w:eastAsiaTheme="minorEastAsia" w:hAnsiTheme="minorEastAsia"/>
          <w:kern w:val="0"/>
          <w:szCs w:val="21"/>
        </w:rPr>
        <w:t>3</w:t>
      </w:r>
      <w:r w:rsidRPr="0001503D">
        <w:rPr>
          <w:rFonts w:asciiTheme="minorEastAsia" w:eastAsiaTheme="minorEastAsia" w:hAnsiTheme="minorEastAsia" w:hint="eastAsia"/>
          <w:kern w:val="0"/>
          <w:szCs w:val="21"/>
        </w:rPr>
        <w:t>）基金管理人和基金托管人由于各自技术系统设置而产生的净值计算尾差，以基金管理人计算结果为准。</w:t>
      </w:r>
    </w:p>
    <w:p w:rsidR="002F5370" w:rsidRPr="0001503D" w:rsidRDefault="002F5370" w:rsidP="000B57E8">
      <w:pPr>
        <w:snapToGrid w:val="0"/>
        <w:spacing w:line="360" w:lineRule="auto"/>
        <w:ind w:firstLine="420"/>
        <w:rPr>
          <w:rFonts w:asciiTheme="minorEastAsia" w:eastAsiaTheme="minorEastAsia" w:hAnsiTheme="minorEastAsia"/>
          <w:kern w:val="0"/>
          <w:szCs w:val="21"/>
        </w:rPr>
      </w:pPr>
      <w:r w:rsidRPr="0001503D">
        <w:rPr>
          <w:rFonts w:asciiTheme="minorEastAsia" w:eastAsiaTheme="minorEastAsia" w:hAnsiTheme="minorEastAsia" w:hint="eastAsia"/>
          <w:kern w:val="0"/>
          <w:szCs w:val="21"/>
        </w:rPr>
        <w:t>（</w:t>
      </w:r>
      <w:r w:rsidRPr="0001503D">
        <w:rPr>
          <w:rFonts w:asciiTheme="minorEastAsia" w:eastAsiaTheme="minorEastAsia" w:hAnsiTheme="minorEastAsia"/>
          <w:kern w:val="0"/>
          <w:szCs w:val="21"/>
        </w:rPr>
        <w:t>4</w:t>
      </w:r>
      <w:r w:rsidRPr="0001503D">
        <w:rPr>
          <w:rFonts w:asciiTheme="minorEastAsia" w:eastAsiaTheme="minorEastAsia" w:hAnsiTheme="minorEastAsia" w:hint="eastAsia"/>
          <w:kern w:val="0"/>
          <w:szCs w:val="21"/>
        </w:rPr>
        <w:t>）前述内容如法律法规或者监管部门另有规定的，从其规定。如果行业有通行做法，双方当事人应本着平等和保护基金份额持有人利益的原则进行协商。</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6" w:name="_Toc28803588"/>
      <w:r w:rsidRPr="0001503D">
        <w:rPr>
          <w:rFonts w:asciiTheme="minorEastAsia" w:eastAsiaTheme="minorEastAsia" w:hAnsiTheme="minorEastAsia" w:hint="eastAsia"/>
          <w:b w:val="0"/>
        </w:rPr>
        <w:t>（七）暂停估值的情形</w:t>
      </w:r>
      <w:bookmarkEnd w:id="186"/>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基金投资所涉及的证券交易所遇法定节假日或因其他原因暂停营业时；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因不可抗力或其他情形致使基金管理人、基金托管人无法准确评估基金资产价值时；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占基金相当比例的投资品种的估值出现重大转变，而基金管理人为保障基金份额持有人的利益，决定延迟估值；</w:t>
      </w:r>
    </w:p>
    <w:p w:rsidR="00B818CC" w:rsidRPr="0001503D" w:rsidRDefault="00B818CC" w:rsidP="00A6256D">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、前一估值日基金资产净值</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2F5370" w:rsidRPr="0001503D" w:rsidRDefault="00B818CC"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137AE8" w:rsidRPr="0001503D">
        <w:rPr>
          <w:rFonts w:asciiTheme="minorEastAsia" w:eastAsiaTheme="minorEastAsia" w:hAnsiTheme="minorEastAsia" w:hint="eastAsia"/>
          <w:szCs w:val="21"/>
        </w:rPr>
        <w:t>、</w:t>
      </w:r>
      <w:r w:rsidR="002F5370" w:rsidRPr="0001503D">
        <w:rPr>
          <w:rFonts w:asciiTheme="minorEastAsia" w:eastAsiaTheme="minorEastAsia" w:hAnsiTheme="minorEastAsia" w:hint="eastAsia"/>
          <w:szCs w:val="21"/>
        </w:rPr>
        <w:t>中国证监会和基金合同认定的其他情形。</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7" w:name="_Toc28803589"/>
      <w:r w:rsidRPr="0001503D">
        <w:rPr>
          <w:rFonts w:asciiTheme="minorEastAsia" w:eastAsiaTheme="minorEastAsia" w:hAnsiTheme="minorEastAsia" w:hint="eastAsia"/>
          <w:b w:val="0"/>
        </w:rPr>
        <w:t>（八）基金净值的确认</w:t>
      </w:r>
      <w:bookmarkEnd w:id="187"/>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基金份额净值的计算精确到</w:t>
      </w:r>
      <w:r w:rsidRPr="0001503D">
        <w:rPr>
          <w:rFonts w:asciiTheme="minorEastAsia" w:eastAsiaTheme="minorEastAsia" w:hAnsiTheme="minorEastAsia"/>
          <w:szCs w:val="21"/>
        </w:rPr>
        <w:t>0.001</w:t>
      </w:r>
      <w:r w:rsidRPr="0001503D">
        <w:rPr>
          <w:rFonts w:asciiTheme="minorEastAsia" w:eastAsiaTheme="minorEastAsia" w:hAnsiTheme="minorEastAsia" w:hint="eastAsia"/>
          <w:szCs w:val="21"/>
        </w:rPr>
        <w:t>元，小数点后第四位四舍五入。国家另有规定的，从其规定。</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8" w:name="_Toc28803590"/>
      <w:r w:rsidRPr="0001503D">
        <w:rPr>
          <w:rFonts w:asciiTheme="minorEastAsia" w:eastAsiaTheme="minorEastAsia" w:hAnsiTheme="minorEastAsia" w:hint="eastAsia"/>
          <w:b w:val="0"/>
        </w:rPr>
        <w:t>（九）特殊情形的处理</w:t>
      </w:r>
      <w:bookmarkEnd w:id="188"/>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基金管理人或基金托管人按股票估值方法的第（3）项、债券估值方法的第（7）项、权证估值方法的第（4）项进行估值时，所造成的误差不作为基金资产估值错误处理。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kern w:val="0"/>
          <w:szCs w:val="21"/>
        </w:rPr>
        <w:t>2</w:t>
      </w:r>
      <w:r w:rsidR="00137AE8" w:rsidRPr="0001503D">
        <w:rPr>
          <w:rFonts w:asciiTheme="minorEastAsia" w:eastAsiaTheme="minorEastAsia" w:hAnsiTheme="minorEastAsia" w:hint="eastAsia"/>
          <w:kern w:val="0"/>
          <w:szCs w:val="21"/>
        </w:rPr>
        <w:t>、</w:t>
      </w:r>
      <w:r w:rsidRPr="0001503D">
        <w:rPr>
          <w:rFonts w:asciiTheme="minorEastAsia" w:eastAsiaTheme="minorEastAsia" w:hAnsiTheme="minorEastAsia" w:hint="eastAsia"/>
          <w:kern w:val="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189" w:name="_Toc238870171"/>
      <w:bookmarkStart w:id="190" w:name="_Toc28803591"/>
      <w:r w:rsidRPr="0001503D">
        <w:rPr>
          <w:rFonts w:asciiTheme="minorEastAsia" w:eastAsiaTheme="minorEastAsia" w:hAnsiTheme="minorEastAsia" w:hint="eastAsia"/>
          <w:bCs/>
        </w:rPr>
        <w:lastRenderedPageBreak/>
        <w:t>十五、基金的收益与分配</w:t>
      </w:r>
      <w:bookmarkEnd w:id="189"/>
      <w:bookmarkEnd w:id="190"/>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1" w:name="_Toc28803592"/>
      <w:bookmarkStart w:id="192" w:name="_Toc84149664"/>
      <w:bookmarkStart w:id="193" w:name="_Toc86584639"/>
      <w:r w:rsidRPr="0001503D">
        <w:rPr>
          <w:rFonts w:asciiTheme="minorEastAsia" w:eastAsiaTheme="minorEastAsia" w:hAnsiTheme="minorEastAsia" w:hint="eastAsia"/>
          <w:b w:val="0"/>
        </w:rPr>
        <w:t>（一）基金利润的构成</w:t>
      </w:r>
      <w:bookmarkEnd w:id="19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4" w:name="_Toc28803593"/>
      <w:r w:rsidRPr="0001503D">
        <w:rPr>
          <w:rFonts w:asciiTheme="minorEastAsia" w:eastAsiaTheme="minorEastAsia" w:hAnsiTheme="minorEastAsia" w:hint="eastAsia"/>
          <w:b w:val="0"/>
        </w:rPr>
        <w:t>（二）基金可供分配利润</w:t>
      </w:r>
      <w:bookmarkEnd w:id="194"/>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基金可供分配利润指截至收益分配基准日基金未分配利润与未分配利润中已实现收益的孰低数。</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5" w:name="_Toc28803594"/>
      <w:r w:rsidRPr="0001503D">
        <w:rPr>
          <w:rFonts w:asciiTheme="minorEastAsia" w:eastAsiaTheme="minorEastAsia" w:hAnsiTheme="minorEastAsia" w:hint="eastAsia"/>
          <w:b w:val="0"/>
        </w:rPr>
        <w:t>（三）收益分配原则</w:t>
      </w:r>
      <w:bookmarkEnd w:id="195"/>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本基金收益分配应遵循下列原则：</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本基金的每份基金份额享有同等分配权；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基金收益分配基准日的基金份额净值减去每单位基金份额收益分配金额后不能低于面值；</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本基金收益分配方式分为两种：现金分红与红利再投资，基金投资者可选择现金红利或将现金红利自动转为基金份额进行再投资；若投资者不选择，本基金默认的收益分配方式是现金分红；</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hint="eastAsia"/>
          <w:szCs w:val="21"/>
        </w:rPr>
        <w:t>法律法规或监管机构另有规定的从其规定。</w:t>
      </w:r>
    </w:p>
    <w:p w:rsidR="002F5370" w:rsidRPr="0001503D"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96" w:name="_Toc28803595"/>
      <w:r w:rsidRPr="0001503D">
        <w:rPr>
          <w:rFonts w:asciiTheme="minorEastAsia" w:eastAsiaTheme="minorEastAsia" w:hAnsiTheme="minorEastAsia" w:hint="eastAsia"/>
          <w:b w:val="0"/>
        </w:rPr>
        <w:t>（四）收益分配方案</w:t>
      </w:r>
      <w:bookmarkEnd w:id="196"/>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基金收益分配方案中应载明基金收益分配基准日可供分配利润、基金收益分配对象、分配时间、分配数额及比例、分配方式等内容。</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7" w:name="_Toc28803596"/>
      <w:r w:rsidRPr="0001503D">
        <w:rPr>
          <w:rFonts w:asciiTheme="minorEastAsia" w:eastAsiaTheme="minorEastAsia" w:hAnsiTheme="minorEastAsia" w:hint="eastAsia"/>
          <w:b w:val="0"/>
        </w:rPr>
        <w:t>（五）收益分配方案的确定、公告与实施</w:t>
      </w:r>
      <w:bookmarkEnd w:id="197"/>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本基金收益分配方案由基金管理人拟定、由基金托管人核实后确定，基金管理人按法律法规的规定公告。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137AE8"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本基金收益分配的发放日距离收益分配基准日的时间不超过15个工作日。在分配方案公布后</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依据具体方案的规定</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，基金管理人就支付的现金红利向基金托管人发送划款指令，基金托管人按照基金管理人的指令及时进行分红资金的划付。</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法律法规或监管机关另有规定的，从其规定。</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8" w:name="_Toc28803597"/>
      <w:r w:rsidRPr="0001503D">
        <w:rPr>
          <w:rFonts w:asciiTheme="minorEastAsia" w:eastAsiaTheme="minorEastAsia" w:hAnsiTheme="minorEastAsia" w:hint="eastAsia"/>
          <w:b w:val="0"/>
        </w:rPr>
        <w:lastRenderedPageBreak/>
        <w:t>（六）收益分配中发生的费用</w:t>
      </w:r>
      <w:bookmarkEnd w:id="198"/>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bookmarkEnd w:id="192"/>
    <w:bookmarkEnd w:id="193"/>
    <w:p w:rsidR="002F5370" w:rsidRPr="0001503D" w:rsidRDefault="002F5370" w:rsidP="000B57E8">
      <w:pPr>
        <w:snapToGrid w:val="0"/>
        <w:spacing w:line="360" w:lineRule="auto"/>
        <w:ind w:firstLine="420"/>
        <w:rPr>
          <w:rFonts w:asciiTheme="minorEastAsia" w:eastAsiaTheme="minorEastAsia" w:hAnsiTheme="minorEastAsia"/>
          <w:szCs w:val="21"/>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199" w:name="_Toc238870172"/>
      <w:bookmarkStart w:id="200" w:name="_Toc28803598"/>
      <w:r w:rsidRPr="0001503D">
        <w:rPr>
          <w:rFonts w:asciiTheme="minorEastAsia" w:eastAsiaTheme="minorEastAsia" w:hAnsiTheme="minorEastAsia" w:hint="eastAsia"/>
          <w:bCs/>
        </w:rPr>
        <w:lastRenderedPageBreak/>
        <w:t>十六、基金的费用与税收</w:t>
      </w:r>
      <w:bookmarkEnd w:id="199"/>
      <w:bookmarkEnd w:id="200"/>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1" w:name="_Toc84149669"/>
      <w:bookmarkStart w:id="202" w:name="_Toc86584633"/>
      <w:bookmarkStart w:id="203" w:name="_Toc28803599"/>
      <w:r w:rsidRPr="0001503D">
        <w:rPr>
          <w:rFonts w:asciiTheme="minorEastAsia" w:eastAsiaTheme="minorEastAsia" w:hAnsiTheme="minorEastAsia" w:hint="eastAsia"/>
          <w:b w:val="0"/>
        </w:rPr>
        <w:t>（一）与基金运作相关的费用</w:t>
      </w:r>
      <w:bookmarkEnd w:id="201"/>
      <w:bookmarkEnd w:id="202"/>
      <w:bookmarkEnd w:id="203"/>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基金费用的种类</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)基金管理人的管理费；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)基金托管人的托管费；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)基金合同生效后的信息披露费用；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)基金份额持有人大会费用；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)基金合同生效后与基金有关的会计师费和律师费；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)基金的证券交易费用；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)基金财产拨划支付的银行费用；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)按照国家有关规定可以在基金财产中列支的其他费用。</w:t>
      </w:r>
    </w:p>
    <w:p w:rsidR="002F5370" w:rsidRPr="0001503D" w:rsidRDefault="002F5370" w:rsidP="000B57E8">
      <w:pPr>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上述基金费用由基金管理人在法律法规规定的范围内按照合理价格确定，法律法规和基金合同另有规定时从其规定。</w:t>
      </w:r>
    </w:p>
    <w:p w:rsidR="002F5370" w:rsidRPr="0001503D" w:rsidRDefault="00137AE8"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基金费用计提方法、计提标准和支付方式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)基金管理人的管理费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在通常情况下，基金管理费按前一日基金资产净值的年费率计提。计算方法如下：</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H</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E×</w:t>
      </w:r>
      <w:r w:rsidRPr="0001503D">
        <w:rPr>
          <w:rFonts w:asciiTheme="minorEastAsia" w:eastAsiaTheme="minorEastAsia" w:hAnsiTheme="minorEastAsia" w:hint="eastAsia"/>
          <w:szCs w:val="21"/>
        </w:rPr>
        <w:t>年管理费率</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当年天数，本基金年管理费率为1.5</w:t>
      </w:r>
      <w:r w:rsidRPr="0001503D">
        <w:rPr>
          <w:rFonts w:asciiTheme="minorEastAsia" w:eastAsiaTheme="minorEastAsia" w:hAnsiTheme="minor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H</w:t>
      </w:r>
      <w:r w:rsidRPr="0001503D">
        <w:rPr>
          <w:rFonts w:asciiTheme="minorEastAsia" w:eastAsiaTheme="minorEastAsia" w:hAnsiTheme="minorEastAsia" w:hint="eastAsia"/>
          <w:szCs w:val="21"/>
        </w:rPr>
        <w:t>为每日应计提的基金管理费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E</w:t>
      </w:r>
      <w:r w:rsidRPr="0001503D">
        <w:rPr>
          <w:rFonts w:asciiTheme="minorEastAsia" w:eastAsiaTheme="minorEastAsia" w:hAnsiTheme="minorEastAsia" w:hint="eastAsia"/>
          <w:szCs w:val="21"/>
        </w:rPr>
        <w:t>为前一日基金资产净值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基金管理费每日计提，按月支付。由基金管理人向基金托管人发送基金管理费划付指令，经基金托管人复核后于次月首日起</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个工作日内从基金财产中一次性支付给基金管理人，若遇法定节假日、休息日，支付日期顺延。</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)基金托管人的托管费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在通常情况下，基金托管费按前一日基金资产净值的年费率计提。计算方法如下：</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H</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E×</w:t>
      </w:r>
      <w:r w:rsidRPr="0001503D">
        <w:rPr>
          <w:rFonts w:asciiTheme="minorEastAsia" w:eastAsiaTheme="minorEastAsia" w:hAnsiTheme="minorEastAsia" w:hint="eastAsia"/>
          <w:szCs w:val="21"/>
        </w:rPr>
        <w:t>年托管费率</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当年天数，本基金年托管费率为0.25</w:t>
      </w:r>
      <w:r w:rsidRPr="0001503D">
        <w:rPr>
          <w:rFonts w:asciiTheme="minorEastAsia" w:eastAsiaTheme="minorEastAsia" w:hAnsiTheme="minor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H</w:t>
      </w:r>
      <w:r w:rsidRPr="0001503D">
        <w:rPr>
          <w:rFonts w:asciiTheme="minorEastAsia" w:eastAsiaTheme="minorEastAsia" w:hAnsiTheme="minorEastAsia" w:hint="eastAsia"/>
          <w:szCs w:val="21"/>
        </w:rPr>
        <w:t>为每日应计提的基金托管费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E</w:t>
      </w:r>
      <w:r w:rsidRPr="0001503D">
        <w:rPr>
          <w:rFonts w:asciiTheme="minorEastAsia" w:eastAsiaTheme="minorEastAsia" w:hAnsiTheme="minorEastAsia" w:hint="eastAsia"/>
          <w:szCs w:val="21"/>
        </w:rPr>
        <w:t>为前一日基金资产净值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基金托管费每日计提，按月支付。由基金管理人向基金托管人发送基金托管费划付指令，经基金托管人复核后于次月首日起</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个工作日内从基金财产中一次性支付给基金托管人，若遇法定节假日、休息日，支付日期顺延。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)上述1中(</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)到(</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)项费用由基金托管人根据其他有关法律法规及相应协议的规定，按费用支出金额支付，列入或摊入当期基金费用。</w:t>
      </w:r>
    </w:p>
    <w:p w:rsidR="002F5370" w:rsidRPr="0001503D" w:rsidRDefault="00137AE8"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3、</w:t>
      </w:r>
      <w:r w:rsidR="002F5370" w:rsidRPr="0001503D">
        <w:rPr>
          <w:rFonts w:asciiTheme="minorEastAsia" w:eastAsiaTheme="minorEastAsia" w:hAnsiTheme="minorEastAsia" w:hint="eastAsia"/>
          <w:szCs w:val="21"/>
        </w:rPr>
        <w:t>不列入基金费用的项目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2F5370" w:rsidRPr="0001503D" w:rsidRDefault="00137AE8"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基金费用的调整</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基金管理人和基金托管人可根据基金发展情况调整基金管理费率和基金托管费率。降低基金管理费率和基金托管费率，无须召开基金份额持有人大会。基金管理人必须依照有关规定于新的费率实施日前在</w:t>
      </w:r>
      <w:r w:rsidR="000D0687"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上刊登公告。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4" w:name="_Toc28803600"/>
      <w:r w:rsidRPr="0001503D">
        <w:rPr>
          <w:rFonts w:asciiTheme="minorEastAsia" w:eastAsiaTheme="minorEastAsia" w:hAnsiTheme="minorEastAsia" w:hint="eastAsia"/>
          <w:b w:val="0"/>
        </w:rPr>
        <w:t>（二）与基金销售有关的费用</w:t>
      </w:r>
      <w:bookmarkEnd w:id="204"/>
    </w:p>
    <w:p w:rsidR="002F5370" w:rsidRPr="0001503D" w:rsidRDefault="00137AE8"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申购费率：</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申购费率为：</w:t>
      </w:r>
    </w:p>
    <w:p w:rsidR="00C61179" w:rsidRPr="0001503D" w:rsidRDefault="00C6117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本基金对通过直销中心申购的特定投资群体与除此之外的其他投资者实施差别的申购费率。</w:t>
      </w:r>
    </w:p>
    <w:p w:rsidR="00C61179" w:rsidRPr="0001503D" w:rsidRDefault="00C6117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C61179" w:rsidRPr="0001503D" w:rsidRDefault="00C61179"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01503D" w:rsidRPr="0001503D"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137AE8">
            <w:pPr>
              <w:tabs>
                <w:tab w:val="num" w:pos="360"/>
              </w:tabs>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申购金额</w:t>
            </w:r>
            <w:r w:rsidRPr="0001503D">
              <w:rPr>
                <w:rFonts w:asciiTheme="minorEastAsia" w:eastAsiaTheme="minorEastAsia" w:hAnsiTheme="minorEastAsia" w:hint="eastAsia"/>
              </w:rPr>
              <w:t>M（元）</w:t>
            </w:r>
            <w:r w:rsidRPr="0001503D">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137AE8">
            <w:pPr>
              <w:tabs>
                <w:tab w:val="num" w:pos="360"/>
              </w:tabs>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申购费率</w:t>
            </w:r>
          </w:p>
        </w:tc>
      </w:tr>
      <w:tr w:rsidR="0001503D" w:rsidRPr="0001503D"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0.15%</w:t>
            </w:r>
          </w:p>
        </w:tc>
      </w:tr>
      <w:tr w:rsidR="0001503D" w:rsidRPr="0001503D"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0.12%</w:t>
            </w:r>
          </w:p>
        </w:tc>
      </w:tr>
      <w:tr w:rsidR="0001503D" w:rsidRPr="0001503D"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0.03%</w:t>
            </w:r>
          </w:p>
        </w:tc>
      </w:tr>
      <w:tr w:rsidR="0001503D" w:rsidRPr="0001503D"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01503D" w:rsidRDefault="00C61179" w:rsidP="000B57E8">
            <w:pPr>
              <w:snapToGrid w:val="0"/>
              <w:spacing w:line="360" w:lineRule="auto"/>
              <w:ind w:firstLineChars="632" w:firstLine="1327"/>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1000元/笔</w:t>
            </w:r>
          </w:p>
        </w:tc>
      </w:tr>
    </w:tbl>
    <w:p w:rsidR="00C61179" w:rsidRPr="0001503D" w:rsidRDefault="00C61179"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3"/>
        <w:gridCol w:w="2925"/>
      </w:tblGrid>
      <w:tr w:rsidR="0001503D" w:rsidRPr="0001503D" w:rsidTr="00A43A99">
        <w:trPr>
          <w:jc w:val="center"/>
        </w:trPr>
        <w:tc>
          <w:tcPr>
            <w:tcW w:w="4203" w:type="dxa"/>
            <w:vAlign w:val="center"/>
          </w:tcPr>
          <w:p w:rsidR="002F5370" w:rsidRPr="0001503D" w:rsidRDefault="002F5370" w:rsidP="000B57E8">
            <w:pPr>
              <w:tabs>
                <w:tab w:val="num" w:pos="360"/>
              </w:tabs>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申购金额</w:t>
            </w:r>
            <w:r w:rsidRPr="0001503D">
              <w:rPr>
                <w:rStyle w:val="big1"/>
                <w:rFonts w:asciiTheme="minorEastAsia" w:eastAsiaTheme="minorEastAsia" w:hAnsiTheme="minorEastAsia" w:hint="eastAsia"/>
                <w:bCs/>
                <w:sz w:val="21"/>
                <w:szCs w:val="21"/>
              </w:rPr>
              <w:t>M</w:t>
            </w:r>
            <w:r w:rsidRPr="0001503D">
              <w:rPr>
                <w:rFonts w:asciiTheme="minorEastAsia" w:eastAsiaTheme="minorEastAsia" w:hAnsiTheme="minorEastAsia" w:hint="eastAsia"/>
                <w:szCs w:val="21"/>
              </w:rPr>
              <w:t>（元）（含申购费）</w:t>
            </w:r>
          </w:p>
        </w:tc>
        <w:tc>
          <w:tcPr>
            <w:tcW w:w="2925"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hint="eastAsia"/>
                <w:szCs w:val="21"/>
              </w:rPr>
              <w:t>申购费率</w:t>
            </w:r>
          </w:p>
        </w:tc>
      </w:tr>
      <w:tr w:rsidR="0001503D" w:rsidRPr="0001503D" w:rsidTr="00A43A99">
        <w:trPr>
          <w:jc w:val="center"/>
        </w:trPr>
        <w:tc>
          <w:tcPr>
            <w:tcW w:w="4203" w:type="dxa"/>
            <w:vAlign w:val="center"/>
          </w:tcPr>
          <w:p w:rsidR="002F5370" w:rsidRPr="0001503D" w:rsidRDefault="002F5370" w:rsidP="000B57E8">
            <w:pPr>
              <w:tabs>
                <w:tab w:val="num" w:pos="360"/>
              </w:tabs>
              <w:snapToGrid w:val="0"/>
              <w:spacing w:line="360" w:lineRule="auto"/>
              <w:jc w:val="center"/>
              <w:rPr>
                <w:rFonts w:asciiTheme="minorEastAsia" w:eastAsiaTheme="minorEastAsia" w:hAnsiTheme="minorEastAsia"/>
                <w:szCs w:val="21"/>
              </w:rPr>
            </w:pPr>
            <w:r w:rsidRPr="0001503D">
              <w:rPr>
                <w:rFonts w:asciiTheme="minorEastAsia" w:eastAsiaTheme="minorEastAsia" w:hAnsiTheme="minorEastAsia" w:hint="eastAsia"/>
                <w:szCs w:val="21"/>
              </w:rPr>
              <w:t>M＜100万</w:t>
            </w:r>
          </w:p>
        </w:tc>
        <w:tc>
          <w:tcPr>
            <w:tcW w:w="2925"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1.5%</w:t>
            </w:r>
          </w:p>
        </w:tc>
      </w:tr>
      <w:tr w:rsidR="0001503D" w:rsidRPr="0001503D" w:rsidTr="00A43A99">
        <w:trPr>
          <w:jc w:val="center"/>
        </w:trPr>
        <w:tc>
          <w:tcPr>
            <w:tcW w:w="4203"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hint="eastAsia"/>
                <w:szCs w:val="21"/>
              </w:rPr>
              <w:t>100万≤M＜500万</w:t>
            </w:r>
          </w:p>
        </w:tc>
        <w:tc>
          <w:tcPr>
            <w:tcW w:w="2925"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1.2%</w:t>
            </w:r>
          </w:p>
        </w:tc>
      </w:tr>
      <w:tr w:rsidR="0001503D" w:rsidRPr="0001503D" w:rsidTr="00A43A99">
        <w:trPr>
          <w:jc w:val="center"/>
        </w:trPr>
        <w:tc>
          <w:tcPr>
            <w:tcW w:w="4203"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hint="eastAsia"/>
                <w:szCs w:val="21"/>
              </w:rPr>
              <w:t>500万≤M＜1000万</w:t>
            </w:r>
          </w:p>
        </w:tc>
        <w:tc>
          <w:tcPr>
            <w:tcW w:w="2925"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0.3%</w:t>
            </w:r>
          </w:p>
        </w:tc>
      </w:tr>
      <w:tr w:rsidR="0001503D" w:rsidRPr="0001503D" w:rsidTr="00A43A99">
        <w:trPr>
          <w:jc w:val="center"/>
        </w:trPr>
        <w:tc>
          <w:tcPr>
            <w:tcW w:w="4203" w:type="dxa"/>
            <w:vAlign w:val="center"/>
          </w:tcPr>
          <w:p w:rsidR="002F5370" w:rsidRPr="0001503D"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01503D">
              <w:rPr>
                <w:rFonts w:asciiTheme="minorEastAsia" w:eastAsiaTheme="minorEastAsia" w:hAnsiTheme="minorEastAsia" w:hint="eastAsia"/>
                <w:szCs w:val="21"/>
              </w:rPr>
              <w:t>M≥1000万</w:t>
            </w:r>
          </w:p>
        </w:tc>
        <w:tc>
          <w:tcPr>
            <w:tcW w:w="2925" w:type="dxa"/>
            <w:vAlign w:val="center"/>
          </w:tcPr>
          <w:p w:rsidR="002F5370" w:rsidRPr="0001503D" w:rsidRDefault="002F5370" w:rsidP="000B57E8">
            <w:pPr>
              <w:tabs>
                <w:tab w:val="num" w:pos="360"/>
              </w:tabs>
              <w:snapToGrid w:val="0"/>
              <w:spacing w:line="360" w:lineRule="auto"/>
              <w:ind w:leftChars="-1" w:hangingChars="1" w:hanging="2"/>
              <w:jc w:val="center"/>
              <w:rPr>
                <w:rFonts w:asciiTheme="minorEastAsia" w:eastAsiaTheme="minorEastAsia" w:hAnsiTheme="minorEastAsia"/>
                <w:szCs w:val="21"/>
              </w:rPr>
            </w:pPr>
            <w:r w:rsidRPr="0001503D">
              <w:rPr>
                <w:rFonts w:asciiTheme="minorEastAsia" w:eastAsiaTheme="minorEastAsia" w:hAnsiTheme="minorEastAsia" w:cs="宋体" w:hint="eastAsia"/>
                <w:kern w:val="0"/>
                <w:szCs w:val="21"/>
              </w:rPr>
              <w:t>1000元/笔</w:t>
            </w:r>
          </w:p>
        </w:tc>
      </w:tr>
    </w:tbl>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（2）申购费的收取方式和用途</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在申购费按金额分档的情况下，如果投资者多次申购，申购费适用单笔申购金额所对应的费率。</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szCs w:val="21"/>
        </w:rPr>
        <w:t>申购费用</w:t>
      </w:r>
      <w:r w:rsidRPr="0001503D">
        <w:rPr>
          <w:rFonts w:asciiTheme="minorEastAsia" w:eastAsiaTheme="minorEastAsia" w:hAnsiTheme="minorEastAsia" w:hint="eastAsia"/>
          <w:szCs w:val="21"/>
        </w:rPr>
        <w:t>由申购基金份额的基金投资人承担，不列入基金财产，</w:t>
      </w:r>
      <w:r w:rsidRPr="0001503D">
        <w:rPr>
          <w:rFonts w:asciiTheme="minorEastAsia" w:eastAsiaTheme="minorEastAsia" w:hAnsiTheme="minorEastAsia"/>
          <w:szCs w:val="21"/>
        </w:rPr>
        <w:t>用于本基金的市场推广、销售、注册登记等各项费用。</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（3）申购份额的计算方式</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本基金的申购金额包括申购费用和净申购金额，其中：</w:t>
      </w:r>
    </w:p>
    <w:p w:rsidR="002F5370" w:rsidRPr="0001503D"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t>净申购金额=申购金额/（1+申购费率）</w:t>
      </w:r>
    </w:p>
    <w:p w:rsidR="002F5370" w:rsidRPr="0001503D"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t>申购费用=申购金额-净申购金额</w:t>
      </w:r>
    </w:p>
    <w:p w:rsidR="002F5370" w:rsidRPr="0001503D"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t>申购份额=净申购金额/申购当日基金份额净值</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对于1000万元（含）以上的申购，净申购金额=申购金额-绝对数额的申购费金额</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申购费用以人民币元为单位，四舍五入，保留至小数点后二位；申购份数采取四舍五入的方法保留小数点后二位，由此产生的误差计入基金财产。</w:t>
      </w:r>
    </w:p>
    <w:p w:rsidR="002F5370" w:rsidRPr="0001503D" w:rsidRDefault="00A43A99"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赎回费</w:t>
      </w:r>
    </w:p>
    <w:p w:rsidR="002F5370" w:rsidRPr="0001503D" w:rsidRDefault="002F5370" w:rsidP="000B57E8">
      <w:pPr>
        <w:snapToGrid w:val="0"/>
        <w:spacing w:line="360" w:lineRule="auto"/>
        <w:ind w:firstLineChars="202" w:firstLine="424"/>
        <w:rPr>
          <w:rFonts w:asciiTheme="minorEastAsia" w:eastAsiaTheme="minorEastAsia" w:hAnsiTheme="minorEastAsia"/>
          <w:szCs w:val="21"/>
        </w:rPr>
      </w:pP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赎回</w:t>
      </w:r>
      <w:r w:rsidRPr="0001503D">
        <w:rPr>
          <w:rFonts w:asciiTheme="minorEastAsia" w:eastAsiaTheme="minorEastAsia" w:hAnsiTheme="minorEastAsia" w:hint="eastAsia"/>
          <w:szCs w:val="21"/>
        </w:rPr>
        <w:t>费率为</w:t>
      </w:r>
      <w:r w:rsidRPr="0001503D">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01503D" w:rsidRPr="0001503D" w:rsidTr="00A43A99">
        <w:trPr>
          <w:jc w:val="center"/>
        </w:trPr>
        <w:tc>
          <w:tcPr>
            <w:tcW w:w="3543"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持有时间</w:t>
            </w:r>
            <w:r w:rsidRPr="0001503D">
              <w:rPr>
                <w:rFonts w:asciiTheme="minorEastAsia" w:eastAsiaTheme="minorEastAsia" w:hAnsiTheme="minorEastAsia" w:cs="宋体" w:hint="eastAsia"/>
                <w:kern w:val="0"/>
                <w:szCs w:val="21"/>
              </w:rPr>
              <w:t>（天）</w:t>
            </w:r>
          </w:p>
        </w:tc>
        <w:tc>
          <w:tcPr>
            <w:tcW w:w="3585" w:type="dxa"/>
            <w:vAlign w:val="center"/>
          </w:tcPr>
          <w:p w:rsidR="002F5370" w:rsidRPr="0001503D"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赎回费率</w:t>
            </w:r>
          </w:p>
        </w:tc>
      </w:tr>
      <w:tr w:rsidR="0001503D" w:rsidRPr="0001503D" w:rsidTr="00A43A99">
        <w:trPr>
          <w:jc w:val="center"/>
        </w:trPr>
        <w:tc>
          <w:tcPr>
            <w:tcW w:w="3543"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rPr>
              <w:t>0</w:t>
            </w:r>
            <w:r w:rsidRPr="0001503D">
              <w:rPr>
                <w:rFonts w:asciiTheme="minorEastAsia" w:eastAsiaTheme="minorEastAsia" w:hAnsiTheme="minorEastAsia" w:hint="eastAsia"/>
              </w:rPr>
              <w:t>-</w:t>
            </w:r>
            <w:r w:rsidRPr="0001503D">
              <w:rPr>
                <w:rFonts w:asciiTheme="minorEastAsia" w:eastAsiaTheme="minorEastAsia" w:hAnsiTheme="minorEastAsia"/>
              </w:rPr>
              <w:t>6</w:t>
            </w:r>
          </w:p>
        </w:tc>
        <w:tc>
          <w:tcPr>
            <w:tcW w:w="3585"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rPr>
              <w:t>1.5%</w:t>
            </w:r>
          </w:p>
        </w:tc>
      </w:tr>
      <w:tr w:rsidR="0001503D" w:rsidRPr="0001503D" w:rsidTr="00A43A99">
        <w:trPr>
          <w:jc w:val="center"/>
        </w:trPr>
        <w:tc>
          <w:tcPr>
            <w:tcW w:w="3543"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7-364</w:t>
            </w:r>
          </w:p>
        </w:tc>
        <w:tc>
          <w:tcPr>
            <w:tcW w:w="3585"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0.5%</w:t>
            </w:r>
          </w:p>
        </w:tc>
      </w:tr>
      <w:tr w:rsidR="0001503D" w:rsidRPr="0001503D" w:rsidTr="00A43A99">
        <w:trPr>
          <w:jc w:val="center"/>
        </w:trPr>
        <w:tc>
          <w:tcPr>
            <w:tcW w:w="3543"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365-729</w:t>
            </w:r>
          </w:p>
        </w:tc>
        <w:tc>
          <w:tcPr>
            <w:tcW w:w="3585"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0.25%</w:t>
            </w:r>
          </w:p>
        </w:tc>
      </w:tr>
      <w:tr w:rsidR="0001503D" w:rsidRPr="0001503D" w:rsidTr="00A43A99">
        <w:trPr>
          <w:jc w:val="center"/>
        </w:trPr>
        <w:tc>
          <w:tcPr>
            <w:tcW w:w="3543"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hint="eastAsia"/>
                <w:kern w:val="0"/>
                <w:szCs w:val="21"/>
              </w:rPr>
              <w:t>730及以上</w:t>
            </w:r>
          </w:p>
        </w:tc>
        <w:tc>
          <w:tcPr>
            <w:tcW w:w="3585" w:type="dxa"/>
            <w:vAlign w:val="center"/>
          </w:tcPr>
          <w:p w:rsidR="009B6909" w:rsidRPr="0001503D"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01503D">
              <w:rPr>
                <w:rFonts w:asciiTheme="minorEastAsia" w:eastAsiaTheme="minorEastAsia" w:hAnsiTheme="minorEastAsia" w:cs="宋体"/>
                <w:kern w:val="0"/>
                <w:szCs w:val="21"/>
              </w:rPr>
              <w:t>0%</w:t>
            </w:r>
          </w:p>
        </w:tc>
      </w:tr>
    </w:tbl>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（2）赎回费的收取和用途</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本基金的赎回费由赎回人承担，在基金份额持有人赎回基金份额时收取，</w:t>
      </w:r>
      <w:r w:rsidR="00285CE7" w:rsidRPr="0001503D">
        <w:rPr>
          <w:rFonts w:asciiTheme="minorEastAsia" w:eastAsiaTheme="minorEastAsia" w:hAnsiTheme="minorEastAsia" w:hint="eastAsia"/>
          <w:szCs w:val="21"/>
        </w:rPr>
        <w:t>对持有期少于</w:t>
      </w:r>
      <w:r w:rsidR="00285CE7" w:rsidRPr="0001503D">
        <w:rPr>
          <w:rFonts w:asciiTheme="minorEastAsia" w:eastAsiaTheme="minorEastAsia" w:hAnsiTheme="minorEastAsia"/>
          <w:szCs w:val="21"/>
        </w:rPr>
        <w:t>7</w:t>
      </w:r>
      <w:r w:rsidR="00285CE7" w:rsidRPr="0001503D">
        <w:rPr>
          <w:rFonts w:asciiTheme="minorEastAsia" w:eastAsiaTheme="minorEastAsia" w:hAnsiTheme="minorEastAsia" w:hint="eastAsia"/>
          <w:szCs w:val="21"/>
        </w:rPr>
        <w:t>天（不含）的基金份额持有人所收取赎回费用全额计入基金财产；对持有期在</w:t>
      </w:r>
      <w:r w:rsidR="00285CE7" w:rsidRPr="0001503D">
        <w:rPr>
          <w:rFonts w:asciiTheme="minorEastAsia" w:eastAsiaTheme="minorEastAsia" w:hAnsiTheme="minorEastAsia"/>
          <w:szCs w:val="21"/>
        </w:rPr>
        <w:t>7</w:t>
      </w:r>
      <w:r w:rsidR="00285CE7" w:rsidRPr="0001503D">
        <w:rPr>
          <w:rFonts w:asciiTheme="minorEastAsia" w:eastAsiaTheme="minorEastAsia" w:hAnsiTheme="minorEastAsia" w:hint="eastAsia"/>
          <w:szCs w:val="21"/>
        </w:rPr>
        <w:t>天以上（含）的基金份额持有人</w:t>
      </w:r>
      <w:r w:rsidRPr="0001503D">
        <w:rPr>
          <w:rFonts w:asciiTheme="minorEastAsia" w:eastAsiaTheme="minorEastAsia" w:hAnsiTheme="minorEastAsia" w:hint="eastAsia"/>
          <w:szCs w:val="21"/>
        </w:rPr>
        <w:t>所收</w:t>
      </w:r>
      <w:r w:rsidRPr="0001503D">
        <w:rPr>
          <w:rFonts w:asciiTheme="minorEastAsia" w:eastAsiaTheme="minorEastAsia" w:hAnsiTheme="minorEastAsia"/>
          <w:szCs w:val="21"/>
        </w:rPr>
        <w:t>赎回费总额的25%归基金财产，</w:t>
      </w:r>
      <w:r w:rsidRPr="0001503D">
        <w:rPr>
          <w:rFonts w:asciiTheme="minorEastAsia" w:eastAsiaTheme="minorEastAsia" w:hAnsiTheme="minorEastAsia" w:hint="eastAsia"/>
          <w:szCs w:val="21"/>
        </w:rPr>
        <w:t>其余</w:t>
      </w:r>
      <w:r w:rsidRPr="0001503D">
        <w:rPr>
          <w:rFonts w:asciiTheme="minorEastAsia" w:eastAsiaTheme="minorEastAsia" w:hAnsiTheme="minorEastAsia"/>
          <w:szCs w:val="21"/>
        </w:rPr>
        <w:t>用于支付注册登记费和其他必要的手续费</w:t>
      </w:r>
      <w:r w:rsidRPr="0001503D">
        <w:rPr>
          <w:rFonts w:asciiTheme="minorEastAsia" w:eastAsiaTheme="minorEastAsia" w:hAnsiTheme="minorEastAsia" w:hint="eastAsia"/>
          <w:szCs w:val="21"/>
        </w:rPr>
        <w:t>。</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（3）基金赎回金额的计算方式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本基金的赎回金额为赎回总金额扣减赎回费用，其中：</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赎回总金额=赎回数量</w:t>
      </w:r>
      <w:r w:rsidRPr="0001503D">
        <w:rPr>
          <w:rFonts w:asciiTheme="minorEastAsia" w:eastAsiaTheme="minorEastAsia" w:hAnsiTheme="minorEastAsia" w:hint="eastAsia"/>
          <w:szCs w:val="21"/>
        </w:rPr>
        <w:sym w:font="Symbol" w:char="F0B4"/>
      </w:r>
      <w:r w:rsidRPr="0001503D">
        <w:rPr>
          <w:rFonts w:asciiTheme="minorEastAsia" w:eastAsiaTheme="minorEastAsia" w:hAnsiTheme="minorEastAsia" w:hint="eastAsia"/>
          <w:szCs w:val="21"/>
        </w:rPr>
        <w:t>T日基金份额净值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赎回费用=赎回总额</w:t>
      </w:r>
      <w:r w:rsidRPr="0001503D">
        <w:rPr>
          <w:rFonts w:asciiTheme="minorEastAsia" w:eastAsiaTheme="minorEastAsia" w:hAnsiTheme="minorEastAsia" w:hint="eastAsia"/>
          <w:szCs w:val="21"/>
        </w:rPr>
        <w:sym w:font="Symbol" w:char="F0B4"/>
      </w:r>
      <w:r w:rsidRPr="0001503D">
        <w:rPr>
          <w:rFonts w:asciiTheme="minorEastAsia" w:eastAsiaTheme="minorEastAsia" w:hAnsiTheme="minorEastAsia" w:hint="eastAsia"/>
          <w:szCs w:val="21"/>
        </w:rPr>
        <w:t>赎回费率</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净赎回金额=赎回总金额</w:t>
      </w:r>
      <w:r w:rsidRPr="0001503D">
        <w:rPr>
          <w:rFonts w:asciiTheme="minorEastAsia" w:eastAsiaTheme="minorEastAsia" w:hAnsiTheme="minorEastAsia" w:hint="eastAsia"/>
          <w:szCs w:val="21"/>
        </w:rPr>
        <w:sym w:font="Symbol" w:char="F02D"/>
      </w:r>
      <w:r w:rsidRPr="0001503D">
        <w:rPr>
          <w:rFonts w:asciiTheme="minorEastAsia" w:eastAsiaTheme="minorEastAsia" w:hAnsiTheme="minorEastAsia" w:hint="eastAsia"/>
          <w:szCs w:val="21"/>
        </w:rPr>
        <w:t>赎回费用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赎回总金额、赎回费用以人民币元为单位，四舍五入，保留小数点后两位，由此产生的误差计入基金财产</w:t>
      </w:r>
      <w:r w:rsidRPr="0001503D">
        <w:rPr>
          <w:rFonts w:asciiTheme="minorEastAsia" w:eastAsiaTheme="minorEastAsia" w:hAnsiTheme="minorEastAsia"/>
          <w:szCs w:val="21"/>
        </w:rPr>
        <w:t>。</w:t>
      </w:r>
    </w:p>
    <w:p w:rsidR="002F5370" w:rsidRPr="0001503D" w:rsidRDefault="00A43A99"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szCs w:val="21"/>
        </w:rPr>
        <w:t>转换费率</w:t>
      </w:r>
    </w:p>
    <w:p w:rsidR="002F5370" w:rsidRPr="0001503D" w:rsidRDefault="00491083"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目前，基金管理人已开通了本基金与旗下部分开放式基金之间的转换业务，具体实施</w:t>
      </w:r>
      <w:r w:rsidRPr="0001503D">
        <w:rPr>
          <w:rFonts w:asciiTheme="minorEastAsia" w:eastAsiaTheme="minorEastAsia" w:hAnsiTheme="minorEastAsia" w:hint="eastAsia"/>
          <w:szCs w:val="21"/>
        </w:rPr>
        <w:lastRenderedPageBreak/>
        <w:t>办法和转换费率详见相关公告。</w:t>
      </w:r>
      <w:r w:rsidR="002F5370" w:rsidRPr="0001503D">
        <w:rPr>
          <w:rFonts w:asciiTheme="minorEastAsia" w:eastAsiaTheme="minorEastAsia" w:hAnsiTheme="minorEastAsia" w:hint="eastAsia"/>
          <w:szCs w:val="21"/>
        </w:rPr>
        <w:t>基金转换费用由投资者承担，基金转换费用由转出基金赎回费用和基金申购补差费用构成，其中转出基金赎回费</w:t>
      </w:r>
      <w:r w:rsidR="00181977" w:rsidRPr="0001503D">
        <w:rPr>
          <w:rFonts w:asciiTheme="minorEastAsia" w:eastAsiaTheme="minorEastAsia" w:hAnsiTheme="minorEastAsia" w:hint="eastAsia"/>
          <w:szCs w:val="21"/>
        </w:rPr>
        <w:t>按照</w:t>
      </w:r>
      <w:r w:rsidR="0025217D" w:rsidRPr="0001503D">
        <w:rPr>
          <w:rFonts w:asciiTheme="minorEastAsia" w:eastAsiaTheme="minorEastAsia" w:hAnsiTheme="minorEastAsia" w:hint="eastAsia"/>
          <w:szCs w:val="21"/>
        </w:rPr>
        <w:t>各</w:t>
      </w:r>
      <w:r w:rsidR="0025217D" w:rsidRPr="0001503D">
        <w:rPr>
          <w:rFonts w:asciiTheme="minorEastAsia" w:eastAsiaTheme="minorEastAsia" w:hAnsiTheme="minorEastAsia"/>
          <w:szCs w:val="21"/>
        </w:rPr>
        <w:t>基金的</w:t>
      </w:r>
      <w:r w:rsidR="004918FA" w:rsidRPr="0001503D">
        <w:rPr>
          <w:rFonts w:asciiTheme="minorEastAsia" w:eastAsiaTheme="minorEastAsia" w:hAnsiTheme="minorEastAsia" w:hint="eastAsia"/>
          <w:szCs w:val="21"/>
        </w:rPr>
        <w:t>基金合同、更新的招募说明书</w:t>
      </w:r>
      <w:r w:rsidR="00181977" w:rsidRPr="0001503D">
        <w:rPr>
          <w:rFonts w:asciiTheme="minorEastAsia" w:eastAsiaTheme="minorEastAsia" w:hAnsiTheme="minorEastAsia" w:hint="eastAsia"/>
          <w:szCs w:val="21"/>
        </w:rPr>
        <w:t>及最新的相关公告约定的比例归入基金财产</w:t>
      </w:r>
      <w:r w:rsidR="002F5370" w:rsidRPr="0001503D">
        <w:rPr>
          <w:rFonts w:asciiTheme="minorEastAsia" w:eastAsiaTheme="minorEastAsia" w:hAnsiTheme="minorEastAsia" w:hint="eastAsia"/>
          <w:szCs w:val="21"/>
        </w:rPr>
        <w:t>，其余部分用于支付注册登记费等相关手续费。</w:t>
      </w:r>
      <w:r w:rsidR="002F5370" w:rsidRPr="0001503D">
        <w:rPr>
          <w:rFonts w:asciiTheme="minorEastAsia" w:eastAsiaTheme="minorEastAsia" w:hAnsiTheme="minorEastAsia"/>
          <w:szCs w:val="21"/>
        </w:rPr>
        <w:t>转换费用以人民币元为单位，计算结果按照四舍五入方法，保留小数点后两位</w:t>
      </w:r>
      <w:r w:rsidR="002F5370" w:rsidRPr="0001503D">
        <w:rPr>
          <w:rFonts w:asciiTheme="minorEastAsia" w:eastAsiaTheme="minorEastAsia" w:hAnsiTheme="minorEastAsia" w:hint="eastAsia"/>
          <w:szCs w:val="21"/>
        </w:rPr>
        <w:t>。</w:t>
      </w:r>
    </w:p>
    <w:p w:rsidR="002F5370" w:rsidRPr="0001503D"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投资者通过本公司网上交易系统（www.efunds.com.cn）进行申购、赎回和转换的交易费率，请具体参照我公司网站上的相关说明。</w:t>
      </w:r>
      <w:bookmarkStart w:id="205" w:name="_Toc84149673"/>
      <w:bookmarkStart w:id="206" w:name="_Toc86584637"/>
    </w:p>
    <w:p w:rsidR="002F5370" w:rsidRPr="0001503D"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szCs w:val="21"/>
        </w:rPr>
        <w:t>基金管理人可以根据《基金合同》的相关约定调整</w:t>
      </w:r>
      <w:r w:rsidR="002F5370" w:rsidRPr="0001503D">
        <w:rPr>
          <w:rFonts w:asciiTheme="minorEastAsia" w:eastAsiaTheme="minorEastAsia" w:hAnsiTheme="minorEastAsia" w:hint="eastAsia"/>
          <w:szCs w:val="21"/>
        </w:rPr>
        <w:t>上述</w:t>
      </w:r>
      <w:r w:rsidR="002F5370" w:rsidRPr="0001503D">
        <w:rPr>
          <w:rFonts w:asciiTheme="minorEastAsia" w:eastAsiaTheme="minorEastAsia" w:hAnsiTheme="minorEastAsia"/>
          <w:szCs w:val="21"/>
        </w:rPr>
        <w:t>费率或收费方式</w:t>
      </w:r>
      <w:r w:rsidR="002F5370" w:rsidRPr="0001503D">
        <w:rPr>
          <w:rFonts w:asciiTheme="minorEastAsia" w:eastAsiaTheme="minorEastAsia" w:hAnsiTheme="minorEastAsia" w:hint="eastAsia"/>
          <w:szCs w:val="21"/>
        </w:rPr>
        <w:t>。</w:t>
      </w:r>
      <w:r w:rsidR="002F5370" w:rsidRPr="0001503D">
        <w:rPr>
          <w:rFonts w:asciiTheme="minorEastAsia" w:eastAsiaTheme="minorEastAsia" w:hAnsiTheme="minorEastAsia"/>
          <w:szCs w:val="21"/>
        </w:rPr>
        <w:t>上述费率如发生变更，基金管理人应</w:t>
      </w:r>
      <w:r w:rsidR="002F5370" w:rsidRPr="0001503D">
        <w:rPr>
          <w:rFonts w:asciiTheme="minorEastAsia" w:eastAsiaTheme="minorEastAsia" w:hAnsiTheme="minorEastAsia" w:hint="eastAsia"/>
          <w:szCs w:val="21"/>
        </w:rPr>
        <w:t>按照《信息披露办法》或其他相关规定</w:t>
      </w:r>
      <w:r w:rsidR="002F5370" w:rsidRPr="0001503D">
        <w:rPr>
          <w:rFonts w:asciiTheme="minorEastAsia" w:eastAsiaTheme="minorEastAsia" w:hAnsiTheme="minorEastAsia"/>
          <w:szCs w:val="21"/>
        </w:rPr>
        <w:t>于新的费率或收费方式实施前在</w:t>
      </w:r>
      <w:r w:rsidR="00D145F2" w:rsidRPr="0001503D">
        <w:rPr>
          <w:rFonts w:asciiTheme="minorEastAsia" w:eastAsiaTheme="minorEastAsia" w:hAnsiTheme="minorEastAsia" w:hint="eastAsia"/>
          <w:szCs w:val="21"/>
        </w:rPr>
        <w:t>指定媒介</w:t>
      </w:r>
      <w:r w:rsidR="002F5370" w:rsidRPr="0001503D">
        <w:rPr>
          <w:rFonts w:asciiTheme="minorEastAsia" w:eastAsiaTheme="minorEastAsia" w:hAnsiTheme="minorEastAsia"/>
          <w:szCs w:val="21"/>
        </w:rPr>
        <w:t>公告。</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6</w:t>
      </w:r>
      <w:r w:rsidR="00A43A99" w:rsidRPr="0001503D">
        <w:rPr>
          <w:rFonts w:asciiTheme="minorEastAsia" w:eastAsiaTheme="minorEastAsia" w:hAnsiTheme="minorEastAsia" w:hint="eastAsia"/>
          <w:szCs w:val="21"/>
        </w:rPr>
        <w:t>、</w:t>
      </w:r>
      <w:r w:rsidR="00C31E4E" w:rsidRPr="0001503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7" w:name="_Toc28803601"/>
      <w:r w:rsidRPr="0001503D">
        <w:rPr>
          <w:rFonts w:asciiTheme="minorEastAsia" w:eastAsiaTheme="minorEastAsia" w:hAnsiTheme="minorEastAsia" w:hint="eastAsia"/>
          <w:b w:val="0"/>
        </w:rPr>
        <w:t>（三）基金税收</w:t>
      </w:r>
      <w:bookmarkEnd w:id="205"/>
      <w:bookmarkEnd w:id="206"/>
      <w:bookmarkEnd w:id="207"/>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rPr>
      </w:pPr>
      <w:r w:rsidRPr="0001503D">
        <w:rPr>
          <w:rFonts w:asciiTheme="minorEastAsia" w:eastAsiaTheme="minorEastAsia" w:hAnsiTheme="minorEastAsia" w:hint="eastAsia"/>
        </w:rPr>
        <w:t>基金和基金份额持有人根据国家法律法规的规定，履行纳税义务。</w:t>
      </w:r>
    </w:p>
    <w:p w:rsidR="002F5370" w:rsidRPr="0001503D" w:rsidRDefault="002F5370" w:rsidP="000B57E8">
      <w:pPr>
        <w:pStyle w:val="ad"/>
        <w:tabs>
          <w:tab w:val="left" w:pos="420"/>
        </w:tabs>
        <w:snapToGrid w:val="0"/>
        <w:spacing w:line="360" w:lineRule="auto"/>
        <w:ind w:firstLineChars="200"/>
        <w:rPr>
          <w:rFonts w:asciiTheme="minorEastAsia" w:eastAsiaTheme="minorEastAsia" w:hAnsiTheme="minorEastAsia"/>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208" w:name="_Toc238870173"/>
      <w:bookmarkStart w:id="209" w:name="_Toc28803602"/>
      <w:r w:rsidRPr="0001503D">
        <w:rPr>
          <w:rFonts w:asciiTheme="minorEastAsia" w:eastAsiaTheme="minorEastAsia" w:hAnsiTheme="minorEastAsia" w:hint="eastAsia"/>
          <w:bCs/>
        </w:rPr>
        <w:lastRenderedPageBreak/>
        <w:t>十七、基金的会计与审计</w:t>
      </w:r>
      <w:bookmarkEnd w:id="208"/>
      <w:bookmarkEnd w:id="209"/>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0" w:name="_Toc28803603"/>
      <w:r w:rsidRPr="0001503D">
        <w:rPr>
          <w:rFonts w:asciiTheme="minorEastAsia" w:eastAsiaTheme="minorEastAsia" w:hAnsiTheme="minorEastAsia" w:hint="eastAsia"/>
          <w:b w:val="0"/>
        </w:rPr>
        <w:t>（一）基金会计政策</w:t>
      </w:r>
      <w:bookmarkEnd w:id="210"/>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基金管理人为本基金的会计责任方；</w:t>
      </w:r>
    </w:p>
    <w:p w:rsidR="002F5370" w:rsidRPr="0001503D" w:rsidRDefault="002F5370" w:rsidP="000B57E8">
      <w:pPr>
        <w:snapToGrid w:val="0"/>
        <w:spacing w:line="360" w:lineRule="auto"/>
        <w:ind w:firstLineChars="202" w:firstLine="424"/>
        <w:rPr>
          <w:rFonts w:asciiTheme="minorEastAsia" w:eastAsiaTheme="minorEastAsia" w:hAnsiTheme="minorEastAsia"/>
        </w:rPr>
      </w:pPr>
      <w:r w:rsidRPr="0001503D">
        <w:rPr>
          <w:rFonts w:asciiTheme="minorEastAsia" w:eastAsiaTheme="minorEastAsia" w:hAnsiTheme="minorEastAsia"/>
        </w:rPr>
        <w:t>2</w:t>
      </w:r>
      <w:r w:rsidR="00A43A99" w:rsidRPr="0001503D">
        <w:rPr>
          <w:rFonts w:asciiTheme="minorEastAsia" w:eastAsiaTheme="minorEastAsia" w:hAnsiTheme="minorEastAsia" w:hint="eastAsia"/>
        </w:rPr>
        <w:t>、</w:t>
      </w:r>
      <w:r w:rsidRPr="0001503D">
        <w:rPr>
          <w:rFonts w:asciiTheme="minorEastAsia" w:eastAsiaTheme="minorEastAsia" w:hAnsiTheme="minorEastAsia" w:hint="eastAsia"/>
        </w:rPr>
        <w:t>本基金的会计年度为公历每年的</w:t>
      </w:r>
      <w:r w:rsidRPr="0001503D">
        <w:rPr>
          <w:rFonts w:asciiTheme="minorEastAsia" w:eastAsiaTheme="minorEastAsia" w:hAnsiTheme="minorEastAsia"/>
        </w:rPr>
        <w:t>1</w:t>
      </w:r>
      <w:r w:rsidRPr="0001503D">
        <w:rPr>
          <w:rFonts w:asciiTheme="minorEastAsia" w:eastAsiaTheme="minorEastAsia" w:hAnsiTheme="minorEastAsia" w:hint="eastAsia"/>
        </w:rPr>
        <w:t>月</w:t>
      </w:r>
      <w:r w:rsidRPr="0001503D">
        <w:rPr>
          <w:rFonts w:asciiTheme="minorEastAsia" w:eastAsiaTheme="minorEastAsia" w:hAnsiTheme="minorEastAsia"/>
        </w:rPr>
        <w:t>1</w:t>
      </w:r>
      <w:r w:rsidRPr="0001503D">
        <w:rPr>
          <w:rFonts w:asciiTheme="minorEastAsia" w:eastAsiaTheme="minorEastAsia" w:hAnsiTheme="minorEastAsia" w:hint="eastAsia"/>
        </w:rPr>
        <w:t>日至</w:t>
      </w:r>
      <w:r w:rsidRPr="0001503D">
        <w:rPr>
          <w:rFonts w:asciiTheme="minorEastAsia" w:eastAsiaTheme="minorEastAsia" w:hAnsiTheme="minorEastAsia"/>
        </w:rPr>
        <w:t>12</w:t>
      </w:r>
      <w:r w:rsidRPr="0001503D">
        <w:rPr>
          <w:rFonts w:asciiTheme="minorEastAsia" w:eastAsiaTheme="minorEastAsia" w:hAnsiTheme="minorEastAsia" w:hint="eastAsia"/>
        </w:rPr>
        <w:t>月</w:t>
      </w:r>
      <w:r w:rsidRPr="0001503D">
        <w:rPr>
          <w:rFonts w:asciiTheme="minorEastAsia" w:eastAsiaTheme="minorEastAsia" w:hAnsiTheme="minorEastAsia"/>
        </w:rPr>
        <w:t>31</w:t>
      </w:r>
      <w:r w:rsidRPr="0001503D">
        <w:rPr>
          <w:rFonts w:asciiTheme="minorEastAsia" w:eastAsiaTheme="minorEastAsia" w:hAnsiTheme="minorEastAsia" w:hint="eastAsia"/>
        </w:rPr>
        <w:t>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本基金的会计核算以人民币为记账本位币，以人民币元为记账单位；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会计制度执行国家有关的会计制度；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本基金独立建账、独立核算；</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基金管理人及基金托管人分别保留完整的会计账目、凭证并进行日常的会计核算，按照有关规定编制基金会计报表；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7</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基金托管人定期与基金管理人就基金的会计核算、报表编制等进行核对并书面确认。</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1" w:name="_Toc28803604"/>
      <w:r w:rsidRPr="0001503D">
        <w:rPr>
          <w:rFonts w:asciiTheme="minorEastAsia" w:eastAsiaTheme="minorEastAsia" w:hAnsiTheme="minorEastAsia" w:hint="eastAsia"/>
          <w:b w:val="0"/>
        </w:rPr>
        <w:t>（二）基金的审计</w:t>
      </w:r>
      <w:bookmarkEnd w:id="211"/>
    </w:p>
    <w:p w:rsidR="000D0687" w:rsidRPr="0001503D" w:rsidRDefault="000D0687" w:rsidP="000D0687">
      <w:pPr>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0D0687" w:rsidRPr="0001503D" w:rsidRDefault="000D0687" w:rsidP="000D0687">
      <w:pPr>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2.会计师事务所更换经办注册会计师时，应事先征得基金管理人同意。</w:t>
      </w:r>
    </w:p>
    <w:p w:rsidR="002F5370" w:rsidRPr="0001503D" w:rsidRDefault="000D0687"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3.基金管理人(</w:t>
      </w:r>
      <w:r w:rsidRPr="0001503D">
        <w:rPr>
          <w:rFonts w:asciiTheme="minorEastAsia" w:eastAsiaTheme="minorEastAsia" w:hAnsiTheme="minorEastAsia" w:hint="eastAsia"/>
          <w:szCs w:val="21"/>
        </w:rPr>
        <w:t>或基金托管人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认为有充足理由更换会计师事务所的，经基金托管人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或基金管理人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同意更换。基金管理人应当依据有关规定在指定媒介上公告。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212" w:name="_Toc238870174"/>
      <w:bookmarkStart w:id="213" w:name="_Toc28803605"/>
      <w:r w:rsidRPr="0001503D">
        <w:rPr>
          <w:rFonts w:asciiTheme="minorEastAsia" w:eastAsiaTheme="minorEastAsia" w:hAnsiTheme="minorEastAsia" w:hint="eastAsia"/>
          <w:bCs/>
        </w:rPr>
        <w:lastRenderedPageBreak/>
        <w:t>十八、基金的信息披露</w:t>
      </w:r>
      <w:bookmarkEnd w:id="212"/>
      <w:bookmarkEnd w:id="213"/>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一</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本基金的信息披露应符合《基金法》、《运作办法》、《信息披露办法》、基金合同及其他有关规定。</w:t>
      </w:r>
      <w:r w:rsidR="000D0687" w:rsidRPr="0001503D">
        <w:rPr>
          <w:rFonts w:asciiTheme="minorEastAsia" w:eastAsiaTheme="minorEastAsia" w:hAnsiTheme="minorEastAsia" w:hint="eastAsia"/>
          <w:bCs/>
          <w:szCs w:val="21"/>
        </w:rPr>
        <w:t>相关法律法规关于信息披露的披露方式、登载媒介、报备方式等规定发生变化时，本基金从其最新规定。</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二</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信息披露义务人</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2F5370" w:rsidRPr="0001503D" w:rsidRDefault="000D0687"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本基金信息披露义务人应当在中国证监会规定时间内，将应予披露的基金信息通过指定媒介披露，并保证基金投资者能够按照基金合同约定的时间和方式查阅或者复制公开披露的信息资料。</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三</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本基金信息披露义务人在承诺公开披露的基金信息时，不得有下列行为：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虚假记载、误导性陈述或者重大遗漏；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对证券投资业绩进行预测；</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违规承诺收益或者承担损失；</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诋毁其他基金管理人、基金托管人或者基金份额销售机构；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A43A99" w:rsidRPr="0001503D">
        <w:rPr>
          <w:rFonts w:asciiTheme="minorEastAsia" w:eastAsiaTheme="minorEastAsia" w:hAnsiTheme="minorEastAsia" w:hint="eastAsia"/>
          <w:szCs w:val="21"/>
        </w:rPr>
        <w:t>、</w:t>
      </w:r>
      <w:r w:rsidR="000D0687" w:rsidRPr="0001503D">
        <w:rPr>
          <w:rFonts w:asciiTheme="minorEastAsia" w:eastAsiaTheme="minorEastAsia" w:hAnsiTheme="minorEastAsia" w:hint="eastAsia"/>
          <w:szCs w:val="21"/>
        </w:rPr>
        <w:t>登载任何自然人、法人和非法人组织的祝贺性、恭维性或推荐性的文字；</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中国证监会禁止的其他行为。</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四</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本基金公开披露的信息应采用中文文本。如同时采用外文文本的，</w:t>
      </w:r>
      <w:r w:rsidR="000D0687" w:rsidRPr="0001503D">
        <w:rPr>
          <w:rFonts w:asciiTheme="minorEastAsia" w:eastAsiaTheme="minorEastAsia" w:hAnsiTheme="minorEastAsia" w:hint="eastAsia"/>
          <w:bCs/>
          <w:szCs w:val="21"/>
        </w:rPr>
        <w:t>基金信息披露义务人应保证不同文本的内容一致。不同文本之间发生歧义的</w:t>
      </w:r>
      <w:r w:rsidRPr="0001503D">
        <w:rPr>
          <w:rFonts w:asciiTheme="minorEastAsia" w:eastAsiaTheme="minorEastAsia" w:hAnsiTheme="minorEastAsia" w:hint="eastAsia"/>
          <w:bCs/>
          <w:szCs w:val="21"/>
        </w:rPr>
        <w:t>。两种文本发生歧义的，以中文文本为准。</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hint="eastAsia"/>
          <w:bCs/>
          <w:szCs w:val="21"/>
        </w:rPr>
        <w:t>本基金公开披露的信息采用阿拉伯数字；除特别说明外，货币单位为人民币元。</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五</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公开披露的基金信息</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公开披露的基金信息包括：</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招募说明书、基金合同、托管协议</w:t>
      </w:r>
      <w:r w:rsidR="000D0687" w:rsidRPr="0001503D">
        <w:rPr>
          <w:rFonts w:asciiTheme="minorEastAsia" w:eastAsiaTheme="minorEastAsia" w:hAnsiTheme="minorEastAsia" w:hint="eastAsia"/>
          <w:szCs w:val="21"/>
        </w:rPr>
        <w:t>、基金产品资料概要</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基金募集申请经中国证监会核准后，基金管理人在基金份额发售</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日前，将招募说明书、基金合同摘要登载在</w:t>
      </w:r>
      <w:r w:rsidR="000D0687"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上；基金管理人、基金托管人应当将基金合同、托管协议登载在网站上。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招募说明书应当最大限度地披露影响基金投资者决策的全部事项，说明基金认购、申购和赎回安排、基金投资、基金产品特性、风险揭示、信息披露及基金份额持有人服务</w:t>
      </w:r>
      <w:r w:rsidRPr="0001503D">
        <w:rPr>
          <w:rFonts w:asciiTheme="minorEastAsia" w:eastAsiaTheme="minorEastAsia" w:hAnsiTheme="minorEastAsia" w:hint="eastAsia"/>
          <w:szCs w:val="21"/>
        </w:rPr>
        <w:lastRenderedPageBreak/>
        <w:t>等内容。</w:t>
      </w:r>
      <w:r w:rsidR="000D0687" w:rsidRPr="0001503D">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基金合同是界定基金合同当事人的各项权利、义务关系，明确基金份额持有人大会召开的规则及具体程序，说明基金产品的特性等涉及基金投资者重大利益的事项的法律文件。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托管协议是界定基金托管人和基金管理人在基金财产保管及基金运作监督等活动中的权利、义务关系的法律文件。</w:t>
      </w:r>
    </w:p>
    <w:p w:rsidR="000D0687" w:rsidRPr="0001503D" w:rsidRDefault="000D0687"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发售公告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基金管理人应当就基金份额发售的具体事宜编制发售公告，并在披露招募说明书的当日登载于</w:t>
      </w:r>
      <w:r w:rsidR="000D0687"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基金合同生效公告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基金管理人应当在基金合同生效的次日在</w:t>
      </w:r>
      <w:r w:rsidR="000D0687"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上登载基金合同生效公告。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基金开始申购、赎回公告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基金管理人应于申购开始日、赎回开始日前在</w:t>
      </w:r>
      <w:r w:rsidR="000D0687"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上公告。</w:t>
      </w:r>
    </w:p>
    <w:p w:rsidR="000D0687" w:rsidRPr="0001503D" w:rsidRDefault="002F5370"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A43A99" w:rsidRPr="0001503D">
        <w:rPr>
          <w:rFonts w:asciiTheme="minorEastAsia" w:eastAsiaTheme="minorEastAsia" w:hAnsiTheme="minorEastAsia" w:hint="eastAsia"/>
          <w:szCs w:val="21"/>
        </w:rPr>
        <w:t>、</w:t>
      </w:r>
      <w:r w:rsidR="000D0687" w:rsidRPr="0001503D">
        <w:rPr>
          <w:rFonts w:asciiTheme="minorEastAsia" w:eastAsiaTheme="minorEastAsia" w:hAnsiTheme="minorEastAsia" w:hint="eastAsia"/>
          <w:szCs w:val="21"/>
        </w:rPr>
        <w:t>基金净值信息</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2F5370"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0D0687" w:rsidRPr="0001503D" w:rsidRDefault="00A43A99"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000D0687" w:rsidRPr="0001503D">
        <w:rPr>
          <w:rFonts w:asciiTheme="minorEastAsia" w:eastAsiaTheme="minorEastAsia" w:hAnsiTheme="minorEastAsia" w:hint="eastAsia"/>
          <w:szCs w:val="21"/>
        </w:rPr>
        <w:t>基金定期报告，包括基金年度报告、基金中期报告和基金季度报告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基金管理人应当在上半年结束之日起两个月内，编制完成基金中期报告，将中期报告登载在指定网站上，并将中期报告提示性公告登载在指定报刊上。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《基金合同》生效不足2个月的，基金管理人可以不编制当期季度报告、中期报告或者年度报告。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95A6E"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基金管理人应当在基金年度报告和中期报告中披露基金组合资产情况及其流动性风险分析等。</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hint="eastAsia"/>
          <w:szCs w:val="21"/>
        </w:rPr>
        <w:t>临时报告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本基金发生重大事件，有关信息披露义务人应当在2日内编制临时报告书，并登载在指定报刊和指定网站上。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前款所称重大事件，是指可能对基金份额持有人权益或者基金份额的价格产生重大影响的下列事件：</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（1）基金份额持有人大会的召开及决定的事项；</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（2）基金合同终止、基金清算；</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（3）转换基金运作方式、基金合并；</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（4）更换基金管理人、基金托管人、基金份额登记机构，基金改聘会计师事务所；</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（6）基金管理人、基金托管人的法定名称、住所发生变更；</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（7）基金管理公司变更持有百分之五以上股权的股东、基金管理人的实际控制人变更；</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（8）基金募集期延长或提前结束募集；</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（9）基金管理人的高级管理人员、基金经理和基金托管人专门基金托管部门负责人发生变动；</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（11）涉及基金财产、基金管理业务、基金托管业务的诉讼或仲裁；</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w:t>
      </w:r>
      <w:r w:rsidRPr="0001503D">
        <w:rPr>
          <w:rFonts w:asciiTheme="minorEastAsia" w:eastAsiaTheme="minorEastAsia" w:hAnsiTheme="minorEastAsia" w:hint="eastAsia"/>
          <w:szCs w:val="21"/>
        </w:rPr>
        <w:lastRenderedPageBreak/>
        <w:t>到重大行政处罚、刑事处罚；</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（14）基金收益分配事项；</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（15）管理费、托管费、申购费、赎回费等费用计提标准、计提方式和费率发生变更；</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（16）基金份额净值计价错误达基金份额净值百分之零点五；</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（17）本基金开始办理申购、赎回；</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（18）本基金暂停接受申购、赎回申请或重新接受申购、赎回申请；</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（19）调整基金份额类别的设置；</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（20）基金推出新业务或服务；</w:t>
      </w:r>
    </w:p>
    <w:p w:rsidR="002F5370" w:rsidRPr="0001503D" w:rsidRDefault="000D0687" w:rsidP="00A6256D">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w:t>
      </w:r>
      <w:r w:rsidR="002F5370" w:rsidRPr="0001503D">
        <w:rPr>
          <w:rFonts w:asciiTheme="minorEastAsia" w:eastAsiaTheme="minorEastAsia" w:hAnsiTheme="minorEastAsia" w:hint="eastAsia"/>
          <w:szCs w:val="21"/>
        </w:rPr>
        <w:t>澄清公告</w:t>
      </w:r>
    </w:p>
    <w:p w:rsidR="002F5370" w:rsidRPr="0001503D" w:rsidRDefault="000D0687"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9、</w:t>
      </w:r>
      <w:r w:rsidR="002F5370" w:rsidRPr="0001503D">
        <w:rPr>
          <w:rFonts w:asciiTheme="minorEastAsia" w:eastAsiaTheme="minorEastAsia" w:hAnsiTheme="minorEastAsia" w:hint="eastAsia"/>
          <w:szCs w:val="21"/>
        </w:rPr>
        <w:t>基金份额持有人大会决议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基金份额持有人大会决定的事项，应当依法报中国证监会核准或者备案，并予以公告。召开基金份额持有人大会的，召集人应当至少提前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日公告基金份额持有人大会的召开时间、会议形式、审议事项、议事程序和表决方式等事项。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10、清算报告</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2F5370" w:rsidRPr="0001503D" w:rsidRDefault="000D0687"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11</w:t>
      </w:r>
      <w:r w:rsidR="00A43A99" w:rsidRPr="0001503D">
        <w:rPr>
          <w:rFonts w:asciiTheme="minorEastAsia" w:eastAsiaTheme="minorEastAsia" w:hAnsiTheme="minorEastAsia" w:hint="eastAsia"/>
          <w:szCs w:val="21"/>
        </w:rPr>
        <w:t>、</w:t>
      </w:r>
      <w:r w:rsidR="002F5370" w:rsidRPr="0001503D">
        <w:rPr>
          <w:rFonts w:asciiTheme="minorEastAsia" w:eastAsiaTheme="minorEastAsia" w:hAnsiTheme="minorEastAsia" w:hint="eastAsia"/>
          <w:szCs w:val="21"/>
        </w:rPr>
        <w:t>中国证监会规定的其他信息。</w:t>
      </w:r>
    </w:p>
    <w:p w:rsidR="002F5370" w:rsidRPr="0001503D" w:rsidRDefault="002F5370" w:rsidP="000B57E8">
      <w:pPr>
        <w:snapToGrid w:val="0"/>
        <w:spacing w:line="360" w:lineRule="auto"/>
        <w:ind w:firstLineChars="200" w:firstLine="420"/>
        <w:rPr>
          <w:rFonts w:asciiTheme="minorEastAsia" w:eastAsiaTheme="minorEastAsia" w:hAnsiTheme="minorEastAsia"/>
          <w:bCs/>
          <w:szCs w:val="21"/>
        </w:rPr>
      </w:pP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六</w:t>
      </w:r>
      <w:r w:rsidRPr="0001503D">
        <w:rPr>
          <w:rFonts w:asciiTheme="minorEastAsia" w:eastAsiaTheme="minorEastAsia" w:hAnsiTheme="minorEastAsia"/>
          <w:bCs/>
          <w:szCs w:val="21"/>
        </w:rPr>
        <w:t>)</w:t>
      </w:r>
      <w:r w:rsidRPr="0001503D">
        <w:rPr>
          <w:rFonts w:asciiTheme="minorEastAsia" w:eastAsiaTheme="minorEastAsia" w:hAnsiTheme="minorEastAsia" w:hint="eastAsia"/>
          <w:bCs/>
          <w:szCs w:val="21"/>
        </w:rPr>
        <w:t>信息披露事务管理</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基金信息披露义务人公开披露基金信息，应当符合中国证监会相关基金信息披露内容</w:t>
      </w:r>
      <w:r w:rsidRPr="0001503D">
        <w:rPr>
          <w:rFonts w:asciiTheme="minorEastAsia" w:eastAsiaTheme="minorEastAsia" w:hAnsiTheme="minorEastAsia" w:hint="eastAsia"/>
          <w:szCs w:val="21"/>
        </w:rPr>
        <w:lastRenderedPageBreak/>
        <w:t>与格式准则等法规的规定。</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D0687" w:rsidRPr="0001503D" w:rsidRDefault="000D0687" w:rsidP="000D0687">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（七）信息披露文件的存放与查阅</w:t>
      </w:r>
    </w:p>
    <w:p w:rsidR="008661DF" w:rsidRPr="0001503D" w:rsidRDefault="000D0687" w:rsidP="00A43A99">
      <w:pPr>
        <w:snapToGrid w:val="0"/>
        <w:spacing w:line="360" w:lineRule="auto"/>
        <w:ind w:firstLineChars="200" w:firstLine="420"/>
        <w:rPr>
          <w:rFonts w:asciiTheme="minorEastAsia" w:eastAsiaTheme="minorEastAsia" w:hAnsiTheme="minorEastAsia"/>
          <w:szCs w:val="21"/>
        </w:rPr>
        <w:sectPr w:rsidR="008661DF" w:rsidRPr="0001503D" w:rsidSect="002F5370">
          <w:pgSz w:w="11907" w:h="16840" w:code="9"/>
          <w:pgMar w:top="1701" w:right="1814" w:bottom="1701" w:left="1814" w:header="1134" w:footer="1247" w:gutter="0"/>
          <w:cols w:space="425"/>
          <w:docGrid w:type="lines" w:linePitch="312"/>
        </w:sectPr>
      </w:pPr>
      <w:r w:rsidRPr="0001503D">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r w:rsidR="002F5370" w:rsidRPr="0001503D">
        <w:rPr>
          <w:rFonts w:asciiTheme="minorEastAsia" w:eastAsiaTheme="minorEastAsia" w:hAnsiTheme="minorEastAsia" w:hint="eastAsia"/>
          <w:szCs w:val="21"/>
        </w:rPr>
        <w:t>。</w:t>
      </w:r>
    </w:p>
    <w:p w:rsidR="00A43A99" w:rsidRPr="0001503D" w:rsidRDefault="00A43A99" w:rsidP="00A43A99">
      <w:pPr>
        <w:snapToGrid w:val="0"/>
        <w:spacing w:line="360" w:lineRule="auto"/>
        <w:ind w:firstLineChars="200" w:firstLine="420"/>
        <w:rPr>
          <w:rFonts w:asciiTheme="minorEastAsia" w:eastAsiaTheme="minorEastAsia" w:hAnsiTheme="minorEastAsia"/>
          <w:szCs w:val="21"/>
        </w:rPr>
      </w:pPr>
    </w:p>
    <w:p w:rsidR="002F5370" w:rsidRPr="0001503D" w:rsidRDefault="002F5370" w:rsidP="00467CAF">
      <w:pPr>
        <w:pStyle w:val="1"/>
        <w:spacing w:before="312" w:after="312"/>
        <w:ind w:firstLine="640"/>
        <w:rPr>
          <w:rFonts w:asciiTheme="minorEastAsia" w:eastAsiaTheme="minorEastAsia" w:hAnsiTheme="minorEastAsia"/>
          <w:bCs/>
        </w:rPr>
      </w:pPr>
      <w:bookmarkStart w:id="214" w:name="_Toc238870175"/>
      <w:bookmarkStart w:id="215" w:name="_Toc28803606"/>
      <w:r w:rsidRPr="0001503D">
        <w:rPr>
          <w:rFonts w:asciiTheme="minorEastAsia" w:eastAsiaTheme="minorEastAsia" w:hAnsiTheme="minorEastAsia" w:hint="eastAsia"/>
          <w:bCs/>
        </w:rPr>
        <w:t>十九、风险揭示</w:t>
      </w:r>
      <w:bookmarkEnd w:id="214"/>
      <w:bookmarkEnd w:id="215"/>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16" w:name="_Toc76367385"/>
      <w:bookmarkStart w:id="217" w:name="_Toc92074917"/>
      <w:bookmarkStart w:id="218" w:name="_Toc231784428"/>
      <w:bookmarkStart w:id="219" w:name="_Toc238870123"/>
      <w:bookmarkStart w:id="220" w:name="_Toc28803607"/>
      <w:r w:rsidRPr="0001503D">
        <w:rPr>
          <w:rFonts w:asciiTheme="minorEastAsia" w:eastAsiaTheme="minorEastAsia" w:hAnsiTheme="minorEastAsia" w:hint="eastAsia"/>
          <w:b w:val="0"/>
        </w:rPr>
        <w:t>（一）市场风险</w:t>
      </w:r>
      <w:bookmarkEnd w:id="216"/>
      <w:bookmarkEnd w:id="217"/>
      <w:bookmarkEnd w:id="218"/>
      <w:bookmarkEnd w:id="219"/>
      <w:bookmarkEnd w:id="220"/>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基金主要投资于证券市场，而证券市场价格因受到经济因素、政治因素、投资者心理和交易制度等各种因素的影响而产生波动，从而导致基金收益水平发生变化，产生风险。主要的风险因素包括：</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1" w:name="_Toc76367386"/>
      <w:bookmarkStart w:id="222" w:name="_Toc92074918"/>
      <w:bookmarkStart w:id="223" w:name="_Toc231784429"/>
      <w:bookmarkStart w:id="224" w:name="_Toc238870124"/>
      <w:bookmarkStart w:id="225" w:name="_Toc28803608"/>
      <w:r w:rsidRPr="0001503D">
        <w:rPr>
          <w:rFonts w:asciiTheme="minorEastAsia" w:eastAsiaTheme="minorEastAsia" w:hAnsiTheme="minorEastAsia" w:hint="eastAsia"/>
          <w:b w:val="0"/>
        </w:rPr>
        <w:t>（二）本基金特有的风险</w:t>
      </w:r>
      <w:bookmarkEnd w:id="221"/>
      <w:bookmarkEnd w:id="222"/>
      <w:bookmarkEnd w:id="223"/>
      <w:bookmarkEnd w:id="224"/>
      <w:bookmarkEnd w:id="225"/>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本基金股票仓位范围为80%-95%，属于股票仓位较高且相对稳定的基金品种，受股票市场系统性风险影响较大。此外，由于本基金为行业基金，股票资产主要投资于消费行业股票，因此本基金在获取消费行业收益的同时，须承受消费行业波动带来的行业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科创板股票在发行、上市、交易、退市等方面的规则与其他板块存在差异，基金投资科创板股票的风险包括但不限于：</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1</w:t>
      </w:r>
      <w:r w:rsidRPr="0001503D">
        <w:rPr>
          <w:rFonts w:asciiTheme="minorEastAsia" w:eastAsiaTheme="minorEastAsia" w:hAnsiTheme="minorEastAsia" w:hint="eastAsia"/>
        </w:rPr>
        <w:t>）科创板企业退市风险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lastRenderedPageBreak/>
        <w:t>科创板退市制度较主板更为严格，退市时间更短，退市速度更快，退市情形更多，且不再设置暂停上市、恢复上市和重新上市环节。一旦所投资的科创板股票进入退市流程，将面临退出难度较大、成本较高的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2</w:t>
      </w:r>
      <w:r w:rsidRPr="0001503D">
        <w:rPr>
          <w:rFonts w:asciiTheme="minorEastAsia" w:eastAsiaTheme="minorEastAsia" w:hAnsiTheme="minorEastAsia" w:hint="eastAsia"/>
        </w:rPr>
        <w:t>）市场风险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01503D">
        <w:rPr>
          <w:rFonts w:asciiTheme="minorEastAsia" w:eastAsiaTheme="minorEastAsia" w:hAnsiTheme="minorEastAsia"/>
        </w:rPr>
        <w:t>A</w:t>
      </w:r>
      <w:r w:rsidRPr="0001503D">
        <w:rPr>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01503D">
        <w:rPr>
          <w:rFonts w:asciiTheme="minorEastAsia" w:eastAsiaTheme="minorEastAsia" w:hAnsiTheme="minorEastAsia"/>
        </w:rPr>
        <w:t>5</w:t>
      </w:r>
      <w:r w:rsidRPr="0001503D">
        <w:rPr>
          <w:rFonts w:asciiTheme="minorEastAsia" w:eastAsiaTheme="minorEastAsia" w:hAnsiTheme="minorEastAsia" w:hint="eastAsia"/>
        </w:rPr>
        <w:t>个交易日不设涨跌幅限制，其后涨跌幅限制为</w:t>
      </w:r>
      <w:r w:rsidRPr="0001503D">
        <w:rPr>
          <w:rFonts w:asciiTheme="minorEastAsia" w:eastAsiaTheme="minorEastAsia" w:hAnsiTheme="minorEastAsia"/>
        </w:rPr>
        <w:t>20%</w:t>
      </w:r>
      <w:r w:rsidRPr="0001503D">
        <w:rPr>
          <w:rFonts w:asciiTheme="minorEastAsia" w:eastAsiaTheme="minorEastAsia" w:hAnsiTheme="minorEastAsia" w:hint="eastAsia"/>
        </w:rPr>
        <w:t>）、科创板股票上市首日即可作为融资融券标的，可能导致较大的股票价格波动。</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3</w:t>
      </w:r>
      <w:r w:rsidRPr="0001503D">
        <w:rPr>
          <w:rFonts w:asciiTheme="minorEastAsia" w:eastAsiaTheme="minorEastAsia" w:hAnsiTheme="minorEastAsia" w:hint="eastAsia"/>
        </w:rPr>
        <w:t>）流动性风险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w:t>
      </w:r>
      <w:r w:rsidRPr="0001503D">
        <w:rPr>
          <w:rFonts w:asciiTheme="minorEastAsia" w:eastAsiaTheme="minorEastAsia" w:hAnsiTheme="minorEastAsia"/>
        </w:rPr>
        <w:t>4</w:t>
      </w:r>
      <w:r w:rsidRPr="0001503D">
        <w:rPr>
          <w:rFonts w:asciiTheme="minorEastAsia" w:eastAsiaTheme="minorEastAsia" w:hAnsiTheme="minorEastAsia" w:hint="eastAsia"/>
        </w:rPr>
        <w:t>）监管规则变化的风险</w:t>
      </w:r>
    </w:p>
    <w:p w:rsidR="00C520BF" w:rsidRPr="0001503D" w:rsidRDefault="00C520BF" w:rsidP="0054711B">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C520BF" w:rsidRPr="0001503D" w:rsidRDefault="00C520BF" w:rsidP="000B57E8">
      <w:pPr>
        <w:snapToGrid w:val="0"/>
        <w:spacing w:line="360" w:lineRule="auto"/>
        <w:ind w:firstLine="420"/>
        <w:rPr>
          <w:rFonts w:asciiTheme="minorEastAsia" w:eastAsiaTheme="minorEastAsia" w:hAnsiTheme="minorEastAsia"/>
        </w:rPr>
      </w:pP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6" w:name="_Toc76367387"/>
      <w:bookmarkStart w:id="227" w:name="_Toc92074919"/>
      <w:bookmarkStart w:id="228" w:name="_Toc238870125"/>
      <w:bookmarkStart w:id="229" w:name="_Toc28803609"/>
      <w:r w:rsidRPr="0001503D">
        <w:rPr>
          <w:rFonts w:asciiTheme="minorEastAsia" w:eastAsiaTheme="minorEastAsia" w:hAnsiTheme="minorEastAsia" w:hint="eastAsia"/>
          <w:b w:val="0"/>
        </w:rPr>
        <w:t>（三）流动性风险</w:t>
      </w:r>
      <w:bookmarkEnd w:id="226"/>
      <w:bookmarkEnd w:id="227"/>
      <w:bookmarkEnd w:id="228"/>
      <w:bookmarkEnd w:id="229"/>
    </w:p>
    <w:p w:rsidR="00373385" w:rsidRPr="0001503D" w:rsidRDefault="00373385"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1、流动性风险评估</w:t>
      </w:r>
    </w:p>
    <w:p w:rsidR="00373385" w:rsidRPr="0001503D" w:rsidRDefault="00373385"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本基金可投资于股票、债券、货币市场工具等，一般情况下，这些资产市场流动性较好。</w:t>
      </w:r>
    </w:p>
    <w:p w:rsidR="002F5370" w:rsidRPr="0001503D" w:rsidRDefault="00373385" w:rsidP="00373385">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但本基金投资于上述资产时，仍存在以下流动性风险</w:t>
      </w:r>
      <w:r w:rsidR="002F5370" w:rsidRPr="0001503D">
        <w:rPr>
          <w:rFonts w:asciiTheme="minorEastAsia" w:eastAsiaTheme="minorEastAsia" w:hAnsiTheme="minorEastAsia"/>
        </w:rPr>
        <w:t>：一是基金管理人建仓时或为实现收益而进行组合调整时，可能由于</w:t>
      </w:r>
      <w:r w:rsidRPr="0001503D">
        <w:rPr>
          <w:rFonts w:asciiTheme="minorEastAsia" w:eastAsiaTheme="minorEastAsia" w:hAnsiTheme="minorEastAsia" w:hint="eastAsia"/>
        </w:rPr>
        <w:t>特定投资标的</w:t>
      </w:r>
      <w:r w:rsidR="002F5370" w:rsidRPr="0001503D">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w:t>
      </w:r>
      <w:r w:rsidR="00F37C1C" w:rsidRPr="0001503D">
        <w:rPr>
          <w:rFonts w:asciiTheme="minorEastAsia" w:eastAsiaTheme="minorEastAsia" w:hAnsiTheme="minorEastAsia" w:hint="eastAsia"/>
        </w:rPr>
        <w:t>、</w:t>
      </w:r>
      <w:r w:rsidR="002F5370" w:rsidRPr="0001503D">
        <w:rPr>
          <w:rFonts w:asciiTheme="minorEastAsia" w:eastAsiaTheme="minorEastAsia" w:hAnsiTheme="minorEastAsia"/>
        </w:rPr>
        <w:t>债券</w:t>
      </w:r>
      <w:r w:rsidR="00F37C1C" w:rsidRPr="0001503D">
        <w:rPr>
          <w:rFonts w:asciiTheme="minorEastAsia" w:eastAsiaTheme="minorEastAsia" w:hAnsiTheme="minorEastAsia"/>
        </w:rPr>
        <w:t>或其他资产</w:t>
      </w:r>
      <w:r w:rsidR="002F5370" w:rsidRPr="0001503D">
        <w:rPr>
          <w:rFonts w:asciiTheme="minorEastAsia" w:eastAsiaTheme="minorEastAsia" w:hAnsiTheme="minorEastAsia"/>
        </w:rPr>
        <w:t>。两者均可能使基金净值受到不利影响。</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2、巨额赎回情形下的流动性风险管理措施</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w:t>
      </w:r>
      <w:r w:rsidRPr="0001503D">
        <w:rPr>
          <w:rFonts w:asciiTheme="minorEastAsia" w:eastAsiaTheme="minorEastAsia" w:hAnsiTheme="minorEastAsia" w:hint="eastAsia"/>
        </w:rPr>
        <w:lastRenderedPageBreak/>
        <w:t>赎回申请超过上一开放日基金总份额</w:t>
      </w:r>
      <w:r w:rsidRPr="0001503D">
        <w:rPr>
          <w:rFonts w:asciiTheme="minorEastAsia" w:eastAsiaTheme="minorEastAsia" w:hAnsiTheme="minorEastAsia"/>
        </w:rPr>
        <w:t>10%的，基金管理人有权对该单个基金份额持有人超出该比例的赎回申请实施延期办理。具体情形、程序见招募说明书“八、基金份额的申购、赎回”之“（十）巨额赎回的认定及处理方式”。</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rPr>
        <w:t>3、除巨额赎回情形外实施备用的流动性风险管理工具的情形、程序及对投资者的潜在影响</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暂停接受赎回申请、延缓支付赎回款项等工具的情形、程序见招募说明书“八、基金份额的申购、赎回”之“（十一）</w:t>
      </w:r>
      <w:r w:rsidR="00FC569B" w:rsidRPr="0001503D">
        <w:rPr>
          <w:rFonts w:asciiTheme="minorEastAsia" w:eastAsiaTheme="minorEastAsia" w:hAnsiTheme="minorEastAsia" w:hint="eastAsia"/>
        </w:rPr>
        <w:t>拒绝或暂停申购、赎回的情形及处理方式</w:t>
      </w:r>
      <w:r w:rsidRPr="0001503D">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F37C1C" w:rsidRPr="0001503D" w:rsidRDefault="00F37C1C" w:rsidP="00A6256D">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短期赎回费适用于持续持有期少于</w:t>
      </w:r>
      <w:r w:rsidRPr="0001503D">
        <w:rPr>
          <w:rFonts w:asciiTheme="minorEastAsia" w:eastAsiaTheme="minorEastAsia" w:hAnsiTheme="minorEastAsia"/>
        </w:rPr>
        <w:t>7</w:t>
      </w:r>
      <w:r w:rsidRPr="0001503D">
        <w:rPr>
          <w:rFonts w:asciiTheme="minorEastAsia" w:eastAsiaTheme="minorEastAsia" w:hAnsiTheme="minorEastAsia" w:hint="eastAsia"/>
        </w:rPr>
        <w:t>日的投资者，费率为</w:t>
      </w:r>
      <w:r w:rsidRPr="0001503D">
        <w:rPr>
          <w:rFonts w:asciiTheme="minorEastAsia" w:eastAsiaTheme="minorEastAsia" w:hAnsiTheme="minorEastAsia"/>
        </w:rPr>
        <w:t>1.5%。短期赎回费由赎回基金份额的基金份额持有人承担，在基金份额持有人赎回基金份额时收取，并全额计入基金财产。短期赎回费的收取将使得投资者在持续持有期限少于7日时会承担较高的赎回费。</w:t>
      </w:r>
    </w:p>
    <w:p w:rsidR="00F37C1C" w:rsidRPr="0001503D" w:rsidRDefault="00F37C1C" w:rsidP="007D228A">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暂停基金估值的情形、程序见招募说明书“十四、基金资产估值”之</w:t>
      </w:r>
      <w:r w:rsidR="004D4584" w:rsidRPr="0001503D">
        <w:rPr>
          <w:rFonts w:asciiTheme="minorEastAsia" w:eastAsiaTheme="minorEastAsia" w:hAnsiTheme="minorEastAsia" w:hint="eastAsia"/>
        </w:rPr>
        <w:t>“（七</w:t>
      </w:r>
      <w:r w:rsidRPr="0001503D">
        <w:rPr>
          <w:rFonts w:asciiTheme="minorEastAsia" w:eastAsiaTheme="minorEastAsia" w:hAnsiTheme="minorEastAsia" w:hint="eastAsia"/>
        </w:rPr>
        <w:t>）暂停估值的情形”的相关规定。若本基金暂停基金估值，一方面投资者将无法知晓本基金的基金份额净值，</w:t>
      </w:r>
      <w:r w:rsidR="00D650AA" w:rsidRPr="0001503D">
        <w:rPr>
          <w:rFonts w:asciiTheme="minorEastAsia" w:eastAsiaTheme="minorEastAsia" w:hAnsiTheme="minorEastAsia" w:hint="eastAsia"/>
          <w:szCs w:val="21"/>
        </w:rPr>
        <w:t>另一方面基金将延缓支付赎回款项或暂停接受基金申购赎回申请，延缓支付赎回款项可能影响投资者的资金安排，暂停接受基金申购赎回申请将导致投资者无法申购或赎回本基金</w:t>
      </w:r>
      <w:r w:rsidRPr="0001503D">
        <w:rPr>
          <w:rFonts w:asciiTheme="minorEastAsia" w:eastAsiaTheme="minorEastAsia" w:hAnsiTheme="minorEastAsia" w:hint="eastAsia"/>
        </w:rPr>
        <w:t>。</w:t>
      </w:r>
    </w:p>
    <w:p w:rsidR="00AD5F3A" w:rsidRPr="0001503D" w:rsidRDefault="00AD5F3A" w:rsidP="00F7794D">
      <w:pPr>
        <w:pStyle w:val="20"/>
        <w:snapToGrid w:val="0"/>
        <w:spacing w:beforeLines="0" w:afterLines="0" w:line="360" w:lineRule="auto"/>
        <w:ind w:firstLineChars="0" w:firstLine="0"/>
        <w:rPr>
          <w:rFonts w:asciiTheme="minorEastAsia" w:eastAsiaTheme="minorEastAsia" w:hAnsiTheme="minorEastAsia"/>
          <w:kern w:val="0"/>
          <w:szCs w:val="21"/>
        </w:rPr>
      </w:pPr>
      <w:bookmarkStart w:id="230" w:name="_Toc28803610"/>
      <w:r w:rsidRPr="0001503D">
        <w:rPr>
          <w:rFonts w:asciiTheme="minorEastAsia" w:eastAsiaTheme="minorEastAsia" w:hAnsiTheme="minorEastAsia" w:hint="eastAsia"/>
          <w:b w:val="0"/>
        </w:rPr>
        <w:t>（四）本基金法律文件中涉及基金风险特征的表述与销售机构对基金的风险评级可能不一致的风险</w:t>
      </w:r>
      <w:bookmarkEnd w:id="230"/>
    </w:p>
    <w:p w:rsidR="00AD5F3A" w:rsidRPr="0001503D" w:rsidRDefault="00AD5F3A" w:rsidP="00AD5F3A">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w:t>
      </w:r>
      <w:r w:rsidRPr="0001503D">
        <w:rPr>
          <w:rFonts w:asciiTheme="minorEastAsia" w:eastAsiaTheme="minorEastAsia" w:hAnsiTheme="minorEastAsia" w:hint="eastAsia"/>
        </w:rPr>
        <w:lastRenderedPageBreak/>
        <w:t>照销售机构的要求完成风险承受能力与产品风险之间的匹配检验，并须及时关注销售机构对于本基金风险评级的调整情况，谨慎作出投资决策。</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31" w:name="_Toc76367388"/>
      <w:bookmarkStart w:id="232" w:name="_Toc92074920"/>
      <w:bookmarkStart w:id="233" w:name="_Toc238870126"/>
      <w:bookmarkStart w:id="234" w:name="_Toc28803611"/>
      <w:r w:rsidRPr="0001503D">
        <w:rPr>
          <w:rFonts w:asciiTheme="minorEastAsia" w:eastAsiaTheme="minorEastAsia" w:hAnsiTheme="minorEastAsia" w:hint="eastAsia"/>
          <w:b w:val="0"/>
        </w:rPr>
        <w:t>（</w:t>
      </w:r>
      <w:r w:rsidR="00AD5F3A" w:rsidRPr="0001503D">
        <w:rPr>
          <w:rFonts w:asciiTheme="minorEastAsia" w:eastAsiaTheme="minorEastAsia" w:hAnsiTheme="minorEastAsia" w:hint="eastAsia"/>
          <w:b w:val="0"/>
        </w:rPr>
        <w:t>五</w:t>
      </w:r>
      <w:r w:rsidRPr="0001503D">
        <w:rPr>
          <w:rFonts w:asciiTheme="minorEastAsia" w:eastAsiaTheme="minorEastAsia" w:hAnsiTheme="minorEastAsia" w:hint="eastAsia"/>
          <w:b w:val="0"/>
        </w:rPr>
        <w:t>）管理风险</w:t>
      </w:r>
      <w:bookmarkEnd w:id="231"/>
      <w:bookmarkEnd w:id="232"/>
      <w:bookmarkEnd w:id="233"/>
      <w:bookmarkEnd w:id="234"/>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2F5370" w:rsidRPr="0001503D" w:rsidRDefault="002F5370"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基金管理人和基金托管人的管理手段和管理技术等因素的变化也会影响基金收益水平。</w:t>
      </w:r>
    </w:p>
    <w:p w:rsidR="002F5370" w:rsidRPr="0001503D" w:rsidRDefault="00AD5F3A" w:rsidP="00F7794D">
      <w:pPr>
        <w:pStyle w:val="20"/>
        <w:snapToGrid w:val="0"/>
        <w:spacing w:beforeLines="0" w:afterLines="0" w:line="360" w:lineRule="auto"/>
        <w:ind w:firstLineChars="0"/>
        <w:rPr>
          <w:rFonts w:asciiTheme="minorEastAsia" w:eastAsiaTheme="minorEastAsia" w:hAnsiTheme="minorEastAsia"/>
          <w:b w:val="0"/>
        </w:rPr>
      </w:pPr>
      <w:bookmarkStart w:id="235" w:name="_Toc76367389"/>
      <w:bookmarkStart w:id="236" w:name="_Toc92074921"/>
      <w:bookmarkStart w:id="237" w:name="_Toc231784430"/>
      <w:bookmarkStart w:id="238" w:name="_Toc238870127"/>
      <w:bookmarkStart w:id="239" w:name="_Toc28803612"/>
      <w:r w:rsidRPr="0001503D">
        <w:rPr>
          <w:rFonts w:asciiTheme="minorEastAsia" w:eastAsiaTheme="minorEastAsia" w:hAnsiTheme="minorEastAsia" w:hint="eastAsia"/>
          <w:b w:val="0"/>
        </w:rPr>
        <w:t>（</w:t>
      </w:r>
      <w:r w:rsidRPr="0001503D">
        <w:rPr>
          <w:rFonts w:asciiTheme="minorEastAsia" w:eastAsiaTheme="minorEastAsia" w:hAnsiTheme="minorEastAsia"/>
          <w:b w:val="0"/>
        </w:rPr>
        <w:t>六）</w:t>
      </w:r>
      <w:r w:rsidR="002F5370" w:rsidRPr="0001503D">
        <w:rPr>
          <w:rFonts w:asciiTheme="minorEastAsia" w:eastAsiaTheme="minorEastAsia" w:hAnsiTheme="minorEastAsia" w:hint="eastAsia"/>
          <w:b w:val="0"/>
        </w:rPr>
        <w:t>其他风险</w:t>
      </w:r>
      <w:bookmarkEnd w:id="235"/>
      <w:bookmarkEnd w:id="236"/>
      <w:bookmarkEnd w:id="237"/>
      <w:bookmarkEnd w:id="238"/>
      <w:bookmarkEnd w:id="239"/>
    </w:p>
    <w:p w:rsidR="002F5370" w:rsidRPr="0001503D" w:rsidRDefault="00A43A99"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1、</w:t>
      </w:r>
      <w:r w:rsidR="002F5370" w:rsidRPr="0001503D">
        <w:rPr>
          <w:rFonts w:asciiTheme="minorEastAsia" w:eastAsiaTheme="minorEastAsia" w:hAnsiTheme="minorEastAsia" w:hint="eastAsia"/>
        </w:rPr>
        <w:t>因技术因素而产生的风险，如电脑系统不可靠产生的风险；</w:t>
      </w:r>
    </w:p>
    <w:p w:rsidR="00054952" w:rsidRPr="0001503D" w:rsidRDefault="00A43A99" w:rsidP="000B57E8">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2、</w:t>
      </w:r>
      <w:r w:rsidR="00054952" w:rsidRPr="0001503D">
        <w:rPr>
          <w:rFonts w:asciiTheme="minorEastAsia" w:eastAsiaTheme="minorEastAsia" w:hAnsiTheme="minorEastAsia" w:hint="eastAsia"/>
        </w:rPr>
        <w:t>因战争、自然灾害等不可抗力导致的基金管理人、基金托管人、基金</w:t>
      </w:r>
      <w:r w:rsidR="008F227C" w:rsidRPr="0001503D">
        <w:rPr>
          <w:rFonts w:asciiTheme="minorEastAsia" w:eastAsiaTheme="minorEastAsia" w:hAnsiTheme="minorEastAsia" w:hint="eastAsia"/>
        </w:rPr>
        <w:t>销售</w:t>
      </w:r>
      <w:r w:rsidR="00054952" w:rsidRPr="0001503D">
        <w:rPr>
          <w:rFonts w:asciiTheme="minorEastAsia" w:eastAsiaTheme="minorEastAsia" w:hAnsiTheme="minorEastAsia" w:hint="eastAsia"/>
        </w:rPr>
        <w:t>机构等机构无法正常工作，从而影响基金运作的风险；</w:t>
      </w:r>
    </w:p>
    <w:p w:rsidR="002F5370" w:rsidRPr="0001503D" w:rsidRDefault="00A43A99" w:rsidP="009D6695">
      <w:pPr>
        <w:snapToGrid w:val="0"/>
        <w:spacing w:line="360" w:lineRule="auto"/>
        <w:ind w:firstLine="420"/>
        <w:rPr>
          <w:rFonts w:asciiTheme="minorEastAsia" w:eastAsiaTheme="minorEastAsia" w:hAnsiTheme="minorEastAsia"/>
        </w:rPr>
      </w:pPr>
      <w:r w:rsidRPr="0001503D">
        <w:rPr>
          <w:rFonts w:asciiTheme="minorEastAsia" w:eastAsiaTheme="minorEastAsia" w:hAnsiTheme="minorEastAsia" w:hint="eastAsia"/>
        </w:rPr>
        <w:t>3、</w:t>
      </w:r>
      <w:r w:rsidR="00054952" w:rsidRPr="0001503D">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column"/>
      </w:r>
      <w:bookmarkStart w:id="240" w:name="_Toc238870176"/>
      <w:bookmarkStart w:id="241" w:name="_Toc28803613"/>
      <w:r w:rsidRPr="0001503D">
        <w:rPr>
          <w:rFonts w:asciiTheme="minorEastAsia" w:eastAsiaTheme="minorEastAsia" w:hAnsiTheme="minorEastAsia" w:hint="eastAsia"/>
          <w:b/>
          <w:bCs/>
        </w:rPr>
        <w:lastRenderedPageBreak/>
        <w:t>二</w:t>
      </w:r>
      <w:r w:rsidRPr="0001503D">
        <w:rPr>
          <w:rFonts w:asciiTheme="minorEastAsia" w:eastAsiaTheme="minorEastAsia" w:hAnsiTheme="minorEastAsia" w:hint="eastAsia"/>
          <w:bCs/>
        </w:rPr>
        <w:t>十、基金合同的变更、终止与基金财产的清算</w:t>
      </w:r>
      <w:bookmarkEnd w:id="240"/>
      <w:bookmarkEnd w:id="241"/>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2" w:name="_Toc97031319"/>
      <w:bookmarkStart w:id="243" w:name="_Toc97107279"/>
      <w:bookmarkStart w:id="244" w:name="_Toc28803614"/>
      <w:bookmarkStart w:id="245" w:name="_Toc86584659"/>
      <w:bookmarkStart w:id="246" w:name="_Toc238870129"/>
      <w:bookmarkEnd w:id="242"/>
      <w:bookmarkEnd w:id="243"/>
      <w:r w:rsidRPr="0001503D">
        <w:rPr>
          <w:rFonts w:asciiTheme="minorEastAsia" w:eastAsiaTheme="minorEastAsia" w:hAnsiTheme="minorEastAsia" w:hint="eastAsia"/>
          <w:b w:val="0"/>
        </w:rPr>
        <w:t>（一）基金合同的变更</w:t>
      </w:r>
      <w:bookmarkEnd w:id="244"/>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转换基金运作方式；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变更基金类别；</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3</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变更基金投资目标、投资范围或投资策略；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变更基金份额持有人大会议事程序；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更换基金管理人、基金托管人；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6</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提高基金管理人、基金托管人的报酬标准。但根据法律法规的要求提高该等报酬标准的除外；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7</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本基金与其他基金的合并；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8</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9</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法律法规、基金合同或中国证监会规定的其他情形。</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调低基金管理费、基金托管费；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因相应的法律法规发生变动必须对基金合同进行修改；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基金合同的修改不涉及基金合同当事人权利义务关系发生变化；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基金合同的修改对基金份额持有人利益无实质性不利影响；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(6)按照法律法规或基金合同规定不需召开基金份额持有人大会的其他情形。</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7" w:name="_Toc28803615"/>
      <w:r w:rsidRPr="0001503D">
        <w:rPr>
          <w:rFonts w:asciiTheme="minorEastAsia" w:eastAsiaTheme="minorEastAsia" w:hAnsiTheme="minorEastAsia" w:hint="eastAsia"/>
          <w:b w:val="0"/>
        </w:rPr>
        <w:t>（二）基金合同的终止</w:t>
      </w:r>
      <w:bookmarkEnd w:id="247"/>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有下列情形之一的，基金合同经中国证监会核准后将终止：</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基金份额持有人大会决定终止的；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基金管理人职责终止，而在</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个月内没有新的基金管理人承接的；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基金托管人人职责终止，而在</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个月内没有新的基金托管人承接的；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相关法律法规和中国证监会规定的其他情况。</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8" w:name="_Toc28803616"/>
      <w:r w:rsidRPr="0001503D">
        <w:rPr>
          <w:rFonts w:asciiTheme="minorEastAsia" w:eastAsiaTheme="minorEastAsia" w:hAnsiTheme="minorEastAsia" w:hint="eastAsia"/>
          <w:b w:val="0"/>
        </w:rPr>
        <w:lastRenderedPageBreak/>
        <w:t>（三）基金财产的清算</w:t>
      </w:r>
      <w:bookmarkEnd w:id="248"/>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基金财产清算小组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基金合同终止后，成立基金清算小组，基金清算小组在中国证监会的监督下进行基金清算。</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基金合同终止时，由基金清算小组统一接管基金财产；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对基金财产进行清理和确认；</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对基金财产进行估价和变现；</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制作清算报告；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聘请会计师事务所对清算报告进行审计；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6</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聘请律师事务所对清算报告出具法律意见书；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将基金清算结果报告中国证监会；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公布基金清算报告；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对基金剩余财产进行分配。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清算费用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清算费用是指基金清算小组在进行基金清算过程中发生的所有合理费用，清算费用由基金清算小组优先从基金财产中支付。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基金财产按下列顺序清偿：</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支付清算费用；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交纳所欠税款；</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清偿基金债务；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按基金份额持有人持有的基金份额比例进行分配。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基金财产未按前款</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项规定清偿前，不分配给基金份额持有人。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基金财产清算的公告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基金财产清算报告于基金合同终止并报中国证监会备案后</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个工作日内由基金清算小组公告；清算过程中的有关重大事项须及时公告；</w:t>
      </w:r>
      <w:r w:rsidRPr="0001503D">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基金财产清算账册及文件的保存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基金财产清算账册及有关文件由基金托管人保存</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年以上。</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sz w:val="21"/>
          <w:szCs w:val="21"/>
        </w:rPr>
      </w:pPr>
      <w:bookmarkStart w:id="249" w:name="_Toc200522988"/>
      <w:bookmarkEnd w:id="245"/>
      <w:bookmarkEnd w:id="246"/>
      <w:r w:rsidRPr="0001503D">
        <w:rPr>
          <w:rFonts w:asciiTheme="minorEastAsia" w:eastAsiaTheme="minorEastAsia" w:hAnsiTheme="minorEastAsia"/>
          <w:szCs w:val="21"/>
        </w:rPr>
        <w:br w:type="page"/>
      </w:r>
      <w:bookmarkStart w:id="250" w:name="_Toc238870177"/>
      <w:bookmarkStart w:id="251" w:name="_Toc28803617"/>
      <w:r w:rsidRPr="0001503D">
        <w:rPr>
          <w:rFonts w:asciiTheme="minorEastAsia" w:eastAsiaTheme="minorEastAsia" w:hAnsiTheme="minorEastAsia" w:hint="eastAsia"/>
          <w:bCs/>
        </w:rPr>
        <w:lastRenderedPageBreak/>
        <w:t>二十一、基金合同内容摘要</w:t>
      </w:r>
      <w:bookmarkEnd w:id="249"/>
      <w:bookmarkEnd w:id="250"/>
      <w:bookmarkEnd w:id="251"/>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52" w:name="_Toc238870137"/>
      <w:bookmarkStart w:id="253" w:name="_Toc28803618"/>
      <w:r w:rsidRPr="0001503D">
        <w:rPr>
          <w:rFonts w:asciiTheme="minorEastAsia" w:eastAsiaTheme="minorEastAsia" w:hAnsiTheme="minorEastAsia" w:hint="eastAsia"/>
          <w:b w:val="0"/>
          <w:bCs/>
        </w:rPr>
        <w:t>（一）基金管理人的权利与义务</w:t>
      </w:r>
      <w:bookmarkEnd w:id="252"/>
      <w:bookmarkEnd w:id="253"/>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基金管理人的权利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）自基金合同生效之日起，依照有关法律法规和基金合同的规定独立运用基金财产；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）依照基金合同获得基金管理人报酬以及法律法规规定或中国证监会批准的其他费用；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）依照有关规定为基金的利益行使因基金财产投资于证券所产生的权利；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）在符合有关法律法规和基金合同的前提下，制订和调整有关基金认购、申购、赎回、转换、非交易过户、转托管等业务的规则，决定基金的除调高托管费和管理费之外的费率结构和收费方式；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根据基金合同及有关规定监督基金托管人，对于基金托管人违反了基金合同或有关法律法规规定的行为，对基金财产、其他基金当事人的利益造成重大损失的情形，应及时呈报中国证监会和银行业监督管理机构，并采取必要措施保护基金及相关基金当事人的利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）在基金合同约定的范围内，拒绝或暂停受理申购、赎回和转换申请；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）自行担任注册登记机构或选择、更换注册登记机构，并对注册登记机构的代理行为进行必要的监督和检查；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）选择、更换代销机构，并依据销售代理协议和有关法律法规，对其行为进行必要的监督和检查；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）在基金托管人更换时，提名新的基金托管人；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）依法召集基金份额持有人大会；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11</w:t>
      </w:r>
      <w:r w:rsidRPr="0001503D">
        <w:rPr>
          <w:rFonts w:asciiTheme="minorEastAsia" w:eastAsiaTheme="minorEastAsia" w:hAnsiTheme="minorEastAsia" w:hint="eastAsia"/>
          <w:szCs w:val="21"/>
        </w:rPr>
        <w:t>）选择、更换律师事务所、会计师事务所、证券经纪商或其他为基金提供服务的外部机构；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12</w:t>
      </w:r>
      <w:r w:rsidRPr="0001503D">
        <w:rPr>
          <w:rFonts w:asciiTheme="minorEastAsia" w:eastAsiaTheme="minorEastAsia" w:hAnsiTheme="minorEastAsia" w:hint="eastAsia"/>
          <w:szCs w:val="21"/>
        </w:rPr>
        <w:t>）根据国家有关规定，在法律法规允许的前提下，以基金的名义依法为基金融资、融券；</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13</w:t>
      </w:r>
      <w:r w:rsidRPr="0001503D">
        <w:rPr>
          <w:rFonts w:asciiTheme="minorEastAsia" w:eastAsiaTheme="minorEastAsia" w:hAnsiTheme="minorEastAsia" w:hint="eastAsia"/>
          <w:szCs w:val="21"/>
        </w:rPr>
        <w:t>）法律法规规定的其他权利。</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基金管理人的义务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）依法募集基金，办理或者委托经由证监会认定的其他机构代为办理基金份额的发售、申购、赎回和注册登记事宜；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）办理基金备案手续；</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）自基金合同生效之日起，以诚实信用、勤勉尽责的原则管理和运用基金财产；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）配备足够的具有专业资格的人员进行基金投资分析、决策，以专业化的经营方式</w:t>
      </w:r>
      <w:r w:rsidRPr="0001503D">
        <w:rPr>
          <w:rFonts w:asciiTheme="minorEastAsia" w:eastAsiaTheme="minorEastAsia" w:hAnsiTheme="minorEastAsia" w:hint="eastAsia"/>
          <w:szCs w:val="21"/>
        </w:rPr>
        <w:lastRenderedPageBreak/>
        <w:t>管理和运作基金财产；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）建立健全内部风险控制、监察与稽核、财务管理及人事管理等制度，保证所管理的基金财产和基金管理人的财产相互独立，对所管理的不同基金财产分别管理，分别记账，进行证券投资；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）除依据《基金法》、基金合同及其他有关规定外，不得为自己及任何第三人谋取利益，不得委托第三人运作基金财产；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）依法接受基金托管人的监督；</w:t>
      </w:r>
    </w:p>
    <w:p w:rsidR="002F5370" w:rsidRPr="0001503D" w:rsidRDefault="00AD5F3A"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（8）计算并公告基金净值信息，确定基金份额申购、赎回价格；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）采取适当合理的措施使计算基金份额认购、申购、赎回价格的方法符合基金合同等法律文件的规定；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）按规定受理基金份额的申购和赎回申请，及时、足额支付赎回款项；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11</w:t>
      </w:r>
      <w:r w:rsidRPr="0001503D">
        <w:rPr>
          <w:rFonts w:asciiTheme="minorEastAsia" w:eastAsiaTheme="minorEastAsia" w:hAnsiTheme="minorEastAsia" w:hint="eastAsia"/>
          <w:szCs w:val="21"/>
        </w:rPr>
        <w:t>）进行基金会计核算并编制基金财务会计报告；</w:t>
      </w:r>
    </w:p>
    <w:p w:rsidR="002F5370" w:rsidRPr="0001503D" w:rsidRDefault="00AD5F3A"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（12）编制季度报告、中期报告和年度报告；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13</w:t>
      </w:r>
      <w:r w:rsidRPr="0001503D">
        <w:rPr>
          <w:rFonts w:asciiTheme="minorEastAsia" w:eastAsiaTheme="minorEastAsia" w:hAnsiTheme="minorEastAsia" w:hint="eastAsia"/>
          <w:szCs w:val="21"/>
        </w:rPr>
        <w:t>）严格按照《基金法》、基金合同及其他有关规定，履行信息披露及报告义务；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14</w:t>
      </w:r>
      <w:r w:rsidRPr="0001503D">
        <w:rPr>
          <w:rFonts w:asciiTheme="minorEastAsia" w:eastAsiaTheme="minorEastAsia" w:hAnsiTheme="minorEastAsia" w:hint="eastAsia"/>
          <w:szCs w:val="21"/>
        </w:rPr>
        <w:t>）保守基金商业秘密，不得泄露基金投资计划、投资意向等。除《基金法》、基金合同及其他有关规定另有规定外，在基金信息公开披露前应予保密，不得向他人泄露；</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）按照基金合同的约定确定基金收益分配方案，及时向基金份额持有人分配收益；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16</w:t>
      </w:r>
      <w:r w:rsidRPr="0001503D">
        <w:rPr>
          <w:rFonts w:asciiTheme="minorEastAsia" w:eastAsiaTheme="minorEastAsia" w:hAnsiTheme="minorEastAsia" w:hint="eastAsia"/>
          <w:szCs w:val="21"/>
        </w:rPr>
        <w:t>）依据《基金法》、基金合同及其他有关规定召集基金份额持有人大会或配合基金托管人、基金份额持有人依法召集基金份额持有人大会；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17</w:t>
      </w:r>
      <w:r w:rsidRPr="0001503D">
        <w:rPr>
          <w:rFonts w:asciiTheme="minorEastAsia" w:eastAsiaTheme="minorEastAsia" w:hAnsiTheme="minorEastAsia" w:hint="eastAsia"/>
          <w:szCs w:val="21"/>
        </w:rPr>
        <w:t>）保存基金财产管理业务活动的记录、账册、报表和其他相关资料；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18</w:t>
      </w:r>
      <w:r w:rsidRPr="0001503D">
        <w:rPr>
          <w:rFonts w:asciiTheme="minorEastAsia" w:eastAsiaTheme="minorEastAsia" w:hAnsiTheme="minorEastAsia" w:hint="eastAsia"/>
          <w:szCs w:val="21"/>
        </w:rPr>
        <w:t>）以基金管理人名义，代表基金份额持有人利益行使诉讼权利或者实施其他法律行为；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19</w:t>
      </w:r>
      <w:r w:rsidRPr="0001503D">
        <w:rPr>
          <w:rFonts w:asciiTheme="minorEastAsia" w:eastAsiaTheme="minorEastAsia" w:hAnsiTheme="minorEastAsia" w:hint="eastAsia"/>
          <w:szCs w:val="21"/>
        </w:rPr>
        <w:t>）组织并参加基金财产清算小组，参与基金财产的保管、清理、估价、变现和分配；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20</w:t>
      </w:r>
      <w:r w:rsidRPr="0001503D">
        <w:rPr>
          <w:rFonts w:asciiTheme="minorEastAsia" w:eastAsiaTheme="minorEastAsia" w:hAnsiTheme="minorEastAsia" w:hint="eastAsia"/>
          <w:szCs w:val="21"/>
        </w:rPr>
        <w:t>）因违反基金合同导致基金财产的损失或损害基金份额持有人合法权益，应当承担赔偿责任，其赔偿责任不因其退任而免除；</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21</w:t>
      </w:r>
      <w:r w:rsidRPr="0001503D">
        <w:rPr>
          <w:rFonts w:asciiTheme="minorEastAsia" w:eastAsiaTheme="minorEastAsia" w:hAnsiTheme="minorEastAsia" w:hint="eastAsia"/>
          <w:szCs w:val="21"/>
        </w:rPr>
        <w:t>）基金托管人违反基金合同造成基金财产损失时，应为基金份额持有人利益向基金托管人追偿；</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22</w:t>
      </w:r>
      <w:r w:rsidRPr="0001503D">
        <w:rPr>
          <w:rFonts w:asciiTheme="minorEastAsia" w:eastAsiaTheme="minorEastAsia" w:hAnsiTheme="minorEastAsia" w:hint="eastAsia"/>
          <w:szCs w:val="21"/>
        </w:rPr>
        <w:t>）按规定向基金托管人提供基金份额持有人名册资料；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23</w:t>
      </w:r>
      <w:r w:rsidRPr="0001503D">
        <w:rPr>
          <w:rFonts w:asciiTheme="minorEastAsia" w:eastAsiaTheme="minorEastAsia" w:hAnsiTheme="minorEastAsia" w:hint="eastAsia"/>
          <w:szCs w:val="21"/>
        </w:rPr>
        <w:t>）建立并保存基金份额持有人名册；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24</w:t>
      </w:r>
      <w:r w:rsidRPr="0001503D">
        <w:rPr>
          <w:rFonts w:asciiTheme="minorEastAsia" w:eastAsiaTheme="minorEastAsia" w:hAnsiTheme="minorEastAsia" w:hint="eastAsia"/>
          <w:szCs w:val="21"/>
        </w:rPr>
        <w:t>）面临解散、依法被撤销或者被依法宣告破产时，及时报告中国证监会并通知基金托管人；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25</w:t>
      </w:r>
      <w:r w:rsidRPr="0001503D">
        <w:rPr>
          <w:rFonts w:asciiTheme="minorEastAsia" w:eastAsiaTheme="minorEastAsia" w:hAnsiTheme="minorEastAsia" w:hint="eastAsia"/>
          <w:szCs w:val="21"/>
        </w:rPr>
        <w:t>）执行生效的基金份额持有人大会的决定；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w:t>
      </w:r>
      <w:r w:rsidRPr="0001503D">
        <w:rPr>
          <w:rFonts w:asciiTheme="minorEastAsia" w:eastAsiaTheme="minorEastAsia" w:hAnsiTheme="minorEastAsia"/>
          <w:szCs w:val="21"/>
        </w:rPr>
        <w:t>26</w:t>
      </w:r>
      <w:r w:rsidRPr="0001503D">
        <w:rPr>
          <w:rFonts w:asciiTheme="minorEastAsia" w:eastAsiaTheme="minorEastAsia" w:hAnsiTheme="minorEastAsia" w:hint="eastAsia"/>
          <w:szCs w:val="21"/>
        </w:rPr>
        <w:t>）不从事任何有损基金及其他基金合同当事人合法权益的活动；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27</w:t>
      </w:r>
      <w:r w:rsidRPr="0001503D">
        <w:rPr>
          <w:rFonts w:asciiTheme="minorEastAsia" w:eastAsiaTheme="minorEastAsia" w:hAnsiTheme="minorEastAsia" w:hint="eastAsia"/>
          <w:szCs w:val="21"/>
        </w:rPr>
        <w:t>）依照法律法规为基金的利益对被投资公司行使股东权利，为基金的利益行使因基金财产投资于证券所产生的权利，不谋求对上市公司的控股和直接管理；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28</w:t>
      </w:r>
      <w:r w:rsidRPr="0001503D">
        <w:rPr>
          <w:rFonts w:asciiTheme="minorEastAsia" w:eastAsiaTheme="minorEastAsia" w:hAnsiTheme="minorEastAsia" w:hint="eastAsia"/>
          <w:szCs w:val="21"/>
        </w:rPr>
        <w:t>）法律法规、基金合同规定的以及中国证监会要求的其他义务。</w:t>
      </w:r>
    </w:p>
    <w:p w:rsidR="002F5370" w:rsidRPr="0001503D"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254" w:name="_Toc238870138"/>
      <w:bookmarkStart w:id="255" w:name="_Toc28803619"/>
      <w:r w:rsidRPr="0001503D">
        <w:rPr>
          <w:rFonts w:asciiTheme="minorEastAsia" w:eastAsiaTheme="minorEastAsia" w:hAnsiTheme="minorEastAsia" w:hint="eastAsia"/>
          <w:b w:val="0"/>
          <w:bCs/>
        </w:rPr>
        <w:t>（二）基金托管人的权利与义务</w:t>
      </w:r>
      <w:bookmarkEnd w:id="254"/>
      <w:bookmarkEnd w:id="255"/>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基金托管人的权利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）获得基金托管费；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）监督基金管理人对本基金的投资运作；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）自基金合同生效之日起，依法保管基金财产；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）在基金管理人更换时，提名新任基金管理人；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根据基金合同及有关规定监督基金管理人，对于基金管理人违反基金合同或有关法律法规规定的行为，对基金财产、其他基金合同当事人的利益造成重大损失的情形，应及时呈报中国证监会，并采取必要措施保护基金及相关基金合同当事人的利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）依法召集基金份额持有人大会；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）按规定取得基金份额持有人名册；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）法律法规规定的其他权利。</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基金托管人的义务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）以诚实信用、勤勉尽责的原则持有并安全保管基金财产；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）设立专门的基金托管部，具有符合要求的营业场所，配备足够的、合格的熟悉基金托管业务的专职人员，负责基金财产托管事宜；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）除依据《基金法》、基金合同及其他有关规定外，不得为自己及任何第三人谋取利益，不得委托第三人托管基金财产；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）保管由基金管理人代表基金签订的与基金有关的重大合同及有关凭证；</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）按规定开设基金财产的资金账户和证券账户；</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）保守基金商业秘密。除《基金法》、基金合同及其他有关规定另有规定外，在基金信息公开披露前应予保密，不得向他人泄露；</w:t>
      </w:r>
    </w:p>
    <w:p w:rsidR="002F5370" w:rsidRPr="0001503D" w:rsidRDefault="00AD5F3A"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（8）对基金财务会计报告、季度报告、中期报告和年度报告出具意见，说明基金管理人在各重要方面的运作是否严格按照基金合同的规定进行；如果基金管理人有未执行基金</w:t>
      </w:r>
      <w:r w:rsidRPr="0001503D">
        <w:rPr>
          <w:rFonts w:asciiTheme="minorEastAsia" w:eastAsiaTheme="minorEastAsia" w:hAnsiTheme="minorEastAsia" w:hint="eastAsia"/>
          <w:szCs w:val="21"/>
        </w:rPr>
        <w:lastRenderedPageBreak/>
        <w:t>合同规定的行为，还应当说明基金托管人是否采取了适当的措施；</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）保存基金托管业务活动的记录、账册、报表和其他相关资料不少于</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年；</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）按照基金合同的约定，根据基金管理人的投资指令，及时办理清算、交割事宜；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11</w:t>
      </w:r>
      <w:r w:rsidRPr="0001503D">
        <w:rPr>
          <w:rFonts w:asciiTheme="minorEastAsia" w:eastAsiaTheme="minorEastAsia" w:hAnsiTheme="minorEastAsia" w:hint="eastAsia"/>
          <w:szCs w:val="21"/>
        </w:rPr>
        <w:t>）办理与基金托管业务活动有关的信息披露事项；</w:t>
      </w:r>
    </w:p>
    <w:p w:rsidR="002F5370" w:rsidRPr="0001503D" w:rsidRDefault="00AD5F3A"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（12）复核、审查基金管理人计算的基金资产净值、基金份额净值、基金份额申购、赎回价格；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13</w:t>
      </w:r>
      <w:r w:rsidRPr="0001503D">
        <w:rPr>
          <w:rFonts w:asciiTheme="minorEastAsia" w:eastAsiaTheme="minorEastAsia" w:hAnsiTheme="minorEastAsia" w:hint="eastAsia"/>
          <w:szCs w:val="21"/>
        </w:rPr>
        <w:t>）按照规定监督基金管理人的投资运作；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14</w:t>
      </w:r>
      <w:r w:rsidRPr="0001503D">
        <w:rPr>
          <w:rFonts w:asciiTheme="minorEastAsia" w:eastAsiaTheme="minorEastAsia" w:hAnsiTheme="minorEastAsia" w:hint="eastAsia"/>
          <w:szCs w:val="21"/>
        </w:rPr>
        <w:t>）按规定制作相关账册并与基金管理人核对；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）依据基金管理人的指令或有关规定向基金份额持有人支付基金收益和赎回款项；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16</w:t>
      </w:r>
      <w:r w:rsidRPr="0001503D">
        <w:rPr>
          <w:rFonts w:asciiTheme="minorEastAsia" w:eastAsiaTheme="minorEastAsia" w:hAnsiTheme="minorEastAsia" w:hint="eastAsia"/>
          <w:szCs w:val="21"/>
        </w:rPr>
        <w:t>）按照规定召集基金份额持有人大会或配合基金份额持有人依法自行召集基金份额持有人大会；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17</w:t>
      </w:r>
      <w:r w:rsidRPr="0001503D">
        <w:rPr>
          <w:rFonts w:asciiTheme="minorEastAsia" w:eastAsiaTheme="minorEastAsia" w:hAnsiTheme="minorEastAsia" w:hint="eastAsia"/>
          <w:szCs w:val="21"/>
        </w:rPr>
        <w:t>）因违反基金合同导致基金财产损失，应承担赔偿责任，其赔偿责任不因其退任而免除；</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18</w:t>
      </w:r>
      <w:r w:rsidRPr="0001503D">
        <w:rPr>
          <w:rFonts w:asciiTheme="minorEastAsia" w:eastAsiaTheme="minorEastAsia" w:hAnsiTheme="minorEastAsia" w:hint="eastAsia"/>
          <w:szCs w:val="21"/>
        </w:rPr>
        <w:t>）按规定监督基金管理人按照法律法规规定和基金合同履行其义务，基金管理人因违反基金合同造成基金财产损失时，应为基金向基金管理人追偿；</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19</w:t>
      </w:r>
      <w:r w:rsidRPr="0001503D">
        <w:rPr>
          <w:rFonts w:asciiTheme="minorEastAsia" w:eastAsiaTheme="minorEastAsia" w:hAnsiTheme="minorEastAsia" w:hint="eastAsia"/>
          <w:szCs w:val="21"/>
        </w:rPr>
        <w:t>）根据基金合同和托管协议规定建立并保存基金份额持有人名册；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20</w:t>
      </w:r>
      <w:r w:rsidRPr="0001503D">
        <w:rPr>
          <w:rFonts w:asciiTheme="minorEastAsia" w:eastAsiaTheme="minorEastAsia" w:hAnsiTheme="minorEastAsia" w:hint="eastAsia"/>
          <w:szCs w:val="21"/>
        </w:rPr>
        <w:t>）参加基金财产清算组，参与基金财产的保管、清理、估价、变现和分配；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21</w:t>
      </w:r>
      <w:r w:rsidRPr="0001503D">
        <w:rPr>
          <w:rFonts w:asciiTheme="minorEastAsia" w:eastAsiaTheme="minorEastAsia" w:hAnsiTheme="minorEastAsia" w:hint="eastAsia"/>
          <w:szCs w:val="21"/>
        </w:rPr>
        <w:t>）面临解散、依法被撤销、破产或者由接管人接管其资产时，及时报告中国证监会和中国银监会，并通知基金管理人；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22</w:t>
      </w:r>
      <w:r w:rsidRPr="0001503D">
        <w:rPr>
          <w:rFonts w:asciiTheme="minorEastAsia" w:eastAsiaTheme="minorEastAsia" w:hAnsiTheme="minorEastAsia" w:hint="eastAsia"/>
          <w:szCs w:val="21"/>
        </w:rPr>
        <w:t>）执行生效的基金份额持有人大会的决定；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23</w:t>
      </w:r>
      <w:r w:rsidRPr="0001503D">
        <w:rPr>
          <w:rFonts w:asciiTheme="minorEastAsia" w:eastAsiaTheme="minorEastAsia" w:hAnsiTheme="minorEastAsia" w:hint="eastAsia"/>
          <w:szCs w:val="21"/>
        </w:rPr>
        <w:t>）法律法规、基金合同规定的以及中国证监会要求的其他义务。</w:t>
      </w:r>
    </w:p>
    <w:p w:rsidR="002F5370" w:rsidRPr="0001503D"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szCs w:val="21"/>
        </w:rPr>
      </w:pPr>
      <w:bookmarkStart w:id="256" w:name="_Toc238870139"/>
      <w:bookmarkStart w:id="257" w:name="_Toc28803620"/>
      <w:r w:rsidRPr="0001503D">
        <w:rPr>
          <w:rFonts w:asciiTheme="minorEastAsia" w:eastAsiaTheme="minorEastAsia" w:hAnsiTheme="minorEastAsia" w:hint="eastAsia"/>
          <w:b w:val="0"/>
          <w:bCs/>
        </w:rPr>
        <w:t>（三）基金份额持有人的权利与义务</w:t>
      </w:r>
      <w:bookmarkEnd w:id="256"/>
      <w:bookmarkEnd w:id="257"/>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每份基金份额具有同等的合法权益。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根据《基金法》、《运作办法》及其他有关法律法规的规定，基金份额持有人的权利包括但不限于：</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）分享基金财产收益；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）参与分配清算后的剩余基金财产；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）依法转让或者申请赎回其持有的基金份额；</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）按照规定要求召开基金份额持有人大会；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）出席或者委派代表出席基金份额持有人大会，对基金份额持有人大会审议事项行使表决权；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）查阅或者复制公开披露的基金信息资料；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）监督基金管理人的投资运作；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）对基金管理人、基金托管人、基金份额代销机构损害其合法权益的行为依法提起诉讼；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）法律法规和基金合同规定的其他权利。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根据《基金法》、《运作办法》及其他有关法律法规的规定，基金份额持有人的义务包括但不限于：</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）遵守法律法规、基金合同及其他有关规定；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）缴纳基金认购、申购款项及法律法规、基金合同和招募说明书规定的费用；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）在持有的基金份额范围内，承担基金亏损或者基金合同终止的有限责任；</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）不从事任何有损基金及其他基金份额持有人合法权益的活动；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）执行生效的基金份额持有人大会决议；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（6）遵守基金管理人、基金托管人及销售机构和注册登记机构的相关交易及业务规则；</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（7）返还在基金交易过程中因任何原因，自基金管理人、基金托管人及基金管理人的代理人处获得的不当得利；</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（8）法律法规和基金合同规定的其他义务。</w:t>
      </w:r>
    </w:p>
    <w:p w:rsidR="002F5370" w:rsidRPr="0001503D"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rPr>
      </w:pPr>
      <w:bookmarkStart w:id="258" w:name="_Toc238870140"/>
      <w:bookmarkStart w:id="259" w:name="_Toc28803621"/>
      <w:r w:rsidRPr="0001503D">
        <w:rPr>
          <w:rFonts w:asciiTheme="minorEastAsia" w:eastAsiaTheme="minorEastAsia" w:hAnsiTheme="minorEastAsia" w:hint="eastAsia"/>
          <w:b w:val="0"/>
          <w:bCs/>
        </w:rPr>
        <w:t>（四）基金份额持有人大会</w:t>
      </w:r>
      <w:bookmarkEnd w:id="258"/>
      <w:bookmarkEnd w:id="259"/>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召开事由</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)当出现或需要决定下列事由之一的，应当召开基金份额持有人大会：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终止基金合同；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转换基金运作方式；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变更基金类别；</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变更基金投资目标、投资范围或投资策略；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变更基金份额持有人大会议事程序；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更换基金管理人、基金托管人；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提高基金管理人、基金托管人的报酬标准。但根据法律法规的要求提高该等报酬标准的除外；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lastRenderedPageBreak/>
        <w:t>8)</w:t>
      </w:r>
      <w:r w:rsidRPr="0001503D">
        <w:rPr>
          <w:rFonts w:asciiTheme="minorEastAsia" w:eastAsiaTheme="minorEastAsia" w:hAnsiTheme="minorEastAsia" w:hint="eastAsia"/>
          <w:szCs w:val="21"/>
        </w:rPr>
        <w:t>本基金与其他基金的合并；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法律法规、基金合同或中国证监会规定的其他情形。</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出现以下情形之一的，可由基金管理人和基金托管人协商后修改，不需召开基金份额持有人大会：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调低基金管理费、基金托管费；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因相应的法律法规发生变动必须对基金合同进行修改；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基金合同的修改不涉及基金合同当事人权利义务关系发生变化；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基金合同的修改对基金份额持有人利益无实质性不利影响；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按照法律法规或基金合同规定不需召开基金份额持有人大会的其他情形。</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hint="eastAsia"/>
          <w:szCs w:val="21"/>
        </w:rPr>
        <w:t>召集人和召集方式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)除法律法规或基金合同另有约定外，基金份额持有人大会由基金管理人召集。基金管理人未按规定召集或者不能召集时，由基金托管人召集。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)基金托管人认为有必要召开基金份额持有人大会的，应当向基金管理人提出书面提议。基金管理人应当自收到书面提议之日起</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日内决定是否召集，并书面告知基金托管人。基金管理人决定召集的，应当自出具书面决定之日起</w:t>
      </w:r>
      <w:r w:rsidRPr="0001503D">
        <w:rPr>
          <w:rFonts w:asciiTheme="minorEastAsia" w:eastAsiaTheme="minorEastAsia" w:hAnsiTheme="minorEastAsia"/>
          <w:szCs w:val="21"/>
        </w:rPr>
        <w:t>60</w:t>
      </w:r>
      <w:r w:rsidRPr="0001503D">
        <w:rPr>
          <w:rFonts w:asciiTheme="minorEastAsia" w:eastAsiaTheme="minorEastAsia" w:hAnsiTheme="minorEastAsia" w:hint="eastAsia"/>
          <w:szCs w:val="21"/>
        </w:rPr>
        <w:t>日内召开；基金管理人决定不召集，基金托管人仍认为有必要召开的，应当自行召集。</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)代表基金份额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以上（以上含本数，下同）的基金份额持有人认为有必要召开基金份额持有人大会的，应当向基金管理人提出书面提议。基金管理人应当自收到书面提议之日起</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日内决定是否召集，并书面告知提出提议的基金份额持有人代表和基金托管人。基金管理人决定召集的，应当自出具书面决定之日起</w:t>
      </w:r>
      <w:r w:rsidRPr="0001503D">
        <w:rPr>
          <w:rFonts w:asciiTheme="minorEastAsia" w:eastAsiaTheme="minorEastAsia" w:hAnsiTheme="minorEastAsia"/>
          <w:szCs w:val="21"/>
        </w:rPr>
        <w:t>60</w:t>
      </w:r>
      <w:r w:rsidRPr="0001503D">
        <w:rPr>
          <w:rFonts w:asciiTheme="minorEastAsia" w:eastAsiaTheme="minorEastAsia" w:hAnsiTheme="minorEastAsia" w:hint="eastAsia"/>
          <w:szCs w:val="21"/>
        </w:rPr>
        <w:t>日内召开；基金管理人决定不召集，代表基金份额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以上的基金份额持有人仍认为有必要召开的，应当向基金托管人提出书面提议。基金托管人应当自收到书面提议之日起</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日内决定是否召集，并书面告知提出提议的基金份额持有人代表和基金管理人；基金托管人决定召集的，应当自出具书面决定之日起</w:t>
      </w:r>
      <w:r w:rsidRPr="0001503D">
        <w:rPr>
          <w:rFonts w:asciiTheme="minorEastAsia" w:eastAsiaTheme="minorEastAsia" w:hAnsiTheme="minorEastAsia"/>
          <w:szCs w:val="21"/>
        </w:rPr>
        <w:t>60</w:t>
      </w:r>
      <w:r w:rsidRPr="0001503D">
        <w:rPr>
          <w:rFonts w:asciiTheme="minorEastAsia" w:eastAsiaTheme="minorEastAsia" w:hAnsiTheme="minorEastAsia" w:hint="eastAsia"/>
          <w:szCs w:val="21"/>
        </w:rPr>
        <w:t>日内召开。</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)代表基金份额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以上的基金份额持有人就同一事项要求召开基金份额持有人大会，而基金管理人、基金托管人都不召集的，代表基金份额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以上的基金份额持有人有权自行召集基金份额持有人大会，但应当至少提前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日向中国证监会备案。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)基金份额持有人依法自行召集基金份额持有人大会的，基金管理人、基金托管人应当配合，不得阻碍、干扰。</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4、</w:t>
      </w:r>
      <w:r w:rsidR="002F5370" w:rsidRPr="0001503D">
        <w:rPr>
          <w:rFonts w:asciiTheme="minorEastAsia" w:eastAsiaTheme="minorEastAsia" w:hAnsiTheme="minorEastAsia" w:hint="eastAsia"/>
          <w:szCs w:val="21"/>
        </w:rPr>
        <w:t>召开基金份额持有人大会的通知时间、通知内容、通知方式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)基金份额持有人大会的召集人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以下简称</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召集人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负责</w:t>
      </w:r>
      <w:r w:rsidRPr="0001503D">
        <w:rPr>
          <w:rStyle w:val="read"/>
          <w:rFonts w:asciiTheme="minorEastAsia" w:eastAsiaTheme="minorEastAsia" w:hAnsiTheme="minorEastAsia" w:hint="eastAsia"/>
          <w:szCs w:val="21"/>
        </w:rPr>
        <w:t>选择确定开会时间、地点、方式和权益登记日。</w:t>
      </w:r>
      <w:r w:rsidRPr="0001503D">
        <w:rPr>
          <w:rFonts w:asciiTheme="minorEastAsia" w:eastAsiaTheme="minorEastAsia" w:hAnsiTheme="minorEastAsia" w:hint="eastAsia"/>
          <w:szCs w:val="21"/>
        </w:rPr>
        <w:t>召开基金份额持有人大会，召集人必须于会议召开日前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日在</w:t>
      </w:r>
      <w:r w:rsidR="00D145F2" w:rsidRPr="0001503D">
        <w:rPr>
          <w:rFonts w:asciiTheme="minorEastAsia" w:eastAsiaTheme="minorEastAsia" w:hAnsiTheme="minorEastAsia" w:hint="eastAsia"/>
          <w:szCs w:val="21"/>
        </w:rPr>
        <w:t>指定媒介</w:t>
      </w:r>
      <w:r w:rsidRPr="0001503D">
        <w:rPr>
          <w:rFonts w:asciiTheme="minorEastAsia" w:eastAsiaTheme="minorEastAsia" w:hAnsiTheme="minorEastAsia" w:hint="eastAsia"/>
          <w:szCs w:val="21"/>
        </w:rPr>
        <w:t>公告。基金份额持有人大会通知须至少载明以下内容：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会议召开的时间、地点和出席方式；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会议拟审议的主要事项；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会议形式；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议事程序；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有权出席基金份额持有人大会的权益登记日；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授权委托书的内容要求</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包括但不限于代理人身份、代理权限和代理有效期限等</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、送达时间和地点；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表决方式；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会务常设联系人姓名、电话；</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出席会议者必须准备的文件和必须履行的手续；</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召集人需要通知的其他事项。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hint="eastAsia"/>
          <w:szCs w:val="21"/>
        </w:rPr>
        <w:t>基金份额持有人出席会议的方式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)会议方式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基金份额持有人大会的召开方式包括现场开会和通讯方式开会。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现场开会由基金份额持有人本人出席或通过授权委托书委派其代理人出席，现场开会时基金管理人和基金托管人的授权代表应当出席，基金管理人或基金托管人拒不派代表出席的，不影响表决效力。</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通讯方式开会指按照基金合同的相关规定以通讯的书面方式进行表决。</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)召开基金份额持有人大会的条件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现场开会方式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在同时符合以下条件时，现场会议方可举行：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①经核对、汇总，到会者出示的在权益登记日持有基金份额的凭证显示，全部有效凭证所对应的基金份额应占权益登记日基金总份额的</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以上（含</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，下同）；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②亲自出席会议者持有基金份额持有人凭证和受托出席会议者出具的委托人持有基金份额的凭证及授权委托等文件符合有关法律法规和基金合同及会议通知的规定，</w:t>
      </w:r>
      <w:r w:rsidRPr="0001503D">
        <w:rPr>
          <w:rFonts w:asciiTheme="minorEastAsia" w:eastAsiaTheme="minorEastAsia" w:hAnsiTheme="minorEastAsia"/>
          <w:szCs w:val="21"/>
        </w:rPr>
        <w:t>并且持有基金份额的凭证与基金管理人持有的登记资料相符</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未能满足上述条件的情况下，则召集人可另行确定并公告重新开会的时间</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至少应在30日后</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和地点，但确定有权出席会议的基金份额持有人资格的权益登记日不变。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通讯开会方式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在同时符合以下条件时，通讯会议方可举行：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①召集人按基金合同规定公布会议通知后，在</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个工作日内连续公布相关提示性公告；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②召集人在基金托管人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如果基金托管人为召集人，则为基金管理人</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和公证机关的监督下按照会议通知规定的方式收取和统计基金份额持有人的书面表决意见，基金管理人或基金托管人经通知拒不参加收取和统计书面表决意见的，不影响表决效力；</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③本人直接出具书面意见或授权他人代表出具书面意见的基金份额持有人所代表的基金份额应占权益登记日基金总份额的</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④直接出具书面意见的基金份额持有人或受托代表他人出具书面意见的代表，同时提交的持有基金份额的凭证和受托出席会议者出具的委托人持有基金份额的凭证和授权委托书等文件符合法律法规、基金合同和会议通知的规定，并与注册登记机构记录相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如果开会条件达不到上述的条件，则召集人可另行确定并公告重新表决的时间</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至少应在30日后</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，且确定有权出席会议的基金份额持有人资格的权益登记日不变。</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002F5370" w:rsidRPr="0001503D">
        <w:rPr>
          <w:rFonts w:asciiTheme="minorEastAsia" w:eastAsiaTheme="minorEastAsia" w:hAnsiTheme="minorEastAsia" w:hint="eastAsia"/>
          <w:szCs w:val="21"/>
        </w:rPr>
        <w:t>议事内容与程序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)议事内容及提案权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议事内容为基金合同规定的召开基金份额持有人大会事由所涉及的内容以及会议召集人认为需提交基金份额持有人大会讨论的其他事项。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基金管理人、基金托管人、单独或合并持有权益登记日本基金总份额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01503D">
        <w:rPr>
          <w:rFonts w:asciiTheme="minorEastAsia" w:eastAsiaTheme="minorEastAsia" w:hAnsiTheme="minorEastAsia"/>
          <w:szCs w:val="21"/>
        </w:rPr>
        <w:t>35</w:t>
      </w:r>
      <w:r w:rsidRPr="0001503D">
        <w:rPr>
          <w:rFonts w:asciiTheme="minorEastAsia" w:eastAsiaTheme="minorEastAsia" w:hAnsiTheme="minorEastAsia" w:hint="eastAsia"/>
          <w:szCs w:val="21"/>
        </w:rPr>
        <w:t>日提交召集人。召集人对于临时提案应当在大会召开日前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日公告。否则，会议的召开日期应当顺延并保证至少与临时提案公告日期有</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日的间隔期。</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对于基金份额持有人提交的提案</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包括临时提案</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，大会召集人应当按照以下原则对提案进行审核：</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关联性。大会召集人对于基金份额持有人提案涉及事项与基金有直接关系，并且不超出法律法规和基金合同规定的基金份额持有人大会职权范围的，应提交大会审议；对于不</w:t>
      </w:r>
      <w:r w:rsidRPr="0001503D">
        <w:rPr>
          <w:rFonts w:asciiTheme="minorEastAsia" w:eastAsiaTheme="minorEastAsia" w:hAnsiTheme="minorEastAsia" w:hint="eastAsia"/>
          <w:szCs w:val="21"/>
        </w:rPr>
        <w:lastRenderedPageBreak/>
        <w:t>符合上述要求的，不提交基金份额持有人大会审议。如果召集人决定不将基金份额持有人提案提交大会表决，应当在该次基金份额持有人大会上进行解释和说明。</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单独或合并持有权益登记日基金总份额</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个月。法律法规另有规定的除外。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基金份额持有人大会的召集人发出召开会议的通知后，如果需要对原有提案进行修改，应当最迟在基金份额持有人大会召开日前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日公告。否则，会议的召开日期应当顺延并保证至少与公告日期有</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日的间隔期。</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)议事程序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现场开会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以上多数选举产生一名代表作为该次基金份额持有人大会的主持人。基金管理人和基金托管人不出席或主持基金份额持有人大会，不影响基金份额持有人大会作出的决议的效力。</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召集人应当制作出席会议人员的签名册。签名册载明参加会议人员姓名</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或单位名称</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、身份证号码、住所地址、持有或代表有表决权的基金份额、委托人姓名</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或单位名称</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等事项。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通讯方式开会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在通讯表决开会的方式下，首先由召集人提前</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日公布提案，在所通知的表决截止日期第</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日在公证机构监督下由召集人统计全部有效表决并形成决议。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)基金份额持有人大会不得对未事先公告的议事内容进行表决。</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hint="eastAsia"/>
          <w:szCs w:val="21"/>
        </w:rPr>
        <w:t>决议形成的条件、表决方式、程序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)基金份额持有人所持每一基金份额享有平等的表决权。</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)基金份额持有人大会决议分为一般决议和特别决议：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lastRenderedPageBreak/>
        <w:t>1)</w:t>
      </w:r>
      <w:r w:rsidRPr="0001503D">
        <w:rPr>
          <w:rFonts w:asciiTheme="minorEastAsia" w:eastAsiaTheme="minorEastAsia" w:hAnsiTheme="minorEastAsia" w:hint="eastAsia"/>
          <w:szCs w:val="21"/>
        </w:rPr>
        <w:t>一般决议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一般决议须经出席会议的基金份额持有人及其代理人所持表决权的</w:t>
      </w:r>
      <w:r w:rsidRPr="0001503D">
        <w:rPr>
          <w:rFonts w:asciiTheme="minorEastAsia" w:eastAsiaTheme="minorEastAsia" w:hAnsiTheme="minorEastAsia"/>
          <w:szCs w:val="21"/>
        </w:rPr>
        <w:t>50%</w:t>
      </w:r>
      <w:r w:rsidRPr="0001503D">
        <w:rPr>
          <w:rFonts w:asciiTheme="minorEastAsia" w:eastAsiaTheme="minorEastAsia" w:hAnsiTheme="minorEastAsia" w:hint="eastAsia"/>
          <w:szCs w:val="21"/>
        </w:rPr>
        <w:t>以上通过方为有效，除下列</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所规定的须以特别决议通过事项以外的其他事项均以一般决议的方式通过；</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特别决议</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特别决议须经出席会议的基金份额持有人及代理人所持表决权的三分之二以上通过方为有效；更换基金管理人、更换基金托管人、转换基金运作方式、终止基金合同必须以特别决议通过方为有效。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)基金份额持有人大会决定的事项，应当依法报中国证监会核准，或者备案，并予以公告。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)基金份额持有人大会采取记名方式进行投票表决。</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)基金份额持有人大会的各项提案或同一项提案内并列的各项议题应当分开审议、逐项表决。</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w:t>
      </w:r>
      <w:r w:rsidR="002F5370" w:rsidRPr="0001503D">
        <w:rPr>
          <w:rFonts w:asciiTheme="minorEastAsia" w:eastAsiaTheme="minorEastAsia" w:hAnsiTheme="minorEastAsia" w:hint="eastAsia"/>
          <w:szCs w:val="21"/>
        </w:rPr>
        <w:t>计票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)现场开会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名基金份额持有人担任监票人。基金管理人或基金托管人不出席大会的，不影响计票的效力及表决结果。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监票人应当在基金份额持有人表决后立即进行清点，由大会主持人当场公布计票结果。</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计票过程应由公证机关予以公证。</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)通讯方式开会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在通讯方式开会的情况下，计票方式为：由大会召集人授权的两名监督员在基金托管</w:t>
      </w:r>
      <w:r w:rsidRPr="0001503D">
        <w:rPr>
          <w:rFonts w:asciiTheme="minorEastAsia" w:eastAsiaTheme="minorEastAsia" w:hAnsiTheme="minorEastAsia" w:hint="eastAsia"/>
          <w:szCs w:val="21"/>
        </w:rPr>
        <w:lastRenderedPageBreak/>
        <w:t>人授权代表</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如果基金托管人为召集人，则为基金管理人授权代表</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9、</w:t>
      </w:r>
      <w:r w:rsidR="002F5370" w:rsidRPr="0001503D">
        <w:rPr>
          <w:rFonts w:asciiTheme="minorEastAsia" w:eastAsiaTheme="minorEastAsia" w:hAnsiTheme="minorEastAsia" w:hint="eastAsia"/>
          <w:szCs w:val="21"/>
        </w:rPr>
        <w:t>基金份额持有人大会决议报中国证监会核准或备案后的公告时间、方式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)基金份额持有人大会通过的一般决议和特别决议，召集人应当自通过之日起</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日内报中国证监会核准或者备案。基金份额持有人大会决定的事项自中国证监会依法核准或者出具无异议意见之日起生效，并在生效后方可执行。</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)生效的基金份额持有人大会决议对全体基金份额持有人、基金管理人、基金托管人均有约束力。基金管理人、基金托管人和基金份额持有人应当执行生效的基金份额持有人大会的决定。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)基金份额持有人大会决议应自生效之日起</w:t>
      </w:r>
      <w:r w:rsidR="00D145F2" w:rsidRPr="0001503D">
        <w:rPr>
          <w:rFonts w:asciiTheme="minorEastAsia" w:eastAsiaTheme="minorEastAsia" w:hAnsiTheme="minorEastAsia" w:hint="eastAsia"/>
          <w:szCs w:val="21"/>
        </w:rPr>
        <w:t>2日内在指定媒介公告</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)如果采用通讯方式进行表决，在公告基金份额持有人大会决议时，必须将公证书全文、公证机关、公证员姓名等一同公告。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0" w:name="_Toc238870141"/>
      <w:bookmarkStart w:id="261" w:name="_Toc28803622"/>
      <w:r w:rsidRPr="0001503D">
        <w:rPr>
          <w:rFonts w:asciiTheme="minorEastAsia" w:eastAsiaTheme="minorEastAsia" w:hAnsiTheme="minorEastAsia" w:hint="eastAsia"/>
          <w:b w:val="0"/>
          <w:bCs/>
        </w:rPr>
        <w:t>（五）基金合同的变更</w:t>
      </w:r>
      <w:bookmarkEnd w:id="260"/>
      <w:bookmarkEnd w:id="26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转换基金运作方式；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变更基金类别；</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3</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变更基金投资目标、投资范围或投资策略；</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变更基金份额持有人大会议事程序；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更换基金管理人、基金托管人；</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6</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提高基金管理人、基金托管人的报酬标准。但根据法律法规的要求提高该等报酬标准的除外；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7</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本基金与其他基金的合并；</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8</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9</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法律法规、基金合同或中国证监会规定的其他情形。</w:t>
      </w:r>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调低基金管理费、基金托管费；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lastRenderedPageBreak/>
        <w:t>(2)</w:t>
      </w:r>
      <w:r w:rsidRPr="0001503D">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因相应的法律法规发生变动必须对基金合同进行修改；</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基金合同的修改不涉及基金合同当事人权利义务关系发生变化；</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基金合同的修改对基金份额持有人利益无实质性不利影响；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(6)按照法律法规或基金合同规定不需召开基金份额持有人大会的其他情形。</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2" w:name="_Toc238870142"/>
      <w:bookmarkStart w:id="263" w:name="_Toc28803623"/>
      <w:r w:rsidRPr="0001503D">
        <w:rPr>
          <w:rFonts w:asciiTheme="minorEastAsia" w:eastAsiaTheme="minorEastAsia" w:hAnsiTheme="minorEastAsia" w:hint="eastAsia"/>
          <w:b w:val="0"/>
          <w:bCs/>
        </w:rPr>
        <w:t>（六）基金合同的终止</w:t>
      </w:r>
      <w:bookmarkEnd w:id="262"/>
      <w:bookmarkEnd w:id="263"/>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有下列情形之一的，基金合同经中国证监会核准后将终止：</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基金份额持有人大会决定终止的；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基金管理人职责终止，而在</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个月内没有新的基金管理人承接的；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基金托管人人职责终止，而在</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个月内没有新的基金托管人承接的；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相关法律法规和中国证监会规定的其他情况。</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4" w:name="_Toc28803624"/>
      <w:r w:rsidRPr="0001503D">
        <w:rPr>
          <w:rFonts w:asciiTheme="minorEastAsia" w:eastAsiaTheme="minorEastAsia" w:hAnsiTheme="minorEastAsia" w:hint="eastAsia"/>
          <w:b w:val="0"/>
          <w:bCs/>
        </w:rPr>
        <w:t>（七）基金财产的清算</w:t>
      </w:r>
      <w:bookmarkEnd w:id="264"/>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基金财产清算小组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基金合同终止后，成立基金清算小组，基金清算小组在中国证监会的监督下进行基金清算。</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基金财产清算程序</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基金合同终止时，由基金清算小组统一接管基金财产；</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对基金财产进行清理和确认；</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对基金财产进行估价和变现；</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制作清算报告；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聘请会计师事务所对清算报告进行审计；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6</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聘请律师事务所对清算报告出具法律意见书；</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将基金清算结果报告中国证监会；</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(8)</w:t>
      </w:r>
      <w:r w:rsidRPr="0001503D">
        <w:rPr>
          <w:rFonts w:asciiTheme="minorEastAsia" w:eastAsiaTheme="minorEastAsia" w:hAnsiTheme="minorEastAsia" w:hint="eastAsia"/>
          <w:szCs w:val="21"/>
        </w:rPr>
        <w:t>公布基金清算报告；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对基金剩余财产进行分配。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清算费用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清算费用是指基金清算小组在进行基金清算过程中发生的所有合理费用，清算费用由</w:t>
      </w:r>
      <w:r w:rsidRPr="0001503D">
        <w:rPr>
          <w:rFonts w:asciiTheme="minorEastAsia" w:eastAsiaTheme="minorEastAsia" w:hAnsiTheme="minorEastAsia" w:hint="eastAsia"/>
          <w:szCs w:val="21"/>
        </w:rPr>
        <w:lastRenderedPageBreak/>
        <w:t>基金清算小组优先从基金财产中支付。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基金财产按下列顺序清偿：</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支付清算费用；</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交纳所欠税款；</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清偿基金债务；</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按基金份额持有人持有的基金份额比例进行分配。</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基金财产未按前款</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项规定清偿前，不分配给基金份额持有人。</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5</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基金财产清算的公告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基金财产清算报告于基金合同终止并报中国证监会备案后</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个工作日内由基金清算小组公告；清算过程中的有关重大事项须及时公告；</w:t>
      </w:r>
      <w:r w:rsidRPr="0001503D">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01503D" w:rsidRDefault="002F5370" w:rsidP="009B264B">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6</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基金财产清算账册及文件的保存</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基金财产清算账册及有关文件由基金托管人保存</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年以上。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5" w:name="_Toc38437218"/>
      <w:bookmarkStart w:id="266" w:name="_Toc38437354"/>
      <w:bookmarkStart w:id="267" w:name="_Toc38437490"/>
      <w:bookmarkStart w:id="268" w:name="_Toc38437626"/>
      <w:bookmarkStart w:id="269" w:name="_Toc38437772"/>
      <w:bookmarkStart w:id="270" w:name="_Toc38437918"/>
      <w:bookmarkStart w:id="271" w:name="_Toc38438064"/>
      <w:bookmarkStart w:id="272" w:name="_Toc38438210"/>
      <w:bookmarkStart w:id="273" w:name="_Toc38438547"/>
      <w:bookmarkStart w:id="274" w:name="_Toc38438884"/>
      <w:bookmarkStart w:id="275" w:name="_Toc38439221"/>
      <w:bookmarkStart w:id="276" w:name="_Toc38439558"/>
      <w:bookmarkStart w:id="277" w:name="_Toc38439895"/>
      <w:bookmarkStart w:id="278" w:name="_Toc38440232"/>
      <w:bookmarkStart w:id="279" w:name="_Toc38440569"/>
      <w:bookmarkStart w:id="280" w:name="_Toc38440768"/>
      <w:bookmarkStart w:id="281" w:name="_Toc38441101"/>
      <w:bookmarkStart w:id="282" w:name="_Toc38441433"/>
      <w:bookmarkStart w:id="283" w:name="_Toc38441765"/>
      <w:bookmarkStart w:id="284" w:name="_Toc38442093"/>
      <w:bookmarkStart w:id="285" w:name="_Toc38442425"/>
      <w:bookmarkStart w:id="286" w:name="_Toc38442757"/>
      <w:bookmarkStart w:id="287" w:name="_Toc38443088"/>
      <w:bookmarkStart w:id="288" w:name="_Toc38443419"/>
      <w:bookmarkStart w:id="289" w:name="_Toc38443750"/>
      <w:bookmarkStart w:id="290" w:name="_Toc38433500"/>
      <w:bookmarkStart w:id="291" w:name="_Toc38433635"/>
      <w:bookmarkStart w:id="292" w:name="_Toc38433769"/>
      <w:bookmarkStart w:id="293" w:name="_Toc38433919"/>
      <w:bookmarkStart w:id="294" w:name="_Toc38434067"/>
      <w:bookmarkStart w:id="295" w:name="_Toc38434215"/>
      <w:bookmarkStart w:id="296" w:name="_Toc38434361"/>
      <w:bookmarkStart w:id="297" w:name="_Toc38434504"/>
      <w:bookmarkStart w:id="298" w:name="_Toc38434647"/>
      <w:bookmarkStart w:id="299" w:name="_Toc38434790"/>
      <w:bookmarkStart w:id="300" w:name="_Toc38434934"/>
      <w:bookmarkStart w:id="301" w:name="_Toc38437630"/>
      <w:bookmarkStart w:id="302" w:name="_Toc38437776"/>
      <w:bookmarkStart w:id="303" w:name="_Toc38437922"/>
      <w:bookmarkStart w:id="304" w:name="_Toc38438068"/>
      <w:bookmarkStart w:id="305" w:name="_Toc38438214"/>
      <w:bookmarkStart w:id="306" w:name="_Toc38438551"/>
      <w:bookmarkStart w:id="307" w:name="_Toc38438888"/>
      <w:bookmarkStart w:id="308" w:name="_Toc38439225"/>
      <w:bookmarkStart w:id="309" w:name="_Toc38439562"/>
      <w:bookmarkStart w:id="310" w:name="_Toc38439899"/>
      <w:bookmarkStart w:id="311" w:name="_Toc38440236"/>
      <w:bookmarkStart w:id="312" w:name="_Toc38440573"/>
      <w:bookmarkStart w:id="313" w:name="_Toc38440772"/>
      <w:bookmarkStart w:id="314" w:name="_Toc38441105"/>
      <w:bookmarkStart w:id="315" w:name="_Toc38441437"/>
      <w:bookmarkStart w:id="316" w:name="_Toc38441769"/>
      <w:bookmarkStart w:id="317" w:name="_Toc38442097"/>
      <w:bookmarkStart w:id="318" w:name="_Toc38442429"/>
      <w:bookmarkStart w:id="319" w:name="_Toc38442761"/>
      <w:bookmarkStart w:id="320" w:name="_Toc38443092"/>
      <w:bookmarkStart w:id="321" w:name="_Toc38443423"/>
      <w:bookmarkStart w:id="322" w:name="_Toc38443754"/>
      <w:bookmarkStart w:id="323" w:name="_Toc38433501"/>
      <w:bookmarkStart w:id="324" w:name="_Toc38433636"/>
      <w:bookmarkStart w:id="325" w:name="_Toc38433770"/>
      <w:bookmarkStart w:id="326" w:name="_Toc38433920"/>
      <w:bookmarkStart w:id="327" w:name="_Toc38434068"/>
      <w:bookmarkStart w:id="328" w:name="_Toc38434216"/>
      <w:bookmarkStart w:id="329" w:name="_Toc38434362"/>
      <w:bookmarkStart w:id="330" w:name="_Toc38434505"/>
      <w:bookmarkStart w:id="331" w:name="_Toc38434648"/>
      <w:bookmarkStart w:id="332" w:name="_Toc38434791"/>
      <w:bookmarkStart w:id="333" w:name="_Toc38434935"/>
      <w:bookmarkStart w:id="334" w:name="_Toc38437631"/>
      <w:bookmarkStart w:id="335" w:name="_Toc38437777"/>
      <w:bookmarkStart w:id="336" w:name="_Toc38437923"/>
      <w:bookmarkStart w:id="337" w:name="_Toc38438069"/>
      <w:bookmarkStart w:id="338" w:name="_Toc38438215"/>
      <w:bookmarkStart w:id="339" w:name="_Toc38438552"/>
      <w:bookmarkStart w:id="340" w:name="_Toc38438889"/>
      <w:bookmarkStart w:id="341" w:name="_Toc38439226"/>
      <w:bookmarkStart w:id="342" w:name="_Toc38439563"/>
      <w:bookmarkStart w:id="343" w:name="_Toc38439900"/>
      <w:bookmarkStart w:id="344" w:name="_Toc38440237"/>
      <w:bookmarkStart w:id="345" w:name="_Toc38440574"/>
      <w:bookmarkStart w:id="346" w:name="_Toc38440773"/>
      <w:bookmarkStart w:id="347" w:name="_Toc38441106"/>
      <w:bookmarkStart w:id="348" w:name="_Toc38441438"/>
      <w:bookmarkStart w:id="349" w:name="_Toc38441770"/>
      <w:bookmarkStart w:id="350" w:name="_Toc38442098"/>
      <w:bookmarkStart w:id="351" w:name="_Toc38442430"/>
      <w:bookmarkStart w:id="352" w:name="_Toc38442762"/>
      <w:bookmarkStart w:id="353" w:name="_Toc38443093"/>
      <w:bookmarkStart w:id="354" w:name="_Toc38443424"/>
      <w:bookmarkStart w:id="355" w:name="_Toc38443755"/>
      <w:bookmarkStart w:id="356" w:name="_Toc38433502"/>
      <w:bookmarkStart w:id="357" w:name="_Toc38433637"/>
      <w:bookmarkStart w:id="358" w:name="_Toc38433771"/>
      <w:bookmarkStart w:id="359" w:name="_Toc38433921"/>
      <w:bookmarkStart w:id="360" w:name="_Toc38434069"/>
      <w:bookmarkStart w:id="361" w:name="_Toc38434217"/>
      <w:bookmarkStart w:id="362" w:name="_Toc38434363"/>
      <w:bookmarkStart w:id="363" w:name="_Toc38434506"/>
      <w:bookmarkStart w:id="364" w:name="_Toc38434649"/>
      <w:bookmarkStart w:id="365" w:name="_Toc38434792"/>
      <w:bookmarkStart w:id="366" w:name="_Toc38434936"/>
      <w:bookmarkStart w:id="367" w:name="_Toc38437632"/>
      <w:bookmarkStart w:id="368" w:name="_Toc38437778"/>
      <w:bookmarkStart w:id="369" w:name="_Toc38437924"/>
      <w:bookmarkStart w:id="370" w:name="_Toc38438070"/>
      <w:bookmarkStart w:id="371" w:name="_Toc38438216"/>
      <w:bookmarkStart w:id="372" w:name="_Toc38438553"/>
      <w:bookmarkStart w:id="373" w:name="_Toc38438890"/>
      <w:bookmarkStart w:id="374" w:name="_Toc38439227"/>
      <w:bookmarkStart w:id="375" w:name="_Toc38439564"/>
      <w:bookmarkStart w:id="376" w:name="_Toc38439901"/>
      <w:bookmarkStart w:id="377" w:name="_Toc38440238"/>
      <w:bookmarkStart w:id="378" w:name="_Toc38440575"/>
      <w:bookmarkStart w:id="379" w:name="_Toc38440774"/>
      <w:bookmarkStart w:id="380" w:name="_Toc38441107"/>
      <w:bookmarkStart w:id="381" w:name="_Toc38441439"/>
      <w:bookmarkStart w:id="382" w:name="_Toc38441771"/>
      <w:bookmarkStart w:id="383" w:name="_Toc38442099"/>
      <w:bookmarkStart w:id="384" w:name="_Toc38442431"/>
      <w:bookmarkStart w:id="385" w:name="_Toc38442763"/>
      <w:bookmarkStart w:id="386" w:name="_Toc38443094"/>
      <w:bookmarkStart w:id="387" w:name="_Toc38443425"/>
      <w:bookmarkStart w:id="388" w:name="_Toc38443756"/>
      <w:bookmarkStart w:id="389" w:name="_Toc38433503"/>
      <w:bookmarkStart w:id="390" w:name="_Toc38433638"/>
      <w:bookmarkStart w:id="391" w:name="_Toc38433772"/>
      <w:bookmarkStart w:id="392" w:name="_Toc38433922"/>
      <w:bookmarkStart w:id="393" w:name="_Toc38434070"/>
      <w:bookmarkStart w:id="394" w:name="_Toc38434218"/>
      <w:bookmarkStart w:id="395" w:name="_Toc38434364"/>
      <w:bookmarkStart w:id="396" w:name="_Toc38434507"/>
      <w:bookmarkStart w:id="397" w:name="_Toc38434650"/>
      <w:bookmarkStart w:id="398" w:name="_Toc38434793"/>
      <w:bookmarkStart w:id="399" w:name="_Toc38434937"/>
      <w:bookmarkStart w:id="400" w:name="_Toc38437633"/>
      <w:bookmarkStart w:id="401" w:name="_Toc38437779"/>
      <w:bookmarkStart w:id="402" w:name="_Toc38437925"/>
      <w:bookmarkStart w:id="403" w:name="_Toc38438071"/>
      <w:bookmarkStart w:id="404" w:name="_Toc38438217"/>
      <w:bookmarkStart w:id="405" w:name="_Toc38438554"/>
      <w:bookmarkStart w:id="406" w:name="_Toc38438891"/>
      <w:bookmarkStart w:id="407" w:name="_Toc38439228"/>
      <w:bookmarkStart w:id="408" w:name="_Toc38439565"/>
      <w:bookmarkStart w:id="409" w:name="_Toc38439902"/>
      <w:bookmarkStart w:id="410" w:name="_Toc38440239"/>
      <w:bookmarkStart w:id="411" w:name="_Toc38440576"/>
      <w:bookmarkStart w:id="412" w:name="_Toc38440775"/>
      <w:bookmarkStart w:id="413" w:name="_Toc38441108"/>
      <w:bookmarkStart w:id="414" w:name="_Toc38441440"/>
      <w:bookmarkStart w:id="415" w:name="_Toc38441772"/>
      <w:bookmarkStart w:id="416" w:name="_Toc38442100"/>
      <w:bookmarkStart w:id="417" w:name="_Toc38442432"/>
      <w:bookmarkStart w:id="418" w:name="_Toc38442764"/>
      <w:bookmarkStart w:id="419" w:name="_Toc38443095"/>
      <w:bookmarkStart w:id="420" w:name="_Toc38443426"/>
      <w:bookmarkStart w:id="421" w:name="_Toc38443757"/>
      <w:bookmarkStart w:id="422" w:name="_Toc38433504"/>
      <w:bookmarkStart w:id="423" w:name="_Toc38433639"/>
      <w:bookmarkStart w:id="424" w:name="_Toc38433773"/>
      <w:bookmarkStart w:id="425" w:name="_Toc38433923"/>
      <w:bookmarkStart w:id="426" w:name="_Toc38434071"/>
      <w:bookmarkStart w:id="427" w:name="_Toc38434219"/>
      <w:bookmarkStart w:id="428" w:name="_Toc38434365"/>
      <w:bookmarkStart w:id="429" w:name="_Toc38434508"/>
      <w:bookmarkStart w:id="430" w:name="_Toc38434651"/>
      <w:bookmarkStart w:id="431" w:name="_Toc38434794"/>
      <w:bookmarkStart w:id="432" w:name="_Toc38434938"/>
      <w:bookmarkStart w:id="433" w:name="_Toc38437634"/>
      <w:bookmarkStart w:id="434" w:name="_Toc38437780"/>
      <w:bookmarkStart w:id="435" w:name="_Toc38437926"/>
      <w:bookmarkStart w:id="436" w:name="_Toc38438072"/>
      <w:bookmarkStart w:id="437" w:name="_Toc38438218"/>
      <w:bookmarkStart w:id="438" w:name="_Toc38438555"/>
      <w:bookmarkStart w:id="439" w:name="_Toc38438892"/>
      <w:bookmarkStart w:id="440" w:name="_Toc38439229"/>
      <w:bookmarkStart w:id="441" w:name="_Toc38439566"/>
      <w:bookmarkStart w:id="442" w:name="_Toc38439903"/>
      <w:bookmarkStart w:id="443" w:name="_Toc38440240"/>
      <w:bookmarkStart w:id="444" w:name="_Toc38440577"/>
      <w:bookmarkStart w:id="445" w:name="_Toc38440776"/>
      <w:bookmarkStart w:id="446" w:name="_Toc38441109"/>
      <w:bookmarkStart w:id="447" w:name="_Toc38441441"/>
      <w:bookmarkStart w:id="448" w:name="_Toc38441773"/>
      <w:bookmarkStart w:id="449" w:name="_Toc38442101"/>
      <w:bookmarkStart w:id="450" w:name="_Toc38442433"/>
      <w:bookmarkStart w:id="451" w:name="_Toc38442765"/>
      <w:bookmarkStart w:id="452" w:name="_Toc38443096"/>
      <w:bookmarkStart w:id="453" w:name="_Toc38443427"/>
      <w:bookmarkStart w:id="454" w:name="_Toc38443758"/>
      <w:bookmarkStart w:id="455" w:name="_Toc38433505"/>
      <w:bookmarkStart w:id="456" w:name="_Toc38433640"/>
      <w:bookmarkStart w:id="457" w:name="_Toc38433774"/>
      <w:bookmarkStart w:id="458" w:name="_Toc38433924"/>
      <w:bookmarkStart w:id="459" w:name="_Toc38434072"/>
      <w:bookmarkStart w:id="460" w:name="_Toc38434220"/>
      <w:bookmarkStart w:id="461" w:name="_Toc38434366"/>
      <w:bookmarkStart w:id="462" w:name="_Toc38434509"/>
      <w:bookmarkStart w:id="463" w:name="_Toc38434652"/>
      <w:bookmarkStart w:id="464" w:name="_Toc38434795"/>
      <w:bookmarkStart w:id="465" w:name="_Toc38434939"/>
      <w:bookmarkStart w:id="466" w:name="_Toc38437635"/>
      <w:bookmarkStart w:id="467" w:name="_Toc38437781"/>
      <w:bookmarkStart w:id="468" w:name="_Toc38437927"/>
      <w:bookmarkStart w:id="469" w:name="_Toc38438073"/>
      <w:bookmarkStart w:id="470" w:name="_Toc38438219"/>
      <w:bookmarkStart w:id="471" w:name="_Toc38438556"/>
      <w:bookmarkStart w:id="472" w:name="_Toc38438893"/>
      <w:bookmarkStart w:id="473" w:name="_Toc38439230"/>
      <w:bookmarkStart w:id="474" w:name="_Toc38439567"/>
      <w:bookmarkStart w:id="475" w:name="_Toc38439904"/>
      <w:bookmarkStart w:id="476" w:name="_Toc38440241"/>
      <w:bookmarkStart w:id="477" w:name="_Toc38440578"/>
      <w:bookmarkStart w:id="478" w:name="_Toc38440777"/>
      <w:bookmarkStart w:id="479" w:name="_Toc38441110"/>
      <w:bookmarkStart w:id="480" w:name="_Toc38441442"/>
      <w:bookmarkStart w:id="481" w:name="_Toc38441774"/>
      <w:bookmarkStart w:id="482" w:name="_Toc38442102"/>
      <w:bookmarkStart w:id="483" w:name="_Toc38442434"/>
      <w:bookmarkStart w:id="484" w:name="_Toc38442766"/>
      <w:bookmarkStart w:id="485" w:name="_Toc38443097"/>
      <w:bookmarkStart w:id="486" w:name="_Toc38443428"/>
      <w:bookmarkStart w:id="487" w:name="_Toc38443759"/>
      <w:bookmarkStart w:id="488" w:name="_Toc38433506"/>
      <w:bookmarkStart w:id="489" w:name="_Toc38433641"/>
      <w:bookmarkStart w:id="490" w:name="_Toc38433775"/>
      <w:bookmarkStart w:id="491" w:name="_Toc38433925"/>
      <w:bookmarkStart w:id="492" w:name="_Toc38434073"/>
      <w:bookmarkStart w:id="493" w:name="_Toc38434221"/>
      <w:bookmarkStart w:id="494" w:name="_Toc38434367"/>
      <w:bookmarkStart w:id="495" w:name="_Toc38434510"/>
      <w:bookmarkStart w:id="496" w:name="_Toc38434653"/>
      <w:bookmarkStart w:id="497" w:name="_Toc38434796"/>
      <w:bookmarkStart w:id="498" w:name="_Toc38434940"/>
      <w:bookmarkStart w:id="499" w:name="_Toc38437636"/>
      <w:bookmarkStart w:id="500" w:name="_Toc38437782"/>
      <w:bookmarkStart w:id="501" w:name="_Toc38437928"/>
      <w:bookmarkStart w:id="502" w:name="_Toc38438074"/>
      <w:bookmarkStart w:id="503" w:name="_Toc38438220"/>
      <w:bookmarkStart w:id="504" w:name="_Toc38438557"/>
      <w:bookmarkStart w:id="505" w:name="_Toc38438894"/>
      <w:bookmarkStart w:id="506" w:name="_Toc38439231"/>
      <w:bookmarkStart w:id="507" w:name="_Toc38439568"/>
      <w:bookmarkStart w:id="508" w:name="_Toc38439905"/>
      <w:bookmarkStart w:id="509" w:name="_Toc38440242"/>
      <w:bookmarkStart w:id="510" w:name="_Toc38440579"/>
      <w:bookmarkStart w:id="511" w:name="_Toc38440778"/>
      <w:bookmarkStart w:id="512" w:name="_Toc38441111"/>
      <w:bookmarkStart w:id="513" w:name="_Toc38441443"/>
      <w:bookmarkStart w:id="514" w:name="_Toc38441775"/>
      <w:bookmarkStart w:id="515" w:name="_Toc38442103"/>
      <w:bookmarkStart w:id="516" w:name="_Toc38442435"/>
      <w:bookmarkStart w:id="517" w:name="_Toc38442767"/>
      <w:bookmarkStart w:id="518" w:name="_Toc38443098"/>
      <w:bookmarkStart w:id="519" w:name="_Toc38443429"/>
      <w:bookmarkStart w:id="520" w:name="_Toc38443760"/>
      <w:bookmarkStart w:id="521" w:name="_Toc38433507"/>
      <w:bookmarkStart w:id="522" w:name="_Toc38433642"/>
      <w:bookmarkStart w:id="523" w:name="_Toc38433776"/>
      <w:bookmarkStart w:id="524" w:name="_Toc38433926"/>
      <w:bookmarkStart w:id="525" w:name="_Toc38434074"/>
      <w:bookmarkStart w:id="526" w:name="_Toc38434222"/>
      <w:bookmarkStart w:id="527" w:name="_Toc38434368"/>
      <w:bookmarkStart w:id="528" w:name="_Toc38434511"/>
      <w:bookmarkStart w:id="529" w:name="_Toc38434654"/>
      <w:bookmarkStart w:id="530" w:name="_Toc38434797"/>
      <w:bookmarkStart w:id="531" w:name="_Toc38434941"/>
      <w:bookmarkStart w:id="532" w:name="_Toc38437637"/>
      <w:bookmarkStart w:id="533" w:name="_Toc38437783"/>
      <w:bookmarkStart w:id="534" w:name="_Toc38437929"/>
      <w:bookmarkStart w:id="535" w:name="_Toc38438075"/>
      <w:bookmarkStart w:id="536" w:name="_Toc38438221"/>
      <w:bookmarkStart w:id="537" w:name="_Toc38438558"/>
      <w:bookmarkStart w:id="538" w:name="_Toc38438895"/>
      <w:bookmarkStart w:id="539" w:name="_Toc38439232"/>
      <w:bookmarkStart w:id="540" w:name="_Toc38439569"/>
      <w:bookmarkStart w:id="541" w:name="_Toc38439906"/>
      <w:bookmarkStart w:id="542" w:name="_Toc38440243"/>
      <w:bookmarkStart w:id="543" w:name="_Toc38440580"/>
      <w:bookmarkStart w:id="544" w:name="_Toc38440779"/>
      <w:bookmarkStart w:id="545" w:name="_Toc38441112"/>
      <w:bookmarkStart w:id="546" w:name="_Toc38441444"/>
      <w:bookmarkStart w:id="547" w:name="_Toc38441776"/>
      <w:bookmarkStart w:id="548" w:name="_Toc38442104"/>
      <w:bookmarkStart w:id="549" w:name="_Toc38442436"/>
      <w:bookmarkStart w:id="550" w:name="_Toc38442768"/>
      <w:bookmarkStart w:id="551" w:name="_Toc38443099"/>
      <w:bookmarkStart w:id="552" w:name="_Toc38443430"/>
      <w:bookmarkStart w:id="553" w:name="_Toc38443761"/>
      <w:bookmarkStart w:id="554" w:name="_Toc38433508"/>
      <w:bookmarkStart w:id="555" w:name="_Toc38433643"/>
      <w:bookmarkStart w:id="556" w:name="_Toc38433777"/>
      <w:bookmarkStart w:id="557" w:name="_Toc38433927"/>
      <w:bookmarkStart w:id="558" w:name="_Toc38434075"/>
      <w:bookmarkStart w:id="559" w:name="_Toc38434223"/>
      <w:bookmarkStart w:id="560" w:name="_Toc38434369"/>
      <w:bookmarkStart w:id="561" w:name="_Toc38434512"/>
      <w:bookmarkStart w:id="562" w:name="_Toc38434655"/>
      <w:bookmarkStart w:id="563" w:name="_Toc38434798"/>
      <w:bookmarkStart w:id="564" w:name="_Toc38434942"/>
      <w:bookmarkStart w:id="565" w:name="_Toc38437638"/>
      <w:bookmarkStart w:id="566" w:name="_Toc38437784"/>
      <w:bookmarkStart w:id="567" w:name="_Toc38437930"/>
      <w:bookmarkStart w:id="568" w:name="_Toc38438076"/>
      <w:bookmarkStart w:id="569" w:name="_Toc38438222"/>
      <w:bookmarkStart w:id="570" w:name="_Toc38438559"/>
      <w:bookmarkStart w:id="571" w:name="_Toc38438896"/>
      <w:bookmarkStart w:id="572" w:name="_Toc38439233"/>
      <w:bookmarkStart w:id="573" w:name="_Toc38439570"/>
      <w:bookmarkStart w:id="574" w:name="_Toc38439907"/>
      <w:bookmarkStart w:id="575" w:name="_Toc38440244"/>
      <w:bookmarkStart w:id="576" w:name="_Toc38440581"/>
      <w:bookmarkStart w:id="577" w:name="_Toc38440780"/>
      <w:bookmarkStart w:id="578" w:name="_Toc38441113"/>
      <w:bookmarkStart w:id="579" w:name="_Toc38441445"/>
      <w:bookmarkStart w:id="580" w:name="_Toc38441777"/>
      <w:bookmarkStart w:id="581" w:name="_Toc38442105"/>
      <w:bookmarkStart w:id="582" w:name="_Toc38442437"/>
      <w:bookmarkStart w:id="583" w:name="_Toc38442769"/>
      <w:bookmarkStart w:id="584" w:name="_Toc38443100"/>
      <w:bookmarkStart w:id="585" w:name="_Toc38443431"/>
      <w:bookmarkStart w:id="586" w:name="_Toc38443762"/>
      <w:bookmarkStart w:id="587" w:name="_Toc38433510"/>
      <w:bookmarkStart w:id="588" w:name="_Toc38433645"/>
      <w:bookmarkStart w:id="589" w:name="_Toc38433779"/>
      <w:bookmarkStart w:id="590" w:name="_Toc38433929"/>
      <w:bookmarkStart w:id="591" w:name="_Toc38434077"/>
      <w:bookmarkStart w:id="592" w:name="_Toc38434225"/>
      <w:bookmarkStart w:id="593" w:name="_Toc38434371"/>
      <w:bookmarkStart w:id="594" w:name="_Toc38434514"/>
      <w:bookmarkStart w:id="595" w:name="_Toc38434657"/>
      <w:bookmarkStart w:id="596" w:name="_Toc38434800"/>
      <w:bookmarkStart w:id="597" w:name="_Toc38434944"/>
      <w:bookmarkStart w:id="598" w:name="_Toc38437640"/>
      <w:bookmarkStart w:id="599" w:name="_Toc38437786"/>
      <w:bookmarkStart w:id="600" w:name="_Toc38437932"/>
      <w:bookmarkStart w:id="601" w:name="_Toc38438078"/>
      <w:bookmarkStart w:id="602" w:name="_Toc38438224"/>
      <w:bookmarkStart w:id="603" w:name="_Toc38438561"/>
      <w:bookmarkStart w:id="604" w:name="_Toc38438898"/>
      <w:bookmarkStart w:id="605" w:name="_Toc38439235"/>
      <w:bookmarkStart w:id="606" w:name="_Toc38439572"/>
      <w:bookmarkStart w:id="607" w:name="_Toc38439909"/>
      <w:bookmarkStart w:id="608" w:name="_Toc38440246"/>
      <w:bookmarkStart w:id="609" w:name="_Toc38440583"/>
      <w:bookmarkStart w:id="610" w:name="_Toc38440782"/>
      <w:bookmarkStart w:id="611" w:name="_Toc38441115"/>
      <w:bookmarkStart w:id="612" w:name="_Toc38441447"/>
      <w:bookmarkStart w:id="613" w:name="_Toc38441779"/>
      <w:bookmarkStart w:id="614" w:name="_Toc38442107"/>
      <w:bookmarkStart w:id="615" w:name="_Toc38442439"/>
      <w:bookmarkStart w:id="616" w:name="_Toc38442771"/>
      <w:bookmarkStart w:id="617" w:name="_Toc38443102"/>
      <w:bookmarkStart w:id="618" w:name="_Toc38443433"/>
      <w:bookmarkStart w:id="619" w:name="_Toc38443764"/>
      <w:bookmarkStart w:id="620" w:name="_Toc13148353"/>
      <w:bookmarkStart w:id="621" w:name="_Toc13150581"/>
      <w:bookmarkStart w:id="622" w:name="_Toc13291966"/>
      <w:bookmarkStart w:id="623" w:name="_Toc13504692"/>
      <w:bookmarkStart w:id="624" w:name="_Toc13504808"/>
      <w:bookmarkStart w:id="625" w:name="_Toc13556301"/>
      <w:bookmarkStart w:id="626" w:name="_Toc14337423"/>
      <w:bookmarkStart w:id="627" w:name="_Toc13148354"/>
      <w:bookmarkStart w:id="628" w:name="_Toc13150582"/>
      <w:bookmarkStart w:id="629" w:name="_Toc13291967"/>
      <w:bookmarkStart w:id="630" w:name="_Toc13504693"/>
      <w:bookmarkStart w:id="631" w:name="_Toc13504809"/>
      <w:bookmarkStart w:id="632" w:name="_Toc13556302"/>
      <w:bookmarkStart w:id="633" w:name="_Toc14337424"/>
      <w:bookmarkStart w:id="634" w:name="_Toc13148355"/>
      <w:bookmarkStart w:id="635" w:name="_Toc13150583"/>
      <w:bookmarkStart w:id="636" w:name="_Toc13291968"/>
      <w:bookmarkStart w:id="637" w:name="_Toc13504694"/>
      <w:bookmarkStart w:id="638" w:name="_Toc13504810"/>
      <w:bookmarkStart w:id="639" w:name="_Toc13556303"/>
      <w:bookmarkStart w:id="640" w:name="_Toc14337425"/>
      <w:bookmarkStart w:id="641" w:name="_Toc13148356"/>
      <w:bookmarkStart w:id="642" w:name="_Toc13150584"/>
      <w:bookmarkStart w:id="643" w:name="_Toc13291969"/>
      <w:bookmarkStart w:id="644" w:name="_Toc13504695"/>
      <w:bookmarkStart w:id="645" w:name="_Toc13504811"/>
      <w:bookmarkStart w:id="646" w:name="_Toc13556304"/>
      <w:bookmarkStart w:id="647" w:name="_Toc14337426"/>
      <w:bookmarkStart w:id="648" w:name="_Toc13148357"/>
      <w:bookmarkStart w:id="649" w:name="_Toc13150585"/>
      <w:bookmarkStart w:id="650" w:name="_Toc13291970"/>
      <w:bookmarkStart w:id="651" w:name="_Toc13504696"/>
      <w:bookmarkStart w:id="652" w:name="_Toc13504812"/>
      <w:bookmarkStart w:id="653" w:name="_Toc13556305"/>
      <w:bookmarkStart w:id="654" w:name="_Toc14337427"/>
      <w:bookmarkStart w:id="655" w:name="_Toc13148358"/>
      <w:bookmarkStart w:id="656" w:name="_Toc13150586"/>
      <w:bookmarkStart w:id="657" w:name="_Toc13291971"/>
      <w:bookmarkStart w:id="658" w:name="_Toc13504697"/>
      <w:bookmarkStart w:id="659" w:name="_Toc13504813"/>
      <w:bookmarkStart w:id="660" w:name="_Toc13556306"/>
      <w:bookmarkStart w:id="661" w:name="_Toc14337428"/>
      <w:bookmarkStart w:id="662" w:name="_Toc13148359"/>
      <w:bookmarkStart w:id="663" w:name="_Toc13150587"/>
      <w:bookmarkStart w:id="664" w:name="_Toc13291972"/>
      <w:bookmarkStart w:id="665" w:name="_Toc13504698"/>
      <w:bookmarkStart w:id="666" w:name="_Toc13504814"/>
      <w:bookmarkStart w:id="667" w:name="_Toc13556307"/>
      <w:bookmarkStart w:id="668" w:name="_Toc14337429"/>
      <w:bookmarkStart w:id="669" w:name="_Toc13148360"/>
      <w:bookmarkStart w:id="670" w:name="_Toc13150588"/>
      <w:bookmarkStart w:id="671" w:name="_Toc13291973"/>
      <w:bookmarkStart w:id="672" w:name="_Toc13504699"/>
      <w:bookmarkStart w:id="673" w:name="_Toc13504815"/>
      <w:bookmarkStart w:id="674" w:name="_Toc13556308"/>
      <w:bookmarkStart w:id="675" w:name="_Toc14337430"/>
      <w:bookmarkStart w:id="676" w:name="_Toc13148361"/>
      <w:bookmarkStart w:id="677" w:name="_Toc13150589"/>
      <w:bookmarkStart w:id="678" w:name="_Toc13291974"/>
      <w:bookmarkStart w:id="679" w:name="_Toc13504700"/>
      <w:bookmarkStart w:id="680" w:name="_Toc13504816"/>
      <w:bookmarkStart w:id="681" w:name="_Toc13556309"/>
      <w:bookmarkStart w:id="682" w:name="_Toc14337431"/>
      <w:bookmarkStart w:id="683" w:name="_Toc13148362"/>
      <w:bookmarkStart w:id="684" w:name="_Toc13150590"/>
      <w:bookmarkStart w:id="685" w:name="_Toc13291975"/>
      <w:bookmarkStart w:id="686" w:name="_Toc13504701"/>
      <w:bookmarkStart w:id="687" w:name="_Toc13504817"/>
      <w:bookmarkStart w:id="688" w:name="_Toc13556310"/>
      <w:bookmarkStart w:id="689" w:name="_Toc14337432"/>
      <w:bookmarkStart w:id="690" w:name="_Toc13148369"/>
      <w:bookmarkStart w:id="691" w:name="_Toc13150597"/>
      <w:bookmarkStart w:id="692" w:name="_Toc13291982"/>
      <w:bookmarkStart w:id="693" w:name="_Toc13504708"/>
      <w:bookmarkStart w:id="694" w:name="_Toc13504824"/>
      <w:bookmarkStart w:id="695" w:name="_Toc13556317"/>
      <w:bookmarkStart w:id="696" w:name="_Toc14337439"/>
      <w:bookmarkStart w:id="697" w:name="_Toc13148370"/>
      <w:bookmarkStart w:id="698" w:name="_Toc13150598"/>
      <w:bookmarkStart w:id="699" w:name="_Toc13291983"/>
      <w:bookmarkStart w:id="700" w:name="_Toc13504709"/>
      <w:bookmarkStart w:id="701" w:name="_Toc13504825"/>
      <w:bookmarkStart w:id="702" w:name="_Toc13556318"/>
      <w:bookmarkStart w:id="703" w:name="_Toc14337440"/>
      <w:bookmarkStart w:id="704" w:name="_Toc13148371"/>
      <w:bookmarkStart w:id="705" w:name="_Toc13150599"/>
      <w:bookmarkStart w:id="706" w:name="_Toc13291984"/>
      <w:bookmarkStart w:id="707" w:name="_Toc13504710"/>
      <w:bookmarkStart w:id="708" w:name="_Toc13504826"/>
      <w:bookmarkStart w:id="709" w:name="_Toc13556319"/>
      <w:bookmarkStart w:id="710" w:name="_Toc14337441"/>
      <w:bookmarkStart w:id="711" w:name="_Toc13148372"/>
      <w:bookmarkStart w:id="712" w:name="_Toc13150600"/>
      <w:bookmarkStart w:id="713" w:name="_Toc13291985"/>
      <w:bookmarkStart w:id="714" w:name="_Toc13504711"/>
      <w:bookmarkStart w:id="715" w:name="_Toc13504827"/>
      <w:bookmarkStart w:id="716" w:name="_Toc13556320"/>
      <w:bookmarkStart w:id="717" w:name="_Toc14337442"/>
      <w:bookmarkStart w:id="718" w:name="_Toc13148373"/>
      <w:bookmarkStart w:id="719" w:name="_Toc13150601"/>
      <w:bookmarkStart w:id="720" w:name="_Toc13291986"/>
      <w:bookmarkStart w:id="721" w:name="_Toc13504712"/>
      <w:bookmarkStart w:id="722" w:name="_Toc13504828"/>
      <w:bookmarkStart w:id="723" w:name="_Toc13556321"/>
      <w:bookmarkStart w:id="724" w:name="_Toc14337443"/>
      <w:bookmarkStart w:id="725" w:name="_Toc13148374"/>
      <w:bookmarkStart w:id="726" w:name="_Toc13150602"/>
      <w:bookmarkStart w:id="727" w:name="_Toc13291987"/>
      <w:bookmarkStart w:id="728" w:name="_Toc13504713"/>
      <w:bookmarkStart w:id="729" w:name="_Toc13504829"/>
      <w:bookmarkStart w:id="730" w:name="_Toc13556322"/>
      <w:bookmarkStart w:id="731" w:name="_Toc14337444"/>
      <w:bookmarkStart w:id="732" w:name="_Toc13148376"/>
      <w:bookmarkStart w:id="733" w:name="_Toc13150604"/>
      <w:bookmarkStart w:id="734" w:name="_Toc13291989"/>
      <w:bookmarkStart w:id="735" w:name="_Toc13504715"/>
      <w:bookmarkStart w:id="736" w:name="_Toc13504831"/>
      <w:bookmarkStart w:id="737" w:name="_Toc13556324"/>
      <w:bookmarkStart w:id="738" w:name="_Toc14337446"/>
      <w:bookmarkStart w:id="739" w:name="_Toc13148377"/>
      <w:bookmarkStart w:id="740" w:name="_Toc13150605"/>
      <w:bookmarkStart w:id="741" w:name="_Toc13291990"/>
      <w:bookmarkStart w:id="742" w:name="_Toc13504716"/>
      <w:bookmarkStart w:id="743" w:name="_Toc13504832"/>
      <w:bookmarkStart w:id="744" w:name="_Toc13556325"/>
      <w:bookmarkStart w:id="745" w:name="_Toc14337447"/>
      <w:bookmarkStart w:id="746" w:name="_Toc13148379"/>
      <w:bookmarkStart w:id="747" w:name="_Toc13150607"/>
      <w:bookmarkStart w:id="748" w:name="_Toc13291992"/>
      <w:bookmarkStart w:id="749" w:name="_Toc13504718"/>
      <w:bookmarkStart w:id="750" w:name="_Toc13504834"/>
      <w:bookmarkStart w:id="751" w:name="_Toc13556327"/>
      <w:bookmarkStart w:id="752" w:name="_Toc14337449"/>
      <w:bookmarkStart w:id="753" w:name="_Toc13148381"/>
      <w:bookmarkStart w:id="754" w:name="_Toc13150609"/>
      <w:bookmarkStart w:id="755" w:name="_Toc13291994"/>
      <w:bookmarkStart w:id="756" w:name="_Toc13504720"/>
      <w:bookmarkStart w:id="757" w:name="_Toc13504836"/>
      <w:bookmarkStart w:id="758" w:name="_Toc13556329"/>
      <w:bookmarkStart w:id="759" w:name="_Toc14337451"/>
      <w:bookmarkStart w:id="760" w:name="_Toc13148384"/>
      <w:bookmarkStart w:id="761" w:name="_Toc13150612"/>
      <w:bookmarkStart w:id="762" w:name="_Toc13291997"/>
      <w:bookmarkStart w:id="763" w:name="_Toc13504723"/>
      <w:bookmarkStart w:id="764" w:name="_Toc13504839"/>
      <w:bookmarkStart w:id="765" w:name="_Toc13556332"/>
      <w:bookmarkStart w:id="766" w:name="_Toc14337454"/>
      <w:bookmarkStart w:id="767" w:name="_Toc13148385"/>
      <w:bookmarkStart w:id="768" w:name="_Toc13150613"/>
      <w:bookmarkStart w:id="769" w:name="_Toc13291998"/>
      <w:bookmarkStart w:id="770" w:name="_Toc13504724"/>
      <w:bookmarkStart w:id="771" w:name="_Toc13504840"/>
      <w:bookmarkStart w:id="772" w:name="_Toc13556333"/>
      <w:bookmarkStart w:id="773" w:name="_Toc14337455"/>
      <w:bookmarkStart w:id="774" w:name="_Toc13148390"/>
      <w:bookmarkStart w:id="775" w:name="_Toc13150618"/>
      <w:bookmarkStart w:id="776" w:name="_Toc13292003"/>
      <w:bookmarkStart w:id="777" w:name="_Toc13504729"/>
      <w:bookmarkStart w:id="778" w:name="_Toc13504845"/>
      <w:bookmarkStart w:id="779" w:name="_Toc13556338"/>
      <w:bookmarkStart w:id="780" w:name="_Toc14337460"/>
      <w:bookmarkStart w:id="781" w:name="_Toc13148391"/>
      <w:bookmarkStart w:id="782" w:name="_Toc13150619"/>
      <w:bookmarkStart w:id="783" w:name="_Toc13292004"/>
      <w:bookmarkStart w:id="784" w:name="_Toc13504730"/>
      <w:bookmarkStart w:id="785" w:name="_Toc13504846"/>
      <w:bookmarkStart w:id="786" w:name="_Toc13556339"/>
      <w:bookmarkStart w:id="787" w:name="_Toc14337461"/>
      <w:bookmarkStart w:id="788" w:name="_Toc13148392"/>
      <w:bookmarkStart w:id="789" w:name="_Toc13150620"/>
      <w:bookmarkStart w:id="790" w:name="_Toc13292005"/>
      <w:bookmarkStart w:id="791" w:name="_Toc13504731"/>
      <w:bookmarkStart w:id="792" w:name="_Toc13504847"/>
      <w:bookmarkStart w:id="793" w:name="_Toc13556340"/>
      <w:bookmarkStart w:id="794" w:name="_Toc14337462"/>
      <w:bookmarkStart w:id="795" w:name="_Toc13148393"/>
      <w:bookmarkStart w:id="796" w:name="_Toc13150621"/>
      <w:bookmarkStart w:id="797" w:name="_Toc13292006"/>
      <w:bookmarkStart w:id="798" w:name="_Toc13504732"/>
      <w:bookmarkStart w:id="799" w:name="_Toc13504848"/>
      <w:bookmarkStart w:id="800" w:name="_Toc13556341"/>
      <w:bookmarkStart w:id="801" w:name="_Toc14337463"/>
      <w:bookmarkStart w:id="802" w:name="_Toc13148394"/>
      <w:bookmarkStart w:id="803" w:name="_Toc13150622"/>
      <w:bookmarkStart w:id="804" w:name="_Toc13292007"/>
      <w:bookmarkStart w:id="805" w:name="_Toc13504733"/>
      <w:bookmarkStart w:id="806" w:name="_Toc13504849"/>
      <w:bookmarkStart w:id="807" w:name="_Toc13556342"/>
      <w:bookmarkStart w:id="808" w:name="_Toc14337464"/>
      <w:bookmarkStart w:id="809" w:name="_Toc13148395"/>
      <w:bookmarkStart w:id="810" w:name="_Toc13150623"/>
      <w:bookmarkStart w:id="811" w:name="_Toc13292008"/>
      <w:bookmarkStart w:id="812" w:name="_Toc13504734"/>
      <w:bookmarkStart w:id="813" w:name="_Toc13504850"/>
      <w:bookmarkStart w:id="814" w:name="_Toc13556343"/>
      <w:bookmarkStart w:id="815" w:name="_Toc14337465"/>
      <w:bookmarkStart w:id="816" w:name="_Toc13148396"/>
      <w:bookmarkStart w:id="817" w:name="_Toc13150624"/>
      <w:bookmarkStart w:id="818" w:name="_Toc13292009"/>
      <w:bookmarkStart w:id="819" w:name="_Toc13504735"/>
      <w:bookmarkStart w:id="820" w:name="_Toc13504851"/>
      <w:bookmarkStart w:id="821" w:name="_Toc13556344"/>
      <w:bookmarkStart w:id="822" w:name="_Toc14337466"/>
      <w:bookmarkStart w:id="823" w:name="_Toc13148397"/>
      <w:bookmarkStart w:id="824" w:name="_Toc13150625"/>
      <w:bookmarkStart w:id="825" w:name="_Toc13292010"/>
      <w:bookmarkStart w:id="826" w:name="_Toc13504736"/>
      <w:bookmarkStart w:id="827" w:name="_Toc13504852"/>
      <w:bookmarkStart w:id="828" w:name="_Toc13556345"/>
      <w:bookmarkStart w:id="829" w:name="_Toc14337467"/>
      <w:bookmarkStart w:id="830" w:name="_Toc13148398"/>
      <w:bookmarkStart w:id="831" w:name="_Toc13150626"/>
      <w:bookmarkStart w:id="832" w:name="_Toc13292011"/>
      <w:bookmarkStart w:id="833" w:name="_Toc13504737"/>
      <w:bookmarkStart w:id="834" w:name="_Toc13504853"/>
      <w:bookmarkStart w:id="835" w:name="_Toc13556346"/>
      <w:bookmarkStart w:id="836" w:name="_Toc14337468"/>
      <w:bookmarkStart w:id="837" w:name="_Toc13148399"/>
      <w:bookmarkStart w:id="838" w:name="_Toc13150627"/>
      <w:bookmarkStart w:id="839" w:name="_Toc13292012"/>
      <w:bookmarkStart w:id="840" w:name="_Toc13504738"/>
      <w:bookmarkStart w:id="841" w:name="_Toc13504854"/>
      <w:bookmarkStart w:id="842" w:name="_Toc13556347"/>
      <w:bookmarkStart w:id="843" w:name="_Toc14337469"/>
      <w:bookmarkStart w:id="844" w:name="_Toc13148400"/>
      <w:bookmarkStart w:id="845" w:name="_Toc13150628"/>
      <w:bookmarkStart w:id="846" w:name="_Toc13292013"/>
      <w:bookmarkStart w:id="847" w:name="_Toc13504739"/>
      <w:bookmarkStart w:id="848" w:name="_Toc13504855"/>
      <w:bookmarkStart w:id="849" w:name="_Toc13556348"/>
      <w:bookmarkStart w:id="850" w:name="_Toc14337470"/>
      <w:bookmarkStart w:id="851" w:name="_Toc13148401"/>
      <w:bookmarkStart w:id="852" w:name="_Toc13150629"/>
      <w:bookmarkStart w:id="853" w:name="_Toc13292014"/>
      <w:bookmarkStart w:id="854" w:name="_Toc13504740"/>
      <w:bookmarkStart w:id="855" w:name="_Toc13504856"/>
      <w:bookmarkStart w:id="856" w:name="_Toc13556349"/>
      <w:bookmarkStart w:id="857" w:name="_Toc14337471"/>
      <w:bookmarkStart w:id="858" w:name="_Toc13148402"/>
      <w:bookmarkStart w:id="859" w:name="_Toc13150630"/>
      <w:bookmarkStart w:id="860" w:name="_Toc13292015"/>
      <w:bookmarkStart w:id="861" w:name="_Toc13504741"/>
      <w:bookmarkStart w:id="862" w:name="_Toc13504857"/>
      <w:bookmarkStart w:id="863" w:name="_Toc13556350"/>
      <w:bookmarkStart w:id="864" w:name="_Toc14337472"/>
      <w:bookmarkStart w:id="865" w:name="_Toc13148408"/>
      <w:bookmarkStart w:id="866" w:name="_Toc13150636"/>
      <w:bookmarkStart w:id="867" w:name="_Toc13292021"/>
      <w:bookmarkStart w:id="868" w:name="_Toc13504747"/>
      <w:bookmarkStart w:id="869" w:name="_Toc13504863"/>
      <w:bookmarkStart w:id="870" w:name="_Toc13556356"/>
      <w:bookmarkStart w:id="871" w:name="_Toc14337478"/>
      <w:bookmarkStart w:id="872" w:name="_Toc13148409"/>
      <w:bookmarkStart w:id="873" w:name="_Toc13150637"/>
      <w:bookmarkStart w:id="874" w:name="_Toc13292022"/>
      <w:bookmarkStart w:id="875" w:name="_Toc13504748"/>
      <w:bookmarkStart w:id="876" w:name="_Toc13504864"/>
      <w:bookmarkStart w:id="877" w:name="_Toc13556357"/>
      <w:bookmarkStart w:id="878" w:name="_Toc14337479"/>
      <w:bookmarkStart w:id="879" w:name="_Toc13148411"/>
      <w:bookmarkStart w:id="880" w:name="_Toc13150639"/>
      <w:bookmarkStart w:id="881" w:name="_Toc13292024"/>
      <w:bookmarkStart w:id="882" w:name="_Toc13504750"/>
      <w:bookmarkStart w:id="883" w:name="_Toc13504866"/>
      <w:bookmarkStart w:id="884" w:name="_Toc13556359"/>
      <w:bookmarkStart w:id="885" w:name="_Toc14337481"/>
      <w:bookmarkStart w:id="886" w:name="_Toc13148412"/>
      <w:bookmarkStart w:id="887" w:name="_Toc13150640"/>
      <w:bookmarkStart w:id="888" w:name="_Toc13292025"/>
      <w:bookmarkStart w:id="889" w:name="_Toc13504751"/>
      <w:bookmarkStart w:id="890" w:name="_Toc13504867"/>
      <w:bookmarkStart w:id="891" w:name="_Toc13556360"/>
      <w:bookmarkStart w:id="892" w:name="_Toc14337482"/>
      <w:bookmarkStart w:id="893" w:name="_Toc13148413"/>
      <w:bookmarkStart w:id="894" w:name="_Toc13150641"/>
      <w:bookmarkStart w:id="895" w:name="_Toc13292026"/>
      <w:bookmarkStart w:id="896" w:name="_Toc13504752"/>
      <w:bookmarkStart w:id="897" w:name="_Toc13504868"/>
      <w:bookmarkStart w:id="898" w:name="_Toc13556361"/>
      <w:bookmarkStart w:id="899" w:name="_Toc14337483"/>
      <w:bookmarkStart w:id="900" w:name="_Toc238870143"/>
      <w:bookmarkStart w:id="901" w:name="_Toc2880362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01503D">
        <w:rPr>
          <w:rFonts w:asciiTheme="minorEastAsia" w:eastAsiaTheme="minorEastAsia" w:hAnsiTheme="minorEastAsia" w:hint="eastAsia"/>
          <w:b w:val="0"/>
          <w:bCs/>
        </w:rPr>
        <w:t>（八）争议的处理</w:t>
      </w:r>
      <w:bookmarkStart w:id="902" w:name="_Toc38438236"/>
      <w:bookmarkStart w:id="903" w:name="_Toc38438573"/>
      <w:bookmarkStart w:id="904" w:name="_Toc38438910"/>
      <w:bookmarkStart w:id="905" w:name="_Toc38439247"/>
      <w:bookmarkStart w:id="906" w:name="_Toc38439584"/>
      <w:bookmarkStart w:id="907" w:name="_Toc38439921"/>
      <w:bookmarkStart w:id="908" w:name="_Toc38440258"/>
      <w:bookmarkStart w:id="909" w:name="_Toc38440595"/>
      <w:bookmarkStart w:id="910" w:name="_Toc38440794"/>
      <w:bookmarkStart w:id="911" w:name="_Toc38441127"/>
      <w:bookmarkStart w:id="912" w:name="_Toc38441459"/>
      <w:bookmarkStart w:id="913" w:name="_Toc38441791"/>
      <w:bookmarkStart w:id="914" w:name="_Toc38442119"/>
      <w:bookmarkStart w:id="915" w:name="_Toc38442451"/>
      <w:bookmarkStart w:id="916" w:name="_Toc38442783"/>
      <w:bookmarkStart w:id="917" w:name="_Toc38443114"/>
      <w:bookmarkStart w:id="918" w:name="_Toc38443445"/>
      <w:bookmarkStart w:id="919" w:name="_Toc38443776"/>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01503D">
        <w:rPr>
          <w:rFonts w:asciiTheme="minorEastAsia" w:eastAsiaTheme="minorEastAsia" w:hAnsiTheme="minorEastAsia" w:hint="eastAsia"/>
          <w:b w:val="0"/>
          <w:bCs/>
        </w:rPr>
        <w:t>和适用的法律</w:t>
      </w:r>
      <w:bookmarkEnd w:id="900"/>
      <w:bookmarkEnd w:id="901"/>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基金合同适用中华人民共和国法律并从其解释。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20" w:name="_Toc110945633"/>
      <w:bookmarkStart w:id="921" w:name="_Toc136870035"/>
      <w:bookmarkStart w:id="922" w:name="_Toc238870144"/>
      <w:bookmarkStart w:id="923" w:name="_Toc28803626"/>
      <w:r w:rsidRPr="0001503D">
        <w:rPr>
          <w:rFonts w:asciiTheme="minorEastAsia" w:eastAsiaTheme="minorEastAsia" w:hAnsiTheme="minorEastAsia" w:hint="eastAsia"/>
          <w:b w:val="0"/>
          <w:bCs/>
        </w:rPr>
        <w:t>（九）基金合同的存放及查阅方式</w:t>
      </w:r>
      <w:bookmarkEnd w:id="920"/>
      <w:bookmarkEnd w:id="921"/>
      <w:bookmarkEnd w:id="922"/>
      <w:bookmarkEnd w:id="923"/>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基金合同可印制成册，供基金投资者在基金管理人、基金托管人住所查阅。基金合同条款及内容应以</w:t>
      </w:r>
      <w:r w:rsidRPr="0001503D">
        <w:rPr>
          <w:rFonts w:asciiTheme="minorEastAsia" w:eastAsiaTheme="minorEastAsia" w:hAnsiTheme="minorEastAsia" w:hint="eastAsia"/>
          <w:kern w:val="0"/>
          <w:szCs w:val="21"/>
        </w:rPr>
        <w:t>基金合同正本为准。</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924" w:name="_Toc238870145"/>
      <w:bookmarkStart w:id="925" w:name="_Toc238870178"/>
      <w:bookmarkStart w:id="926" w:name="_Toc28803627"/>
      <w:r w:rsidRPr="0001503D">
        <w:rPr>
          <w:rFonts w:asciiTheme="minorEastAsia" w:eastAsiaTheme="minorEastAsia" w:hAnsiTheme="minorEastAsia" w:hint="eastAsia"/>
          <w:bCs/>
        </w:rPr>
        <w:lastRenderedPageBreak/>
        <w:t>二十二、基金托管协议的内容摘要</w:t>
      </w:r>
      <w:bookmarkEnd w:id="924"/>
      <w:bookmarkEnd w:id="925"/>
      <w:bookmarkEnd w:id="926"/>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sz w:val="24"/>
        </w:rPr>
      </w:pPr>
      <w:bookmarkStart w:id="927" w:name="_Toc40511576"/>
      <w:bookmarkStart w:id="928" w:name="_Toc238870146"/>
      <w:bookmarkStart w:id="929" w:name="_Toc28803628"/>
      <w:r w:rsidRPr="0001503D">
        <w:rPr>
          <w:rFonts w:asciiTheme="minorEastAsia" w:eastAsiaTheme="minorEastAsia" w:hAnsiTheme="minorEastAsia" w:hint="eastAsia"/>
          <w:b w:val="0"/>
          <w:bCs/>
        </w:rPr>
        <w:t>（一）托管协议当事人</w:t>
      </w:r>
      <w:bookmarkEnd w:id="927"/>
      <w:bookmarkEnd w:id="928"/>
      <w:bookmarkEnd w:id="929"/>
    </w:p>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基金管理人（或简称“管理人”）</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bookmarkStart w:id="930" w:name="_Toc15118236"/>
      <w:r w:rsidRPr="0001503D">
        <w:rPr>
          <w:rFonts w:asciiTheme="minorEastAsia" w:eastAsiaTheme="minorEastAsia" w:hAnsiTheme="minorEastAsia" w:hint="eastAsia"/>
          <w:szCs w:val="21"/>
        </w:rPr>
        <w:t>名称：易方达基金管理有限公司</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注册地址：</w:t>
      </w:r>
      <w:r w:rsidR="00066B61" w:rsidRPr="0001503D">
        <w:rPr>
          <w:rStyle w:val="da"/>
          <w:rFonts w:asciiTheme="minorEastAsia" w:eastAsiaTheme="minorEastAsia" w:hAnsiTheme="minorEastAsia" w:hint="eastAsia"/>
        </w:rPr>
        <w:t>广东省珠海市横琴新</w:t>
      </w:r>
      <w:r w:rsidR="00066B61" w:rsidRPr="0001503D">
        <w:rPr>
          <w:rFonts w:asciiTheme="minorEastAsia" w:eastAsiaTheme="minorEastAsia" w:hAnsiTheme="minorEastAsia" w:hint="eastAsia"/>
          <w:szCs w:val="21"/>
        </w:rPr>
        <w:t>区宝华路6号105室－42891（集中办公区）</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办公地址：</w:t>
      </w:r>
      <w:r w:rsidR="00C74F2E" w:rsidRPr="0001503D">
        <w:rPr>
          <w:rFonts w:asciiTheme="minorEastAsia" w:eastAsiaTheme="minorEastAsia" w:hAnsiTheme="minorEastAsia" w:hint="eastAsia"/>
          <w:szCs w:val="21"/>
        </w:rPr>
        <w:t>广州市天河区珠江新城珠江东路30号广州银行大厦40-43楼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邮政编码</w:t>
      </w:r>
      <w:r w:rsidRPr="0001503D">
        <w:rPr>
          <w:rFonts w:asciiTheme="minorEastAsia" w:eastAsiaTheme="minorEastAsia" w:hAnsiTheme="minorEastAsia" w:hint="eastAsia"/>
          <w:szCs w:val="21"/>
        </w:rPr>
        <w:t>：510620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法定代表人：</w:t>
      </w:r>
      <w:r w:rsidR="00D82DD2" w:rsidRPr="0001503D">
        <w:rPr>
          <w:rFonts w:asciiTheme="minorEastAsia" w:eastAsiaTheme="minorEastAsia" w:hAnsiTheme="minorEastAsia" w:hint="eastAsia"/>
          <w:szCs w:val="21"/>
        </w:rPr>
        <w:t>刘晓艳</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成立日期：2001年4月17日</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批准设立机关及批准设立文号：</w:t>
      </w:r>
      <w:r w:rsidR="00E7456B" w:rsidRPr="0001503D">
        <w:rPr>
          <w:rFonts w:asciiTheme="minorEastAsia" w:eastAsiaTheme="minorEastAsia" w:hAnsiTheme="minorEastAsia" w:hint="eastAsia"/>
        </w:rPr>
        <w:t>中国证券监督管理委员会</w:t>
      </w:r>
      <w:r w:rsidRPr="0001503D">
        <w:rPr>
          <w:rFonts w:asciiTheme="minorEastAsia" w:eastAsiaTheme="minorEastAsia" w:hAnsiTheme="minorEastAsia" w:hint="eastAsia"/>
          <w:szCs w:val="21"/>
        </w:rPr>
        <w:t>，证监基金字[2001]4号</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组织形式：有限责任公司</w:t>
      </w:r>
    </w:p>
    <w:p w:rsidR="002F5370" w:rsidRPr="0001503D" w:rsidRDefault="00E53C46"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注册资本：13,244.2万元人民币</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存续期间：持续经营</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经营范围：</w:t>
      </w:r>
      <w:r w:rsidR="00907E0E" w:rsidRPr="0001503D">
        <w:rPr>
          <w:rFonts w:asciiTheme="minorEastAsia" w:eastAsiaTheme="minorEastAsia" w:hAnsiTheme="minorEastAsia" w:hint="eastAsia"/>
          <w:szCs w:val="21"/>
        </w:rPr>
        <w:t>公开募集证券投资基金管理、基金销售、特定客户资产管理</w:t>
      </w:r>
    </w:p>
    <w:bookmarkEnd w:id="930"/>
    <w:p w:rsidR="002F5370" w:rsidRPr="0001503D" w:rsidRDefault="00A43A99"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基金托管人（或简称“托管人”）</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名称：中国农业银行</w:t>
      </w:r>
      <w:r w:rsidRPr="0001503D">
        <w:rPr>
          <w:rFonts w:asciiTheme="minorEastAsia" w:eastAsiaTheme="minorEastAsia" w:hAnsiTheme="minorEastAsia" w:hint="eastAsia"/>
          <w:szCs w:val="21"/>
        </w:rPr>
        <w:t>股份有限公司</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注册地址：</w:t>
      </w:r>
      <w:r w:rsidRPr="0001503D">
        <w:rPr>
          <w:rFonts w:asciiTheme="minorEastAsia" w:eastAsiaTheme="minorEastAsia" w:hAnsiTheme="minorEastAsia" w:hint="eastAsia"/>
          <w:szCs w:val="21"/>
        </w:rPr>
        <w:t>北京市东城区建国门内大街69号</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办公地址：</w:t>
      </w:r>
      <w:r w:rsidRPr="0001503D">
        <w:rPr>
          <w:rFonts w:asciiTheme="minorEastAsia" w:eastAsiaTheme="minorEastAsia" w:hAnsiTheme="minorEastAsia" w:cs="宋体" w:hint="eastAsia"/>
          <w:kern w:val="0"/>
          <w:szCs w:val="21"/>
        </w:rPr>
        <w:t>北京市西城区复兴门内大街</w:t>
      </w:r>
      <w:r w:rsidRPr="0001503D">
        <w:rPr>
          <w:rFonts w:asciiTheme="minorEastAsia" w:eastAsiaTheme="minorEastAsia" w:hAnsiTheme="minorEastAsia" w:cs="宋体"/>
          <w:kern w:val="0"/>
          <w:szCs w:val="21"/>
        </w:rPr>
        <w:t>28</w:t>
      </w:r>
      <w:r w:rsidRPr="0001503D">
        <w:rPr>
          <w:rFonts w:asciiTheme="minorEastAsia" w:eastAsiaTheme="minorEastAsia" w:hAnsiTheme="minorEastAsia" w:cs="宋体" w:hint="eastAsia"/>
          <w:kern w:val="0"/>
          <w:szCs w:val="21"/>
        </w:rPr>
        <w:t>号凯晨世贸中心</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邮政编码：1000</w:t>
      </w:r>
      <w:r w:rsidRPr="0001503D">
        <w:rPr>
          <w:rFonts w:asciiTheme="minorEastAsia" w:eastAsiaTheme="minorEastAsia" w:hAnsiTheme="minorEastAsia" w:hint="eastAsia"/>
          <w:szCs w:val="21"/>
        </w:rPr>
        <w:t>31</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法定代表人：</w:t>
      </w:r>
      <w:r w:rsidR="00A3112A" w:rsidRPr="0001503D">
        <w:rPr>
          <w:rFonts w:asciiTheme="minorEastAsia" w:eastAsiaTheme="minorEastAsia" w:hAnsiTheme="minorEastAsia" w:cs="宋体" w:hint="eastAsia"/>
          <w:bCs/>
          <w:szCs w:val="21"/>
        </w:rPr>
        <w:t>周慕冰</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成立</w:t>
      </w:r>
      <w:r w:rsidRPr="0001503D">
        <w:rPr>
          <w:rFonts w:asciiTheme="minorEastAsia" w:eastAsiaTheme="minorEastAsia" w:hAnsiTheme="minorEastAsia" w:hint="eastAsia"/>
          <w:szCs w:val="21"/>
        </w:rPr>
        <w:t>时间</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2009</w:t>
      </w:r>
      <w:r w:rsidRPr="0001503D">
        <w:rPr>
          <w:rFonts w:asciiTheme="minorEastAsia" w:eastAsiaTheme="minorEastAsia" w:hAnsiTheme="minorEastAsia"/>
          <w:szCs w:val="21"/>
        </w:rPr>
        <w:t>年</w:t>
      </w: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月</w:t>
      </w:r>
      <w:r w:rsidRPr="0001503D">
        <w:rPr>
          <w:rFonts w:asciiTheme="minorEastAsia" w:eastAsiaTheme="minorEastAsia" w:hAnsiTheme="minorEastAsia" w:hint="eastAsia"/>
          <w:szCs w:val="21"/>
        </w:rPr>
        <w:t>15</w:t>
      </w:r>
      <w:r w:rsidRPr="0001503D">
        <w:rPr>
          <w:rFonts w:asciiTheme="minorEastAsia" w:eastAsiaTheme="minorEastAsia" w:hAnsiTheme="minorEastAsia"/>
          <w:szCs w:val="21"/>
        </w:rPr>
        <w:t>日</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基金托管资格批准文号：中国证监会证监基字[1998]23号</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注册</w:t>
      </w:r>
      <w:r w:rsidRPr="0001503D">
        <w:rPr>
          <w:rFonts w:asciiTheme="minorEastAsia" w:eastAsiaTheme="minorEastAsia" w:hAnsiTheme="minorEastAsia" w:hint="eastAsia"/>
          <w:szCs w:val="21"/>
        </w:rPr>
        <w:t>资金</w:t>
      </w:r>
      <w:r w:rsidRPr="0001503D">
        <w:rPr>
          <w:rFonts w:asciiTheme="minorEastAsia" w:eastAsiaTheme="minorEastAsia" w:hAnsiTheme="minorEastAsia"/>
          <w:szCs w:val="21"/>
        </w:rPr>
        <w:t>：</w:t>
      </w:r>
      <w:r w:rsidR="00135167" w:rsidRPr="0001503D">
        <w:rPr>
          <w:rFonts w:asciiTheme="minorEastAsia" w:eastAsiaTheme="minorEastAsia" w:hAnsiTheme="minorEastAsia" w:hint="eastAsia"/>
        </w:rPr>
        <w:t>34,998,303.4万元人民币</w:t>
      </w:r>
    </w:p>
    <w:p w:rsidR="002F5370" w:rsidRPr="0001503D" w:rsidRDefault="002F5370" w:rsidP="00E16F88">
      <w:pPr>
        <w:adjustRightInd w:val="0"/>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szCs w:val="21"/>
        </w:rPr>
        <w:t>存续期间：持续经营</w:t>
      </w:r>
    </w:p>
    <w:p w:rsidR="002F5370" w:rsidRPr="0001503D" w:rsidRDefault="00442E41" w:rsidP="000B57E8">
      <w:pPr>
        <w:tabs>
          <w:tab w:val="left" w:pos="540"/>
        </w:tabs>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sidRPr="0001503D">
        <w:rPr>
          <w:rFonts w:asciiTheme="minorEastAsia" w:eastAsiaTheme="minorEastAsia" w:hAnsiTheme="minorEastAsia" w:cs="宋体" w:hint="eastAsia"/>
          <w:szCs w:val="21"/>
        </w:rPr>
        <w:lastRenderedPageBreak/>
        <w:t>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1" w:name="_Toc40511578"/>
      <w:bookmarkStart w:id="932" w:name="_Toc238870147"/>
      <w:bookmarkStart w:id="933" w:name="_Toc28803629"/>
      <w:r w:rsidRPr="0001503D">
        <w:rPr>
          <w:rFonts w:asciiTheme="minorEastAsia" w:eastAsiaTheme="minorEastAsia" w:hAnsiTheme="minorEastAsia" w:hint="eastAsia"/>
          <w:b w:val="0"/>
          <w:bCs/>
        </w:rPr>
        <w:t>（二）</w:t>
      </w:r>
      <w:bookmarkStart w:id="934" w:name="_Toc124749227"/>
      <w:bookmarkStart w:id="935" w:name="_Toc124749938"/>
      <w:bookmarkStart w:id="936" w:name="_Toc125361075"/>
      <w:r w:rsidRPr="0001503D">
        <w:rPr>
          <w:rFonts w:asciiTheme="minorEastAsia" w:eastAsiaTheme="minorEastAsia" w:hAnsiTheme="minorEastAsia" w:hint="eastAsia"/>
          <w:b w:val="0"/>
          <w:bCs/>
        </w:rPr>
        <w:t>基金托管人对基金管理人的业务监督和核查</w:t>
      </w:r>
      <w:bookmarkEnd w:id="931"/>
      <w:bookmarkEnd w:id="932"/>
      <w:bookmarkEnd w:id="933"/>
      <w:bookmarkEnd w:id="934"/>
      <w:bookmarkEnd w:id="935"/>
      <w:bookmarkEnd w:id="936"/>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bookmarkStart w:id="937" w:name="_Toc200523000"/>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基金托管人根据有关法律法规的规定及基金合同的约定，对基金投资范围、投资对象进行监督。</w:t>
      </w:r>
      <w:r w:rsidR="002F5370" w:rsidRPr="0001503D">
        <w:rPr>
          <w:rFonts w:asciiTheme="minorEastAsia" w:eastAsiaTheme="minorEastAsia" w:hAnsiTheme="minorEastAsia" w:hint="eastAsia"/>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本基金为股票型基金，投资比例范围为：股票资产占基金资产的80</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—95</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01503D">
        <w:rPr>
          <w:rFonts w:asciiTheme="minorEastAsia" w:eastAsiaTheme="minorEastAsia" w:hAnsiTheme="minorEastAsia"/>
          <w:szCs w:val="21"/>
        </w:rPr>
        <w:t>5%</w:t>
      </w:r>
      <w:r w:rsidR="00146F93" w:rsidRPr="0001503D">
        <w:rPr>
          <w:rFonts w:asciiTheme="minorEastAsia" w:eastAsiaTheme="minorEastAsia" w:hAnsiTheme="minorEastAsia" w:hint="eastAsia"/>
          <w:szCs w:val="21"/>
        </w:rPr>
        <w:t>，现金不包括结算备付金、存出保证金、应收申购款等</w:t>
      </w:r>
      <w:r w:rsidRPr="0001503D">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szCs w:val="21"/>
        </w:rPr>
        <w:t>基金托管人根据有关法律法规的规定及基金合同的约定，对基金投资、融资</w:t>
      </w:r>
      <w:r w:rsidR="002F5370" w:rsidRPr="0001503D">
        <w:rPr>
          <w:rFonts w:asciiTheme="minorEastAsia" w:eastAsiaTheme="minorEastAsia" w:hAnsiTheme="minorEastAsia" w:hint="eastAsia"/>
          <w:szCs w:val="21"/>
        </w:rPr>
        <w:t>、融券</w:t>
      </w:r>
      <w:r w:rsidR="002F5370" w:rsidRPr="0001503D">
        <w:rPr>
          <w:rFonts w:asciiTheme="minorEastAsia" w:eastAsiaTheme="minorEastAsia" w:hAnsiTheme="minorEastAsia"/>
          <w:szCs w:val="21"/>
        </w:rPr>
        <w:t>比例进行监督。基金托管人按下述比例和调整期限进行监督：</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(1)本基金持有一家上市公司的股票，其市值不超过基金资产净值的10%；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(2)本基金与本基金管理人管理的其他基金持有一家公司发行的证券，其市值不超过该证券的10%；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(3)进入全国银行间同业市场的债券回购融入的资金余额不超过基金资产净值的40%；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(4)本基金参与股票发行申购，本基金所申报的金额不超过本基金的总资产，本基金所申报的股票数量不超过拟发行股票公司本次发行股票的总量；</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本基金在任何交易日买入权证的总金额，不得超过上一交易日基金资产净值的5‰；本基金持有的全部权证，其市值不得超过基金资产净值的3％；本基金与本基金管理人管理的其他基金持有的同一权证，不得超过该权证的10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(6)本基金持有的同一（指同一信用级别）资产支持证券的比例，不得超过该资产支持证券规模的10%；本基金投资于同一原始权益人的各类资产支持证券的比例，不得超过该基</w:t>
      </w:r>
      <w:r w:rsidRPr="0001503D">
        <w:rPr>
          <w:rFonts w:asciiTheme="minorEastAsia" w:eastAsiaTheme="minorEastAsia" w:hAnsiTheme="minorEastAsia" w:hint="eastAsia"/>
          <w:szCs w:val="21"/>
        </w:rPr>
        <w:lastRenderedPageBreak/>
        <w:t>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(7)保持不低于基金资产净值5%的现金或者到期日在一年以内的政府债券</w:t>
      </w:r>
      <w:r w:rsidR="007C6B2C" w:rsidRPr="0001503D">
        <w:rPr>
          <w:rFonts w:asciiTheme="minorEastAsia" w:eastAsiaTheme="minorEastAsia" w:hAnsiTheme="minorEastAsia" w:hint="eastAsia"/>
          <w:szCs w:val="21"/>
        </w:rPr>
        <w:t>，现金不包括结算备付金、存出保证金、应收申购款等</w:t>
      </w:r>
      <w:r w:rsidRPr="0001503D">
        <w:rPr>
          <w:rFonts w:asciiTheme="minorEastAsia" w:eastAsiaTheme="minorEastAsia" w:hAnsiTheme="minorEastAsia" w:hint="eastAsia"/>
          <w:szCs w:val="21"/>
        </w:rPr>
        <w:t>；</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(8)本基金不得违反基金合同中有关投资范围、投资策略、投资比例的规定；</w:t>
      </w:r>
    </w:p>
    <w:p w:rsidR="007C6B2C" w:rsidRPr="0001503D"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9</w:t>
      </w:r>
      <w:r w:rsidRPr="0001503D">
        <w:rPr>
          <w:rFonts w:asciiTheme="minorEastAsia" w:eastAsiaTheme="minorEastAsia" w:hAnsiTheme="minorEastAsia" w:hint="eastAsia"/>
          <w:szCs w:val="21"/>
        </w:rPr>
        <w:t>)本基金管理人管理的、且由本基金托管人托管的全部开放式基金持有一家上市公司发行的可流通股票，不得超过该上市公司可流通股票的</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；本基金管理人管理的、且由本基金托管人托管的全部投资组合持有一家上市公司发行的可流通股票，不得超过该上市公司可流通股票的</w:t>
      </w:r>
      <w:r w:rsidRPr="0001503D">
        <w:rPr>
          <w:rFonts w:asciiTheme="minorEastAsia" w:eastAsiaTheme="minorEastAsia" w:hAnsiTheme="minorEastAsia"/>
          <w:szCs w:val="21"/>
        </w:rPr>
        <w:t>30%</w:t>
      </w:r>
      <w:r w:rsidRPr="0001503D">
        <w:rPr>
          <w:rFonts w:asciiTheme="minorEastAsia" w:eastAsiaTheme="minorEastAsia" w:hAnsiTheme="minorEastAsia" w:hint="eastAsia"/>
          <w:szCs w:val="21"/>
        </w:rPr>
        <w:t>；</w:t>
      </w:r>
    </w:p>
    <w:p w:rsidR="007C6B2C" w:rsidRPr="0001503D"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)本基金主动投资于流动性受限资产的市值合计不得超过该基金资产净值的</w:t>
      </w:r>
      <w:r w:rsidRPr="0001503D">
        <w:rPr>
          <w:rFonts w:asciiTheme="minorEastAsia" w:eastAsiaTheme="minorEastAsia" w:hAnsiTheme="minorEastAsia"/>
          <w:szCs w:val="21"/>
        </w:rPr>
        <w:t>15%</w:t>
      </w:r>
      <w:r w:rsidRPr="0001503D">
        <w:rPr>
          <w:rFonts w:asciiTheme="minorEastAsia" w:eastAsiaTheme="minorEastAsia" w:hAnsiTheme="minorEastAsia" w:hint="eastAsia"/>
          <w:szCs w:val="21"/>
        </w:rPr>
        <w:t>。</w:t>
      </w:r>
    </w:p>
    <w:p w:rsidR="007C6B2C" w:rsidRPr="0001503D"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7C6B2C" w:rsidRPr="0001503D"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11</w:t>
      </w:r>
      <w:r w:rsidRPr="0001503D">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2F5370" w:rsidRPr="0001503D" w:rsidRDefault="007C6B2C" w:rsidP="007C6B2C">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12</w:t>
      </w:r>
      <w:r w:rsidRPr="0001503D">
        <w:rPr>
          <w:rFonts w:asciiTheme="minorEastAsia" w:eastAsiaTheme="minorEastAsia" w:hAnsiTheme="minorEastAsia" w:hint="eastAsia"/>
          <w:szCs w:val="21"/>
        </w:rPr>
        <w:t>)</w:t>
      </w:r>
      <w:r w:rsidR="002F5370" w:rsidRPr="0001503D">
        <w:rPr>
          <w:rFonts w:asciiTheme="minorEastAsia" w:eastAsiaTheme="minorEastAsia" w:hAnsiTheme="minorEastAsia" w:hint="eastAsia"/>
          <w:szCs w:val="21"/>
        </w:rPr>
        <w:t>法律法规或</w:t>
      </w:r>
      <w:r w:rsidR="002F5370" w:rsidRPr="0001503D">
        <w:rPr>
          <w:rFonts w:asciiTheme="minorEastAsia" w:eastAsiaTheme="minorEastAsia" w:hAnsiTheme="minorEastAsia" w:cs="宋体" w:hint="eastAsia"/>
          <w:kern w:val="0"/>
          <w:szCs w:val="21"/>
        </w:rPr>
        <w:t>监管部门对上述比例限制另有规定的，从其规定。</w:t>
      </w:r>
    </w:p>
    <w:p w:rsidR="002F5370" w:rsidRPr="0001503D" w:rsidRDefault="007C6B2C"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除上述（</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10</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11</w:t>
      </w:r>
      <w:r w:rsidRPr="0001503D">
        <w:rPr>
          <w:rFonts w:asciiTheme="minorEastAsia" w:eastAsiaTheme="minorEastAsia" w:hAnsiTheme="minorEastAsia" w:hint="eastAsia"/>
          <w:szCs w:val="21"/>
        </w:rPr>
        <w:t>）以外，</w:t>
      </w:r>
      <w:r w:rsidR="002F5370" w:rsidRPr="0001503D">
        <w:rPr>
          <w:rFonts w:asciiTheme="minorEastAsia" w:eastAsiaTheme="minorEastAsia" w:hAnsiTheme="minorEastAsia"/>
          <w:szCs w:val="21"/>
        </w:rPr>
        <w:t>因证券市场波动、上市公司合并、基金规模变动等基金管理人之外的因素致使基金投资比例不符合上述规定的投资比例的，基金管理人应当在10个交易日内进行调整。</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基金管理人应当自基金合同生效之日起6个月内使基金的投资组合比例符合基金合同的有关约定。</w:t>
      </w:r>
      <w:r w:rsidRPr="0001503D">
        <w:rPr>
          <w:rFonts w:asciiTheme="minorEastAsia" w:eastAsiaTheme="minorEastAsia" w:hAnsiTheme="minorEastAsia" w:cs="宋体" w:hint="eastAsia"/>
          <w:kern w:val="0"/>
          <w:szCs w:val="21"/>
        </w:rPr>
        <w:t>法律法规或监管部门另有规定的，从其规定。</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上述投资组合限制条款中，若属法律法规的强制性规定，则当法律法规或监管部门取消上述限制，在履行适当程序后，本基金投资可不受上述规定限制。</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基金托管人对基金投资的监督和检查自基金合同生效之日起开始。</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szCs w:val="21"/>
        </w:rPr>
        <w:t>基金托管人根据有关法律法规的规定及基金合同的约定，对</w:t>
      </w:r>
      <w:r w:rsidR="002F5370" w:rsidRPr="0001503D">
        <w:rPr>
          <w:rFonts w:asciiTheme="minorEastAsia" w:eastAsiaTheme="minorEastAsia" w:hAnsiTheme="minorEastAsia" w:hint="eastAsia"/>
          <w:szCs w:val="21"/>
        </w:rPr>
        <w:t>托管</w:t>
      </w:r>
      <w:r w:rsidR="002F5370" w:rsidRPr="0001503D">
        <w:rPr>
          <w:rFonts w:asciiTheme="minorEastAsia" w:eastAsiaTheme="minorEastAsia" w:hAnsiTheme="minorEastAsia"/>
          <w:szCs w:val="21"/>
        </w:rPr>
        <w:t>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002F5370" w:rsidRPr="0001503D">
        <w:rPr>
          <w:rFonts w:asciiTheme="minorEastAsia" w:eastAsiaTheme="minorEastAsia" w:hAnsiTheme="minorEastAsia" w:hint="eastAsia"/>
          <w:szCs w:val="21"/>
        </w:rPr>
        <w:t>及有关关联方交易证券名单。基金管理人和基金托管人有责任确保关联交易名单的真实性、准确性、完整性，并负责及时将更新后的名单发送给对方。</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w:t>
      </w:r>
      <w:r w:rsidRPr="0001503D">
        <w:rPr>
          <w:rFonts w:asciiTheme="minorEastAsia" w:eastAsiaTheme="minorEastAsia" w:hAnsiTheme="minorEastAsia" w:hint="eastAsia"/>
          <w:szCs w:val="21"/>
        </w:rPr>
        <w:lastRenderedPageBreak/>
        <w:t>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szCs w:val="21"/>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002F5370" w:rsidRPr="0001503D">
        <w:rPr>
          <w:rFonts w:asciiTheme="minorEastAsia" w:eastAsiaTheme="minorEastAsia" w:hAnsiTheme="minorEastAsia" w:hint="eastAsia"/>
          <w:szCs w:val="21"/>
        </w:rPr>
        <w:t>，并约定各交易对手所适用的交易结算方式</w:t>
      </w:r>
      <w:r w:rsidR="002F5370" w:rsidRPr="0001503D">
        <w:rPr>
          <w:rFonts w:asciiTheme="minorEastAsia" w:eastAsiaTheme="minorEastAsia" w:hAnsiTheme="minorEastAsia"/>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与基金托管人协商解决。</w:t>
      </w:r>
      <w:r w:rsidR="002F5370" w:rsidRPr="0001503D">
        <w:rPr>
          <w:rFonts w:asciiTheme="minorEastAsia" w:eastAsiaTheme="minorEastAsia" w:hAnsiTheme="minorEastAsia" w:hint="eastAsia"/>
          <w:szCs w:val="21"/>
        </w:rPr>
        <w:t>基金管理人收到基金托管人书面确认后，被确认调整的名单开始生效，新名单生效前已与本次剔除的交易对手所进行但尚未结算的交易，仍应按照协议进行结算。</w:t>
      </w:r>
      <w:r w:rsidR="002F5370" w:rsidRPr="0001503D">
        <w:rPr>
          <w:rFonts w:asciiTheme="minorEastAsia" w:eastAsiaTheme="minorEastAsia" w:hAnsiTheme="minorEastAsia"/>
          <w:szCs w:val="21"/>
        </w:rPr>
        <w:t>基金管理人负责对交易对手的资信控制，按银行间债券市场的交易规则进行交易，基金托管人则根据银行间债券市场成交单对合同履行情况进行监督</w:t>
      </w:r>
      <w:r w:rsidR="002F5370" w:rsidRPr="0001503D">
        <w:rPr>
          <w:rFonts w:asciiTheme="minorEastAsia" w:eastAsiaTheme="minorEastAsia" w:hAnsiTheme="minorEastAsia" w:hint="eastAsia"/>
          <w:szCs w:val="21"/>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002F5370" w:rsidRPr="0001503D">
        <w:rPr>
          <w:rFonts w:asciiTheme="minorEastAsia" w:eastAsiaTheme="minorEastAsia" w:hAnsiTheme="minorEastAsia"/>
          <w:szCs w:val="21"/>
        </w:rPr>
        <w:t>。</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如果基金管理人未经基金托管人的审核擅自将不实的业绩表现数据印制在宣传推介材料上，则基金托管人对此不承担任何责任，并将在发现后立即报告中国证监会。</w:t>
      </w:r>
    </w:p>
    <w:p w:rsidR="002F5370" w:rsidRPr="0001503D" w:rsidRDefault="00A43A99" w:rsidP="000B57E8">
      <w:pPr>
        <w:pStyle w:val="CharCharChar1"/>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002F5370" w:rsidRPr="0001503D">
        <w:rPr>
          <w:rFonts w:asciiTheme="minorEastAsia" w:eastAsiaTheme="minorEastAsia" w:hAnsiTheme="minorEastAsia" w:hint="eastAsia"/>
          <w:szCs w:val="21"/>
        </w:rPr>
        <w:t>基金托管人</w:t>
      </w:r>
      <w:r w:rsidR="002F5370" w:rsidRPr="0001503D">
        <w:rPr>
          <w:rFonts w:asciiTheme="minorEastAsia" w:eastAsiaTheme="minorEastAsia" w:hAnsiTheme="minorEastAsia"/>
          <w:szCs w:val="21"/>
        </w:rPr>
        <w:t>根据有关法律法规的规定及基金合同的约定</w:t>
      </w:r>
      <w:r w:rsidR="002F5370" w:rsidRPr="0001503D">
        <w:rPr>
          <w:rFonts w:asciiTheme="minorEastAsia" w:eastAsiaTheme="minorEastAsia" w:hAnsiTheme="minorEastAsia" w:hint="eastAsia"/>
          <w:szCs w:val="21"/>
        </w:rPr>
        <w:t>，对基金投资流通受限证券进行监督。</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cs="宋体" w:hint="eastAsia"/>
          <w:szCs w:val="21"/>
        </w:rPr>
        <w:t>(1)基金投资流通受限证券，应遵守《关于规范基金投资非公开发行证券行为的紧急通知》、《关于基金投资非公开发行股票等流通受限证券有关问题的通知》等有关法律法规规定。</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w:t>
      </w:r>
      <w:r w:rsidRPr="0001503D">
        <w:rPr>
          <w:rFonts w:asciiTheme="minorEastAsia" w:eastAsiaTheme="minorEastAsia" w:hAnsiTheme="minorEastAsia" w:cs="宋体" w:hint="eastAsia"/>
          <w:szCs w:val="21"/>
        </w:rPr>
        <w:lastRenderedPageBreak/>
        <w:t>上述规章制度须经基金管理人董事会批准。上述规章制度经董事会通过之后，基金管理人应当将上述规章制度以及董事会批准上述规章制度的决议提交给基金托管人。</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(4)在投资流通受限证券之前，基金管理人应提前向基金托管人提供有关流通受限证券的相关信息，具体应当包括但不限于如下文件（如有）：</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(5)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2F5370" w:rsidRPr="0001503D"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01503D">
        <w:rPr>
          <w:rFonts w:asciiTheme="minorEastAsia" w:eastAsiaTheme="minorEastAsia" w:hAnsiTheme="minorEastAsia" w:cs="宋体" w:hint="eastAsia"/>
          <w:szCs w:val="21"/>
        </w:rPr>
        <w:t>(6)如果基金管理人未按照托管协议的约定向基金托管人报送相关数据或者报送了虚假的数据，导致基金托管人不能履行托管人职责的，基金管理人应承担相应法律后果。除基金托管人未能依据基金合同及托管协议履行职责外，因投资流通受限证券产生的损失，基金托管人按照托管协议履行监督职责后不承担上述损失。</w:t>
      </w:r>
    </w:p>
    <w:p w:rsidR="002F5370" w:rsidRPr="0001503D" w:rsidRDefault="00A43A99" w:rsidP="000B57E8">
      <w:pPr>
        <w:adjustRightInd w:val="0"/>
        <w:snapToGrid w:val="0"/>
        <w:spacing w:line="360" w:lineRule="auto"/>
        <w:ind w:firstLineChars="150" w:firstLine="315"/>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w:t>
      </w:r>
      <w:r w:rsidR="002F5370" w:rsidRPr="0001503D">
        <w:rPr>
          <w:rFonts w:asciiTheme="minorEastAsia" w:eastAsiaTheme="minorEastAsia" w:hAnsiTheme="minorEastAsia" w:hint="eastAsia"/>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8、</w:t>
      </w:r>
      <w:r w:rsidR="002F5370" w:rsidRPr="0001503D">
        <w:rPr>
          <w:rFonts w:asciiTheme="minorEastAsia" w:eastAsiaTheme="minorEastAsia" w:hAnsiTheme="minorEastAsia" w:hint="eastAsia"/>
          <w:szCs w:val="21"/>
        </w:rPr>
        <w:t>基金管理人有义务配合和协助基金托管人依照法律法规、基金合同和托管协议对基金业务执行核查。对基金托管人发出的书面提示，基金管理人应在规定时间内答复并改正，或就基金托管人的疑义进行解释或举证；</w:t>
      </w:r>
      <w:r w:rsidR="002F5370" w:rsidRPr="0001503D">
        <w:rPr>
          <w:rFonts w:asciiTheme="minorEastAsia" w:eastAsiaTheme="minorEastAsia" w:hAnsiTheme="minorEastAsia"/>
          <w:szCs w:val="21"/>
        </w:rPr>
        <w:t>对基金托管人按照法规要求需向中国证监会报送基金监督报告的事项，基金管理人应积极配合提供相关数据资料和制度等。</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9、</w:t>
      </w:r>
      <w:r w:rsidR="002F5370" w:rsidRPr="0001503D">
        <w:rPr>
          <w:rFonts w:asciiTheme="minorEastAsia" w:eastAsiaTheme="minorEastAsia" w:hAnsiTheme="minorEastAsia"/>
          <w:szCs w:val="21"/>
        </w:rPr>
        <w:t>基金托管人发现基金管理人有重大违规行为，应及时报告中国证监会，同时通知基金管理人限期纠正，并将纠正结果报告中国证监会。基金管理人无正当理由，拒绝、阻挠对方根据</w:t>
      </w:r>
      <w:r w:rsidR="002F5370" w:rsidRPr="0001503D">
        <w:rPr>
          <w:rFonts w:asciiTheme="minorEastAsia" w:eastAsiaTheme="minorEastAsia" w:hAnsiTheme="minorEastAsia" w:hint="eastAsia"/>
          <w:szCs w:val="21"/>
        </w:rPr>
        <w:t>托管</w:t>
      </w:r>
      <w:r w:rsidR="002F5370" w:rsidRPr="0001503D">
        <w:rPr>
          <w:rFonts w:asciiTheme="minorEastAsia" w:eastAsiaTheme="minorEastAsia" w:hAnsiTheme="minorEastAsia"/>
          <w:szCs w:val="21"/>
        </w:rPr>
        <w:t>协议规定行使监督权，或采取拖延、欺诈等手段妨碍对方进行有效监督，情节严重或经基金托管人提出警告仍不改正的，基金托管人应报告中国证监会。</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8" w:name="_Toc238870148"/>
      <w:bookmarkStart w:id="939" w:name="_Toc28803630"/>
      <w:bookmarkEnd w:id="937"/>
      <w:r w:rsidRPr="0001503D">
        <w:rPr>
          <w:rFonts w:asciiTheme="minorEastAsia" w:eastAsiaTheme="minorEastAsia" w:hAnsiTheme="minorEastAsia" w:hint="eastAsia"/>
          <w:b w:val="0"/>
          <w:bCs/>
        </w:rPr>
        <w:lastRenderedPageBreak/>
        <w:t>（三）</w:t>
      </w:r>
      <w:bookmarkStart w:id="940" w:name="_Toc123705448"/>
      <w:bookmarkStart w:id="941" w:name="_Toc124749228"/>
      <w:bookmarkStart w:id="942" w:name="_Toc124749939"/>
      <w:bookmarkStart w:id="943" w:name="_Toc125361076"/>
      <w:r w:rsidRPr="0001503D">
        <w:rPr>
          <w:rFonts w:asciiTheme="minorEastAsia" w:eastAsiaTheme="minorEastAsia" w:hAnsiTheme="minorEastAsia" w:hint="eastAsia"/>
          <w:b w:val="0"/>
          <w:bCs/>
        </w:rPr>
        <w:t>基金管理人对基金托管人的业务核查</w:t>
      </w:r>
      <w:bookmarkEnd w:id="938"/>
      <w:bookmarkEnd w:id="939"/>
      <w:bookmarkEnd w:id="940"/>
      <w:bookmarkEnd w:id="941"/>
      <w:bookmarkEnd w:id="942"/>
      <w:bookmarkEnd w:id="943"/>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szCs w:val="21"/>
        </w:rPr>
        <w:t>基金管理人发现基金托管人擅自挪用基金财产、未对基金财产实行分账管理、未执行或无故延迟执行基金管理人资金划拨指令、泄露基金投资信息等违反《基金法》、基金合同、</w:t>
      </w:r>
      <w:r w:rsidR="002F5370" w:rsidRPr="0001503D">
        <w:rPr>
          <w:rFonts w:asciiTheme="minorEastAsia" w:eastAsiaTheme="minorEastAsia" w:hAnsiTheme="minorEastAsia" w:hint="eastAsia"/>
          <w:szCs w:val="21"/>
        </w:rPr>
        <w:t>托管</w:t>
      </w:r>
      <w:r w:rsidR="002F5370" w:rsidRPr="0001503D">
        <w:rPr>
          <w:rFonts w:asciiTheme="minorEastAsia" w:eastAsiaTheme="minorEastAsia" w:hAnsiTheme="minorEastAsia"/>
          <w:szCs w:val="21"/>
        </w:rPr>
        <w:t>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szCs w:val="21"/>
        </w:rPr>
        <w:t>基金管理人发现基金托管人有重大违规行为，应及时报告中国证监会，同时通知基金托管人限期纠正，并将纠正结果报告中国证监会。基金托管人无正当理由，拒绝、阻挠对方根据</w:t>
      </w:r>
      <w:r w:rsidR="002F5370" w:rsidRPr="0001503D">
        <w:rPr>
          <w:rFonts w:asciiTheme="minorEastAsia" w:eastAsiaTheme="minorEastAsia" w:hAnsiTheme="minorEastAsia" w:hint="eastAsia"/>
          <w:szCs w:val="21"/>
        </w:rPr>
        <w:t>托管</w:t>
      </w:r>
      <w:r w:rsidR="002F5370" w:rsidRPr="0001503D">
        <w:rPr>
          <w:rFonts w:asciiTheme="minorEastAsia" w:eastAsiaTheme="minorEastAsia" w:hAnsiTheme="minorEastAsia"/>
          <w:szCs w:val="21"/>
        </w:rPr>
        <w:t>协议规定行使监督权，或采取拖延、欺诈等手段妨碍对方进行有效监督，情节严重或经基金管理人提出警告仍不改正的，基金管理人应报告中国证监会。</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4" w:name="_Toc40511579"/>
      <w:bookmarkStart w:id="945" w:name="_Toc238870149"/>
      <w:bookmarkStart w:id="946" w:name="_Toc28803631"/>
      <w:r w:rsidRPr="0001503D">
        <w:rPr>
          <w:rFonts w:asciiTheme="minorEastAsia" w:eastAsiaTheme="minorEastAsia" w:hAnsiTheme="minorEastAsia" w:hint="eastAsia"/>
          <w:b w:val="0"/>
          <w:bCs/>
        </w:rPr>
        <w:t>（四）基金财产保管</w:t>
      </w:r>
      <w:bookmarkEnd w:id="944"/>
      <w:bookmarkEnd w:id="945"/>
      <w:bookmarkEnd w:id="946"/>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bookmarkStart w:id="947" w:name="_Toc37159173"/>
      <w:bookmarkStart w:id="948" w:name="_Toc200523005"/>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基金财产保管的原则</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基金财产应独立于基金管理人、基金托管人的固有财产。</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基金托管人应安全保管基金财产。</w:t>
      </w:r>
      <w:r w:rsidRPr="0001503D">
        <w:rPr>
          <w:rFonts w:asciiTheme="minorEastAsia" w:eastAsiaTheme="minorEastAsia" w:hAnsiTheme="minorEastAsia" w:hint="eastAsia"/>
          <w:szCs w:val="21"/>
        </w:rPr>
        <w:t>未经基金管理人依据合法程序作出的合法合规指令，基金托管人不得自行运用、处分、分配基金的任何财产。如果基金财产（包括实物证券）在基金托管人保管期间损坏、灭失的，应由基金托管人承担赔偿责任。</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基金托管人按照规定开设基金财产的资金账户和证券账户。</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基金托管人对所托管的不同基金财产分别设置账户，确保基金财产的完整与独立。</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5</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基金托管人根据基金管理人的指令，按照基金合同和</w:t>
      </w:r>
      <w:r w:rsidRPr="0001503D">
        <w:rPr>
          <w:rFonts w:asciiTheme="minorEastAsia" w:eastAsiaTheme="minorEastAsia" w:hAnsiTheme="minorEastAsia" w:hint="eastAsia"/>
          <w:szCs w:val="21"/>
        </w:rPr>
        <w:t>托管</w:t>
      </w:r>
      <w:r w:rsidRPr="0001503D">
        <w:rPr>
          <w:rFonts w:asciiTheme="minorEastAsia" w:eastAsiaTheme="minorEastAsia" w:hAnsiTheme="minorEastAsia"/>
          <w:szCs w:val="21"/>
        </w:rPr>
        <w:t>协议的约定保管基金财产，如有特殊情况双方可另行协商解决。</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6</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对于因为基金投资产生的应收资产，</w:t>
      </w:r>
      <w:r w:rsidRPr="0001503D">
        <w:rPr>
          <w:rFonts w:asciiTheme="minorEastAsia" w:eastAsiaTheme="minorEastAsia" w:hAnsiTheme="minorEastAsia" w:hint="eastAsia"/>
          <w:szCs w:val="21"/>
        </w:rPr>
        <w:t>如基金托管人无法从公开信息获取到账日期信息的，</w:t>
      </w:r>
      <w:r w:rsidRPr="0001503D">
        <w:rPr>
          <w:rFonts w:asciiTheme="minorEastAsia" w:eastAsiaTheme="minorEastAsia" w:hAnsiTheme="minorEastAsia"/>
          <w:szCs w:val="21"/>
        </w:rPr>
        <w:t>应由基金管理人负责与有关当事人确定到账日期并通知基金托管人，到账日基金财产没有到达基金账户的，基金托管人应及时通知基金管理人采取措施进行催收。由此给基金</w:t>
      </w:r>
      <w:r w:rsidRPr="0001503D">
        <w:rPr>
          <w:rFonts w:asciiTheme="minorEastAsia" w:eastAsiaTheme="minorEastAsia" w:hAnsiTheme="minorEastAsia" w:hint="eastAsia"/>
          <w:szCs w:val="21"/>
        </w:rPr>
        <w:t>财产</w:t>
      </w:r>
      <w:r w:rsidRPr="0001503D">
        <w:rPr>
          <w:rFonts w:asciiTheme="minorEastAsia" w:eastAsiaTheme="minorEastAsia" w:hAnsiTheme="minorEastAsia"/>
          <w:szCs w:val="21"/>
        </w:rPr>
        <w:t>造成损失的，基金托管人对此不承担任何责任。</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7</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除依据法律法规和基金合同的规定外，基金托管人不得委托第三人托管基金财产。</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2、</w:t>
      </w:r>
      <w:r w:rsidR="002F5370" w:rsidRPr="0001503D">
        <w:rPr>
          <w:rFonts w:asciiTheme="minorEastAsia" w:eastAsiaTheme="minorEastAsia" w:hAnsiTheme="minorEastAsia"/>
          <w:szCs w:val="21"/>
        </w:rPr>
        <w:t>基金募集期间及募集资金的验资</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基金募集期间的资金应存于基金管理人在</w:t>
      </w:r>
      <w:r w:rsidRPr="0001503D">
        <w:rPr>
          <w:rFonts w:asciiTheme="minorEastAsia" w:eastAsiaTheme="minorEastAsia" w:hAnsiTheme="minorEastAsia" w:hint="eastAsia"/>
          <w:szCs w:val="21"/>
        </w:rPr>
        <w:t>具有托管资格的商业银行开设的</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认购专户。</w:t>
      </w:r>
      <w:r w:rsidRPr="0001503D">
        <w:rPr>
          <w:rFonts w:asciiTheme="minorEastAsia" w:eastAsiaTheme="minorEastAsia" w:hAnsiTheme="minorEastAsia"/>
          <w:szCs w:val="21"/>
        </w:rPr>
        <w:t>该账户由基金管理人开立并管理。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若基金募集期限届满，未能达到基金合同生效的条件，由基金管理人按规定办理退款等事宜</w:t>
      </w:r>
      <w:r w:rsidRPr="0001503D">
        <w:rPr>
          <w:rFonts w:asciiTheme="minorEastAsia" w:eastAsiaTheme="minorEastAsia" w:hAnsiTheme="minorEastAsia" w:hint="eastAsia"/>
          <w:szCs w:val="21"/>
        </w:rPr>
        <w:t>，基金托管人应提供充分协助</w:t>
      </w:r>
      <w:r w:rsidRPr="0001503D">
        <w:rPr>
          <w:rFonts w:asciiTheme="minorEastAsia" w:eastAsiaTheme="minorEastAsia" w:hAnsiTheme="minorEastAsia"/>
          <w:szCs w:val="21"/>
        </w:rPr>
        <w:t>。</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3、</w:t>
      </w:r>
      <w:r w:rsidR="002F5370" w:rsidRPr="0001503D">
        <w:rPr>
          <w:rFonts w:asciiTheme="minorEastAsia" w:eastAsiaTheme="minorEastAsia" w:hAnsiTheme="minorEastAsia"/>
          <w:szCs w:val="21"/>
        </w:rPr>
        <w:t>基金资金账户的开立和管理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w:t>
      </w:r>
      <w:r w:rsidRPr="0001503D">
        <w:rPr>
          <w:rFonts w:asciiTheme="minorEastAsia" w:eastAsiaTheme="minorEastAsia" w:hAnsiTheme="minorEastAsia" w:hint="eastAsia"/>
          <w:szCs w:val="21"/>
        </w:rPr>
        <w:t>应负责本基金的资金账户的开设和管理</w:t>
      </w:r>
      <w:r w:rsidRPr="0001503D">
        <w:rPr>
          <w:rFonts w:asciiTheme="minorEastAsia" w:eastAsiaTheme="minorEastAsia" w:hAnsiTheme="minorEastAsia"/>
          <w:szCs w:val="21"/>
        </w:rPr>
        <w:t>。</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)基金托管人可以本基金的名义在其营业机构开设本基金的资金账户</w:t>
      </w:r>
      <w:r w:rsidRPr="0001503D">
        <w:rPr>
          <w:rFonts w:asciiTheme="minorEastAsia" w:eastAsiaTheme="minorEastAsia" w:hAnsiTheme="minorEastAsia"/>
          <w:szCs w:val="21"/>
        </w:rPr>
        <w:t>，并根据基金管理人合法合规的指令办理资金收付</w:t>
      </w:r>
      <w:r w:rsidRPr="0001503D">
        <w:rPr>
          <w:rFonts w:asciiTheme="minorEastAsia" w:eastAsiaTheme="minorEastAsia" w:hAnsiTheme="minorEastAsia" w:hint="eastAsia"/>
          <w:szCs w:val="21"/>
        </w:rPr>
        <w:t>。本基金的银行预留印鉴由基金托管人保管和使用。本基金的一切货币收支活动，包括但不限于投资、支付赎回金额、支付基金收益、收取申购款，均需通过本基金的资金账户进行。</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(3)</w:t>
      </w:r>
      <w:r w:rsidRPr="0001503D">
        <w:rPr>
          <w:rFonts w:asciiTheme="minorEastAsia" w:eastAsiaTheme="minorEastAsia" w:hAnsiTheme="minor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基金资金账户的开立和管理应符合</w:t>
      </w:r>
      <w:r w:rsidRPr="0001503D">
        <w:rPr>
          <w:rFonts w:asciiTheme="minorEastAsia" w:eastAsiaTheme="minorEastAsia" w:hAnsiTheme="minorEastAsia" w:hint="eastAsia"/>
          <w:szCs w:val="21"/>
        </w:rPr>
        <w:t>相关法律法规的有关</w:t>
      </w:r>
      <w:r w:rsidRPr="0001503D">
        <w:rPr>
          <w:rFonts w:asciiTheme="minorEastAsia" w:eastAsiaTheme="minorEastAsia" w:hAnsiTheme="minorEastAsia"/>
          <w:szCs w:val="21"/>
        </w:rPr>
        <w:t>规定。</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(5)</w:t>
      </w:r>
      <w:r w:rsidRPr="0001503D">
        <w:rPr>
          <w:rFonts w:asciiTheme="minorEastAsia" w:eastAsiaTheme="minorEastAsia" w:hAnsiTheme="minorEastAsia"/>
          <w:szCs w:val="21"/>
        </w:rPr>
        <w:t>在符合法律法规规定的条件下，基金托管人可以通过基金托管人专用账户办理基金资产的支付。</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szCs w:val="21"/>
        </w:rPr>
        <w:t>基金证券账户的开立和管理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基金托管人在中国证券登记结算有限责任公司上海分公司、深圳分公司为基金开立基金托管人与基金联名的证券账户。</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基金托管人以自身法人名义在中国证券登记结算</w:t>
      </w:r>
      <w:r w:rsidRPr="0001503D">
        <w:rPr>
          <w:rFonts w:asciiTheme="minorEastAsia" w:eastAsiaTheme="minorEastAsia" w:hAnsiTheme="minorEastAsia" w:hint="eastAsia"/>
          <w:szCs w:val="21"/>
        </w:rPr>
        <w:t>有限责任</w:t>
      </w:r>
      <w:r w:rsidRPr="0001503D">
        <w:rPr>
          <w:rFonts w:asciiTheme="minorEastAsia" w:eastAsiaTheme="minorEastAsia" w:hAnsiTheme="minorEastAsia"/>
          <w:szCs w:val="21"/>
        </w:rPr>
        <w:t>公司开立结算备付金账户，并代表所托管的基金完成与中国证券登记结算有限责任公司的一级法人清算工作</w:t>
      </w:r>
      <w:r w:rsidRPr="0001503D">
        <w:rPr>
          <w:rFonts w:asciiTheme="minorEastAsia" w:eastAsiaTheme="minorEastAsia" w:hAnsiTheme="minorEastAsia" w:hint="eastAsia"/>
          <w:szCs w:val="21"/>
        </w:rPr>
        <w:t>，基金管理人应予以积极协助</w:t>
      </w:r>
      <w:r w:rsidRPr="0001503D">
        <w:rPr>
          <w:rFonts w:asciiTheme="minorEastAsia" w:eastAsiaTheme="minorEastAsia" w:hAnsiTheme="minorEastAsia"/>
          <w:szCs w:val="21"/>
        </w:rPr>
        <w:t>。结算备付金的收取按照中国证券登记结算</w:t>
      </w:r>
      <w:r w:rsidRPr="0001503D">
        <w:rPr>
          <w:rFonts w:asciiTheme="minorEastAsia" w:eastAsiaTheme="minorEastAsia" w:hAnsiTheme="minorEastAsia" w:hint="eastAsia"/>
          <w:szCs w:val="21"/>
        </w:rPr>
        <w:t>有限责任</w:t>
      </w:r>
      <w:r w:rsidRPr="0001503D">
        <w:rPr>
          <w:rFonts w:asciiTheme="minorEastAsia" w:eastAsiaTheme="minorEastAsia" w:hAnsiTheme="minorEastAsia"/>
          <w:szCs w:val="21"/>
        </w:rPr>
        <w:t>公司的规定执行。</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(4)</w:t>
      </w:r>
      <w:r w:rsidRPr="0001503D">
        <w:rPr>
          <w:rFonts w:asciiTheme="minorEastAsia" w:eastAsiaTheme="minorEastAsia" w:hAnsiTheme="minorEastAsia"/>
          <w:szCs w:val="21"/>
        </w:rPr>
        <w:t>基金证券账户的开立和证券账户卡的保管由基金托管人负责，账户资产的管理和运</w:t>
      </w:r>
      <w:r w:rsidRPr="0001503D">
        <w:rPr>
          <w:rFonts w:asciiTheme="minorEastAsia" w:eastAsiaTheme="minorEastAsia" w:hAnsiTheme="minorEastAsia"/>
          <w:szCs w:val="21"/>
        </w:rPr>
        <w:lastRenderedPageBreak/>
        <w:t>用由基金管理人负责。</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(5)在托管协议生效日之后，本基金被允许从事其他投资品种的投资业务，涉及相关账户的开设、使用的，按有关规定开设、使用并管理；若无相关规定，则基金托管人应当比照并遵守上述关于账户开设、使用的规定。</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5、</w:t>
      </w:r>
      <w:r w:rsidR="002F5370" w:rsidRPr="0001503D">
        <w:rPr>
          <w:rFonts w:asciiTheme="minorEastAsia" w:eastAsiaTheme="minorEastAsia" w:hAnsiTheme="minorEastAsia"/>
          <w:szCs w:val="21"/>
        </w:rPr>
        <w:t>债券托管专户的开设和管理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szCs w:val="21"/>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6、</w:t>
      </w:r>
      <w:r w:rsidR="002F5370" w:rsidRPr="0001503D">
        <w:rPr>
          <w:rFonts w:asciiTheme="minorEastAsia" w:eastAsiaTheme="minorEastAsia" w:hAnsiTheme="minorEastAsia"/>
          <w:szCs w:val="21"/>
        </w:rPr>
        <w:t>其他账户的开立和管理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因业务发展需要而开立的其他账户，可以根据法律法规和基金合同的规定，</w:t>
      </w:r>
      <w:r w:rsidRPr="0001503D">
        <w:rPr>
          <w:rFonts w:asciiTheme="minorEastAsia" w:eastAsiaTheme="minorEastAsia" w:hAnsiTheme="minorEastAsia" w:hint="eastAsia"/>
          <w:szCs w:val="21"/>
        </w:rPr>
        <w:t>在</w:t>
      </w:r>
      <w:r w:rsidRPr="0001503D">
        <w:rPr>
          <w:rFonts w:asciiTheme="minorEastAsia" w:eastAsiaTheme="minorEastAsia" w:hAnsiTheme="minorEastAsia"/>
          <w:szCs w:val="21"/>
        </w:rPr>
        <w:t>基金</w:t>
      </w:r>
      <w:r w:rsidRPr="0001503D">
        <w:rPr>
          <w:rFonts w:asciiTheme="minorEastAsia" w:eastAsiaTheme="minorEastAsia" w:hAnsiTheme="minorEastAsia" w:hint="eastAsia"/>
          <w:szCs w:val="21"/>
        </w:rPr>
        <w:t>管理人和基金</w:t>
      </w:r>
      <w:r w:rsidRPr="0001503D">
        <w:rPr>
          <w:rFonts w:asciiTheme="minorEastAsia" w:eastAsiaTheme="minorEastAsia" w:hAnsiTheme="minorEastAsia"/>
          <w:szCs w:val="21"/>
        </w:rPr>
        <w:t>托管人</w:t>
      </w:r>
      <w:r w:rsidRPr="0001503D">
        <w:rPr>
          <w:rFonts w:asciiTheme="minorEastAsia" w:eastAsiaTheme="minorEastAsia" w:hAnsiTheme="minorEastAsia" w:hint="eastAsia"/>
          <w:szCs w:val="21"/>
        </w:rPr>
        <w:t>商议后由基金托管人负责</w:t>
      </w:r>
      <w:r w:rsidRPr="0001503D">
        <w:rPr>
          <w:rFonts w:asciiTheme="minorEastAsia" w:eastAsiaTheme="minorEastAsia" w:hAnsiTheme="minorEastAsia"/>
          <w:szCs w:val="21"/>
        </w:rPr>
        <w:t>开立。新账户按有关规则使用并管理。</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法律法规等有关规定对相关账户的开立和管理另有规定的，从其规定办理。</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szCs w:val="21"/>
        </w:rPr>
        <w:t>基金财产投资的有关有价凭证等的保管</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szCs w:val="21"/>
        </w:rPr>
        <w:t>基金财产投资的有关实物证券</w:t>
      </w:r>
      <w:r w:rsidRPr="0001503D">
        <w:rPr>
          <w:rFonts w:asciiTheme="minorEastAsia" w:eastAsiaTheme="minorEastAsia" w:hAnsiTheme="minorEastAsia" w:hint="eastAsia"/>
          <w:szCs w:val="21"/>
        </w:rPr>
        <w:t>、银行定期存款存单等有价凭证</w:t>
      </w:r>
      <w:r w:rsidRPr="0001503D">
        <w:rPr>
          <w:rFonts w:asciiTheme="minorEastAsia" w:eastAsiaTheme="minorEastAsia" w:hAnsiTheme="minorEastAsia"/>
          <w:szCs w:val="21"/>
        </w:rPr>
        <w:t>由基金托管人</w:t>
      </w:r>
      <w:r w:rsidRPr="0001503D">
        <w:rPr>
          <w:rFonts w:asciiTheme="minorEastAsia" w:eastAsiaTheme="minorEastAsia" w:hAnsiTheme="minorEastAsia" w:hint="eastAsia"/>
          <w:szCs w:val="21"/>
        </w:rPr>
        <w:t>负责妥善保管，保管凭证由基金托管人持有</w:t>
      </w:r>
      <w:r w:rsidRPr="0001503D">
        <w:rPr>
          <w:rFonts w:asciiTheme="minorEastAsia" w:eastAsiaTheme="minorEastAsia" w:hAnsiTheme="minorEastAsia"/>
          <w:szCs w:val="21"/>
        </w:rPr>
        <w:t>。实物证券的购买和转让，由基金托管人根据基金管理人的指令办理。属于基金托管人实际有效控制下的实物证券在基金托管人保管期间的损坏、灭失，由此产生的责任应由基金托管人承担。</w:t>
      </w:r>
      <w:r w:rsidRPr="0001503D">
        <w:rPr>
          <w:rFonts w:asciiTheme="minorEastAsia" w:eastAsiaTheme="minorEastAsia" w:hAnsiTheme="minorEastAsia" w:hint="eastAsia"/>
          <w:szCs w:val="21"/>
        </w:rPr>
        <w:t>基金</w:t>
      </w:r>
      <w:r w:rsidRPr="0001503D">
        <w:rPr>
          <w:rFonts w:asciiTheme="minorEastAsia" w:eastAsiaTheme="minorEastAsia" w:hAnsiTheme="minorEastAsia"/>
          <w:szCs w:val="21"/>
        </w:rPr>
        <w:t>托管人对</w:t>
      </w:r>
      <w:r w:rsidRPr="0001503D">
        <w:rPr>
          <w:rFonts w:asciiTheme="minorEastAsia" w:eastAsiaTheme="minorEastAsia" w:hAnsiTheme="minorEastAsia" w:hint="eastAsia"/>
          <w:szCs w:val="21"/>
        </w:rPr>
        <w:t>基金</w:t>
      </w:r>
      <w:r w:rsidRPr="0001503D">
        <w:rPr>
          <w:rFonts w:asciiTheme="minorEastAsia" w:eastAsiaTheme="minorEastAsia" w:hAnsiTheme="minorEastAsia"/>
          <w:szCs w:val="21"/>
        </w:rPr>
        <w:t>托管人以外机构实际有效控制的证券不承担保管责任。</w:t>
      </w:r>
    </w:p>
    <w:p w:rsidR="002F5370" w:rsidRPr="0001503D" w:rsidRDefault="00A43A99"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8、</w:t>
      </w:r>
      <w:r w:rsidR="002F5370" w:rsidRPr="0001503D">
        <w:rPr>
          <w:rFonts w:asciiTheme="minorEastAsia" w:eastAsiaTheme="minorEastAsia" w:hAnsiTheme="minorEastAsia"/>
          <w:szCs w:val="21"/>
        </w:rPr>
        <w:t>与基金财产有关的重大合同的保管</w:t>
      </w:r>
    </w:p>
    <w:p w:rsidR="002F5370" w:rsidRPr="0001503D" w:rsidRDefault="002F5370" w:rsidP="000B57E8">
      <w:pPr>
        <w:adjustRightInd w:val="0"/>
        <w:snapToGrid w:val="0"/>
        <w:spacing w:line="360" w:lineRule="auto"/>
        <w:ind w:firstLine="480"/>
        <w:rPr>
          <w:rFonts w:asciiTheme="minorEastAsia" w:eastAsiaTheme="minorEastAsia" w:hAnsiTheme="minorEastAsia"/>
          <w:szCs w:val="21"/>
        </w:rPr>
      </w:pPr>
      <w:r w:rsidRPr="0001503D">
        <w:rPr>
          <w:rFonts w:asciiTheme="minorEastAsia" w:eastAsiaTheme="minorEastAsia" w:hAnsiTheme="minorEastAsia"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9" w:name="_Toc238870150"/>
      <w:bookmarkStart w:id="950" w:name="_Toc28803632"/>
      <w:bookmarkEnd w:id="947"/>
      <w:bookmarkEnd w:id="948"/>
      <w:r w:rsidRPr="0001503D">
        <w:rPr>
          <w:rFonts w:asciiTheme="minorEastAsia" w:eastAsiaTheme="minorEastAsia" w:hAnsiTheme="minorEastAsia" w:hint="eastAsia"/>
          <w:b w:val="0"/>
          <w:bCs/>
        </w:rPr>
        <w:t>（五）基金资产净值计算与复核</w:t>
      </w:r>
      <w:bookmarkEnd w:id="949"/>
      <w:bookmarkEnd w:id="950"/>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基金资产净值的计算及</w:t>
      </w:r>
      <w:r w:rsidR="002F5370" w:rsidRPr="0001503D">
        <w:rPr>
          <w:rFonts w:asciiTheme="minorEastAsia" w:eastAsiaTheme="minorEastAsia" w:hAnsiTheme="minorEastAsia" w:hint="eastAsia"/>
          <w:szCs w:val="21"/>
        </w:rPr>
        <w:t>复核</w:t>
      </w:r>
      <w:r w:rsidR="002F5370" w:rsidRPr="0001503D">
        <w:rPr>
          <w:rFonts w:asciiTheme="minorEastAsia" w:eastAsiaTheme="minorEastAsia" w:hAnsiTheme="minorEastAsia"/>
          <w:szCs w:val="21"/>
        </w:rPr>
        <w:t>程序</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基金资产净值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基金资产净值是指基金资产总值减去负债后的金额。</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基金份额净值是指基金资产净值除以基金份额总数</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基金份额净值的计算，精确到0.001元，小数点后第</w:t>
      </w:r>
      <w:r w:rsidRPr="0001503D">
        <w:rPr>
          <w:rFonts w:asciiTheme="minorEastAsia" w:eastAsiaTheme="minorEastAsia" w:hAnsiTheme="minorEastAsia" w:hint="eastAsia"/>
          <w:szCs w:val="21"/>
        </w:rPr>
        <w:t>四</w:t>
      </w:r>
      <w:r w:rsidRPr="0001503D">
        <w:rPr>
          <w:rFonts w:asciiTheme="minorEastAsia" w:eastAsiaTheme="minorEastAsia" w:hAnsiTheme="minorEastAsia"/>
          <w:szCs w:val="21"/>
        </w:rPr>
        <w:t>位四舍五入。</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相关的证券交易场所的正常营业日，以及国家法律法规规定需要对外披露基金净值的非营业日</w:t>
      </w:r>
      <w:r w:rsidRPr="0001503D">
        <w:rPr>
          <w:rFonts w:asciiTheme="minorEastAsia" w:eastAsiaTheme="minorEastAsia" w:hAnsiTheme="minorEastAsia"/>
          <w:szCs w:val="21"/>
        </w:rPr>
        <w:t>计算基金资产净值及基金份额净值，并按规定公告。</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lastRenderedPageBreak/>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复核程序</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基金管理人每工作日对基金资产进行估值后，将基金份额净值结果发送基金托管人，经基金托管人复核无误后，由基金管理人对外公布。</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szCs w:val="21"/>
        </w:rPr>
        <w:t>基金资产估值方法和特殊情形的处理</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估值对象</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基金依法拥有的</w:t>
      </w:r>
      <w:r w:rsidRPr="0001503D">
        <w:rPr>
          <w:rFonts w:asciiTheme="minorEastAsia" w:eastAsiaTheme="minorEastAsia" w:hAnsiTheme="minorEastAsia" w:hint="eastAsia"/>
          <w:szCs w:val="21"/>
        </w:rPr>
        <w:t>股票、债券、权证及其他基金资产</w:t>
      </w:r>
      <w:r w:rsidRPr="0001503D">
        <w:rPr>
          <w:rFonts w:asciiTheme="minorEastAsia" w:eastAsiaTheme="minorEastAsia" w:hAnsiTheme="minorEastAsia"/>
          <w:szCs w:val="21"/>
        </w:rPr>
        <w:t>。</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估值方法</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1）</w:t>
      </w:r>
      <w:r w:rsidRPr="0001503D">
        <w:rPr>
          <w:rFonts w:asciiTheme="minorEastAsia" w:eastAsiaTheme="minorEastAsia" w:hAnsiTheme="minorEastAsia"/>
          <w:szCs w:val="21"/>
        </w:rPr>
        <w:t>股票估值方法：</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①上市股票的估值：</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②</w:t>
      </w:r>
      <w:r w:rsidRPr="0001503D">
        <w:rPr>
          <w:rFonts w:asciiTheme="minorEastAsia" w:eastAsiaTheme="minorEastAsia" w:hAnsiTheme="minorEastAsia"/>
          <w:szCs w:val="21"/>
        </w:rPr>
        <w:t>未上市股票的估值</w:t>
      </w:r>
      <w:r w:rsidRPr="0001503D">
        <w:rPr>
          <w:rFonts w:asciiTheme="minorEastAsia" w:eastAsiaTheme="minorEastAsia" w:hAnsiTheme="minorEastAsia" w:hint="eastAsia"/>
          <w:szCs w:val="21"/>
        </w:rPr>
        <w:t>:</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A.</w:t>
      </w:r>
      <w:r w:rsidRPr="0001503D">
        <w:rPr>
          <w:rFonts w:asciiTheme="minorEastAsia" w:eastAsiaTheme="minorEastAsia" w:hAnsiTheme="minorEastAsia"/>
          <w:szCs w:val="21"/>
        </w:rPr>
        <w:t>首次发行</w:t>
      </w:r>
      <w:r w:rsidRPr="0001503D">
        <w:rPr>
          <w:rFonts w:asciiTheme="minorEastAsia" w:eastAsiaTheme="minorEastAsia" w:hAnsiTheme="minorEastAsia" w:hint="eastAsia"/>
          <w:szCs w:val="21"/>
        </w:rPr>
        <w:t>未上市</w:t>
      </w:r>
      <w:r w:rsidRPr="0001503D">
        <w:rPr>
          <w:rFonts w:asciiTheme="minorEastAsia" w:eastAsiaTheme="minorEastAsia" w:hAnsiTheme="minorEastAsia"/>
          <w:szCs w:val="21"/>
        </w:rPr>
        <w:t>的股票，采用估值技术确定公允价值，在估值技术难以可靠计量公允价值的情况下，按成本价估值</w:t>
      </w:r>
      <w:r w:rsidRPr="0001503D">
        <w:rPr>
          <w:rFonts w:asciiTheme="minorEastAsia" w:eastAsiaTheme="minorEastAsia" w:hAnsiTheme="minorEastAsia" w:hint="eastAsia"/>
          <w:szCs w:val="21"/>
        </w:rPr>
        <w:t>；</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B.</w:t>
      </w:r>
      <w:r w:rsidRPr="0001503D">
        <w:rPr>
          <w:rFonts w:asciiTheme="minorEastAsia" w:eastAsiaTheme="minorEastAsia" w:hAnsiTheme="minorEastAsia"/>
          <w:szCs w:val="21"/>
        </w:rPr>
        <w:t>送股、转增股、配股和</w:t>
      </w:r>
      <w:r w:rsidRPr="0001503D">
        <w:rPr>
          <w:rFonts w:asciiTheme="minorEastAsia" w:eastAsiaTheme="minorEastAsia" w:hAnsiTheme="minorEastAsia" w:hint="eastAsia"/>
          <w:szCs w:val="21"/>
        </w:rPr>
        <w:t>公开增发新股等发行未上市</w:t>
      </w:r>
      <w:r w:rsidRPr="0001503D">
        <w:rPr>
          <w:rFonts w:asciiTheme="minorEastAsia" w:eastAsiaTheme="minorEastAsia" w:hAnsiTheme="minorEastAsia"/>
          <w:szCs w:val="21"/>
        </w:rPr>
        <w:t>的股票，</w:t>
      </w:r>
      <w:r w:rsidRPr="0001503D">
        <w:rPr>
          <w:rFonts w:asciiTheme="minorEastAsia" w:eastAsiaTheme="minorEastAsia" w:hAnsiTheme="minorEastAsia" w:hint="eastAsia"/>
          <w:szCs w:val="21"/>
        </w:rPr>
        <w:t>按估值日在证券交易所上市的同一股票的估值价格进行估值；</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C.首次公开发行有明确锁定期的股票，同一股票在交易所上市后，按估值日在证券交易所上市的同一股票的估值价格进行估值；</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D.非公开发行的且在发行时明确一定期限锁定期的股票，按监管机构或行业协会有关规定确定公允价值。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③</w:t>
      </w:r>
      <w:r w:rsidRPr="0001503D">
        <w:rPr>
          <w:rFonts w:asciiTheme="minorEastAsia" w:eastAsiaTheme="minorEastAsia" w:hAnsiTheme="minorEastAsia"/>
          <w:szCs w:val="21"/>
        </w:rPr>
        <w:t>在任何情况下，基金管理人如采用本项第</w:t>
      </w:r>
      <w:r w:rsidRPr="0001503D">
        <w:rPr>
          <w:rFonts w:asciiTheme="minorEastAsia" w:eastAsiaTheme="minorEastAsia" w:hAnsiTheme="minorEastAsia" w:hint="eastAsia"/>
          <w:szCs w:val="21"/>
        </w:rPr>
        <w:t>①</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②</w:t>
      </w:r>
      <w:r w:rsidRPr="0001503D">
        <w:rPr>
          <w:rFonts w:asciiTheme="minorEastAsia" w:eastAsiaTheme="minorEastAsia" w:hAnsiTheme="minorEastAsia"/>
          <w:szCs w:val="21"/>
        </w:rPr>
        <w:t>小项规定的方法对基金资产进行估值，均应被认为采用了适当的估值方法。但是，如果基金管理人认为按本项第</w:t>
      </w:r>
      <w:r w:rsidRPr="0001503D">
        <w:rPr>
          <w:rFonts w:asciiTheme="minorEastAsia" w:eastAsiaTheme="minorEastAsia" w:hAnsiTheme="minorEastAsia" w:hint="eastAsia"/>
          <w:szCs w:val="21"/>
        </w:rPr>
        <w:t>①</w:t>
      </w:r>
      <w:r w:rsidRPr="0001503D">
        <w:rPr>
          <w:rFonts w:asciiTheme="minorEastAsia" w:eastAsiaTheme="minorEastAsia" w:hAnsiTheme="minorEastAsia"/>
          <w:szCs w:val="21"/>
        </w:rPr>
        <w:t>－</w:t>
      </w:r>
      <w:r w:rsidRPr="0001503D">
        <w:rPr>
          <w:rFonts w:asciiTheme="minorEastAsia" w:eastAsiaTheme="minorEastAsia" w:hAnsiTheme="minorEastAsia" w:hint="eastAsia"/>
          <w:szCs w:val="21"/>
        </w:rPr>
        <w:t>②</w:t>
      </w:r>
      <w:r w:rsidRPr="0001503D">
        <w:rPr>
          <w:rFonts w:asciiTheme="minorEastAsia" w:eastAsiaTheme="minorEastAsia" w:hAnsiTheme="minorEastAsia"/>
          <w:szCs w:val="21"/>
        </w:rPr>
        <w:t>小项规定的方法对基金资产进行估值不能客观反映其公允价值的，基金管理人可根据具体情况，并与基金托管人商定后，按最能反映公允价值的价格估值；</w:t>
      </w:r>
    </w:p>
    <w:p w:rsidR="002F5370" w:rsidRPr="0001503D"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01503D">
        <w:rPr>
          <w:rFonts w:asciiTheme="minorEastAsia" w:eastAsiaTheme="minorEastAsia" w:hAnsiTheme="minorEastAsia" w:hint="eastAsia"/>
          <w:szCs w:val="21"/>
        </w:rPr>
        <w:t>④</w:t>
      </w:r>
      <w:r w:rsidRPr="0001503D">
        <w:rPr>
          <w:rFonts w:asciiTheme="minorEastAsia" w:eastAsiaTheme="minorEastAsia" w:hAnsiTheme="minorEastAsia"/>
          <w:szCs w:val="21"/>
        </w:rPr>
        <w:t>国家有最新规定的，按其规定进行估值。</w:t>
      </w:r>
    </w:p>
    <w:p w:rsidR="002F5370" w:rsidRPr="0001503D" w:rsidRDefault="002F5370" w:rsidP="000B57E8">
      <w:pPr>
        <w:pStyle w:val="12"/>
        <w:snapToGrid w:val="0"/>
        <w:spacing w:before="0" w:beforeAutospacing="0" w:after="0" w:afterAutospacing="0"/>
        <w:rPr>
          <w:rFonts w:asciiTheme="minorEastAsia" w:eastAsiaTheme="minorEastAsia" w:hAnsiTheme="minorEastAsia"/>
          <w:szCs w:val="21"/>
        </w:rPr>
      </w:pPr>
      <w:r w:rsidRPr="0001503D">
        <w:rPr>
          <w:rStyle w:val="read"/>
          <w:rFonts w:asciiTheme="minorEastAsia" w:eastAsiaTheme="minorEastAsia" w:hAnsiTheme="minorEastAsia" w:hint="eastAsia"/>
          <w:szCs w:val="21"/>
        </w:rPr>
        <w:t>2）</w:t>
      </w:r>
      <w:r w:rsidRPr="0001503D">
        <w:rPr>
          <w:rStyle w:val="read"/>
          <w:rFonts w:asciiTheme="minorEastAsia" w:eastAsiaTheme="minorEastAsia" w:hAnsiTheme="minorEastAsia"/>
          <w:szCs w:val="21"/>
        </w:rPr>
        <w:t>债券估值</w:t>
      </w:r>
      <w:r w:rsidRPr="0001503D">
        <w:rPr>
          <w:rStyle w:val="read"/>
          <w:rFonts w:asciiTheme="minorEastAsia" w:eastAsiaTheme="minorEastAsia" w:hAnsiTheme="minorEastAsia" w:hint="eastAsia"/>
          <w:szCs w:val="21"/>
        </w:rPr>
        <w:t>方</w:t>
      </w:r>
      <w:r w:rsidRPr="0001503D">
        <w:rPr>
          <w:rStyle w:val="read"/>
          <w:rFonts w:asciiTheme="minorEastAsia" w:eastAsiaTheme="minorEastAsia" w:hAnsiTheme="minorEastAsia"/>
          <w:szCs w:val="21"/>
        </w:rPr>
        <w:t>法：</w:t>
      </w:r>
    </w:p>
    <w:p w:rsidR="002F5370" w:rsidRPr="0001503D" w:rsidRDefault="002F5370" w:rsidP="000B57E8">
      <w:pPr>
        <w:tabs>
          <w:tab w:val="left" w:pos="2340"/>
        </w:tabs>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①</w:t>
      </w:r>
      <w:r w:rsidRPr="0001503D">
        <w:rPr>
          <w:rFonts w:asciiTheme="minorEastAsia" w:eastAsiaTheme="minorEastAsia" w:hAnsiTheme="minorEastAsia" w:hint="eastAsia"/>
          <w:szCs w:val="21"/>
        </w:rPr>
        <w:t>在证券交易所市场挂牌交易且实行净价交易的债券按估值日收盘价估值；估值日没有交易的，且</w:t>
      </w:r>
      <w:r w:rsidRPr="0001503D">
        <w:rPr>
          <w:rFonts w:asciiTheme="minorEastAsia" w:eastAsiaTheme="minorEastAsia" w:hAnsiTheme="minorEastAsia"/>
          <w:szCs w:val="21"/>
        </w:rPr>
        <w:t>最近交易日后经济环境未发生重大变化，</w:t>
      </w:r>
      <w:r w:rsidRPr="0001503D">
        <w:rPr>
          <w:rFonts w:asciiTheme="minorEastAsia" w:eastAsiaTheme="minorEastAsia" w:hAnsiTheme="minorEastAsia" w:hint="eastAsia"/>
          <w:szCs w:val="21"/>
        </w:rPr>
        <w:t>按最近交易日的收盘价估值；如果估值日无交易，且最近交易日后经济环境发生了重大变化的，将参考类似投资品种的现行市价及重大变化因素，调整最近交易日收盘价，确定公允价值进行估值。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②</w:t>
      </w:r>
      <w:r w:rsidRPr="0001503D">
        <w:rPr>
          <w:rFonts w:asciiTheme="minorEastAsia" w:eastAsiaTheme="minorEastAsia" w:hAnsiTheme="minorEastAsia" w:hint="eastAsia"/>
          <w:szCs w:val="21"/>
        </w:rPr>
        <w:t>在证券交易所市场挂牌交易且未实行净价交易的债券按估值日收盘价减去债券收盘</w:t>
      </w:r>
      <w:r w:rsidRPr="0001503D">
        <w:rPr>
          <w:rFonts w:asciiTheme="minorEastAsia" w:eastAsiaTheme="minorEastAsia" w:hAnsiTheme="minorEastAsia" w:hint="eastAsia"/>
          <w:szCs w:val="21"/>
        </w:rPr>
        <w:lastRenderedPageBreak/>
        <w:t>价中所含的债券应收利息得到的净价进行估值；估值日没有交易的，且</w:t>
      </w:r>
      <w:r w:rsidRPr="0001503D">
        <w:rPr>
          <w:rFonts w:asciiTheme="minorEastAsia" w:eastAsiaTheme="minorEastAsia" w:hAnsiTheme="minorEastAsia"/>
          <w:szCs w:val="21"/>
        </w:rPr>
        <w:t>最近交易日后经济环境未发生重大变化，</w:t>
      </w:r>
      <w:r w:rsidRPr="0001503D">
        <w:rPr>
          <w:rFonts w:asciiTheme="minorEastAsia" w:eastAsiaTheme="minorEastAsia" w:hAnsiTheme="minorEastAsia" w:hint="eastAsia"/>
          <w:szCs w:val="21"/>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③</w:t>
      </w:r>
      <w:r w:rsidRPr="0001503D">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④交易所以大宗交易方式转让的资产支持证券，采用估值技术确定公允价值，在估值技术难以可靠计量公允价值的情况下，按成本进行后续计量。</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⑤</w:t>
      </w:r>
      <w:r w:rsidRPr="0001503D">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⑥同一债券同时在两个或两个以上市场交易的，按债券所处的市场分别估值。</w:t>
      </w:r>
    </w:p>
    <w:p w:rsidR="002F5370" w:rsidRPr="0001503D"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01503D">
        <w:rPr>
          <w:rStyle w:val="read"/>
          <w:rFonts w:asciiTheme="minorEastAsia" w:eastAsiaTheme="minorEastAsia" w:hAnsiTheme="minorEastAsia" w:hint="eastAsia"/>
          <w:szCs w:val="21"/>
        </w:rPr>
        <w:t>⑦</w:t>
      </w:r>
      <w:r w:rsidRPr="0001503D">
        <w:rPr>
          <w:rStyle w:val="read"/>
          <w:rFonts w:asciiTheme="minorEastAsia" w:eastAsiaTheme="minorEastAsia" w:hAnsiTheme="minorEastAsia"/>
          <w:szCs w:val="21"/>
        </w:rPr>
        <w:t>在任何情况下，基金管理人如采用本项第</w:t>
      </w:r>
      <w:r w:rsidRPr="0001503D">
        <w:rPr>
          <w:rFonts w:asciiTheme="minorEastAsia" w:eastAsiaTheme="minorEastAsia" w:hAnsiTheme="minorEastAsia" w:hint="eastAsia"/>
          <w:szCs w:val="21"/>
        </w:rPr>
        <w:t>①</w:t>
      </w:r>
      <w:r w:rsidRPr="0001503D">
        <w:rPr>
          <w:rStyle w:val="read"/>
          <w:rFonts w:asciiTheme="minorEastAsia" w:eastAsiaTheme="minorEastAsia" w:hAnsiTheme="minorEastAsia"/>
          <w:szCs w:val="21"/>
        </w:rPr>
        <w:t>－</w:t>
      </w:r>
      <w:r w:rsidRPr="0001503D">
        <w:rPr>
          <w:rFonts w:asciiTheme="minorEastAsia" w:eastAsiaTheme="minorEastAsia" w:hAnsiTheme="minorEastAsia" w:hint="eastAsia"/>
          <w:szCs w:val="21"/>
        </w:rPr>
        <w:t>⑥</w:t>
      </w:r>
      <w:r w:rsidRPr="0001503D">
        <w:rPr>
          <w:rStyle w:val="read"/>
          <w:rFonts w:asciiTheme="minorEastAsia" w:eastAsiaTheme="minorEastAsia" w:hAnsiTheme="minorEastAsia"/>
          <w:szCs w:val="21"/>
        </w:rPr>
        <w:t>小项规定的方法对基金资产进行估值，均应被认为采用了适当的估值方法。但是，如果基金管理人认为按本项第</w:t>
      </w:r>
      <w:r w:rsidRPr="0001503D">
        <w:rPr>
          <w:rFonts w:asciiTheme="minorEastAsia" w:eastAsiaTheme="minorEastAsia" w:hAnsiTheme="minorEastAsia" w:hint="eastAsia"/>
          <w:szCs w:val="21"/>
        </w:rPr>
        <w:t>①</w:t>
      </w:r>
      <w:r w:rsidRPr="0001503D">
        <w:rPr>
          <w:rStyle w:val="read"/>
          <w:rFonts w:asciiTheme="minorEastAsia" w:eastAsiaTheme="minorEastAsia" w:hAnsiTheme="minorEastAsia"/>
          <w:szCs w:val="21"/>
        </w:rPr>
        <w:t>－</w:t>
      </w:r>
      <w:r w:rsidRPr="0001503D">
        <w:rPr>
          <w:rFonts w:asciiTheme="minorEastAsia" w:eastAsiaTheme="minorEastAsia" w:hAnsiTheme="minorEastAsia" w:hint="eastAsia"/>
          <w:szCs w:val="21"/>
        </w:rPr>
        <w:t>⑥</w:t>
      </w:r>
      <w:r w:rsidRPr="0001503D">
        <w:rPr>
          <w:rStyle w:val="read"/>
          <w:rFonts w:asciiTheme="minorEastAsia" w:eastAsiaTheme="minorEastAsia" w:hAnsiTheme="minor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01503D"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⑧</w:t>
      </w:r>
      <w:r w:rsidRPr="0001503D">
        <w:rPr>
          <w:rFonts w:asciiTheme="minorEastAsia" w:eastAsiaTheme="minorEastAsia" w:hAnsiTheme="minorEastAsia" w:hint="eastAsia"/>
          <w:szCs w:val="21"/>
        </w:rPr>
        <w:t>国家有最新规定的，按其规定进行估值。</w:t>
      </w:r>
    </w:p>
    <w:p w:rsidR="002F5370" w:rsidRPr="0001503D" w:rsidRDefault="002F5370" w:rsidP="000B57E8">
      <w:pPr>
        <w:widowControl/>
        <w:adjustRightInd w:val="0"/>
        <w:snapToGrid w:val="0"/>
        <w:spacing w:line="360" w:lineRule="auto"/>
        <w:ind w:firstLineChars="200" w:firstLine="420"/>
        <w:rPr>
          <w:rStyle w:val="read"/>
          <w:rFonts w:asciiTheme="minorEastAsia" w:eastAsiaTheme="minorEastAsia" w:hAnsiTheme="minorEastAsia"/>
          <w:szCs w:val="21"/>
        </w:rPr>
      </w:pPr>
      <w:r w:rsidRPr="0001503D">
        <w:rPr>
          <w:rStyle w:val="read"/>
          <w:rFonts w:asciiTheme="minorEastAsia" w:eastAsiaTheme="minorEastAsia" w:hAnsiTheme="minorEastAsia" w:hint="eastAsia"/>
          <w:szCs w:val="21"/>
        </w:rPr>
        <w:t>3）</w:t>
      </w:r>
      <w:r w:rsidRPr="0001503D">
        <w:rPr>
          <w:rStyle w:val="read"/>
          <w:rFonts w:asciiTheme="minorEastAsia" w:eastAsiaTheme="minorEastAsia" w:hAnsiTheme="minorEastAsia"/>
          <w:szCs w:val="21"/>
        </w:rPr>
        <w:t>权证估值方法：</w:t>
      </w:r>
    </w:p>
    <w:p w:rsidR="002F5370" w:rsidRPr="0001503D"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①</w:t>
      </w:r>
      <w:r w:rsidRPr="0001503D">
        <w:rPr>
          <w:rFonts w:asciiTheme="minorEastAsia" w:eastAsiaTheme="minorEastAsia" w:hAnsiTheme="minor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01503D"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hint="eastAsia"/>
          <w:szCs w:val="21"/>
        </w:rPr>
        <w:t>②</w:t>
      </w:r>
      <w:r w:rsidRPr="0001503D">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01503D" w:rsidRDefault="002F5370" w:rsidP="000B57E8">
      <w:pPr>
        <w:snapToGrid w:val="0"/>
        <w:spacing w:line="360" w:lineRule="auto"/>
        <w:ind w:firstLineChars="200" w:firstLine="420"/>
        <w:rPr>
          <w:rStyle w:val="read"/>
          <w:rFonts w:asciiTheme="minorEastAsia" w:eastAsiaTheme="minorEastAsia" w:hAnsiTheme="minorEastAsia"/>
          <w:szCs w:val="21"/>
        </w:rPr>
      </w:pPr>
      <w:r w:rsidRPr="0001503D">
        <w:rPr>
          <w:rStyle w:val="read"/>
          <w:rFonts w:asciiTheme="minorEastAsia" w:eastAsiaTheme="minorEastAsia" w:hAnsiTheme="minorEastAsia" w:hint="eastAsia"/>
          <w:szCs w:val="21"/>
        </w:rPr>
        <w:t>③</w:t>
      </w:r>
      <w:r w:rsidRPr="0001503D">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④</w:t>
      </w:r>
      <w:r w:rsidRPr="0001503D">
        <w:rPr>
          <w:rFonts w:asciiTheme="minorEastAsia" w:eastAsiaTheme="minorEastAsia" w:hAnsiTheme="minorEastAsia"/>
          <w:szCs w:val="21"/>
        </w:rPr>
        <w:t>在任何情况下，基金管理人如采用本项第</w:t>
      </w:r>
      <w:r w:rsidRPr="0001503D">
        <w:rPr>
          <w:rFonts w:asciiTheme="minorEastAsia" w:eastAsiaTheme="minorEastAsia" w:hAnsiTheme="minorEastAsia" w:hint="eastAsia"/>
          <w:szCs w:val="21"/>
        </w:rPr>
        <w:t>①</w:t>
      </w:r>
      <w:r w:rsidRPr="0001503D">
        <w:rPr>
          <w:rStyle w:val="read"/>
          <w:rFonts w:asciiTheme="minorEastAsia" w:eastAsiaTheme="minorEastAsia" w:hAnsiTheme="minorEastAsia"/>
          <w:szCs w:val="21"/>
        </w:rPr>
        <w:t>－</w:t>
      </w:r>
      <w:r w:rsidRPr="0001503D">
        <w:rPr>
          <w:rFonts w:asciiTheme="minorEastAsia" w:eastAsiaTheme="minorEastAsia" w:hAnsiTheme="minorEastAsia" w:hint="eastAsia"/>
          <w:szCs w:val="21"/>
        </w:rPr>
        <w:t>③</w:t>
      </w:r>
      <w:r w:rsidRPr="0001503D">
        <w:rPr>
          <w:rFonts w:asciiTheme="minorEastAsia" w:eastAsiaTheme="minorEastAsia" w:hAnsiTheme="minorEastAsia"/>
          <w:szCs w:val="21"/>
        </w:rPr>
        <w:t>项规定的方法对基金资产进行估值，均应被认为采用了适当的估值方法。但是，如果基金管理人认为按本项第</w:t>
      </w:r>
      <w:r w:rsidRPr="0001503D">
        <w:rPr>
          <w:rFonts w:asciiTheme="minorEastAsia" w:eastAsiaTheme="minorEastAsia" w:hAnsiTheme="minorEastAsia" w:hint="eastAsia"/>
          <w:szCs w:val="21"/>
        </w:rPr>
        <w:t>①</w:t>
      </w:r>
      <w:r w:rsidRPr="0001503D">
        <w:rPr>
          <w:rStyle w:val="read"/>
          <w:rFonts w:asciiTheme="minorEastAsia" w:eastAsiaTheme="minorEastAsia" w:hAnsiTheme="minorEastAsia"/>
          <w:szCs w:val="21"/>
        </w:rPr>
        <w:t>－</w:t>
      </w:r>
      <w:r w:rsidRPr="0001503D">
        <w:rPr>
          <w:rFonts w:asciiTheme="minorEastAsia" w:eastAsiaTheme="minorEastAsia" w:hAnsiTheme="minorEastAsia" w:hint="eastAsia"/>
          <w:szCs w:val="21"/>
        </w:rPr>
        <w:t>③</w:t>
      </w:r>
      <w:r w:rsidRPr="0001503D">
        <w:rPr>
          <w:rFonts w:asciiTheme="minorEastAsia" w:eastAsiaTheme="minorEastAsia" w:hAnsiTheme="minorEastAsia"/>
          <w:szCs w:val="21"/>
        </w:rPr>
        <w:t>项规定的方法对基金资产进行估值不能客观反映其公允价值的，基金管理人可根据具体情况，并与基金托管人商定后，按最能反映公允价值的价格估值</w:t>
      </w:r>
      <w:r w:rsidRPr="0001503D">
        <w:rPr>
          <w:rFonts w:asciiTheme="minorEastAsia" w:eastAsiaTheme="minorEastAsia" w:hAnsiTheme="minorEastAsia" w:hint="eastAsia"/>
          <w:szCs w:val="21"/>
        </w:rPr>
        <w:t>。</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⑤</w:t>
      </w:r>
      <w:r w:rsidRPr="0001503D">
        <w:rPr>
          <w:rFonts w:asciiTheme="minorEastAsia" w:eastAsiaTheme="minorEastAsia" w:hAnsiTheme="minorEastAsia"/>
          <w:szCs w:val="21"/>
        </w:rPr>
        <w:t>国家有最新规定的，按其规定进行估值。</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4）其他有价证券等资产按国家有关规定进行估值。</w:t>
      </w:r>
    </w:p>
    <w:p w:rsidR="002F5370" w:rsidRPr="0001503D"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01503D">
        <w:rPr>
          <w:rStyle w:val="read"/>
          <w:rFonts w:asciiTheme="minorEastAsia" w:eastAsiaTheme="minorEastAsia" w:hAnsiTheme="minorEastAsia"/>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F5370" w:rsidRPr="0001503D"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01503D">
        <w:rPr>
          <w:rStyle w:val="read"/>
          <w:rFonts w:asciiTheme="minorEastAsia" w:eastAsiaTheme="minorEastAsia" w:hAnsiTheme="minorEastAsia" w:hint="eastAsia"/>
          <w:szCs w:val="21"/>
        </w:rPr>
        <w:t>(</w:t>
      </w:r>
      <w:r w:rsidRPr="0001503D">
        <w:rPr>
          <w:rStyle w:val="read"/>
          <w:rFonts w:asciiTheme="minorEastAsia" w:eastAsiaTheme="minorEastAsia" w:hAnsiTheme="minorEastAsia"/>
          <w:szCs w:val="21"/>
        </w:rPr>
        <w:t>3</w:t>
      </w:r>
      <w:r w:rsidRPr="0001503D">
        <w:rPr>
          <w:rStyle w:val="read"/>
          <w:rFonts w:asciiTheme="minorEastAsia" w:eastAsiaTheme="minorEastAsia" w:hAnsiTheme="minorEastAsia" w:hint="eastAsia"/>
          <w:szCs w:val="21"/>
        </w:rPr>
        <w:t>)</w:t>
      </w:r>
      <w:r w:rsidRPr="0001503D">
        <w:rPr>
          <w:rStyle w:val="read"/>
          <w:rFonts w:asciiTheme="minorEastAsia" w:eastAsiaTheme="minorEastAsia" w:hAnsiTheme="minorEastAsia"/>
          <w:szCs w:val="21"/>
        </w:rPr>
        <w:t>特殊情形的处理</w:t>
      </w:r>
    </w:p>
    <w:p w:rsidR="002F5370" w:rsidRPr="0001503D"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01503D">
        <w:rPr>
          <w:rStyle w:val="read"/>
          <w:rFonts w:asciiTheme="minorEastAsia" w:eastAsiaTheme="minorEastAsia" w:hAnsiTheme="minorEastAsia"/>
          <w:szCs w:val="21"/>
        </w:rPr>
        <w:t>基金管理人、基金托管人按股票估值方法的第</w:t>
      </w:r>
      <w:r w:rsidRPr="0001503D">
        <w:rPr>
          <w:rStyle w:val="read"/>
          <w:rFonts w:asciiTheme="minorEastAsia" w:eastAsiaTheme="minorEastAsia" w:hAnsiTheme="minorEastAsia" w:hint="eastAsia"/>
          <w:szCs w:val="21"/>
        </w:rPr>
        <w:t>③</w:t>
      </w:r>
      <w:r w:rsidRPr="0001503D">
        <w:rPr>
          <w:rStyle w:val="read"/>
          <w:rFonts w:asciiTheme="minorEastAsia" w:eastAsiaTheme="minorEastAsia" w:hAnsiTheme="minorEastAsia"/>
          <w:szCs w:val="21"/>
        </w:rPr>
        <w:t>项</w:t>
      </w:r>
      <w:r w:rsidRPr="0001503D">
        <w:rPr>
          <w:rStyle w:val="read"/>
          <w:rFonts w:asciiTheme="minorEastAsia" w:eastAsiaTheme="minorEastAsia" w:hAnsiTheme="minorEastAsia" w:hint="eastAsia"/>
          <w:szCs w:val="21"/>
        </w:rPr>
        <w:t>、</w:t>
      </w:r>
      <w:r w:rsidRPr="0001503D">
        <w:rPr>
          <w:rStyle w:val="read"/>
          <w:rFonts w:asciiTheme="minorEastAsia" w:eastAsiaTheme="minorEastAsia" w:hAnsiTheme="minorEastAsia"/>
          <w:szCs w:val="21"/>
        </w:rPr>
        <w:t>债券估值方法的第</w:t>
      </w:r>
      <w:r w:rsidRPr="0001503D">
        <w:rPr>
          <w:rStyle w:val="read"/>
          <w:rFonts w:asciiTheme="minorEastAsia" w:eastAsiaTheme="minorEastAsia" w:hAnsiTheme="minorEastAsia" w:hint="eastAsia"/>
          <w:szCs w:val="21"/>
        </w:rPr>
        <w:t>⑦</w:t>
      </w:r>
      <w:r w:rsidRPr="0001503D">
        <w:rPr>
          <w:rStyle w:val="read"/>
          <w:rFonts w:asciiTheme="minorEastAsia" w:eastAsiaTheme="minorEastAsia" w:hAnsiTheme="minorEastAsia"/>
          <w:szCs w:val="21"/>
        </w:rPr>
        <w:t>项</w:t>
      </w:r>
      <w:r w:rsidRPr="0001503D">
        <w:rPr>
          <w:rStyle w:val="read"/>
          <w:rFonts w:asciiTheme="minorEastAsia" w:eastAsiaTheme="minorEastAsia" w:hAnsiTheme="minorEastAsia" w:hint="eastAsia"/>
          <w:szCs w:val="21"/>
        </w:rPr>
        <w:t>、权证估值方法的第④项</w:t>
      </w:r>
      <w:r w:rsidRPr="0001503D">
        <w:rPr>
          <w:rStyle w:val="read"/>
          <w:rFonts w:asciiTheme="minorEastAsia" w:eastAsiaTheme="minorEastAsia" w:hAnsiTheme="minorEastAsia"/>
          <w:szCs w:val="21"/>
        </w:rPr>
        <w:t>进行估值时，所造成的误差不作为基金份额净值错误处理。</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1" w:name="_Toc238870151"/>
      <w:bookmarkStart w:id="952" w:name="_Toc28803633"/>
      <w:r w:rsidRPr="0001503D">
        <w:rPr>
          <w:rFonts w:asciiTheme="minorEastAsia" w:eastAsiaTheme="minorEastAsia" w:hAnsiTheme="minorEastAsia" w:hint="eastAsia"/>
          <w:b w:val="0"/>
          <w:bCs/>
        </w:rPr>
        <w:t>（六）基金份额持有人名册的保管</w:t>
      </w:r>
      <w:bookmarkEnd w:id="951"/>
      <w:bookmarkEnd w:id="952"/>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本基金的基金管理人和基金托管人须分别妥善保管的基金份额持有人名册，包括基金合同生效日、基金合同终止日、</w:t>
      </w:r>
      <w:r w:rsidRPr="0001503D">
        <w:rPr>
          <w:rFonts w:asciiTheme="minorEastAsia" w:eastAsiaTheme="minorEastAsia" w:hAnsiTheme="minorEastAsia"/>
          <w:szCs w:val="21"/>
        </w:rPr>
        <w:t>基金权益登记日、</w:t>
      </w:r>
      <w:r w:rsidRPr="0001503D">
        <w:rPr>
          <w:rFonts w:asciiTheme="minorEastAsia" w:eastAsiaTheme="minorEastAsia" w:hAnsiTheme="minorEastAsia" w:hint="eastAsia"/>
          <w:szCs w:val="21"/>
        </w:rPr>
        <w:t>基金份额持有人大会权益登记日、每年6月30日、12月31日的基金份额持有人名册。基金份额持有人名册的内容至少应包括持有人的名称和持有的基金份额。</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3" w:name="_Toc238870152"/>
      <w:bookmarkStart w:id="954" w:name="_Toc28803634"/>
      <w:r w:rsidRPr="0001503D">
        <w:rPr>
          <w:rFonts w:asciiTheme="minorEastAsia" w:eastAsiaTheme="minorEastAsia" w:hAnsiTheme="minorEastAsia" w:hint="eastAsia"/>
          <w:b w:val="0"/>
          <w:bCs/>
        </w:rPr>
        <w:t>（七）争议解决方式</w:t>
      </w:r>
      <w:bookmarkEnd w:id="953"/>
      <w:bookmarkEnd w:id="954"/>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因</w:t>
      </w:r>
      <w:r w:rsidRPr="0001503D">
        <w:rPr>
          <w:rFonts w:asciiTheme="minorEastAsia" w:eastAsiaTheme="minorEastAsia" w:hAnsiTheme="minorEastAsia" w:hint="eastAsia"/>
          <w:szCs w:val="21"/>
        </w:rPr>
        <w:t>托管</w:t>
      </w:r>
      <w:r w:rsidRPr="0001503D">
        <w:rPr>
          <w:rFonts w:asciiTheme="minorEastAsia" w:eastAsiaTheme="minorEastAsia" w:hAnsiTheme="minorEastAsia"/>
          <w:szCs w:val="21"/>
        </w:rPr>
        <w:t>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szCs w:val="21"/>
        </w:rPr>
        <w:t>争议处理期间，双方当事人应恪守基金管理人和基金托管人职责，各自继续忠实、勤勉、尽责地履行基金合同和托管协议规定的义务，维护基金份额持有人的合法权益。</w:t>
      </w:r>
    </w:p>
    <w:p w:rsidR="002F5370" w:rsidRPr="0001503D" w:rsidRDefault="002F5370" w:rsidP="000B57E8">
      <w:pPr>
        <w:adjustRightInd w:val="0"/>
        <w:snapToGrid w:val="0"/>
        <w:spacing w:line="360" w:lineRule="auto"/>
        <w:ind w:firstLineChars="225" w:firstLine="473"/>
        <w:rPr>
          <w:rFonts w:asciiTheme="minorEastAsia" w:eastAsiaTheme="minorEastAsia" w:hAnsiTheme="minorEastAsia"/>
          <w:szCs w:val="21"/>
        </w:rPr>
      </w:pPr>
      <w:r w:rsidRPr="0001503D">
        <w:rPr>
          <w:rFonts w:asciiTheme="minorEastAsia" w:eastAsiaTheme="minorEastAsia" w:hAnsiTheme="minorEastAsia" w:hint="eastAsia"/>
          <w:szCs w:val="21"/>
        </w:rPr>
        <w:t>托管协议适用中华人民共和国法律并从其解释。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5" w:name="_Toc238870153"/>
      <w:bookmarkStart w:id="956" w:name="_Toc28803635"/>
      <w:r w:rsidRPr="0001503D">
        <w:rPr>
          <w:rFonts w:asciiTheme="minorEastAsia" w:eastAsiaTheme="minorEastAsia" w:hAnsiTheme="minorEastAsia" w:hint="eastAsia"/>
          <w:b w:val="0"/>
          <w:bCs/>
        </w:rPr>
        <w:t>（八）托管协议的变更与终止</w:t>
      </w:r>
      <w:bookmarkEnd w:id="955"/>
      <w:bookmarkEnd w:id="956"/>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szCs w:val="21"/>
        </w:rPr>
        <w:t>托管协议的变更程序</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托管</w:t>
      </w:r>
      <w:r w:rsidRPr="0001503D">
        <w:rPr>
          <w:rFonts w:asciiTheme="minorEastAsia" w:eastAsiaTheme="minorEastAsia" w:hAnsiTheme="minorEastAsia"/>
          <w:szCs w:val="21"/>
        </w:rPr>
        <w:t>协议双方当事人经协商一致，可以对协议进行修改。修改后的新协议，其内容不</w:t>
      </w:r>
      <w:r w:rsidRPr="0001503D">
        <w:rPr>
          <w:rFonts w:asciiTheme="minorEastAsia" w:eastAsiaTheme="minorEastAsia" w:hAnsiTheme="minorEastAsia"/>
          <w:szCs w:val="21"/>
        </w:rPr>
        <w:lastRenderedPageBreak/>
        <w:t>得与基金合同的规定有任何冲突。基金托管协议的变更报中国证监会核准后生效。</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szCs w:val="21"/>
        </w:rPr>
        <w:t>基金托管协议终止的情形</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1</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基金合同终止；</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2</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基金托管人解散、依法被撤销、破产或由其他基金托管人接管基金资产；</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3</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基金管理人解散、依法被撤销、破产或由其他基金管理人接管基金管理权；</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4</w:t>
      </w:r>
      <w:r w:rsidRPr="0001503D">
        <w:rPr>
          <w:rFonts w:asciiTheme="minorEastAsia" w:eastAsiaTheme="minorEastAsia" w:hAnsiTheme="minorEastAsia" w:hint="eastAsia"/>
          <w:szCs w:val="21"/>
        </w:rPr>
        <w:t>)</w:t>
      </w:r>
      <w:r w:rsidRPr="0001503D">
        <w:rPr>
          <w:rFonts w:asciiTheme="minorEastAsia" w:eastAsiaTheme="minorEastAsia" w:hAnsiTheme="minorEastAsia"/>
          <w:szCs w:val="21"/>
        </w:rPr>
        <w:t>发生法律法规或基金合同规定的终止事项。</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01503D">
        <w:rPr>
          <w:rFonts w:asciiTheme="minorEastAsia" w:eastAsiaTheme="minorEastAsia" w:hAnsiTheme="minorEastAsia"/>
          <w:b/>
          <w:bCs/>
        </w:rPr>
        <w:br w:type="page"/>
      </w:r>
      <w:bookmarkStart w:id="957" w:name="_Toc238870179"/>
      <w:bookmarkStart w:id="958" w:name="_Toc28803636"/>
      <w:r w:rsidRPr="0001503D">
        <w:rPr>
          <w:rFonts w:asciiTheme="minorEastAsia" w:eastAsiaTheme="minorEastAsia" w:hAnsiTheme="minorEastAsia" w:hint="eastAsia"/>
          <w:bCs/>
        </w:rPr>
        <w:lastRenderedPageBreak/>
        <w:t>二十三、对基金份额持有人的服务</w:t>
      </w:r>
      <w:bookmarkStart w:id="959" w:name="_Toc38186634"/>
      <w:bookmarkEnd w:id="957"/>
      <w:bookmarkEnd w:id="958"/>
    </w:p>
    <w:p w:rsidR="002F5370" w:rsidRPr="0001503D" w:rsidRDefault="002F5370" w:rsidP="000B57E8">
      <w:pPr>
        <w:pStyle w:val="a9"/>
        <w:autoSpaceDE w:val="0"/>
        <w:autoSpaceDN w:val="0"/>
        <w:adjustRightInd w:val="0"/>
        <w:snapToGrid w:val="0"/>
        <w:spacing w:after="0"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基金管理人承诺为基金份额持有人提供一系列的服务。以下是主要的服务内容，基金管理人根据基金份额持有人的需要和市场的变化，有权增加、修改这些服务项目：</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0" w:name="_Toc28803637"/>
      <w:r w:rsidRPr="0001503D">
        <w:rPr>
          <w:rFonts w:asciiTheme="minorEastAsia" w:eastAsiaTheme="minorEastAsia" w:hAnsiTheme="minorEastAsia" w:hint="eastAsia"/>
          <w:b w:val="0"/>
          <w:bCs/>
        </w:rPr>
        <w:t>（一）基金份额持有人投资交易确认服务</w:t>
      </w:r>
      <w:bookmarkEnd w:id="960"/>
    </w:p>
    <w:p w:rsidR="002F5370" w:rsidRPr="0001503D"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基金注册登记机构保留基金份额持有人名册上列明的所有基金份额持有人的基金交易记录。</w:t>
      </w:r>
    </w:p>
    <w:p w:rsidR="002F5370" w:rsidRPr="0001503D"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基金管理人直销</w:t>
      </w:r>
      <w:r w:rsidR="00C9553C" w:rsidRPr="0001503D">
        <w:rPr>
          <w:rFonts w:asciiTheme="minorEastAsia" w:eastAsiaTheme="minorEastAsia" w:hAnsiTheme="minorEastAsia" w:hint="eastAsia"/>
          <w:szCs w:val="21"/>
        </w:rPr>
        <w:t>网点</w:t>
      </w:r>
      <w:r w:rsidRPr="0001503D">
        <w:rPr>
          <w:rFonts w:asciiTheme="minorEastAsia" w:eastAsiaTheme="minorEastAsia" w:hAnsiTheme="minorEastAsia" w:hint="eastAsia"/>
          <w:szCs w:val="21"/>
        </w:rPr>
        <w:t>应根据在基金管理人直销</w:t>
      </w:r>
      <w:r w:rsidR="00C9553C" w:rsidRPr="0001503D">
        <w:rPr>
          <w:rFonts w:asciiTheme="minorEastAsia" w:eastAsiaTheme="minorEastAsia" w:hAnsiTheme="minorEastAsia" w:hint="eastAsia"/>
          <w:szCs w:val="21"/>
        </w:rPr>
        <w:t>网点</w:t>
      </w:r>
      <w:r w:rsidRPr="0001503D">
        <w:rPr>
          <w:rFonts w:asciiTheme="minorEastAsia" w:eastAsiaTheme="minorEastAsia" w:hAnsiTheme="minorEastAsia" w:hint="eastAsia"/>
          <w:szCs w:val="21"/>
        </w:rPr>
        <w:t>进行交易的投资者的要求提</w:t>
      </w:r>
      <w:r w:rsidR="00C9553C" w:rsidRPr="0001503D">
        <w:rPr>
          <w:rFonts w:asciiTheme="minorEastAsia" w:eastAsiaTheme="minorEastAsia" w:hAnsiTheme="minorEastAsia" w:hint="eastAsia"/>
          <w:szCs w:val="21"/>
        </w:rPr>
        <w:t>供</w:t>
      </w:r>
      <w:r w:rsidRPr="0001503D">
        <w:rPr>
          <w:rFonts w:asciiTheme="minorEastAsia" w:eastAsiaTheme="minorEastAsia" w:hAnsiTheme="minorEastAsia" w:hint="eastAsia"/>
          <w:szCs w:val="21"/>
        </w:rPr>
        <w:t>成交确认单。</w:t>
      </w:r>
      <w:r w:rsidR="00DA33F9" w:rsidRPr="0001503D">
        <w:rPr>
          <w:rFonts w:asciiTheme="minorEastAsia" w:eastAsiaTheme="minorEastAsia" w:hAnsiTheme="minorEastAsia" w:hint="eastAsia"/>
        </w:rPr>
        <w:t>基金非直销销售机构应根据在销售网点进行交易的投资者的要求提供成交确认单。</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1" w:name="_Toc28803638"/>
      <w:r w:rsidRPr="0001503D">
        <w:rPr>
          <w:rFonts w:asciiTheme="minorEastAsia" w:eastAsiaTheme="minorEastAsia" w:hAnsiTheme="minorEastAsia" w:hint="eastAsia"/>
          <w:b w:val="0"/>
          <w:bCs/>
        </w:rPr>
        <w:t>（二）基金份额持有人交易记录查询服务</w:t>
      </w:r>
      <w:bookmarkEnd w:id="961"/>
    </w:p>
    <w:p w:rsidR="002F5370" w:rsidRPr="0001503D"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szCs w:val="21"/>
        </w:rPr>
        <w:t>本基金份额持有人可通过基金管理人的客户服务中心查询历史交易记录。</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2" w:name="_Toc28803639"/>
      <w:r w:rsidRPr="0001503D">
        <w:rPr>
          <w:rFonts w:asciiTheme="minorEastAsia" w:eastAsiaTheme="minorEastAsia" w:hAnsiTheme="minorEastAsia" w:hint="eastAsia"/>
          <w:b w:val="0"/>
          <w:bCs/>
        </w:rPr>
        <w:t>（三）基金份额持有人对帐单服务</w:t>
      </w:r>
      <w:bookmarkEnd w:id="962"/>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基金份额持有人可登录本公司网站（</w:t>
      </w:r>
      <w:hyperlink r:id="rId16" w:history="1">
        <w:r w:rsidRPr="0001503D">
          <w:rPr>
            <w:rFonts w:asciiTheme="minorEastAsia" w:eastAsiaTheme="minorEastAsia" w:hAnsiTheme="minorEastAsia" w:hint="eastAsia"/>
            <w:szCs w:val="21"/>
          </w:rPr>
          <w:t>http://www.efunds.com.cn</w:t>
        </w:r>
      </w:hyperlink>
      <w:r w:rsidRPr="0001503D">
        <w:rPr>
          <w:rFonts w:asciiTheme="minorEastAsia" w:eastAsiaTheme="minorEastAsia" w:hAnsiTheme="minorEastAsia" w:hint="eastAsia"/>
          <w:szCs w:val="21"/>
        </w:rPr>
        <w:t>）查阅对账单。</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A43A99" w:rsidRPr="0001503D">
        <w:rPr>
          <w:rFonts w:asciiTheme="minorEastAsia" w:eastAsiaTheme="minorEastAsia" w:hAnsiTheme="minorEastAsia" w:hint="eastAsia"/>
          <w:szCs w:val="21"/>
        </w:rPr>
        <w:t>、</w:t>
      </w:r>
      <w:r w:rsidRPr="0001503D">
        <w:rPr>
          <w:rFonts w:asciiTheme="minorEastAsia" w:eastAsiaTheme="minorEastAsia" w:hAnsiTheme="minorEastAsia" w:hint="eastAsia"/>
          <w:szCs w:val="21"/>
        </w:rPr>
        <w:t>基金份额持有人也可向本公司定制电子对账单。</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具体查阅和定制账单的方法可参见本公司网站或拨打客服热线咨询。</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3" w:name="_Toc28803640"/>
      <w:r w:rsidRPr="0001503D">
        <w:rPr>
          <w:rFonts w:asciiTheme="minorEastAsia" w:eastAsiaTheme="minorEastAsia" w:hAnsiTheme="minorEastAsia" w:hint="eastAsia"/>
          <w:b w:val="0"/>
          <w:bCs/>
        </w:rPr>
        <w:t>（</w:t>
      </w:r>
      <w:r w:rsidR="00701BC8" w:rsidRPr="0001503D">
        <w:rPr>
          <w:rFonts w:asciiTheme="minorEastAsia" w:eastAsiaTheme="minorEastAsia" w:hAnsiTheme="minorEastAsia" w:hint="eastAsia"/>
          <w:b w:val="0"/>
          <w:bCs/>
        </w:rPr>
        <w:t>四</w:t>
      </w:r>
      <w:r w:rsidRPr="0001503D">
        <w:rPr>
          <w:rFonts w:asciiTheme="minorEastAsia" w:eastAsiaTheme="minorEastAsia" w:hAnsiTheme="minorEastAsia" w:hint="eastAsia"/>
          <w:b w:val="0"/>
          <w:bCs/>
        </w:rPr>
        <w:t>）定期定额投资计划</w:t>
      </w:r>
      <w:bookmarkEnd w:id="963"/>
    </w:p>
    <w:p w:rsidR="002F5370" w:rsidRPr="0001503D" w:rsidRDefault="00CE0C9A"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01503D">
        <w:rPr>
          <w:rFonts w:asciiTheme="minorEastAsia" w:eastAsiaTheme="minorEastAsia" w:hAnsiTheme="minorEastAsia" w:hint="eastAsia"/>
          <w:kern w:val="0"/>
        </w:rPr>
        <w:t>基金管理人可利用</w:t>
      </w:r>
      <w:r w:rsidR="00DA33F9" w:rsidRPr="0001503D">
        <w:rPr>
          <w:rFonts w:asciiTheme="minorEastAsia" w:eastAsiaTheme="minorEastAsia" w:hAnsiTheme="minorEastAsia" w:hint="eastAsia"/>
        </w:rPr>
        <w:t>非直销销售机构网点</w:t>
      </w:r>
      <w:r w:rsidRPr="0001503D">
        <w:rPr>
          <w:rFonts w:asciiTheme="minorEastAsia" w:eastAsiaTheme="minorEastAsia" w:hAnsiTheme="minorEastAsia" w:hint="eastAsia"/>
          <w:kern w:val="0"/>
        </w:rPr>
        <w:t>和本公司网上交易系统为投资者提供定期定额投资的</w:t>
      </w:r>
      <w:r w:rsidRPr="0001503D">
        <w:rPr>
          <w:rFonts w:asciiTheme="minorEastAsia" w:eastAsiaTheme="minorEastAsia" w:hAnsiTheme="minorEastAsia" w:hint="eastAsia"/>
          <w:kern w:val="0"/>
          <w:szCs w:val="21"/>
        </w:rPr>
        <w:t>服务（本公司网上交易系统的定期定额投资服务目前仅对个人投资者开通）。</w:t>
      </w:r>
      <w:r w:rsidR="002F5370" w:rsidRPr="0001503D">
        <w:rPr>
          <w:rFonts w:asciiTheme="minorEastAsia" w:eastAsiaTheme="minorEastAsia" w:hAnsiTheme="minorEastAsia" w:hint="eastAsia"/>
          <w:szCs w:val="21"/>
        </w:rPr>
        <w:t>通过定期投资计划，投资者可以通过固定的渠道，定期定额申购基金份额</w:t>
      </w:r>
      <w:r w:rsidR="002F5370" w:rsidRPr="0001503D">
        <w:rPr>
          <w:rFonts w:asciiTheme="minorEastAsia" w:eastAsiaTheme="minorEastAsia" w:hAnsiTheme="minorEastAsia"/>
          <w:szCs w:val="21"/>
        </w:rPr>
        <w:t>，</w:t>
      </w:r>
      <w:r w:rsidR="002F5370" w:rsidRPr="0001503D">
        <w:rPr>
          <w:rFonts w:asciiTheme="minorEastAsia" w:eastAsiaTheme="minorEastAsia" w:hAnsiTheme="minorEastAsia" w:hint="eastAsia"/>
          <w:szCs w:val="21"/>
        </w:rPr>
        <w:t>具体实施方法见相关公告。</w:t>
      </w:r>
    </w:p>
    <w:p w:rsidR="002F5370" w:rsidRPr="0001503D"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4" w:name="_Toc28803641"/>
      <w:r w:rsidRPr="0001503D">
        <w:rPr>
          <w:rFonts w:asciiTheme="minorEastAsia" w:eastAsiaTheme="minorEastAsia" w:hAnsiTheme="minorEastAsia" w:hint="eastAsia"/>
          <w:b w:val="0"/>
          <w:bCs/>
        </w:rPr>
        <w:t>（</w:t>
      </w:r>
      <w:r w:rsidR="00701BC8" w:rsidRPr="0001503D">
        <w:rPr>
          <w:rFonts w:asciiTheme="minorEastAsia" w:eastAsiaTheme="minorEastAsia" w:hAnsiTheme="minorEastAsia" w:hint="eastAsia"/>
          <w:b w:val="0"/>
          <w:bCs/>
        </w:rPr>
        <w:t>五</w:t>
      </w:r>
      <w:r w:rsidRPr="0001503D">
        <w:rPr>
          <w:rFonts w:asciiTheme="minorEastAsia" w:eastAsiaTheme="minorEastAsia" w:hAnsiTheme="minorEastAsia" w:hint="eastAsia"/>
          <w:b w:val="0"/>
          <w:bCs/>
        </w:rPr>
        <w:t>）资讯服务</w:t>
      </w:r>
      <w:bookmarkEnd w:id="964"/>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1、</w:t>
      </w:r>
      <w:r w:rsidR="002F5370" w:rsidRPr="0001503D">
        <w:rPr>
          <w:rFonts w:asciiTheme="minorEastAsia" w:eastAsiaTheme="minorEastAsia" w:hAnsiTheme="minorEastAsia" w:hint="eastAsia"/>
          <w:szCs w:val="21"/>
        </w:rPr>
        <w:t>客户服务电话</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投资者如果想了解申购与赎回的交易情况、基金</w:t>
      </w:r>
      <w:r w:rsidR="00DA33F9" w:rsidRPr="0001503D">
        <w:rPr>
          <w:rFonts w:asciiTheme="minorEastAsia" w:eastAsiaTheme="minorEastAsia" w:hAnsiTheme="minorEastAsia" w:hint="eastAsia"/>
          <w:szCs w:val="21"/>
        </w:rPr>
        <w:t>账户</w:t>
      </w:r>
      <w:r w:rsidRPr="0001503D">
        <w:rPr>
          <w:rFonts w:asciiTheme="minorEastAsia" w:eastAsiaTheme="minorEastAsia" w:hAnsiTheme="minorEastAsia" w:hint="eastAsia"/>
          <w:szCs w:val="21"/>
        </w:rPr>
        <w:t>余额、基金产品与服务等信息</w:t>
      </w:r>
      <w:r w:rsidR="0091410A" w:rsidRPr="0001503D">
        <w:rPr>
          <w:rFonts w:asciiTheme="minorEastAsia" w:eastAsiaTheme="minorEastAsia" w:hAnsiTheme="minorEastAsia" w:hint="eastAsia"/>
          <w:kern w:val="0"/>
          <w:szCs w:val="21"/>
        </w:rPr>
        <w:t>，</w:t>
      </w:r>
      <w:r w:rsidR="0091410A" w:rsidRPr="0001503D">
        <w:rPr>
          <w:rFonts w:asciiTheme="minorEastAsia" w:eastAsiaTheme="minorEastAsia" w:hAnsiTheme="minorEastAsia" w:hint="eastAsia"/>
          <w:kern w:val="0"/>
        </w:rPr>
        <w:t>或反馈投资过程中需要投诉与建议的情况</w:t>
      </w:r>
      <w:r w:rsidRPr="0001503D">
        <w:rPr>
          <w:rFonts w:asciiTheme="minorEastAsia" w:eastAsiaTheme="minorEastAsia" w:hAnsiTheme="minorEastAsia" w:hint="eastAsia"/>
          <w:szCs w:val="21"/>
        </w:rPr>
        <w:t>，可拨打如下电话：4008818088</w:t>
      </w:r>
      <w:r w:rsidRPr="0001503D">
        <w:rPr>
          <w:rFonts w:asciiTheme="minorEastAsia" w:eastAsiaTheme="minorEastAsia" w:hAnsiTheme="minorEastAsia"/>
          <w:szCs w:val="21"/>
        </w:rPr>
        <w:t>（免长途话费）</w:t>
      </w:r>
      <w:r w:rsidRPr="0001503D">
        <w:rPr>
          <w:rFonts w:asciiTheme="minorEastAsia" w:eastAsiaTheme="minorEastAsia" w:hAnsiTheme="minorEastAsia" w:hint="eastAsia"/>
          <w:szCs w:val="21"/>
        </w:rPr>
        <w:t>。</w:t>
      </w:r>
      <w:r w:rsidR="00D2333A" w:rsidRPr="0001503D">
        <w:rPr>
          <w:rFonts w:asciiTheme="minorEastAsia" w:eastAsiaTheme="minorEastAsia" w:hAnsiTheme="minorEastAsia" w:hint="eastAsia"/>
          <w:szCs w:val="21"/>
        </w:rPr>
        <w:t>投资者如果认为自己不能准确理解本基金《招募说明书》、《基金合同》的具体内容，也可拨打上述电话详询。</w:t>
      </w:r>
    </w:p>
    <w:p w:rsidR="002F5370" w:rsidRPr="0001503D"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2、</w:t>
      </w:r>
      <w:r w:rsidR="002F5370" w:rsidRPr="0001503D">
        <w:rPr>
          <w:rFonts w:asciiTheme="minorEastAsia" w:eastAsiaTheme="minorEastAsia" w:hAnsiTheme="minorEastAsia" w:hint="eastAsia"/>
          <w:szCs w:val="21"/>
        </w:rPr>
        <w:t>互联网站及电子信箱</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网址：http://www.efunds.com.cn</w:t>
      </w:r>
    </w:p>
    <w:p w:rsidR="002F5370" w:rsidRPr="0001503D"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电子信箱：service@efunds.com.cn</w:t>
      </w:r>
    </w:p>
    <w:p w:rsidR="002F5370" w:rsidRPr="0001503D" w:rsidRDefault="002F5370" w:rsidP="00E16F88">
      <w:pPr>
        <w:pStyle w:val="1"/>
        <w:snapToGrid w:val="0"/>
        <w:spacing w:beforeLines="0" w:afterLines="0" w:line="360" w:lineRule="auto"/>
        <w:ind w:firstLineChars="0" w:firstLine="0"/>
        <w:rPr>
          <w:rFonts w:asciiTheme="minorEastAsia" w:eastAsiaTheme="minorEastAsia" w:hAnsiTheme="minorEastAsia"/>
          <w:bCs/>
        </w:rPr>
      </w:pPr>
      <w:bookmarkStart w:id="965" w:name="_Toc38438275"/>
      <w:bookmarkStart w:id="966" w:name="_Toc38438612"/>
      <w:bookmarkStart w:id="967" w:name="_Toc38438949"/>
      <w:bookmarkStart w:id="968" w:name="_Toc38439286"/>
      <w:bookmarkStart w:id="969" w:name="_Toc38439623"/>
      <w:bookmarkStart w:id="970" w:name="_Toc38439960"/>
      <w:bookmarkStart w:id="971" w:name="_Toc38440297"/>
      <w:bookmarkStart w:id="972" w:name="_Toc38440630"/>
      <w:bookmarkStart w:id="973" w:name="_Toc38440829"/>
      <w:bookmarkStart w:id="974" w:name="_Toc38441161"/>
      <w:bookmarkStart w:id="975" w:name="_Toc38441493"/>
      <w:bookmarkStart w:id="976" w:name="_Toc38441821"/>
      <w:bookmarkStart w:id="977" w:name="_Toc38442153"/>
      <w:bookmarkStart w:id="978" w:name="_Toc38442485"/>
      <w:bookmarkStart w:id="979" w:name="_Toc38442816"/>
      <w:bookmarkStart w:id="980" w:name="_Toc38443147"/>
      <w:bookmarkStart w:id="981" w:name="_Toc38443478"/>
      <w:bookmarkStart w:id="982" w:name="_Toc38443809"/>
      <w:bookmarkStart w:id="983" w:name="_Toc38438277"/>
      <w:bookmarkStart w:id="984" w:name="_Toc38438614"/>
      <w:bookmarkStart w:id="985" w:name="_Toc38438951"/>
      <w:bookmarkStart w:id="986" w:name="_Toc38439288"/>
      <w:bookmarkStart w:id="987" w:name="_Toc38439625"/>
      <w:bookmarkStart w:id="988" w:name="_Toc38439962"/>
      <w:bookmarkStart w:id="989" w:name="_Toc38440299"/>
      <w:bookmarkStart w:id="990" w:name="_Toc38440632"/>
      <w:bookmarkStart w:id="991" w:name="_Toc38440831"/>
      <w:bookmarkStart w:id="992" w:name="_Toc38441163"/>
      <w:bookmarkStart w:id="993" w:name="_Toc38441495"/>
      <w:bookmarkStart w:id="994" w:name="_Toc38441823"/>
      <w:bookmarkStart w:id="995" w:name="_Toc38442155"/>
      <w:bookmarkStart w:id="996" w:name="_Toc38442487"/>
      <w:bookmarkStart w:id="997" w:name="_Toc38442818"/>
      <w:bookmarkStart w:id="998" w:name="_Toc38443149"/>
      <w:bookmarkStart w:id="999" w:name="_Toc38443480"/>
      <w:bookmarkStart w:id="1000" w:name="_Toc38443811"/>
      <w:bookmarkStart w:id="1001" w:name="_Toc38438278"/>
      <w:bookmarkStart w:id="1002" w:name="_Toc38438615"/>
      <w:bookmarkStart w:id="1003" w:name="_Toc38438952"/>
      <w:bookmarkStart w:id="1004" w:name="_Toc38439289"/>
      <w:bookmarkStart w:id="1005" w:name="_Toc38439626"/>
      <w:bookmarkStart w:id="1006" w:name="_Toc38439963"/>
      <w:bookmarkStart w:id="1007" w:name="_Toc38440300"/>
      <w:bookmarkStart w:id="1008" w:name="_Toc38440633"/>
      <w:bookmarkStart w:id="1009" w:name="_Toc38440832"/>
      <w:bookmarkStart w:id="1010" w:name="_Toc38441164"/>
      <w:bookmarkStart w:id="1011" w:name="_Toc38441496"/>
      <w:bookmarkStart w:id="1012" w:name="_Toc38441824"/>
      <w:bookmarkStart w:id="1013" w:name="_Toc38442156"/>
      <w:bookmarkStart w:id="1014" w:name="_Toc38442488"/>
      <w:bookmarkStart w:id="1015" w:name="_Toc38442819"/>
      <w:bookmarkStart w:id="1016" w:name="_Toc38443150"/>
      <w:bookmarkStart w:id="1017" w:name="_Toc38443481"/>
      <w:bookmarkStart w:id="1018" w:name="_Toc38443812"/>
      <w:bookmarkStart w:id="1019" w:name="_Toc38438279"/>
      <w:bookmarkStart w:id="1020" w:name="_Toc38438616"/>
      <w:bookmarkStart w:id="1021" w:name="_Toc38438953"/>
      <w:bookmarkStart w:id="1022" w:name="_Toc38439290"/>
      <w:bookmarkStart w:id="1023" w:name="_Toc38439627"/>
      <w:bookmarkStart w:id="1024" w:name="_Toc38439964"/>
      <w:bookmarkStart w:id="1025" w:name="_Toc38440301"/>
      <w:bookmarkStart w:id="1026" w:name="_Toc38440634"/>
      <w:bookmarkStart w:id="1027" w:name="_Toc38440833"/>
      <w:bookmarkStart w:id="1028" w:name="_Toc38441165"/>
      <w:bookmarkStart w:id="1029" w:name="_Toc38441497"/>
      <w:bookmarkStart w:id="1030" w:name="_Toc38441825"/>
      <w:bookmarkStart w:id="1031" w:name="_Toc38442157"/>
      <w:bookmarkStart w:id="1032" w:name="_Toc38442489"/>
      <w:bookmarkStart w:id="1033" w:name="_Toc38442820"/>
      <w:bookmarkStart w:id="1034" w:name="_Toc38443151"/>
      <w:bookmarkStart w:id="1035" w:name="_Toc38443482"/>
      <w:bookmarkStart w:id="1036" w:name="_Toc38443813"/>
      <w:bookmarkStart w:id="1037" w:name="_Toc38438280"/>
      <w:bookmarkStart w:id="1038" w:name="_Toc38438617"/>
      <w:bookmarkStart w:id="1039" w:name="_Toc38438954"/>
      <w:bookmarkStart w:id="1040" w:name="_Toc38439291"/>
      <w:bookmarkStart w:id="1041" w:name="_Toc38439628"/>
      <w:bookmarkStart w:id="1042" w:name="_Toc38439965"/>
      <w:bookmarkStart w:id="1043" w:name="_Toc38440302"/>
      <w:bookmarkStart w:id="1044" w:name="_Toc38440635"/>
      <w:bookmarkStart w:id="1045" w:name="_Toc38440834"/>
      <w:bookmarkStart w:id="1046" w:name="_Toc38441166"/>
      <w:bookmarkStart w:id="1047" w:name="_Toc38441498"/>
      <w:bookmarkStart w:id="1048" w:name="_Toc38441826"/>
      <w:bookmarkStart w:id="1049" w:name="_Toc38442158"/>
      <w:bookmarkStart w:id="1050" w:name="_Toc38442490"/>
      <w:bookmarkStart w:id="1051" w:name="_Toc38442821"/>
      <w:bookmarkStart w:id="1052" w:name="_Toc38443152"/>
      <w:bookmarkStart w:id="1053" w:name="_Toc38443483"/>
      <w:bookmarkStart w:id="1054" w:name="_Toc38443814"/>
      <w:bookmarkStart w:id="1055" w:name="_Toc38438281"/>
      <w:bookmarkStart w:id="1056" w:name="_Toc38438618"/>
      <w:bookmarkStart w:id="1057" w:name="_Toc38438955"/>
      <w:bookmarkStart w:id="1058" w:name="_Toc38439292"/>
      <w:bookmarkStart w:id="1059" w:name="_Toc38439629"/>
      <w:bookmarkStart w:id="1060" w:name="_Toc38439966"/>
      <w:bookmarkStart w:id="1061" w:name="_Toc38440303"/>
      <w:bookmarkStart w:id="1062" w:name="_Toc38440636"/>
      <w:bookmarkStart w:id="1063" w:name="_Toc38440835"/>
      <w:bookmarkStart w:id="1064" w:name="_Toc38441167"/>
      <w:bookmarkStart w:id="1065" w:name="_Toc38441499"/>
      <w:bookmarkStart w:id="1066" w:name="_Toc38441827"/>
      <w:bookmarkStart w:id="1067" w:name="_Toc38442159"/>
      <w:bookmarkStart w:id="1068" w:name="_Toc38442491"/>
      <w:bookmarkStart w:id="1069" w:name="_Toc38442822"/>
      <w:bookmarkStart w:id="1070" w:name="_Toc38443153"/>
      <w:bookmarkStart w:id="1071" w:name="_Toc38443484"/>
      <w:bookmarkStart w:id="1072" w:name="_Toc38443815"/>
      <w:bookmarkStart w:id="1073" w:name="_Toc38438282"/>
      <w:bookmarkStart w:id="1074" w:name="_Toc38438619"/>
      <w:bookmarkStart w:id="1075" w:name="_Toc38438956"/>
      <w:bookmarkStart w:id="1076" w:name="_Toc38439293"/>
      <w:bookmarkStart w:id="1077" w:name="_Toc38439630"/>
      <w:bookmarkStart w:id="1078" w:name="_Toc38439967"/>
      <w:bookmarkStart w:id="1079" w:name="_Toc38440304"/>
      <w:bookmarkStart w:id="1080" w:name="_Toc38440637"/>
      <w:bookmarkStart w:id="1081" w:name="_Toc38440836"/>
      <w:bookmarkStart w:id="1082" w:name="_Toc38441168"/>
      <w:bookmarkStart w:id="1083" w:name="_Toc38441500"/>
      <w:bookmarkStart w:id="1084" w:name="_Toc38441828"/>
      <w:bookmarkStart w:id="1085" w:name="_Toc38442160"/>
      <w:bookmarkStart w:id="1086" w:name="_Toc38442492"/>
      <w:bookmarkStart w:id="1087" w:name="_Toc38442823"/>
      <w:bookmarkStart w:id="1088" w:name="_Toc38443154"/>
      <w:bookmarkStart w:id="1089" w:name="_Toc38443485"/>
      <w:bookmarkStart w:id="1090" w:name="_Toc38443816"/>
      <w:bookmarkStart w:id="1091" w:name="_Toc38438283"/>
      <w:bookmarkStart w:id="1092" w:name="_Toc38438620"/>
      <w:bookmarkStart w:id="1093" w:name="_Toc38438957"/>
      <w:bookmarkStart w:id="1094" w:name="_Toc38439294"/>
      <w:bookmarkStart w:id="1095" w:name="_Toc38439631"/>
      <w:bookmarkStart w:id="1096" w:name="_Toc38439968"/>
      <w:bookmarkStart w:id="1097" w:name="_Toc38440305"/>
      <w:bookmarkStart w:id="1098" w:name="_Toc38440638"/>
      <w:bookmarkStart w:id="1099" w:name="_Toc38440837"/>
      <w:bookmarkStart w:id="1100" w:name="_Toc38441169"/>
      <w:bookmarkStart w:id="1101" w:name="_Toc38441501"/>
      <w:bookmarkStart w:id="1102" w:name="_Toc38441829"/>
      <w:bookmarkStart w:id="1103" w:name="_Toc38442161"/>
      <w:bookmarkStart w:id="1104" w:name="_Toc38442493"/>
      <w:bookmarkStart w:id="1105" w:name="_Toc38442824"/>
      <w:bookmarkStart w:id="1106" w:name="_Toc38443155"/>
      <w:bookmarkStart w:id="1107" w:name="_Toc38443486"/>
      <w:bookmarkStart w:id="1108" w:name="_Toc38443817"/>
      <w:bookmarkStart w:id="1109" w:name="_Toc38438284"/>
      <w:bookmarkStart w:id="1110" w:name="_Toc38438621"/>
      <w:bookmarkStart w:id="1111" w:name="_Toc38438958"/>
      <w:bookmarkStart w:id="1112" w:name="_Toc38439295"/>
      <w:bookmarkStart w:id="1113" w:name="_Toc38439632"/>
      <w:bookmarkStart w:id="1114" w:name="_Toc38439969"/>
      <w:bookmarkStart w:id="1115" w:name="_Toc38440306"/>
      <w:bookmarkStart w:id="1116" w:name="_Toc38440639"/>
      <w:bookmarkStart w:id="1117" w:name="_Toc38440838"/>
      <w:bookmarkStart w:id="1118" w:name="_Toc38441170"/>
      <w:bookmarkStart w:id="1119" w:name="_Toc38441502"/>
      <w:bookmarkStart w:id="1120" w:name="_Toc38441830"/>
      <w:bookmarkStart w:id="1121" w:name="_Toc38442162"/>
      <w:bookmarkStart w:id="1122" w:name="_Toc38442494"/>
      <w:bookmarkStart w:id="1123" w:name="_Toc38442825"/>
      <w:bookmarkStart w:id="1124" w:name="_Toc38443156"/>
      <w:bookmarkStart w:id="1125" w:name="_Toc38443487"/>
      <w:bookmarkStart w:id="1126" w:name="_Toc38443818"/>
      <w:bookmarkStart w:id="1127" w:name="_Toc38438285"/>
      <w:bookmarkStart w:id="1128" w:name="_Toc38438622"/>
      <w:bookmarkStart w:id="1129" w:name="_Toc38438959"/>
      <w:bookmarkStart w:id="1130" w:name="_Toc38439296"/>
      <w:bookmarkStart w:id="1131" w:name="_Toc38439633"/>
      <w:bookmarkStart w:id="1132" w:name="_Toc38439970"/>
      <w:bookmarkStart w:id="1133" w:name="_Toc38440307"/>
      <w:bookmarkStart w:id="1134" w:name="_Toc38440640"/>
      <w:bookmarkStart w:id="1135" w:name="_Toc38440839"/>
      <w:bookmarkStart w:id="1136" w:name="_Toc38441171"/>
      <w:bookmarkStart w:id="1137" w:name="_Toc38441503"/>
      <w:bookmarkStart w:id="1138" w:name="_Toc38441831"/>
      <w:bookmarkStart w:id="1139" w:name="_Toc38442163"/>
      <w:bookmarkStart w:id="1140" w:name="_Toc38442495"/>
      <w:bookmarkStart w:id="1141" w:name="_Toc38442826"/>
      <w:bookmarkStart w:id="1142" w:name="_Toc38443157"/>
      <w:bookmarkStart w:id="1143" w:name="_Toc38443488"/>
      <w:bookmarkStart w:id="1144" w:name="_Toc38443819"/>
      <w:bookmarkStart w:id="1145" w:name="_Toc38438286"/>
      <w:bookmarkStart w:id="1146" w:name="_Toc38438623"/>
      <w:bookmarkStart w:id="1147" w:name="_Toc38438960"/>
      <w:bookmarkStart w:id="1148" w:name="_Toc38439297"/>
      <w:bookmarkStart w:id="1149" w:name="_Toc38439634"/>
      <w:bookmarkStart w:id="1150" w:name="_Toc38439971"/>
      <w:bookmarkStart w:id="1151" w:name="_Toc38440308"/>
      <w:bookmarkStart w:id="1152" w:name="_Toc38440641"/>
      <w:bookmarkStart w:id="1153" w:name="_Toc38440840"/>
      <w:bookmarkStart w:id="1154" w:name="_Toc38441172"/>
      <w:bookmarkStart w:id="1155" w:name="_Toc38441504"/>
      <w:bookmarkStart w:id="1156" w:name="_Toc38441832"/>
      <w:bookmarkStart w:id="1157" w:name="_Toc38442164"/>
      <w:bookmarkStart w:id="1158" w:name="_Toc38442496"/>
      <w:bookmarkStart w:id="1159" w:name="_Toc38442827"/>
      <w:bookmarkStart w:id="1160" w:name="_Toc38443158"/>
      <w:bookmarkStart w:id="1161" w:name="_Toc38443489"/>
      <w:bookmarkStart w:id="1162" w:name="_Toc38443820"/>
      <w:bookmarkStart w:id="1163" w:name="_Toc38438287"/>
      <w:bookmarkStart w:id="1164" w:name="_Toc38438624"/>
      <w:bookmarkStart w:id="1165" w:name="_Toc38438961"/>
      <w:bookmarkStart w:id="1166" w:name="_Toc38439298"/>
      <w:bookmarkStart w:id="1167" w:name="_Toc38439635"/>
      <w:bookmarkStart w:id="1168" w:name="_Toc38439972"/>
      <w:bookmarkStart w:id="1169" w:name="_Toc38440309"/>
      <w:bookmarkStart w:id="1170" w:name="_Toc38440642"/>
      <w:bookmarkStart w:id="1171" w:name="_Toc38440841"/>
      <w:bookmarkStart w:id="1172" w:name="_Toc38441173"/>
      <w:bookmarkStart w:id="1173" w:name="_Toc38441505"/>
      <w:bookmarkStart w:id="1174" w:name="_Toc38441833"/>
      <w:bookmarkStart w:id="1175" w:name="_Toc38442165"/>
      <w:bookmarkStart w:id="1176" w:name="_Toc38442497"/>
      <w:bookmarkStart w:id="1177" w:name="_Toc38442828"/>
      <w:bookmarkStart w:id="1178" w:name="_Toc38443159"/>
      <w:bookmarkStart w:id="1179" w:name="_Toc38443490"/>
      <w:bookmarkStart w:id="1180" w:name="_Toc38443821"/>
      <w:bookmarkStart w:id="1181" w:name="_Toc38438288"/>
      <w:bookmarkStart w:id="1182" w:name="_Toc38438625"/>
      <w:bookmarkStart w:id="1183" w:name="_Toc38438962"/>
      <w:bookmarkStart w:id="1184" w:name="_Toc38439299"/>
      <w:bookmarkStart w:id="1185" w:name="_Toc38439636"/>
      <w:bookmarkStart w:id="1186" w:name="_Toc38439973"/>
      <w:bookmarkStart w:id="1187" w:name="_Toc38440310"/>
      <w:bookmarkStart w:id="1188" w:name="_Toc38440643"/>
      <w:bookmarkStart w:id="1189" w:name="_Toc38440842"/>
      <w:bookmarkStart w:id="1190" w:name="_Toc38441174"/>
      <w:bookmarkStart w:id="1191" w:name="_Toc38441506"/>
      <w:bookmarkStart w:id="1192" w:name="_Toc38441834"/>
      <w:bookmarkStart w:id="1193" w:name="_Toc38442166"/>
      <w:bookmarkStart w:id="1194" w:name="_Toc38442498"/>
      <w:bookmarkStart w:id="1195" w:name="_Toc38442829"/>
      <w:bookmarkStart w:id="1196" w:name="_Toc38443160"/>
      <w:bookmarkStart w:id="1197" w:name="_Toc38443491"/>
      <w:bookmarkStart w:id="1198" w:name="_Toc38443822"/>
      <w:bookmarkStart w:id="1199" w:name="_Toc38438289"/>
      <w:bookmarkStart w:id="1200" w:name="_Toc38438626"/>
      <w:bookmarkStart w:id="1201" w:name="_Toc38438963"/>
      <w:bookmarkStart w:id="1202" w:name="_Toc38439300"/>
      <w:bookmarkStart w:id="1203" w:name="_Toc38439637"/>
      <w:bookmarkStart w:id="1204" w:name="_Toc38439974"/>
      <w:bookmarkStart w:id="1205" w:name="_Toc38440311"/>
      <w:bookmarkStart w:id="1206" w:name="_Toc38440644"/>
      <w:bookmarkStart w:id="1207" w:name="_Toc38440843"/>
      <w:bookmarkStart w:id="1208" w:name="_Toc38441175"/>
      <w:bookmarkStart w:id="1209" w:name="_Toc38441507"/>
      <w:bookmarkStart w:id="1210" w:name="_Toc38441835"/>
      <w:bookmarkStart w:id="1211" w:name="_Toc38442167"/>
      <w:bookmarkStart w:id="1212" w:name="_Toc38442499"/>
      <w:bookmarkStart w:id="1213" w:name="_Toc38442830"/>
      <w:bookmarkStart w:id="1214" w:name="_Toc38443161"/>
      <w:bookmarkStart w:id="1215" w:name="_Toc38443492"/>
      <w:bookmarkStart w:id="1216" w:name="_Toc38443823"/>
      <w:bookmarkStart w:id="1217" w:name="_Toc38438290"/>
      <w:bookmarkStart w:id="1218" w:name="_Toc38438627"/>
      <w:bookmarkStart w:id="1219" w:name="_Toc38438964"/>
      <w:bookmarkStart w:id="1220" w:name="_Toc38439301"/>
      <w:bookmarkStart w:id="1221" w:name="_Toc38439638"/>
      <w:bookmarkStart w:id="1222" w:name="_Toc38439975"/>
      <w:bookmarkStart w:id="1223" w:name="_Toc38440312"/>
      <w:bookmarkStart w:id="1224" w:name="_Toc38440645"/>
      <w:bookmarkStart w:id="1225" w:name="_Toc38440844"/>
      <w:bookmarkStart w:id="1226" w:name="_Toc38441176"/>
      <w:bookmarkStart w:id="1227" w:name="_Toc38441508"/>
      <w:bookmarkStart w:id="1228" w:name="_Toc38441836"/>
      <w:bookmarkStart w:id="1229" w:name="_Toc38442168"/>
      <w:bookmarkStart w:id="1230" w:name="_Toc38442500"/>
      <w:bookmarkStart w:id="1231" w:name="_Toc38442831"/>
      <w:bookmarkStart w:id="1232" w:name="_Toc38443162"/>
      <w:bookmarkStart w:id="1233" w:name="_Toc38443493"/>
      <w:bookmarkStart w:id="1234" w:name="_Toc38443824"/>
      <w:bookmarkStart w:id="1235" w:name="_Toc38438291"/>
      <w:bookmarkStart w:id="1236" w:name="_Toc38438628"/>
      <w:bookmarkStart w:id="1237" w:name="_Toc38438965"/>
      <w:bookmarkStart w:id="1238" w:name="_Toc38439302"/>
      <w:bookmarkStart w:id="1239" w:name="_Toc38439639"/>
      <w:bookmarkStart w:id="1240" w:name="_Toc38439976"/>
      <w:bookmarkStart w:id="1241" w:name="_Toc38440313"/>
      <w:bookmarkStart w:id="1242" w:name="_Toc38440646"/>
      <w:bookmarkStart w:id="1243" w:name="_Toc38440845"/>
      <w:bookmarkStart w:id="1244" w:name="_Toc38441177"/>
      <w:bookmarkStart w:id="1245" w:name="_Toc38441509"/>
      <w:bookmarkStart w:id="1246" w:name="_Toc38441837"/>
      <w:bookmarkStart w:id="1247" w:name="_Toc38442169"/>
      <w:bookmarkStart w:id="1248" w:name="_Toc38442501"/>
      <w:bookmarkStart w:id="1249" w:name="_Toc38442832"/>
      <w:bookmarkStart w:id="1250" w:name="_Toc38443163"/>
      <w:bookmarkStart w:id="1251" w:name="_Toc38443494"/>
      <w:bookmarkStart w:id="1252" w:name="_Toc38443825"/>
      <w:bookmarkStart w:id="1253" w:name="_Toc38438292"/>
      <w:bookmarkStart w:id="1254" w:name="_Toc38438629"/>
      <w:bookmarkStart w:id="1255" w:name="_Toc38438966"/>
      <w:bookmarkStart w:id="1256" w:name="_Toc38439303"/>
      <w:bookmarkStart w:id="1257" w:name="_Toc38439640"/>
      <w:bookmarkStart w:id="1258" w:name="_Toc38439977"/>
      <w:bookmarkStart w:id="1259" w:name="_Toc38440314"/>
      <w:bookmarkStart w:id="1260" w:name="_Toc38440647"/>
      <w:bookmarkStart w:id="1261" w:name="_Toc38440846"/>
      <w:bookmarkStart w:id="1262" w:name="_Toc38441178"/>
      <w:bookmarkStart w:id="1263" w:name="_Toc38441510"/>
      <w:bookmarkStart w:id="1264" w:name="_Toc38441838"/>
      <w:bookmarkStart w:id="1265" w:name="_Toc38442170"/>
      <w:bookmarkStart w:id="1266" w:name="_Toc38442502"/>
      <w:bookmarkStart w:id="1267" w:name="_Toc38442833"/>
      <w:bookmarkStart w:id="1268" w:name="_Toc38443164"/>
      <w:bookmarkStart w:id="1269" w:name="_Toc38443495"/>
      <w:bookmarkStart w:id="1270" w:name="_Toc38443826"/>
      <w:bookmarkStart w:id="1271" w:name="_Toc38438293"/>
      <w:bookmarkStart w:id="1272" w:name="_Toc38438630"/>
      <w:bookmarkStart w:id="1273" w:name="_Toc38438967"/>
      <w:bookmarkStart w:id="1274" w:name="_Toc38439304"/>
      <w:bookmarkStart w:id="1275" w:name="_Toc38439641"/>
      <w:bookmarkStart w:id="1276" w:name="_Toc38439978"/>
      <w:bookmarkStart w:id="1277" w:name="_Toc38440315"/>
      <w:bookmarkStart w:id="1278" w:name="_Toc38440648"/>
      <w:bookmarkStart w:id="1279" w:name="_Toc38440847"/>
      <w:bookmarkStart w:id="1280" w:name="_Toc38441179"/>
      <w:bookmarkStart w:id="1281" w:name="_Toc38441511"/>
      <w:bookmarkStart w:id="1282" w:name="_Toc38441839"/>
      <w:bookmarkStart w:id="1283" w:name="_Toc38442171"/>
      <w:bookmarkStart w:id="1284" w:name="_Toc38442503"/>
      <w:bookmarkStart w:id="1285" w:name="_Toc38442834"/>
      <w:bookmarkStart w:id="1286" w:name="_Toc38443165"/>
      <w:bookmarkStart w:id="1287" w:name="_Toc38443496"/>
      <w:bookmarkStart w:id="1288" w:name="_Toc38443827"/>
      <w:bookmarkStart w:id="1289" w:name="_Toc38438296"/>
      <w:bookmarkStart w:id="1290" w:name="_Toc38438633"/>
      <w:bookmarkStart w:id="1291" w:name="_Toc38438970"/>
      <w:bookmarkStart w:id="1292" w:name="_Toc38439307"/>
      <w:bookmarkStart w:id="1293" w:name="_Toc38439644"/>
      <w:bookmarkStart w:id="1294" w:name="_Toc38439981"/>
      <w:bookmarkStart w:id="1295" w:name="_Toc38440318"/>
      <w:bookmarkStart w:id="1296" w:name="_Toc38440651"/>
      <w:bookmarkStart w:id="1297" w:name="_Toc38440850"/>
      <w:bookmarkStart w:id="1298" w:name="_Toc38441182"/>
      <w:bookmarkStart w:id="1299" w:name="_Toc38441514"/>
      <w:bookmarkStart w:id="1300" w:name="_Toc38441842"/>
      <w:bookmarkStart w:id="1301" w:name="_Toc38442174"/>
      <w:bookmarkStart w:id="1302" w:name="_Toc38442506"/>
      <w:bookmarkStart w:id="1303" w:name="_Toc38442837"/>
      <w:bookmarkStart w:id="1304" w:name="_Toc38443168"/>
      <w:bookmarkStart w:id="1305" w:name="_Toc38443499"/>
      <w:bookmarkStart w:id="1306" w:name="_Toc38443830"/>
      <w:bookmarkStart w:id="1307" w:name="_Toc38438297"/>
      <w:bookmarkStart w:id="1308" w:name="_Toc38438634"/>
      <w:bookmarkStart w:id="1309" w:name="_Toc38438971"/>
      <w:bookmarkStart w:id="1310" w:name="_Toc38439308"/>
      <w:bookmarkStart w:id="1311" w:name="_Toc38439645"/>
      <w:bookmarkStart w:id="1312" w:name="_Toc38439982"/>
      <w:bookmarkStart w:id="1313" w:name="_Toc38440319"/>
      <w:bookmarkStart w:id="1314" w:name="_Toc38440652"/>
      <w:bookmarkStart w:id="1315" w:name="_Toc38440851"/>
      <w:bookmarkStart w:id="1316" w:name="_Toc38441183"/>
      <w:bookmarkStart w:id="1317" w:name="_Toc38441515"/>
      <w:bookmarkStart w:id="1318" w:name="_Toc38441843"/>
      <w:bookmarkStart w:id="1319" w:name="_Toc38442175"/>
      <w:bookmarkStart w:id="1320" w:name="_Toc38442507"/>
      <w:bookmarkStart w:id="1321" w:name="_Toc38442838"/>
      <w:bookmarkStart w:id="1322" w:name="_Toc38443169"/>
      <w:bookmarkStart w:id="1323" w:name="_Toc38443500"/>
      <w:bookmarkStart w:id="1324" w:name="_Toc38443831"/>
      <w:bookmarkStart w:id="1325" w:name="_Toc38438298"/>
      <w:bookmarkStart w:id="1326" w:name="_Toc38438635"/>
      <w:bookmarkStart w:id="1327" w:name="_Toc38438972"/>
      <w:bookmarkStart w:id="1328" w:name="_Toc38439309"/>
      <w:bookmarkStart w:id="1329" w:name="_Toc38439646"/>
      <w:bookmarkStart w:id="1330" w:name="_Toc38439983"/>
      <w:bookmarkStart w:id="1331" w:name="_Toc38440320"/>
      <w:bookmarkStart w:id="1332" w:name="_Toc38440653"/>
      <w:bookmarkStart w:id="1333" w:name="_Toc38440852"/>
      <w:bookmarkStart w:id="1334" w:name="_Toc38441184"/>
      <w:bookmarkStart w:id="1335" w:name="_Toc38441516"/>
      <w:bookmarkStart w:id="1336" w:name="_Toc38441844"/>
      <w:bookmarkStart w:id="1337" w:name="_Toc38442176"/>
      <w:bookmarkStart w:id="1338" w:name="_Toc38442508"/>
      <w:bookmarkStart w:id="1339" w:name="_Toc38442839"/>
      <w:bookmarkStart w:id="1340" w:name="_Toc38443170"/>
      <w:bookmarkStart w:id="1341" w:name="_Toc38443501"/>
      <w:bookmarkStart w:id="1342" w:name="_Toc38443832"/>
      <w:bookmarkStart w:id="1343" w:name="_Toc38438299"/>
      <w:bookmarkStart w:id="1344" w:name="_Toc38438636"/>
      <w:bookmarkStart w:id="1345" w:name="_Toc38438973"/>
      <w:bookmarkStart w:id="1346" w:name="_Toc38439310"/>
      <w:bookmarkStart w:id="1347" w:name="_Toc38439647"/>
      <w:bookmarkStart w:id="1348" w:name="_Toc38439984"/>
      <w:bookmarkStart w:id="1349" w:name="_Toc38440321"/>
      <w:bookmarkStart w:id="1350" w:name="_Toc38440654"/>
      <w:bookmarkStart w:id="1351" w:name="_Toc38440853"/>
      <w:bookmarkStart w:id="1352" w:name="_Toc38441185"/>
      <w:bookmarkStart w:id="1353" w:name="_Toc38441517"/>
      <w:bookmarkStart w:id="1354" w:name="_Toc38441845"/>
      <w:bookmarkStart w:id="1355" w:name="_Toc38442177"/>
      <w:bookmarkStart w:id="1356" w:name="_Toc38442509"/>
      <w:bookmarkStart w:id="1357" w:name="_Toc38442840"/>
      <w:bookmarkStart w:id="1358" w:name="_Toc38443171"/>
      <w:bookmarkStart w:id="1359" w:name="_Toc38443502"/>
      <w:bookmarkStart w:id="1360" w:name="_Toc38443833"/>
      <w:bookmarkStart w:id="1361" w:name="_Toc38438301"/>
      <w:bookmarkStart w:id="1362" w:name="_Toc38438638"/>
      <w:bookmarkStart w:id="1363" w:name="_Toc38438975"/>
      <w:bookmarkStart w:id="1364" w:name="_Toc38439312"/>
      <w:bookmarkStart w:id="1365" w:name="_Toc38439649"/>
      <w:bookmarkStart w:id="1366" w:name="_Toc38439986"/>
      <w:bookmarkStart w:id="1367" w:name="_Toc38440323"/>
      <w:bookmarkStart w:id="1368" w:name="_Toc38440656"/>
      <w:bookmarkStart w:id="1369" w:name="_Toc38440855"/>
      <w:bookmarkStart w:id="1370" w:name="_Toc38441187"/>
      <w:bookmarkStart w:id="1371" w:name="_Toc38441519"/>
      <w:bookmarkStart w:id="1372" w:name="_Toc38441847"/>
      <w:bookmarkStart w:id="1373" w:name="_Toc38442179"/>
      <w:bookmarkStart w:id="1374" w:name="_Toc38442511"/>
      <w:bookmarkStart w:id="1375" w:name="_Toc38442842"/>
      <w:bookmarkStart w:id="1376" w:name="_Toc38443173"/>
      <w:bookmarkStart w:id="1377" w:name="_Toc38443504"/>
      <w:bookmarkStart w:id="1378" w:name="_Toc38443835"/>
      <w:bookmarkStart w:id="1379" w:name="_Toc38438302"/>
      <w:bookmarkStart w:id="1380" w:name="_Toc38438639"/>
      <w:bookmarkStart w:id="1381" w:name="_Toc38438976"/>
      <w:bookmarkStart w:id="1382" w:name="_Toc38439313"/>
      <w:bookmarkStart w:id="1383" w:name="_Toc38439650"/>
      <w:bookmarkStart w:id="1384" w:name="_Toc38439987"/>
      <w:bookmarkStart w:id="1385" w:name="_Toc38440324"/>
      <w:bookmarkStart w:id="1386" w:name="_Toc38440657"/>
      <w:bookmarkStart w:id="1387" w:name="_Toc38440856"/>
      <w:bookmarkStart w:id="1388" w:name="_Toc38441188"/>
      <w:bookmarkStart w:id="1389" w:name="_Toc38441520"/>
      <w:bookmarkStart w:id="1390" w:name="_Toc38441848"/>
      <w:bookmarkStart w:id="1391" w:name="_Toc38442180"/>
      <w:bookmarkStart w:id="1392" w:name="_Toc38442512"/>
      <w:bookmarkStart w:id="1393" w:name="_Toc38442843"/>
      <w:bookmarkStart w:id="1394" w:name="_Toc38443174"/>
      <w:bookmarkStart w:id="1395" w:name="_Toc38443505"/>
      <w:bookmarkStart w:id="1396" w:name="_Toc38443836"/>
      <w:bookmarkStart w:id="1397" w:name="_Toc38438303"/>
      <w:bookmarkStart w:id="1398" w:name="_Toc38438640"/>
      <w:bookmarkStart w:id="1399" w:name="_Toc38438977"/>
      <w:bookmarkStart w:id="1400" w:name="_Toc38439314"/>
      <w:bookmarkStart w:id="1401" w:name="_Toc38439651"/>
      <w:bookmarkStart w:id="1402" w:name="_Toc38439988"/>
      <w:bookmarkStart w:id="1403" w:name="_Toc38440325"/>
      <w:bookmarkStart w:id="1404" w:name="_Toc38440658"/>
      <w:bookmarkStart w:id="1405" w:name="_Toc38440857"/>
      <w:bookmarkStart w:id="1406" w:name="_Toc38441189"/>
      <w:bookmarkStart w:id="1407" w:name="_Toc38441521"/>
      <w:bookmarkStart w:id="1408" w:name="_Toc38441849"/>
      <w:bookmarkStart w:id="1409" w:name="_Toc38442181"/>
      <w:bookmarkStart w:id="1410" w:name="_Toc38442513"/>
      <w:bookmarkStart w:id="1411" w:name="_Toc38442844"/>
      <w:bookmarkStart w:id="1412" w:name="_Toc38443175"/>
      <w:bookmarkStart w:id="1413" w:name="_Toc38443506"/>
      <w:bookmarkStart w:id="1414" w:name="_Toc38443837"/>
      <w:bookmarkStart w:id="1415" w:name="_Toc38438304"/>
      <w:bookmarkStart w:id="1416" w:name="_Toc38438641"/>
      <w:bookmarkStart w:id="1417" w:name="_Toc38438978"/>
      <w:bookmarkStart w:id="1418" w:name="_Toc38439315"/>
      <w:bookmarkStart w:id="1419" w:name="_Toc38439652"/>
      <w:bookmarkStart w:id="1420" w:name="_Toc38439989"/>
      <w:bookmarkStart w:id="1421" w:name="_Toc38440326"/>
      <w:bookmarkStart w:id="1422" w:name="_Toc38440659"/>
      <w:bookmarkStart w:id="1423" w:name="_Toc38440858"/>
      <w:bookmarkStart w:id="1424" w:name="_Toc38441190"/>
      <w:bookmarkStart w:id="1425" w:name="_Toc38441522"/>
      <w:bookmarkStart w:id="1426" w:name="_Toc38441850"/>
      <w:bookmarkStart w:id="1427" w:name="_Toc38442182"/>
      <w:bookmarkStart w:id="1428" w:name="_Toc38442514"/>
      <w:bookmarkStart w:id="1429" w:name="_Toc38442845"/>
      <w:bookmarkStart w:id="1430" w:name="_Toc38443176"/>
      <w:bookmarkStart w:id="1431" w:name="_Toc38443507"/>
      <w:bookmarkStart w:id="1432" w:name="_Toc38443838"/>
      <w:bookmarkStart w:id="1433" w:name="_Toc38438305"/>
      <w:bookmarkStart w:id="1434" w:name="_Toc38438642"/>
      <w:bookmarkStart w:id="1435" w:name="_Toc38438979"/>
      <w:bookmarkStart w:id="1436" w:name="_Toc38439316"/>
      <w:bookmarkStart w:id="1437" w:name="_Toc38439653"/>
      <w:bookmarkStart w:id="1438" w:name="_Toc38439990"/>
      <w:bookmarkStart w:id="1439" w:name="_Toc38440327"/>
      <w:bookmarkStart w:id="1440" w:name="_Toc38440660"/>
      <w:bookmarkStart w:id="1441" w:name="_Toc38440859"/>
      <w:bookmarkStart w:id="1442" w:name="_Toc38441191"/>
      <w:bookmarkStart w:id="1443" w:name="_Toc38441523"/>
      <w:bookmarkStart w:id="1444" w:name="_Toc38441851"/>
      <w:bookmarkStart w:id="1445" w:name="_Toc38442183"/>
      <w:bookmarkStart w:id="1446" w:name="_Toc38442515"/>
      <w:bookmarkStart w:id="1447" w:name="_Toc38442846"/>
      <w:bookmarkStart w:id="1448" w:name="_Toc38443177"/>
      <w:bookmarkStart w:id="1449" w:name="_Toc38443508"/>
      <w:bookmarkStart w:id="1450" w:name="_Toc38443839"/>
      <w:bookmarkStart w:id="1451" w:name="_Toc38438306"/>
      <w:bookmarkStart w:id="1452" w:name="_Toc38438643"/>
      <w:bookmarkStart w:id="1453" w:name="_Toc38438980"/>
      <w:bookmarkStart w:id="1454" w:name="_Toc38439317"/>
      <w:bookmarkStart w:id="1455" w:name="_Toc38439654"/>
      <w:bookmarkStart w:id="1456" w:name="_Toc38439991"/>
      <w:bookmarkStart w:id="1457" w:name="_Toc38440328"/>
      <w:bookmarkStart w:id="1458" w:name="_Toc38440661"/>
      <w:bookmarkStart w:id="1459" w:name="_Toc38440860"/>
      <w:bookmarkStart w:id="1460" w:name="_Toc38441192"/>
      <w:bookmarkStart w:id="1461" w:name="_Toc38441524"/>
      <w:bookmarkStart w:id="1462" w:name="_Toc38441852"/>
      <w:bookmarkStart w:id="1463" w:name="_Toc38442184"/>
      <w:bookmarkStart w:id="1464" w:name="_Toc38442516"/>
      <w:bookmarkStart w:id="1465" w:name="_Toc38442847"/>
      <w:bookmarkStart w:id="1466" w:name="_Toc38443178"/>
      <w:bookmarkStart w:id="1467" w:name="_Toc38443509"/>
      <w:bookmarkStart w:id="1468" w:name="_Toc38443840"/>
      <w:bookmarkStart w:id="1469" w:name="_Toc38438310"/>
      <w:bookmarkStart w:id="1470" w:name="_Toc38438647"/>
      <w:bookmarkStart w:id="1471" w:name="_Toc38438984"/>
      <w:bookmarkStart w:id="1472" w:name="_Toc38439321"/>
      <w:bookmarkStart w:id="1473" w:name="_Toc38439658"/>
      <w:bookmarkStart w:id="1474" w:name="_Toc38439995"/>
      <w:bookmarkStart w:id="1475" w:name="_Toc38440332"/>
      <w:bookmarkStart w:id="1476" w:name="_Toc38440665"/>
      <w:bookmarkStart w:id="1477" w:name="_Toc38440864"/>
      <w:bookmarkStart w:id="1478" w:name="_Toc38441196"/>
      <w:bookmarkStart w:id="1479" w:name="_Toc38441528"/>
      <w:bookmarkStart w:id="1480" w:name="_Toc38441856"/>
      <w:bookmarkStart w:id="1481" w:name="_Toc38442188"/>
      <w:bookmarkStart w:id="1482" w:name="_Toc38442520"/>
      <w:bookmarkStart w:id="1483" w:name="_Toc38442851"/>
      <w:bookmarkStart w:id="1484" w:name="_Toc38443182"/>
      <w:bookmarkStart w:id="1485" w:name="_Toc38443513"/>
      <w:bookmarkStart w:id="1486" w:name="_Toc38443844"/>
      <w:bookmarkStart w:id="1487" w:name="_Toc38438311"/>
      <w:bookmarkStart w:id="1488" w:name="_Toc38438648"/>
      <w:bookmarkStart w:id="1489" w:name="_Toc38438985"/>
      <w:bookmarkStart w:id="1490" w:name="_Toc38439322"/>
      <w:bookmarkStart w:id="1491" w:name="_Toc38439659"/>
      <w:bookmarkStart w:id="1492" w:name="_Toc38439996"/>
      <w:bookmarkStart w:id="1493" w:name="_Toc38440333"/>
      <w:bookmarkStart w:id="1494" w:name="_Toc38440666"/>
      <w:bookmarkStart w:id="1495" w:name="_Toc38440865"/>
      <w:bookmarkStart w:id="1496" w:name="_Toc38441197"/>
      <w:bookmarkStart w:id="1497" w:name="_Toc38441529"/>
      <w:bookmarkStart w:id="1498" w:name="_Toc38441857"/>
      <w:bookmarkStart w:id="1499" w:name="_Toc38442189"/>
      <w:bookmarkStart w:id="1500" w:name="_Toc38442521"/>
      <w:bookmarkStart w:id="1501" w:name="_Toc38442852"/>
      <w:bookmarkStart w:id="1502" w:name="_Toc38443183"/>
      <w:bookmarkStart w:id="1503" w:name="_Toc38443514"/>
      <w:bookmarkStart w:id="1504" w:name="_Toc38443845"/>
      <w:bookmarkStart w:id="1505" w:name="_Toc38438312"/>
      <w:bookmarkStart w:id="1506" w:name="_Toc38438649"/>
      <w:bookmarkStart w:id="1507" w:name="_Toc38438986"/>
      <w:bookmarkStart w:id="1508" w:name="_Toc38439323"/>
      <w:bookmarkStart w:id="1509" w:name="_Toc38439660"/>
      <w:bookmarkStart w:id="1510" w:name="_Toc38439997"/>
      <w:bookmarkStart w:id="1511" w:name="_Toc38440334"/>
      <w:bookmarkStart w:id="1512" w:name="_Toc38440667"/>
      <w:bookmarkStart w:id="1513" w:name="_Toc38440866"/>
      <w:bookmarkStart w:id="1514" w:name="_Toc38441198"/>
      <w:bookmarkStart w:id="1515" w:name="_Toc38441530"/>
      <w:bookmarkStart w:id="1516" w:name="_Toc38441858"/>
      <w:bookmarkStart w:id="1517" w:name="_Toc38442190"/>
      <w:bookmarkStart w:id="1518" w:name="_Toc38442522"/>
      <w:bookmarkStart w:id="1519" w:name="_Toc38442853"/>
      <w:bookmarkStart w:id="1520" w:name="_Toc38443184"/>
      <w:bookmarkStart w:id="1521" w:name="_Toc38443515"/>
      <w:bookmarkStart w:id="1522" w:name="_Toc38443846"/>
      <w:bookmarkStart w:id="1523" w:name="_Toc38438313"/>
      <w:bookmarkStart w:id="1524" w:name="_Toc38438650"/>
      <w:bookmarkStart w:id="1525" w:name="_Toc38438987"/>
      <w:bookmarkStart w:id="1526" w:name="_Toc38439324"/>
      <w:bookmarkStart w:id="1527" w:name="_Toc38439661"/>
      <w:bookmarkStart w:id="1528" w:name="_Toc38439998"/>
      <w:bookmarkStart w:id="1529" w:name="_Toc38440335"/>
      <w:bookmarkStart w:id="1530" w:name="_Toc38440668"/>
      <w:bookmarkStart w:id="1531" w:name="_Toc38440867"/>
      <w:bookmarkStart w:id="1532" w:name="_Toc38441199"/>
      <w:bookmarkStart w:id="1533" w:name="_Toc38441531"/>
      <w:bookmarkStart w:id="1534" w:name="_Toc38441859"/>
      <w:bookmarkStart w:id="1535" w:name="_Toc38442191"/>
      <w:bookmarkStart w:id="1536" w:name="_Toc38442523"/>
      <w:bookmarkStart w:id="1537" w:name="_Toc38442854"/>
      <w:bookmarkStart w:id="1538" w:name="_Toc38443185"/>
      <w:bookmarkStart w:id="1539" w:name="_Toc38443516"/>
      <w:bookmarkStart w:id="1540" w:name="_Toc38443847"/>
      <w:bookmarkStart w:id="1541" w:name="_Toc38438314"/>
      <w:bookmarkStart w:id="1542" w:name="_Toc38438651"/>
      <w:bookmarkStart w:id="1543" w:name="_Toc38438988"/>
      <w:bookmarkStart w:id="1544" w:name="_Toc38439325"/>
      <w:bookmarkStart w:id="1545" w:name="_Toc38439662"/>
      <w:bookmarkStart w:id="1546" w:name="_Toc38439999"/>
      <w:bookmarkStart w:id="1547" w:name="_Toc38440336"/>
      <w:bookmarkStart w:id="1548" w:name="_Toc38440669"/>
      <w:bookmarkStart w:id="1549" w:name="_Toc38440868"/>
      <w:bookmarkStart w:id="1550" w:name="_Toc38441200"/>
      <w:bookmarkStart w:id="1551" w:name="_Toc38441532"/>
      <w:bookmarkStart w:id="1552" w:name="_Toc38441860"/>
      <w:bookmarkStart w:id="1553" w:name="_Toc38442192"/>
      <w:bookmarkStart w:id="1554" w:name="_Toc38442524"/>
      <w:bookmarkStart w:id="1555" w:name="_Toc38442855"/>
      <w:bookmarkStart w:id="1556" w:name="_Toc38443186"/>
      <w:bookmarkStart w:id="1557" w:name="_Toc38443517"/>
      <w:bookmarkStart w:id="1558" w:name="_Toc38443848"/>
      <w:bookmarkStart w:id="1559" w:name="_Toc38438315"/>
      <w:bookmarkStart w:id="1560" w:name="_Toc38438652"/>
      <w:bookmarkStart w:id="1561" w:name="_Toc38438989"/>
      <w:bookmarkStart w:id="1562" w:name="_Toc38439326"/>
      <w:bookmarkStart w:id="1563" w:name="_Toc38439663"/>
      <w:bookmarkStart w:id="1564" w:name="_Toc38440000"/>
      <w:bookmarkStart w:id="1565" w:name="_Toc38440337"/>
      <w:bookmarkStart w:id="1566" w:name="_Toc38440670"/>
      <w:bookmarkStart w:id="1567" w:name="_Toc38440869"/>
      <w:bookmarkStart w:id="1568" w:name="_Toc38441201"/>
      <w:bookmarkStart w:id="1569" w:name="_Toc38441533"/>
      <w:bookmarkStart w:id="1570" w:name="_Toc38441861"/>
      <w:bookmarkStart w:id="1571" w:name="_Toc38442193"/>
      <w:bookmarkStart w:id="1572" w:name="_Toc38442525"/>
      <w:bookmarkStart w:id="1573" w:name="_Toc38442856"/>
      <w:bookmarkStart w:id="1574" w:name="_Toc38443187"/>
      <w:bookmarkStart w:id="1575" w:name="_Toc38443518"/>
      <w:bookmarkStart w:id="1576" w:name="_Toc38443849"/>
      <w:bookmarkStart w:id="1577" w:name="_Toc38438316"/>
      <w:bookmarkStart w:id="1578" w:name="_Toc38438653"/>
      <w:bookmarkStart w:id="1579" w:name="_Toc38438990"/>
      <w:bookmarkStart w:id="1580" w:name="_Toc38439327"/>
      <w:bookmarkStart w:id="1581" w:name="_Toc38439664"/>
      <w:bookmarkStart w:id="1582" w:name="_Toc38440001"/>
      <w:bookmarkStart w:id="1583" w:name="_Toc38440338"/>
      <w:bookmarkStart w:id="1584" w:name="_Toc38440671"/>
      <w:bookmarkStart w:id="1585" w:name="_Toc38440870"/>
      <w:bookmarkStart w:id="1586" w:name="_Toc38441202"/>
      <w:bookmarkStart w:id="1587" w:name="_Toc38441534"/>
      <w:bookmarkStart w:id="1588" w:name="_Toc38441862"/>
      <w:bookmarkStart w:id="1589" w:name="_Toc38442194"/>
      <w:bookmarkStart w:id="1590" w:name="_Toc38442526"/>
      <w:bookmarkStart w:id="1591" w:name="_Toc38442857"/>
      <w:bookmarkStart w:id="1592" w:name="_Toc38443188"/>
      <w:bookmarkStart w:id="1593" w:name="_Toc38443519"/>
      <w:bookmarkStart w:id="1594" w:name="_Toc38443850"/>
      <w:bookmarkStart w:id="1595" w:name="_Toc38438317"/>
      <w:bookmarkStart w:id="1596" w:name="_Toc38438654"/>
      <w:bookmarkStart w:id="1597" w:name="_Toc38438991"/>
      <w:bookmarkStart w:id="1598" w:name="_Toc38439328"/>
      <w:bookmarkStart w:id="1599" w:name="_Toc38439665"/>
      <w:bookmarkStart w:id="1600" w:name="_Toc38440002"/>
      <w:bookmarkStart w:id="1601" w:name="_Toc38440339"/>
      <w:bookmarkStart w:id="1602" w:name="_Toc38440672"/>
      <w:bookmarkStart w:id="1603" w:name="_Toc38440871"/>
      <w:bookmarkStart w:id="1604" w:name="_Toc38441203"/>
      <w:bookmarkStart w:id="1605" w:name="_Toc38441535"/>
      <w:bookmarkStart w:id="1606" w:name="_Toc38441863"/>
      <w:bookmarkStart w:id="1607" w:name="_Toc38442195"/>
      <w:bookmarkStart w:id="1608" w:name="_Toc38442527"/>
      <w:bookmarkStart w:id="1609" w:name="_Toc38442858"/>
      <w:bookmarkStart w:id="1610" w:name="_Toc38443189"/>
      <w:bookmarkStart w:id="1611" w:name="_Toc38443520"/>
      <w:bookmarkStart w:id="1612" w:name="_Toc38443851"/>
      <w:bookmarkStart w:id="1613" w:name="_Toc38438318"/>
      <w:bookmarkStart w:id="1614" w:name="_Toc38438655"/>
      <w:bookmarkStart w:id="1615" w:name="_Toc38438992"/>
      <w:bookmarkStart w:id="1616" w:name="_Toc38439329"/>
      <w:bookmarkStart w:id="1617" w:name="_Toc38439666"/>
      <w:bookmarkStart w:id="1618" w:name="_Toc38440003"/>
      <w:bookmarkStart w:id="1619" w:name="_Toc38440340"/>
      <w:bookmarkStart w:id="1620" w:name="_Toc38440673"/>
      <w:bookmarkStart w:id="1621" w:name="_Toc38440872"/>
      <w:bookmarkStart w:id="1622" w:name="_Toc38441204"/>
      <w:bookmarkStart w:id="1623" w:name="_Toc38441536"/>
      <w:bookmarkStart w:id="1624" w:name="_Toc38441864"/>
      <w:bookmarkStart w:id="1625" w:name="_Toc38442196"/>
      <w:bookmarkStart w:id="1626" w:name="_Toc38442528"/>
      <w:bookmarkStart w:id="1627" w:name="_Toc38442859"/>
      <w:bookmarkStart w:id="1628" w:name="_Toc38443190"/>
      <w:bookmarkStart w:id="1629" w:name="_Toc38443521"/>
      <w:bookmarkStart w:id="1630" w:name="_Toc38443852"/>
      <w:bookmarkStart w:id="1631" w:name="_Toc38438319"/>
      <w:bookmarkStart w:id="1632" w:name="_Toc38438656"/>
      <w:bookmarkStart w:id="1633" w:name="_Toc38438993"/>
      <w:bookmarkStart w:id="1634" w:name="_Toc38439330"/>
      <w:bookmarkStart w:id="1635" w:name="_Toc38439667"/>
      <w:bookmarkStart w:id="1636" w:name="_Toc38440004"/>
      <w:bookmarkStart w:id="1637" w:name="_Toc38440341"/>
      <w:bookmarkStart w:id="1638" w:name="_Toc38440674"/>
      <w:bookmarkStart w:id="1639" w:name="_Toc38440873"/>
      <w:bookmarkStart w:id="1640" w:name="_Toc38441205"/>
      <w:bookmarkStart w:id="1641" w:name="_Toc38441537"/>
      <w:bookmarkStart w:id="1642" w:name="_Toc38441865"/>
      <w:bookmarkStart w:id="1643" w:name="_Toc38442197"/>
      <w:bookmarkStart w:id="1644" w:name="_Toc38442529"/>
      <w:bookmarkStart w:id="1645" w:name="_Toc38442860"/>
      <w:bookmarkStart w:id="1646" w:name="_Toc38443191"/>
      <w:bookmarkStart w:id="1647" w:name="_Toc38443522"/>
      <w:bookmarkStart w:id="1648" w:name="_Toc38443853"/>
      <w:bookmarkStart w:id="1649" w:name="_Toc38438320"/>
      <w:bookmarkStart w:id="1650" w:name="_Toc38438657"/>
      <w:bookmarkStart w:id="1651" w:name="_Toc38438994"/>
      <w:bookmarkStart w:id="1652" w:name="_Toc38439331"/>
      <w:bookmarkStart w:id="1653" w:name="_Toc38439668"/>
      <w:bookmarkStart w:id="1654" w:name="_Toc38440005"/>
      <w:bookmarkStart w:id="1655" w:name="_Toc38440342"/>
      <w:bookmarkStart w:id="1656" w:name="_Toc38440675"/>
      <w:bookmarkStart w:id="1657" w:name="_Toc38440874"/>
      <w:bookmarkStart w:id="1658" w:name="_Toc38441206"/>
      <w:bookmarkStart w:id="1659" w:name="_Toc38441538"/>
      <w:bookmarkStart w:id="1660" w:name="_Toc38441866"/>
      <w:bookmarkStart w:id="1661" w:name="_Toc38442198"/>
      <w:bookmarkStart w:id="1662" w:name="_Toc38442530"/>
      <w:bookmarkStart w:id="1663" w:name="_Toc38442861"/>
      <w:bookmarkStart w:id="1664" w:name="_Toc38443192"/>
      <w:bookmarkStart w:id="1665" w:name="_Toc38443523"/>
      <w:bookmarkStart w:id="1666" w:name="_Toc38443854"/>
      <w:bookmarkStart w:id="1667" w:name="_Toc38438321"/>
      <w:bookmarkStart w:id="1668" w:name="_Toc38438658"/>
      <w:bookmarkStart w:id="1669" w:name="_Toc38438995"/>
      <w:bookmarkStart w:id="1670" w:name="_Toc38439332"/>
      <w:bookmarkStart w:id="1671" w:name="_Toc38439669"/>
      <w:bookmarkStart w:id="1672" w:name="_Toc38440006"/>
      <w:bookmarkStart w:id="1673" w:name="_Toc38440343"/>
      <w:bookmarkStart w:id="1674" w:name="_Toc38440676"/>
      <w:bookmarkStart w:id="1675" w:name="_Toc38440875"/>
      <w:bookmarkStart w:id="1676" w:name="_Toc38441207"/>
      <w:bookmarkStart w:id="1677" w:name="_Toc38441539"/>
      <w:bookmarkStart w:id="1678" w:name="_Toc38441867"/>
      <w:bookmarkStart w:id="1679" w:name="_Toc38442199"/>
      <w:bookmarkStart w:id="1680" w:name="_Toc38442531"/>
      <w:bookmarkStart w:id="1681" w:name="_Toc38442862"/>
      <w:bookmarkStart w:id="1682" w:name="_Toc38443193"/>
      <w:bookmarkStart w:id="1683" w:name="_Toc38443524"/>
      <w:bookmarkStart w:id="1684" w:name="_Toc38443855"/>
      <w:bookmarkStart w:id="1685" w:name="_Toc38438322"/>
      <w:bookmarkStart w:id="1686" w:name="_Toc38438659"/>
      <w:bookmarkStart w:id="1687" w:name="_Toc38438996"/>
      <w:bookmarkStart w:id="1688" w:name="_Toc38439333"/>
      <w:bookmarkStart w:id="1689" w:name="_Toc38439670"/>
      <w:bookmarkStart w:id="1690" w:name="_Toc38440007"/>
      <w:bookmarkStart w:id="1691" w:name="_Toc38440344"/>
      <w:bookmarkStart w:id="1692" w:name="_Toc38440677"/>
      <w:bookmarkStart w:id="1693" w:name="_Toc38440876"/>
      <w:bookmarkStart w:id="1694" w:name="_Toc38441208"/>
      <w:bookmarkStart w:id="1695" w:name="_Toc38441540"/>
      <w:bookmarkStart w:id="1696" w:name="_Toc38441868"/>
      <w:bookmarkStart w:id="1697" w:name="_Toc38442200"/>
      <w:bookmarkStart w:id="1698" w:name="_Toc38442532"/>
      <w:bookmarkStart w:id="1699" w:name="_Toc38442863"/>
      <w:bookmarkStart w:id="1700" w:name="_Toc38443194"/>
      <w:bookmarkStart w:id="1701" w:name="_Toc38443525"/>
      <w:bookmarkStart w:id="1702" w:name="_Toc38443856"/>
      <w:bookmarkStart w:id="1703" w:name="_Toc38438323"/>
      <w:bookmarkStart w:id="1704" w:name="_Toc38438660"/>
      <w:bookmarkStart w:id="1705" w:name="_Toc38438997"/>
      <w:bookmarkStart w:id="1706" w:name="_Toc38439334"/>
      <w:bookmarkStart w:id="1707" w:name="_Toc38439671"/>
      <w:bookmarkStart w:id="1708" w:name="_Toc38440008"/>
      <w:bookmarkStart w:id="1709" w:name="_Toc38440345"/>
      <w:bookmarkStart w:id="1710" w:name="_Toc38440678"/>
      <w:bookmarkStart w:id="1711" w:name="_Toc38440877"/>
      <w:bookmarkStart w:id="1712" w:name="_Toc38441209"/>
      <w:bookmarkStart w:id="1713" w:name="_Toc38441541"/>
      <w:bookmarkStart w:id="1714" w:name="_Toc38441869"/>
      <w:bookmarkStart w:id="1715" w:name="_Toc38442201"/>
      <w:bookmarkStart w:id="1716" w:name="_Toc38442533"/>
      <w:bookmarkStart w:id="1717" w:name="_Toc38442864"/>
      <w:bookmarkStart w:id="1718" w:name="_Toc38443195"/>
      <w:bookmarkStart w:id="1719" w:name="_Toc38443526"/>
      <w:bookmarkStart w:id="1720" w:name="_Toc38443857"/>
      <w:bookmarkStart w:id="1721" w:name="_Toc38438324"/>
      <w:bookmarkStart w:id="1722" w:name="_Toc38438661"/>
      <w:bookmarkStart w:id="1723" w:name="_Toc38438998"/>
      <w:bookmarkStart w:id="1724" w:name="_Toc38439335"/>
      <w:bookmarkStart w:id="1725" w:name="_Toc38439672"/>
      <w:bookmarkStart w:id="1726" w:name="_Toc38440009"/>
      <w:bookmarkStart w:id="1727" w:name="_Toc38440346"/>
      <w:bookmarkStart w:id="1728" w:name="_Toc38440679"/>
      <w:bookmarkStart w:id="1729" w:name="_Toc38440878"/>
      <w:bookmarkStart w:id="1730" w:name="_Toc38441210"/>
      <w:bookmarkStart w:id="1731" w:name="_Toc38441542"/>
      <w:bookmarkStart w:id="1732" w:name="_Toc38441870"/>
      <w:bookmarkStart w:id="1733" w:name="_Toc38442202"/>
      <w:bookmarkStart w:id="1734" w:name="_Toc38442534"/>
      <w:bookmarkStart w:id="1735" w:name="_Toc38442865"/>
      <w:bookmarkStart w:id="1736" w:name="_Toc38443196"/>
      <w:bookmarkStart w:id="1737" w:name="_Toc38443527"/>
      <w:bookmarkStart w:id="1738" w:name="_Toc38443858"/>
      <w:bookmarkStart w:id="1739" w:name="_Toc38438325"/>
      <w:bookmarkStart w:id="1740" w:name="_Toc38438662"/>
      <w:bookmarkStart w:id="1741" w:name="_Toc38438999"/>
      <w:bookmarkStart w:id="1742" w:name="_Toc38439336"/>
      <w:bookmarkStart w:id="1743" w:name="_Toc38439673"/>
      <w:bookmarkStart w:id="1744" w:name="_Toc38440010"/>
      <w:bookmarkStart w:id="1745" w:name="_Toc38440347"/>
      <w:bookmarkStart w:id="1746" w:name="_Toc38440879"/>
      <w:bookmarkStart w:id="1747" w:name="_Toc38441211"/>
      <w:bookmarkStart w:id="1748" w:name="_Toc38441543"/>
      <w:bookmarkStart w:id="1749" w:name="_Toc38441871"/>
      <w:bookmarkStart w:id="1750" w:name="_Toc38442203"/>
      <w:bookmarkStart w:id="1751" w:name="_Toc38442535"/>
      <w:bookmarkStart w:id="1752" w:name="_Toc38442866"/>
      <w:bookmarkStart w:id="1753" w:name="_Toc38443197"/>
      <w:bookmarkStart w:id="1754" w:name="_Toc38443528"/>
      <w:bookmarkStart w:id="1755" w:name="_Toc38443859"/>
      <w:bookmarkStart w:id="1756" w:name="_Toc38438326"/>
      <w:bookmarkStart w:id="1757" w:name="_Toc38438663"/>
      <w:bookmarkStart w:id="1758" w:name="_Toc38439000"/>
      <w:bookmarkStart w:id="1759" w:name="_Toc38439337"/>
      <w:bookmarkStart w:id="1760" w:name="_Toc38439674"/>
      <w:bookmarkStart w:id="1761" w:name="_Toc38440011"/>
      <w:bookmarkStart w:id="1762" w:name="_Toc38440348"/>
      <w:bookmarkStart w:id="1763" w:name="_Toc38440880"/>
      <w:bookmarkStart w:id="1764" w:name="_Toc38441212"/>
      <w:bookmarkStart w:id="1765" w:name="_Toc38441544"/>
      <w:bookmarkStart w:id="1766" w:name="_Toc38441872"/>
      <w:bookmarkStart w:id="1767" w:name="_Toc38442204"/>
      <w:bookmarkStart w:id="1768" w:name="_Toc38442536"/>
      <w:bookmarkStart w:id="1769" w:name="_Toc38442867"/>
      <w:bookmarkStart w:id="1770" w:name="_Toc38443198"/>
      <w:bookmarkStart w:id="1771" w:name="_Toc38443529"/>
      <w:bookmarkStart w:id="1772" w:name="_Toc38443860"/>
      <w:bookmarkStart w:id="1773" w:name="_Toc38438327"/>
      <w:bookmarkStart w:id="1774" w:name="_Toc38438664"/>
      <w:bookmarkStart w:id="1775" w:name="_Toc38439001"/>
      <w:bookmarkStart w:id="1776" w:name="_Toc38439338"/>
      <w:bookmarkStart w:id="1777" w:name="_Toc38439675"/>
      <w:bookmarkStart w:id="1778" w:name="_Toc38440012"/>
      <w:bookmarkStart w:id="1779" w:name="_Toc38440349"/>
      <w:bookmarkStart w:id="1780" w:name="_Toc38440881"/>
      <w:bookmarkStart w:id="1781" w:name="_Toc38441213"/>
      <w:bookmarkStart w:id="1782" w:name="_Toc38441545"/>
      <w:bookmarkStart w:id="1783" w:name="_Toc38441873"/>
      <w:bookmarkStart w:id="1784" w:name="_Toc38442205"/>
      <w:bookmarkStart w:id="1785" w:name="_Toc38442537"/>
      <w:bookmarkStart w:id="1786" w:name="_Toc38442868"/>
      <w:bookmarkStart w:id="1787" w:name="_Toc38443199"/>
      <w:bookmarkStart w:id="1788" w:name="_Toc38443530"/>
      <w:bookmarkStart w:id="1789" w:name="_Toc38443861"/>
      <w:bookmarkStart w:id="1790" w:name="_Toc38438328"/>
      <w:bookmarkStart w:id="1791" w:name="_Toc38438665"/>
      <w:bookmarkStart w:id="1792" w:name="_Toc38439002"/>
      <w:bookmarkStart w:id="1793" w:name="_Toc38439339"/>
      <w:bookmarkStart w:id="1794" w:name="_Toc38439676"/>
      <w:bookmarkStart w:id="1795" w:name="_Toc38440013"/>
      <w:bookmarkStart w:id="1796" w:name="_Toc38440350"/>
      <w:bookmarkStart w:id="1797" w:name="_Toc38440882"/>
      <w:bookmarkStart w:id="1798" w:name="_Toc38441214"/>
      <w:bookmarkStart w:id="1799" w:name="_Toc38441546"/>
      <w:bookmarkStart w:id="1800" w:name="_Toc38441874"/>
      <w:bookmarkStart w:id="1801" w:name="_Toc38442206"/>
      <w:bookmarkStart w:id="1802" w:name="_Toc38442538"/>
      <w:bookmarkStart w:id="1803" w:name="_Toc38442869"/>
      <w:bookmarkStart w:id="1804" w:name="_Toc38443200"/>
      <w:bookmarkStart w:id="1805" w:name="_Toc38443531"/>
      <w:bookmarkStart w:id="1806" w:name="_Toc38443862"/>
      <w:bookmarkStart w:id="1807" w:name="_Toc38438329"/>
      <w:bookmarkStart w:id="1808" w:name="_Toc38438666"/>
      <w:bookmarkStart w:id="1809" w:name="_Toc38439003"/>
      <w:bookmarkStart w:id="1810" w:name="_Toc38439340"/>
      <w:bookmarkStart w:id="1811" w:name="_Toc38439677"/>
      <w:bookmarkStart w:id="1812" w:name="_Toc38440014"/>
      <w:bookmarkStart w:id="1813" w:name="_Toc38440351"/>
      <w:bookmarkStart w:id="1814" w:name="_Toc38440883"/>
      <w:bookmarkStart w:id="1815" w:name="_Toc38441215"/>
      <w:bookmarkStart w:id="1816" w:name="_Toc38441547"/>
      <w:bookmarkStart w:id="1817" w:name="_Toc38441875"/>
      <w:bookmarkStart w:id="1818" w:name="_Toc38442207"/>
      <w:bookmarkStart w:id="1819" w:name="_Toc38442539"/>
      <w:bookmarkStart w:id="1820" w:name="_Toc38442870"/>
      <w:bookmarkStart w:id="1821" w:name="_Toc38443201"/>
      <w:bookmarkStart w:id="1822" w:name="_Toc38443532"/>
      <w:bookmarkStart w:id="1823" w:name="_Toc38443863"/>
      <w:bookmarkStart w:id="1824" w:name="_Toc38438330"/>
      <w:bookmarkStart w:id="1825" w:name="_Toc38438667"/>
      <w:bookmarkStart w:id="1826" w:name="_Toc38439004"/>
      <w:bookmarkStart w:id="1827" w:name="_Toc38439341"/>
      <w:bookmarkStart w:id="1828" w:name="_Toc38439678"/>
      <w:bookmarkStart w:id="1829" w:name="_Toc38440015"/>
      <w:bookmarkStart w:id="1830" w:name="_Toc38440352"/>
      <w:bookmarkStart w:id="1831" w:name="_Toc38440884"/>
      <w:bookmarkStart w:id="1832" w:name="_Toc38441216"/>
      <w:bookmarkStart w:id="1833" w:name="_Toc38441548"/>
      <w:bookmarkStart w:id="1834" w:name="_Toc38441876"/>
      <w:bookmarkStart w:id="1835" w:name="_Toc38442208"/>
      <w:bookmarkStart w:id="1836" w:name="_Toc38442540"/>
      <w:bookmarkStart w:id="1837" w:name="_Toc38442871"/>
      <w:bookmarkStart w:id="1838" w:name="_Toc38443202"/>
      <w:bookmarkStart w:id="1839" w:name="_Toc38443533"/>
      <w:bookmarkStart w:id="1840" w:name="_Toc38443864"/>
      <w:bookmarkStart w:id="1841" w:name="_Toc38438331"/>
      <w:bookmarkStart w:id="1842" w:name="_Toc38438668"/>
      <w:bookmarkStart w:id="1843" w:name="_Toc38439005"/>
      <w:bookmarkStart w:id="1844" w:name="_Toc38439342"/>
      <w:bookmarkStart w:id="1845" w:name="_Toc38439679"/>
      <w:bookmarkStart w:id="1846" w:name="_Toc38440016"/>
      <w:bookmarkStart w:id="1847" w:name="_Toc38440353"/>
      <w:bookmarkStart w:id="1848" w:name="_Toc38440885"/>
      <w:bookmarkStart w:id="1849" w:name="_Toc38441217"/>
      <w:bookmarkStart w:id="1850" w:name="_Toc38441549"/>
      <w:bookmarkStart w:id="1851" w:name="_Toc38441877"/>
      <w:bookmarkStart w:id="1852" w:name="_Toc38442209"/>
      <w:bookmarkStart w:id="1853" w:name="_Toc38442541"/>
      <w:bookmarkStart w:id="1854" w:name="_Toc38442872"/>
      <w:bookmarkStart w:id="1855" w:name="_Toc38443203"/>
      <w:bookmarkStart w:id="1856" w:name="_Toc38443534"/>
      <w:bookmarkStart w:id="1857" w:name="_Toc38443865"/>
      <w:bookmarkStart w:id="1858" w:name="_Toc38438332"/>
      <w:bookmarkStart w:id="1859" w:name="_Toc38438669"/>
      <w:bookmarkStart w:id="1860" w:name="_Toc38439006"/>
      <w:bookmarkStart w:id="1861" w:name="_Toc38439343"/>
      <w:bookmarkStart w:id="1862" w:name="_Toc38439680"/>
      <w:bookmarkStart w:id="1863" w:name="_Toc38440017"/>
      <w:bookmarkStart w:id="1864" w:name="_Toc38440354"/>
      <w:bookmarkStart w:id="1865" w:name="_Toc38440886"/>
      <w:bookmarkStart w:id="1866" w:name="_Toc38441218"/>
      <w:bookmarkStart w:id="1867" w:name="_Toc38441550"/>
      <w:bookmarkStart w:id="1868" w:name="_Toc38441878"/>
      <w:bookmarkStart w:id="1869" w:name="_Toc38442210"/>
      <w:bookmarkStart w:id="1870" w:name="_Toc38442542"/>
      <w:bookmarkStart w:id="1871" w:name="_Toc38442873"/>
      <w:bookmarkStart w:id="1872" w:name="_Toc38443204"/>
      <w:bookmarkStart w:id="1873" w:name="_Toc38443535"/>
      <w:bookmarkStart w:id="1874" w:name="_Toc38443866"/>
      <w:bookmarkStart w:id="1875" w:name="_Toc38438333"/>
      <w:bookmarkStart w:id="1876" w:name="_Toc38438670"/>
      <w:bookmarkStart w:id="1877" w:name="_Toc38439007"/>
      <w:bookmarkStart w:id="1878" w:name="_Toc38439344"/>
      <w:bookmarkStart w:id="1879" w:name="_Toc38439681"/>
      <w:bookmarkStart w:id="1880" w:name="_Toc38440018"/>
      <w:bookmarkStart w:id="1881" w:name="_Toc38440355"/>
      <w:bookmarkStart w:id="1882" w:name="_Toc38440887"/>
      <w:bookmarkStart w:id="1883" w:name="_Toc38441219"/>
      <w:bookmarkStart w:id="1884" w:name="_Toc38441551"/>
      <w:bookmarkStart w:id="1885" w:name="_Toc38441879"/>
      <w:bookmarkStart w:id="1886" w:name="_Toc38442211"/>
      <w:bookmarkStart w:id="1887" w:name="_Toc38442543"/>
      <w:bookmarkStart w:id="1888" w:name="_Toc38442874"/>
      <w:bookmarkStart w:id="1889" w:name="_Toc38443205"/>
      <w:bookmarkStart w:id="1890" w:name="_Toc38443536"/>
      <w:bookmarkStart w:id="1891" w:name="_Toc38443867"/>
      <w:bookmarkStart w:id="1892" w:name="_Toc38438334"/>
      <w:bookmarkStart w:id="1893" w:name="_Toc38438671"/>
      <w:bookmarkStart w:id="1894" w:name="_Toc38439008"/>
      <w:bookmarkStart w:id="1895" w:name="_Toc38439345"/>
      <w:bookmarkStart w:id="1896" w:name="_Toc38439682"/>
      <w:bookmarkStart w:id="1897" w:name="_Toc38440019"/>
      <w:bookmarkStart w:id="1898" w:name="_Toc38440356"/>
      <w:bookmarkStart w:id="1899" w:name="_Toc38440888"/>
      <w:bookmarkStart w:id="1900" w:name="_Toc38441220"/>
      <w:bookmarkStart w:id="1901" w:name="_Toc38441552"/>
      <w:bookmarkStart w:id="1902" w:name="_Toc38441880"/>
      <w:bookmarkStart w:id="1903" w:name="_Toc38442212"/>
      <w:bookmarkStart w:id="1904" w:name="_Toc38442544"/>
      <w:bookmarkStart w:id="1905" w:name="_Toc38442875"/>
      <w:bookmarkStart w:id="1906" w:name="_Toc38443206"/>
      <w:bookmarkStart w:id="1907" w:name="_Toc38443537"/>
      <w:bookmarkStart w:id="1908" w:name="_Toc38443868"/>
      <w:bookmarkStart w:id="1909" w:name="_Toc38438335"/>
      <w:bookmarkStart w:id="1910" w:name="_Toc38438672"/>
      <w:bookmarkStart w:id="1911" w:name="_Toc38439009"/>
      <w:bookmarkStart w:id="1912" w:name="_Toc38439346"/>
      <w:bookmarkStart w:id="1913" w:name="_Toc38439683"/>
      <w:bookmarkStart w:id="1914" w:name="_Toc38440020"/>
      <w:bookmarkStart w:id="1915" w:name="_Toc38440357"/>
      <w:bookmarkStart w:id="1916" w:name="_Toc38440889"/>
      <w:bookmarkStart w:id="1917" w:name="_Toc38441221"/>
      <w:bookmarkStart w:id="1918" w:name="_Toc38441553"/>
      <w:bookmarkStart w:id="1919" w:name="_Toc38441881"/>
      <w:bookmarkStart w:id="1920" w:name="_Toc38442213"/>
      <w:bookmarkStart w:id="1921" w:name="_Toc38442545"/>
      <w:bookmarkStart w:id="1922" w:name="_Toc38442876"/>
      <w:bookmarkStart w:id="1923" w:name="_Toc38443207"/>
      <w:bookmarkStart w:id="1924" w:name="_Toc38443538"/>
      <w:bookmarkStart w:id="1925" w:name="_Toc38443869"/>
      <w:bookmarkStart w:id="1926" w:name="_Toc38438336"/>
      <w:bookmarkStart w:id="1927" w:name="_Toc38438673"/>
      <w:bookmarkStart w:id="1928" w:name="_Toc38439010"/>
      <w:bookmarkStart w:id="1929" w:name="_Toc38439347"/>
      <w:bookmarkStart w:id="1930" w:name="_Toc38439684"/>
      <w:bookmarkStart w:id="1931" w:name="_Toc38440021"/>
      <w:bookmarkStart w:id="1932" w:name="_Toc38440358"/>
      <w:bookmarkStart w:id="1933" w:name="_Toc38440890"/>
      <w:bookmarkStart w:id="1934" w:name="_Toc38441222"/>
      <w:bookmarkStart w:id="1935" w:name="_Toc38441554"/>
      <w:bookmarkStart w:id="1936" w:name="_Toc38441882"/>
      <w:bookmarkStart w:id="1937" w:name="_Toc38442214"/>
      <w:bookmarkStart w:id="1938" w:name="_Toc38442546"/>
      <w:bookmarkStart w:id="1939" w:name="_Toc38442877"/>
      <w:bookmarkStart w:id="1940" w:name="_Toc38443208"/>
      <w:bookmarkStart w:id="1941" w:name="_Toc38443539"/>
      <w:bookmarkStart w:id="1942" w:name="_Toc38443870"/>
      <w:bookmarkStart w:id="1943" w:name="_Toc38438337"/>
      <w:bookmarkStart w:id="1944" w:name="_Toc38438674"/>
      <w:bookmarkStart w:id="1945" w:name="_Toc38439011"/>
      <w:bookmarkStart w:id="1946" w:name="_Toc38439348"/>
      <w:bookmarkStart w:id="1947" w:name="_Toc38439685"/>
      <w:bookmarkStart w:id="1948" w:name="_Toc38440022"/>
      <w:bookmarkStart w:id="1949" w:name="_Toc38440359"/>
      <w:bookmarkStart w:id="1950" w:name="_Toc38440891"/>
      <w:bookmarkStart w:id="1951" w:name="_Toc38441223"/>
      <w:bookmarkStart w:id="1952" w:name="_Toc38441555"/>
      <w:bookmarkStart w:id="1953" w:name="_Toc38441883"/>
      <w:bookmarkStart w:id="1954" w:name="_Toc38442215"/>
      <w:bookmarkStart w:id="1955" w:name="_Toc38442547"/>
      <w:bookmarkStart w:id="1956" w:name="_Toc38442878"/>
      <w:bookmarkStart w:id="1957" w:name="_Toc38443209"/>
      <w:bookmarkStart w:id="1958" w:name="_Toc38443540"/>
      <w:bookmarkStart w:id="1959" w:name="_Toc38443871"/>
      <w:bookmarkStart w:id="1960" w:name="_Toc38438338"/>
      <w:bookmarkStart w:id="1961" w:name="_Toc38438675"/>
      <w:bookmarkStart w:id="1962" w:name="_Toc38439012"/>
      <w:bookmarkStart w:id="1963" w:name="_Toc38439349"/>
      <w:bookmarkStart w:id="1964" w:name="_Toc38439686"/>
      <w:bookmarkStart w:id="1965" w:name="_Toc38440023"/>
      <w:bookmarkStart w:id="1966" w:name="_Toc38440360"/>
      <w:bookmarkStart w:id="1967" w:name="_Toc38440892"/>
      <w:bookmarkStart w:id="1968" w:name="_Toc38441224"/>
      <w:bookmarkStart w:id="1969" w:name="_Toc38441556"/>
      <w:bookmarkStart w:id="1970" w:name="_Toc38441884"/>
      <w:bookmarkStart w:id="1971" w:name="_Toc38442216"/>
      <w:bookmarkStart w:id="1972" w:name="_Toc38442548"/>
      <w:bookmarkStart w:id="1973" w:name="_Toc38442879"/>
      <w:bookmarkStart w:id="1974" w:name="_Toc38443210"/>
      <w:bookmarkStart w:id="1975" w:name="_Toc38443541"/>
      <w:bookmarkStart w:id="1976" w:name="_Toc38443872"/>
      <w:bookmarkStart w:id="1977" w:name="_Toc38438339"/>
      <w:bookmarkStart w:id="1978" w:name="_Toc38438676"/>
      <w:bookmarkStart w:id="1979" w:name="_Toc38439013"/>
      <w:bookmarkStart w:id="1980" w:name="_Toc38439350"/>
      <w:bookmarkStart w:id="1981" w:name="_Toc38439687"/>
      <w:bookmarkStart w:id="1982" w:name="_Toc38440024"/>
      <w:bookmarkStart w:id="1983" w:name="_Toc38440361"/>
      <w:bookmarkStart w:id="1984" w:name="_Toc38440893"/>
      <w:bookmarkStart w:id="1985" w:name="_Toc38441225"/>
      <w:bookmarkStart w:id="1986" w:name="_Toc38441557"/>
      <w:bookmarkStart w:id="1987" w:name="_Toc38441885"/>
      <w:bookmarkStart w:id="1988" w:name="_Toc38442217"/>
      <w:bookmarkStart w:id="1989" w:name="_Toc38442549"/>
      <w:bookmarkStart w:id="1990" w:name="_Toc38442880"/>
      <w:bookmarkStart w:id="1991" w:name="_Toc38443211"/>
      <w:bookmarkStart w:id="1992" w:name="_Toc38443542"/>
      <w:bookmarkStart w:id="1993" w:name="_Toc38443873"/>
      <w:bookmarkStart w:id="1994" w:name="_Toc38438340"/>
      <w:bookmarkStart w:id="1995" w:name="_Toc38438677"/>
      <w:bookmarkStart w:id="1996" w:name="_Toc38439014"/>
      <w:bookmarkStart w:id="1997" w:name="_Toc38439351"/>
      <w:bookmarkStart w:id="1998" w:name="_Toc38439688"/>
      <w:bookmarkStart w:id="1999" w:name="_Toc38440025"/>
      <w:bookmarkStart w:id="2000" w:name="_Toc38440362"/>
      <w:bookmarkStart w:id="2001" w:name="_Toc38440894"/>
      <w:bookmarkStart w:id="2002" w:name="_Toc38441226"/>
      <w:bookmarkStart w:id="2003" w:name="_Toc38441558"/>
      <w:bookmarkStart w:id="2004" w:name="_Toc38441886"/>
      <w:bookmarkStart w:id="2005" w:name="_Toc38442218"/>
      <w:bookmarkStart w:id="2006" w:name="_Toc38442550"/>
      <w:bookmarkStart w:id="2007" w:name="_Toc38442881"/>
      <w:bookmarkStart w:id="2008" w:name="_Toc38443212"/>
      <w:bookmarkStart w:id="2009" w:name="_Toc38443543"/>
      <w:bookmarkStart w:id="2010" w:name="_Toc38443874"/>
      <w:bookmarkStart w:id="2011" w:name="_Toc38438341"/>
      <w:bookmarkStart w:id="2012" w:name="_Toc38438678"/>
      <w:bookmarkStart w:id="2013" w:name="_Toc38439015"/>
      <w:bookmarkStart w:id="2014" w:name="_Toc38439352"/>
      <w:bookmarkStart w:id="2015" w:name="_Toc38439689"/>
      <w:bookmarkStart w:id="2016" w:name="_Toc38440026"/>
      <w:bookmarkStart w:id="2017" w:name="_Toc38440363"/>
      <w:bookmarkStart w:id="2018" w:name="_Toc38440895"/>
      <w:bookmarkStart w:id="2019" w:name="_Toc38441227"/>
      <w:bookmarkStart w:id="2020" w:name="_Toc38441559"/>
      <w:bookmarkStart w:id="2021" w:name="_Toc38441887"/>
      <w:bookmarkStart w:id="2022" w:name="_Toc38442219"/>
      <w:bookmarkStart w:id="2023" w:name="_Toc38442551"/>
      <w:bookmarkStart w:id="2024" w:name="_Toc38442882"/>
      <w:bookmarkStart w:id="2025" w:name="_Toc38443213"/>
      <w:bookmarkStart w:id="2026" w:name="_Toc38443544"/>
      <w:bookmarkStart w:id="2027" w:name="_Toc38443875"/>
      <w:bookmarkStart w:id="2028" w:name="_Toc38438342"/>
      <w:bookmarkStart w:id="2029" w:name="_Toc38438679"/>
      <w:bookmarkStart w:id="2030" w:name="_Toc38439016"/>
      <w:bookmarkStart w:id="2031" w:name="_Toc38439353"/>
      <w:bookmarkStart w:id="2032" w:name="_Toc38439690"/>
      <w:bookmarkStart w:id="2033" w:name="_Toc38440027"/>
      <w:bookmarkStart w:id="2034" w:name="_Toc38440364"/>
      <w:bookmarkStart w:id="2035" w:name="_Toc38440896"/>
      <w:bookmarkStart w:id="2036" w:name="_Toc38441228"/>
      <w:bookmarkStart w:id="2037" w:name="_Toc38441560"/>
      <w:bookmarkStart w:id="2038" w:name="_Toc38441888"/>
      <w:bookmarkStart w:id="2039" w:name="_Toc38442220"/>
      <w:bookmarkStart w:id="2040" w:name="_Toc38442552"/>
      <w:bookmarkStart w:id="2041" w:name="_Toc38442883"/>
      <w:bookmarkStart w:id="2042" w:name="_Toc38443214"/>
      <w:bookmarkStart w:id="2043" w:name="_Toc38443545"/>
      <w:bookmarkStart w:id="2044" w:name="_Toc38443876"/>
      <w:bookmarkStart w:id="2045" w:name="_Toc38438343"/>
      <w:bookmarkStart w:id="2046" w:name="_Toc38438680"/>
      <w:bookmarkStart w:id="2047" w:name="_Toc38439017"/>
      <w:bookmarkStart w:id="2048" w:name="_Toc38439354"/>
      <w:bookmarkStart w:id="2049" w:name="_Toc38439691"/>
      <w:bookmarkStart w:id="2050" w:name="_Toc38440028"/>
      <w:bookmarkStart w:id="2051" w:name="_Toc38440365"/>
      <w:bookmarkStart w:id="2052" w:name="_Toc38440897"/>
      <w:bookmarkStart w:id="2053" w:name="_Toc38441229"/>
      <w:bookmarkStart w:id="2054" w:name="_Toc38441561"/>
      <w:bookmarkStart w:id="2055" w:name="_Toc38441889"/>
      <w:bookmarkStart w:id="2056" w:name="_Toc38442221"/>
      <w:bookmarkStart w:id="2057" w:name="_Toc38442553"/>
      <w:bookmarkStart w:id="2058" w:name="_Toc38442884"/>
      <w:bookmarkStart w:id="2059" w:name="_Toc38443215"/>
      <w:bookmarkStart w:id="2060" w:name="_Toc38443546"/>
      <w:bookmarkStart w:id="2061" w:name="_Toc38443877"/>
      <w:bookmarkStart w:id="2062" w:name="_Toc13148422"/>
      <w:bookmarkEnd w:id="959"/>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r w:rsidRPr="0001503D">
        <w:rPr>
          <w:rFonts w:asciiTheme="minorEastAsia" w:eastAsiaTheme="minorEastAsia" w:hAnsiTheme="minorEastAsia"/>
          <w:b/>
          <w:bCs/>
        </w:rPr>
        <w:br w:type="page"/>
      </w:r>
      <w:bookmarkStart w:id="2063" w:name="_Toc238870180"/>
      <w:bookmarkStart w:id="2064" w:name="_Toc28803642"/>
      <w:r w:rsidRPr="0001503D">
        <w:rPr>
          <w:rFonts w:asciiTheme="minorEastAsia" w:eastAsiaTheme="minorEastAsia" w:hAnsiTheme="minorEastAsia" w:hint="eastAsia"/>
          <w:bCs/>
        </w:rPr>
        <w:lastRenderedPageBreak/>
        <w:t>二十四、</w:t>
      </w:r>
      <w:bookmarkEnd w:id="2062"/>
      <w:r w:rsidRPr="0001503D">
        <w:rPr>
          <w:rFonts w:asciiTheme="minorEastAsia" w:eastAsiaTheme="minorEastAsia" w:hAnsiTheme="minorEastAsia" w:hint="eastAsia"/>
          <w:bCs/>
        </w:rPr>
        <w:t>其他应披露事项</w:t>
      </w:r>
      <w:bookmarkEnd w:id="2063"/>
      <w:bookmarkEnd w:id="206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701"/>
      </w:tblGrid>
      <w:tr w:rsidR="0001503D" w:rsidRPr="0001503D" w:rsidTr="0001503D">
        <w:trPr>
          <w:trHeight w:val="765"/>
        </w:trPr>
        <w:tc>
          <w:tcPr>
            <w:tcW w:w="6912" w:type="dxa"/>
            <w:tcBorders>
              <w:top w:val="single" w:sz="4" w:space="0" w:color="auto"/>
              <w:left w:val="single" w:sz="4" w:space="0" w:color="auto"/>
              <w:bottom w:val="single" w:sz="4" w:space="0" w:color="auto"/>
              <w:right w:val="single" w:sz="4" w:space="0" w:color="auto"/>
            </w:tcBorders>
            <w:vAlign w:val="center"/>
            <w:hideMark/>
          </w:tcPr>
          <w:p w:rsidR="00913546" w:rsidRPr="0001503D" w:rsidRDefault="008E79F6" w:rsidP="00913546">
            <w:pPr>
              <w:spacing w:line="360" w:lineRule="auto"/>
              <w:ind w:left="-420" w:firstLine="420"/>
              <w:jc w:val="center"/>
              <w:rPr>
                <w:rFonts w:asciiTheme="minorEastAsia" w:eastAsiaTheme="minorEastAsia" w:hAnsiTheme="minorEastAsia"/>
              </w:rPr>
            </w:pPr>
            <w:r w:rsidRPr="0001503D">
              <w:rPr>
                <w:rFonts w:asciiTheme="minorEastAsia" w:eastAsiaTheme="minorEastAsia" w:hAnsiTheme="minorEastAsia" w:hint="eastAsia"/>
              </w:rPr>
              <w:t>公告事项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546" w:rsidRPr="0001503D" w:rsidRDefault="008E79F6" w:rsidP="00913546">
            <w:pPr>
              <w:spacing w:line="360" w:lineRule="auto"/>
              <w:ind w:left="-420" w:firstLine="420"/>
              <w:jc w:val="center"/>
              <w:rPr>
                <w:rFonts w:asciiTheme="minorEastAsia" w:eastAsiaTheme="minorEastAsia" w:hAnsiTheme="minorEastAsia"/>
              </w:rPr>
            </w:pPr>
            <w:r w:rsidRPr="0001503D">
              <w:rPr>
                <w:rFonts w:asciiTheme="minorEastAsia" w:eastAsiaTheme="minorEastAsia" w:hAnsiTheme="minorEastAsia" w:hint="eastAsia"/>
              </w:rPr>
              <w:t>披露日期</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易方达基金管理有限公司关于旗下部分开放式基金参加潍坊银行费率优惠活动的公告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2019-08-26</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易方达基金管理有限公司旗下部分开放式基金增加微众银行为销售机构、参加微众银行费率优惠活动的公告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2019-09-11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易方达基金管理有限公司旗下部分开放式基金参加东莞农村商业银行费率优惠活动的公告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2019-09-17</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易方达基金管理有限公司旗下部分开放式基金参加广东南粤银行费率优惠活动的公告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2019-09-30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易方达基金管理有限公司旗下基金季度报告提示性公告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2019-10-24</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易方达基金管理有限公司旗下部分开放式基金参加东亚银行定期定额投资费率优惠活动的公告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2019-10-25</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易方达消费行业股票型证券投资基金参加华林证券费率优惠活动的公告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2019-11-05</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易方达基金管理有限公司旗下部分开放式基金参加方正证券费率优惠活动的公告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2019-11-08</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易方达基金管理有限公司旗下部分开放式基金增加中邮证券为销售机构的公告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2019-12-13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易方达基金管理有限公司旗下部分开放式基金参加中信银行费率优惠活动的公告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2019-12-16</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易方达基金管理有限公司关于公司股权变更的公告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易方达基金管理有限公司关于易方达消费行业股票型证券投资基金根据《公开募集证券投资基金信息披露管理办法》修订基金合同、托管协议部分条款的公告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易方达基金管理有限公司旗下部分开放式基金参加交通银行手机银行费率优惠活动的公告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易方达基金管理有限公司旗下部分开放式基金参加昆仑银行费率优惠活动的公告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易方达基金管理有限公司旗下部分开放式基金参加苏州银行费率优惠活动的公告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易方达基金管理有限公司旗下部分开放式基金参加中国工商银行“</w:t>
            </w:r>
            <w:r w:rsidRPr="0001503D">
              <w:rPr>
                <w:rFonts w:asciiTheme="minorEastAsia" w:eastAsiaTheme="minorEastAsia" w:hAnsiTheme="minorEastAsia"/>
                <w:szCs w:val="21"/>
              </w:rPr>
              <w:t>2020倾心回馈”基金定期定额投资费率优惠活动的公告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2019-12-31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易方达基金管理有限公司旗下部分开放式基金参加浦发银行“极客智投”</w:t>
            </w:r>
            <w:r w:rsidRPr="0001503D">
              <w:rPr>
                <w:rFonts w:asciiTheme="minorEastAsia" w:eastAsiaTheme="minorEastAsia" w:hAnsiTheme="minorEastAsia" w:hint="eastAsia"/>
                <w:szCs w:val="21"/>
              </w:rPr>
              <w:lastRenderedPageBreak/>
              <w:t>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lastRenderedPageBreak/>
              <w:t>2020-01-03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易方达基金管理有限公司旗下部分开放式基金参加中国农业银行费率优惠活动的公告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2020-01-06</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易方达基金管理有限公司旗下基金</w:t>
            </w:r>
            <w:r w:rsidRPr="0001503D">
              <w:rPr>
                <w:rFonts w:asciiTheme="minorEastAsia" w:eastAsiaTheme="minorEastAsia" w:hAnsiTheme="minorEastAsia"/>
                <w:szCs w:val="21"/>
              </w:rPr>
              <w:t>2019年第4季度报告提示性公告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2020-01-18</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易方达基金管理有限公司旗下部分开放式基金增加华金证券为销售机构的公告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2020-01-20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易方达基金管理有限公司旗下部分开放式基金参加泉州银行费率优惠活动的公告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2020-01-23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易方达基金管理有限公司关于旗下基金</w:t>
            </w:r>
            <w:r w:rsidRPr="0001503D">
              <w:rPr>
                <w:rFonts w:asciiTheme="minorEastAsia" w:eastAsiaTheme="minorEastAsia" w:hAnsiTheme="minorEastAsia"/>
                <w:szCs w:val="21"/>
              </w:rPr>
              <w:t>2020年1月31日不开放申购、赎回、转换、定期定额投资等业务的提示性公告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2020-01-30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易方达基金管理有限公司及全资子公司投资旗下基金相关事宜的公告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2020-02-04</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易方达基金管理有限公司旗下部分开放式基金参加中金公司费率优惠活动的公告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2020-03-05</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易方达基金管理有限公司旗下部分开放式基金参加百度百盈费率优惠活动的公告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2020-03-10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易方达基金管理有限公司关于旗下部分开放式基金参加腾安基金费率优惠活动的公告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2020-03-17</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2020-03-23</w:t>
            </w:r>
          </w:p>
        </w:tc>
      </w:tr>
      <w:tr w:rsidR="001F0E70"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1F0E70" w:rsidRPr="00023D53" w:rsidRDefault="001F0E70" w:rsidP="001F0E70">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易方达基金管理有限公司旗下基金2019年年度报告提示性公告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1F0E70" w:rsidRPr="00023D53" w:rsidRDefault="001F0E70" w:rsidP="001F0E70">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2020-03-31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w:t>
            </w:r>
            <w:bookmarkStart w:id="2065" w:name="_GoBack"/>
            <w:bookmarkEnd w:id="2065"/>
            <w:r w:rsidRPr="0001503D">
              <w:rPr>
                <w:rFonts w:asciiTheme="minorEastAsia" w:eastAsiaTheme="minorEastAsia" w:hAnsiTheme="minorEastAsia" w:hint="eastAsia"/>
                <w:szCs w:val="21"/>
              </w:rPr>
              <w:t>恒泰证券费率优惠活动的公告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2020-04-08</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易方达基金管理有限公司关于提醒投资者及时提供或更新身份信息资料的公告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2020-04-10</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易方达基金管理有限公司旗下部分开放式基金参加诺亚正行费率优惠活动的公告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2020-04-17</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易方达基金管理有限公司旗下部分开放式基金参加中国国际期货费率优惠活动的公告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2020-04-17</w:t>
            </w:r>
          </w:p>
        </w:tc>
      </w:tr>
      <w:tr w:rsidR="001F0E70"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1F0E70" w:rsidRPr="00023D53" w:rsidRDefault="001F0E70" w:rsidP="001F0E70">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易方达基金管理有限公司旗下基金2020年第1季度报告提示性公告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1F0E70" w:rsidRPr="00023D53" w:rsidRDefault="001F0E70" w:rsidP="001F0E70">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2020-04-21</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易方达基金管理有限公司旗下部分开放式基金参加国联证券费率优惠活动的公告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2020-04-22</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易方达基金管理有限公司旗下部分开放式基金增加九州证券为销售机构、参加九州证券费率优惠活动的公告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2020-04-23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易方达基金管理有限公司旗下部分开放式基金增加晋商银行为销售机构的公告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2020-04-29</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易方达基金管理有限公司旗下部分开放式基金参加中金公司申购费率优惠活动的公告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2020-05-14</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易方达消费行业股票型证券投资基金参加上海证券费率优惠活动的公告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2020-05-15</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易方达基金管理有限公司旗下部分开放式基金参加万联证券费率优惠活动的公告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2020-05-18</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易方达基金管理有限公司旗下部分开放式基金参加华夏财富费率优惠活</w:t>
            </w:r>
            <w:r w:rsidRPr="0001503D">
              <w:rPr>
                <w:rFonts w:asciiTheme="minorEastAsia" w:eastAsiaTheme="minorEastAsia" w:hAnsiTheme="minorEastAsia" w:hint="eastAsia"/>
                <w:szCs w:val="21"/>
              </w:rPr>
              <w:lastRenderedPageBreak/>
              <w:t>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lastRenderedPageBreak/>
              <w:t>2020-05-23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易方达基金管理有限公司关于旗下基金在包商银行股份有限公司相关业务安排的提示性公告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2020-05-29</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90714F"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90714F"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2020-06-03</w:t>
            </w:r>
          </w:p>
        </w:tc>
      </w:tr>
      <w:tr w:rsidR="0001503D" w:rsidRPr="0001503D" w:rsidTr="0001503D">
        <w:tc>
          <w:tcPr>
            <w:tcW w:w="6912" w:type="dxa"/>
            <w:tcBorders>
              <w:top w:val="single" w:sz="4" w:space="0" w:color="auto"/>
              <w:left w:val="single" w:sz="4" w:space="0" w:color="auto"/>
              <w:bottom w:val="single" w:sz="4" w:space="0" w:color="auto"/>
              <w:right w:val="single" w:sz="4" w:space="0" w:color="auto"/>
            </w:tcBorders>
            <w:vAlign w:val="bottom"/>
          </w:tcPr>
          <w:p w:rsidR="00792302" w:rsidRPr="0001503D" w:rsidRDefault="008E79F6" w:rsidP="0090714F">
            <w:pPr>
              <w:jc w:val="lef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701" w:type="dxa"/>
            <w:tcBorders>
              <w:top w:val="single" w:sz="4" w:space="0" w:color="auto"/>
              <w:left w:val="single" w:sz="4" w:space="0" w:color="auto"/>
              <w:bottom w:val="single" w:sz="4" w:space="0" w:color="auto"/>
              <w:right w:val="single" w:sz="4" w:space="0" w:color="auto"/>
            </w:tcBorders>
            <w:vAlign w:val="center"/>
          </w:tcPr>
          <w:p w:rsidR="00792302" w:rsidRPr="0001503D" w:rsidRDefault="008E79F6" w:rsidP="0054711B">
            <w:pPr>
              <w:ind w:left="-420" w:firstLine="420"/>
              <w:jc w:val="center"/>
              <w:rPr>
                <w:rFonts w:asciiTheme="minorEastAsia" w:eastAsiaTheme="minorEastAsia" w:hAnsiTheme="minorEastAsia"/>
                <w:szCs w:val="21"/>
              </w:rPr>
            </w:pPr>
            <w:r w:rsidRPr="0001503D">
              <w:rPr>
                <w:rFonts w:asciiTheme="minorEastAsia" w:eastAsiaTheme="minorEastAsia" w:hAnsiTheme="minorEastAsia"/>
                <w:szCs w:val="21"/>
              </w:rPr>
              <w:t>2020-06-04</w:t>
            </w:r>
          </w:p>
        </w:tc>
      </w:tr>
    </w:tbl>
    <w:p w:rsidR="00913546" w:rsidRPr="0001503D" w:rsidRDefault="00BD08CC"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01503D">
        <w:rPr>
          <w:rFonts w:asciiTheme="minorEastAsia" w:eastAsiaTheme="minorEastAsia" w:hAnsiTheme="minorEastAsia" w:hint="eastAsia"/>
          <w:szCs w:val="21"/>
        </w:rPr>
        <w:t>注：</w:t>
      </w:r>
      <w:r w:rsidR="00DF72B5" w:rsidRPr="0001503D">
        <w:rPr>
          <w:rFonts w:asciiTheme="minorEastAsia" w:eastAsiaTheme="minorEastAsia" w:hAnsiTheme="minorEastAsia" w:hint="eastAsia"/>
          <w:szCs w:val="21"/>
        </w:rPr>
        <w:t>以上公告事项披露在指定媒介及基金管理人网站上。</w:t>
      </w:r>
    </w:p>
    <w:p w:rsidR="00AA1B23" w:rsidRPr="0001503D" w:rsidRDefault="00AA1B23"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2066" w:name="_Toc38438350"/>
      <w:bookmarkStart w:id="2067" w:name="_Toc38438687"/>
      <w:bookmarkStart w:id="2068" w:name="_Toc38439024"/>
      <w:bookmarkStart w:id="2069" w:name="_Toc38439361"/>
      <w:bookmarkStart w:id="2070" w:name="_Toc38439698"/>
      <w:bookmarkStart w:id="2071" w:name="_Toc38440035"/>
      <w:bookmarkStart w:id="2072" w:name="_Toc38440372"/>
      <w:bookmarkStart w:id="2073" w:name="_Toc38440904"/>
      <w:bookmarkStart w:id="2074" w:name="_Toc38441236"/>
      <w:bookmarkStart w:id="2075" w:name="_Toc38441568"/>
      <w:bookmarkStart w:id="2076" w:name="_Toc38441896"/>
      <w:bookmarkStart w:id="2077" w:name="_Toc38442228"/>
      <w:bookmarkStart w:id="2078" w:name="_Toc38442560"/>
      <w:bookmarkStart w:id="2079" w:name="_Toc38442891"/>
      <w:bookmarkStart w:id="2080" w:name="_Toc38443222"/>
      <w:bookmarkStart w:id="2081" w:name="_Toc38443553"/>
      <w:bookmarkStart w:id="2082" w:name="_Toc38443883"/>
      <w:bookmarkStart w:id="2083" w:name="_Toc38438351"/>
      <w:bookmarkStart w:id="2084" w:name="_Toc38438688"/>
      <w:bookmarkStart w:id="2085" w:name="_Toc38439025"/>
      <w:bookmarkStart w:id="2086" w:name="_Toc38439362"/>
      <w:bookmarkStart w:id="2087" w:name="_Toc38439699"/>
      <w:bookmarkStart w:id="2088" w:name="_Toc38440036"/>
      <w:bookmarkStart w:id="2089" w:name="_Toc38440373"/>
      <w:bookmarkStart w:id="2090" w:name="_Toc38440905"/>
      <w:bookmarkStart w:id="2091" w:name="_Toc38441237"/>
      <w:bookmarkStart w:id="2092" w:name="_Toc38441569"/>
      <w:bookmarkStart w:id="2093" w:name="_Toc38441897"/>
      <w:bookmarkStart w:id="2094" w:name="_Toc38442229"/>
      <w:bookmarkStart w:id="2095" w:name="_Toc38442561"/>
      <w:bookmarkStart w:id="2096" w:name="_Toc38442892"/>
      <w:bookmarkStart w:id="2097" w:name="_Toc38443223"/>
      <w:bookmarkStart w:id="2098" w:name="_Toc38443554"/>
      <w:bookmarkStart w:id="2099" w:name="_Toc38443884"/>
      <w:bookmarkStart w:id="2100" w:name="_Toc38438352"/>
      <w:bookmarkStart w:id="2101" w:name="_Toc38438689"/>
      <w:bookmarkStart w:id="2102" w:name="_Toc38439026"/>
      <w:bookmarkStart w:id="2103" w:name="_Toc38439363"/>
      <w:bookmarkStart w:id="2104" w:name="_Toc38439700"/>
      <w:bookmarkStart w:id="2105" w:name="_Toc38440037"/>
      <w:bookmarkStart w:id="2106" w:name="_Toc38440374"/>
      <w:bookmarkStart w:id="2107" w:name="_Toc38440906"/>
      <w:bookmarkStart w:id="2108" w:name="_Toc38441238"/>
      <w:bookmarkStart w:id="2109" w:name="_Toc38441570"/>
      <w:bookmarkStart w:id="2110" w:name="_Toc38441898"/>
      <w:bookmarkStart w:id="2111" w:name="_Toc38442230"/>
      <w:bookmarkStart w:id="2112" w:name="_Toc38442562"/>
      <w:bookmarkStart w:id="2113" w:name="_Toc38442893"/>
      <w:bookmarkStart w:id="2114" w:name="_Toc38443224"/>
      <w:bookmarkStart w:id="2115" w:name="_Toc38443555"/>
      <w:bookmarkStart w:id="2116" w:name="_Toc38443885"/>
      <w:bookmarkStart w:id="2117" w:name="_Toc38438353"/>
      <w:bookmarkStart w:id="2118" w:name="_Toc38438690"/>
      <w:bookmarkStart w:id="2119" w:name="_Toc38439027"/>
      <w:bookmarkStart w:id="2120" w:name="_Toc38439364"/>
      <w:bookmarkStart w:id="2121" w:name="_Toc38439701"/>
      <w:bookmarkStart w:id="2122" w:name="_Toc38440038"/>
      <w:bookmarkStart w:id="2123" w:name="_Toc38440375"/>
      <w:bookmarkStart w:id="2124" w:name="_Toc38440907"/>
      <w:bookmarkStart w:id="2125" w:name="_Toc38441239"/>
      <w:bookmarkStart w:id="2126" w:name="_Toc38441571"/>
      <w:bookmarkStart w:id="2127" w:name="_Toc38441899"/>
      <w:bookmarkStart w:id="2128" w:name="_Toc38442231"/>
      <w:bookmarkStart w:id="2129" w:name="_Toc38442563"/>
      <w:bookmarkStart w:id="2130" w:name="_Toc38442894"/>
      <w:bookmarkStart w:id="2131" w:name="_Toc38443225"/>
      <w:bookmarkStart w:id="2132" w:name="_Toc38443556"/>
      <w:bookmarkStart w:id="2133" w:name="_Toc38443886"/>
      <w:bookmarkStart w:id="2134" w:name="_Toc38438354"/>
      <w:bookmarkStart w:id="2135" w:name="_Toc38438691"/>
      <w:bookmarkStart w:id="2136" w:name="_Toc38439028"/>
      <w:bookmarkStart w:id="2137" w:name="_Toc38439365"/>
      <w:bookmarkStart w:id="2138" w:name="_Toc38439702"/>
      <w:bookmarkStart w:id="2139" w:name="_Toc38440039"/>
      <w:bookmarkStart w:id="2140" w:name="_Toc38440376"/>
      <w:bookmarkStart w:id="2141" w:name="_Toc38440908"/>
      <w:bookmarkStart w:id="2142" w:name="_Toc38441240"/>
      <w:bookmarkStart w:id="2143" w:name="_Toc38441572"/>
      <w:bookmarkStart w:id="2144" w:name="_Toc38441900"/>
      <w:bookmarkStart w:id="2145" w:name="_Toc38442232"/>
      <w:bookmarkStart w:id="2146" w:name="_Toc38442564"/>
      <w:bookmarkStart w:id="2147" w:name="_Toc38442895"/>
      <w:bookmarkStart w:id="2148" w:name="_Toc38443226"/>
      <w:bookmarkStart w:id="2149" w:name="_Toc38443557"/>
      <w:bookmarkStart w:id="2150" w:name="_Toc38443887"/>
      <w:bookmarkStart w:id="2151" w:name="_Toc38438355"/>
      <w:bookmarkStart w:id="2152" w:name="_Toc38438692"/>
      <w:bookmarkStart w:id="2153" w:name="_Toc38439029"/>
      <w:bookmarkStart w:id="2154" w:name="_Toc38439366"/>
      <w:bookmarkStart w:id="2155" w:name="_Toc38439703"/>
      <w:bookmarkStart w:id="2156" w:name="_Toc38440040"/>
      <w:bookmarkStart w:id="2157" w:name="_Toc38440377"/>
      <w:bookmarkStart w:id="2158" w:name="_Toc38440909"/>
      <w:bookmarkStart w:id="2159" w:name="_Toc38441241"/>
      <w:bookmarkStart w:id="2160" w:name="_Toc38441573"/>
      <w:bookmarkStart w:id="2161" w:name="_Toc38441901"/>
      <w:bookmarkStart w:id="2162" w:name="_Toc38442233"/>
      <w:bookmarkStart w:id="2163" w:name="_Toc38442565"/>
      <w:bookmarkStart w:id="2164" w:name="_Toc38442896"/>
      <w:bookmarkStart w:id="2165" w:name="_Toc38443227"/>
      <w:bookmarkStart w:id="2166" w:name="_Toc38443558"/>
      <w:bookmarkStart w:id="2167" w:name="_Toc38443888"/>
      <w:bookmarkStart w:id="2168" w:name="_Toc38438356"/>
      <w:bookmarkStart w:id="2169" w:name="_Toc38438693"/>
      <w:bookmarkStart w:id="2170" w:name="_Toc38439030"/>
      <w:bookmarkStart w:id="2171" w:name="_Toc38439367"/>
      <w:bookmarkStart w:id="2172" w:name="_Toc38439704"/>
      <w:bookmarkStart w:id="2173" w:name="_Toc38440041"/>
      <w:bookmarkStart w:id="2174" w:name="_Toc38440378"/>
      <w:bookmarkStart w:id="2175" w:name="_Toc38440910"/>
      <w:bookmarkStart w:id="2176" w:name="_Toc38441242"/>
      <w:bookmarkStart w:id="2177" w:name="_Toc38441574"/>
      <w:bookmarkStart w:id="2178" w:name="_Toc38441902"/>
      <w:bookmarkStart w:id="2179" w:name="_Toc38442234"/>
      <w:bookmarkStart w:id="2180" w:name="_Toc38442566"/>
      <w:bookmarkStart w:id="2181" w:name="_Toc38442897"/>
      <w:bookmarkStart w:id="2182" w:name="_Toc38443228"/>
      <w:bookmarkStart w:id="2183" w:name="_Toc38443559"/>
      <w:bookmarkStart w:id="2184" w:name="_Toc38443889"/>
      <w:bookmarkStart w:id="2185" w:name="_Toc38438357"/>
      <w:bookmarkStart w:id="2186" w:name="_Toc38438694"/>
      <w:bookmarkStart w:id="2187" w:name="_Toc38439031"/>
      <w:bookmarkStart w:id="2188" w:name="_Toc38439368"/>
      <w:bookmarkStart w:id="2189" w:name="_Toc38439705"/>
      <w:bookmarkStart w:id="2190" w:name="_Toc38440042"/>
      <w:bookmarkStart w:id="2191" w:name="_Toc38440379"/>
      <w:bookmarkStart w:id="2192" w:name="_Toc38440911"/>
      <w:bookmarkStart w:id="2193" w:name="_Toc38441243"/>
      <w:bookmarkStart w:id="2194" w:name="_Toc38441575"/>
      <w:bookmarkStart w:id="2195" w:name="_Toc38441903"/>
      <w:bookmarkStart w:id="2196" w:name="_Toc38442235"/>
      <w:bookmarkStart w:id="2197" w:name="_Toc38442567"/>
      <w:bookmarkStart w:id="2198" w:name="_Toc38442898"/>
      <w:bookmarkStart w:id="2199" w:name="_Toc38443229"/>
      <w:bookmarkStart w:id="2200" w:name="_Toc38443560"/>
      <w:bookmarkStart w:id="2201" w:name="_Toc38443890"/>
      <w:bookmarkStart w:id="2202" w:name="_Toc38438358"/>
      <w:bookmarkStart w:id="2203" w:name="_Toc38438695"/>
      <w:bookmarkStart w:id="2204" w:name="_Toc38439032"/>
      <w:bookmarkStart w:id="2205" w:name="_Toc38439369"/>
      <w:bookmarkStart w:id="2206" w:name="_Toc38439706"/>
      <w:bookmarkStart w:id="2207" w:name="_Toc38440043"/>
      <w:bookmarkStart w:id="2208" w:name="_Toc38440380"/>
      <w:bookmarkStart w:id="2209" w:name="_Toc38440912"/>
      <w:bookmarkStart w:id="2210" w:name="_Toc38441244"/>
      <w:bookmarkStart w:id="2211" w:name="_Toc38441576"/>
      <w:bookmarkStart w:id="2212" w:name="_Toc38441904"/>
      <w:bookmarkStart w:id="2213" w:name="_Toc38442236"/>
      <w:bookmarkStart w:id="2214" w:name="_Toc38442568"/>
      <w:bookmarkStart w:id="2215" w:name="_Toc38442899"/>
      <w:bookmarkStart w:id="2216" w:name="_Toc38443230"/>
      <w:bookmarkStart w:id="2217" w:name="_Toc38443561"/>
      <w:bookmarkStart w:id="2218" w:name="_Toc38443891"/>
      <w:bookmarkStart w:id="2219" w:name="_Toc38438359"/>
      <w:bookmarkStart w:id="2220" w:name="_Toc38438696"/>
      <w:bookmarkStart w:id="2221" w:name="_Toc38439033"/>
      <w:bookmarkStart w:id="2222" w:name="_Toc38439370"/>
      <w:bookmarkStart w:id="2223" w:name="_Toc38439707"/>
      <w:bookmarkStart w:id="2224" w:name="_Toc38440044"/>
      <w:bookmarkStart w:id="2225" w:name="_Toc38440381"/>
      <w:bookmarkStart w:id="2226" w:name="_Toc38440913"/>
      <w:bookmarkStart w:id="2227" w:name="_Toc38441245"/>
      <w:bookmarkStart w:id="2228" w:name="_Toc38441577"/>
      <w:bookmarkStart w:id="2229" w:name="_Toc38441905"/>
      <w:bookmarkStart w:id="2230" w:name="_Toc38442237"/>
      <w:bookmarkStart w:id="2231" w:name="_Toc38442569"/>
      <w:bookmarkStart w:id="2232" w:name="_Toc38442900"/>
      <w:bookmarkStart w:id="2233" w:name="_Toc38443231"/>
      <w:bookmarkStart w:id="2234" w:name="_Toc38443562"/>
      <w:bookmarkStart w:id="2235" w:name="_Toc38443892"/>
      <w:bookmarkStart w:id="2236" w:name="_Toc38438360"/>
      <w:bookmarkStart w:id="2237" w:name="_Toc38438697"/>
      <w:bookmarkStart w:id="2238" w:name="_Toc38439034"/>
      <w:bookmarkStart w:id="2239" w:name="_Toc38439371"/>
      <w:bookmarkStart w:id="2240" w:name="_Toc38439708"/>
      <w:bookmarkStart w:id="2241" w:name="_Toc38440045"/>
      <w:bookmarkStart w:id="2242" w:name="_Toc38440382"/>
      <w:bookmarkStart w:id="2243" w:name="_Toc38440914"/>
      <w:bookmarkStart w:id="2244" w:name="_Toc38441246"/>
      <w:bookmarkStart w:id="2245" w:name="_Toc38441578"/>
      <w:bookmarkStart w:id="2246" w:name="_Toc38441906"/>
      <w:bookmarkStart w:id="2247" w:name="_Toc38442238"/>
      <w:bookmarkStart w:id="2248" w:name="_Toc38442570"/>
      <w:bookmarkStart w:id="2249" w:name="_Toc38442901"/>
      <w:bookmarkStart w:id="2250" w:name="_Toc38443232"/>
      <w:bookmarkStart w:id="2251" w:name="_Toc38443563"/>
      <w:bookmarkStart w:id="2252" w:name="_Toc38443893"/>
      <w:bookmarkStart w:id="2253" w:name="_Toc38438361"/>
      <w:bookmarkStart w:id="2254" w:name="_Toc38438698"/>
      <w:bookmarkStart w:id="2255" w:name="_Toc38439035"/>
      <w:bookmarkStart w:id="2256" w:name="_Toc38439372"/>
      <w:bookmarkStart w:id="2257" w:name="_Toc38439709"/>
      <w:bookmarkStart w:id="2258" w:name="_Toc38440046"/>
      <w:bookmarkStart w:id="2259" w:name="_Toc38440383"/>
      <w:bookmarkStart w:id="2260" w:name="_Toc38440915"/>
      <w:bookmarkStart w:id="2261" w:name="_Toc38441247"/>
      <w:bookmarkStart w:id="2262" w:name="_Toc38441579"/>
      <w:bookmarkStart w:id="2263" w:name="_Toc38441907"/>
      <w:bookmarkStart w:id="2264" w:name="_Toc38442239"/>
      <w:bookmarkStart w:id="2265" w:name="_Toc38442571"/>
      <w:bookmarkStart w:id="2266" w:name="_Toc38442902"/>
      <w:bookmarkStart w:id="2267" w:name="_Toc38443233"/>
      <w:bookmarkStart w:id="2268" w:name="_Toc38443564"/>
      <w:bookmarkStart w:id="2269" w:name="_Toc38443894"/>
      <w:bookmarkStart w:id="2270" w:name="_Toc38438362"/>
      <w:bookmarkStart w:id="2271" w:name="_Toc38438699"/>
      <w:bookmarkStart w:id="2272" w:name="_Toc38439036"/>
      <w:bookmarkStart w:id="2273" w:name="_Toc38439373"/>
      <w:bookmarkStart w:id="2274" w:name="_Toc38439710"/>
      <w:bookmarkStart w:id="2275" w:name="_Toc38440047"/>
      <w:bookmarkStart w:id="2276" w:name="_Toc38440384"/>
      <w:bookmarkStart w:id="2277" w:name="_Toc38440916"/>
      <w:bookmarkStart w:id="2278" w:name="_Toc38441248"/>
      <w:bookmarkStart w:id="2279" w:name="_Toc38441580"/>
      <w:bookmarkStart w:id="2280" w:name="_Toc38441908"/>
      <w:bookmarkStart w:id="2281" w:name="_Toc38442240"/>
      <w:bookmarkStart w:id="2282" w:name="_Toc38442572"/>
      <w:bookmarkStart w:id="2283" w:name="_Toc38442903"/>
      <w:bookmarkStart w:id="2284" w:name="_Toc38443234"/>
      <w:bookmarkStart w:id="2285" w:name="_Toc38443565"/>
      <w:bookmarkStart w:id="2286" w:name="_Toc38443895"/>
      <w:bookmarkStart w:id="2287" w:name="_Toc38438363"/>
      <w:bookmarkStart w:id="2288" w:name="_Toc38438700"/>
      <w:bookmarkStart w:id="2289" w:name="_Toc38439037"/>
      <w:bookmarkStart w:id="2290" w:name="_Toc38439374"/>
      <w:bookmarkStart w:id="2291" w:name="_Toc38439711"/>
      <w:bookmarkStart w:id="2292" w:name="_Toc38440048"/>
      <w:bookmarkStart w:id="2293" w:name="_Toc38440385"/>
      <w:bookmarkStart w:id="2294" w:name="_Toc38440917"/>
      <w:bookmarkStart w:id="2295" w:name="_Toc38441249"/>
      <w:bookmarkStart w:id="2296" w:name="_Toc38441581"/>
      <w:bookmarkStart w:id="2297" w:name="_Toc38441909"/>
      <w:bookmarkStart w:id="2298" w:name="_Toc38442241"/>
      <w:bookmarkStart w:id="2299" w:name="_Toc38442573"/>
      <w:bookmarkStart w:id="2300" w:name="_Toc38442904"/>
      <w:bookmarkStart w:id="2301" w:name="_Toc38443235"/>
      <w:bookmarkStart w:id="2302" w:name="_Toc38443566"/>
      <w:bookmarkStart w:id="2303" w:name="_Toc38443896"/>
      <w:bookmarkStart w:id="2304" w:name="_Toc38438364"/>
      <w:bookmarkStart w:id="2305" w:name="_Toc38438701"/>
      <w:bookmarkStart w:id="2306" w:name="_Toc38439038"/>
      <w:bookmarkStart w:id="2307" w:name="_Toc38439375"/>
      <w:bookmarkStart w:id="2308" w:name="_Toc38439712"/>
      <w:bookmarkStart w:id="2309" w:name="_Toc38440049"/>
      <w:bookmarkStart w:id="2310" w:name="_Toc38440386"/>
      <w:bookmarkStart w:id="2311" w:name="_Toc38440918"/>
      <w:bookmarkStart w:id="2312" w:name="_Toc38441250"/>
      <w:bookmarkStart w:id="2313" w:name="_Toc38441582"/>
      <w:bookmarkStart w:id="2314" w:name="_Toc38441910"/>
      <w:bookmarkStart w:id="2315" w:name="_Toc38442242"/>
      <w:bookmarkStart w:id="2316" w:name="_Toc38442574"/>
      <w:bookmarkStart w:id="2317" w:name="_Toc38442905"/>
      <w:bookmarkStart w:id="2318" w:name="_Toc38443236"/>
      <w:bookmarkStart w:id="2319" w:name="_Toc38443567"/>
      <w:bookmarkStart w:id="2320" w:name="_Toc38443897"/>
      <w:bookmarkStart w:id="2321" w:name="_Toc38438365"/>
      <w:bookmarkStart w:id="2322" w:name="_Toc38438702"/>
      <w:bookmarkStart w:id="2323" w:name="_Toc38439039"/>
      <w:bookmarkStart w:id="2324" w:name="_Toc38439376"/>
      <w:bookmarkStart w:id="2325" w:name="_Toc38439713"/>
      <w:bookmarkStart w:id="2326" w:name="_Toc38440050"/>
      <w:bookmarkStart w:id="2327" w:name="_Toc38440387"/>
      <w:bookmarkStart w:id="2328" w:name="_Toc38440919"/>
      <w:bookmarkStart w:id="2329" w:name="_Toc38441251"/>
      <w:bookmarkStart w:id="2330" w:name="_Toc38441583"/>
      <w:bookmarkStart w:id="2331" w:name="_Toc38441911"/>
      <w:bookmarkStart w:id="2332" w:name="_Toc38442243"/>
      <w:bookmarkStart w:id="2333" w:name="_Toc38442575"/>
      <w:bookmarkStart w:id="2334" w:name="_Toc38442906"/>
      <w:bookmarkStart w:id="2335" w:name="_Toc38443237"/>
      <w:bookmarkStart w:id="2336" w:name="_Toc38443568"/>
      <w:bookmarkStart w:id="2337" w:name="_Toc38443898"/>
      <w:bookmarkStart w:id="2338" w:name="_Toc38438366"/>
      <w:bookmarkStart w:id="2339" w:name="_Toc38438703"/>
      <w:bookmarkStart w:id="2340" w:name="_Toc38439040"/>
      <w:bookmarkStart w:id="2341" w:name="_Toc38439377"/>
      <w:bookmarkStart w:id="2342" w:name="_Toc38439714"/>
      <w:bookmarkStart w:id="2343" w:name="_Toc38440051"/>
      <w:bookmarkStart w:id="2344" w:name="_Toc38440388"/>
      <w:bookmarkStart w:id="2345" w:name="_Toc38440920"/>
      <w:bookmarkStart w:id="2346" w:name="_Toc38441252"/>
      <w:bookmarkStart w:id="2347" w:name="_Toc38441584"/>
      <w:bookmarkStart w:id="2348" w:name="_Toc38441912"/>
      <w:bookmarkStart w:id="2349" w:name="_Toc38442244"/>
      <w:bookmarkStart w:id="2350" w:name="_Toc38442576"/>
      <w:bookmarkStart w:id="2351" w:name="_Toc38442907"/>
      <w:bookmarkStart w:id="2352" w:name="_Toc38443238"/>
      <w:bookmarkStart w:id="2353" w:name="_Toc38443569"/>
      <w:bookmarkStart w:id="2354" w:name="_Toc38443899"/>
      <w:bookmarkStart w:id="2355" w:name="_Toc38438367"/>
      <w:bookmarkStart w:id="2356" w:name="_Toc38438704"/>
      <w:bookmarkStart w:id="2357" w:name="_Toc38439041"/>
      <w:bookmarkStart w:id="2358" w:name="_Toc38439378"/>
      <w:bookmarkStart w:id="2359" w:name="_Toc38439715"/>
      <w:bookmarkStart w:id="2360" w:name="_Toc38440052"/>
      <w:bookmarkStart w:id="2361" w:name="_Toc38440389"/>
      <w:bookmarkStart w:id="2362" w:name="_Toc38440921"/>
      <w:bookmarkStart w:id="2363" w:name="_Toc38441253"/>
      <w:bookmarkStart w:id="2364" w:name="_Toc38441585"/>
      <w:bookmarkStart w:id="2365" w:name="_Toc38441913"/>
      <w:bookmarkStart w:id="2366" w:name="_Toc38442245"/>
      <w:bookmarkStart w:id="2367" w:name="_Toc38442577"/>
      <w:bookmarkStart w:id="2368" w:name="_Toc38442908"/>
      <w:bookmarkStart w:id="2369" w:name="_Toc38443239"/>
      <w:bookmarkStart w:id="2370" w:name="_Toc38443570"/>
      <w:bookmarkStart w:id="2371" w:name="_Toc38443900"/>
      <w:bookmarkStart w:id="2372" w:name="_Toc38438368"/>
      <w:bookmarkStart w:id="2373" w:name="_Toc38438705"/>
      <w:bookmarkStart w:id="2374" w:name="_Toc38439042"/>
      <w:bookmarkStart w:id="2375" w:name="_Toc38439379"/>
      <w:bookmarkStart w:id="2376" w:name="_Toc38439716"/>
      <w:bookmarkStart w:id="2377" w:name="_Toc38440053"/>
      <w:bookmarkStart w:id="2378" w:name="_Toc38440390"/>
      <w:bookmarkStart w:id="2379" w:name="_Toc38440922"/>
      <w:bookmarkStart w:id="2380" w:name="_Toc38441254"/>
      <w:bookmarkStart w:id="2381" w:name="_Toc38441586"/>
      <w:bookmarkStart w:id="2382" w:name="_Toc38441914"/>
      <w:bookmarkStart w:id="2383" w:name="_Toc38442246"/>
      <w:bookmarkStart w:id="2384" w:name="_Toc38442578"/>
      <w:bookmarkStart w:id="2385" w:name="_Toc38442909"/>
      <w:bookmarkStart w:id="2386" w:name="_Toc38443240"/>
      <w:bookmarkStart w:id="2387" w:name="_Toc38443571"/>
      <w:bookmarkStart w:id="2388" w:name="_Toc38443901"/>
      <w:bookmarkStart w:id="2389" w:name="_Toc38438369"/>
      <w:bookmarkStart w:id="2390" w:name="_Toc38438706"/>
      <w:bookmarkStart w:id="2391" w:name="_Toc38439043"/>
      <w:bookmarkStart w:id="2392" w:name="_Toc38439380"/>
      <w:bookmarkStart w:id="2393" w:name="_Toc38439717"/>
      <w:bookmarkStart w:id="2394" w:name="_Toc38440054"/>
      <w:bookmarkStart w:id="2395" w:name="_Toc38440391"/>
      <w:bookmarkStart w:id="2396" w:name="_Toc38440923"/>
      <w:bookmarkStart w:id="2397" w:name="_Toc38441255"/>
      <w:bookmarkStart w:id="2398" w:name="_Toc38441587"/>
      <w:bookmarkStart w:id="2399" w:name="_Toc38441915"/>
      <w:bookmarkStart w:id="2400" w:name="_Toc38442247"/>
      <w:bookmarkStart w:id="2401" w:name="_Toc38442579"/>
      <w:bookmarkStart w:id="2402" w:name="_Toc38442910"/>
      <w:bookmarkStart w:id="2403" w:name="_Toc38443241"/>
      <w:bookmarkStart w:id="2404" w:name="_Toc38443572"/>
      <w:bookmarkStart w:id="2405" w:name="_Toc38443902"/>
      <w:bookmarkStart w:id="2406" w:name="_Toc38438371"/>
      <w:bookmarkStart w:id="2407" w:name="_Toc38438708"/>
      <w:bookmarkStart w:id="2408" w:name="_Toc38439045"/>
      <w:bookmarkStart w:id="2409" w:name="_Toc38439382"/>
      <w:bookmarkStart w:id="2410" w:name="_Toc38439719"/>
      <w:bookmarkStart w:id="2411" w:name="_Toc38440056"/>
      <w:bookmarkStart w:id="2412" w:name="_Toc38440393"/>
      <w:bookmarkStart w:id="2413" w:name="_Toc38440925"/>
      <w:bookmarkStart w:id="2414" w:name="_Toc38441257"/>
      <w:bookmarkStart w:id="2415" w:name="_Toc38441589"/>
      <w:bookmarkStart w:id="2416" w:name="_Toc38441917"/>
      <w:bookmarkStart w:id="2417" w:name="_Toc38442249"/>
      <w:bookmarkStart w:id="2418" w:name="_Toc38442581"/>
      <w:bookmarkStart w:id="2419" w:name="_Toc38442912"/>
      <w:bookmarkStart w:id="2420" w:name="_Toc38443243"/>
      <w:bookmarkStart w:id="2421" w:name="_Toc38443574"/>
      <w:bookmarkStart w:id="2422" w:name="_Toc38443904"/>
      <w:bookmarkStart w:id="2423" w:name="_Toc38438372"/>
      <w:bookmarkStart w:id="2424" w:name="_Toc38438709"/>
      <w:bookmarkStart w:id="2425" w:name="_Toc38439046"/>
      <w:bookmarkStart w:id="2426" w:name="_Toc38439383"/>
      <w:bookmarkStart w:id="2427" w:name="_Toc38439720"/>
      <w:bookmarkStart w:id="2428" w:name="_Toc38440057"/>
      <w:bookmarkStart w:id="2429" w:name="_Toc38440394"/>
      <w:bookmarkStart w:id="2430" w:name="_Toc38440926"/>
      <w:bookmarkStart w:id="2431" w:name="_Toc38441258"/>
      <w:bookmarkStart w:id="2432" w:name="_Toc38441590"/>
      <w:bookmarkStart w:id="2433" w:name="_Toc38441918"/>
      <w:bookmarkStart w:id="2434" w:name="_Toc38442250"/>
      <w:bookmarkStart w:id="2435" w:name="_Toc38442582"/>
      <w:bookmarkStart w:id="2436" w:name="_Toc38442913"/>
      <w:bookmarkStart w:id="2437" w:name="_Toc38443244"/>
      <w:bookmarkStart w:id="2438" w:name="_Toc38443575"/>
      <w:bookmarkStart w:id="2439" w:name="_Toc38443905"/>
      <w:bookmarkStart w:id="2440" w:name="_Toc38438373"/>
      <w:bookmarkStart w:id="2441" w:name="_Toc38438710"/>
      <w:bookmarkStart w:id="2442" w:name="_Toc38439047"/>
      <w:bookmarkStart w:id="2443" w:name="_Toc38439384"/>
      <w:bookmarkStart w:id="2444" w:name="_Toc38439721"/>
      <w:bookmarkStart w:id="2445" w:name="_Toc38440058"/>
      <w:bookmarkStart w:id="2446" w:name="_Toc38440395"/>
      <w:bookmarkStart w:id="2447" w:name="_Toc38440927"/>
      <w:bookmarkStart w:id="2448" w:name="_Toc38441259"/>
      <w:bookmarkStart w:id="2449" w:name="_Toc38441591"/>
      <w:bookmarkStart w:id="2450" w:name="_Toc38441919"/>
      <w:bookmarkStart w:id="2451" w:name="_Toc38442251"/>
      <w:bookmarkStart w:id="2452" w:name="_Toc38442583"/>
      <w:bookmarkStart w:id="2453" w:name="_Toc38442914"/>
      <w:bookmarkStart w:id="2454" w:name="_Toc38443245"/>
      <w:bookmarkStart w:id="2455" w:name="_Toc38443576"/>
      <w:bookmarkStart w:id="2456" w:name="_Toc38443906"/>
      <w:bookmarkStart w:id="2457" w:name="_Toc38438374"/>
      <w:bookmarkStart w:id="2458" w:name="_Toc38438711"/>
      <w:bookmarkStart w:id="2459" w:name="_Toc38439048"/>
      <w:bookmarkStart w:id="2460" w:name="_Toc38439385"/>
      <w:bookmarkStart w:id="2461" w:name="_Toc38439722"/>
      <w:bookmarkStart w:id="2462" w:name="_Toc38440059"/>
      <w:bookmarkStart w:id="2463" w:name="_Toc38440396"/>
      <w:bookmarkStart w:id="2464" w:name="_Toc38440928"/>
      <w:bookmarkStart w:id="2465" w:name="_Toc38441260"/>
      <w:bookmarkStart w:id="2466" w:name="_Toc38441592"/>
      <w:bookmarkStart w:id="2467" w:name="_Toc38441920"/>
      <w:bookmarkStart w:id="2468" w:name="_Toc38442252"/>
      <w:bookmarkStart w:id="2469" w:name="_Toc38442584"/>
      <w:bookmarkStart w:id="2470" w:name="_Toc38442915"/>
      <w:bookmarkStart w:id="2471" w:name="_Toc38443246"/>
      <w:bookmarkStart w:id="2472" w:name="_Toc38443577"/>
      <w:bookmarkStart w:id="2473" w:name="_Toc38443907"/>
      <w:bookmarkStart w:id="2474" w:name="_Toc38438375"/>
      <w:bookmarkStart w:id="2475" w:name="_Toc38438712"/>
      <w:bookmarkStart w:id="2476" w:name="_Toc38439049"/>
      <w:bookmarkStart w:id="2477" w:name="_Toc38439386"/>
      <w:bookmarkStart w:id="2478" w:name="_Toc38439723"/>
      <w:bookmarkStart w:id="2479" w:name="_Toc38440060"/>
      <w:bookmarkStart w:id="2480" w:name="_Toc38440397"/>
      <w:bookmarkStart w:id="2481" w:name="_Toc38440929"/>
      <w:bookmarkStart w:id="2482" w:name="_Toc38441261"/>
      <w:bookmarkStart w:id="2483" w:name="_Toc38441593"/>
      <w:bookmarkStart w:id="2484" w:name="_Toc38441921"/>
      <w:bookmarkStart w:id="2485" w:name="_Toc38442253"/>
      <w:bookmarkStart w:id="2486" w:name="_Toc38442585"/>
      <w:bookmarkStart w:id="2487" w:name="_Toc38442916"/>
      <w:bookmarkStart w:id="2488" w:name="_Toc38443247"/>
      <w:bookmarkStart w:id="2489" w:name="_Toc38443578"/>
      <w:bookmarkStart w:id="2490" w:name="_Toc38443908"/>
      <w:bookmarkStart w:id="2491" w:name="_Toc38438376"/>
      <w:bookmarkStart w:id="2492" w:name="_Toc38438713"/>
      <w:bookmarkStart w:id="2493" w:name="_Toc38439050"/>
      <w:bookmarkStart w:id="2494" w:name="_Toc38439387"/>
      <w:bookmarkStart w:id="2495" w:name="_Toc38439724"/>
      <w:bookmarkStart w:id="2496" w:name="_Toc38440061"/>
      <w:bookmarkStart w:id="2497" w:name="_Toc38440398"/>
      <w:bookmarkStart w:id="2498" w:name="_Toc38440930"/>
      <w:bookmarkStart w:id="2499" w:name="_Toc38441262"/>
      <w:bookmarkStart w:id="2500" w:name="_Toc38441594"/>
      <w:bookmarkStart w:id="2501" w:name="_Toc38441922"/>
      <w:bookmarkStart w:id="2502" w:name="_Toc38442254"/>
      <w:bookmarkStart w:id="2503" w:name="_Toc38442586"/>
      <w:bookmarkStart w:id="2504" w:name="_Toc38442917"/>
      <w:bookmarkStart w:id="2505" w:name="_Toc38443248"/>
      <w:bookmarkStart w:id="2506" w:name="_Toc38443579"/>
      <w:bookmarkStart w:id="2507" w:name="_Toc38443909"/>
      <w:bookmarkStart w:id="2508" w:name="_Toc38438377"/>
      <w:bookmarkStart w:id="2509" w:name="_Toc38438714"/>
      <w:bookmarkStart w:id="2510" w:name="_Toc38439051"/>
      <w:bookmarkStart w:id="2511" w:name="_Toc38439388"/>
      <w:bookmarkStart w:id="2512" w:name="_Toc38439725"/>
      <w:bookmarkStart w:id="2513" w:name="_Toc38440062"/>
      <w:bookmarkStart w:id="2514" w:name="_Toc38440399"/>
      <w:bookmarkStart w:id="2515" w:name="_Toc38440931"/>
      <w:bookmarkStart w:id="2516" w:name="_Toc38441263"/>
      <w:bookmarkStart w:id="2517" w:name="_Toc38441595"/>
      <w:bookmarkStart w:id="2518" w:name="_Toc38441923"/>
      <w:bookmarkStart w:id="2519" w:name="_Toc38442255"/>
      <w:bookmarkStart w:id="2520" w:name="_Toc38442587"/>
      <w:bookmarkStart w:id="2521" w:name="_Toc38442918"/>
      <w:bookmarkStart w:id="2522" w:name="_Toc38443249"/>
      <w:bookmarkStart w:id="2523" w:name="_Toc38443580"/>
      <w:bookmarkStart w:id="2524" w:name="_Toc38443910"/>
      <w:bookmarkStart w:id="2525" w:name="_Toc38438378"/>
      <w:bookmarkStart w:id="2526" w:name="_Toc38438715"/>
      <w:bookmarkStart w:id="2527" w:name="_Toc38439052"/>
      <w:bookmarkStart w:id="2528" w:name="_Toc38439389"/>
      <w:bookmarkStart w:id="2529" w:name="_Toc38439726"/>
      <w:bookmarkStart w:id="2530" w:name="_Toc38440063"/>
      <w:bookmarkStart w:id="2531" w:name="_Toc38440400"/>
      <w:bookmarkStart w:id="2532" w:name="_Toc38440932"/>
      <w:bookmarkStart w:id="2533" w:name="_Toc38441264"/>
      <w:bookmarkStart w:id="2534" w:name="_Toc38441596"/>
      <w:bookmarkStart w:id="2535" w:name="_Toc38441924"/>
      <w:bookmarkStart w:id="2536" w:name="_Toc38442256"/>
      <w:bookmarkStart w:id="2537" w:name="_Toc38442588"/>
      <w:bookmarkStart w:id="2538" w:name="_Toc38442919"/>
      <w:bookmarkStart w:id="2539" w:name="_Toc38443250"/>
      <w:bookmarkStart w:id="2540" w:name="_Toc38443581"/>
      <w:bookmarkStart w:id="2541" w:name="_Toc38443911"/>
      <w:bookmarkStart w:id="2542" w:name="_Toc38438379"/>
      <w:bookmarkStart w:id="2543" w:name="_Toc38438716"/>
      <w:bookmarkStart w:id="2544" w:name="_Toc38439053"/>
      <w:bookmarkStart w:id="2545" w:name="_Toc38439390"/>
      <w:bookmarkStart w:id="2546" w:name="_Toc38439727"/>
      <w:bookmarkStart w:id="2547" w:name="_Toc38440064"/>
      <w:bookmarkStart w:id="2548" w:name="_Toc38440401"/>
      <w:bookmarkStart w:id="2549" w:name="_Toc38440933"/>
      <w:bookmarkStart w:id="2550" w:name="_Toc38441265"/>
      <w:bookmarkStart w:id="2551" w:name="_Toc38441597"/>
      <w:bookmarkStart w:id="2552" w:name="_Toc38441925"/>
      <w:bookmarkStart w:id="2553" w:name="_Toc38442257"/>
      <w:bookmarkStart w:id="2554" w:name="_Toc38442589"/>
      <w:bookmarkStart w:id="2555" w:name="_Toc38442920"/>
      <w:bookmarkStart w:id="2556" w:name="_Toc38443251"/>
      <w:bookmarkStart w:id="2557" w:name="_Toc38443582"/>
      <w:bookmarkStart w:id="2558" w:name="_Toc38443912"/>
      <w:bookmarkStart w:id="2559" w:name="_Toc38438380"/>
      <w:bookmarkStart w:id="2560" w:name="_Toc38438717"/>
      <w:bookmarkStart w:id="2561" w:name="_Toc38439054"/>
      <w:bookmarkStart w:id="2562" w:name="_Toc38439391"/>
      <w:bookmarkStart w:id="2563" w:name="_Toc38439728"/>
      <w:bookmarkStart w:id="2564" w:name="_Toc38440065"/>
      <w:bookmarkStart w:id="2565" w:name="_Toc38440402"/>
      <w:bookmarkStart w:id="2566" w:name="_Toc38440934"/>
      <w:bookmarkStart w:id="2567" w:name="_Toc38441266"/>
      <w:bookmarkStart w:id="2568" w:name="_Toc38441598"/>
      <w:bookmarkStart w:id="2569" w:name="_Toc38441926"/>
      <w:bookmarkStart w:id="2570" w:name="_Toc38442258"/>
      <w:bookmarkStart w:id="2571" w:name="_Toc38442590"/>
      <w:bookmarkStart w:id="2572" w:name="_Toc38442921"/>
      <w:bookmarkStart w:id="2573" w:name="_Toc38443252"/>
      <w:bookmarkStart w:id="2574" w:name="_Toc38443583"/>
      <w:bookmarkStart w:id="2575" w:name="_Toc38443913"/>
      <w:bookmarkStart w:id="2576" w:name="_Toc38438381"/>
      <w:bookmarkStart w:id="2577" w:name="_Toc38438718"/>
      <w:bookmarkStart w:id="2578" w:name="_Toc38439055"/>
      <w:bookmarkStart w:id="2579" w:name="_Toc38439392"/>
      <w:bookmarkStart w:id="2580" w:name="_Toc38439729"/>
      <w:bookmarkStart w:id="2581" w:name="_Toc38440066"/>
      <w:bookmarkStart w:id="2582" w:name="_Toc38440403"/>
      <w:bookmarkStart w:id="2583" w:name="_Toc38440935"/>
      <w:bookmarkStart w:id="2584" w:name="_Toc38441267"/>
      <w:bookmarkStart w:id="2585" w:name="_Toc38441599"/>
      <w:bookmarkStart w:id="2586" w:name="_Toc38441927"/>
      <w:bookmarkStart w:id="2587" w:name="_Toc38442259"/>
      <w:bookmarkStart w:id="2588" w:name="_Toc38442591"/>
      <w:bookmarkStart w:id="2589" w:name="_Toc38442922"/>
      <w:bookmarkStart w:id="2590" w:name="_Toc38443253"/>
      <w:bookmarkStart w:id="2591" w:name="_Toc38443584"/>
      <w:bookmarkStart w:id="2592" w:name="_Toc38443914"/>
      <w:bookmarkStart w:id="2593" w:name="_Toc38438382"/>
      <w:bookmarkStart w:id="2594" w:name="_Toc38438719"/>
      <w:bookmarkStart w:id="2595" w:name="_Toc38439056"/>
      <w:bookmarkStart w:id="2596" w:name="_Toc38439393"/>
      <w:bookmarkStart w:id="2597" w:name="_Toc38439730"/>
      <w:bookmarkStart w:id="2598" w:name="_Toc38440067"/>
      <w:bookmarkStart w:id="2599" w:name="_Toc38440404"/>
      <w:bookmarkStart w:id="2600" w:name="_Toc38440936"/>
      <w:bookmarkStart w:id="2601" w:name="_Toc38441268"/>
      <w:bookmarkStart w:id="2602" w:name="_Toc38441600"/>
      <w:bookmarkStart w:id="2603" w:name="_Toc38441928"/>
      <w:bookmarkStart w:id="2604" w:name="_Toc38442260"/>
      <w:bookmarkStart w:id="2605" w:name="_Toc38442592"/>
      <w:bookmarkStart w:id="2606" w:name="_Toc38442923"/>
      <w:bookmarkStart w:id="2607" w:name="_Toc38443254"/>
      <w:bookmarkStart w:id="2608" w:name="_Toc38443585"/>
      <w:bookmarkStart w:id="2609" w:name="_Toc38443915"/>
      <w:bookmarkStart w:id="2610" w:name="_Toc38438383"/>
      <w:bookmarkStart w:id="2611" w:name="_Toc38438720"/>
      <w:bookmarkStart w:id="2612" w:name="_Toc38439057"/>
      <w:bookmarkStart w:id="2613" w:name="_Toc38439394"/>
      <w:bookmarkStart w:id="2614" w:name="_Toc38439731"/>
      <w:bookmarkStart w:id="2615" w:name="_Toc38440068"/>
      <w:bookmarkStart w:id="2616" w:name="_Toc38440405"/>
      <w:bookmarkStart w:id="2617" w:name="_Toc38440937"/>
      <w:bookmarkStart w:id="2618" w:name="_Toc38441269"/>
      <w:bookmarkStart w:id="2619" w:name="_Toc38441601"/>
      <w:bookmarkStart w:id="2620" w:name="_Toc38441929"/>
      <w:bookmarkStart w:id="2621" w:name="_Toc38442261"/>
      <w:bookmarkStart w:id="2622" w:name="_Toc38442593"/>
      <w:bookmarkStart w:id="2623" w:name="_Toc38442924"/>
      <w:bookmarkStart w:id="2624" w:name="_Toc38443255"/>
      <w:bookmarkStart w:id="2625" w:name="_Toc38443586"/>
      <w:bookmarkStart w:id="2626" w:name="_Toc38443916"/>
      <w:bookmarkStart w:id="2627" w:name="_Toc38438384"/>
      <w:bookmarkStart w:id="2628" w:name="_Toc38438721"/>
      <w:bookmarkStart w:id="2629" w:name="_Toc38439058"/>
      <w:bookmarkStart w:id="2630" w:name="_Toc38439395"/>
      <w:bookmarkStart w:id="2631" w:name="_Toc38439732"/>
      <w:bookmarkStart w:id="2632" w:name="_Toc38440069"/>
      <w:bookmarkStart w:id="2633" w:name="_Toc38440406"/>
      <w:bookmarkStart w:id="2634" w:name="_Toc38440938"/>
      <w:bookmarkStart w:id="2635" w:name="_Toc38441270"/>
      <w:bookmarkStart w:id="2636" w:name="_Toc38441602"/>
      <w:bookmarkStart w:id="2637" w:name="_Toc38441930"/>
      <w:bookmarkStart w:id="2638" w:name="_Toc38442262"/>
      <w:bookmarkStart w:id="2639" w:name="_Toc38442594"/>
      <w:bookmarkStart w:id="2640" w:name="_Toc38442925"/>
      <w:bookmarkStart w:id="2641" w:name="_Toc38443256"/>
      <w:bookmarkStart w:id="2642" w:name="_Toc38443587"/>
      <w:bookmarkStart w:id="2643" w:name="_Toc38443917"/>
      <w:bookmarkStart w:id="2644" w:name="_Toc38438385"/>
      <w:bookmarkStart w:id="2645" w:name="_Toc38438722"/>
      <w:bookmarkStart w:id="2646" w:name="_Toc38439059"/>
      <w:bookmarkStart w:id="2647" w:name="_Toc38439396"/>
      <w:bookmarkStart w:id="2648" w:name="_Toc38439733"/>
      <w:bookmarkStart w:id="2649" w:name="_Toc38440070"/>
      <w:bookmarkStart w:id="2650" w:name="_Toc38440407"/>
      <w:bookmarkStart w:id="2651" w:name="_Toc38440939"/>
      <w:bookmarkStart w:id="2652" w:name="_Toc38441271"/>
      <w:bookmarkStart w:id="2653" w:name="_Toc38441603"/>
      <w:bookmarkStart w:id="2654" w:name="_Toc38441931"/>
      <w:bookmarkStart w:id="2655" w:name="_Toc38442263"/>
      <w:bookmarkStart w:id="2656" w:name="_Toc38442595"/>
      <w:bookmarkStart w:id="2657" w:name="_Toc38442926"/>
      <w:bookmarkStart w:id="2658" w:name="_Toc38443257"/>
      <w:bookmarkStart w:id="2659" w:name="_Toc38443588"/>
      <w:bookmarkStart w:id="2660" w:name="_Toc38443918"/>
      <w:bookmarkStart w:id="2661" w:name="_Toc38438386"/>
      <w:bookmarkStart w:id="2662" w:name="_Toc38438723"/>
      <w:bookmarkStart w:id="2663" w:name="_Toc38439060"/>
      <w:bookmarkStart w:id="2664" w:name="_Toc38439397"/>
      <w:bookmarkStart w:id="2665" w:name="_Toc38439734"/>
      <w:bookmarkStart w:id="2666" w:name="_Toc38440071"/>
      <w:bookmarkStart w:id="2667" w:name="_Toc38440408"/>
      <w:bookmarkStart w:id="2668" w:name="_Toc38440940"/>
      <w:bookmarkStart w:id="2669" w:name="_Toc38441272"/>
      <w:bookmarkStart w:id="2670" w:name="_Toc38441604"/>
      <w:bookmarkStart w:id="2671" w:name="_Toc38441932"/>
      <w:bookmarkStart w:id="2672" w:name="_Toc38442264"/>
      <w:bookmarkStart w:id="2673" w:name="_Toc38442596"/>
      <w:bookmarkStart w:id="2674" w:name="_Toc38442927"/>
      <w:bookmarkStart w:id="2675" w:name="_Toc38443258"/>
      <w:bookmarkStart w:id="2676" w:name="_Toc38443589"/>
      <w:bookmarkStart w:id="2677" w:name="_Toc38443919"/>
      <w:bookmarkStart w:id="2678" w:name="_Toc38438387"/>
      <w:bookmarkStart w:id="2679" w:name="_Toc38438724"/>
      <w:bookmarkStart w:id="2680" w:name="_Toc38439061"/>
      <w:bookmarkStart w:id="2681" w:name="_Toc38439398"/>
      <w:bookmarkStart w:id="2682" w:name="_Toc38439735"/>
      <w:bookmarkStart w:id="2683" w:name="_Toc38440072"/>
      <w:bookmarkStart w:id="2684" w:name="_Toc38440409"/>
      <w:bookmarkStart w:id="2685" w:name="_Toc38440941"/>
      <w:bookmarkStart w:id="2686" w:name="_Toc38441273"/>
      <w:bookmarkStart w:id="2687" w:name="_Toc38441605"/>
      <w:bookmarkStart w:id="2688" w:name="_Toc38441933"/>
      <w:bookmarkStart w:id="2689" w:name="_Toc38442265"/>
      <w:bookmarkStart w:id="2690" w:name="_Toc38442597"/>
      <w:bookmarkStart w:id="2691" w:name="_Toc38442928"/>
      <w:bookmarkStart w:id="2692" w:name="_Toc38443259"/>
      <w:bookmarkStart w:id="2693" w:name="_Toc38443590"/>
      <w:bookmarkStart w:id="2694" w:name="_Toc38443920"/>
      <w:bookmarkStart w:id="2695" w:name="_Toc38438388"/>
      <w:bookmarkStart w:id="2696" w:name="_Toc38438725"/>
      <w:bookmarkStart w:id="2697" w:name="_Toc38439062"/>
      <w:bookmarkStart w:id="2698" w:name="_Toc38439399"/>
      <w:bookmarkStart w:id="2699" w:name="_Toc38439736"/>
      <w:bookmarkStart w:id="2700" w:name="_Toc38440073"/>
      <w:bookmarkStart w:id="2701" w:name="_Toc38440410"/>
      <w:bookmarkStart w:id="2702" w:name="_Toc38440942"/>
      <w:bookmarkStart w:id="2703" w:name="_Toc38441274"/>
      <w:bookmarkStart w:id="2704" w:name="_Toc38441606"/>
      <w:bookmarkStart w:id="2705" w:name="_Toc38441934"/>
      <w:bookmarkStart w:id="2706" w:name="_Toc38442266"/>
      <w:bookmarkStart w:id="2707" w:name="_Toc38442598"/>
      <w:bookmarkStart w:id="2708" w:name="_Toc38442929"/>
      <w:bookmarkStart w:id="2709" w:name="_Toc38443260"/>
      <w:bookmarkStart w:id="2710" w:name="_Toc38443591"/>
      <w:bookmarkStart w:id="2711" w:name="_Toc38443921"/>
      <w:bookmarkStart w:id="2712" w:name="_Toc38438389"/>
      <w:bookmarkStart w:id="2713" w:name="_Toc38438726"/>
      <w:bookmarkStart w:id="2714" w:name="_Toc38439063"/>
      <w:bookmarkStart w:id="2715" w:name="_Toc38439400"/>
      <w:bookmarkStart w:id="2716" w:name="_Toc38439737"/>
      <w:bookmarkStart w:id="2717" w:name="_Toc38440074"/>
      <w:bookmarkStart w:id="2718" w:name="_Toc38440411"/>
      <w:bookmarkStart w:id="2719" w:name="_Toc38440943"/>
      <w:bookmarkStart w:id="2720" w:name="_Toc38441275"/>
      <w:bookmarkStart w:id="2721" w:name="_Toc38441607"/>
      <w:bookmarkStart w:id="2722" w:name="_Toc38441935"/>
      <w:bookmarkStart w:id="2723" w:name="_Toc38442267"/>
      <w:bookmarkStart w:id="2724" w:name="_Toc38442599"/>
      <w:bookmarkStart w:id="2725" w:name="_Toc38442930"/>
      <w:bookmarkStart w:id="2726" w:name="_Toc38443261"/>
      <w:bookmarkStart w:id="2727" w:name="_Toc38443592"/>
      <w:bookmarkStart w:id="2728" w:name="_Toc38443922"/>
      <w:bookmarkStart w:id="2729" w:name="_Toc38438390"/>
      <w:bookmarkStart w:id="2730" w:name="_Toc38438727"/>
      <w:bookmarkStart w:id="2731" w:name="_Toc38439064"/>
      <w:bookmarkStart w:id="2732" w:name="_Toc38439401"/>
      <w:bookmarkStart w:id="2733" w:name="_Toc38439738"/>
      <w:bookmarkStart w:id="2734" w:name="_Toc38440075"/>
      <w:bookmarkStart w:id="2735" w:name="_Toc38440412"/>
      <w:bookmarkStart w:id="2736" w:name="_Toc38440944"/>
      <w:bookmarkStart w:id="2737" w:name="_Toc38441276"/>
      <w:bookmarkStart w:id="2738" w:name="_Toc38441608"/>
      <w:bookmarkStart w:id="2739" w:name="_Toc38441936"/>
      <w:bookmarkStart w:id="2740" w:name="_Toc38442268"/>
      <w:bookmarkStart w:id="2741" w:name="_Toc38442600"/>
      <w:bookmarkStart w:id="2742" w:name="_Toc38442931"/>
      <w:bookmarkStart w:id="2743" w:name="_Toc38443262"/>
      <w:bookmarkStart w:id="2744" w:name="_Toc38443593"/>
      <w:bookmarkStart w:id="2745" w:name="_Toc38443923"/>
      <w:bookmarkStart w:id="2746" w:name="_Toc38438391"/>
      <w:bookmarkStart w:id="2747" w:name="_Toc38438728"/>
      <w:bookmarkStart w:id="2748" w:name="_Toc38439065"/>
      <w:bookmarkStart w:id="2749" w:name="_Toc38439402"/>
      <w:bookmarkStart w:id="2750" w:name="_Toc38439739"/>
      <w:bookmarkStart w:id="2751" w:name="_Toc38440076"/>
      <w:bookmarkStart w:id="2752" w:name="_Toc38440413"/>
      <w:bookmarkStart w:id="2753" w:name="_Toc38440945"/>
      <w:bookmarkStart w:id="2754" w:name="_Toc38441277"/>
      <w:bookmarkStart w:id="2755" w:name="_Toc38441609"/>
      <w:bookmarkStart w:id="2756" w:name="_Toc38441937"/>
      <w:bookmarkStart w:id="2757" w:name="_Toc38442269"/>
      <w:bookmarkStart w:id="2758" w:name="_Toc38442601"/>
      <w:bookmarkStart w:id="2759" w:name="_Toc38442932"/>
      <w:bookmarkStart w:id="2760" w:name="_Toc38443263"/>
      <w:bookmarkStart w:id="2761" w:name="_Toc38443594"/>
      <w:bookmarkStart w:id="2762" w:name="_Toc38443924"/>
      <w:bookmarkStart w:id="2763" w:name="_Toc38438392"/>
      <w:bookmarkStart w:id="2764" w:name="_Toc38438729"/>
      <w:bookmarkStart w:id="2765" w:name="_Toc38439066"/>
      <w:bookmarkStart w:id="2766" w:name="_Toc38439403"/>
      <w:bookmarkStart w:id="2767" w:name="_Toc38439740"/>
      <w:bookmarkStart w:id="2768" w:name="_Toc38440077"/>
      <w:bookmarkStart w:id="2769" w:name="_Toc38440414"/>
      <w:bookmarkStart w:id="2770" w:name="_Toc38440946"/>
      <w:bookmarkStart w:id="2771" w:name="_Toc38441278"/>
      <w:bookmarkStart w:id="2772" w:name="_Toc38441610"/>
      <w:bookmarkStart w:id="2773" w:name="_Toc38441938"/>
      <w:bookmarkStart w:id="2774" w:name="_Toc38442270"/>
      <w:bookmarkStart w:id="2775" w:name="_Toc38442602"/>
      <w:bookmarkStart w:id="2776" w:name="_Toc38442933"/>
      <w:bookmarkStart w:id="2777" w:name="_Toc38443264"/>
      <w:bookmarkStart w:id="2778" w:name="_Toc38443595"/>
      <w:bookmarkStart w:id="2779" w:name="_Toc38443925"/>
      <w:bookmarkStart w:id="2780" w:name="_Toc38438393"/>
      <w:bookmarkStart w:id="2781" w:name="_Toc38438730"/>
      <w:bookmarkStart w:id="2782" w:name="_Toc38439067"/>
      <w:bookmarkStart w:id="2783" w:name="_Toc38439404"/>
      <w:bookmarkStart w:id="2784" w:name="_Toc38439741"/>
      <w:bookmarkStart w:id="2785" w:name="_Toc38440078"/>
      <w:bookmarkStart w:id="2786" w:name="_Toc38440415"/>
      <w:bookmarkStart w:id="2787" w:name="_Toc38440947"/>
      <w:bookmarkStart w:id="2788" w:name="_Toc38441279"/>
      <w:bookmarkStart w:id="2789" w:name="_Toc38441611"/>
      <w:bookmarkStart w:id="2790" w:name="_Toc38441939"/>
      <w:bookmarkStart w:id="2791" w:name="_Toc38442271"/>
      <w:bookmarkStart w:id="2792" w:name="_Toc38442603"/>
      <w:bookmarkStart w:id="2793" w:name="_Toc38442934"/>
      <w:bookmarkStart w:id="2794" w:name="_Toc38443265"/>
      <w:bookmarkStart w:id="2795" w:name="_Toc38443596"/>
      <w:bookmarkStart w:id="2796" w:name="_Toc38443926"/>
      <w:bookmarkStart w:id="2797" w:name="_Toc38438394"/>
      <w:bookmarkStart w:id="2798" w:name="_Toc38438731"/>
      <w:bookmarkStart w:id="2799" w:name="_Toc38439068"/>
      <w:bookmarkStart w:id="2800" w:name="_Toc38439405"/>
      <w:bookmarkStart w:id="2801" w:name="_Toc38439742"/>
      <w:bookmarkStart w:id="2802" w:name="_Toc38440079"/>
      <w:bookmarkStart w:id="2803" w:name="_Toc38440416"/>
      <w:bookmarkStart w:id="2804" w:name="_Toc38440948"/>
      <w:bookmarkStart w:id="2805" w:name="_Toc38441280"/>
      <w:bookmarkStart w:id="2806" w:name="_Toc38441612"/>
      <w:bookmarkStart w:id="2807" w:name="_Toc38441940"/>
      <w:bookmarkStart w:id="2808" w:name="_Toc38442272"/>
      <w:bookmarkStart w:id="2809" w:name="_Toc38442604"/>
      <w:bookmarkStart w:id="2810" w:name="_Toc38442935"/>
      <w:bookmarkStart w:id="2811" w:name="_Toc38443266"/>
      <w:bookmarkStart w:id="2812" w:name="_Toc38443597"/>
      <w:bookmarkStart w:id="2813" w:name="_Toc38443927"/>
      <w:bookmarkStart w:id="2814" w:name="_Toc38438395"/>
      <w:bookmarkStart w:id="2815" w:name="_Toc38438732"/>
      <w:bookmarkStart w:id="2816" w:name="_Toc38439069"/>
      <w:bookmarkStart w:id="2817" w:name="_Toc38439406"/>
      <w:bookmarkStart w:id="2818" w:name="_Toc38439743"/>
      <w:bookmarkStart w:id="2819" w:name="_Toc38440080"/>
      <w:bookmarkStart w:id="2820" w:name="_Toc38440417"/>
      <w:bookmarkStart w:id="2821" w:name="_Toc38440949"/>
      <w:bookmarkStart w:id="2822" w:name="_Toc38441281"/>
      <w:bookmarkStart w:id="2823" w:name="_Toc38441613"/>
      <w:bookmarkStart w:id="2824" w:name="_Toc38441941"/>
      <w:bookmarkStart w:id="2825" w:name="_Toc38442273"/>
      <w:bookmarkStart w:id="2826" w:name="_Toc38442605"/>
      <w:bookmarkStart w:id="2827" w:name="_Toc38442936"/>
      <w:bookmarkStart w:id="2828" w:name="_Toc38443267"/>
      <w:bookmarkStart w:id="2829" w:name="_Toc38443598"/>
      <w:bookmarkStart w:id="2830" w:name="_Toc38443928"/>
      <w:bookmarkStart w:id="2831" w:name="_Toc38438396"/>
      <w:bookmarkStart w:id="2832" w:name="_Toc38438733"/>
      <w:bookmarkStart w:id="2833" w:name="_Toc38439070"/>
      <w:bookmarkStart w:id="2834" w:name="_Toc38439407"/>
      <w:bookmarkStart w:id="2835" w:name="_Toc38439744"/>
      <w:bookmarkStart w:id="2836" w:name="_Toc38440081"/>
      <w:bookmarkStart w:id="2837" w:name="_Toc38440418"/>
      <w:bookmarkStart w:id="2838" w:name="_Toc38440950"/>
      <w:bookmarkStart w:id="2839" w:name="_Toc38441282"/>
      <w:bookmarkStart w:id="2840" w:name="_Toc38441614"/>
      <w:bookmarkStart w:id="2841" w:name="_Toc38441942"/>
      <w:bookmarkStart w:id="2842" w:name="_Toc38442274"/>
      <w:bookmarkStart w:id="2843" w:name="_Toc38442606"/>
      <w:bookmarkStart w:id="2844" w:name="_Toc38442937"/>
      <w:bookmarkStart w:id="2845" w:name="_Toc38443268"/>
      <w:bookmarkStart w:id="2846" w:name="_Toc38443599"/>
      <w:bookmarkStart w:id="2847" w:name="_Toc38443929"/>
      <w:bookmarkStart w:id="2848" w:name="_Toc38438397"/>
      <w:bookmarkStart w:id="2849" w:name="_Toc38438734"/>
      <w:bookmarkStart w:id="2850" w:name="_Toc38439071"/>
      <w:bookmarkStart w:id="2851" w:name="_Toc38439408"/>
      <w:bookmarkStart w:id="2852" w:name="_Toc38439745"/>
      <w:bookmarkStart w:id="2853" w:name="_Toc38440082"/>
      <w:bookmarkStart w:id="2854" w:name="_Toc38440419"/>
      <w:bookmarkStart w:id="2855" w:name="_Toc38440951"/>
      <w:bookmarkStart w:id="2856" w:name="_Toc38441283"/>
      <w:bookmarkStart w:id="2857" w:name="_Toc38441615"/>
      <w:bookmarkStart w:id="2858" w:name="_Toc38441943"/>
      <w:bookmarkStart w:id="2859" w:name="_Toc38442275"/>
      <w:bookmarkStart w:id="2860" w:name="_Toc38442607"/>
      <w:bookmarkStart w:id="2861" w:name="_Toc38442938"/>
      <w:bookmarkStart w:id="2862" w:name="_Toc38443269"/>
      <w:bookmarkStart w:id="2863" w:name="_Toc38443600"/>
      <w:bookmarkStart w:id="2864" w:name="_Toc38443930"/>
      <w:bookmarkStart w:id="2865" w:name="_Toc38438398"/>
      <w:bookmarkStart w:id="2866" w:name="_Toc38438735"/>
      <w:bookmarkStart w:id="2867" w:name="_Toc38439072"/>
      <w:bookmarkStart w:id="2868" w:name="_Toc38439409"/>
      <w:bookmarkStart w:id="2869" w:name="_Toc38439746"/>
      <w:bookmarkStart w:id="2870" w:name="_Toc38440083"/>
      <w:bookmarkStart w:id="2871" w:name="_Toc38440420"/>
      <w:bookmarkStart w:id="2872" w:name="_Toc38440952"/>
      <w:bookmarkStart w:id="2873" w:name="_Toc38441284"/>
      <w:bookmarkStart w:id="2874" w:name="_Toc38441616"/>
      <w:bookmarkStart w:id="2875" w:name="_Toc38441944"/>
      <w:bookmarkStart w:id="2876" w:name="_Toc38442276"/>
      <w:bookmarkStart w:id="2877" w:name="_Toc38442608"/>
      <w:bookmarkStart w:id="2878" w:name="_Toc38442939"/>
      <w:bookmarkStart w:id="2879" w:name="_Toc38443270"/>
      <w:bookmarkStart w:id="2880" w:name="_Toc38443601"/>
      <w:bookmarkStart w:id="2881" w:name="_Toc38443931"/>
      <w:bookmarkStart w:id="2882" w:name="_Toc38438400"/>
      <w:bookmarkStart w:id="2883" w:name="_Toc38438737"/>
      <w:bookmarkStart w:id="2884" w:name="_Toc38439074"/>
      <w:bookmarkStart w:id="2885" w:name="_Toc38439411"/>
      <w:bookmarkStart w:id="2886" w:name="_Toc38439748"/>
      <w:bookmarkStart w:id="2887" w:name="_Toc38440085"/>
      <w:bookmarkStart w:id="2888" w:name="_Toc38440422"/>
      <w:bookmarkStart w:id="2889" w:name="_Toc38440954"/>
      <w:bookmarkStart w:id="2890" w:name="_Toc38441286"/>
      <w:bookmarkStart w:id="2891" w:name="_Toc38441618"/>
      <w:bookmarkStart w:id="2892" w:name="_Toc38441946"/>
      <w:bookmarkStart w:id="2893" w:name="_Toc38442278"/>
      <w:bookmarkStart w:id="2894" w:name="_Toc38442610"/>
      <w:bookmarkStart w:id="2895" w:name="_Toc38442941"/>
      <w:bookmarkStart w:id="2896" w:name="_Toc38443272"/>
      <w:bookmarkStart w:id="2897" w:name="_Toc38443603"/>
      <w:bookmarkStart w:id="2898" w:name="_Toc38443933"/>
      <w:bookmarkStart w:id="2899" w:name="_Toc38438401"/>
      <w:bookmarkStart w:id="2900" w:name="_Toc38438738"/>
      <w:bookmarkStart w:id="2901" w:name="_Toc38439075"/>
      <w:bookmarkStart w:id="2902" w:name="_Toc38439412"/>
      <w:bookmarkStart w:id="2903" w:name="_Toc38439749"/>
      <w:bookmarkStart w:id="2904" w:name="_Toc38440086"/>
      <w:bookmarkStart w:id="2905" w:name="_Toc38440423"/>
      <w:bookmarkStart w:id="2906" w:name="_Toc38440955"/>
      <w:bookmarkStart w:id="2907" w:name="_Toc38441287"/>
      <w:bookmarkStart w:id="2908" w:name="_Toc38441619"/>
      <w:bookmarkStart w:id="2909" w:name="_Toc38441947"/>
      <w:bookmarkStart w:id="2910" w:name="_Toc38442279"/>
      <w:bookmarkStart w:id="2911" w:name="_Toc38442611"/>
      <w:bookmarkStart w:id="2912" w:name="_Toc38442942"/>
      <w:bookmarkStart w:id="2913" w:name="_Toc38443273"/>
      <w:bookmarkStart w:id="2914" w:name="_Toc38443604"/>
      <w:bookmarkStart w:id="2915" w:name="_Toc38443934"/>
      <w:bookmarkStart w:id="2916" w:name="_Toc38438402"/>
      <w:bookmarkStart w:id="2917" w:name="_Toc38438739"/>
      <w:bookmarkStart w:id="2918" w:name="_Toc38439076"/>
      <w:bookmarkStart w:id="2919" w:name="_Toc38439413"/>
      <w:bookmarkStart w:id="2920" w:name="_Toc38439750"/>
      <w:bookmarkStart w:id="2921" w:name="_Toc38440087"/>
      <w:bookmarkStart w:id="2922" w:name="_Toc38440424"/>
      <w:bookmarkStart w:id="2923" w:name="_Toc38440956"/>
      <w:bookmarkStart w:id="2924" w:name="_Toc38441288"/>
      <w:bookmarkStart w:id="2925" w:name="_Toc38441620"/>
      <w:bookmarkStart w:id="2926" w:name="_Toc38441948"/>
      <w:bookmarkStart w:id="2927" w:name="_Toc38442280"/>
      <w:bookmarkStart w:id="2928" w:name="_Toc38442612"/>
      <w:bookmarkStart w:id="2929" w:name="_Toc38442943"/>
      <w:bookmarkStart w:id="2930" w:name="_Toc38443274"/>
      <w:bookmarkStart w:id="2931" w:name="_Toc38443605"/>
      <w:bookmarkStart w:id="2932" w:name="_Toc38443935"/>
      <w:bookmarkStart w:id="2933" w:name="_Toc38438404"/>
      <w:bookmarkStart w:id="2934" w:name="_Toc38438741"/>
      <w:bookmarkStart w:id="2935" w:name="_Toc38439078"/>
      <w:bookmarkStart w:id="2936" w:name="_Toc38439415"/>
      <w:bookmarkStart w:id="2937" w:name="_Toc38439752"/>
      <w:bookmarkStart w:id="2938" w:name="_Toc38440089"/>
      <w:bookmarkStart w:id="2939" w:name="_Toc38440426"/>
      <w:bookmarkStart w:id="2940" w:name="_Toc38440958"/>
      <w:bookmarkStart w:id="2941" w:name="_Toc38441290"/>
      <w:bookmarkStart w:id="2942" w:name="_Toc38441622"/>
      <w:bookmarkStart w:id="2943" w:name="_Toc38441950"/>
      <w:bookmarkStart w:id="2944" w:name="_Toc38442282"/>
      <w:bookmarkStart w:id="2945" w:name="_Toc38442614"/>
      <w:bookmarkStart w:id="2946" w:name="_Toc38442945"/>
      <w:bookmarkStart w:id="2947" w:name="_Toc38443276"/>
      <w:bookmarkStart w:id="2948" w:name="_Toc38443607"/>
      <w:bookmarkStart w:id="2949" w:name="_Toc38443937"/>
      <w:bookmarkStart w:id="2950" w:name="_Toc38438405"/>
      <w:bookmarkStart w:id="2951" w:name="_Toc38438742"/>
      <w:bookmarkStart w:id="2952" w:name="_Toc38439079"/>
      <w:bookmarkStart w:id="2953" w:name="_Toc38439416"/>
      <w:bookmarkStart w:id="2954" w:name="_Toc38439753"/>
      <w:bookmarkStart w:id="2955" w:name="_Toc38440090"/>
      <w:bookmarkStart w:id="2956" w:name="_Toc38440427"/>
      <w:bookmarkStart w:id="2957" w:name="_Toc38440959"/>
      <w:bookmarkStart w:id="2958" w:name="_Toc38441291"/>
      <w:bookmarkStart w:id="2959" w:name="_Toc38441623"/>
      <w:bookmarkStart w:id="2960" w:name="_Toc38441951"/>
      <w:bookmarkStart w:id="2961" w:name="_Toc38442283"/>
      <w:bookmarkStart w:id="2962" w:name="_Toc38442615"/>
      <w:bookmarkStart w:id="2963" w:name="_Toc38442946"/>
      <w:bookmarkStart w:id="2964" w:name="_Toc38443277"/>
      <w:bookmarkStart w:id="2965" w:name="_Toc38443608"/>
      <w:bookmarkStart w:id="2966" w:name="_Toc38443938"/>
      <w:bookmarkStart w:id="2967" w:name="_Toc38438406"/>
      <w:bookmarkStart w:id="2968" w:name="_Toc38438743"/>
      <w:bookmarkStart w:id="2969" w:name="_Toc38439080"/>
      <w:bookmarkStart w:id="2970" w:name="_Toc38439417"/>
      <w:bookmarkStart w:id="2971" w:name="_Toc38439754"/>
      <w:bookmarkStart w:id="2972" w:name="_Toc38440091"/>
      <w:bookmarkStart w:id="2973" w:name="_Toc38440428"/>
      <w:bookmarkStart w:id="2974" w:name="_Toc38440960"/>
      <w:bookmarkStart w:id="2975" w:name="_Toc38441292"/>
      <w:bookmarkStart w:id="2976" w:name="_Toc38441624"/>
      <w:bookmarkStart w:id="2977" w:name="_Toc38441952"/>
      <w:bookmarkStart w:id="2978" w:name="_Toc38442284"/>
      <w:bookmarkStart w:id="2979" w:name="_Toc38442616"/>
      <w:bookmarkStart w:id="2980" w:name="_Toc38442947"/>
      <w:bookmarkStart w:id="2981" w:name="_Toc38443278"/>
      <w:bookmarkStart w:id="2982" w:name="_Toc38443609"/>
      <w:bookmarkStart w:id="2983" w:name="_Toc38443939"/>
      <w:bookmarkStart w:id="2984" w:name="_Toc38438407"/>
      <w:bookmarkStart w:id="2985" w:name="_Toc38438744"/>
      <w:bookmarkStart w:id="2986" w:name="_Toc38439081"/>
      <w:bookmarkStart w:id="2987" w:name="_Toc38439418"/>
      <w:bookmarkStart w:id="2988" w:name="_Toc38439755"/>
      <w:bookmarkStart w:id="2989" w:name="_Toc38440092"/>
      <w:bookmarkStart w:id="2990" w:name="_Toc38440429"/>
      <w:bookmarkStart w:id="2991" w:name="_Toc38440961"/>
      <w:bookmarkStart w:id="2992" w:name="_Toc38441293"/>
      <w:bookmarkStart w:id="2993" w:name="_Toc38441625"/>
      <w:bookmarkStart w:id="2994" w:name="_Toc38441953"/>
      <w:bookmarkStart w:id="2995" w:name="_Toc38442285"/>
      <w:bookmarkStart w:id="2996" w:name="_Toc38442617"/>
      <w:bookmarkStart w:id="2997" w:name="_Toc38442948"/>
      <w:bookmarkStart w:id="2998" w:name="_Toc38443279"/>
      <w:bookmarkStart w:id="2999" w:name="_Toc38443610"/>
      <w:bookmarkStart w:id="3000" w:name="_Toc38443940"/>
      <w:bookmarkStart w:id="3001" w:name="_Toc38438408"/>
      <w:bookmarkStart w:id="3002" w:name="_Toc38438745"/>
      <w:bookmarkStart w:id="3003" w:name="_Toc38439082"/>
      <w:bookmarkStart w:id="3004" w:name="_Toc38439419"/>
      <w:bookmarkStart w:id="3005" w:name="_Toc38439756"/>
      <w:bookmarkStart w:id="3006" w:name="_Toc38440093"/>
      <w:bookmarkStart w:id="3007" w:name="_Toc38440430"/>
      <w:bookmarkStart w:id="3008" w:name="_Toc38440962"/>
      <w:bookmarkStart w:id="3009" w:name="_Toc38441294"/>
      <w:bookmarkStart w:id="3010" w:name="_Toc38441626"/>
      <w:bookmarkStart w:id="3011" w:name="_Toc38441954"/>
      <w:bookmarkStart w:id="3012" w:name="_Toc38442286"/>
      <w:bookmarkStart w:id="3013" w:name="_Toc38442618"/>
      <w:bookmarkStart w:id="3014" w:name="_Toc38442949"/>
      <w:bookmarkStart w:id="3015" w:name="_Toc38443280"/>
      <w:bookmarkStart w:id="3016" w:name="_Toc38443611"/>
      <w:bookmarkStart w:id="3017" w:name="_Toc38443941"/>
      <w:bookmarkStart w:id="3018" w:name="_Toc38438409"/>
      <w:bookmarkStart w:id="3019" w:name="_Toc38438746"/>
      <w:bookmarkStart w:id="3020" w:name="_Toc38439083"/>
      <w:bookmarkStart w:id="3021" w:name="_Toc38439420"/>
      <w:bookmarkStart w:id="3022" w:name="_Toc38439757"/>
      <w:bookmarkStart w:id="3023" w:name="_Toc38440094"/>
      <w:bookmarkStart w:id="3024" w:name="_Toc38440431"/>
      <w:bookmarkStart w:id="3025" w:name="_Toc38440963"/>
      <w:bookmarkStart w:id="3026" w:name="_Toc38441295"/>
      <w:bookmarkStart w:id="3027" w:name="_Toc38441627"/>
      <w:bookmarkStart w:id="3028" w:name="_Toc38441955"/>
      <w:bookmarkStart w:id="3029" w:name="_Toc38442287"/>
      <w:bookmarkStart w:id="3030" w:name="_Toc38442619"/>
      <w:bookmarkStart w:id="3031" w:name="_Toc38442950"/>
      <w:bookmarkStart w:id="3032" w:name="_Toc38443281"/>
      <w:bookmarkStart w:id="3033" w:name="_Toc38443612"/>
      <w:bookmarkStart w:id="3034" w:name="_Toc38443942"/>
      <w:bookmarkStart w:id="3035" w:name="_Toc38438410"/>
      <w:bookmarkStart w:id="3036" w:name="_Toc38438747"/>
      <w:bookmarkStart w:id="3037" w:name="_Toc38439084"/>
      <w:bookmarkStart w:id="3038" w:name="_Toc38439421"/>
      <w:bookmarkStart w:id="3039" w:name="_Toc38439758"/>
      <w:bookmarkStart w:id="3040" w:name="_Toc38440095"/>
      <w:bookmarkStart w:id="3041" w:name="_Toc38440432"/>
      <w:bookmarkStart w:id="3042" w:name="_Toc38440964"/>
      <w:bookmarkStart w:id="3043" w:name="_Toc38441296"/>
      <w:bookmarkStart w:id="3044" w:name="_Toc38441628"/>
      <w:bookmarkStart w:id="3045" w:name="_Toc38441956"/>
      <w:bookmarkStart w:id="3046" w:name="_Toc38442288"/>
      <w:bookmarkStart w:id="3047" w:name="_Toc38442620"/>
      <w:bookmarkStart w:id="3048" w:name="_Toc38442951"/>
      <w:bookmarkStart w:id="3049" w:name="_Toc38443282"/>
      <w:bookmarkStart w:id="3050" w:name="_Toc38443613"/>
      <w:bookmarkStart w:id="3051" w:name="_Toc38443943"/>
      <w:bookmarkStart w:id="3052" w:name="_Toc38438411"/>
      <w:bookmarkStart w:id="3053" w:name="_Toc38438748"/>
      <w:bookmarkStart w:id="3054" w:name="_Toc38439085"/>
      <w:bookmarkStart w:id="3055" w:name="_Toc38439422"/>
      <w:bookmarkStart w:id="3056" w:name="_Toc38439759"/>
      <w:bookmarkStart w:id="3057" w:name="_Toc38440096"/>
      <w:bookmarkStart w:id="3058" w:name="_Toc38440433"/>
      <w:bookmarkStart w:id="3059" w:name="_Toc38440965"/>
      <w:bookmarkStart w:id="3060" w:name="_Toc38441297"/>
      <w:bookmarkStart w:id="3061" w:name="_Toc38441629"/>
      <w:bookmarkStart w:id="3062" w:name="_Toc38441957"/>
      <w:bookmarkStart w:id="3063" w:name="_Toc38442289"/>
      <w:bookmarkStart w:id="3064" w:name="_Toc38442621"/>
      <w:bookmarkStart w:id="3065" w:name="_Toc38442952"/>
      <w:bookmarkStart w:id="3066" w:name="_Toc38443283"/>
      <w:bookmarkStart w:id="3067" w:name="_Toc38443614"/>
      <w:bookmarkStart w:id="3068" w:name="_Toc38443944"/>
      <w:bookmarkStart w:id="3069" w:name="_Toc38438412"/>
      <w:bookmarkStart w:id="3070" w:name="_Toc38438749"/>
      <w:bookmarkStart w:id="3071" w:name="_Toc38439086"/>
      <w:bookmarkStart w:id="3072" w:name="_Toc38439423"/>
      <w:bookmarkStart w:id="3073" w:name="_Toc38439760"/>
      <w:bookmarkStart w:id="3074" w:name="_Toc38440097"/>
      <w:bookmarkStart w:id="3075" w:name="_Toc38440434"/>
      <w:bookmarkStart w:id="3076" w:name="_Toc38440966"/>
      <w:bookmarkStart w:id="3077" w:name="_Toc38441298"/>
      <w:bookmarkStart w:id="3078" w:name="_Toc38441630"/>
      <w:bookmarkStart w:id="3079" w:name="_Toc38441958"/>
      <w:bookmarkStart w:id="3080" w:name="_Toc38442290"/>
      <w:bookmarkStart w:id="3081" w:name="_Toc38442622"/>
      <w:bookmarkStart w:id="3082" w:name="_Toc38442953"/>
      <w:bookmarkStart w:id="3083" w:name="_Toc38443284"/>
      <w:bookmarkStart w:id="3084" w:name="_Toc38443615"/>
      <w:bookmarkStart w:id="3085" w:name="_Toc38443945"/>
      <w:bookmarkStart w:id="3086" w:name="_Toc38438413"/>
      <w:bookmarkStart w:id="3087" w:name="_Toc38438750"/>
      <w:bookmarkStart w:id="3088" w:name="_Toc38439087"/>
      <w:bookmarkStart w:id="3089" w:name="_Toc38439424"/>
      <w:bookmarkStart w:id="3090" w:name="_Toc38439761"/>
      <w:bookmarkStart w:id="3091" w:name="_Toc38440098"/>
      <w:bookmarkStart w:id="3092" w:name="_Toc38440435"/>
      <w:bookmarkStart w:id="3093" w:name="_Toc38440967"/>
      <w:bookmarkStart w:id="3094" w:name="_Toc38441299"/>
      <w:bookmarkStart w:id="3095" w:name="_Toc38441631"/>
      <w:bookmarkStart w:id="3096" w:name="_Toc38441959"/>
      <w:bookmarkStart w:id="3097" w:name="_Toc38442291"/>
      <w:bookmarkStart w:id="3098" w:name="_Toc38442623"/>
      <w:bookmarkStart w:id="3099" w:name="_Toc38442954"/>
      <w:bookmarkStart w:id="3100" w:name="_Toc38443285"/>
      <w:bookmarkStart w:id="3101" w:name="_Toc38443616"/>
      <w:bookmarkStart w:id="3102" w:name="_Toc38443946"/>
      <w:bookmarkStart w:id="3103" w:name="_Toc38438414"/>
      <w:bookmarkStart w:id="3104" w:name="_Toc38438751"/>
      <w:bookmarkStart w:id="3105" w:name="_Toc38439088"/>
      <w:bookmarkStart w:id="3106" w:name="_Toc38439425"/>
      <w:bookmarkStart w:id="3107" w:name="_Toc38439762"/>
      <w:bookmarkStart w:id="3108" w:name="_Toc38440099"/>
      <w:bookmarkStart w:id="3109" w:name="_Toc38440436"/>
      <w:bookmarkStart w:id="3110" w:name="_Toc38440968"/>
      <w:bookmarkStart w:id="3111" w:name="_Toc38441300"/>
      <w:bookmarkStart w:id="3112" w:name="_Toc38441632"/>
      <w:bookmarkStart w:id="3113" w:name="_Toc38441960"/>
      <w:bookmarkStart w:id="3114" w:name="_Toc38442292"/>
      <w:bookmarkStart w:id="3115" w:name="_Toc38442624"/>
      <w:bookmarkStart w:id="3116" w:name="_Toc38442955"/>
      <w:bookmarkStart w:id="3117" w:name="_Toc38443286"/>
      <w:bookmarkStart w:id="3118" w:name="_Toc38443617"/>
      <w:bookmarkStart w:id="3119" w:name="_Toc38443947"/>
      <w:bookmarkStart w:id="3120" w:name="_Toc38438415"/>
      <w:bookmarkStart w:id="3121" w:name="_Toc38438752"/>
      <w:bookmarkStart w:id="3122" w:name="_Toc38439089"/>
      <w:bookmarkStart w:id="3123" w:name="_Toc38439426"/>
      <w:bookmarkStart w:id="3124" w:name="_Toc38439763"/>
      <w:bookmarkStart w:id="3125" w:name="_Toc38440100"/>
      <w:bookmarkStart w:id="3126" w:name="_Toc38440437"/>
      <w:bookmarkStart w:id="3127" w:name="_Toc38440969"/>
      <w:bookmarkStart w:id="3128" w:name="_Toc38441301"/>
      <w:bookmarkStart w:id="3129" w:name="_Toc38441633"/>
      <w:bookmarkStart w:id="3130" w:name="_Toc38441961"/>
      <w:bookmarkStart w:id="3131" w:name="_Toc38442293"/>
      <w:bookmarkStart w:id="3132" w:name="_Toc38442625"/>
      <w:bookmarkStart w:id="3133" w:name="_Toc38442956"/>
      <w:bookmarkStart w:id="3134" w:name="_Toc38443287"/>
      <w:bookmarkStart w:id="3135" w:name="_Toc38443618"/>
      <w:bookmarkStart w:id="3136" w:name="_Toc38443948"/>
      <w:bookmarkStart w:id="3137" w:name="_Toc38438416"/>
      <w:bookmarkStart w:id="3138" w:name="_Toc38438753"/>
      <w:bookmarkStart w:id="3139" w:name="_Toc38439090"/>
      <w:bookmarkStart w:id="3140" w:name="_Toc38439427"/>
      <w:bookmarkStart w:id="3141" w:name="_Toc38439764"/>
      <w:bookmarkStart w:id="3142" w:name="_Toc38440101"/>
      <w:bookmarkStart w:id="3143" w:name="_Toc38440438"/>
      <w:bookmarkStart w:id="3144" w:name="_Toc38440970"/>
      <w:bookmarkStart w:id="3145" w:name="_Toc38441302"/>
      <w:bookmarkStart w:id="3146" w:name="_Toc38441634"/>
      <w:bookmarkStart w:id="3147" w:name="_Toc38441962"/>
      <w:bookmarkStart w:id="3148" w:name="_Toc38442294"/>
      <w:bookmarkStart w:id="3149" w:name="_Toc38442626"/>
      <w:bookmarkStart w:id="3150" w:name="_Toc38442957"/>
      <w:bookmarkStart w:id="3151" w:name="_Toc38443288"/>
      <w:bookmarkStart w:id="3152" w:name="_Toc38443619"/>
      <w:bookmarkStart w:id="3153" w:name="_Toc38443949"/>
      <w:bookmarkStart w:id="3154" w:name="_Toc38438417"/>
      <w:bookmarkStart w:id="3155" w:name="_Toc38438754"/>
      <w:bookmarkStart w:id="3156" w:name="_Toc38439091"/>
      <w:bookmarkStart w:id="3157" w:name="_Toc38439428"/>
      <w:bookmarkStart w:id="3158" w:name="_Toc38439765"/>
      <w:bookmarkStart w:id="3159" w:name="_Toc38440102"/>
      <w:bookmarkStart w:id="3160" w:name="_Toc38440439"/>
      <w:bookmarkStart w:id="3161" w:name="_Toc38440971"/>
      <w:bookmarkStart w:id="3162" w:name="_Toc38441303"/>
      <w:bookmarkStart w:id="3163" w:name="_Toc38441635"/>
      <w:bookmarkStart w:id="3164" w:name="_Toc38441963"/>
      <w:bookmarkStart w:id="3165" w:name="_Toc38442295"/>
      <w:bookmarkStart w:id="3166" w:name="_Toc38442627"/>
      <w:bookmarkStart w:id="3167" w:name="_Toc38442958"/>
      <w:bookmarkStart w:id="3168" w:name="_Toc38443289"/>
      <w:bookmarkStart w:id="3169" w:name="_Toc38443620"/>
      <w:bookmarkStart w:id="3170" w:name="_Toc38443950"/>
      <w:bookmarkStart w:id="3171" w:name="_Toc38438418"/>
      <w:bookmarkStart w:id="3172" w:name="_Toc38438755"/>
      <w:bookmarkStart w:id="3173" w:name="_Toc38439092"/>
      <w:bookmarkStart w:id="3174" w:name="_Toc38439429"/>
      <w:bookmarkStart w:id="3175" w:name="_Toc38439766"/>
      <w:bookmarkStart w:id="3176" w:name="_Toc38440103"/>
      <w:bookmarkStart w:id="3177" w:name="_Toc38440440"/>
      <w:bookmarkStart w:id="3178" w:name="_Toc38440972"/>
      <w:bookmarkStart w:id="3179" w:name="_Toc38441304"/>
      <w:bookmarkStart w:id="3180" w:name="_Toc38441636"/>
      <w:bookmarkStart w:id="3181" w:name="_Toc38441964"/>
      <w:bookmarkStart w:id="3182" w:name="_Toc38442296"/>
      <w:bookmarkStart w:id="3183" w:name="_Toc38442628"/>
      <w:bookmarkStart w:id="3184" w:name="_Toc38442959"/>
      <w:bookmarkStart w:id="3185" w:name="_Toc38443290"/>
      <w:bookmarkStart w:id="3186" w:name="_Toc38443621"/>
      <w:bookmarkStart w:id="3187" w:name="_Toc38443951"/>
      <w:bookmarkStart w:id="3188" w:name="_Toc38438419"/>
      <w:bookmarkStart w:id="3189" w:name="_Toc38438756"/>
      <w:bookmarkStart w:id="3190" w:name="_Toc38439093"/>
      <w:bookmarkStart w:id="3191" w:name="_Toc38439430"/>
      <w:bookmarkStart w:id="3192" w:name="_Toc38439767"/>
      <w:bookmarkStart w:id="3193" w:name="_Toc38440104"/>
      <w:bookmarkStart w:id="3194" w:name="_Toc38440441"/>
      <w:bookmarkStart w:id="3195" w:name="_Toc38440973"/>
      <w:bookmarkStart w:id="3196" w:name="_Toc38441305"/>
      <w:bookmarkStart w:id="3197" w:name="_Toc38441637"/>
      <w:bookmarkStart w:id="3198" w:name="_Toc38441965"/>
      <w:bookmarkStart w:id="3199" w:name="_Toc38442297"/>
      <w:bookmarkStart w:id="3200" w:name="_Toc38442629"/>
      <w:bookmarkStart w:id="3201" w:name="_Toc38442960"/>
      <w:bookmarkStart w:id="3202" w:name="_Toc38443291"/>
      <w:bookmarkStart w:id="3203" w:name="_Toc38443622"/>
      <w:bookmarkStart w:id="3204" w:name="_Toc38443952"/>
      <w:bookmarkStart w:id="3205" w:name="_Toc38438420"/>
      <w:bookmarkStart w:id="3206" w:name="_Toc38438757"/>
      <w:bookmarkStart w:id="3207" w:name="_Toc38439094"/>
      <w:bookmarkStart w:id="3208" w:name="_Toc38439431"/>
      <w:bookmarkStart w:id="3209" w:name="_Toc38439768"/>
      <w:bookmarkStart w:id="3210" w:name="_Toc38440105"/>
      <w:bookmarkStart w:id="3211" w:name="_Toc38440442"/>
      <w:bookmarkStart w:id="3212" w:name="_Toc38440974"/>
      <w:bookmarkStart w:id="3213" w:name="_Toc38441306"/>
      <w:bookmarkStart w:id="3214" w:name="_Toc38441638"/>
      <w:bookmarkStart w:id="3215" w:name="_Toc38441966"/>
      <w:bookmarkStart w:id="3216" w:name="_Toc38442298"/>
      <w:bookmarkStart w:id="3217" w:name="_Toc38442630"/>
      <w:bookmarkStart w:id="3218" w:name="_Toc38442961"/>
      <w:bookmarkStart w:id="3219" w:name="_Toc38443292"/>
      <w:bookmarkStart w:id="3220" w:name="_Toc38443623"/>
      <w:bookmarkStart w:id="3221" w:name="_Toc38443953"/>
      <w:bookmarkStart w:id="3222" w:name="_Toc38438421"/>
      <w:bookmarkStart w:id="3223" w:name="_Toc38438758"/>
      <w:bookmarkStart w:id="3224" w:name="_Toc38439095"/>
      <w:bookmarkStart w:id="3225" w:name="_Toc38439432"/>
      <w:bookmarkStart w:id="3226" w:name="_Toc38439769"/>
      <w:bookmarkStart w:id="3227" w:name="_Toc38440106"/>
      <w:bookmarkStart w:id="3228" w:name="_Toc38440443"/>
      <w:bookmarkStart w:id="3229" w:name="_Toc38440975"/>
      <w:bookmarkStart w:id="3230" w:name="_Toc38441307"/>
      <w:bookmarkStart w:id="3231" w:name="_Toc38441639"/>
      <w:bookmarkStart w:id="3232" w:name="_Toc38441967"/>
      <w:bookmarkStart w:id="3233" w:name="_Toc38442299"/>
      <w:bookmarkStart w:id="3234" w:name="_Toc38442631"/>
      <w:bookmarkStart w:id="3235" w:name="_Toc38442962"/>
      <w:bookmarkStart w:id="3236" w:name="_Toc38443293"/>
      <w:bookmarkStart w:id="3237" w:name="_Toc38443624"/>
      <w:bookmarkStart w:id="3238" w:name="_Toc38443954"/>
      <w:bookmarkStart w:id="3239" w:name="_Toc38438422"/>
      <w:bookmarkStart w:id="3240" w:name="_Toc38438759"/>
      <w:bookmarkStart w:id="3241" w:name="_Toc38439096"/>
      <w:bookmarkStart w:id="3242" w:name="_Toc38439433"/>
      <w:bookmarkStart w:id="3243" w:name="_Toc38439770"/>
      <w:bookmarkStart w:id="3244" w:name="_Toc38440107"/>
      <w:bookmarkStart w:id="3245" w:name="_Toc38440444"/>
      <w:bookmarkStart w:id="3246" w:name="_Toc38440976"/>
      <w:bookmarkStart w:id="3247" w:name="_Toc38441308"/>
      <w:bookmarkStart w:id="3248" w:name="_Toc38441640"/>
      <w:bookmarkStart w:id="3249" w:name="_Toc38441968"/>
      <w:bookmarkStart w:id="3250" w:name="_Toc38442300"/>
      <w:bookmarkStart w:id="3251" w:name="_Toc38442632"/>
      <w:bookmarkStart w:id="3252" w:name="_Toc38442963"/>
      <w:bookmarkStart w:id="3253" w:name="_Toc38443294"/>
      <w:bookmarkStart w:id="3254" w:name="_Toc38443625"/>
      <w:bookmarkStart w:id="3255" w:name="_Toc38443955"/>
      <w:bookmarkStart w:id="3256" w:name="_Toc38438423"/>
      <w:bookmarkStart w:id="3257" w:name="_Toc38438760"/>
      <w:bookmarkStart w:id="3258" w:name="_Toc38439097"/>
      <w:bookmarkStart w:id="3259" w:name="_Toc38439434"/>
      <w:bookmarkStart w:id="3260" w:name="_Toc38439771"/>
      <w:bookmarkStart w:id="3261" w:name="_Toc38440108"/>
      <w:bookmarkStart w:id="3262" w:name="_Toc38440445"/>
      <w:bookmarkStart w:id="3263" w:name="_Toc38440977"/>
      <w:bookmarkStart w:id="3264" w:name="_Toc38441309"/>
      <w:bookmarkStart w:id="3265" w:name="_Toc38441641"/>
      <w:bookmarkStart w:id="3266" w:name="_Toc38441969"/>
      <w:bookmarkStart w:id="3267" w:name="_Toc38442301"/>
      <w:bookmarkStart w:id="3268" w:name="_Toc38442633"/>
      <w:bookmarkStart w:id="3269" w:name="_Toc38442964"/>
      <w:bookmarkStart w:id="3270" w:name="_Toc38443295"/>
      <w:bookmarkStart w:id="3271" w:name="_Toc38443626"/>
      <w:bookmarkStart w:id="3272" w:name="_Toc38443956"/>
      <w:bookmarkStart w:id="3273" w:name="_Toc38438424"/>
      <w:bookmarkStart w:id="3274" w:name="_Toc38438761"/>
      <w:bookmarkStart w:id="3275" w:name="_Toc38439098"/>
      <w:bookmarkStart w:id="3276" w:name="_Toc38439435"/>
      <w:bookmarkStart w:id="3277" w:name="_Toc38439772"/>
      <w:bookmarkStart w:id="3278" w:name="_Toc38440109"/>
      <w:bookmarkStart w:id="3279" w:name="_Toc38440446"/>
      <w:bookmarkStart w:id="3280" w:name="_Toc38440978"/>
      <w:bookmarkStart w:id="3281" w:name="_Toc38441310"/>
      <w:bookmarkStart w:id="3282" w:name="_Toc38441642"/>
      <w:bookmarkStart w:id="3283" w:name="_Toc38441970"/>
      <w:bookmarkStart w:id="3284" w:name="_Toc38442302"/>
      <w:bookmarkStart w:id="3285" w:name="_Toc38442634"/>
      <w:bookmarkStart w:id="3286" w:name="_Toc38442965"/>
      <w:bookmarkStart w:id="3287" w:name="_Toc38443296"/>
      <w:bookmarkStart w:id="3288" w:name="_Toc38443627"/>
      <w:bookmarkStart w:id="3289" w:name="_Toc38443957"/>
      <w:bookmarkStart w:id="3290" w:name="_Toc38438425"/>
      <w:bookmarkStart w:id="3291" w:name="_Toc38438762"/>
      <w:bookmarkStart w:id="3292" w:name="_Toc38439099"/>
      <w:bookmarkStart w:id="3293" w:name="_Toc38439436"/>
      <w:bookmarkStart w:id="3294" w:name="_Toc38439773"/>
      <w:bookmarkStart w:id="3295" w:name="_Toc38440110"/>
      <w:bookmarkStart w:id="3296" w:name="_Toc38440447"/>
      <w:bookmarkStart w:id="3297" w:name="_Toc38440979"/>
      <w:bookmarkStart w:id="3298" w:name="_Toc38441311"/>
      <w:bookmarkStart w:id="3299" w:name="_Toc38441643"/>
      <w:bookmarkStart w:id="3300" w:name="_Toc38441971"/>
      <w:bookmarkStart w:id="3301" w:name="_Toc38442303"/>
      <w:bookmarkStart w:id="3302" w:name="_Toc38442635"/>
      <w:bookmarkStart w:id="3303" w:name="_Toc38442966"/>
      <w:bookmarkStart w:id="3304" w:name="_Toc38443297"/>
      <w:bookmarkStart w:id="3305" w:name="_Toc38443628"/>
      <w:bookmarkStart w:id="3306" w:name="_Toc38443958"/>
      <w:bookmarkStart w:id="3307" w:name="_Toc38438426"/>
      <w:bookmarkStart w:id="3308" w:name="_Toc38438763"/>
      <w:bookmarkStart w:id="3309" w:name="_Toc38439100"/>
      <w:bookmarkStart w:id="3310" w:name="_Toc38439437"/>
      <w:bookmarkStart w:id="3311" w:name="_Toc38439774"/>
      <w:bookmarkStart w:id="3312" w:name="_Toc38440111"/>
      <w:bookmarkStart w:id="3313" w:name="_Toc38440448"/>
      <w:bookmarkStart w:id="3314" w:name="_Toc38440980"/>
      <w:bookmarkStart w:id="3315" w:name="_Toc38441312"/>
      <w:bookmarkStart w:id="3316" w:name="_Toc38441644"/>
      <w:bookmarkStart w:id="3317" w:name="_Toc38441972"/>
      <w:bookmarkStart w:id="3318" w:name="_Toc38442304"/>
      <w:bookmarkStart w:id="3319" w:name="_Toc38442636"/>
      <w:bookmarkStart w:id="3320" w:name="_Toc38442967"/>
      <w:bookmarkStart w:id="3321" w:name="_Toc38443298"/>
      <w:bookmarkStart w:id="3322" w:name="_Toc38443629"/>
      <w:bookmarkStart w:id="3323" w:name="_Toc38443959"/>
      <w:bookmarkStart w:id="3324" w:name="_Toc38438427"/>
      <w:bookmarkStart w:id="3325" w:name="_Toc38438764"/>
      <w:bookmarkStart w:id="3326" w:name="_Toc38439101"/>
      <w:bookmarkStart w:id="3327" w:name="_Toc38439438"/>
      <w:bookmarkStart w:id="3328" w:name="_Toc38439775"/>
      <w:bookmarkStart w:id="3329" w:name="_Toc38440112"/>
      <w:bookmarkStart w:id="3330" w:name="_Toc38440449"/>
      <w:bookmarkStart w:id="3331" w:name="_Toc38440981"/>
      <w:bookmarkStart w:id="3332" w:name="_Toc38441313"/>
      <w:bookmarkStart w:id="3333" w:name="_Toc38441645"/>
      <w:bookmarkStart w:id="3334" w:name="_Toc38441973"/>
      <w:bookmarkStart w:id="3335" w:name="_Toc38442305"/>
      <w:bookmarkStart w:id="3336" w:name="_Toc38442637"/>
      <w:bookmarkStart w:id="3337" w:name="_Toc38442968"/>
      <w:bookmarkStart w:id="3338" w:name="_Toc38443299"/>
      <w:bookmarkStart w:id="3339" w:name="_Toc38443630"/>
      <w:bookmarkStart w:id="3340" w:name="_Toc38443960"/>
      <w:bookmarkStart w:id="3341" w:name="_Toc38438428"/>
      <w:bookmarkStart w:id="3342" w:name="_Toc38438765"/>
      <w:bookmarkStart w:id="3343" w:name="_Toc38439102"/>
      <w:bookmarkStart w:id="3344" w:name="_Toc38439439"/>
      <w:bookmarkStart w:id="3345" w:name="_Toc38439776"/>
      <w:bookmarkStart w:id="3346" w:name="_Toc38440113"/>
      <w:bookmarkStart w:id="3347" w:name="_Toc38440450"/>
      <w:bookmarkStart w:id="3348" w:name="_Toc38440982"/>
      <w:bookmarkStart w:id="3349" w:name="_Toc38441314"/>
      <w:bookmarkStart w:id="3350" w:name="_Toc38441646"/>
      <w:bookmarkStart w:id="3351" w:name="_Toc38441974"/>
      <w:bookmarkStart w:id="3352" w:name="_Toc38442306"/>
      <w:bookmarkStart w:id="3353" w:name="_Toc38442638"/>
      <w:bookmarkStart w:id="3354" w:name="_Toc38442969"/>
      <w:bookmarkStart w:id="3355" w:name="_Toc38443300"/>
      <w:bookmarkStart w:id="3356" w:name="_Toc38443631"/>
      <w:bookmarkStart w:id="3357" w:name="_Toc38443961"/>
      <w:bookmarkStart w:id="3358" w:name="_Toc38438429"/>
      <w:bookmarkStart w:id="3359" w:name="_Toc38438766"/>
      <w:bookmarkStart w:id="3360" w:name="_Toc38439103"/>
      <w:bookmarkStart w:id="3361" w:name="_Toc38439440"/>
      <w:bookmarkStart w:id="3362" w:name="_Toc38439777"/>
      <w:bookmarkStart w:id="3363" w:name="_Toc38440114"/>
      <w:bookmarkStart w:id="3364" w:name="_Toc38440451"/>
      <w:bookmarkStart w:id="3365" w:name="_Toc38440983"/>
      <w:bookmarkStart w:id="3366" w:name="_Toc38441315"/>
      <w:bookmarkStart w:id="3367" w:name="_Toc38441647"/>
      <w:bookmarkStart w:id="3368" w:name="_Toc38441975"/>
      <w:bookmarkStart w:id="3369" w:name="_Toc38442307"/>
      <w:bookmarkStart w:id="3370" w:name="_Toc38442639"/>
      <w:bookmarkStart w:id="3371" w:name="_Toc38442970"/>
      <w:bookmarkStart w:id="3372" w:name="_Toc38443301"/>
      <w:bookmarkStart w:id="3373" w:name="_Toc38443632"/>
      <w:bookmarkStart w:id="3374" w:name="_Toc38443962"/>
      <w:bookmarkStart w:id="3375" w:name="_Toc38438430"/>
      <w:bookmarkStart w:id="3376" w:name="_Toc38438767"/>
      <w:bookmarkStart w:id="3377" w:name="_Toc38439104"/>
      <w:bookmarkStart w:id="3378" w:name="_Toc38439441"/>
      <w:bookmarkStart w:id="3379" w:name="_Toc38439778"/>
      <w:bookmarkStart w:id="3380" w:name="_Toc38440115"/>
      <w:bookmarkStart w:id="3381" w:name="_Toc38440452"/>
      <w:bookmarkStart w:id="3382" w:name="_Toc38440984"/>
      <w:bookmarkStart w:id="3383" w:name="_Toc38441316"/>
      <w:bookmarkStart w:id="3384" w:name="_Toc38441648"/>
      <w:bookmarkStart w:id="3385" w:name="_Toc38441976"/>
      <w:bookmarkStart w:id="3386" w:name="_Toc38442308"/>
      <w:bookmarkStart w:id="3387" w:name="_Toc38442640"/>
      <w:bookmarkStart w:id="3388" w:name="_Toc38442971"/>
      <w:bookmarkStart w:id="3389" w:name="_Toc38443302"/>
      <w:bookmarkStart w:id="3390" w:name="_Toc38443633"/>
      <w:bookmarkStart w:id="3391" w:name="_Toc38443963"/>
      <w:bookmarkStart w:id="3392" w:name="_Toc38438431"/>
      <w:bookmarkStart w:id="3393" w:name="_Toc38438768"/>
      <w:bookmarkStart w:id="3394" w:name="_Toc38439105"/>
      <w:bookmarkStart w:id="3395" w:name="_Toc38439442"/>
      <w:bookmarkStart w:id="3396" w:name="_Toc38439779"/>
      <w:bookmarkStart w:id="3397" w:name="_Toc38440116"/>
      <w:bookmarkStart w:id="3398" w:name="_Toc38440453"/>
      <w:bookmarkStart w:id="3399" w:name="_Toc38440985"/>
      <w:bookmarkStart w:id="3400" w:name="_Toc38441317"/>
      <w:bookmarkStart w:id="3401" w:name="_Toc38441649"/>
      <w:bookmarkStart w:id="3402" w:name="_Toc38441977"/>
      <w:bookmarkStart w:id="3403" w:name="_Toc38442309"/>
      <w:bookmarkStart w:id="3404" w:name="_Toc38442641"/>
      <w:bookmarkStart w:id="3405" w:name="_Toc38442972"/>
      <w:bookmarkStart w:id="3406" w:name="_Toc38443303"/>
      <w:bookmarkStart w:id="3407" w:name="_Toc38443634"/>
      <w:bookmarkStart w:id="3408" w:name="_Toc38443964"/>
      <w:bookmarkStart w:id="3409" w:name="_Toc38438432"/>
      <w:bookmarkStart w:id="3410" w:name="_Toc38438769"/>
      <w:bookmarkStart w:id="3411" w:name="_Toc38439106"/>
      <w:bookmarkStart w:id="3412" w:name="_Toc38439443"/>
      <w:bookmarkStart w:id="3413" w:name="_Toc38439780"/>
      <w:bookmarkStart w:id="3414" w:name="_Toc38440117"/>
      <w:bookmarkStart w:id="3415" w:name="_Toc38440454"/>
      <w:bookmarkStart w:id="3416" w:name="_Toc38440986"/>
      <w:bookmarkStart w:id="3417" w:name="_Toc38441318"/>
      <w:bookmarkStart w:id="3418" w:name="_Toc38441650"/>
      <w:bookmarkStart w:id="3419" w:name="_Toc38441978"/>
      <w:bookmarkStart w:id="3420" w:name="_Toc38442310"/>
      <w:bookmarkStart w:id="3421" w:name="_Toc38442642"/>
      <w:bookmarkStart w:id="3422" w:name="_Toc38442973"/>
      <w:bookmarkStart w:id="3423" w:name="_Toc38443304"/>
      <w:bookmarkStart w:id="3424" w:name="_Toc38443635"/>
      <w:bookmarkStart w:id="3425" w:name="_Toc38443965"/>
      <w:bookmarkStart w:id="3426" w:name="_Toc38438433"/>
      <w:bookmarkStart w:id="3427" w:name="_Toc38438770"/>
      <w:bookmarkStart w:id="3428" w:name="_Toc38439107"/>
      <w:bookmarkStart w:id="3429" w:name="_Toc38439444"/>
      <w:bookmarkStart w:id="3430" w:name="_Toc38439781"/>
      <w:bookmarkStart w:id="3431" w:name="_Toc38440118"/>
      <w:bookmarkStart w:id="3432" w:name="_Toc38440455"/>
      <w:bookmarkStart w:id="3433" w:name="_Toc38440987"/>
      <w:bookmarkStart w:id="3434" w:name="_Toc38441319"/>
      <w:bookmarkStart w:id="3435" w:name="_Toc38441651"/>
      <w:bookmarkStart w:id="3436" w:name="_Toc38441979"/>
      <w:bookmarkStart w:id="3437" w:name="_Toc38442311"/>
      <w:bookmarkStart w:id="3438" w:name="_Toc38442643"/>
      <w:bookmarkStart w:id="3439" w:name="_Toc38442974"/>
      <w:bookmarkStart w:id="3440" w:name="_Toc38443305"/>
      <w:bookmarkStart w:id="3441" w:name="_Toc38443636"/>
      <w:bookmarkStart w:id="3442" w:name="_Toc38443966"/>
      <w:bookmarkStart w:id="3443" w:name="_Toc38438434"/>
      <w:bookmarkStart w:id="3444" w:name="_Toc38438771"/>
      <w:bookmarkStart w:id="3445" w:name="_Toc38439108"/>
      <w:bookmarkStart w:id="3446" w:name="_Toc38439445"/>
      <w:bookmarkStart w:id="3447" w:name="_Toc38439782"/>
      <w:bookmarkStart w:id="3448" w:name="_Toc38440119"/>
      <w:bookmarkStart w:id="3449" w:name="_Toc38440456"/>
      <w:bookmarkStart w:id="3450" w:name="_Toc38440988"/>
      <w:bookmarkStart w:id="3451" w:name="_Toc38441320"/>
      <w:bookmarkStart w:id="3452" w:name="_Toc38441652"/>
      <w:bookmarkStart w:id="3453" w:name="_Toc38441980"/>
      <w:bookmarkStart w:id="3454" w:name="_Toc38442312"/>
      <w:bookmarkStart w:id="3455" w:name="_Toc38442644"/>
      <w:bookmarkStart w:id="3456" w:name="_Toc38442975"/>
      <w:bookmarkStart w:id="3457" w:name="_Toc38443306"/>
      <w:bookmarkStart w:id="3458" w:name="_Toc38443637"/>
      <w:bookmarkStart w:id="3459" w:name="_Toc38443967"/>
      <w:bookmarkStart w:id="3460" w:name="_Toc38438435"/>
      <w:bookmarkStart w:id="3461" w:name="_Toc38438772"/>
      <w:bookmarkStart w:id="3462" w:name="_Toc38439109"/>
      <w:bookmarkStart w:id="3463" w:name="_Toc38439446"/>
      <w:bookmarkStart w:id="3464" w:name="_Toc38439783"/>
      <w:bookmarkStart w:id="3465" w:name="_Toc38440120"/>
      <w:bookmarkStart w:id="3466" w:name="_Toc38440457"/>
      <w:bookmarkStart w:id="3467" w:name="_Toc38440989"/>
      <w:bookmarkStart w:id="3468" w:name="_Toc38441321"/>
      <w:bookmarkStart w:id="3469" w:name="_Toc38441653"/>
      <w:bookmarkStart w:id="3470" w:name="_Toc38441981"/>
      <w:bookmarkStart w:id="3471" w:name="_Toc38442313"/>
      <w:bookmarkStart w:id="3472" w:name="_Toc38442645"/>
      <w:bookmarkStart w:id="3473" w:name="_Toc38442976"/>
      <w:bookmarkStart w:id="3474" w:name="_Toc38443307"/>
      <w:bookmarkStart w:id="3475" w:name="_Toc38443638"/>
      <w:bookmarkStart w:id="3476" w:name="_Toc38443968"/>
      <w:bookmarkStart w:id="3477" w:name="_Toc38438436"/>
      <w:bookmarkStart w:id="3478" w:name="_Toc38438773"/>
      <w:bookmarkStart w:id="3479" w:name="_Toc38439110"/>
      <w:bookmarkStart w:id="3480" w:name="_Toc38439447"/>
      <w:bookmarkStart w:id="3481" w:name="_Toc38439784"/>
      <w:bookmarkStart w:id="3482" w:name="_Toc38440121"/>
      <w:bookmarkStart w:id="3483" w:name="_Toc38440458"/>
      <w:bookmarkStart w:id="3484" w:name="_Toc38440990"/>
      <w:bookmarkStart w:id="3485" w:name="_Toc38441322"/>
      <w:bookmarkStart w:id="3486" w:name="_Toc38441654"/>
      <w:bookmarkStart w:id="3487" w:name="_Toc38441982"/>
      <w:bookmarkStart w:id="3488" w:name="_Toc38442314"/>
      <w:bookmarkStart w:id="3489" w:name="_Toc38442646"/>
      <w:bookmarkStart w:id="3490" w:name="_Toc38442977"/>
      <w:bookmarkStart w:id="3491" w:name="_Toc38443308"/>
      <w:bookmarkStart w:id="3492" w:name="_Toc38443639"/>
      <w:bookmarkStart w:id="3493" w:name="_Toc38443969"/>
      <w:bookmarkStart w:id="3494" w:name="_Toc38438437"/>
      <w:bookmarkStart w:id="3495" w:name="_Toc38438774"/>
      <w:bookmarkStart w:id="3496" w:name="_Toc38439111"/>
      <w:bookmarkStart w:id="3497" w:name="_Toc38439448"/>
      <w:bookmarkStart w:id="3498" w:name="_Toc38439785"/>
      <w:bookmarkStart w:id="3499" w:name="_Toc38440122"/>
      <w:bookmarkStart w:id="3500" w:name="_Toc38440459"/>
      <w:bookmarkStart w:id="3501" w:name="_Toc38440991"/>
      <w:bookmarkStart w:id="3502" w:name="_Toc38441323"/>
      <w:bookmarkStart w:id="3503" w:name="_Toc38441655"/>
      <w:bookmarkStart w:id="3504" w:name="_Toc38441983"/>
      <w:bookmarkStart w:id="3505" w:name="_Toc38442315"/>
      <w:bookmarkStart w:id="3506" w:name="_Toc38442647"/>
      <w:bookmarkStart w:id="3507" w:name="_Toc38442978"/>
      <w:bookmarkStart w:id="3508" w:name="_Toc38443309"/>
      <w:bookmarkStart w:id="3509" w:name="_Toc38443640"/>
      <w:bookmarkStart w:id="3510" w:name="_Toc38443970"/>
      <w:bookmarkStart w:id="3511" w:name="_Toc38438438"/>
      <w:bookmarkStart w:id="3512" w:name="_Toc38438775"/>
      <w:bookmarkStart w:id="3513" w:name="_Toc38439112"/>
      <w:bookmarkStart w:id="3514" w:name="_Toc38439449"/>
      <w:bookmarkStart w:id="3515" w:name="_Toc38439786"/>
      <w:bookmarkStart w:id="3516" w:name="_Toc38440123"/>
      <w:bookmarkStart w:id="3517" w:name="_Toc38440460"/>
      <w:bookmarkStart w:id="3518" w:name="_Toc38440992"/>
      <w:bookmarkStart w:id="3519" w:name="_Toc38441324"/>
      <w:bookmarkStart w:id="3520" w:name="_Toc38441656"/>
      <w:bookmarkStart w:id="3521" w:name="_Toc38441984"/>
      <w:bookmarkStart w:id="3522" w:name="_Toc38442316"/>
      <w:bookmarkStart w:id="3523" w:name="_Toc38442648"/>
      <w:bookmarkStart w:id="3524" w:name="_Toc38442979"/>
      <w:bookmarkStart w:id="3525" w:name="_Toc38443310"/>
      <w:bookmarkStart w:id="3526" w:name="_Toc38443641"/>
      <w:bookmarkStart w:id="3527" w:name="_Toc38443971"/>
      <w:bookmarkStart w:id="3528" w:name="_Toc38438439"/>
      <w:bookmarkStart w:id="3529" w:name="_Toc38438776"/>
      <w:bookmarkStart w:id="3530" w:name="_Toc38439113"/>
      <w:bookmarkStart w:id="3531" w:name="_Toc38439450"/>
      <w:bookmarkStart w:id="3532" w:name="_Toc38439787"/>
      <w:bookmarkStart w:id="3533" w:name="_Toc38440124"/>
      <w:bookmarkStart w:id="3534" w:name="_Toc38440461"/>
      <w:bookmarkStart w:id="3535" w:name="_Toc38440993"/>
      <w:bookmarkStart w:id="3536" w:name="_Toc38441325"/>
      <w:bookmarkStart w:id="3537" w:name="_Toc38441657"/>
      <w:bookmarkStart w:id="3538" w:name="_Toc38441985"/>
      <w:bookmarkStart w:id="3539" w:name="_Toc38442317"/>
      <w:bookmarkStart w:id="3540" w:name="_Toc38442649"/>
      <w:bookmarkStart w:id="3541" w:name="_Toc38442980"/>
      <w:bookmarkStart w:id="3542" w:name="_Toc38443311"/>
      <w:bookmarkStart w:id="3543" w:name="_Toc38443642"/>
      <w:bookmarkStart w:id="3544" w:name="_Toc38443972"/>
      <w:bookmarkStart w:id="3545" w:name="_Toc38438440"/>
      <w:bookmarkStart w:id="3546" w:name="_Toc38438777"/>
      <w:bookmarkStart w:id="3547" w:name="_Toc38439114"/>
      <w:bookmarkStart w:id="3548" w:name="_Toc38439451"/>
      <w:bookmarkStart w:id="3549" w:name="_Toc38439788"/>
      <w:bookmarkStart w:id="3550" w:name="_Toc38440125"/>
      <w:bookmarkStart w:id="3551" w:name="_Toc38440462"/>
      <w:bookmarkStart w:id="3552" w:name="_Toc38440994"/>
      <w:bookmarkStart w:id="3553" w:name="_Toc38441326"/>
      <w:bookmarkStart w:id="3554" w:name="_Toc38441658"/>
      <w:bookmarkStart w:id="3555" w:name="_Toc38441986"/>
      <w:bookmarkStart w:id="3556" w:name="_Toc38442318"/>
      <w:bookmarkStart w:id="3557" w:name="_Toc38442650"/>
      <w:bookmarkStart w:id="3558" w:name="_Toc38442981"/>
      <w:bookmarkStart w:id="3559" w:name="_Toc38443312"/>
      <w:bookmarkStart w:id="3560" w:name="_Toc38443643"/>
      <w:bookmarkStart w:id="3561" w:name="_Toc38443973"/>
      <w:bookmarkStart w:id="3562" w:name="_Toc38438441"/>
      <w:bookmarkStart w:id="3563" w:name="_Toc38438778"/>
      <w:bookmarkStart w:id="3564" w:name="_Toc38439115"/>
      <w:bookmarkStart w:id="3565" w:name="_Toc38439452"/>
      <w:bookmarkStart w:id="3566" w:name="_Toc38439789"/>
      <w:bookmarkStart w:id="3567" w:name="_Toc38440126"/>
      <w:bookmarkStart w:id="3568" w:name="_Toc38440463"/>
      <w:bookmarkStart w:id="3569" w:name="_Toc38440995"/>
      <w:bookmarkStart w:id="3570" w:name="_Toc38441327"/>
      <w:bookmarkStart w:id="3571" w:name="_Toc38441659"/>
      <w:bookmarkStart w:id="3572" w:name="_Toc38441987"/>
      <w:bookmarkStart w:id="3573" w:name="_Toc38442319"/>
      <w:bookmarkStart w:id="3574" w:name="_Toc38442651"/>
      <w:bookmarkStart w:id="3575" w:name="_Toc38442982"/>
      <w:bookmarkStart w:id="3576" w:name="_Toc38443313"/>
      <w:bookmarkStart w:id="3577" w:name="_Toc38443644"/>
      <w:bookmarkStart w:id="3578" w:name="_Toc38443974"/>
      <w:bookmarkStart w:id="3579" w:name="_Toc38438442"/>
      <w:bookmarkStart w:id="3580" w:name="_Toc38438779"/>
      <w:bookmarkStart w:id="3581" w:name="_Toc38439116"/>
      <w:bookmarkStart w:id="3582" w:name="_Toc38439453"/>
      <w:bookmarkStart w:id="3583" w:name="_Toc38439790"/>
      <w:bookmarkStart w:id="3584" w:name="_Toc38440127"/>
      <w:bookmarkStart w:id="3585" w:name="_Toc38440464"/>
      <w:bookmarkStart w:id="3586" w:name="_Toc38440996"/>
      <w:bookmarkStart w:id="3587" w:name="_Toc38441328"/>
      <w:bookmarkStart w:id="3588" w:name="_Toc38441660"/>
      <w:bookmarkStart w:id="3589" w:name="_Toc38441988"/>
      <w:bookmarkStart w:id="3590" w:name="_Toc38442320"/>
      <w:bookmarkStart w:id="3591" w:name="_Toc38442652"/>
      <w:bookmarkStart w:id="3592" w:name="_Toc38442983"/>
      <w:bookmarkStart w:id="3593" w:name="_Toc38443314"/>
      <w:bookmarkStart w:id="3594" w:name="_Toc38443645"/>
      <w:bookmarkStart w:id="3595" w:name="_Toc38443975"/>
      <w:bookmarkStart w:id="3596" w:name="_Toc38438443"/>
      <w:bookmarkStart w:id="3597" w:name="_Toc38438780"/>
      <w:bookmarkStart w:id="3598" w:name="_Toc38439117"/>
      <w:bookmarkStart w:id="3599" w:name="_Toc38439454"/>
      <w:bookmarkStart w:id="3600" w:name="_Toc38439791"/>
      <w:bookmarkStart w:id="3601" w:name="_Toc38440128"/>
      <w:bookmarkStart w:id="3602" w:name="_Toc38440465"/>
      <w:bookmarkStart w:id="3603" w:name="_Toc38440997"/>
      <w:bookmarkStart w:id="3604" w:name="_Toc38441329"/>
      <w:bookmarkStart w:id="3605" w:name="_Toc38441661"/>
      <w:bookmarkStart w:id="3606" w:name="_Toc38441989"/>
      <w:bookmarkStart w:id="3607" w:name="_Toc38442321"/>
      <w:bookmarkStart w:id="3608" w:name="_Toc38442653"/>
      <w:bookmarkStart w:id="3609" w:name="_Toc38442984"/>
      <w:bookmarkStart w:id="3610" w:name="_Toc38443315"/>
      <w:bookmarkStart w:id="3611" w:name="_Toc38443646"/>
      <w:bookmarkStart w:id="3612" w:name="_Toc38443976"/>
      <w:bookmarkStart w:id="3613" w:name="_Toc38438444"/>
      <w:bookmarkStart w:id="3614" w:name="_Toc38438781"/>
      <w:bookmarkStart w:id="3615" w:name="_Toc38439118"/>
      <w:bookmarkStart w:id="3616" w:name="_Toc38439455"/>
      <w:bookmarkStart w:id="3617" w:name="_Toc38439792"/>
      <w:bookmarkStart w:id="3618" w:name="_Toc38440129"/>
      <w:bookmarkStart w:id="3619" w:name="_Toc38440466"/>
      <w:bookmarkStart w:id="3620" w:name="_Toc38440998"/>
      <w:bookmarkStart w:id="3621" w:name="_Toc38441330"/>
      <w:bookmarkStart w:id="3622" w:name="_Toc38441662"/>
      <w:bookmarkStart w:id="3623" w:name="_Toc38441990"/>
      <w:bookmarkStart w:id="3624" w:name="_Toc38442322"/>
      <w:bookmarkStart w:id="3625" w:name="_Toc38442654"/>
      <w:bookmarkStart w:id="3626" w:name="_Toc38442985"/>
      <w:bookmarkStart w:id="3627" w:name="_Toc38443316"/>
      <w:bookmarkStart w:id="3628" w:name="_Toc38443647"/>
      <w:bookmarkStart w:id="3629" w:name="_Toc38443977"/>
      <w:bookmarkStart w:id="3630" w:name="_Toc38438445"/>
      <w:bookmarkStart w:id="3631" w:name="_Toc38438782"/>
      <w:bookmarkStart w:id="3632" w:name="_Toc38439119"/>
      <w:bookmarkStart w:id="3633" w:name="_Toc38439456"/>
      <w:bookmarkStart w:id="3634" w:name="_Toc38439793"/>
      <w:bookmarkStart w:id="3635" w:name="_Toc38440130"/>
      <w:bookmarkStart w:id="3636" w:name="_Toc38440467"/>
      <w:bookmarkStart w:id="3637" w:name="_Toc38440999"/>
      <w:bookmarkStart w:id="3638" w:name="_Toc38441331"/>
      <w:bookmarkStart w:id="3639" w:name="_Toc38441663"/>
      <w:bookmarkStart w:id="3640" w:name="_Toc38441991"/>
      <w:bookmarkStart w:id="3641" w:name="_Toc38442323"/>
      <w:bookmarkStart w:id="3642" w:name="_Toc38442655"/>
      <w:bookmarkStart w:id="3643" w:name="_Toc38442986"/>
      <w:bookmarkStart w:id="3644" w:name="_Toc38443317"/>
      <w:bookmarkStart w:id="3645" w:name="_Toc38443648"/>
      <w:bookmarkStart w:id="3646" w:name="_Toc38443978"/>
      <w:bookmarkStart w:id="3647" w:name="_Toc38438446"/>
      <w:bookmarkStart w:id="3648" w:name="_Toc38438783"/>
      <w:bookmarkStart w:id="3649" w:name="_Toc38439120"/>
      <w:bookmarkStart w:id="3650" w:name="_Toc38439457"/>
      <w:bookmarkStart w:id="3651" w:name="_Toc38439794"/>
      <w:bookmarkStart w:id="3652" w:name="_Toc38440131"/>
      <w:bookmarkStart w:id="3653" w:name="_Toc38440468"/>
      <w:bookmarkStart w:id="3654" w:name="_Toc38441000"/>
      <w:bookmarkStart w:id="3655" w:name="_Toc38441332"/>
      <w:bookmarkStart w:id="3656" w:name="_Toc38441664"/>
      <w:bookmarkStart w:id="3657" w:name="_Toc38441992"/>
      <w:bookmarkStart w:id="3658" w:name="_Toc38442324"/>
      <w:bookmarkStart w:id="3659" w:name="_Toc38442656"/>
      <w:bookmarkStart w:id="3660" w:name="_Toc38442987"/>
      <w:bookmarkStart w:id="3661" w:name="_Toc38443318"/>
      <w:bookmarkStart w:id="3662" w:name="_Toc38443649"/>
      <w:bookmarkStart w:id="3663" w:name="_Toc38443979"/>
      <w:bookmarkStart w:id="3664" w:name="_Toc38438447"/>
      <w:bookmarkStart w:id="3665" w:name="_Toc38438784"/>
      <w:bookmarkStart w:id="3666" w:name="_Toc38439121"/>
      <w:bookmarkStart w:id="3667" w:name="_Toc38439458"/>
      <w:bookmarkStart w:id="3668" w:name="_Toc38439795"/>
      <w:bookmarkStart w:id="3669" w:name="_Toc38440132"/>
      <w:bookmarkStart w:id="3670" w:name="_Toc38440469"/>
      <w:bookmarkStart w:id="3671" w:name="_Toc38441001"/>
      <w:bookmarkStart w:id="3672" w:name="_Toc38441333"/>
      <w:bookmarkStart w:id="3673" w:name="_Toc38441665"/>
      <w:bookmarkStart w:id="3674" w:name="_Toc38441993"/>
      <w:bookmarkStart w:id="3675" w:name="_Toc38442325"/>
      <w:bookmarkStart w:id="3676" w:name="_Toc38442657"/>
      <w:bookmarkStart w:id="3677" w:name="_Toc38442988"/>
      <w:bookmarkStart w:id="3678" w:name="_Toc38443319"/>
      <w:bookmarkStart w:id="3679" w:name="_Toc38443650"/>
      <w:bookmarkStart w:id="3680" w:name="_Toc38443980"/>
      <w:bookmarkStart w:id="3681" w:name="_Toc38438448"/>
      <w:bookmarkStart w:id="3682" w:name="_Toc38438785"/>
      <w:bookmarkStart w:id="3683" w:name="_Toc38439122"/>
      <w:bookmarkStart w:id="3684" w:name="_Toc38439459"/>
      <w:bookmarkStart w:id="3685" w:name="_Toc38439796"/>
      <w:bookmarkStart w:id="3686" w:name="_Toc38440133"/>
      <w:bookmarkStart w:id="3687" w:name="_Toc38440470"/>
      <w:bookmarkStart w:id="3688" w:name="_Toc38441002"/>
      <w:bookmarkStart w:id="3689" w:name="_Toc38441334"/>
      <w:bookmarkStart w:id="3690" w:name="_Toc38441666"/>
      <w:bookmarkStart w:id="3691" w:name="_Toc38441994"/>
      <w:bookmarkStart w:id="3692" w:name="_Toc38442326"/>
      <w:bookmarkStart w:id="3693" w:name="_Toc38442658"/>
      <w:bookmarkStart w:id="3694" w:name="_Toc38442989"/>
      <w:bookmarkStart w:id="3695" w:name="_Toc38443320"/>
      <w:bookmarkStart w:id="3696" w:name="_Toc38443651"/>
      <w:bookmarkStart w:id="3697" w:name="_Toc38443981"/>
      <w:bookmarkStart w:id="3698" w:name="_Toc38438449"/>
      <w:bookmarkStart w:id="3699" w:name="_Toc38438786"/>
      <w:bookmarkStart w:id="3700" w:name="_Toc38439123"/>
      <w:bookmarkStart w:id="3701" w:name="_Toc38439460"/>
      <w:bookmarkStart w:id="3702" w:name="_Toc38439797"/>
      <w:bookmarkStart w:id="3703" w:name="_Toc38440134"/>
      <w:bookmarkStart w:id="3704" w:name="_Toc38440471"/>
      <w:bookmarkStart w:id="3705" w:name="_Toc38441003"/>
      <w:bookmarkStart w:id="3706" w:name="_Toc38441335"/>
      <w:bookmarkStart w:id="3707" w:name="_Toc38441667"/>
      <w:bookmarkStart w:id="3708" w:name="_Toc38441995"/>
      <w:bookmarkStart w:id="3709" w:name="_Toc38442327"/>
      <w:bookmarkStart w:id="3710" w:name="_Toc38442659"/>
      <w:bookmarkStart w:id="3711" w:name="_Toc38442990"/>
      <w:bookmarkStart w:id="3712" w:name="_Toc38443321"/>
      <w:bookmarkStart w:id="3713" w:name="_Toc38443652"/>
      <w:bookmarkStart w:id="3714" w:name="_Toc38443982"/>
      <w:bookmarkStart w:id="3715" w:name="_Toc38438450"/>
      <w:bookmarkStart w:id="3716" w:name="_Toc38438787"/>
      <w:bookmarkStart w:id="3717" w:name="_Toc38439124"/>
      <w:bookmarkStart w:id="3718" w:name="_Toc38439461"/>
      <w:bookmarkStart w:id="3719" w:name="_Toc38439798"/>
      <w:bookmarkStart w:id="3720" w:name="_Toc38440135"/>
      <w:bookmarkStart w:id="3721" w:name="_Toc38440472"/>
      <w:bookmarkStart w:id="3722" w:name="_Toc38441004"/>
      <w:bookmarkStart w:id="3723" w:name="_Toc38441336"/>
      <w:bookmarkStart w:id="3724" w:name="_Toc38441668"/>
      <w:bookmarkStart w:id="3725" w:name="_Toc38441996"/>
      <w:bookmarkStart w:id="3726" w:name="_Toc38442328"/>
      <w:bookmarkStart w:id="3727" w:name="_Toc38442660"/>
      <w:bookmarkStart w:id="3728" w:name="_Toc38442991"/>
      <w:bookmarkStart w:id="3729" w:name="_Toc38443322"/>
      <w:bookmarkStart w:id="3730" w:name="_Toc38443653"/>
      <w:bookmarkStart w:id="3731" w:name="_Toc38443983"/>
      <w:bookmarkStart w:id="3732" w:name="_Toc38438451"/>
      <w:bookmarkStart w:id="3733" w:name="_Toc38438788"/>
      <w:bookmarkStart w:id="3734" w:name="_Toc38439125"/>
      <w:bookmarkStart w:id="3735" w:name="_Toc38439462"/>
      <w:bookmarkStart w:id="3736" w:name="_Toc38439799"/>
      <w:bookmarkStart w:id="3737" w:name="_Toc38440136"/>
      <w:bookmarkStart w:id="3738" w:name="_Toc38440473"/>
      <w:bookmarkStart w:id="3739" w:name="_Toc38441005"/>
      <w:bookmarkStart w:id="3740" w:name="_Toc38441337"/>
      <w:bookmarkStart w:id="3741" w:name="_Toc38441669"/>
      <w:bookmarkStart w:id="3742" w:name="_Toc38441997"/>
      <w:bookmarkStart w:id="3743" w:name="_Toc38442329"/>
      <w:bookmarkStart w:id="3744" w:name="_Toc38442661"/>
      <w:bookmarkStart w:id="3745" w:name="_Toc38442992"/>
      <w:bookmarkStart w:id="3746" w:name="_Toc38443323"/>
      <w:bookmarkStart w:id="3747" w:name="_Toc38443654"/>
      <w:bookmarkStart w:id="3748" w:name="_Toc38443984"/>
      <w:bookmarkStart w:id="3749" w:name="_Toc38438452"/>
      <w:bookmarkStart w:id="3750" w:name="_Toc38438789"/>
      <w:bookmarkStart w:id="3751" w:name="_Toc38439126"/>
      <w:bookmarkStart w:id="3752" w:name="_Toc38439463"/>
      <w:bookmarkStart w:id="3753" w:name="_Toc38439800"/>
      <w:bookmarkStart w:id="3754" w:name="_Toc38440137"/>
      <w:bookmarkStart w:id="3755" w:name="_Toc38440474"/>
      <w:bookmarkStart w:id="3756" w:name="_Toc38441006"/>
      <w:bookmarkStart w:id="3757" w:name="_Toc38441338"/>
      <w:bookmarkStart w:id="3758" w:name="_Toc38441670"/>
      <w:bookmarkStart w:id="3759" w:name="_Toc38441998"/>
      <w:bookmarkStart w:id="3760" w:name="_Toc38442330"/>
      <w:bookmarkStart w:id="3761" w:name="_Toc38442662"/>
      <w:bookmarkStart w:id="3762" w:name="_Toc38442993"/>
      <w:bookmarkStart w:id="3763" w:name="_Toc38443324"/>
      <w:bookmarkStart w:id="3764" w:name="_Toc38443655"/>
      <w:bookmarkStart w:id="3765" w:name="_Toc38443985"/>
      <w:bookmarkStart w:id="3766" w:name="_Toc38438453"/>
      <w:bookmarkStart w:id="3767" w:name="_Toc38438790"/>
      <w:bookmarkStart w:id="3768" w:name="_Toc38439127"/>
      <w:bookmarkStart w:id="3769" w:name="_Toc38439464"/>
      <w:bookmarkStart w:id="3770" w:name="_Toc38439801"/>
      <w:bookmarkStart w:id="3771" w:name="_Toc38440138"/>
      <w:bookmarkStart w:id="3772" w:name="_Toc38440475"/>
      <w:bookmarkStart w:id="3773" w:name="_Toc38441007"/>
      <w:bookmarkStart w:id="3774" w:name="_Toc38441339"/>
      <w:bookmarkStart w:id="3775" w:name="_Toc38441671"/>
      <w:bookmarkStart w:id="3776" w:name="_Toc38441999"/>
      <w:bookmarkStart w:id="3777" w:name="_Toc38442331"/>
      <w:bookmarkStart w:id="3778" w:name="_Toc38442663"/>
      <w:bookmarkStart w:id="3779" w:name="_Toc38442994"/>
      <w:bookmarkStart w:id="3780" w:name="_Toc38443325"/>
      <w:bookmarkStart w:id="3781" w:name="_Toc38443656"/>
      <w:bookmarkStart w:id="3782" w:name="_Toc38443986"/>
      <w:bookmarkStart w:id="3783" w:name="_Toc38438454"/>
      <w:bookmarkStart w:id="3784" w:name="_Toc38438791"/>
      <w:bookmarkStart w:id="3785" w:name="_Toc38439128"/>
      <w:bookmarkStart w:id="3786" w:name="_Toc38439465"/>
      <w:bookmarkStart w:id="3787" w:name="_Toc38439802"/>
      <w:bookmarkStart w:id="3788" w:name="_Toc38440139"/>
      <w:bookmarkStart w:id="3789" w:name="_Toc38440476"/>
      <w:bookmarkStart w:id="3790" w:name="_Toc38441008"/>
      <w:bookmarkStart w:id="3791" w:name="_Toc38441340"/>
      <w:bookmarkStart w:id="3792" w:name="_Toc38441672"/>
      <w:bookmarkStart w:id="3793" w:name="_Toc38442000"/>
      <w:bookmarkStart w:id="3794" w:name="_Toc38442332"/>
      <w:bookmarkStart w:id="3795" w:name="_Toc38442664"/>
      <w:bookmarkStart w:id="3796" w:name="_Toc38442995"/>
      <w:bookmarkStart w:id="3797" w:name="_Toc38443326"/>
      <w:bookmarkStart w:id="3798" w:name="_Toc38443657"/>
      <w:bookmarkStart w:id="3799" w:name="_Toc38443987"/>
      <w:bookmarkStart w:id="3800" w:name="_Toc38438455"/>
      <w:bookmarkStart w:id="3801" w:name="_Toc38438792"/>
      <w:bookmarkStart w:id="3802" w:name="_Toc38439129"/>
      <w:bookmarkStart w:id="3803" w:name="_Toc38439466"/>
      <w:bookmarkStart w:id="3804" w:name="_Toc38439803"/>
      <w:bookmarkStart w:id="3805" w:name="_Toc38440140"/>
      <w:bookmarkStart w:id="3806" w:name="_Toc38440477"/>
      <w:bookmarkStart w:id="3807" w:name="_Toc38441009"/>
      <w:bookmarkStart w:id="3808" w:name="_Toc38441341"/>
      <w:bookmarkStart w:id="3809" w:name="_Toc38441673"/>
      <w:bookmarkStart w:id="3810" w:name="_Toc38442001"/>
      <w:bookmarkStart w:id="3811" w:name="_Toc38442333"/>
      <w:bookmarkStart w:id="3812" w:name="_Toc38442665"/>
      <w:bookmarkStart w:id="3813" w:name="_Toc38442996"/>
      <w:bookmarkStart w:id="3814" w:name="_Toc38443327"/>
      <w:bookmarkStart w:id="3815" w:name="_Toc38443658"/>
      <w:bookmarkStart w:id="3816" w:name="_Toc38443988"/>
      <w:bookmarkStart w:id="3817" w:name="_Toc38438456"/>
      <w:bookmarkStart w:id="3818" w:name="_Toc38438793"/>
      <w:bookmarkStart w:id="3819" w:name="_Toc38439130"/>
      <w:bookmarkStart w:id="3820" w:name="_Toc38439467"/>
      <w:bookmarkStart w:id="3821" w:name="_Toc38439804"/>
      <w:bookmarkStart w:id="3822" w:name="_Toc38440141"/>
      <w:bookmarkStart w:id="3823" w:name="_Toc38440478"/>
      <w:bookmarkStart w:id="3824" w:name="_Toc38441010"/>
      <w:bookmarkStart w:id="3825" w:name="_Toc38441342"/>
      <w:bookmarkStart w:id="3826" w:name="_Toc38441674"/>
      <w:bookmarkStart w:id="3827" w:name="_Toc38442002"/>
      <w:bookmarkStart w:id="3828" w:name="_Toc38442334"/>
      <w:bookmarkStart w:id="3829" w:name="_Toc38442666"/>
      <w:bookmarkStart w:id="3830" w:name="_Toc38442997"/>
      <w:bookmarkStart w:id="3831" w:name="_Toc38443328"/>
      <w:bookmarkStart w:id="3832" w:name="_Toc38443659"/>
      <w:bookmarkStart w:id="3833" w:name="_Toc38443989"/>
      <w:bookmarkStart w:id="3834" w:name="_Toc38438457"/>
      <w:bookmarkStart w:id="3835" w:name="_Toc38438794"/>
      <w:bookmarkStart w:id="3836" w:name="_Toc38439131"/>
      <w:bookmarkStart w:id="3837" w:name="_Toc38439468"/>
      <w:bookmarkStart w:id="3838" w:name="_Toc38439805"/>
      <w:bookmarkStart w:id="3839" w:name="_Toc38440142"/>
      <w:bookmarkStart w:id="3840" w:name="_Toc38440479"/>
      <w:bookmarkStart w:id="3841" w:name="_Toc38441011"/>
      <w:bookmarkStart w:id="3842" w:name="_Toc38441343"/>
      <w:bookmarkStart w:id="3843" w:name="_Toc38441675"/>
      <w:bookmarkStart w:id="3844" w:name="_Toc38442003"/>
      <w:bookmarkStart w:id="3845" w:name="_Toc38442335"/>
      <w:bookmarkStart w:id="3846" w:name="_Toc38442667"/>
      <w:bookmarkStart w:id="3847" w:name="_Toc38442998"/>
      <w:bookmarkStart w:id="3848" w:name="_Toc38443329"/>
      <w:bookmarkStart w:id="3849" w:name="_Toc38443660"/>
      <w:bookmarkStart w:id="3850" w:name="_Toc38443990"/>
      <w:bookmarkStart w:id="3851" w:name="_Toc38438458"/>
      <w:bookmarkStart w:id="3852" w:name="_Toc38438795"/>
      <w:bookmarkStart w:id="3853" w:name="_Toc38439132"/>
      <w:bookmarkStart w:id="3854" w:name="_Toc38439469"/>
      <w:bookmarkStart w:id="3855" w:name="_Toc38439806"/>
      <w:bookmarkStart w:id="3856" w:name="_Toc38440143"/>
      <w:bookmarkStart w:id="3857" w:name="_Toc38440480"/>
      <w:bookmarkStart w:id="3858" w:name="_Toc38441012"/>
      <w:bookmarkStart w:id="3859" w:name="_Toc38441344"/>
      <w:bookmarkStart w:id="3860" w:name="_Toc38441676"/>
      <w:bookmarkStart w:id="3861" w:name="_Toc38442004"/>
      <w:bookmarkStart w:id="3862" w:name="_Toc38442336"/>
      <w:bookmarkStart w:id="3863" w:name="_Toc38442668"/>
      <w:bookmarkStart w:id="3864" w:name="_Toc38442999"/>
      <w:bookmarkStart w:id="3865" w:name="_Toc38443330"/>
      <w:bookmarkStart w:id="3866" w:name="_Toc38443661"/>
      <w:bookmarkStart w:id="3867" w:name="_Toc38443991"/>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r w:rsidRPr="0001503D">
        <w:rPr>
          <w:rFonts w:asciiTheme="minorEastAsia" w:eastAsiaTheme="minorEastAsia" w:hAnsiTheme="minorEastAsia"/>
          <w:b/>
          <w:bCs/>
        </w:rPr>
        <w:br w:type="page"/>
      </w:r>
      <w:bookmarkStart w:id="3868" w:name="_Toc238870181"/>
      <w:bookmarkStart w:id="3869" w:name="_Toc28803643"/>
      <w:r w:rsidRPr="0001503D">
        <w:rPr>
          <w:rFonts w:asciiTheme="minorEastAsia" w:eastAsiaTheme="minorEastAsia" w:hAnsiTheme="minorEastAsia" w:hint="eastAsia"/>
          <w:bCs/>
        </w:rPr>
        <w:lastRenderedPageBreak/>
        <w:t>二十五、招募说明书存放及查阅方式</w:t>
      </w:r>
      <w:bookmarkEnd w:id="3868"/>
      <w:bookmarkEnd w:id="3869"/>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szCs w:val="21"/>
        </w:rPr>
        <w:t>本《招募说明书》存放在基金管理人、基金托管人及基金</w:t>
      </w:r>
      <w:r w:rsidR="008F227C" w:rsidRPr="0001503D">
        <w:rPr>
          <w:rFonts w:asciiTheme="minorEastAsia" w:eastAsiaTheme="minorEastAsia" w:hAnsiTheme="minorEastAsia" w:hint="eastAsia"/>
          <w:szCs w:val="21"/>
        </w:rPr>
        <w:t>销售</w:t>
      </w:r>
      <w:r w:rsidRPr="0001503D">
        <w:rPr>
          <w:rFonts w:asciiTheme="minorEastAsia" w:eastAsiaTheme="minorEastAsia" w:hAnsiTheme="minorEastAsia" w:hint="eastAsia"/>
          <w:szCs w:val="21"/>
        </w:rPr>
        <w:t>机构</w:t>
      </w:r>
      <w:r w:rsidR="00B35DDA">
        <w:rPr>
          <w:rFonts w:asciiTheme="minorEastAsia" w:eastAsiaTheme="minorEastAsia" w:hAnsiTheme="minorEastAsia" w:hint="eastAsia"/>
          <w:szCs w:val="21"/>
        </w:rPr>
        <w:t>处</w:t>
      </w:r>
      <w:r w:rsidRPr="0001503D">
        <w:rPr>
          <w:rFonts w:asciiTheme="minorEastAsia" w:eastAsiaTheme="minorEastAsia" w:hAnsiTheme="minorEastAsia" w:hint="eastAsia"/>
          <w:szCs w:val="21"/>
        </w:rPr>
        <w:t>，投资者可在营业时间免费查阅，也可按工本费购买复印件。</w:t>
      </w:r>
      <w:r w:rsidRPr="0001503D">
        <w:rPr>
          <w:rFonts w:asciiTheme="minorEastAsia" w:eastAsiaTheme="minorEastAsia" w:hAnsiTheme="minorEastAsia"/>
          <w:szCs w:val="21"/>
        </w:rPr>
        <w:t>基金管理人和基金托管人保证</w:t>
      </w:r>
      <w:r w:rsidRPr="0001503D">
        <w:rPr>
          <w:rFonts w:asciiTheme="minorEastAsia" w:eastAsiaTheme="minorEastAsia" w:hAnsiTheme="minorEastAsia" w:hint="eastAsia"/>
          <w:szCs w:val="21"/>
        </w:rPr>
        <w:t>其所提供的</w:t>
      </w:r>
      <w:r w:rsidRPr="0001503D">
        <w:rPr>
          <w:rFonts w:asciiTheme="minorEastAsia" w:eastAsiaTheme="minorEastAsia" w:hAnsiTheme="minorEastAsia"/>
          <w:szCs w:val="21"/>
        </w:rPr>
        <w:t>文本的内容与所公告的内容完全一致。</w:t>
      </w:r>
    </w:p>
    <w:p w:rsidR="002F5370" w:rsidRPr="0001503D" w:rsidRDefault="002F5370" w:rsidP="00467CAF">
      <w:pPr>
        <w:pStyle w:val="1"/>
        <w:snapToGrid w:val="0"/>
        <w:spacing w:beforeLines="0" w:afterLines="0" w:line="360" w:lineRule="auto"/>
        <w:ind w:firstLineChars="0" w:firstLine="0"/>
        <w:rPr>
          <w:rFonts w:asciiTheme="minorEastAsia" w:eastAsiaTheme="minorEastAsia" w:hAnsiTheme="minorEastAsia"/>
          <w:szCs w:val="21"/>
        </w:rPr>
      </w:pPr>
      <w:r w:rsidRPr="0001503D">
        <w:rPr>
          <w:rFonts w:asciiTheme="minorEastAsia" w:eastAsiaTheme="minorEastAsia" w:hAnsiTheme="minorEastAsia"/>
          <w:b/>
        </w:rPr>
        <w:br w:type="page"/>
      </w:r>
      <w:bookmarkStart w:id="3870" w:name="_Toc238870182"/>
      <w:bookmarkStart w:id="3871" w:name="_Toc368041264"/>
      <w:bookmarkStart w:id="3872" w:name="_Toc28803644"/>
      <w:r w:rsidRPr="0001503D">
        <w:rPr>
          <w:rFonts w:asciiTheme="minorEastAsia" w:eastAsiaTheme="minorEastAsia" w:hAnsiTheme="minorEastAsia" w:hint="eastAsia"/>
        </w:rPr>
        <w:lastRenderedPageBreak/>
        <w:t>二十六、备查文件</w:t>
      </w:r>
      <w:bookmarkEnd w:id="3870"/>
      <w:bookmarkEnd w:id="3871"/>
      <w:bookmarkEnd w:id="3872"/>
    </w:p>
    <w:p w:rsidR="002F5370" w:rsidRPr="0001503D"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01503D">
        <w:rPr>
          <w:rFonts w:asciiTheme="minorEastAsia" w:eastAsiaTheme="minorEastAsia" w:hAnsiTheme="minorEastAsia" w:hint="eastAsia"/>
        </w:rPr>
        <w:t>1、</w:t>
      </w:r>
      <w:r w:rsidR="002F5370" w:rsidRPr="0001503D">
        <w:rPr>
          <w:rFonts w:asciiTheme="minorEastAsia" w:eastAsiaTheme="minorEastAsia" w:hAnsiTheme="minorEastAsia" w:hint="eastAsia"/>
        </w:rPr>
        <w:t>中国证监会核准</w:t>
      </w:r>
      <w:r w:rsidR="002F5370" w:rsidRPr="0001503D">
        <w:rPr>
          <w:rFonts w:asciiTheme="minorEastAsia" w:eastAsiaTheme="minorEastAsia" w:hAnsiTheme="minorEastAsia" w:cs="宋体" w:hint="eastAsia"/>
        </w:rPr>
        <w:t>易方达消费行业股票型证券投资基金</w:t>
      </w:r>
      <w:r w:rsidR="002F5370" w:rsidRPr="0001503D">
        <w:rPr>
          <w:rFonts w:asciiTheme="minorEastAsia" w:eastAsiaTheme="minorEastAsia" w:hAnsiTheme="minorEastAsia" w:hint="eastAsia"/>
        </w:rPr>
        <w:t>募集的文件；</w:t>
      </w:r>
    </w:p>
    <w:p w:rsidR="002F5370" w:rsidRPr="0001503D"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01503D">
        <w:rPr>
          <w:rFonts w:asciiTheme="minorEastAsia" w:eastAsiaTheme="minorEastAsia" w:hAnsiTheme="minorEastAsia" w:hint="eastAsia"/>
        </w:rPr>
        <w:t>2、</w:t>
      </w:r>
      <w:r w:rsidR="002F5370" w:rsidRPr="0001503D">
        <w:rPr>
          <w:rFonts w:asciiTheme="minorEastAsia" w:eastAsiaTheme="minorEastAsia" w:hAnsiTheme="minorEastAsia" w:hint="eastAsia"/>
        </w:rPr>
        <w:t>《</w:t>
      </w:r>
      <w:r w:rsidR="002F5370" w:rsidRPr="0001503D">
        <w:rPr>
          <w:rFonts w:asciiTheme="minorEastAsia" w:eastAsiaTheme="minorEastAsia" w:hAnsiTheme="minorEastAsia" w:cs="宋体" w:hint="eastAsia"/>
        </w:rPr>
        <w:t>易方达消费行业股票型证券投资基金</w:t>
      </w:r>
      <w:r w:rsidR="002F5370" w:rsidRPr="0001503D">
        <w:rPr>
          <w:rFonts w:asciiTheme="minorEastAsia" w:eastAsiaTheme="minorEastAsia" w:hAnsiTheme="minorEastAsia" w:hint="eastAsia"/>
        </w:rPr>
        <w:t>基金合同》；</w:t>
      </w:r>
    </w:p>
    <w:p w:rsidR="002F5370" w:rsidRPr="0001503D"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01503D">
        <w:rPr>
          <w:rFonts w:asciiTheme="minorEastAsia" w:eastAsiaTheme="minorEastAsia" w:hAnsiTheme="minorEastAsia" w:hint="eastAsia"/>
        </w:rPr>
        <w:t>3、</w:t>
      </w:r>
      <w:r w:rsidR="002F5370" w:rsidRPr="0001503D">
        <w:rPr>
          <w:rFonts w:asciiTheme="minorEastAsia" w:eastAsiaTheme="minorEastAsia" w:hAnsiTheme="minorEastAsia" w:hint="eastAsia"/>
        </w:rPr>
        <w:t>《易方达基金管理有限公司开放式基金业务规则》；</w:t>
      </w:r>
    </w:p>
    <w:p w:rsidR="002F5370" w:rsidRPr="0001503D" w:rsidRDefault="00A43A9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4、</w:t>
      </w:r>
      <w:r w:rsidR="002F5370" w:rsidRPr="0001503D">
        <w:rPr>
          <w:rFonts w:asciiTheme="minorEastAsia" w:eastAsiaTheme="minorEastAsia" w:hAnsiTheme="minorEastAsia" w:hint="eastAsia"/>
          <w:szCs w:val="21"/>
        </w:rPr>
        <w:t>《</w:t>
      </w:r>
      <w:r w:rsidR="002F5370" w:rsidRPr="0001503D">
        <w:rPr>
          <w:rFonts w:asciiTheme="minorEastAsia" w:eastAsiaTheme="minorEastAsia" w:hAnsiTheme="minorEastAsia" w:cs="宋体" w:hint="eastAsia"/>
          <w:szCs w:val="21"/>
        </w:rPr>
        <w:t>易方达消费行业股票型证券投资基金</w:t>
      </w:r>
      <w:r w:rsidR="002F5370" w:rsidRPr="0001503D">
        <w:rPr>
          <w:rFonts w:asciiTheme="minorEastAsia" w:eastAsiaTheme="minorEastAsia" w:hAnsiTheme="minorEastAsia" w:hint="eastAsia"/>
          <w:szCs w:val="21"/>
        </w:rPr>
        <w:t>托管协议》；</w:t>
      </w:r>
    </w:p>
    <w:p w:rsidR="002F5370" w:rsidRPr="0001503D" w:rsidRDefault="00A43A9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rPr>
        <w:t>5、</w:t>
      </w:r>
      <w:r w:rsidR="002F5370" w:rsidRPr="0001503D">
        <w:rPr>
          <w:rFonts w:asciiTheme="minorEastAsia" w:eastAsiaTheme="minorEastAsia" w:hAnsiTheme="minorEastAsia" w:hint="eastAsia"/>
        </w:rPr>
        <w:t>法律意见书；</w:t>
      </w:r>
    </w:p>
    <w:p w:rsidR="002F5370" w:rsidRPr="0001503D" w:rsidRDefault="00A43A9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6、</w:t>
      </w:r>
      <w:r w:rsidR="002F5370" w:rsidRPr="0001503D">
        <w:rPr>
          <w:rFonts w:asciiTheme="minorEastAsia" w:eastAsiaTheme="minorEastAsia" w:hAnsiTheme="minorEastAsia" w:hint="eastAsia"/>
          <w:szCs w:val="21"/>
        </w:rPr>
        <w:t>基金管理人业务资格批件和营业执照；</w:t>
      </w:r>
    </w:p>
    <w:p w:rsidR="002F5370" w:rsidRPr="0001503D" w:rsidRDefault="00A43A99" w:rsidP="000B57E8">
      <w:pPr>
        <w:snapToGrid w:val="0"/>
        <w:spacing w:line="360" w:lineRule="auto"/>
        <w:ind w:firstLine="420"/>
        <w:rPr>
          <w:rFonts w:asciiTheme="minorEastAsia" w:eastAsiaTheme="minorEastAsia" w:hAnsiTheme="minorEastAsia"/>
          <w:szCs w:val="21"/>
        </w:rPr>
      </w:pPr>
      <w:r w:rsidRPr="0001503D">
        <w:rPr>
          <w:rFonts w:asciiTheme="minorEastAsia" w:eastAsiaTheme="minorEastAsia" w:hAnsiTheme="minorEastAsia" w:hint="eastAsia"/>
          <w:szCs w:val="21"/>
        </w:rPr>
        <w:t>7、</w:t>
      </w:r>
      <w:r w:rsidR="002F5370" w:rsidRPr="0001503D">
        <w:rPr>
          <w:rFonts w:asciiTheme="minorEastAsia" w:eastAsiaTheme="minorEastAsia" w:hAnsiTheme="minorEastAsia" w:hint="eastAsia"/>
          <w:szCs w:val="21"/>
        </w:rPr>
        <w:t>基金托管人业务资格批件和营业执照。</w:t>
      </w:r>
    </w:p>
    <w:p w:rsidR="002F5370" w:rsidRPr="0001503D" w:rsidRDefault="002F5370" w:rsidP="000B57E8">
      <w:pPr>
        <w:snapToGrid w:val="0"/>
        <w:spacing w:line="360" w:lineRule="auto"/>
        <w:ind w:firstLineChars="200" w:firstLine="420"/>
        <w:rPr>
          <w:rFonts w:asciiTheme="minorEastAsia" w:eastAsiaTheme="minorEastAsia" w:hAnsiTheme="minorEastAsia"/>
        </w:rPr>
      </w:pPr>
      <w:r w:rsidRPr="0001503D">
        <w:rPr>
          <w:rFonts w:asciiTheme="minorEastAsia" w:eastAsiaTheme="minorEastAsia" w:hAnsiTheme="minorEastAsia" w:hint="eastAsia"/>
        </w:rPr>
        <w:t>存放地点：基金管理人、基金托管人处</w:t>
      </w:r>
    </w:p>
    <w:p w:rsidR="002F5370" w:rsidRPr="0001503D" w:rsidRDefault="002F5370" w:rsidP="000B57E8">
      <w:pPr>
        <w:snapToGrid w:val="0"/>
        <w:spacing w:line="360" w:lineRule="auto"/>
        <w:ind w:firstLineChars="200" w:firstLine="420"/>
        <w:rPr>
          <w:rFonts w:asciiTheme="minorEastAsia" w:eastAsiaTheme="minorEastAsia" w:hAnsiTheme="minorEastAsia"/>
          <w:szCs w:val="21"/>
        </w:rPr>
      </w:pPr>
      <w:r w:rsidRPr="0001503D">
        <w:rPr>
          <w:rFonts w:asciiTheme="minorEastAsia" w:eastAsiaTheme="minorEastAsia" w:hAnsiTheme="minorEastAsia" w:hint="eastAsia"/>
        </w:rPr>
        <w:t>查阅方式：投资者可在营业时间免费查阅，也可按工本费购买复印件。</w:t>
      </w:r>
    </w:p>
    <w:p w:rsidR="002F5370" w:rsidRPr="0001503D" w:rsidRDefault="002F5370" w:rsidP="000B57E8">
      <w:pPr>
        <w:snapToGrid w:val="0"/>
        <w:spacing w:line="360" w:lineRule="auto"/>
        <w:ind w:left="480"/>
        <w:rPr>
          <w:rFonts w:asciiTheme="minorEastAsia" w:eastAsiaTheme="minorEastAsia" w:hAnsiTheme="minorEastAsia"/>
          <w:szCs w:val="21"/>
        </w:rPr>
      </w:pPr>
    </w:p>
    <w:p w:rsidR="002F5370" w:rsidRPr="0001503D" w:rsidRDefault="002F5370" w:rsidP="000B57E8">
      <w:pPr>
        <w:snapToGrid w:val="0"/>
        <w:spacing w:line="360" w:lineRule="auto"/>
        <w:ind w:firstLineChars="2500" w:firstLine="5250"/>
        <w:jc w:val="right"/>
        <w:rPr>
          <w:rFonts w:asciiTheme="minorEastAsia" w:eastAsiaTheme="minorEastAsia" w:hAnsiTheme="minorEastAsia"/>
          <w:szCs w:val="21"/>
        </w:rPr>
      </w:pPr>
    </w:p>
    <w:p w:rsidR="00F3200A" w:rsidRPr="0001503D" w:rsidRDefault="00F3200A" w:rsidP="000B57E8">
      <w:pPr>
        <w:snapToGrid w:val="0"/>
        <w:spacing w:line="360" w:lineRule="auto"/>
        <w:ind w:firstLine="480"/>
        <w:jc w:val="right"/>
        <w:rPr>
          <w:rFonts w:asciiTheme="minorEastAsia" w:eastAsiaTheme="minorEastAsia" w:hAnsiTheme="minorEastAsia"/>
          <w:szCs w:val="21"/>
        </w:rPr>
      </w:pPr>
      <w:r w:rsidRPr="0001503D">
        <w:rPr>
          <w:rFonts w:asciiTheme="minorEastAsia" w:eastAsiaTheme="minorEastAsia" w:hAnsiTheme="minorEastAsia" w:hint="eastAsia"/>
          <w:szCs w:val="21"/>
        </w:rPr>
        <w:t>易方达基金管理有限公司</w:t>
      </w:r>
    </w:p>
    <w:p w:rsidR="002F5370" w:rsidRPr="0001503D" w:rsidRDefault="008E79F6" w:rsidP="00A43A99">
      <w:pPr>
        <w:wordWrap w:val="0"/>
        <w:snapToGrid w:val="0"/>
        <w:spacing w:line="360" w:lineRule="auto"/>
        <w:ind w:left="360" w:right="315" w:firstLine="480"/>
        <w:jc w:val="right"/>
        <w:rPr>
          <w:rFonts w:asciiTheme="minorEastAsia" w:eastAsiaTheme="minorEastAsia" w:hAnsiTheme="minorEastAsia"/>
        </w:rPr>
      </w:pPr>
      <w:r w:rsidRPr="0001503D">
        <w:rPr>
          <w:rFonts w:asciiTheme="minorEastAsia" w:eastAsiaTheme="minorEastAsia" w:hAnsiTheme="minorEastAsia"/>
        </w:rPr>
        <w:t>2020年7月</w:t>
      </w:r>
      <w:r w:rsidR="0001503D" w:rsidRPr="0001503D">
        <w:rPr>
          <w:rFonts w:asciiTheme="minorEastAsia" w:eastAsiaTheme="minorEastAsia" w:hAnsiTheme="minorEastAsia"/>
        </w:rPr>
        <w:t>30</w:t>
      </w:r>
      <w:r w:rsidRPr="0001503D">
        <w:rPr>
          <w:rFonts w:asciiTheme="minorEastAsia" w:eastAsiaTheme="minorEastAsia" w:hAnsiTheme="minorEastAsia"/>
        </w:rPr>
        <w:t>日</w:t>
      </w:r>
    </w:p>
    <w:sectPr w:rsidR="002F5370" w:rsidRPr="0001503D" w:rsidSect="002F5370">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0D" w:rsidRDefault="0076650D">
      <w:r>
        <w:separator/>
      </w:r>
    </w:p>
  </w:endnote>
  <w:endnote w:type="continuationSeparator" w:id="0">
    <w:p w:rsidR="0076650D" w:rsidRDefault="007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ËÎÌå">
    <w:altName w:val="Arial"/>
    <w:charset w:val="00"/>
    <w:family w:val="swiss"/>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2F5370">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2F5370">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DD13B2">
      <w:rPr>
        <w:rStyle w:val="a4"/>
        <w:noProof/>
      </w:rPr>
      <w:t>173</w:t>
    </w:r>
    <w:r>
      <w:rPr>
        <w:rStyle w:val="a4"/>
      </w:rPr>
      <w:fldChar w:fldCharType="end"/>
    </w:r>
  </w:p>
  <w:p w:rsidR="00411C50" w:rsidRPr="00F54C5A" w:rsidRDefault="00411C50" w:rsidP="00F54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0D" w:rsidRDefault="0076650D">
      <w:r>
        <w:separator/>
      </w:r>
    </w:p>
  </w:footnote>
  <w:footnote w:type="continuationSeparator" w:id="0">
    <w:p w:rsidR="0076650D" w:rsidRDefault="0076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DF792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Pr="00F210FC" w:rsidRDefault="00411C50" w:rsidP="002F5370">
    <w:pPr>
      <w:pStyle w:val="a3"/>
      <w:pBdr>
        <w:bottom w:val="single" w:sz="6" w:space="0" w:color="auto"/>
      </w:pBdr>
      <w:tabs>
        <w:tab w:val="right" w:pos="8280"/>
      </w:tabs>
      <w:wordWrap w:val="0"/>
      <w:adjustRightInd w:val="0"/>
      <w:ind w:firstLineChars="0" w:firstLine="0"/>
      <w:jc w:val="both"/>
    </w:pPr>
    <w:r>
      <w:rPr>
        <w:noProof/>
        <w:color w:val="000000"/>
        <w:szCs w:val="21"/>
      </w:rPr>
      <w:drawing>
        <wp:inline distT="0" distB="0" distL="0" distR="0" wp14:anchorId="3140ED2F" wp14:editId="22D800EA">
          <wp:extent cx="1454150" cy="1727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4150" cy="172720"/>
                  </a:xfrm>
                  <a:prstGeom prst="rect">
                    <a:avLst/>
                  </a:prstGeom>
                  <a:noFill/>
                  <a:ln w="12700" algn="ctr">
                    <a:noFill/>
                    <a:miter lim="800000"/>
                    <a:headEnd/>
                    <a:tailEnd/>
                  </a:ln>
                  <a:effectLst/>
                </pic:spPr>
              </pic:pic>
            </a:graphicData>
          </a:graphic>
        </wp:inline>
      </w:drawing>
    </w:r>
    <w:r>
      <w:rPr>
        <w:rFonts w:hint="eastAsia"/>
        <w:iCs/>
      </w:rPr>
      <w:t xml:space="preserve">            </w:t>
    </w:r>
    <w:r w:rsidRPr="009D7548">
      <w:rPr>
        <w:rFonts w:ascii="宋体" w:eastAsia="宋体" w:hAnsi="宋体" w:hint="eastAsia"/>
        <w:iCs/>
        <w:szCs w:val="18"/>
      </w:rPr>
      <w:t>易方达消费行业股票型证券投资基金</w:t>
    </w:r>
    <w:r>
      <w:rPr>
        <w:rFonts w:ascii="宋体" w:eastAsia="宋体" w:hAnsi="宋体" w:hint="eastAsia"/>
        <w:iCs/>
        <w:szCs w:val="18"/>
      </w:rPr>
      <w:t>更新的</w:t>
    </w:r>
    <w:r w:rsidRPr="009D7548">
      <w:rPr>
        <w:rFonts w:ascii="宋体" w:eastAsia="宋体" w:hAnsi="宋体" w:hint="eastAsia"/>
        <w:iCs/>
        <w:szCs w:val="18"/>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3"/>
      <w:numFmt w:val="decimal"/>
      <w:suff w:val="nothing"/>
      <w:lvlText w:val="%1、"/>
      <w:lvlJc w:val="left"/>
      <w:pPr>
        <w:ind w:left="0" w:firstLine="62"/>
      </w:pPr>
    </w:lvl>
  </w:abstractNum>
  <w:abstractNum w:abstractNumId="1" w15:restartNumberingAfterBreak="0">
    <w:nsid w:val="05EE2A7E"/>
    <w:multiLevelType w:val="hybridMultilevel"/>
    <w:tmpl w:val="006EBB38"/>
    <w:lvl w:ilvl="0" w:tplc="E17047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4"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967945"/>
    <w:multiLevelType w:val="multilevel"/>
    <w:tmpl w:val="52B41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55715A"/>
    <w:multiLevelType w:val="hybridMultilevel"/>
    <w:tmpl w:val="1EAAE3DC"/>
    <w:lvl w:ilvl="0" w:tplc="C1B84532">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8"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9" w15:restartNumberingAfterBreak="0">
    <w:nsid w:val="7CD70F8B"/>
    <w:multiLevelType w:val="hybridMultilevel"/>
    <w:tmpl w:val="FEFA85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7"/>
  </w:num>
  <w:num w:numId="4">
    <w:abstractNumId w:val="4"/>
  </w:num>
  <w:num w:numId="5">
    <w:abstractNumId w:val="8"/>
  </w:num>
  <w:num w:numId="6">
    <w:abstractNumId w:val="6"/>
  </w:num>
  <w:num w:numId="7">
    <w:abstractNumId w:val="0"/>
    <w:lvlOverride w:ilvl="0">
      <w:startOverride w:val="3"/>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9"/>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370"/>
    <w:rsid w:val="00000799"/>
    <w:rsid w:val="00003225"/>
    <w:rsid w:val="00006402"/>
    <w:rsid w:val="0001370D"/>
    <w:rsid w:val="0001503D"/>
    <w:rsid w:val="00026415"/>
    <w:rsid w:val="00043D90"/>
    <w:rsid w:val="000510F8"/>
    <w:rsid w:val="00054952"/>
    <w:rsid w:val="00054B0D"/>
    <w:rsid w:val="00060785"/>
    <w:rsid w:val="00061F0E"/>
    <w:rsid w:val="00064E06"/>
    <w:rsid w:val="00066B61"/>
    <w:rsid w:val="00070F69"/>
    <w:rsid w:val="00075CEC"/>
    <w:rsid w:val="00075EA4"/>
    <w:rsid w:val="000760EE"/>
    <w:rsid w:val="00085FF3"/>
    <w:rsid w:val="00086813"/>
    <w:rsid w:val="00091E02"/>
    <w:rsid w:val="00095C1C"/>
    <w:rsid w:val="000966BF"/>
    <w:rsid w:val="000967E5"/>
    <w:rsid w:val="000A5308"/>
    <w:rsid w:val="000B57E8"/>
    <w:rsid w:val="000B5BD6"/>
    <w:rsid w:val="000C03BE"/>
    <w:rsid w:val="000C0A15"/>
    <w:rsid w:val="000C4372"/>
    <w:rsid w:val="000C476A"/>
    <w:rsid w:val="000C6E8C"/>
    <w:rsid w:val="000D0687"/>
    <w:rsid w:val="000D4F76"/>
    <w:rsid w:val="000D6110"/>
    <w:rsid w:val="000D775E"/>
    <w:rsid w:val="000E1E75"/>
    <w:rsid w:val="000E32D3"/>
    <w:rsid w:val="000E46AF"/>
    <w:rsid w:val="000E55CF"/>
    <w:rsid w:val="000E6DA5"/>
    <w:rsid w:val="000F08E1"/>
    <w:rsid w:val="000F1811"/>
    <w:rsid w:val="000F2E9E"/>
    <w:rsid w:val="000F326B"/>
    <w:rsid w:val="000F70A6"/>
    <w:rsid w:val="00104566"/>
    <w:rsid w:val="00106C29"/>
    <w:rsid w:val="001119AD"/>
    <w:rsid w:val="00113B07"/>
    <w:rsid w:val="00114994"/>
    <w:rsid w:val="001155B6"/>
    <w:rsid w:val="001179DB"/>
    <w:rsid w:val="001217EE"/>
    <w:rsid w:val="001230FD"/>
    <w:rsid w:val="001302B1"/>
    <w:rsid w:val="00130437"/>
    <w:rsid w:val="001335A3"/>
    <w:rsid w:val="00134016"/>
    <w:rsid w:val="00134FB8"/>
    <w:rsid w:val="00135167"/>
    <w:rsid w:val="00137AE8"/>
    <w:rsid w:val="0014653F"/>
    <w:rsid w:val="00146F93"/>
    <w:rsid w:val="00151932"/>
    <w:rsid w:val="0015272E"/>
    <w:rsid w:val="00155196"/>
    <w:rsid w:val="00161A1B"/>
    <w:rsid w:val="00162607"/>
    <w:rsid w:val="0016363A"/>
    <w:rsid w:val="00170165"/>
    <w:rsid w:val="00176593"/>
    <w:rsid w:val="001769DD"/>
    <w:rsid w:val="00181977"/>
    <w:rsid w:val="00185746"/>
    <w:rsid w:val="0018576A"/>
    <w:rsid w:val="001959C5"/>
    <w:rsid w:val="00197036"/>
    <w:rsid w:val="001A1911"/>
    <w:rsid w:val="001B0D07"/>
    <w:rsid w:val="001B1645"/>
    <w:rsid w:val="001B39CC"/>
    <w:rsid w:val="001B5114"/>
    <w:rsid w:val="001B569B"/>
    <w:rsid w:val="001B6884"/>
    <w:rsid w:val="001B7E27"/>
    <w:rsid w:val="001C3076"/>
    <w:rsid w:val="001D111C"/>
    <w:rsid w:val="001D216B"/>
    <w:rsid w:val="001E0800"/>
    <w:rsid w:val="001E1844"/>
    <w:rsid w:val="001E46FE"/>
    <w:rsid w:val="001E655F"/>
    <w:rsid w:val="001F0E70"/>
    <w:rsid w:val="001F13C0"/>
    <w:rsid w:val="001F6904"/>
    <w:rsid w:val="001F7B24"/>
    <w:rsid w:val="00203EA8"/>
    <w:rsid w:val="00206ACE"/>
    <w:rsid w:val="00207214"/>
    <w:rsid w:val="0021119F"/>
    <w:rsid w:val="00211E65"/>
    <w:rsid w:val="00212E0F"/>
    <w:rsid w:val="00213EB0"/>
    <w:rsid w:val="00220035"/>
    <w:rsid w:val="002207FA"/>
    <w:rsid w:val="0022192F"/>
    <w:rsid w:val="00225626"/>
    <w:rsid w:val="002260A2"/>
    <w:rsid w:val="00233D6F"/>
    <w:rsid w:val="00235979"/>
    <w:rsid w:val="002367F2"/>
    <w:rsid w:val="002403E8"/>
    <w:rsid w:val="002410C4"/>
    <w:rsid w:val="002411E2"/>
    <w:rsid w:val="002432E3"/>
    <w:rsid w:val="0025217D"/>
    <w:rsid w:val="002543EF"/>
    <w:rsid w:val="00254A15"/>
    <w:rsid w:val="0025558F"/>
    <w:rsid w:val="00257B8A"/>
    <w:rsid w:val="00263994"/>
    <w:rsid w:val="00266AC3"/>
    <w:rsid w:val="002752A3"/>
    <w:rsid w:val="00281F56"/>
    <w:rsid w:val="00283072"/>
    <w:rsid w:val="0028463E"/>
    <w:rsid w:val="00285CE7"/>
    <w:rsid w:val="002861E6"/>
    <w:rsid w:val="00291A7F"/>
    <w:rsid w:val="0029287B"/>
    <w:rsid w:val="002A21D2"/>
    <w:rsid w:val="002A53D6"/>
    <w:rsid w:val="002A5B29"/>
    <w:rsid w:val="002A6677"/>
    <w:rsid w:val="002B67BF"/>
    <w:rsid w:val="002B6A28"/>
    <w:rsid w:val="002C026B"/>
    <w:rsid w:val="002C09ED"/>
    <w:rsid w:val="002C2E44"/>
    <w:rsid w:val="002C5D46"/>
    <w:rsid w:val="002C68FE"/>
    <w:rsid w:val="002D0440"/>
    <w:rsid w:val="002D420F"/>
    <w:rsid w:val="002D6A11"/>
    <w:rsid w:val="002D7BC2"/>
    <w:rsid w:val="002E0550"/>
    <w:rsid w:val="002E3A3D"/>
    <w:rsid w:val="002E4287"/>
    <w:rsid w:val="002E46A5"/>
    <w:rsid w:val="002E7AF3"/>
    <w:rsid w:val="002F1195"/>
    <w:rsid w:val="002F4257"/>
    <w:rsid w:val="002F5370"/>
    <w:rsid w:val="002F53DA"/>
    <w:rsid w:val="0030281F"/>
    <w:rsid w:val="0030725A"/>
    <w:rsid w:val="00315C6E"/>
    <w:rsid w:val="003175EF"/>
    <w:rsid w:val="00320A7F"/>
    <w:rsid w:val="00321F92"/>
    <w:rsid w:val="00322FA7"/>
    <w:rsid w:val="003259C4"/>
    <w:rsid w:val="00331E97"/>
    <w:rsid w:val="0034025A"/>
    <w:rsid w:val="0034167B"/>
    <w:rsid w:val="0034409A"/>
    <w:rsid w:val="00344AA2"/>
    <w:rsid w:val="00353AFA"/>
    <w:rsid w:val="00364766"/>
    <w:rsid w:val="00367CD8"/>
    <w:rsid w:val="00372083"/>
    <w:rsid w:val="00373385"/>
    <w:rsid w:val="003845F2"/>
    <w:rsid w:val="0038571B"/>
    <w:rsid w:val="00385AB0"/>
    <w:rsid w:val="0039178A"/>
    <w:rsid w:val="00391E3C"/>
    <w:rsid w:val="00392AC1"/>
    <w:rsid w:val="00392DA1"/>
    <w:rsid w:val="00396346"/>
    <w:rsid w:val="00397593"/>
    <w:rsid w:val="003A424B"/>
    <w:rsid w:val="003A623E"/>
    <w:rsid w:val="003B3FFA"/>
    <w:rsid w:val="003B70D4"/>
    <w:rsid w:val="003C0476"/>
    <w:rsid w:val="003C3602"/>
    <w:rsid w:val="003C36A4"/>
    <w:rsid w:val="003D252F"/>
    <w:rsid w:val="003D2FF3"/>
    <w:rsid w:val="003D3F58"/>
    <w:rsid w:val="003D6334"/>
    <w:rsid w:val="003F1A37"/>
    <w:rsid w:val="00402503"/>
    <w:rsid w:val="004056B7"/>
    <w:rsid w:val="00410D9E"/>
    <w:rsid w:val="0041111D"/>
    <w:rsid w:val="00411C50"/>
    <w:rsid w:val="00416919"/>
    <w:rsid w:val="00421A46"/>
    <w:rsid w:val="0042208E"/>
    <w:rsid w:val="00431682"/>
    <w:rsid w:val="00434EBB"/>
    <w:rsid w:val="00435ECB"/>
    <w:rsid w:val="00441447"/>
    <w:rsid w:val="0044167E"/>
    <w:rsid w:val="00442E41"/>
    <w:rsid w:val="00464D59"/>
    <w:rsid w:val="00467CAF"/>
    <w:rsid w:val="00467CB3"/>
    <w:rsid w:val="00474521"/>
    <w:rsid w:val="00476554"/>
    <w:rsid w:val="004812A2"/>
    <w:rsid w:val="0048379F"/>
    <w:rsid w:val="00491083"/>
    <w:rsid w:val="004918FA"/>
    <w:rsid w:val="004923AC"/>
    <w:rsid w:val="0049256E"/>
    <w:rsid w:val="004951C0"/>
    <w:rsid w:val="00495643"/>
    <w:rsid w:val="00495E73"/>
    <w:rsid w:val="00497896"/>
    <w:rsid w:val="004A03F7"/>
    <w:rsid w:val="004A306B"/>
    <w:rsid w:val="004A478A"/>
    <w:rsid w:val="004A6832"/>
    <w:rsid w:val="004B4E13"/>
    <w:rsid w:val="004C6FBD"/>
    <w:rsid w:val="004C728C"/>
    <w:rsid w:val="004D05DA"/>
    <w:rsid w:val="004D4584"/>
    <w:rsid w:val="004E162E"/>
    <w:rsid w:val="004E1ACA"/>
    <w:rsid w:val="004E27B3"/>
    <w:rsid w:val="004E5E40"/>
    <w:rsid w:val="004E68A8"/>
    <w:rsid w:val="004F18D2"/>
    <w:rsid w:val="004F3EA0"/>
    <w:rsid w:val="00504C83"/>
    <w:rsid w:val="005065B6"/>
    <w:rsid w:val="00506BBD"/>
    <w:rsid w:val="00513CBD"/>
    <w:rsid w:val="005170ED"/>
    <w:rsid w:val="00523AA5"/>
    <w:rsid w:val="00526318"/>
    <w:rsid w:val="00526BE8"/>
    <w:rsid w:val="00526C28"/>
    <w:rsid w:val="005278E7"/>
    <w:rsid w:val="00531B66"/>
    <w:rsid w:val="00541075"/>
    <w:rsid w:val="00542FD3"/>
    <w:rsid w:val="00543421"/>
    <w:rsid w:val="00545F42"/>
    <w:rsid w:val="0054711B"/>
    <w:rsid w:val="00550B8B"/>
    <w:rsid w:val="00560E94"/>
    <w:rsid w:val="00564682"/>
    <w:rsid w:val="00565A6D"/>
    <w:rsid w:val="00566D02"/>
    <w:rsid w:val="005710E7"/>
    <w:rsid w:val="00572B01"/>
    <w:rsid w:val="00573954"/>
    <w:rsid w:val="00573B72"/>
    <w:rsid w:val="005748CC"/>
    <w:rsid w:val="005776AD"/>
    <w:rsid w:val="005917A1"/>
    <w:rsid w:val="0059305E"/>
    <w:rsid w:val="00593413"/>
    <w:rsid w:val="00597EB8"/>
    <w:rsid w:val="005A6819"/>
    <w:rsid w:val="005B0DF3"/>
    <w:rsid w:val="005B79A2"/>
    <w:rsid w:val="005C778E"/>
    <w:rsid w:val="005D5481"/>
    <w:rsid w:val="005E0A84"/>
    <w:rsid w:val="005E2513"/>
    <w:rsid w:val="005E2B42"/>
    <w:rsid w:val="005F4C4E"/>
    <w:rsid w:val="005F5511"/>
    <w:rsid w:val="006022E6"/>
    <w:rsid w:val="006053F4"/>
    <w:rsid w:val="006065EA"/>
    <w:rsid w:val="006138EA"/>
    <w:rsid w:val="00613AE6"/>
    <w:rsid w:val="00616F68"/>
    <w:rsid w:val="006307D4"/>
    <w:rsid w:val="006313BE"/>
    <w:rsid w:val="00632651"/>
    <w:rsid w:val="0063313B"/>
    <w:rsid w:val="00633BB7"/>
    <w:rsid w:val="0063578C"/>
    <w:rsid w:val="00641186"/>
    <w:rsid w:val="006418C0"/>
    <w:rsid w:val="006464BF"/>
    <w:rsid w:val="006545AD"/>
    <w:rsid w:val="006567F7"/>
    <w:rsid w:val="00656984"/>
    <w:rsid w:val="006600D9"/>
    <w:rsid w:val="006621B5"/>
    <w:rsid w:val="00664D3F"/>
    <w:rsid w:val="00665033"/>
    <w:rsid w:val="0067730C"/>
    <w:rsid w:val="00677907"/>
    <w:rsid w:val="00677E81"/>
    <w:rsid w:val="00681AD1"/>
    <w:rsid w:val="00685372"/>
    <w:rsid w:val="00685E4C"/>
    <w:rsid w:val="00695DA6"/>
    <w:rsid w:val="00695E65"/>
    <w:rsid w:val="006A246C"/>
    <w:rsid w:val="006A5808"/>
    <w:rsid w:val="006A596D"/>
    <w:rsid w:val="006B0555"/>
    <w:rsid w:val="006B3A6E"/>
    <w:rsid w:val="006B3C18"/>
    <w:rsid w:val="006B5AD0"/>
    <w:rsid w:val="006C4834"/>
    <w:rsid w:val="006D3FF5"/>
    <w:rsid w:val="006D6B20"/>
    <w:rsid w:val="006D7BBD"/>
    <w:rsid w:val="006E0879"/>
    <w:rsid w:val="006E58A1"/>
    <w:rsid w:val="006E7F68"/>
    <w:rsid w:val="006F39C7"/>
    <w:rsid w:val="006F71F4"/>
    <w:rsid w:val="00701BC8"/>
    <w:rsid w:val="00702E31"/>
    <w:rsid w:val="00702FC6"/>
    <w:rsid w:val="007121CA"/>
    <w:rsid w:val="00714BDB"/>
    <w:rsid w:val="00714ED8"/>
    <w:rsid w:val="007150AD"/>
    <w:rsid w:val="00717C46"/>
    <w:rsid w:val="007205AA"/>
    <w:rsid w:val="0072139C"/>
    <w:rsid w:val="00722D97"/>
    <w:rsid w:val="00726998"/>
    <w:rsid w:val="00727A83"/>
    <w:rsid w:val="0073129E"/>
    <w:rsid w:val="007404AD"/>
    <w:rsid w:val="00744A94"/>
    <w:rsid w:val="007455D0"/>
    <w:rsid w:val="007474ED"/>
    <w:rsid w:val="00750D4F"/>
    <w:rsid w:val="00751DE4"/>
    <w:rsid w:val="00753FF5"/>
    <w:rsid w:val="007565A1"/>
    <w:rsid w:val="007569FE"/>
    <w:rsid w:val="00762712"/>
    <w:rsid w:val="0076650D"/>
    <w:rsid w:val="0076788F"/>
    <w:rsid w:val="00767FCB"/>
    <w:rsid w:val="00773B2A"/>
    <w:rsid w:val="00773B2F"/>
    <w:rsid w:val="00775DC0"/>
    <w:rsid w:val="00776AA0"/>
    <w:rsid w:val="007800FC"/>
    <w:rsid w:val="00781948"/>
    <w:rsid w:val="00782184"/>
    <w:rsid w:val="007857C7"/>
    <w:rsid w:val="00785C5B"/>
    <w:rsid w:val="00787736"/>
    <w:rsid w:val="007907AB"/>
    <w:rsid w:val="00792302"/>
    <w:rsid w:val="007939B6"/>
    <w:rsid w:val="0079476E"/>
    <w:rsid w:val="007970DC"/>
    <w:rsid w:val="007A09A2"/>
    <w:rsid w:val="007B6CE6"/>
    <w:rsid w:val="007B74CD"/>
    <w:rsid w:val="007C29A8"/>
    <w:rsid w:val="007C6B2C"/>
    <w:rsid w:val="007C7C51"/>
    <w:rsid w:val="007D228A"/>
    <w:rsid w:val="007D2DC1"/>
    <w:rsid w:val="007D5D33"/>
    <w:rsid w:val="007E063D"/>
    <w:rsid w:val="007E1569"/>
    <w:rsid w:val="007E237A"/>
    <w:rsid w:val="007F3657"/>
    <w:rsid w:val="007F3EE7"/>
    <w:rsid w:val="007F654F"/>
    <w:rsid w:val="007F6AC1"/>
    <w:rsid w:val="007F74B9"/>
    <w:rsid w:val="008032ED"/>
    <w:rsid w:val="008053AF"/>
    <w:rsid w:val="008078EC"/>
    <w:rsid w:val="00813471"/>
    <w:rsid w:val="00820662"/>
    <w:rsid w:val="0082201E"/>
    <w:rsid w:val="00822413"/>
    <w:rsid w:val="00831DE4"/>
    <w:rsid w:val="00833827"/>
    <w:rsid w:val="0084019B"/>
    <w:rsid w:val="00843CA5"/>
    <w:rsid w:val="008440A4"/>
    <w:rsid w:val="008535BA"/>
    <w:rsid w:val="008540E3"/>
    <w:rsid w:val="008541EF"/>
    <w:rsid w:val="00863536"/>
    <w:rsid w:val="008661DF"/>
    <w:rsid w:val="00870F2D"/>
    <w:rsid w:val="008716AB"/>
    <w:rsid w:val="008720EC"/>
    <w:rsid w:val="008725DC"/>
    <w:rsid w:val="00873E19"/>
    <w:rsid w:val="00880417"/>
    <w:rsid w:val="00880FAB"/>
    <w:rsid w:val="008847B9"/>
    <w:rsid w:val="00895B8E"/>
    <w:rsid w:val="008A025C"/>
    <w:rsid w:val="008A0895"/>
    <w:rsid w:val="008A1BE0"/>
    <w:rsid w:val="008A27B6"/>
    <w:rsid w:val="008A497E"/>
    <w:rsid w:val="008A4B18"/>
    <w:rsid w:val="008B0D27"/>
    <w:rsid w:val="008C462A"/>
    <w:rsid w:val="008C4FF5"/>
    <w:rsid w:val="008C7228"/>
    <w:rsid w:val="008D3A67"/>
    <w:rsid w:val="008D5A95"/>
    <w:rsid w:val="008E36AA"/>
    <w:rsid w:val="008E7039"/>
    <w:rsid w:val="008E79F6"/>
    <w:rsid w:val="008F1582"/>
    <w:rsid w:val="008F227C"/>
    <w:rsid w:val="008F264C"/>
    <w:rsid w:val="008F2B20"/>
    <w:rsid w:val="008F3391"/>
    <w:rsid w:val="008F4719"/>
    <w:rsid w:val="00905706"/>
    <w:rsid w:val="0090714F"/>
    <w:rsid w:val="00907E0E"/>
    <w:rsid w:val="00912B30"/>
    <w:rsid w:val="00913546"/>
    <w:rsid w:val="0091410A"/>
    <w:rsid w:val="00920A24"/>
    <w:rsid w:val="0092216E"/>
    <w:rsid w:val="009221A1"/>
    <w:rsid w:val="00925D38"/>
    <w:rsid w:val="0093190D"/>
    <w:rsid w:val="0093722A"/>
    <w:rsid w:val="00937547"/>
    <w:rsid w:val="00943D7C"/>
    <w:rsid w:val="00947C5C"/>
    <w:rsid w:val="0095169B"/>
    <w:rsid w:val="00953E86"/>
    <w:rsid w:val="009540ED"/>
    <w:rsid w:val="009570F0"/>
    <w:rsid w:val="00960383"/>
    <w:rsid w:val="009755DE"/>
    <w:rsid w:val="00975A0B"/>
    <w:rsid w:val="00983536"/>
    <w:rsid w:val="009925B7"/>
    <w:rsid w:val="00993BD5"/>
    <w:rsid w:val="009A07E4"/>
    <w:rsid w:val="009B0C25"/>
    <w:rsid w:val="009B264B"/>
    <w:rsid w:val="009B4399"/>
    <w:rsid w:val="009B60E9"/>
    <w:rsid w:val="009B6909"/>
    <w:rsid w:val="009B750F"/>
    <w:rsid w:val="009C1DA7"/>
    <w:rsid w:val="009C4E25"/>
    <w:rsid w:val="009C7949"/>
    <w:rsid w:val="009D41C0"/>
    <w:rsid w:val="009D6695"/>
    <w:rsid w:val="009D7B9F"/>
    <w:rsid w:val="009E0617"/>
    <w:rsid w:val="009E6363"/>
    <w:rsid w:val="009E6687"/>
    <w:rsid w:val="009E68D8"/>
    <w:rsid w:val="009E76F9"/>
    <w:rsid w:val="009F4C82"/>
    <w:rsid w:val="00A00DC8"/>
    <w:rsid w:val="00A0441C"/>
    <w:rsid w:val="00A059DA"/>
    <w:rsid w:val="00A05C13"/>
    <w:rsid w:val="00A0662A"/>
    <w:rsid w:val="00A10206"/>
    <w:rsid w:val="00A10911"/>
    <w:rsid w:val="00A15846"/>
    <w:rsid w:val="00A17CA4"/>
    <w:rsid w:val="00A2282C"/>
    <w:rsid w:val="00A232F2"/>
    <w:rsid w:val="00A27F1F"/>
    <w:rsid w:val="00A300B8"/>
    <w:rsid w:val="00A3112A"/>
    <w:rsid w:val="00A31C78"/>
    <w:rsid w:val="00A321ED"/>
    <w:rsid w:val="00A41D61"/>
    <w:rsid w:val="00A43A99"/>
    <w:rsid w:val="00A45CD1"/>
    <w:rsid w:val="00A47FE6"/>
    <w:rsid w:val="00A57C32"/>
    <w:rsid w:val="00A6256D"/>
    <w:rsid w:val="00A64E9D"/>
    <w:rsid w:val="00A7360C"/>
    <w:rsid w:val="00A745D5"/>
    <w:rsid w:val="00A76DB7"/>
    <w:rsid w:val="00A77351"/>
    <w:rsid w:val="00A85A09"/>
    <w:rsid w:val="00A862B2"/>
    <w:rsid w:val="00A8786B"/>
    <w:rsid w:val="00A87A42"/>
    <w:rsid w:val="00A90E9A"/>
    <w:rsid w:val="00A950EE"/>
    <w:rsid w:val="00A9776F"/>
    <w:rsid w:val="00AA1A89"/>
    <w:rsid w:val="00AA1B23"/>
    <w:rsid w:val="00AA2D77"/>
    <w:rsid w:val="00AA2F1A"/>
    <w:rsid w:val="00AB2439"/>
    <w:rsid w:val="00AB5FA6"/>
    <w:rsid w:val="00AB799A"/>
    <w:rsid w:val="00AC0C9C"/>
    <w:rsid w:val="00AC1463"/>
    <w:rsid w:val="00AD0DE6"/>
    <w:rsid w:val="00AD1BB7"/>
    <w:rsid w:val="00AD26D5"/>
    <w:rsid w:val="00AD5527"/>
    <w:rsid w:val="00AD5F3A"/>
    <w:rsid w:val="00AD723E"/>
    <w:rsid w:val="00AD7FF8"/>
    <w:rsid w:val="00AE13EF"/>
    <w:rsid w:val="00AE4491"/>
    <w:rsid w:val="00AE74F1"/>
    <w:rsid w:val="00AE7DDE"/>
    <w:rsid w:val="00AF2733"/>
    <w:rsid w:val="00AF391B"/>
    <w:rsid w:val="00B03092"/>
    <w:rsid w:val="00B13E0C"/>
    <w:rsid w:val="00B14A07"/>
    <w:rsid w:val="00B16EEE"/>
    <w:rsid w:val="00B17EB8"/>
    <w:rsid w:val="00B20FBA"/>
    <w:rsid w:val="00B2204E"/>
    <w:rsid w:val="00B24B26"/>
    <w:rsid w:val="00B27FC2"/>
    <w:rsid w:val="00B3249C"/>
    <w:rsid w:val="00B35DDA"/>
    <w:rsid w:val="00B37645"/>
    <w:rsid w:val="00B402B0"/>
    <w:rsid w:val="00B4044C"/>
    <w:rsid w:val="00B41660"/>
    <w:rsid w:val="00B41684"/>
    <w:rsid w:val="00B44FA2"/>
    <w:rsid w:val="00B50306"/>
    <w:rsid w:val="00B552C7"/>
    <w:rsid w:val="00B64335"/>
    <w:rsid w:val="00B65EE9"/>
    <w:rsid w:val="00B66DF1"/>
    <w:rsid w:val="00B71FFC"/>
    <w:rsid w:val="00B72B99"/>
    <w:rsid w:val="00B80267"/>
    <w:rsid w:val="00B80306"/>
    <w:rsid w:val="00B818CC"/>
    <w:rsid w:val="00B83952"/>
    <w:rsid w:val="00B87CEC"/>
    <w:rsid w:val="00B91EBF"/>
    <w:rsid w:val="00B941E6"/>
    <w:rsid w:val="00BA5270"/>
    <w:rsid w:val="00BB41A1"/>
    <w:rsid w:val="00BC21F4"/>
    <w:rsid w:val="00BC3783"/>
    <w:rsid w:val="00BC6548"/>
    <w:rsid w:val="00BD08CC"/>
    <w:rsid w:val="00BD0997"/>
    <w:rsid w:val="00BD7F2E"/>
    <w:rsid w:val="00BE30D7"/>
    <w:rsid w:val="00BE516B"/>
    <w:rsid w:val="00BE5727"/>
    <w:rsid w:val="00C01F99"/>
    <w:rsid w:val="00C03E1A"/>
    <w:rsid w:val="00C1504F"/>
    <w:rsid w:val="00C20458"/>
    <w:rsid w:val="00C227BC"/>
    <w:rsid w:val="00C23213"/>
    <w:rsid w:val="00C26054"/>
    <w:rsid w:val="00C2653A"/>
    <w:rsid w:val="00C270BE"/>
    <w:rsid w:val="00C27C1F"/>
    <w:rsid w:val="00C27DBB"/>
    <w:rsid w:val="00C30687"/>
    <w:rsid w:val="00C31E4E"/>
    <w:rsid w:val="00C32CA7"/>
    <w:rsid w:val="00C332EF"/>
    <w:rsid w:val="00C42963"/>
    <w:rsid w:val="00C44B0E"/>
    <w:rsid w:val="00C4795E"/>
    <w:rsid w:val="00C50844"/>
    <w:rsid w:val="00C512E8"/>
    <w:rsid w:val="00C520BF"/>
    <w:rsid w:val="00C52434"/>
    <w:rsid w:val="00C527FF"/>
    <w:rsid w:val="00C61179"/>
    <w:rsid w:val="00C65AC3"/>
    <w:rsid w:val="00C66494"/>
    <w:rsid w:val="00C678E2"/>
    <w:rsid w:val="00C74F2E"/>
    <w:rsid w:val="00C751FE"/>
    <w:rsid w:val="00C81F72"/>
    <w:rsid w:val="00C824CC"/>
    <w:rsid w:val="00C84C81"/>
    <w:rsid w:val="00C86AF2"/>
    <w:rsid w:val="00C90454"/>
    <w:rsid w:val="00C90F19"/>
    <w:rsid w:val="00C92E50"/>
    <w:rsid w:val="00C9553C"/>
    <w:rsid w:val="00CA01AF"/>
    <w:rsid w:val="00CA17BF"/>
    <w:rsid w:val="00CA6FAE"/>
    <w:rsid w:val="00CA753B"/>
    <w:rsid w:val="00CB0645"/>
    <w:rsid w:val="00CB1706"/>
    <w:rsid w:val="00CB3CBE"/>
    <w:rsid w:val="00CC3C23"/>
    <w:rsid w:val="00CC45CA"/>
    <w:rsid w:val="00CC59CE"/>
    <w:rsid w:val="00CE0C9A"/>
    <w:rsid w:val="00CE12DD"/>
    <w:rsid w:val="00CE45C8"/>
    <w:rsid w:val="00CE5929"/>
    <w:rsid w:val="00CE5D1F"/>
    <w:rsid w:val="00D05FA7"/>
    <w:rsid w:val="00D07285"/>
    <w:rsid w:val="00D145F2"/>
    <w:rsid w:val="00D14F20"/>
    <w:rsid w:val="00D16BA1"/>
    <w:rsid w:val="00D17B54"/>
    <w:rsid w:val="00D2333A"/>
    <w:rsid w:val="00D2448A"/>
    <w:rsid w:val="00D249F3"/>
    <w:rsid w:val="00D26D36"/>
    <w:rsid w:val="00D27426"/>
    <w:rsid w:val="00D30F43"/>
    <w:rsid w:val="00D3413D"/>
    <w:rsid w:val="00D41C7F"/>
    <w:rsid w:val="00D458C1"/>
    <w:rsid w:val="00D523D0"/>
    <w:rsid w:val="00D55F4A"/>
    <w:rsid w:val="00D56E19"/>
    <w:rsid w:val="00D612EF"/>
    <w:rsid w:val="00D63076"/>
    <w:rsid w:val="00D644C7"/>
    <w:rsid w:val="00D650AA"/>
    <w:rsid w:val="00D67544"/>
    <w:rsid w:val="00D71801"/>
    <w:rsid w:val="00D72292"/>
    <w:rsid w:val="00D75D39"/>
    <w:rsid w:val="00D76C19"/>
    <w:rsid w:val="00D77D71"/>
    <w:rsid w:val="00D80A59"/>
    <w:rsid w:val="00D82DD2"/>
    <w:rsid w:val="00D876AA"/>
    <w:rsid w:val="00D91DA1"/>
    <w:rsid w:val="00D92A9C"/>
    <w:rsid w:val="00D938D4"/>
    <w:rsid w:val="00DA068F"/>
    <w:rsid w:val="00DA2F52"/>
    <w:rsid w:val="00DA33F9"/>
    <w:rsid w:val="00DA68A7"/>
    <w:rsid w:val="00DB0B29"/>
    <w:rsid w:val="00DB1C4F"/>
    <w:rsid w:val="00DB25A0"/>
    <w:rsid w:val="00DB2B21"/>
    <w:rsid w:val="00DC5767"/>
    <w:rsid w:val="00DC6680"/>
    <w:rsid w:val="00DC7B73"/>
    <w:rsid w:val="00DD13B2"/>
    <w:rsid w:val="00DD29D2"/>
    <w:rsid w:val="00DE028E"/>
    <w:rsid w:val="00DE3E2A"/>
    <w:rsid w:val="00DE552D"/>
    <w:rsid w:val="00DE760F"/>
    <w:rsid w:val="00DE7D93"/>
    <w:rsid w:val="00DF05F2"/>
    <w:rsid w:val="00DF140B"/>
    <w:rsid w:val="00DF50A1"/>
    <w:rsid w:val="00DF6878"/>
    <w:rsid w:val="00DF72B5"/>
    <w:rsid w:val="00DF7920"/>
    <w:rsid w:val="00E015F0"/>
    <w:rsid w:val="00E046CB"/>
    <w:rsid w:val="00E05523"/>
    <w:rsid w:val="00E11185"/>
    <w:rsid w:val="00E16F88"/>
    <w:rsid w:val="00E1753C"/>
    <w:rsid w:val="00E21B18"/>
    <w:rsid w:val="00E255C1"/>
    <w:rsid w:val="00E329E7"/>
    <w:rsid w:val="00E35232"/>
    <w:rsid w:val="00E41B49"/>
    <w:rsid w:val="00E41B75"/>
    <w:rsid w:val="00E42B1B"/>
    <w:rsid w:val="00E42F95"/>
    <w:rsid w:val="00E47BD0"/>
    <w:rsid w:val="00E50DA7"/>
    <w:rsid w:val="00E51F1A"/>
    <w:rsid w:val="00E52FD8"/>
    <w:rsid w:val="00E53C46"/>
    <w:rsid w:val="00E60D70"/>
    <w:rsid w:val="00E632E9"/>
    <w:rsid w:val="00E649DE"/>
    <w:rsid w:val="00E656B1"/>
    <w:rsid w:val="00E65749"/>
    <w:rsid w:val="00E67441"/>
    <w:rsid w:val="00E675BE"/>
    <w:rsid w:val="00E7456B"/>
    <w:rsid w:val="00E7694B"/>
    <w:rsid w:val="00E87284"/>
    <w:rsid w:val="00E926E8"/>
    <w:rsid w:val="00E93FE7"/>
    <w:rsid w:val="00E94940"/>
    <w:rsid w:val="00E953F4"/>
    <w:rsid w:val="00E9582C"/>
    <w:rsid w:val="00E95A6E"/>
    <w:rsid w:val="00EA24F8"/>
    <w:rsid w:val="00EA3672"/>
    <w:rsid w:val="00EA4650"/>
    <w:rsid w:val="00EA5077"/>
    <w:rsid w:val="00EA787A"/>
    <w:rsid w:val="00ED75A4"/>
    <w:rsid w:val="00EE2422"/>
    <w:rsid w:val="00EF52FB"/>
    <w:rsid w:val="00F02DFA"/>
    <w:rsid w:val="00F11057"/>
    <w:rsid w:val="00F13221"/>
    <w:rsid w:val="00F24525"/>
    <w:rsid w:val="00F27DE0"/>
    <w:rsid w:val="00F3200A"/>
    <w:rsid w:val="00F329A2"/>
    <w:rsid w:val="00F3553C"/>
    <w:rsid w:val="00F37C1C"/>
    <w:rsid w:val="00F54C5A"/>
    <w:rsid w:val="00F5555E"/>
    <w:rsid w:val="00F57CBE"/>
    <w:rsid w:val="00F62674"/>
    <w:rsid w:val="00F62AED"/>
    <w:rsid w:val="00F70591"/>
    <w:rsid w:val="00F718DF"/>
    <w:rsid w:val="00F72B1A"/>
    <w:rsid w:val="00F75790"/>
    <w:rsid w:val="00F75A53"/>
    <w:rsid w:val="00F761DF"/>
    <w:rsid w:val="00F7794D"/>
    <w:rsid w:val="00F83007"/>
    <w:rsid w:val="00F838A3"/>
    <w:rsid w:val="00F86F9B"/>
    <w:rsid w:val="00F94B10"/>
    <w:rsid w:val="00F97313"/>
    <w:rsid w:val="00FA6B94"/>
    <w:rsid w:val="00FA6C24"/>
    <w:rsid w:val="00FB125C"/>
    <w:rsid w:val="00FB1BDE"/>
    <w:rsid w:val="00FB1DFC"/>
    <w:rsid w:val="00FC346D"/>
    <w:rsid w:val="00FC4B61"/>
    <w:rsid w:val="00FC4E2E"/>
    <w:rsid w:val="00FC569B"/>
    <w:rsid w:val="00FC5F64"/>
    <w:rsid w:val="00FD00E3"/>
    <w:rsid w:val="00FD285D"/>
    <w:rsid w:val="00FD3799"/>
    <w:rsid w:val="00FD6642"/>
    <w:rsid w:val="00FF01F3"/>
    <w:rsid w:val="00FF1369"/>
    <w:rsid w:val="00FF2930"/>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C7D53-C8D4-4F3D-A037-1D585A15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70"/>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
    <w:next w:val="a"/>
    <w:link w:val="1Char"/>
    <w:qFormat/>
    <w:rsid w:val="002F5370"/>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2F5370"/>
    <w:pPr>
      <w:keepNext/>
      <w:keepLines/>
      <w:spacing w:beforeLines="100" w:afterLines="100"/>
      <w:ind w:firstLineChars="200" w:firstLine="200"/>
      <w:outlineLvl w:val="1"/>
    </w:pPr>
    <w:rPr>
      <w:rFonts w:ascii="Arial" w:hAnsi="Arial"/>
      <w:b/>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link w:val="3Char"/>
    <w:qFormat/>
    <w:rsid w:val="002F5370"/>
    <w:pPr>
      <w:numPr>
        <w:ilvl w:val="2"/>
        <w:numId w:val="3"/>
      </w:numPr>
      <w:spacing w:before="260" w:after="260" w:line="416" w:lineRule="auto"/>
      <w:outlineLvl w:val="2"/>
    </w:pPr>
    <w:rPr>
      <w:rFonts w:ascii="仿宋_GB2312" w:eastAsia="仿宋_GB2312"/>
      <w:sz w:val="24"/>
      <w:szCs w:val="20"/>
    </w:rPr>
  </w:style>
  <w:style w:type="paragraph" w:styleId="4">
    <w:name w:val="heading 4"/>
    <w:aliases w:val="H4,PIM 4,h4,Fab-4,T5,Ref Heading 1,rh1,Heading sql,sect 1.2.3.4"/>
    <w:basedOn w:val="a"/>
    <w:next w:val="a"/>
    <w:link w:val="4Char"/>
    <w:qFormat/>
    <w:rsid w:val="002F5370"/>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F5370"/>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2F5370"/>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2F5370"/>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2F5370"/>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2F5370"/>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0"/>
    <w:link w:val="1"/>
    <w:rsid w:val="002F5370"/>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2F5370"/>
    <w:rPr>
      <w:rFonts w:ascii="Arial" w:eastAsia="宋体" w:hAnsi="Arial" w:cs="Times New Roman"/>
      <w:b/>
      <w:sz w:val="28"/>
      <w:szCs w:val="28"/>
    </w:rPr>
  </w:style>
  <w:style w:type="character" w:customStyle="1" w:styleId="3Char">
    <w:name w:val="标题 3 Char"/>
    <w:aliases w:val="Bold Head Char,bh Char,h3 Char,Level 3 Head Char,H3 Char,l3 Char,CT Char,Heading 3 - old Char,3rd level Char,level_3 Char,PIM 3 Char,sect1.2.3 Char,3 Char,heading 3 Char,标题 4.1.1 Char,Fab-3 Char,sect1.2.31 Char,sect1.2.32 Char,sect1.2.311 Char"/>
    <w:basedOn w:val="a0"/>
    <w:link w:val="3"/>
    <w:rsid w:val="002F5370"/>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0"/>
    <w:link w:val="4"/>
    <w:rsid w:val="002F5370"/>
    <w:rPr>
      <w:rFonts w:ascii="Arial" w:eastAsia="黑体" w:hAnsi="Arial"/>
      <w:b/>
      <w:bCs/>
      <w:kern w:val="2"/>
      <w:sz w:val="28"/>
      <w:szCs w:val="28"/>
    </w:rPr>
  </w:style>
  <w:style w:type="character" w:customStyle="1" w:styleId="5Char">
    <w:name w:val="标题 5 Char"/>
    <w:basedOn w:val="a0"/>
    <w:link w:val="5"/>
    <w:rsid w:val="002F5370"/>
    <w:rPr>
      <w:rFonts w:ascii="Times New Roman" w:hAnsi="Times New Roman"/>
      <w:b/>
      <w:bCs/>
      <w:kern w:val="2"/>
      <w:sz w:val="28"/>
      <w:szCs w:val="28"/>
    </w:rPr>
  </w:style>
  <w:style w:type="character" w:customStyle="1" w:styleId="6Char">
    <w:name w:val="标题 6 Char"/>
    <w:basedOn w:val="a0"/>
    <w:link w:val="6"/>
    <w:rsid w:val="002F5370"/>
    <w:rPr>
      <w:rFonts w:ascii="Arial" w:eastAsia="黑体" w:hAnsi="Arial"/>
      <w:b/>
      <w:bCs/>
      <w:kern w:val="2"/>
      <w:sz w:val="24"/>
      <w:szCs w:val="24"/>
    </w:rPr>
  </w:style>
  <w:style w:type="character" w:customStyle="1" w:styleId="7Char">
    <w:name w:val="标题 7 Char"/>
    <w:basedOn w:val="a0"/>
    <w:link w:val="7"/>
    <w:rsid w:val="002F5370"/>
    <w:rPr>
      <w:rFonts w:ascii="Times New Roman" w:hAnsi="Times New Roman"/>
      <w:b/>
      <w:bCs/>
      <w:kern w:val="2"/>
      <w:sz w:val="24"/>
      <w:szCs w:val="24"/>
    </w:rPr>
  </w:style>
  <w:style w:type="character" w:customStyle="1" w:styleId="8Char">
    <w:name w:val="标题 8 Char"/>
    <w:basedOn w:val="a0"/>
    <w:link w:val="8"/>
    <w:rsid w:val="002F5370"/>
    <w:rPr>
      <w:rFonts w:ascii="Arial" w:eastAsia="黑体" w:hAnsi="Arial"/>
      <w:kern w:val="2"/>
      <w:sz w:val="24"/>
      <w:szCs w:val="24"/>
    </w:rPr>
  </w:style>
  <w:style w:type="character" w:customStyle="1" w:styleId="9Char">
    <w:name w:val="标题 9 Char"/>
    <w:basedOn w:val="a0"/>
    <w:link w:val="9"/>
    <w:rsid w:val="002F5370"/>
    <w:rPr>
      <w:rFonts w:ascii="Arial" w:eastAsia="黑体" w:hAnsi="Arial"/>
      <w:kern w:val="2"/>
      <w:sz w:val="24"/>
      <w:szCs w:val="21"/>
    </w:rPr>
  </w:style>
  <w:style w:type="paragraph" w:customStyle="1" w:styleId="211">
    <w:name w:val="样式 标题 2 + 段前: 1 行 段后: 1 行"/>
    <w:basedOn w:val="20"/>
    <w:rsid w:val="002F5370"/>
    <w:pPr>
      <w:numPr>
        <w:numId w:val="1"/>
      </w:numPr>
      <w:spacing w:before="447" w:after="447"/>
    </w:pPr>
    <w:rPr>
      <w:b w:val="0"/>
      <w:szCs w:val="20"/>
    </w:rPr>
  </w:style>
  <w:style w:type="paragraph" w:customStyle="1" w:styleId="CharCharCharCharCharCharChar">
    <w:name w:val="正文文字 Char Char Char Char Char Char Char"/>
    <w:basedOn w:val="a"/>
    <w:next w:val="30"/>
    <w:rsid w:val="002F5370"/>
    <w:pPr>
      <w:numPr>
        <w:ilvl w:val="1"/>
        <w:numId w:val="4"/>
      </w:numPr>
      <w:spacing w:after="120"/>
    </w:pPr>
    <w:rPr>
      <w:sz w:val="16"/>
      <w:szCs w:val="16"/>
    </w:rPr>
  </w:style>
  <w:style w:type="paragraph" w:styleId="30">
    <w:name w:val="Body Text 3"/>
    <w:basedOn w:val="a"/>
    <w:link w:val="3Char0"/>
    <w:rsid w:val="002F5370"/>
    <w:pPr>
      <w:spacing w:after="120"/>
    </w:pPr>
    <w:rPr>
      <w:sz w:val="16"/>
      <w:szCs w:val="16"/>
    </w:rPr>
  </w:style>
  <w:style w:type="character" w:customStyle="1" w:styleId="3Char0">
    <w:name w:val="正文文本 3 Char"/>
    <w:basedOn w:val="a0"/>
    <w:link w:val="30"/>
    <w:rsid w:val="002F5370"/>
    <w:rPr>
      <w:rFonts w:ascii="Times New Roman" w:eastAsia="宋体" w:hAnsi="Times New Roman" w:cs="Times New Roman"/>
      <w:sz w:val="16"/>
      <w:szCs w:val="16"/>
    </w:rPr>
  </w:style>
  <w:style w:type="paragraph" w:styleId="10">
    <w:name w:val="toc 1"/>
    <w:basedOn w:val="a"/>
    <w:next w:val="a"/>
    <w:autoRedefine/>
    <w:uiPriority w:val="39"/>
    <w:rsid w:val="002F5370"/>
    <w:pPr>
      <w:tabs>
        <w:tab w:val="right" w:leader="dot" w:pos="8296"/>
      </w:tabs>
      <w:jc w:val="left"/>
    </w:pPr>
    <w:rPr>
      <w:rFonts w:ascii="宋体" w:hAnsi="宋体"/>
      <w:caps/>
      <w:noProof/>
      <w:sz w:val="24"/>
      <w:szCs w:val="28"/>
    </w:rPr>
  </w:style>
  <w:style w:type="paragraph" w:styleId="21">
    <w:name w:val="toc 2"/>
    <w:basedOn w:val="a"/>
    <w:next w:val="a"/>
    <w:autoRedefine/>
    <w:uiPriority w:val="39"/>
    <w:rsid w:val="002F5370"/>
    <w:pPr>
      <w:tabs>
        <w:tab w:val="right" w:leader="dot" w:pos="8268"/>
      </w:tabs>
      <w:ind w:leftChars="152" w:left="319" w:firstLineChars="348" w:firstLine="731"/>
      <w:jc w:val="left"/>
    </w:pPr>
    <w:rPr>
      <w:smallCaps/>
      <w:noProof/>
      <w:szCs w:val="20"/>
    </w:rPr>
  </w:style>
  <w:style w:type="paragraph" w:customStyle="1" w:styleId="11">
    <w:name w:val="样式 标题 1 + 黑体 非加粗"/>
    <w:basedOn w:val="1"/>
    <w:rsid w:val="002F5370"/>
    <w:pPr>
      <w:pageBreakBefore/>
    </w:pPr>
    <w:rPr>
      <w:rFonts w:hAnsi="黑体"/>
      <w:b/>
    </w:rPr>
  </w:style>
  <w:style w:type="paragraph" w:customStyle="1" w:styleId="111">
    <w:name w:val="样式 标题 1 + 段前: 1 行 段后: 1 行"/>
    <w:basedOn w:val="1"/>
    <w:rsid w:val="002F5370"/>
    <w:pPr>
      <w:pageBreakBefore/>
    </w:pPr>
    <w:rPr>
      <w:szCs w:val="20"/>
    </w:rPr>
  </w:style>
  <w:style w:type="paragraph" w:styleId="a3">
    <w:name w:val="header"/>
    <w:basedOn w:val="a"/>
    <w:link w:val="Char"/>
    <w:uiPriority w:val="99"/>
    <w:rsid w:val="002F5370"/>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2F5370"/>
    <w:rPr>
      <w:rFonts w:ascii="Times New Roman" w:eastAsia="仿宋_GB2312" w:hAnsi="Times New Roman" w:cs="Times New Roman"/>
      <w:sz w:val="18"/>
      <w:szCs w:val="20"/>
    </w:rPr>
  </w:style>
  <w:style w:type="character" w:styleId="a4">
    <w:name w:val="page number"/>
    <w:basedOn w:val="a0"/>
    <w:rsid w:val="002F5370"/>
  </w:style>
  <w:style w:type="paragraph" w:styleId="a5">
    <w:name w:val="footer"/>
    <w:basedOn w:val="a"/>
    <w:link w:val="Char0"/>
    <w:uiPriority w:val="99"/>
    <w:rsid w:val="002F5370"/>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2F5370"/>
    <w:rPr>
      <w:rFonts w:ascii="Times New Roman" w:eastAsia="仿宋_GB2312" w:hAnsi="Times New Roman" w:cs="Times New Roman"/>
      <w:sz w:val="18"/>
      <w:szCs w:val="20"/>
    </w:rPr>
  </w:style>
  <w:style w:type="character" w:customStyle="1" w:styleId="big1">
    <w:name w:val="big1"/>
    <w:basedOn w:val="a0"/>
    <w:rsid w:val="002F5370"/>
    <w:rPr>
      <w:spacing w:val="360"/>
      <w:sz w:val="22"/>
      <w:szCs w:val="22"/>
    </w:rPr>
  </w:style>
  <w:style w:type="paragraph" w:styleId="a6">
    <w:name w:val="Title"/>
    <w:basedOn w:val="a"/>
    <w:link w:val="Char1"/>
    <w:qFormat/>
    <w:rsid w:val="002F5370"/>
    <w:pPr>
      <w:spacing w:before="240" w:after="60"/>
      <w:jc w:val="center"/>
      <w:outlineLvl w:val="0"/>
    </w:pPr>
    <w:rPr>
      <w:rFonts w:ascii="Arial" w:hAnsi="Arial" w:cs="Arial"/>
      <w:b/>
      <w:bCs/>
      <w:sz w:val="32"/>
      <w:szCs w:val="32"/>
    </w:rPr>
  </w:style>
  <w:style w:type="character" w:customStyle="1" w:styleId="Char1">
    <w:name w:val="标题 Char"/>
    <w:basedOn w:val="a0"/>
    <w:link w:val="a6"/>
    <w:rsid w:val="002F5370"/>
    <w:rPr>
      <w:rFonts w:ascii="Arial" w:eastAsia="宋体" w:hAnsi="Arial" w:cs="Arial"/>
      <w:b/>
      <w:bCs/>
      <w:sz w:val="32"/>
      <w:szCs w:val="32"/>
    </w:rPr>
  </w:style>
  <w:style w:type="character" w:customStyle="1" w:styleId="Char2">
    <w:name w:val="结束语 Char"/>
    <w:basedOn w:val="a0"/>
    <w:link w:val="a7"/>
    <w:rsid w:val="002F5370"/>
    <w:rPr>
      <w:rFonts w:ascii="Times New Roman" w:eastAsia="宋体" w:hAnsi="Times New Roman" w:cs="Times New Roman"/>
      <w:szCs w:val="24"/>
    </w:rPr>
  </w:style>
  <w:style w:type="paragraph" w:styleId="a7">
    <w:name w:val="Closing"/>
    <w:basedOn w:val="a"/>
    <w:link w:val="Char2"/>
    <w:rsid w:val="002F5370"/>
    <w:pPr>
      <w:ind w:leftChars="2100" w:left="100"/>
    </w:pPr>
  </w:style>
  <w:style w:type="paragraph" w:styleId="31">
    <w:name w:val="List Number 3"/>
    <w:basedOn w:val="a"/>
    <w:rsid w:val="002F5370"/>
    <w:pPr>
      <w:tabs>
        <w:tab w:val="num" w:pos="1200"/>
      </w:tabs>
      <w:ind w:leftChars="400" w:left="1200" w:hangingChars="200" w:hanging="360"/>
    </w:pPr>
  </w:style>
  <w:style w:type="paragraph" w:styleId="40">
    <w:name w:val="List Number 4"/>
    <w:basedOn w:val="a"/>
    <w:rsid w:val="002F5370"/>
    <w:pPr>
      <w:tabs>
        <w:tab w:val="num" w:pos="1620"/>
      </w:tabs>
      <w:ind w:leftChars="600" w:left="1620" w:hangingChars="200" w:hanging="360"/>
    </w:pPr>
  </w:style>
  <w:style w:type="paragraph" w:styleId="50">
    <w:name w:val="List Number 5"/>
    <w:basedOn w:val="a"/>
    <w:rsid w:val="002F5370"/>
    <w:pPr>
      <w:tabs>
        <w:tab w:val="num" w:pos="2040"/>
      </w:tabs>
      <w:ind w:leftChars="800" w:left="2040" w:hangingChars="200" w:hanging="360"/>
    </w:pPr>
  </w:style>
  <w:style w:type="paragraph" w:styleId="22">
    <w:name w:val="List Bullet 2"/>
    <w:basedOn w:val="a"/>
    <w:autoRedefine/>
    <w:rsid w:val="002F5370"/>
    <w:pPr>
      <w:tabs>
        <w:tab w:val="num" w:pos="780"/>
      </w:tabs>
      <w:ind w:leftChars="200" w:left="780" w:hangingChars="200" w:hanging="360"/>
    </w:pPr>
  </w:style>
  <w:style w:type="paragraph" w:styleId="41">
    <w:name w:val="List Bullet 4"/>
    <w:basedOn w:val="a"/>
    <w:autoRedefine/>
    <w:rsid w:val="002F5370"/>
    <w:pPr>
      <w:tabs>
        <w:tab w:val="num" w:pos="1620"/>
      </w:tabs>
      <w:ind w:leftChars="600" w:left="1620" w:hangingChars="200" w:hanging="360"/>
    </w:pPr>
  </w:style>
  <w:style w:type="paragraph" w:styleId="a8">
    <w:name w:val="Body Text"/>
    <w:basedOn w:val="a"/>
    <w:link w:val="Char3"/>
    <w:rsid w:val="002F5370"/>
    <w:pPr>
      <w:spacing w:after="120"/>
    </w:pPr>
  </w:style>
  <w:style w:type="character" w:customStyle="1" w:styleId="Char3">
    <w:name w:val="正文文本 Char"/>
    <w:basedOn w:val="a0"/>
    <w:link w:val="a8"/>
    <w:rsid w:val="002F5370"/>
    <w:rPr>
      <w:rFonts w:ascii="Times New Roman" w:eastAsia="宋体" w:hAnsi="Times New Roman" w:cs="Times New Roman"/>
      <w:szCs w:val="24"/>
    </w:rPr>
  </w:style>
  <w:style w:type="paragraph" w:styleId="a9">
    <w:name w:val="Body Text First Indent"/>
    <w:basedOn w:val="a8"/>
    <w:link w:val="Char4"/>
    <w:rsid w:val="002F5370"/>
    <w:pPr>
      <w:ind w:firstLineChars="100" w:firstLine="420"/>
    </w:pPr>
  </w:style>
  <w:style w:type="character" w:customStyle="1" w:styleId="Char4">
    <w:name w:val="正文首行缩进 Char"/>
    <w:basedOn w:val="Char3"/>
    <w:link w:val="a9"/>
    <w:rsid w:val="002F5370"/>
    <w:rPr>
      <w:rFonts w:ascii="Times New Roman" w:eastAsia="宋体" w:hAnsi="Times New Roman" w:cs="Times New Roman"/>
      <w:szCs w:val="24"/>
    </w:rPr>
  </w:style>
  <w:style w:type="character" w:customStyle="1" w:styleId="Char5">
    <w:name w:val="正文文本缩进 Char"/>
    <w:basedOn w:val="a0"/>
    <w:link w:val="aa"/>
    <w:rsid w:val="002F5370"/>
    <w:rPr>
      <w:rFonts w:ascii="Times New Roman" w:eastAsia="宋体" w:hAnsi="Times New Roman" w:cs="Times New Roman"/>
      <w:szCs w:val="24"/>
    </w:rPr>
  </w:style>
  <w:style w:type="paragraph" w:styleId="aa">
    <w:name w:val="Body Text Indent"/>
    <w:basedOn w:val="a"/>
    <w:link w:val="Char5"/>
    <w:rsid w:val="002F5370"/>
    <w:pPr>
      <w:spacing w:after="120"/>
      <w:ind w:left="420"/>
    </w:pPr>
  </w:style>
  <w:style w:type="character" w:customStyle="1" w:styleId="Char6">
    <w:name w:val="注释标题 Char"/>
    <w:basedOn w:val="a0"/>
    <w:link w:val="ab"/>
    <w:rsid w:val="002F5370"/>
    <w:rPr>
      <w:rFonts w:ascii="Times New Roman" w:eastAsia="宋体" w:hAnsi="Times New Roman" w:cs="Times New Roman"/>
      <w:szCs w:val="24"/>
    </w:rPr>
  </w:style>
  <w:style w:type="paragraph" w:styleId="ab">
    <w:name w:val="Note Heading"/>
    <w:basedOn w:val="a"/>
    <w:next w:val="a"/>
    <w:link w:val="Char6"/>
    <w:rsid w:val="002F5370"/>
    <w:pPr>
      <w:jc w:val="center"/>
    </w:pPr>
  </w:style>
  <w:style w:type="character" w:customStyle="1" w:styleId="da">
    <w:name w:val="da"/>
    <w:basedOn w:val="a0"/>
    <w:rsid w:val="002F5370"/>
  </w:style>
  <w:style w:type="paragraph" w:customStyle="1" w:styleId="ac">
    <w:name w:val="特点"/>
    <w:aliases w:val="表正文,正文非缩进,段1"/>
    <w:basedOn w:val="a"/>
    <w:next w:val="ad"/>
    <w:rsid w:val="002F5370"/>
    <w:pPr>
      <w:ind w:firstLine="420"/>
    </w:pPr>
    <w:rPr>
      <w:szCs w:val="20"/>
    </w:rPr>
  </w:style>
  <w:style w:type="paragraph" w:styleId="ad">
    <w:name w:val="Normal Indent"/>
    <w:aliases w:val="正文缩进1,ALT+Z"/>
    <w:basedOn w:val="a"/>
    <w:rsid w:val="002F5370"/>
    <w:pPr>
      <w:ind w:firstLine="420"/>
    </w:pPr>
  </w:style>
  <w:style w:type="paragraph" w:styleId="32">
    <w:name w:val="Body Text Indent 3"/>
    <w:basedOn w:val="a"/>
    <w:link w:val="3Char1"/>
    <w:rsid w:val="002F5370"/>
    <w:pPr>
      <w:spacing w:after="120"/>
      <w:ind w:left="420"/>
    </w:pPr>
    <w:rPr>
      <w:sz w:val="16"/>
      <w:szCs w:val="16"/>
    </w:rPr>
  </w:style>
  <w:style w:type="character" w:customStyle="1" w:styleId="3Char1">
    <w:name w:val="正文文本缩进 3 Char"/>
    <w:basedOn w:val="a0"/>
    <w:link w:val="32"/>
    <w:rsid w:val="002F5370"/>
    <w:rPr>
      <w:rFonts w:ascii="Times New Roman" w:eastAsia="宋体" w:hAnsi="Times New Roman" w:cs="Times New Roman"/>
      <w:sz w:val="16"/>
      <w:szCs w:val="16"/>
    </w:rPr>
  </w:style>
  <w:style w:type="paragraph" w:styleId="ae">
    <w:name w:val="Plain Text"/>
    <w:basedOn w:val="a"/>
    <w:link w:val="Char7"/>
    <w:rsid w:val="002F5370"/>
    <w:rPr>
      <w:rFonts w:ascii="宋体" w:hAnsi="Courier New" w:cs="Courier New"/>
      <w:szCs w:val="21"/>
    </w:rPr>
  </w:style>
  <w:style w:type="character" w:customStyle="1" w:styleId="Char7">
    <w:name w:val="纯文本 Char"/>
    <w:basedOn w:val="a0"/>
    <w:link w:val="ae"/>
    <w:rsid w:val="002F5370"/>
    <w:rPr>
      <w:rFonts w:ascii="宋体" w:eastAsia="宋体" w:hAnsi="Courier New" w:cs="Courier New"/>
      <w:szCs w:val="21"/>
    </w:rPr>
  </w:style>
  <w:style w:type="character" w:styleId="af">
    <w:name w:val="Hyperlink"/>
    <w:basedOn w:val="a0"/>
    <w:uiPriority w:val="99"/>
    <w:rsid w:val="002F5370"/>
    <w:rPr>
      <w:color w:val="0000FF"/>
      <w:u w:val="single"/>
    </w:rPr>
  </w:style>
  <w:style w:type="character" w:customStyle="1" w:styleId="2Char0">
    <w:name w:val="正文文本缩进 2 Char"/>
    <w:basedOn w:val="a0"/>
    <w:link w:val="23"/>
    <w:rsid w:val="002F5370"/>
    <w:rPr>
      <w:rFonts w:ascii="Times New Roman" w:eastAsia="宋体" w:hAnsi="Times New Roman" w:cs="Times New Roman"/>
      <w:szCs w:val="24"/>
    </w:rPr>
  </w:style>
  <w:style w:type="paragraph" w:styleId="23">
    <w:name w:val="Body Text Indent 2"/>
    <w:basedOn w:val="a"/>
    <w:link w:val="2Char0"/>
    <w:rsid w:val="002F5370"/>
    <w:pPr>
      <w:spacing w:after="120" w:line="480" w:lineRule="auto"/>
      <w:ind w:left="420"/>
    </w:pPr>
  </w:style>
  <w:style w:type="character" w:customStyle="1" w:styleId="2Char1">
    <w:name w:val="正文文本 2 Char"/>
    <w:basedOn w:val="a0"/>
    <w:link w:val="24"/>
    <w:rsid w:val="002F5370"/>
    <w:rPr>
      <w:rFonts w:ascii="Times New Roman" w:eastAsia="宋体" w:hAnsi="Times New Roman" w:cs="Times New Roman"/>
      <w:szCs w:val="24"/>
    </w:rPr>
  </w:style>
  <w:style w:type="paragraph" w:styleId="24">
    <w:name w:val="Body Text 2"/>
    <w:basedOn w:val="a"/>
    <w:link w:val="2Char1"/>
    <w:rsid w:val="002F5370"/>
    <w:pPr>
      <w:spacing w:after="120" w:line="480" w:lineRule="auto"/>
    </w:pPr>
  </w:style>
  <w:style w:type="character" w:styleId="af0">
    <w:name w:val="FollowedHyperlink"/>
    <w:basedOn w:val="a0"/>
    <w:uiPriority w:val="99"/>
    <w:rsid w:val="002F5370"/>
    <w:rPr>
      <w:color w:val="800080"/>
      <w:u w:val="single"/>
    </w:rPr>
  </w:style>
  <w:style w:type="character" w:customStyle="1" w:styleId="HTMLChar">
    <w:name w:val="HTML 预设格式 Char"/>
    <w:basedOn w:val="a0"/>
    <w:link w:val="HTML"/>
    <w:uiPriority w:val="99"/>
    <w:rsid w:val="002F5370"/>
    <w:rPr>
      <w:rFonts w:ascii="Courier New" w:eastAsia="宋体" w:hAnsi="Courier New" w:cs="Courier New"/>
      <w:sz w:val="20"/>
      <w:szCs w:val="20"/>
    </w:rPr>
  </w:style>
  <w:style w:type="paragraph" w:styleId="HTML">
    <w:name w:val="HTML Preformatted"/>
    <w:basedOn w:val="a"/>
    <w:link w:val="HTMLChar"/>
    <w:uiPriority w:val="99"/>
    <w:rsid w:val="002F5370"/>
    <w:rPr>
      <w:rFonts w:ascii="Courier New" w:hAnsi="Courier New" w:cs="Courier New"/>
      <w:sz w:val="20"/>
      <w:szCs w:val="20"/>
    </w:rPr>
  </w:style>
  <w:style w:type="paragraph" w:styleId="af1">
    <w:name w:val="Normal (Web)"/>
    <w:basedOn w:val="a"/>
    <w:rsid w:val="002F5370"/>
    <w:rPr>
      <w:sz w:val="24"/>
    </w:rPr>
  </w:style>
  <w:style w:type="paragraph" w:styleId="af2">
    <w:name w:val="Subtitle"/>
    <w:basedOn w:val="a"/>
    <w:link w:val="Char8"/>
    <w:qFormat/>
    <w:rsid w:val="002F5370"/>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2"/>
    <w:rsid w:val="002F5370"/>
    <w:rPr>
      <w:rFonts w:ascii="Arial" w:eastAsia="宋体" w:hAnsi="Arial" w:cs="Arial"/>
      <w:b/>
      <w:bCs/>
      <w:kern w:val="28"/>
      <w:sz w:val="32"/>
      <w:szCs w:val="32"/>
    </w:rPr>
  </w:style>
  <w:style w:type="character" w:styleId="af3">
    <w:name w:val="Strong"/>
    <w:basedOn w:val="a0"/>
    <w:qFormat/>
    <w:rsid w:val="002F5370"/>
    <w:rPr>
      <w:b/>
      <w:bCs/>
    </w:rPr>
  </w:style>
  <w:style w:type="character" w:customStyle="1" w:styleId="Char9">
    <w:name w:val="文档结构图 Char"/>
    <w:basedOn w:val="a0"/>
    <w:link w:val="af4"/>
    <w:semiHidden/>
    <w:rsid w:val="002F5370"/>
    <w:rPr>
      <w:rFonts w:ascii="Times New Roman" w:eastAsia="宋体" w:hAnsi="Times New Roman" w:cs="Times New Roman"/>
      <w:szCs w:val="24"/>
      <w:shd w:val="clear" w:color="auto" w:fill="000080"/>
    </w:rPr>
  </w:style>
  <w:style w:type="paragraph" w:styleId="af4">
    <w:name w:val="Document Map"/>
    <w:basedOn w:val="a"/>
    <w:link w:val="Char9"/>
    <w:semiHidden/>
    <w:rsid w:val="002F5370"/>
    <w:pPr>
      <w:shd w:val="clear" w:color="auto" w:fill="000080"/>
    </w:pPr>
  </w:style>
  <w:style w:type="paragraph" w:customStyle="1" w:styleId="2">
    <w:name w:val="列表2"/>
    <w:basedOn w:val="a"/>
    <w:next w:val="a6"/>
    <w:rsid w:val="002F5370"/>
    <w:pPr>
      <w:numPr>
        <w:numId w:val="5"/>
      </w:numPr>
      <w:spacing w:line="360" w:lineRule="auto"/>
    </w:pPr>
    <w:rPr>
      <w:rFonts w:ascii="宋体"/>
      <w:szCs w:val="20"/>
    </w:rPr>
  </w:style>
  <w:style w:type="character" w:customStyle="1" w:styleId="Chara">
    <w:name w:val="批注框文本 Char"/>
    <w:basedOn w:val="a0"/>
    <w:link w:val="af5"/>
    <w:semiHidden/>
    <w:rsid w:val="002F5370"/>
    <w:rPr>
      <w:rFonts w:ascii="Times New Roman" w:eastAsia="宋体" w:hAnsi="Times New Roman" w:cs="Times New Roman"/>
      <w:sz w:val="18"/>
      <w:szCs w:val="18"/>
    </w:rPr>
  </w:style>
  <w:style w:type="paragraph" w:styleId="af5">
    <w:name w:val="Balloon Text"/>
    <w:basedOn w:val="a"/>
    <w:link w:val="Chara"/>
    <w:semiHidden/>
    <w:rsid w:val="002F5370"/>
    <w:rPr>
      <w:sz w:val="18"/>
      <w:szCs w:val="18"/>
    </w:rPr>
  </w:style>
  <w:style w:type="character" w:customStyle="1" w:styleId="read">
    <w:name w:val="read"/>
    <w:basedOn w:val="a0"/>
    <w:rsid w:val="002F5370"/>
  </w:style>
  <w:style w:type="paragraph" w:styleId="af6">
    <w:name w:val="annotation text"/>
    <w:basedOn w:val="a"/>
    <w:link w:val="Charb"/>
    <w:semiHidden/>
    <w:unhideWhenUsed/>
    <w:rsid w:val="002F5370"/>
    <w:pPr>
      <w:jc w:val="left"/>
    </w:pPr>
  </w:style>
  <w:style w:type="character" w:customStyle="1" w:styleId="Charb">
    <w:name w:val="批注文字 Char"/>
    <w:basedOn w:val="a0"/>
    <w:link w:val="af6"/>
    <w:semiHidden/>
    <w:rsid w:val="002F5370"/>
    <w:rPr>
      <w:rFonts w:ascii="Times New Roman" w:eastAsia="宋体" w:hAnsi="Times New Roman" w:cs="Times New Roman"/>
      <w:szCs w:val="24"/>
    </w:rPr>
  </w:style>
  <w:style w:type="character" w:customStyle="1" w:styleId="Charc">
    <w:name w:val="批注主题 Char"/>
    <w:basedOn w:val="Charb"/>
    <w:link w:val="af7"/>
    <w:semiHidden/>
    <w:rsid w:val="002F5370"/>
    <w:rPr>
      <w:rFonts w:ascii="Times New Roman" w:eastAsia="宋体" w:hAnsi="Times New Roman" w:cs="Times New Roman"/>
      <w:b/>
      <w:bCs/>
      <w:szCs w:val="24"/>
    </w:rPr>
  </w:style>
  <w:style w:type="paragraph" w:styleId="af7">
    <w:name w:val="annotation subject"/>
    <w:basedOn w:val="af6"/>
    <w:next w:val="af6"/>
    <w:link w:val="Charc"/>
    <w:semiHidden/>
    <w:rsid w:val="002F5370"/>
    <w:rPr>
      <w:b/>
      <w:bCs/>
    </w:rPr>
  </w:style>
  <w:style w:type="paragraph" w:customStyle="1" w:styleId="12">
    <w:name w:val="1"/>
    <w:basedOn w:val="a"/>
    <w:rsid w:val="002F5370"/>
    <w:pPr>
      <w:spacing w:before="100" w:beforeAutospacing="1" w:after="120" w:afterAutospacing="1" w:line="360" w:lineRule="auto"/>
      <w:ind w:leftChars="200" w:left="420"/>
    </w:pPr>
  </w:style>
  <w:style w:type="character" w:customStyle="1" w:styleId="heigh1801">
    <w:name w:val="heigh1801"/>
    <w:basedOn w:val="a0"/>
    <w:rsid w:val="002F5370"/>
  </w:style>
  <w:style w:type="paragraph" w:customStyle="1" w:styleId="CharCharChar1">
    <w:name w:val="Char Char Char1"/>
    <w:basedOn w:val="a"/>
    <w:rsid w:val="002F5370"/>
  </w:style>
  <w:style w:type="character" w:customStyle="1" w:styleId="Chard">
    <w:name w:val="日期 Char"/>
    <w:basedOn w:val="a0"/>
    <w:link w:val="af8"/>
    <w:rsid w:val="002F5370"/>
    <w:rPr>
      <w:rFonts w:ascii="Times New Roman" w:eastAsia="宋体" w:hAnsi="Times New Roman" w:cs="Times New Roman"/>
      <w:szCs w:val="24"/>
    </w:rPr>
  </w:style>
  <w:style w:type="paragraph" w:styleId="af8">
    <w:name w:val="Date"/>
    <w:basedOn w:val="a"/>
    <w:next w:val="a"/>
    <w:link w:val="Chard"/>
    <w:rsid w:val="002F5370"/>
    <w:pPr>
      <w:ind w:leftChars="2500" w:left="100"/>
    </w:pPr>
  </w:style>
  <w:style w:type="paragraph" w:styleId="af9">
    <w:name w:val="Revision"/>
    <w:hidden/>
    <w:uiPriority w:val="99"/>
    <w:semiHidden/>
    <w:rsid w:val="002F5370"/>
    <w:rPr>
      <w:rFonts w:ascii="Times New Roman" w:hAnsi="Times New Roman"/>
      <w:kern w:val="2"/>
      <w:sz w:val="21"/>
      <w:szCs w:val="24"/>
    </w:rPr>
  </w:style>
  <w:style w:type="paragraph" w:customStyle="1" w:styleId="msonormalcxspmiddle">
    <w:name w:val="msonormalcxspmiddle"/>
    <w:basedOn w:val="a"/>
    <w:rsid w:val="00541075"/>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0"/>
    <w:locked/>
    <w:rsid w:val="00C74F2E"/>
    <w:rPr>
      <w:rFonts w:ascii="宋体" w:eastAsia="宋体" w:hAnsi="Courier New" w:cs="Courier New"/>
      <w:kern w:val="2"/>
      <w:sz w:val="21"/>
      <w:szCs w:val="21"/>
      <w:lang w:val="en-US" w:eastAsia="zh-CN" w:bidi="ar-SA"/>
    </w:rPr>
  </w:style>
  <w:style w:type="character" w:customStyle="1" w:styleId="1Char1">
    <w:name w:val="标题 1 Char1"/>
    <w:aliases w:val="Heading 0 Char1,H1 Char1,PIM 1 Char1,Heading 11 Char1,level 1 Char1,Level 1 Head Char1,h1 Char1,123321 Char1,Level 1 Topic Heading Char1"/>
    <w:basedOn w:val="a0"/>
    <w:rsid w:val="00CA753B"/>
    <w:rPr>
      <w:rFonts w:ascii="Times New Roman" w:hAnsi="Times New Roman"/>
      <w:b/>
      <w:bCs/>
      <w:kern w:val="44"/>
      <w:sz w:val="44"/>
      <w:szCs w:val="44"/>
    </w:rPr>
  </w:style>
  <w:style w:type="paragraph" w:customStyle="1" w:styleId="CharCharChar10">
    <w:name w:val="Char Char Char1"/>
    <w:basedOn w:val="a"/>
    <w:rsid w:val="00CA753B"/>
  </w:style>
  <w:style w:type="character" w:customStyle="1" w:styleId="Char10">
    <w:name w:val="纯文本 Char1"/>
    <w:basedOn w:val="a0"/>
    <w:semiHidden/>
    <w:locked/>
    <w:rsid w:val="00BC3783"/>
    <w:rPr>
      <w:rFonts w:ascii="宋体" w:hAnsi="Courier New" w:cs="Courier New"/>
      <w:kern w:val="2"/>
      <w:sz w:val="21"/>
      <w:szCs w:val="21"/>
    </w:rPr>
  </w:style>
  <w:style w:type="paragraph" w:customStyle="1" w:styleId="Default">
    <w:name w:val="Default"/>
    <w:rsid w:val="009925B7"/>
    <w:pPr>
      <w:widowControl w:val="0"/>
      <w:autoSpaceDE w:val="0"/>
      <w:autoSpaceDN w:val="0"/>
      <w:adjustRightInd w:val="0"/>
    </w:pPr>
    <w:rPr>
      <w:rFonts w:ascii="宋体" w:cs="宋体"/>
      <w:color w:val="000000"/>
      <w:sz w:val="24"/>
      <w:szCs w:val="24"/>
    </w:rPr>
  </w:style>
  <w:style w:type="paragraph" w:customStyle="1" w:styleId="c">
    <w:name w:val="c_"/>
    <w:rsid w:val="004951C0"/>
    <w:pPr>
      <w:widowControl w:val="0"/>
      <w:autoSpaceDE w:val="0"/>
      <w:autoSpaceDN w:val="0"/>
      <w:adjustRightInd w:val="0"/>
      <w:jc w:val="both"/>
    </w:pPr>
    <w:rPr>
      <w:rFonts w:ascii="五" w:eastAsia="五" w:cs="Calibri"/>
      <w:sz w:val="24"/>
    </w:rPr>
  </w:style>
  <w:style w:type="paragraph" w:styleId="33">
    <w:name w:val="toc 3"/>
    <w:basedOn w:val="a"/>
    <w:next w:val="a"/>
    <w:autoRedefine/>
    <w:uiPriority w:val="39"/>
    <w:unhideWhenUsed/>
    <w:rsid w:val="00FD6642"/>
    <w:pPr>
      <w:ind w:leftChars="400" w:left="840"/>
    </w:pPr>
    <w:rPr>
      <w:rFonts w:asciiTheme="minorHAnsi" w:eastAsiaTheme="minorEastAsia" w:hAnsiTheme="minorHAnsi" w:cstheme="minorBidi"/>
      <w:szCs w:val="22"/>
    </w:rPr>
  </w:style>
  <w:style w:type="paragraph" w:styleId="42">
    <w:name w:val="toc 4"/>
    <w:basedOn w:val="a"/>
    <w:next w:val="a"/>
    <w:autoRedefine/>
    <w:uiPriority w:val="39"/>
    <w:unhideWhenUsed/>
    <w:rsid w:val="00FD6642"/>
    <w:pPr>
      <w:ind w:leftChars="600" w:left="1260"/>
    </w:pPr>
    <w:rPr>
      <w:rFonts w:asciiTheme="minorHAnsi" w:eastAsiaTheme="minorEastAsia" w:hAnsiTheme="minorHAnsi" w:cstheme="minorBidi"/>
      <w:szCs w:val="22"/>
    </w:rPr>
  </w:style>
  <w:style w:type="paragraph" w:styleId="51">
    <w:name w:val="toc 5"/>
    <w:basedOn w:val="a"/>
    <w:next w:val="a"/>
    <w:autoRedefine/>
    <w:uiPriority w:val="39"/>
    <w:unhideWhenUsed/>
    <w:rsid w:val="00FD6642"/>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FD6642"/>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FD6642"/>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FD6642"/>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FD6642"/>
    <w:pPr>
      <w:ind w:leftChars="1600" w:left="3360"/>
    </w:pPr>
    <w:rPr>
      <w:rFonts w:asciiTheme="minorHAnsi" w:eastAsiaTheme="minorEastAsia" w:hAnsiTheme="minorHAnsi" w:cstheme="minorBidi"/>
      <w:szCs w:val="22"/>
    </w:rPr>
  </w:style>
  <w:style w:type="table" w:styleId="afa">
    <w:name w:val="Table Grid"/>
    <w:basedOn w:val="a1"/>
    <w:qFormat/>
    <w:rsid w:val="006E7F6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样式 标题 1 + 段前: 1.5 行"/>
    <w:basedOn w:val="a"/>
    <w:rsid w:val="0021119F"/>
    <w:pPr>
      <w:tabs>
        <w:tab w:val="num" w:pos="990"/>
      </w:tabs>
      <w:ind w:leftChars="-200" w:left="990" w:firstLineChars="200" w:hanging="840"/>
    </w:pPr>
    <w:rPr>
      <w:sz w:val="24"/>
      <w:szCs w:val="20"/>
    </w:rPr>
  </w:style>
  <w:style w:type="paragraph" w:customStyle="1" w:styleId="25">
    <w:name w:val="样式 首行缩进:  2 字符"/>
    <w:basedOn w:val="a"/>
    <w:rsid w:val="0021119F"/>
    <w:pPr>
      <w:spacing w:before="100" w:beforeAutospacing="1" w:after="100" w:afterAutospacing="1" w:line="360" w:lineRule="auto"/>
      <w:ind w:leftChars="-200" w:left="-200" w:firstLineChars="200" w:firstLine="480"/>
    </w:pPr>
    <w:rPr>
      <w:szCs w:val="20"/>
    </w:rPr>
  </w:style>
  <w:style w:type="paragraph" w:customStyle="1" w:styleId="2111111">
    <w:name w:val="样式 样式 样式 标题 2 + 段前: 1 行 段后: 1 行1 + 段前: 1 行 段后: 1 行 + 段前: 1 行 段后..."/>
    <w:basedOn w:val="a"/>
    <w:rsid w:val="0021119F"/>
    <w:pPr>
      <w:keepNext/>
      <w:keepLines/>
      <w:spacing w:beforeLines="100" w:afterLines="100"/>
      <w:ind w:leftChars="-200" w:left="-200" w:firstLineChars="200" w:firstLine="200"/>
      <w:outlineLvl w:val="1"/>
    </w:pPr>
    <w:rPr>
      <w:rFonts w:ascii="Arial" w:hAnsi="Arial"/>
      <w:b/>
      <w:bCs/>
      <w:sz w:val="28"/>
      <w:szCs w:val="20"/>
    </w:rPr>
  </w:style>
  <w:style w:type="paragraph" w:customStyle="1" w:styleId="2111">
    <w:name w:val="样式 标题 2 + 段前: 1 行 段后: 1 行1"/>
    <w:basedOn w:val="20"/>
    <w:rsid w:val="0021119F"/>
    <w:pPr>
      <w:ind w:leftChars="-200" w:left="-200" w:firstLineChars="0" w:firstLine="0"/>
    </w:pPr>
    <w:rPr>
      <w:bCs/>
      <w:szCs w:val="20"/>
    </w:rPr>
  </w:style>
  <w:style w:type="paragraph" w:customStyle="1" w:styleId="211111">
    <w:name w:val="样式 样式 标题 2 + 段前: 1 行 段后: 1 行1 + 段前: 1 行 段后: 1 行"/>
    <w:basedOn w:val="2111"/>
    <w:rsid w:val="0021119F"/>
  </w:style>
  <w:style w:type="character" w:customStyle="1" w:styleId="read1">
    <w:name w:val="read1"/>
    <w:basedOn w:val="a0"/>
    <w:rsid w:val="0021119F"/>
    <w:rPr>
      <w:rFonts w:ascii="ˎ̥" w:hAnsi="ˎ̥" w:hint="default"/>
      <w:strike w:val="0"/>
      <w:dstrike w:val="0"/>
      <w:color w:val="000000"/>
      <w:u w:val="none"/>
      <w:effect w:val="none"/>
    </w:rPr>
  </w:style>
  <w:style w:type="paragraph" w:styleId="afb">
    <w:name w:val="List Number"/>
    <w:basedOn w:val="a"/>
    <w:rsid w:val="0021119F"/>
    <w:pPr>
      <w:tabs>
        <w:tab w:val="num" w:pos="360"/>
      </w:tabs>
      <w:ind w:leftChars="-200" w:left="360" w:hangingChars="200" w:hanging="360"/>
    </w:pPr>
  </w:style>
  <w:style w:type="paragraph" w:styleId="26">
    <w:name w:val="List Number 2"/>
    <w:basedOn w:val="a"/>
    <w:rsid w:val="0021119F"/>
    <w:pPr>
      <w:tabs>
        <w:tab w:val="num" w:pos="780"/>
      </w:tabs>
      <w:ind w:leftChars="200" w:left="780" w:hangingChars="200" w:hanging="360"/>
    </w:pPr>
  </w:style>
  <w:style w:type="paragraph" w:styleId="afc">
    <w:name w:val="List Bullet"/>
    <w:basedOn w:val="a"/>
    <w:autoRedefine/>
    <w:rsid w:val="0021119F"/>
    <w:pPr>
      <w:tabs>
        <w:tab w:val="num" w:pos="360"/>
      </w:tabs>
      <w:ind w:leftChars="-200" w:left="360" w:hangingChars="200" w:hanging="360"/>
    </w:pPr>
  </w:style>
  <w:style w:type="paragraph" w:styleId="34">
    <w:name w:val="List Bullet 3"/>
    <w:basedOn w:val="a"/>
    <w:autoRedefine/>
    <w:rsid w:val="0021119F"/>
    <w:pPr>
      <w:tabs>
        <w:tab w:val="num" w:pos="1200"/>
      </w:tabs>
      <w:ind w:leftChars="400" w:left="1200" w:hangingChars="200" w:hanging="360"/>
    </w:pPr>
  </w:style>
  <w:style w:type="paragraph" w:styleId="52">
    <w:name w:val="List Bullet 5"/>
    <w:basedOn w:val="a"/>
    <w:autoRedefine/>
    <w:rsid w:val="0021119F"/>
    <w:pPr>
      <w:tabs>
        <w:tab w:val="num" w:pos="2040"/>
      </w:tabs>
      <w:ind w:leftChars="800" w:left="2040" w:hangingChars="200" w:hanging="360"/>
    </w:pPr>
  </w:style>
  <w:style w:type="paragraph" w:styleId="afd">
    <w:name w:val="table of figures"/>
    <w:basedOn w:val="a"/>
    <w:next w:val="a"/>
    <w:semiHidden/>
    <w:rsid w:val="0021119F"/>
    <w:pPr>
      <w:ind w:leftChars="200" w:left="840" w:hangingChars="200" w:hanging="420"/>
    </w:pPr>
  </w:style>
  <w:style w:type="character" w:customStyle="1" w:styleId="font141">
    <w:name w:val="font141"/>
    <w:basedOn w:val="a0"/>
    <w:rsid w:val="0021119F"/>
    <w:rPr>
      <w:rFonts w:ascii="宋体" w:eastAsia="宋体" w:hAnsi="宋体" w:hint="eastAsia"/>
      <w:spacing w:val="300"/>
      <w:sz w:val="21"/>
      <w:szCs w:val="21"/>
    </w:rPr>
  </w:style>
  <w:style w:type="paragraph" w:styleId="afe">
    <w:name w:val="Block Text"/>
    <w:basedOn w:val="a"/>
    <w:rsid w:val="0021119F"/>
    <w:pPr>
      <w:spacing w:after="120"/>
      <w:ind w:leftChars="-200" w:left="1440" w:right="1440" w:firstLineChars="200" w:firstLine="200"/>
    </w:pPr>
  </w:style>
  <w:style w:type="character" w:styleId="aff">
    <w:name w:val="footnote reference"/>
    <w:basedOn w:val="a0"/>
    <w:semiHidden/>
    <w:rsid w:val="0021119F"/>
    <w:rPr>
      <w:vertAlign w:val="superscript"/>
    </w:rPr>
  </w:style>
  <w:style w:type="paragraph" w:customStyle="1" w:styleId="13">
    <w:name w:val="列表1"/>
    <w:basedOn w:val="a"/>
    <w:next w:val="a"/>
    <w:rsid w:val="0021119F"/>
    <w:pPr>
      <w:tabs>
        <w:tab w:val="num" w:pos="644"/>
      </w:tabs>
      <w:spacing w:line="360" w:lineRule="auto"/>
      <w:ind w:leftChars="-200" w:left="567" w:firstLineChars="200" w:hanging="283"/>
    </w:pPr>
    <w:rPr>
      <w:szCs w:val="20"/>
    </w:rPr>
  </w:style>
  <w:style w:type="paragraph" w:customStyle="1" w:styleId="2211">
    <w:name w:val="样式 标题 2 + 首行缩进:  2 字符 段前: 1 行 段后: 1 行"/>
    <w:basedOn w:val="20"/>
    <w:rsid w:val="0021119F"/>
    <w:pPr>
      <w:tabs>
        <w:tab w:val="num" w:pos="1276"/>
      </w:tabs>
      <w:spacing w:beforeLines="0" w:afterLines="0"/>
      <w:ind w:leftChars="-200" w:left="851" w:firstLineChars="0" w:firstLine="0"/>
    </w:pPr>
    <w:rPr>
      <w:szCs w:val="20"/>
    </w:rPr>
  </w:style>
  <w:style w:type="character" w:styleId="aff0">
    <w:name w:val="annotation reference"/>
    <w:basedOn w:val="a0"/>
    <w:semiHidden/>
    <w:rsid w:val="0021119F"/>
    <w:rPr>
      <w:sz w:val="21"/>
      <w:szCs w:val="21"/>
    </w:rPr>
  </w:style>
  <w:style w:type="paragraph" w:customStyle="1" w:styleId="CharCharCharChar">
    <w:name w:val="Char Char Char Char"/>
    <w:basedOn w:val="a"/>
    <w:autoRedefine/>
    <w:rsid w:val="0021119F"/>
    <w:pPr>
      <w:tabs>
        <w:tab w:val="num" w:pos="360"/>
      </w:tabs>
      <w:ind w:leftChars="-200" w:left="-200" w:firstLineChars="200" w:firstLine="200"/>
    </w:pPr>
    <w:rPr>
      <w:sz w:val="24"/>
    </w:rPr>
  </w:style>
  <w:style w:type="table" w:styleId="aff1">
    <w:name w:val="Table Theme"/>
    <w:basedOn w:val="a1"/>
    <w:rsid w:val="0021119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e">
    <w:name w:val="Char"/>
    <w:basedOn w:val="a"/>
    <w:rsid w:val="0021119F"/>
    <w:pPr>
      <w:ind w:leftChars="-200" w:left="-200" w:firstLineChars="200" w:firstLine="200"/>
    </w:pPr>
  </w:style>
  <w:style w:type="paragraph" w:customStyle="1" w:styleId="ParaChar">
    <w:name w:val="默认段落字体 Para Char"/>
    <w:basedOn w:val="a"/>
    <w:autoRedefine/>
    <w:rsid w:val="0021119F"/>
    <w:pPr>
      <w:tabs>
        <w:tab w:val="num" w:pos="360"/>
        <w:tab w:val="num" w:pos="990"/>
      </w:tabs>
      <w:ind w:leftChars="-200" w:left="-200" w:firstLineChars="200" w:firstLine="200"/>
    </w:pPr>
    <w:rPr>
      <w:sz w:val="24"/>
    </w:rPr>
  </w:style>
  <w:style w:type="character" w:styleId="HTML0">
    <w:name w:val="HTML Typewriter"/>
    <w:basedOn w:val="a0"/>
    <w:uiPriority w:val="99"/>
    <w:rsid w:val="0021119F"/>
    <w:rPr>
      <w:rFonts w:ascii="宋体" w:eastAsia="宋体" w:hAnsi="宋体" w:cs="宋体"/>
      <w:sz w:val="24"/>
      <w:szCs w:val="24"/>
    </w:rPr>
  </w:style>
  <w:style w:type="paragraph" w:customStyle="1" w:styleId="aff2">
    <w:name w:val="正文所"/>
    <w:basedOn w:val="a"/>
    <w:rsid w:val="0021119F"/>
    <w:pPr>
      <w:spacing w:line="360" w:lineRule="auto"/>
      <w:ind w:leftChars="-200" w:left="-200" w:firstLineChars="200" w:firstLine="420"/>
    </w:pPr>
  </w:style>
  <w:style w:type="paragraph" w:styleId="aff3">
    <w:name w:val="footnote text"/>
    <w:basedOn w:val="a"/>
    <w:link w:val="Charf"/>
    <w:semiHidden/>
    <w:rsid w:val="0021119F"/>
    <w:pPr>
      <w:widowControl/>
      <w:spacing w:beforeLines="50" w:afterLines="50" w:line="360" w:lineRule="auto"/>
      <w:ind w:leftChars="500" w:left="500" w:firstLineChars="200" w:firstLine="200"/>
      <w:jc w:val="left"/>
    </w:pPr>
    <w:rPr>
      <w:rFonts w:ascii="Times" w:eastAsia="Times New Roman" w:hAnsi="Times"/>
      <w:kern w:val="0"/>
      <w:sz w:val="20"/>
    </w:rPr>
  </w:style>
  <w:style w:type="character" w:customStyle="1" w:styleId="Charf">
    <w:name w:val="脚注文本 Char"/>
    <w:basedOn w:val="a0"/>
    <w:link w:val="aff3"/>
    <w:semiHidden/>
    <w:rsid w:val="0021119F"/>
    <w:rPr>
      <w:rFonts w:ascii="Times" w:eastAsia="Times New Roman" w:hAnsi="Times"/>
      <w:szCs w:val="24"/>
    </w:rPr>
  </w:style>
  <w:style w:type="character" w:customStyle="1" w:styleId="aff4">
    <w:name w:val="a"/>
    <w:basedOn w:val="a0"/>
    <w:rsid w:val="0021119F"/>
  </w:style>
  <w:style w:type="paragraph" w:customStyle="1" w:styleId="Char11">
    <w:name w:val="Char1"/>
    <w:basedOn w:val="a"/>
    <w:rsid w:val="0021119F"/>
    <w:pPr>
      <w:ind w:leftChars="-200" w:left="-200" w:firstLineChars="200" w:firstLine="200"/>
    </w:pPr>
  </w:style>
  <w:style w:type="paragraph" w:customStyle="1" w:styleId="CharCharCharChar1">
    <w:name w:val="Char Char Char Char1"/>
    <w:basedOn w:val="a"/>
    <w:autoRedefine/>
    <w:rsid w:val="0021119F"/>
    <w:pPr>
      <w:tabs>
        <w:tab w:val="num" w:pos="360"/>
      </w:tabs>
      <w:spacing w:before="312" w:after="312" w:line="360" w:lineRule="auto"/>
      <w:ind w:leftChars="-200" w:left="-200" w:firstLineChars="200" w:firstLine="200"/>
    </w:pPr>
    <w:rPr>
      <w:sz w:val="24"/>
    </w:rPr>
  </w:style>
  <w:style w:type="paragraph" w:customStyle="1" w:styleId="CharCharCharCharCharCharChar0">
    <w:name w:val="Char Char Char Char Char Char Char"/>
    <w:basedOn w:val="a"/>
    <w:rsid w:val="0021119F"/>
    <w:pPr>
      <w:ind w:leftChars="-200" w:left="-200" w:firstLineChars="200" w:firstLine="200"/>
    </w:pPr>
  </w:style>
  <w:style w:type="character" w:customStyle="1" w:styleId="text1">
    <w:name w:val="text1"/>
    <w:basedOn w:val="a0"/>
    <w:rsid w:val="0021119F"/>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21119F"/>
    <w:rPr>
      <w:rFonts w:ascii="Arial" w:hAnsi="Arial" w:cs="Arial" w:hint="default"/>
    </w:rPr>
  </w:style>
  <w:style w:type="character" w:customStyle="1" w:styleId="fontcolor3">
    <w:name w:val="fontcolor3"/>
    <w:basedOn w:val="a0"/>
    <w:rsid w:val="0021119F"/>
    <w:rPr>
      <w:color w:val="6C057B"/>
    </w:rPr>
  </w:style>
  <w:style w:type="character" w:customStyle="1" w:styleId="15">
    <w:name w:val="15"/>
    <w:basedOn w:val="a0"/>
    <w:rsid w:val="0021119F"/>
  </w:style>
  <w:style w:type="character" w:customStyle="1" w:styleId="txtcontent11">
    <w:name w:val="txtcontent11"/>
    <w:basedOn w:val="a0"/>
    <w:rsid w:val="0021119F"/>
  </w:style>
  <w:style w:type="character" w:customStyle="1" w:styleId="CharChar">
    <w:name w:val="Char Char"/>
    <w:basedOn w:val="a0"/>
    <w:locked/>
    <w:rsid w:val="0021119F"/>
    <w:rPr>
      <w:rFonts w:ascii="Calibri" w:eastAsia="宋体" w:hAnsi="Courier New" w:cs="Courier New"/>
      <w:kern w:val="2"/>
      <w:sz w:val="21"/>
      <w:szCs w:val="21"/>
      <w:lang w:val="en-US" w:eastAsia="zh-CN" w:bidi="ar-SA"/>
    </w:rPr>
  </w:style>
  <w:style w:type="paragraph" w:styleId="aff5">
    <w:name w:val="List Paragraph"/>
    <w:basedOn w:val="a"/>
    <w:uiPriority w:val="34"/>
    <w:qFormat/>
    <w:rsid w:val="0021119F"/>
    <w:pPr>
      <w:ind w:leftChars="-200" w:left="-200" w:firstLineChars="200" w:firstLine="420"/>
    </w:pPr>
  </w:style>
  <w:style w:type="character" w:customStyle="1" w:styleId="2Char10">
    <w:name w:val="标题 2 Char1"/>
    <w:aliases w:val="H2 Char1,Heading 2 Hidden Char1,Heading 2 CCBS Char1,标题 2 Char Char Char1,2nd level Char1,h2 Char1,2 Char1,Header 2 Char1,PIM2 Char1,l2 Char1,Level 2 Head Char1,proj2 Char1,proj21 Char1,proj22 Char1,proj23 Char1,proj24 Char1,proj25 Char1"/>
    <w:basedOn w:val="a0"/>
    <w:semiHidden/>
    <w:rsid w:val="00A76DB7"/>
    <w:rPr>
      <w:rFonts w:asciiTheme="majorHAnsi" w:eastAsiaTheme="majorEastAsia" w:hAnsiTheme="majorHAnsi" w:cstheme="majorBidi"/>
      <w:b/>
      <w:bCs/>
      <w:kern w:val="2"/>
      <w:sz w:val="32"/>
      <w:szCs w:val="32"/>
    </w:rPr>
  </w:style>
  <w:style w:type="character" w:customStyle="1" w:styleId="3Char10">
    <w:name w:val="标题 3 Char1"/>
    <w:aliases w:val="Bold Head Char1,bh Char1,h3 Char1,Level 3 Head Char1,H3 Char1,l3 Char1,CT Char1,Heading 3 - old Char1,3rd level Char1,level_3 Char1,PIM 3 Char1,sect1.2.3 Char1,3 Char1,heading 3 Char1,标题 4.1.1 Char1,Fab-3 Char1,sect1.2.31 Char1,Title3 Char"/>
    <w:basedOn w:val="a0"/>
    <w:semiHidden/>
    <w:rsid w:val="00A76DB7"/>
    <w:rPr>
      <w:rFonts w:ascii="Times New Roman" w:eastAsia="宋体" w:hAnsi="Times New Roman" w:cs="Times New Roman"/>
      <w:b/>
      <w:bCs/>
      <w:kern w:val="2"/>
      <w:sz w:val="32"/>
      <w:szCs w:val="32"/>
    </w:rPr>
  </w:style>
  <w:style w:type="character" w:customStyle="1" w:styleId="4Char1">
    <w:name w:val="标题 4 Char1"/>
    <w:aliases w:val="H4 Char1,PIM 4 Char1,h4 Char1,Fab-4 Char1,T5 Char1,Ref Heading 1 Char1,rh1 Char1,Heading sql Char1,sect 1.2.3.4 Char1"/>
    <w:basedOn w:val="a0"/>
    <w:semiHidden/>
    <w:rsid w:val="00A76DB7"/>
    <w:rPr>
      <w:rFonts w:asciiTheme="majorHAnsi" w:eastAsiaTheme="majorEastAsia" w:hAnsiTheme="majorHAnsi" w:cstheme="majorBidi"/>
      <w:b/>
      <w:bCs/>
      <w:kern w:val="2"/>
      <w:sz w:val="28"/>
      <w:szCs w:val="28"/>
    </w:rPr>
  </w:style>
  <w:style w:type="paragraph" w:customStyle="1" w:styleId="xl23">
    <w:name w:val="xl23"/>
    <w:basedOn w:val="a"/>
    <w:rsid w:val="00A76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CharCharChar11">
    <w:name w:val="Char Char Char11"/>
    <w:basedOn w:val="a"/>
    <w:rsid w:val="00A7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791">
      <w:bodyDiv w:val="1"/>
      <w:marLeft w:val="0"/>
      <w:marRight w:val="0"/>
      <w:marTop w:val="0"/>
      <w:marBottom w:val="0"/>
      <w:divBdr>
        <w:top w:val="none" w:sz="0" w:space="0" w:color="auto"/>
        <w:left w:val="none" w:sz="0" w:space="0" w:color="auto"/>
        <w:bottom w:val="none" w:sz="0" w:space="0" w:color="auto"/>
        <w:right w:val="none" w:sz="0" w:space="0" w:color="auto"/>
      </w:divBdr>
    </w:div>
    <w:div w:id="25257454">
      <w:bodyDiv w:val="1"/>
      <w:marLeft w:val="0"/>
      <w:marRight w:val="0"/>
      <w:marTop w:val="0"/>
      <w:marBottom w:val="0"/>
      <w:divBdr>
        <w:top w:val="none" w:sz="0" w:space="0" w:color="auto"/>
        <w:left w:val="none" w:sz="0" w:space="0" w:color="auto"/>
        <w:bottom w:val="none" w:sz="0" w:space="0" w:color="auto"/>
        <w:right w:val="none" w:sz="0" w:space="0" w:color="auto"/>
      </w:divBdr>
    </w:div>
    <w:div w:id="38475087">
      <w:bodyDiv w:val="1"/>
      <w:marLeft w:val="0"/>
      <w:marRight w:val="0"/>
      <w:marTop w:val="0"/>
      <w:marBottom w:val="0"/>
      <w:divBdr>
        <w:top w:val="none" w:sz="0" w:space="0" w:color="auto"/>
        <w:left w:val="none" w:sz="0" w:space="0" w:color="auto"/>
        <w:bottom w:val="none" w:sz="0" w:space="0" w:color="auto"/>
        <w:right w:val="none" w:sz="0" w:space="0" w:color="auto"/>
      </w:divBdr>
    </w:div>
    <w:div w:id="40178426">
      <w:bodyDiv w:val="1"/>
      <w:marLeft w:val="0"/>
      <w:marRight w:val="0"/>
      <w:marTop w:val="0"/>
      <w:marBottom w:val="0"/>
      <w:divBdr>
        <w:top w:val="none" w:sz="0" w:space="0" w:color="auto"/>
        <w:left w:val="none" w:sz="0" w:space="0" w:color="auto"/>
        <w:bottom w:val="none" w:sz="0" w:space="0" w:color="auto"/>
        <w:right w:val="none" w:sz="0" w:space="0" w:color="auto"/>
      </w:divBdr>
    </w:div>
    <w:div w:id="73362927">
      <w:bodyDiv w:val="1"/>
      <w:marLeft w:val="0"/>
      <w:marRight w:val="0"/>
      <w:marTop w:val="0"/>
      <w:marBottom w:val="0"/>
      <w:divBdr>
        <w:top w:val="none" w:sz="0" w:space="0" w:color="auto"/>
        <w:left w:val="none" w:sz="0" w:space="0" w:color="auto"/>
        <w:bottom w:val="none" w:sz="0" w:space="0" w:color="auto"/>
        <w:right w:val="none" w:sz="0" w:space="0" w:color="auto"/>
      </w:divBdr>
    </w:div>
    <w:div w:id="75788867">
      <w:bodyDiv w:val="1"/>
      <w:marLeft w:val="0"/>
      <w:marRight w:val="0"/>
      <w:marTop w:val="0"/>
      <w:marBottom w:val="0"/>
      <w:divBdr>
        <w:top w:val="none" w:sz="0" w:space="0" w:color="auto"/>
        <w:left w:val="none" w:sz="0" w:space="0" w:color="auto"/>
        <w:bottom w:val="none" w:sz="0" w:space="0" w:color="auto"/>
        <w:right w:val="none" w:sz="0" w:space="0" w:color="auto"/>
      </w:divBdr>
    </w:div>
    <w:div w:id="81419019">
      <w:bodyDiv w:val="1"/>
      <w:marLeft w:val="0"/>
      <w:marRight w:val="0"/>
      <w:marTop w:val="0"/>
      <w:marBottom w:val="0"/>
      <w:divBdr>
        <w:top w:val="none" w:sz="0" w:space="0" w:color="auto"/>
        <w:left w:val="none" w:sz="0" w:space="0" w:color="auto"/>
        <w:bottom w:val="none" w:sz="0" w:space="0" w:color="auto"/>
        <w:right w:val="none" w:sz="0" w:space="0" w:color="auto"/>
      </w:divBdr>
    </w:div>
    <w:div w:id="102267995">
      <w:bodyDiv w:val="1"/>
      <w:marLeft w:val="0"/>
      <w:marRight w:val="0"/>
      <w:marTop w:val="0"/>
      <w:marBottom w:val="0"/>
      <w:divBdr>
        <w:top w:val="none" w:sz="0" w:space="0" w:color="auto"/>
        <w:left w:val="none" w:sz="0" w:space="0" w:color="auto"/>
        <w:bottom w:val="none" w:sz="0" w:space="0" w:color="auto"/>
        <w:right w:val="none" w:sz="0" w:space="0" w:color="auto"/>
      </w:divBdr>
    </w:div>
    <w:div w:id="123624385">
      <w:bodyDiv w:val="1"/>
      <w:marLeft w:val="0"/>
      <w:marRight w:val="0"/>
      <w:marTop w:val="0"/>
      <w:marBottom w:val="0"/>
      <w:divBdr>
        <w:top w:val="none" w:sz="0" w:space="0" w:color="auto"/>
        <w:left w:val="none" w:sz="0" w:space="0" w:color="auto"/>
        <w:bottom w:val="none" w:sz="0" w:space="0" w:color="auto"/>
        <w:right w:val="none" w:sz="0" w:space="0" w:color="auto"/>
      </w:divBdr>
    </w:div>
    <w:div w:id="138570258">
      <w:bodyDiv w:val="1"/>
      <w:marLeft w:val="0"/>
      <w:marRight w:val="0"/>
      <w:marTop w:val="0"/>
      <w:marBottom w:val="0"/>
      <w:divBdr>
        <w:top w:val="none" w:sz="0" w:space="0" w:color="auto"/>
        <w:left w:val="none" w:sz="0" w:space="0" w:color="auto"/>
        <w:bottom w:val="none" w:sz="0" w:space="0" w:color="auto"/>
        <w:right w:val="none" w:sz="0" w:space="0" w:color="auto"/>
      </w:divBdr>
    </w:div>
    <w:div w:id="188878926">
      <w:bodyDiv w:val="1"/>
      <w:marLeft w:val="0"/>
      <w:marRight w:val="0"/>
      <w:marTop w:val="0"/>
      <w:marBottom w:val="0"/>
      <w:divBdr>
        <w:top w:val="none" w:sz="0" w:space="0" w:color="auto"/>
        <w:left w:val="none" w:sz="0" w:space="0" w:color="auto"/>
        <w:bottom w:val="none" w:sz="0" w:space="0" w:color="auto"/>
        <w:right w:val="none" w:sz="0" w:space="0" w:color="auto"/>
      </w:divBdr>
    </w:div>
    <w:div w:id="189227259">
      <w:bodyDiv w:val="1"/>
      <w:marLeft w:val="0"/>
      <w:marRight w:val="0"/>
      <w:marTop w:val="0"/>
      <w:marBottom w:val="0"/>
      <w:divBdr>
        <w:top w:val="none" w:sz="0" w:space="0" w:color="auto"/>
        <w:left w:val="none" w:sz="0" w:space="0" w:color="auto"/>
        <w:bottom w:val="none" w:sz="0" w:space="0" w:color="auto"/>
        <w:right w:val="none" w:sz="0" w:space="0" w:color="auto"/>
      </w:divBdr>
    </w:div>
    <w:div w:id="199785187">
      <w:bodyDiv w:val="1"/>
      <w:marLeft w:val="0"/>
      <w:marRight w:val="0"/>
      <w:marTop w:val="0"/>
      <w:marBottom w:val="0"/>
      <w:divBdr>
        <w:top w:val="none" w:sz="0" w:space="0" w:color="auto"/>
        <w:left w:val="none" w:sz="0" w:space="0" w:color="auto"/>
        <w:bottom w:val="none" w:sz="0" w:space="0" w:color="auto"/>
        <w:right w:val="none" w:sz="0" w:space="0" w:color="auto"/>
      </w:divBdr>
    </w:div>
    <w:div w:id="206336380">
      <w:bodyDiv w:val="1"/>
      <w:marLeft w:val="0"/>
      <w:marRight w:val="0"/>
      <w:marTop w:val="0"/>
      <w:marBottom w:val="0"/>
      <w:divBdr>
        <w:top w:val="none" w:sz="0" w:space="0" w:color="auto"/>
        <w:left w:val="none" w:sz="0" w:space="0" w:color="auto"/>
        <w:bottom w:val="none" w:sz="0" w:space="0" w:color="auto"/>
        <w:right w:val="none" w:sz="0" w:space="0" w:color="auto"/>
      </w:divBdr>
    </w:div>
    <w:div w:id="208303934">
      <w:bodyDiv w:val="1"/>
      <w:marLeft w:val="0"/>
      <w:marRight w:val="0"/>
      <w:marTop w:val="0"/>
      <w:marBottom w:val="0"/>
      <w:divBdr>
        <w:top w:val="none" w:sz="0" w:space="0" w:color="auto"/>
        <w:left w:val="none" w:sz="0" w:space="0" w:color="auto"/>
        <w:bottom w:val="none" w:sz="0" w:space="0" w:color="auto"/>
        <w:right w:val="none" w:sz="0" w:space="0" w:color="auto"/>
      </w:divBdr>
    </w:div>
    <w:div w:id="217281578">
      <w:bodyDiv w:val="1"/>
      <w:marLeft w:val="0"/>
      <w:marRight w:val="0"/>
      <w:marTop w:val="0"/>
      <w:marBottom w:val="0"/>
      <w:divBdr>
        <w:top w:val="none" w:sz="0" w:space="0" w:color="auto"/>
        <w:left w:val="none" w:sz="0" w:space="0" w:color="auto"/>
        <w:bottom w:val="none" w:sz="0" w:space="0" w:color="auto"/>
        <w:right w:val="none" w:sz="0" w:space="0" w:color="auto"/>
      </w:divBdr>
    </w:div>
    <w:div w:id="228661847">
      <w:bodyDiv w:val="1"/>
      <w:marLeft w:val="0"/>
      <w:marRight w:val="0"/>
      <w:marTop w:val="0"/>
      <w:marBottom w:val="0"/>
      <w:divBdr>
        <w:top w:val="none" w:sz="0" w:space="0" w:color="auto"/>
        <w:left w:val="none" w:sz="0" w:space="0" w:color="auto"/>
        <w:bottom w:val="none" w:sz="0" w:space="0" w:color="auto"/>
        <w:right w:val="none" w:sz="0" w:space="0" w:color="auto"/>
      </w:divBdr>
    </w:div>
    <w:div w:id="236551486">
      <w:bodyDiv w:val="1"/>
      <w:marLeft w:val="0"/>
      <w:marRight w:val="0"/>
      <w:marTop w:val="0"/>
      <w:marBottom w:val="0"/>
      <w:divBdr>
        <w:top w:val="none" w:sz="0" w:space="0" w:color="auto"/>
        <w:left w:val="none" w:sz="0" w:space="0" w:color="auto"/>
        <w:bottom w:val="none" w:sz="0" w:space="0" w:color="auto"/>
        <w:right w:val="none" w:sz="0" w:space="0" w:color="auto"/>
      </w:divBdr>
    </w:div>
    <w:div w:id="248004171">
      <w:bodyDiv w:val="1"/>
      <w:marLeft w:val="0"/>
      <w:marRight w:val="0"/>
      <w:marTop w:val="0"/>
      <w:marBottom w:val="0"/>
      <w:divBdr>
        <w:top w:val="none" w:sz="0" w:space="0" w:color="auto"/>
        <w:left w:val="none" w:sz="0" w:space="0" w:color="auto"/>
        <w:bottom w:val="none" w:sz="0" w:space="0" w:color="auto"/>
        <w:right w:val="none" w:sz="0" w:space="0" w:color="auto"/>
      </w:divBdr>
    </w:div>
    <w:div w:id="266739673">
      <w:bodyDiv w:val="1"/>
      <w:marLeft w:val="0"/>
      <w:marRight w:val="0"/>
      <w:marTop w:val="0"/>
      <w:marBottom w:val="0"/>
      <w:divBdr>
        <w:top w:val="none" w:sz="0" w:space="0" w:color="auto"/>
        <w:left w:val="none" w:sz="0" w:space="0" w:color="auto"/>
        <w:bottom w:val="none" w:sz="0" w:space="0" w:color="auto"/>
        <w:right w:val="none" w:sz="0" w:space="0" w:color="auto"/>
      </w:divBdr>
    </w:div>
    <w:div w:id="282350131">
      <w:bodyDiv w:val="1"/>
      <w:marLeft w:val="0"/>
      <w:marRight w:val="0"/>
      <w:marTop w:val="0"/>
      <w:marBottom w:val="0"/>
      <w:divBdr>
        <w:top w:val="none" w:sz="0" w:space="0" w:color="auto"/>
        <w:left w:val="none" w:sz="0" w:space="0" w:color="auto"/>
        <w:bottom w:val="none" w:sz="0" w:space="0" w:color="auto"/>
        <w:right w:val="none" w:sz="0" w:space="0" w:color="auto"/>
      </w:divBdr>
    </w:div>
    <w:div w:id="289629880">
      <w:bodyDiv w:val="1"/>
      <w:marLeft w:val="0"/>
      <w:marRight w:val="0"/>
      <w:marTop w:val="0"/>
      <w:marBottom w:val="0"/>
      <w:divBdr>
        <w:top w:val="none" w:sz="0" w:space="0" w:color="auto"/>
        <w:left w:val="none" w:sz="0" w:space="0" w:color="auto"/>
        <w:bottom w:val="none" w:sz="0" w:space="0" w:color="auto"/>
        <w:right w:val="none" w:sz="0" w:space="0" w:color="auto"/>
      </w:divBdr>
    </w:div>
    <w:div w:id="304622764">
      <w:bodyDiv w:val="1"/>
      <w:marLeft w:val="0"/>
      <w:marRight w:val="0"/>
      <w:marTop w:val="0"/>
      <w:marBottom w:val="0"/>
      <w:divBdr>
        <w:top w:val="none" w:sz="0" w:space="0" w:color="auto"/>
        <w:left w:val="none" w:sz="0" w:space="0" w:color="auto"/>
        <w:bottom w:val="none" w:sz="0" w:space="0" w:color="auto"/>
        <w:right w:val="none" w:sz="0" w:space="0" w:color="auto"/>
      </w:divBdr>
    </w:div>
    <w:div w:id="306201401">
      <w:bodyDiv w:val="1"/>
      <w:marLeft w:val="0"/>
      <w:marRight w:val="0"/>
      <w:marTop w:val="0"/>
      <w:marBottom w:val="0"/>
      <w:divBdr>
        <w:top w:val="none" w:sz="0" w:space="0" w:color="auto"/>
        <w:left w:val="none" w:sz="0" w:space="0" w:color="auto"/>
        <w:bottom w:val="none" w:sz="0" w:space="0" w:color="auto"/>
        <w:right w:val="none" w:sz="0" w:space="0" w:color="auto"/>
      </w:divBdr>
    </w:div>
    <w:div w:id="307321802">
      <w:bodyDiv w:val="1"/>
      <w:marLeft w:val="0"/>
      <w:marRight w:val="0"/>
      <w:marTop w:val="0"/>
      <w:marBottom w:val="0"/>
      <w:divBdr>
        <w:top w:val="none" w:sz="0" w:space="0" w:color="auto"/>
        <w:left w:val="none" w:sz="0" w:space="0" w:color="auto"/>
        <w:bottom w:val="none" w:sz="0" w:space="0" w:color="auto"/>
        <w:right w:val="none" w:sz="0" w:space="0" w:color="auto"/>
      </w:divBdr>
    </w:div>
    <w:div w:id="310791853">
      <w:bodyDiv w:val="1"/>
      <w:marLeft w:val="0"/>
      <w:marRight w:val="0"/>
      <w:marTop w:val="0"/>
      <w:marBottom w:val="0"/>
      <w:divBdr>
        <w:top w:val="none" w:sz="0" w:space="0" w:color="auto"/>
        <w:left w:val="none" w:sz="0" w:space="0" w:color="auto"/>
        <w:bottom w:val="none" w:sz="0" w:space="0" w:color="auto"/>
        <w:right w:val="none" w:sz="0" w:space="0" w:color="auto"/>
      </w:divBdr>
    </w:div>
    <w:div w:id="316035146">
      <w:bodyDiv w:val="1"/>
      <w:marLeft w:val="0"/>
      <w:marRight w:val="0"/>
      <w:marTop w:val="0"/>
      <w:marBottom w:val="0"/>
      <w:divBdr>
        <w:top w:val="none" w:sz="0" w:space="0" w:color="auto"/>
        <w:left w:val="none" w:sz="0" w:space="0" w:color="auto"/>
        <w:bottom w:val="none" w:sz="0" w:space="0" w:color="auto"/>
        <w:right w:val="none" w:sz="0" w:space="0" w:color="auto"/>
      </w:divBdr>
    </w:div>
    <w:div w:id="329531082">
      <w:bodyDiv w:val="1"/>
      <w:marLeft w:val="0"/>
      <w:marRight w:val="0"/>
      <w:marTop w:val="0"/>
      <w:marBottom w:val="0"/>
      <w:divBdr>
        <w:top w:val="none" w:sz="0" w:space="0" w:color="auto"/>
        <w:left w:val="none" w:sz="0" w:space="0" w:color="auto"/>
        <w:bottom w:val="none" w:sz="0" w:space="0" w:color="auto"/>
        <w:right w:val="none" w:sz="0" w:space="0" w:color="auto"/>
      </w:divBdr>
    </w:div>
    <w:div w:id="333917812">
      <w:bodyDiv w:val="1"/>
      <w:marLeft w:val="0"/>
      <w:marRight w:val="0"/>
      <w:marTop w:val="0"/>
      <w:marBottom w:val="0"/>
      <w:divBdr>
        <w:top w:val="none" w:sz="0" w:space="0" w:color="auto"/>
        <w:left w:val="none" w:sz="0" w:space="0" w:color="auto"/>
        <w:bottom w:val="none" w:sz="0" w:space="0" w:color="auto"/>
        <w:right w:val="none" w:sz="0" w:space="0" w:color="auto"/>
      </w:divBdr>
    </w:div>
    <w:div w:id="337006729">
      <w:bodyDiv w:val="1"/>
      <w:marLeft w:val="0"/>
      <w:marRight w:val="0"/>
      <w:marTop w:val="0"/>
      <w:marBottom w:val="0"/>
      <w:divBdr>
        <w:top w:val="none" w:sz="0" w:space="0" w:color="auto"/>
        <w:left w:val="none" w:sz="0" w:space="0" w:color="auto"/>
        <w:bottom w:val="none" w:sz="0" w:space="0" w:color="auto"/>
        <w:right w:val="none" w:sz="0" w:space="0" w:color="auto"/>
      </w:divBdr>
    </w:div>
    <w:div w:id="375011186">
      <w:bodyDiv w:val="1"/>
      <w:marLeft w:val="0"/>
      <w:marRight w:val="0"/>
      <w:marTop w:val="0"/>
      <w:marBottom w:val="0"/>
      <w:divBdr>
        <w:top w:val="none" w:sz="0" w:space="0" w:color="auto"/>
        <w:left w:val="none" w:sz="0" w:space="0" w:color="auto"/>
        <w:bottom w:val="none" w:sz="0" w:space="0" w:color="auto"/>
        <w:right w:val="none" w:sz="0" w:space="0" w:color="auto"/>
      </w:divBdr>
    </w:div>
    <w:div w:id="378673520">
      <w:bodyDiv w:val="1"/>
      <w:marLeft w:val="0"/>
      <w:marRight w:val="0"/>
      <w:marTop w:val="0"/>
      <w:marBottom w:val="0"/>
      <w:divBdr>
        <w:top w:val="none" w:sz="0" w:space="0" w:color="auto"/>
        <w:left w:val="none" w:sz="0" w:space="0" w:color="auto"/>
        <w:bottom w:val="none" w:sz="0" w:space="0" w:color="auto"/>
        <w:right w:val="none" w:sz="0" w:space="0" w:color="auto"/>
      </w:divBdr>
    </w:div>
    <w:div w:id="431509810">
      <w:bodyDiv w:val="1"/>
      <w:marLeft w:val="0"/>
      <w:marRight w:val="0"/>
      <w:marTop w:val="0"/>
      <w:marBottom w:val="0"/>
      <w:divBdr>
        <w:top w:val="none" w:sz="0" w:space="0" w:color="auto"/>
        <w:left w:val="none" w:sz="0" w:space="0" w:color="auto"/>
        <w:bottom w:val="none" w:sz="0" w:space="0" w:color="auto"/>
        <w:right w:val="none" w:sz="0" w:space="0" w:color="auto"/>
      </w:divBdr>
    </w:div>
    <w:div w:id="484976517">
      <w:bodyDiv w:val="1"/>
      <w:marLeft w:val="0"/>
      <w:marRight w:val="0"/>
      <w:marTop w:val="0"/>
      <w:marBottom w:val="0"/>
      <w:divBdr>
        <w:top w:val="none" w:sz="0" w:space="0" w:color="auto"/>
        <w:left w:val="none" w:sz="0" w:space="0" w:color="auto"/>
        <w:bottom w:val="none" w:sz="0" w:space="0" w:color="auto"/>
        <w:right w:val="none" w:sz="0" w:space="0" w:color="auto"/>
      </w:divBdr>
    </w:div>
    <w:div w:id="503054831">
      <w:bodyDiv w:val="1"/>
      <w:marLeft w:val="0"/>
      <w:marRight w:val="0"/>
      <w:marTop w:val="0"/>
      <w:marBottom w:val="0"/>
      <w:divBdr>
        <w:top w:val="none" w:sz="0" w:space="0" w:color="auto"/>
        <w:left w:val="none" w:sz="0" w:space="0" w:color="auto"/>
        <w:bottom w:val="none" w:sz="0" w:space="0" w:color="auto"/>
        <w:right w:val="none" w:sz="0" w:space="0" w:color="auto"/>
      </w:divBdr>
    </w:div>
    <w:div w:id="522596374">
      <w:bodyDiv w:val="1"/>
      <w:marLeft w:val="0"/>
      <w:marRight w:val="0"/>
      <w:marTop w:val="0"/>
      <w:marBottom w:val="0"/>
      <w:divBdr>
        <w:top w:val="none" w:sz="0" w:space="0" w:color="auto"/>
        <w:left w:val="none" w:sz="0" w:space="0" w:color="auto"/>
        <w:bottom w:val="none" w:sz="0" w:space="0" w:color="auto"/>
        <w:right w:val="none" w:sz="0" w:space="0" w:color="auto"/>
      </w:divBdr>
    </w:div>
    <w:div w:id="539830557">
      <w:bodyDiv w:val="1"/>
      <w:marLeft w:val="0"/>
      <w:marRight w:val="0"/>
      <w:marTop w:val="0"/>
      <w:marBottom w:val="0"/>
      <w:divBdr>
        <w:top w:val="none" w:sz="0" w:space="0" w:color="auto"/>
        <w:left w:val="none" w:sz="0" w:space="0" w:color="auto"/>
        <w:bottom w:val="none" w:sz="0" w:space="0" w:color="auto"/>
        <w:right w:val="none" w:sz="0" w:space="0" w:color="auto"/>
      </w:divBdr>
    </w:div>
    <w:div w:id="577248119">
      <w:bodyDiv w:val="1"/>
      <w:marLeft w:val="0"/>
      <w:marRight w:val="0"/>
      <w:marTop w:val="0"/>
      <w:marBottom w:val="0"/>
      <w:divBdr>
        <w:top w:val="none" w:sz="0" w:space="0" w:color="auto"/>
        <w:left w:val="none" w:sz="0" w:space="0" w:color="auto"/>
        <w:bottom w:val="none" w:sz="0" w:space="0" w:color="auto"/>
        <w:right w:val="none" w:sz="0" w:space="0" w:color="auto"/>
      </w:divBdr>
    </w:div>
    <w:div w:id="597442930">
      <w:bodyDiv w:val="1"/>
      <w:marLeft w:val="0"/>
      <w:marRight w:val="0"/>
      <w:marTop w:val="0"/>
      <w:marBottom w:val="0"/>
      <w:divBdr>
        <w:top w:val="none" w:sz="0" w:space="0" w:color="auto"/>
        <w:left w:val="none" w:sz="0" w:space="0" w:color="auto"/>
        <w:bottom w:val="none" w:sz="0" w:space="0" w:color="auto"/>
        <w:right w:val="none" w:sz="0" w:space="0" w:color="auto"/>
      </w:divBdr>
    </w:div>
    <w:div w:id="618149917">
      <w:bodyDiv w:val="1"/>
      <w:marLeft w:val="0"/>
      <w:marRight w:val="0"/>
      <w:marTop w:val="0"/>
      <w:marBottom w:val="0"/>
      <w:divBdr>
        <w:top w:val="none" w:sz="0" w:space="0" w:color="auto"/>
        <w:left w:val="none" w:sz="0" w:space="0" w:color="auto"/>
        <w:bottom w:val="none" w:sz="0" w:space="0" w:color="auto"/>
        <w:right w:val="none" w:sz="0" w:space="0" w:color="auto"/>
      </w:divBdr>
    </w:div>
    <w:div w:id="637689132">
      <w:bodyDiv w:val="1"/>
      <w:marLeft w:val="0"/>
      <w:marRight w:val="0"/>
      <w:marTop w:val="0"/>
      <w:marBottom w:val="0"/>
      <w:divBdr>
        <w:top w:val="none" w:sz="0" w:space="0" w:color="auto"/>
        <w:left w:val="none" w:sz="0" w:space="0" w:color="auto"/>
        <w:bottom w:val="none" w:sz="0" w:space="0" w:color="auto"/>
        <w:right w:val="none" w:sz="0" w:space="0" w:color="auto"/>
      </w:divBdr>
    </w:div>
    <w:div w:id="651911554">
      <w:bodyDiv w:val="1"/>
      <w:marLeft w:val="0"/>
      <w:marRight w:val="0"/>
      <w:marTop w:val="0"/>
      <w:marBottom w:val="0"/>
      <w:divBdr>
        <w:top w:val="none" w:sz="0" w:space="0" w:color="auto"/>
        <w:left w:val="none" w:sz="0" w:space="0" w:color="auto"/>
        <w:bottom w:val="none" w:sz="0" w:space="0" w:color="auto"/>
        <w:right w:val="none" w:sz="0" w:space="0" w:color="auto"/>
      </w:divBdr>
    </w:div>
    <w:div w:id="667174325">
      <w:bodyDiv w:val="1"/>
      <w:marLeft w:val="0"/>
      <w:marRight w:val="0"/>
      <w:marTop w:val="0"/>
      <w:marBottom w:val="0"/>
      <w:divBdr>
        <w:top w:val="none" w:sz="0" w:space="0" w:color="auto"/>
        <w:left w:val="none" w:sz="0" w:space="0" w:color="auto"/>
        <w:bottom w:val="none" w:sz="0" w:space="0" w:color="auto"/>
        <w:right w:val="none" w:sz="0" w:space="0" w:color="auto"/>
      </w:divBdr>
    </w:div>
    <w:div w:id="679502762">
      <w:bodyDiv w:val="1"/>
      <w:marLeft w:val="0"/>
      <w:marRight w:val="0"/>
      <w:marTop w:val="0"/>
      <w:marBottom w:val="0"/>
      <w:divBdr>
        <w:top w:val="none" w:sz="0" w:space="0" w:color="auto"/>
        <w:left w:val="none" w:sz="0" w:space="0" w:color="auto"/>
        <w:bottom w:val="none" w:sz="0" w:space="0" w:color="auto"/>
        <w:right w:val="none" w:sz="0" w:space="0" w:color="auto"/>
      </w:divBdr>
    </w:div>
    <w:div w:id="691106680">
      <w:bodyDiv w:val="1"/>
      <w:marLeft w:val="0"/>
      <w:marRight w:val="0"/>
      <w:marTop w:val="0"/>
      <w:marBottom w:val="0"/>
      <w:divBdr>
        <w:top w:val="none" w:sz="0" w:space="0" w:color="auto"/>
        <w:left w:val="none" w:sz="0" w:space="0" w:color="auto"/>
        <w:bottom w:val="none" w:sz="0" w:space="0" w:color="auto"/>
        <w:right w:val="none" w:sz="0" w:space="0" w:color="auto"/>
      </w:divBdr>
    </w:div>
    <w:div w:id="691346189">
      <w:bodyDiv w:val="1"/>
      <w:marLeft w:val="0"/>
      <w:marRight w:val="0"/>
      <w:marTop w:val="0"/>
      <w:marBottom w:val="0"/>
      <w:divBdr>
        <w:top w:val="none" w:sz="0" w:space="0" w:color="auto"/>
        <w:left w:val="none" w:sz="0" w:space="0" w:color="auto"/>
        <w:bottom w:val="none" w:sz="0" w:space="0" w:color="auto"/>
        <w:right w:val="none" w:sz="0" w:space="0" w:color="auto"/>
      </w:divBdr>
    </w:div>
    <w:div w:id="712774315">
      <w:bodyDiv w:val="1"/>
      <w:marLeft w:val="0"/>
      <w:marRight w:val="0"/>
      <w:marTop w:val="0"/>
      <w:marBottom w:val="0"/>
      <w:divBdr>
        <w:top w:val="none" w:sz="0" w:space="0" w:color="auto"/>
        <w:left w:val="none" w:sz="0" w:space="0" w:color="auto"/>
        <w:bottom w:val="none" w:sz="0" w:space="0" w:color="auto"/>
        <w:right w:val="none" w:sz="0" w:space="0" w:color="auto"/>
      </w:divBdr>
    </w:div>
    <w:div w:id="716853965">
      <w:bodyDiv w:val="1"/>
      <w:marLeft w:val="0"/>
      <w:marRight w:val="0"/>
      <w:marTop w:val="0"/>
      <w:marBottom w:val="0"/>
      <w:divBdr>
        <w:top w:val="none" w:sz="0" w:space="0" w:color="auto"/>
        <w:left w:val="none" w:sz="0" w:space="0" w:color="auto"/>
        <w:bottom w:val="none" w:sz="0" w:space="0" w:color="auto"/>
        <w:right w:val="none" w:sz="0" w:space="0" w:color="auto"/>
      </w:divBdr>
    </w:div>
    <w:div w:id="732432660">
      <w:bodyDiv w:val="1"/>
      <w:marLeft w:val="0"/>
      <w:marRight w:val="0"/>
      <w:marTop w:val="0"/>
      <w:marBottom w:val="0"/>
      <w:divBdr>
        <w:top w:val="none" w:sz="0" w:space="0" w:color="auto"/>
        <w:left w:val="none" w:sz="0" w:space="0" w:color="auto"/>
        <w:bottom w:val="none" w:sz="0" w:space="0" w:color="auto"/>
        <w:right w:val="none" w:sz="0" w:space="0" w:color="auto"/>
      </w:divBdr>
    </w:div>
    <w:div w:id="733696719">
      <w:bodyDiv w:val="1"/>
      <w:marLeft w:val="0"/>
      <w:marRight w:val="0"/>
      <w:marTop w:val="0"/>
      <w:marBottom w:val="0"/>
      <w:divBdr>
        <w:top w:val="none" w:sz="0" w:space="0" w:color="auto"/>
        <w:left w:val="none" w:sz="0" w:space="0" w:color="auto"/>
        <w:bottom w:val="none" w:sz="0" w:space="0" w:color="auto"/>
        <w:right w:val="none" w:sz="0" w:space="0" w:color="auto"/>
      </w:divBdr>
    </w:div>
    <w:div w:id="737093987">
      <w:bodyDiv w:val="1"/>
      <w:marLeft w:val="0"/>
      <w:marRight w:val="0"/>
      <w:marTop w:val="0"/>
      <w:marBottom w:val="0"/>
      <w:divBdr>
        <w:top w:val="none" w:sz="0" w:space="0" w:color="auto"/>
        <w:left w:val="none" w:sz="0" w:space="0" w:color="auto"/>
        <w:bottom w:val="none" w:sz="0" w:space="0" w:color="auto"/>
        <w:right w:val="none" w:sz="0" w:space="0" w:color="auto"/>
      </w:divBdr>
    </w:div>
    <w:div w:id="766343641">
      <w:bodyDiv w:val="1"/>
      <w:marLeft w:val="0"/>
      <w:marRight w:val="0"/>
      <w:marTop w:val="0"/>
      <w:marBottom w:val="0"/>
      <w:divBdr>
        <w:top w:val="none" w:sz="0" w:space="0" w:color="auto"/>
        <w:left w:val="none" w:sz="0" w:space="0" w:color="auto"/>
        <w:bottom w:val="none" w:sz="0" w:space="0" w:color="auto"/>
        <w:right w:val="none" w:sz="0" w:space="0" w:color="auto"/>
      </w:divBdr>
    </w:div>
    <w:div w:id="769811049">
      <w:bodyDiv w:val="1"/>
      <w:marLeft w:val="0"/>
      <w:marRight w:val="0"/>
      <w:marTop w:val="0"/>
      <w:marBottom w:val="0"/>
      <w:divBdr>
        <w:top w:val="none" w:sz="0" w:space="0" w:color="auto"/>
        <w:left w:val="none" w:sz="0" w:space="0" w:color="auto"/>
        <w:bottom w:val="none" w:sz="0" w:space="0" w:color="auto"/>
        <w:right w:val="none" w:sz="0" w:space="0" w:color="auto"/>
      </w:divBdr>
    </w:div>
    <w:div w:id="771708867">
      <w:bodyDiv w:val="1"/>
      <w:marLeft w:val="0"/>
      <w:marRight w:val="0"/>
      <w:marTop w:val="0"/>
      <w:marBottom w:val="0"/>
      <w:divBdr>
        <w:top w:val="none" w:sz="0" w:space="0" w:color="auto"/>
        <w:left w:val="none" w:sz="0" w:space="0" w:color="auto"/>
        <w:bottom w:val="none" w:sz="0" w:space="0" w:color="auto"/>
        <w:right w:val="none" w:sz="0" w:space="0" w:color="auto"/>
      </w:divBdr>
    </w:div>
    <w:div w:id="802046005">
      <w:bodyDiv w:val="1"/>
      <w:marLeft w:val="0"/>
      <w:marRight w:val="0"/>
      <w:marTop w:val="0"/>
      <w:marBottom w:val="0"/>
      <w:divBdr>
        <w:top w:val="none" w:sz="0" w:space="0" w:color="auto"/>
        <w:left w:val="none" w:sz="0" w:space="0" w:color="auto"/>
        <w:bottom w:val="none" w:sz="0" w:space="0" w:color="auto"/>
        <w:right w:val="none" w:sz="0" w:space="0" w:color="auto"/>
      </w:divBdr>
    </w:div>
    <w:div w:id="811748781">
      <w:bodyDiv w:val="1"/>
      <w:marLeft w:val="0"/>
      <w:marRight w:val="0"/>
      <w:marTop w:val="0"/>
      <w:marBottom w:val="0"/>
      <w:divBdr>
        <w:top w:val="none" w:sz="0" w:space="0" w:color="auto"/>
        <w:left w:val="none" w:sz="0" w:space="0" w:color="auto"/>
        <w:bottom w:val="none" w:sz="0" w:space="0" w:color="auto"/>
        <w:right w:val="none" w:sz="0" w:space="0" w:color="auto"/>
      </w:divBdr>
    </w:div>
    <w:div w:id="820117633">
      <w:bodyDiv w:val="1"/>
      <w:marLeft w:val="0"/>
      <w:marRight w:val="0"/>
      <w:marTop w:val="0"/>
      <w:marBottom w:val="0"/>
      <w:divBdr>
        <w:top w:val="none" w:sz="0" w:space="0" w:color="auto"/>
        <w:left w:val="none" w:sz="0" w:space="0" w:color="auto"/>
        <w:bottom w:val="none" w:sz="0" w:space="0" w:color="auto"/>
        <w:right w:val="none" w:sz="0" w:space="0" w:color="auto"/>
      </w:divBdr>
    </w:div>
    <w:div w:id="834683775">
      <w:bodyDiv w:val="1"/>
      <w:marLeft w:val="0"/>
      <w:marRight w:val="0"/>
      <w:marTop w:val="0"/>
      <w:marBottom w:val="0"/>
      <w:divBdr>
        <w:top w:val="none" w:sz="0" w:space="0" w:color="auto"/>
        <w:left w:val="none" w:sz="0" w:space="0" w:color="auto"/>
        <w:bottom w:val="none" w:sz="0" w:space="0" w:color="auto"/>
        <w:right w:val="none" w:sz="0" w:space="0" w:color="auto"/>
      </w:divBdr>
    </w:div>
    <w:div w:id="933631773">
      <w:bodyDiv w:val="1"/>
      <w:marLeft w:val="0"/>
      <w:marRight w:val="0"/>
      <w:marTop w:val="0"/>
      <w:marBottom w:val="0"/>
      <w:divBdr>
        <w:top w:val="none" w:sz="0" w:space="0" w:color="auto"/>
        <w:left w:val="none" w:sz="0" w:space="0" w:color="auto"/>
        <w:bottom w:val="none" w:sz="0" w:space="0" w:color="auto"/>
        <w:right w:val="none" w:sz="0" w:space="0" w:color="auto"/>
      </w:divBdr>
    </w:div>
    <w:div w:id="947740163">
      <w:bodyDiv w:val="1"/>
      <w:marLeft w:val="0"/>
      <w:marRight w:val="0"/>
      <w:marTop w:val="0"/>
      <w:marBottom w:val="0"/>
      <w:divBdr>
        <w:top w:val="none" w:sz="0" w:space="0" w:color="auto"/>
        <w:left w:val="none" w:sz="0" w:space="0" w:color="auto"/>
        <w:bottom w:val="none" w:sz="0" w:space="0" w:color="auto"/>
        <w:right w:val="none" w:sz="0" w:space="0" w:color="auto"/>
      </w:divBdr>
    </w:div>
    <w:div w:id="949050481">
      <w:bodyDiv w:val="1"/>
      <w:marLeft w:val="0"/>
      <w:marRight w:val="0"/>
      <w:marTop w:val="0"/>
      <w:marBottom w:val="0"/>
      <w:divBdr>
        <w:top w:val="none" w:sz="0" w:space="0" w:color="auto"/>
        <w:left w:val="none" w:sz="0" w:space="0" w:color="auto"/>
        <w:bottom w:val="none" w:sz="0" w:space="0" w:color="auto"/>
        <w:right w:val="none" w:sz="0" w:space="0" w:color="auto"/>
      </w:divBdr>
    </w:div>
    <w:div w:id="953901101">
      <w:bodyDiv w:val="1"/>
      <w:marLeft w:val="0"/>
      <w:marRight w:val="0"/>
      <w:marTop w:val="0"/>
      <w:marBottom w:val="0"/>
      <w:divBdr>
        <w:top w:val="none" w:sz="0" w:space="0" w:color="auto"/>
        <w:left w:val="none" w:sz="0" w:space="0" w:color="auto"/>
        <w:bottom w:val="none" w:sz="0" w:space="0" w:color="auto"/>
        <w:right w:val="none" w:sz="0" w:space="0" w:color="auto"/>
      </w:divBdr>
    </w:div>
    <w:div w:id="956831812">
      <w:bodyDiv w:val="1"/>
      <w:marLeft w:val="0"/>
      <w:marRight w:val="0"/>
      <w:marTop w:val="0"/>
      <w:marBottom w:val="0"/>
      <w:divBdr>
        <w:top w:val="none" w:sz="0" w:space="0" w:color="auto"/>
        <w:left w:val="none" w:sz="0" w:space="0" w:color="auto"/>
        <w:bottom w:val="none" w:sz="0" w:space="0" w:color="auto"/>
        <w:right w:val="none" w:sz="0" w:space="0" w:color="auto"/>
      </w:divBdr>
    </w:div>
    <w:div w:id="1018855092">
      <w:bodyDiv w:val="1"/>
      <w:marLeft w:val="0"/>
      <w:marRight w:val="0"/>
      <w:marTop w:val="0"/>
      <w:marBottom w:val="0"/>
      <w:divBdr>
        <w:top w:val="none" w:sz="0" w:space="0" w:color="auto"/>
        <w:left w:val="none" w:sz="0" w:space="0" w:color="auto"/>
        <w:bottom w:val="none" w:sz="0" w:space="0" w:color="auto"/>
        <w:right w:val="none" w:sz="0" w:space="0" w:color="auto"/>
      </w:divBdr>
    </w:div>
    <w:div w:id="1031151330">
      <w:bodyDiv w:val="1"/>
      <w:marLeft w:val="0"/>
      <w:marRight w:val="0"/>
      <w:marTop w:val="0"/>
      <w:marBottom w:val="0"/>
      <w:divBdr>
        <w:top w:val="none" w:sz="0" w:space="0" w:color="auto"/>
        <w:left w:val="none" w:sz="0" w:space="0" w:color="auto"/>
        <w:bottom w:val="none" w:sz="0" w:space="0" w:color="auto"/>
        <w:right w:val="none" w:sz="0" w:space="0" w:color="auto"/>
      </w:divBdr>
    </w:div>
    <w:div w:id="1050810027">
      <w:bodyDiv w:val="1"/>
      <w:marLeft w:val="0"/>
      <w:marRight w:val="0"/>
      <w:marTop w:val="0"/>
      <w:marBottom w:val="0"/>
      <w:divBdr>
        <w:top w:val="none" w:sz="0" w:space="0" w:color="auto"/>
        <w:left w:val="none" w:sz="0" w:space="0" w:color="auto"/>
        <w:bottom w:val="none" w:sz="0" w:space="0" w:color="auto"/>
        <w:right w:val="none" w:sz="0" w:space="0" w:color="auto"/>
      </w:divBdr>
    </w:div>
    <w:div w:id="1051463502">
      <w:bodyDiv w:val="1"/>
      <w:marLeft w:val="0"/>
      <w:marRight w:val="0"/>
      <w:marTop w:val="0"/>
      <w:marBottom w:val="0"/>
      <w:divBdr>
        <w:top w:val="none" w:sz="0" w:space="0" w:color="auto"/>
        <w:left w:val="none" w:sz="0" w:space="0" w:color="auto"/>
        <w:bottom w:val="none" w:sz="0" w:space="0" w:color="auto"/>
        <w:right w:val="none" w:sz="0" w:space="0" w:color="auto"/>
      </w:divBdr>
    </w:div>
    <w:div w:id="1055814596">
      <w:bodyDiv w:val="1"/>
      <w:marLeft w:val="0"/>
      <w:marRight w:val="0"/>
      <w:marTop w:val="0"/>
      <w:marBottom w:val="0"/>
      <w:divBdr>
        <w:top w:val="none" w:sz="0" w:space="0" w:color="auto"/>
        <w:left w:val="none" w:sz="0" w:space="0" w:color="auto"/>
        <w:bottom w:val="none" w:sz="0" w:space="0" w:color="auto"/>
        <w:right w:val="none" w:sz="0" w:space="0" w:color="auto"/>
      </w:divBdr>
    </w:div>
    <w:div w:id="1056899527">
      <w:bodyDiv w:val="1"/>
      <w:marLeft w:val="0"/>
      <w:marRight w:val="0"/>
      <w:marTop w:val="0"/>
      <w:marBottom w:val="0"/>
      <w:divBdr>
        <w:top w:val="none" w:sz="0" w:space="0" w:color="auto"/>
        <w:left w:val="none" w:sz="0" w:space="0" w:color="auto"/>
        <w:bottom w:val="none" w:sz="0" w:space="0" w:color="auto"/>
        <w:right w:val="none" w:sz="0" w:space="0" w:color="auto"/>
      </w:divBdr>
    </w:div>
    <w:div w:id="1058627398">
      <w:bodyDiv w:val="1"/>
      <w:marLeft w:val="0"/>
      <w:marRight w:val="0"/>
      <w:marTop w:val="0"/>
      <w:marBottom w:val="0"/>
      <w:divBdr>
        <w:top w:val="none" w:sz="0" w:space="0" w:color="auto"/>
        <w:left w:val="none" w:sz="0" w:space="0" w:color="auto"/>
        <w:bottom w:val="none" w:sz="0" w:space="0" w:color="auto"/>
        <w:right w:val="none" w:sz="0" w:space="0" w:color="auto"/>
      </w:divBdr>
    </w:div>
    <w:div w:id="1070277106">
      <w:bodyDiv w:val="1"/>
      <w:marLeft w:val="0"/>
      <w:marRight w:val="0"/>
      <w:marTop w:val="0"/>
      <w:marBottom w:val="0"/>
      <w:divBdr>
        <w:top w:val="none" w:sz="0" w:space="0" w:color="auto"/>
        <w:left w:val="none" w:sz="0" w:space="0" w:color="auto"/>
        <w:bottom w:val="none" w:sz="0" w:space="0" w:color="auto"/>
        <w:right w:val="none" w:sz="0" w:space="0" w:color="auto"/>
      </w:divBdr>
    </w:div>
    <w:div w:id="1075904593">
      <w:bodyDiv w:val="1"/>
      <w:marLeft w:val="0"/>
      <w:marRight w:val="0"/>
      <w:marTop w:val="0"/>
      <w:marBottom w:val="0"/>
      <w:divBdr>
        <w:top w:val="none" w:sz="0" w:space="0" w:color="auto"/>
        <w:left w:val="none" w:sz="0" w:space="0" w:color="auto"/>
        <w:bottom w:val="none" w:sz="0" w:space="0" w:color="auto"/>
        <w:right w:val="none" w:sz="0" w:space="0" w:color="auto"/>
      </w:divBdr>
    </w:div>
    <w:div w:id="1105421765">
      <w:bodyDiv w:val="1"/>
      <w:marLeft w:val="0"/>
      <w:marRight w:val="0"/>
      <w:marTop w:val="0"/>
      <w:marBottom w:val="0"/>
      <w:divBdr>
        <w:top w:val="none" w:sz="0" w:space="0" w:color="auto"/>
        <w:left w:val="none" w:sz="0" w:space="0" w:color="auto"/>
        <w:bottom w:val="none" w:sz="0" w:space="0" w:color="auto"/>
        <w:right w:val="none" w:sz="0" w:space="0" w:color="auto"/>
      </w:divBdr>
    </w:div>
    <w:div w:id="1138843030">
      <w:bodyDiv w:val="1"/>
      <w:marLeft w:val="0"/>
      <w:marRight w:val="0"/>
      <w:marTop w:val="0"/>
      <w:marBottom w:val="0"/>
      <w:divBdr>
        <w:top w:val="none" w:sz="0" w:space="0" w:color="auto"/>
        <w:left w:val="none" w:sz="0" w:space="0" w:color="auto"/>
        <w:bottom w:val="none" w:sz="0" w:space="0" w:color="auto"/>
        <w:right w:val="none" w:sz="0" w:space="0" w:color="auto"/>
      </w:divBdr>
    </w:div>
    <w:div w:id="1139760661">
      <w:bodyDiv w:val="1"/>
      <w:marLeft w:val="0"/>
      <w:marRight w:val="0"/>
      <w:marTop w:val="0"/>
      <w:marBottom w:val="0"/>
      <w:divBdr>
        <w:top w:val="none" w:sz="0" w:space="0" w:color="auto"/>
        <w:left w:val="none" w:sz="0" w:space="0" w:color="auto"/>
        <w:bottom w:val="none" w:sz="0" w:space="0" w:color="auto"/>
        <w:right w:val="none" w:sz="0" w:space="0" w:color="auto"/>
      </w:divBdr>
    </w:div>
    <w:div w:id="1146580680">
      <w:bodyDiv w:val="1"/>
      <w:marLeft w:val="0"/>
      <w:marRight w:val="0"/>
      <w:marTop w:val="0"/>
      <w:marBottom w:val="0"/>
      <w:divBdr>
        <w:top w:val="none" w:sz="0" w:space="0" w:color="auto"/>
        <w:left w:val="none" w:sz="0" w:space="0" w:color="auto"/>
        <w:bottom w:val="none" w:sz="0" w:space="0" w:color="auto"/>
        <w:right w:val="none" w:sz="0" w:space="0" w:color="auto"/>
      </w:divBdr>
    </w:div>
    <w:div w:id="1159006554">
      <w:bodyDiv w:val="1"/>
      <w:marLeft w:val="0"/>
      <w:marRight w:val="0"/>
      <w:marTop w:val="0"/>
      <w:marBottom w:val="0"/>
      <w:divBdr>
        <w:top w:val="none" w:sz="0" w:space="0" w:color="auto"/>
        <w:left w:val="none" w:sz="0" w:space="0" w:color="auto"/>
        <w:bottom w:val="none" w:sz="0" w:space="0" w:color="auto"/>
        <w:right w:val="none" w:sz="0" w:space="0" w:color="auto"/>
      </w:divBdr>
    </w:div>
    <w:div w:id="1171721854">
      <w:bodyDiv w:val="1"/>
      <w:marLeft w:val="0"/>
      <w:marRight w:val="0"/>
      <w:marTop w:val="0"/>
      <w:marBottom w:val="0"/>
      <w:divBdr>
        <w:top w:val="none" w:sz="0" w:space="0" w:color="auto"/>
        <w:left w:val="none" w:sz="0" w:space="0" w:color="auto"/>
        <w:bottom w:val="none" w:sz="0" w:space="0" w:color="auto"/>
        <w:right w:val="none" w:sz="0" w:space="0" w:color="auto"/>
      </w:divBdr>
    </w:div>
    <w:div w:id="1172453910">
      <w:bodyDiv w:val="1"/>
      <w:marLeft w:val="0"/>
      <w:marRight w:val="0"/>
      <w:marTop w:val="0"/>
      <w:marBottom w:val="0"/>
      <w:divBdr>
        <w:top w:val="none" w:sz="0" w:space="0" w:color="auto"/>
        <w:left w:val="none" w:sz="0" w:space="0" w:color="auto"/>
        <w:bottom w:val="none" w:sz="0" w:space="0" w:color="auto"/>
        <w:right w:val="none" w:sz="0" w:space="0" w:color="auto"/>
      </w:divBdr>
    </w:div>
    <w:div w:id="1185944718">
      <w:bodyDiv w:val="1"/>
      <w:marLeft w:val="0"/>
      <w:marRight w:val="0"/>
      <w:marTop w:val="0"/>
      <w:marBottom w:val="0"/>
      <w:divBdr>
        <w:top w:val="none" w:sz="0" w:space="0" w:color="auto"/>
        <w:left w:val="none" w:sz="0" w:space="0" w:color="auto"/>
        <w:bottom w:val="none" w:sz="0" w:space="0" w:color="auto"/>
        <w:right w:val="none" w:sz="0" w:space="0" w:color="auto"/>
      </w:divBdr>
    </w:div>
    <w:div w:id="1208104689">
      <w:bodyDiv w:val="1"/>
      <w:marLeft w:val="0"/>
      <w:marRight w:val="0"/>
      <w:marTop w:val="0"/>
      <w:marBottom w:val="0"/>
      <w:divBdr>
        <w:top w:val="none" w:sz="0" w:space="0" w:color="auto"/>
        <w:left w:val="none" w:sz="0" w:space="0" w:color="auto"/>
        <w:bottom w:val="none" w:sz="0" w:space="0" w:color="auto"/>
        <w:right w:val="none" w:sz="0" w:space="0" w:color="auto"/>
      </w:divBdr>
    </w:div>
    <w:div w:id="1249342742">
      <w:bodyDiv w:val="1"/>
      <w:marLeft w:val="0"/>
      <w:marRight w:val="0"/>
      <w:marTop w:val="0"/>
      <w:marBottom w:val="0"/>
      <w:divBdr>
        <w:top w:val="none" w:sz="0" w:space="0" w:color="auto"/>
        <w:left w:val="none" w:sz="0" w:space="0" w:color="auto"/>
        <w:bottom w:val="none" w:sz="0" w:space="0" w:color="auto"/>
        <w:right w:val="none" w:sz="0" w:space="0" w:color="auto"/>
      </w:divBdr>
    </w:div>
    <w:div w:id="1263415136">
      <w:bodyDiv w:val="1"/>
      <w:marLeft w:val="0"/>
      <w:marRight w:val="0"/>
      <w:marTop w:val="0"/>
      <w:marBottom w:val="0"/>
      <w:divBdr>
        <w:top w:val="none" w:sz="0" w:space="0" w:color="auto"/>
        <w:left w:val="none" w:sz="0" w:space="0" w:color="auto"/>
        <w:bottom w:val="none" w:sz="0" w:space="0" w:color="auto"/>
        <w:right w:val="none" w:sz="0" w:space="0" w:color="auto"/>
      </w:divBdr>
    </w:div>
    <w:div w:id="1266645321">
      <w:bodyDiv w:val="1"/>
      <w:marLeft w:val="0"/>
      <w:marRight w:val="0"/>
      <w:marTop w:val="0"/>
      <w:marBottom w:val="0"/>
      <w:divBdr>
        <w:top w:val="none" w:sz="0" w:space="0" w:color="auto"/>
        <w:left w:val="none" w:sz="0" w:space="0" w:color="auto"/>
        <w:bottom w:val="none" w:sz="0" w:space="0" w:color="auto"/>
        <w:right w:val="none" w:sz="0" w:space="0" w:color="auto"/>
      </w:divBdr>
    </w:div>
    <w:div w:id="1273971469">
      <w:bodyDiv w:val="1"/>
      <w:marLeft w:val="0"/>
      <w:marRight w:val="0"/>
      <w:marTop w:val="0"/>
      <w:marBottom w:val="0"/>
      <w:divBdr>
        <w:top w:val="none" w:sz="0" w:space="0" w:color="auto"/>
        <w:left w:val="none" w:sz="0" w:space="0" w:color="auto"/>
        <w:bottom w:val="none" w:sz="0" w:space="0" w:color="auto"/>
        <w:right w:val="none" w:sz="0" w:space="0" w:color="auto"/>
      </w:divBdr>
    </w:div>
    <w:div w:id="1281886337">
      <w:bodyDiv w:val="1"/>
      <w:marLeft w:val="0"/>
      <w:marRight w:val="0"/>
      <w:marTop w:val="0"/>
      <w:marBottom w:val="0"/>
      <w:divBdr>
        <w:top w:val="none" w:sz="0" w:space="0" w:color="auto"/>
        <w:left w:val="none" w:sz="0" w:space="0" w:color="auto"/>
        <w:bottom w:val="none" w:sz="0" w:space="0" w:color="auto"/>
        <w:right w:val="none" w:sz="0" w:space="0" w:color="auto"/>
      </w:divBdr>
    </w:div>
    <w:div w:id="1291400089">
      <w:bodyDiv w:val="1"/>
      <w:marLeft w:val="0"/>
      <w:marRight w:val="0"/>
      <w:marTop w:val="0"/>
      <w:marBottom w:val="0"/>
      <w:divBdr>
        <w:top w:val="none" w:sz="0" w:space="0" w:color="auto"/>
        <w:left w:val="none" w:sz="0" w:space="0" w:color="auto"/>
        <w:bottom w:val="none" w:sz="0" w:space="0" w:color="auto"/>
        <w:right w:val="none" w:sz="0" w:space="0" w:color="auto"/>
      </w:divBdr>
    </w:div>
    <w:div w:id="1297830857">
      <w:bodyDiv w:val="1"/>
      <w:marLeft w:val="0"/>
      <w:marRight w:val="0"/>
      <w:marTop w:val="0"/>
      <w:marBottom w:val="0"/>
      <w:divBdr>
        <w:top w:val="none" w:sz="0" w:space="0" w:color="auto"/>
        <w:left w:val="none" w:sz="0" w:space="0" w:color="auto"/>
        <w:bottom w:val="none" w:sz="0" w:space="0" w:color="auto"/>
        <w:right w:val="none" w:sz="0" w:space="0" w:color="auto"/>
      </w:divBdr>
    </w:div>
    <w:div w:id="1304508225">
      <w:bodyDiv w:val="1"/>
      <w:marLeft w:val="0"/>
      <w:marRight w:val="0"/>
      <w:marTop w:val="0"/>
      <w:marBottom w:val="0"/>
      <w:divBdr>
        <w:top w:val="none" w:sz="0" w:space="0" w:color="auto"/>
        <w:left w:val="none" w:sz="0" w:space="0" w:color="auto"/>
        <w:bottom w:val="none" w:sz="0" w:space="0" w:color="auto"/>
        <w:right w:val="none" w:sz="0" w:space="0" w:color="auto"/>
      </w:divBdr>
    </w:div>
    <w:div w:id="1317344506">
      <w:bodyDiv w:val="1"/>
      <w:marLeft w:val="0"/>
      <w:marRight w:val="0"/>
      <w:marTop w:val="0"/>
      <w:marBottom w:val="0"/>
      <w:divBdr>
        <w:top w:val="none" w:sz="0" w:space="0" w:color="auto"/>
        <w:left w:val="none" w:sz="0" w:space="0" w:color="auto"/>
        <w:bottom w:val="none" w:sz="0" w:space="0" w:color="auto"/>
        <w:right w:val="none" w:sz="0" w:space="0" w:color="auto"/>
      </w:divBdr>
    </w:div>
    <w:div w:id="1344935139">
      <w:bodyDiv w:val="1"/>
      <w:marLeft w:val="0"/>
      <w:marRight w:val="0"/>
      <w:marTop w:val="0"/>
      <w:marBottom w:val="0"/>
      <w:divBdr>
        <w:top w:val="none" w:sz="0" w:space="0" w:color="auto"/>
        <w:left w:val="none" w:sz="0" w:space="0" w:color="auto"/>
        <w:bottom w:val="none" w:sz="0" w:space="0" w:color="auto"/>
        <w:right w:val="none" w:sz="0" w:space="0" w:color="auto"/>
      </w:divBdr>
    </w:div>
    <w:div w:id="1386492889">
      <w:bodyDiv w:val="1"/>
      <w:marLeft w:val="0"/>
      <w:marRight w:val="0"/>
      <w:marTop w:val="0"/>
      <w:marBottom w:val="0"/>
      <w:divBdr>
        <w:top w:val="none" w:sz="0" w:space="0" w:color="auto"/>
        <w:left w:val="none" w:sz="0" w:space="0" w:color="auto"/>
        <w:bottom w:val="none" w:sz="0" w:space="0" w:color="auto"/>
        <w:right w:val="none" w:sz="0" w:space="0" w:color="auto"/>
      </w:divBdr>
    </w:div>
    <w:div w:id="1461074150">
      <w:bodyDiv w:val="1"/>
      <w:marLeft w:val="0"/>
      <w:marRight w:val="0"/>
      <w:marTop w:val="0"/>
      <w:marBottom w:val="0"/>
      <w:divBdr>
        <w:top w:val="none" w:sz="0" w:space="0" w:color="auto"/>
        <w:left w:val="none" w:sz="0" w:space="0" w:color="auto"/>
        <w:bottom w:val="none" w:sz="0" w:space="0" w:color="auto"/>
        <w:right w:val="none" w:sz="0" w:space="0" w:color="auto"/>
      </w:divBdr>
    </w:div>
    <w:div w:id="1474789101">
      <w:bodyDiv w:val="1"/>
      <w:marLeft w:val="0"/>
      <w:marRight w:val="0"/>
      <w:marTop w:val="0"/>
      <w:marBottom w:val="0"/>
      <w:divBdr>
        <w:top w:val="none" w:sz="0" w:space="0" w:color="auto"/>
        <w:left w:val="none" w:sz="0" w:space="0" w:color="auto"/>
        <w:bottom w:val="none" w:sz="0" w:space="0" w:color="auto"/>
        <w:right w:val="none" w:sz="0" w:space="0" w:color="auto"/>
      </w:divBdr>
    </w:div>
    <w:div w:id="1483422706">
      <w:bodyDiv w:val="1"/>
      <w:marLeft w:val="0"/>
      <w:marRight w:val="0"/>
      <w:marTop w:val="0"/>
      <w:marBottom w:val="0"/>
      <w:divBdr>
        <w:top w:val="none" w:sz="0" w:space="0" w:color="auto"/>
        <w:left w:val="none" w:sz="0" w:space="0" w:color="auto"/>
        <w:bottom w:val="none" w:sz="0" w:space="0" w:color="auto"/>
        <w:right w:val="none" w:sz="0" w:space="0" w:color="auto"/>
      </w:divBdr>
    </w:div>
    <w:div w:id="1484810329">
      <w:bodyDiv w:val="1"/>
      <w:marLeft w:val="0"/>
      <w:marRight w:val="0"/>
      <w:marTop w:val="0"/>
      <w:marBottom w:val="0"/>
      <w:divBdr>
        <w:top w:val="none" w:sz="0" w:space="0" w:color="auto"/>
        <w:left w:val="none" w:sz="0" w:space="0" w:color="auto"/>
        <w:bottom w:val="none" w:sz="0" w:space="0" w:color="auto"/>
        <w:right w:val="none" w:sz="0" w:space="0" w:color="auto"/>
      </w:divBdr>
    </w:div>
    <w:div w:id="1486968345">
      <w:bodyDiv w:val="1"/>
      <w:marLeft w:val="0"/>
      <w:marRight w:val="0"/>
      <w:marTop w:val="0"/>
      <w:marBottom w:val="0"/>
      <w:divBdr>
        <w:top w:val="none" w:sz="0" w:space="0" w:color="auto"/>
        <w:left w:val="none" w:sz="0" w:space="0" w:color="auto"/>
        <w:bottom w:val="none" w:sz="0" w:space="0" w:color="auto"/>
        <w:right w:val="none" w:sz="0" w:space="0" w:color="auto"/>
      </w:divBdr>
    </w:div>
    <w:div w:id="1532954850">
      <w:bodyDiv w:val="1"/>
      <w:marLeft w:val="0"/>
      <w:marRight w:val="0"/>
      <w:marTop w:val="0"/>
      <w:marBottom w:val="0"/>
      <w:divBdr>
        <w:top w:val="none" w:sz="0" w:space="0" w:color="auto"/>
        <w:left w:val="none" w:sz="0" w:space="0" w:color="auto"/>
        <w:bottom w:val="none" w:sz="0" w:space="0" w:color="auto"/>
        <w:right w:val="none" w:sz="0" w:space="0" w:color="auto"/>
      </w:divBdr>
    </w:div>
    <w:div w:id="1553883369">
      <w:bodyDiv w:val="1"/>
      <w:marLeft w:val="0"/>
      <w:marRight w:val="0"/>
      <w:marTop w:val="0"/>
      <w:marBottom w:val="0"/>
      <w:divBdr>
        <w:top w:val="none" w:sz="0" w:space="0" w:color="auto"/>
        <w:left w:val="none" w:sz="0" w:space="0" w:color="auto"/>
        <w:bottom w:val="none" w:sz="0" w:space="0" w:color="auto"/>
        <w:right w:val="none" w:sz="0" w:space="0" w:color="auto"/>
      </w:divBdr>
    </w:div>
    <w:div w:id="1571115640">
      <w:bodyDiv w:val="1"/>
      <w:marLeft w:val="0"/>
      <w:marRight w:val="0"/>
      <w:marTop w:val="0"/>
      <w:marBottom w:val="0"/>
      <w:divBdr>
        <w:top w:val="none" w:sz="0" w:space="0" w:color="auto"/>
        <w:left w:val="none" w:sz="0" w:space="0" w:color="auto"/>
        <w:bottom w:val="none" w:sz="0" w:space="0" w:color="auto"/>
        <w:right w:val="none" w:sz="0" w:space="0" w:color="auto"/>
      </w:divBdr>
    </w:div>
    <w:div w:id="1601793211">
      <w:bodyDiv w:val="1"/>
      <w:marLeft w:val="0"/>
      <w:marRight w:val="0"/>
      <w:marTop w:val="0"/>
      <w:marBottom w:val="0"/>
      <w:divBdr>
        <w:top w:val="none" w:sz="0" w:space="0" w:color="auto"/>
        <w:left w:val="none" w:sz="0" w:space="0" w:color="auto"/>
        <w:bottom w:val="none" w:sz="0" w:space="0" w:color="auto"/>
        <w:right w:val="none" w:sz="0" w:space="0" w:color="auto"/>
      </w:divBdr>
    </w:div>
    <w:div w:id="1607224988">
      <w:bodyDiv w:val="1"/>
      <w:marLeft w:val="0"/>
      <w:marRight w:val="0"/>
      <w:marTop w:val="0"/>
      <w:marBottom w:val="0"/>
      <w:divBdr>
        <w:top w:val="none" w:sz="0" w:space="0" w:color="auto"/>
        <w:left w:val="none" w:sz="0" w:space="0" w:color="auto"/>
        <w:bottom w:val="none" w:sz="0" w:space="0" w:color="auto"/>
        <w:right w:val="none" w:sz="0" w:space="0" w:color="auto"/>
      </w:divBdr>
    </w:div>
    <w:div w:id="1612007006">
      <w:bodyDiv w:val="1"/>
      <w:marLeft w:val="0"/>
      <w:marRight w:val="0"/>
      <w:marTop w:val="0"/>
      <w:marBottom w:val="0"/>
      <w:divBdr>
        <w:top w:val="none" w:sz="0" w:space="0" w:color="auto"/>
        <w:left w:val="none" w:sz="0" w:space="0" w:color="auto"/>
        <w:bottom w:val="none" w:sz="0" w:space="0" w:color="auto"/>
        <w:right w:val="none" w:sz="0" w:space="0" w:color="auto"/>
      </w:divBdr>
    </w:div>
    <w:div w:id="1638608772">
      <w:bodyDiv w:val="1"/>
      <w:marLeft w:val="0"/>
      <w:marRight w:val="0"/>
      <w:marTop w:val="0"/>
      <w:marBottom w:val="0"/>
      <w:divBdr>
        <w:top w:val="none" w:sz="0" w:space="0" w:color="auto"/>
        <w:left w:val="none" w:sz="0" w:space="0" w:color="auto"/>
        <w:bottom w:val="none" w:sz="0" w:space="0" w:color="auto"/>
        <w:right w:val="none" w:sz="0" w:space="0" w:color="auto"/>
      </w:divBdr>
    </w:div>
    <w:div w:id="1643459910">
      <w:bodyDiv w:val="1"/>
      <w:marLeft w:val="0"/>
      <w:marRight w:val="0"/>
      <w:marTop w:val="0"/>
      <w:marBottom w:val="0"/>
      <w:divBdr>
        <w:top w:val="none" w:sz="0" w:space="0" w:color="auto"/>
        <w:left w:val="none" w:sz="0" w:space="0" w:color="auto"/>
        <w:bottom w:val="none" w:sz="0" w:space="0" w:color="auto"/>
        <w:right w:val="none" w:sz="0" w:space="0" w:color="auto"/>
      </w:divBdr>
    </w:div>
    <w:div w:id="1663393932">
      <w:bodyDiv w:val="1"/>
      <w:marLeft w:val="0"/>
      <w:marRight w:val="0"/>
      <w:marTop w:val="0"/>
      <w:marBottom w:val="0"/>
      <w:divBdr>
        <w:top w:val="none" w:sz="0" w:space="0" w:color="auto"/>
        <w:left w:val="none" w:sz="0" w:space="0" w:color="auto"/>
        <w:bottom w:val="none" w:sz="0" w:space="0" w:color="auto"/>
        <w:right w:val="none" w:sz="0" w:space="0" w:color="auto"/>
      </w:divBdr>
    </w:div>
    <w:div w:id="1682050747">
      <w:bodyDiv w:val="1"/>
      <w:marLeft w:val="0"/>
      <w:marRight w:val="0"/>
      <w:marTop w:val="0"/>
      <w:marBottom w:val="0"/>
      <w:divBdr>
        <w:top w:val="none" w:sz="0" w:space="0" w:color="auto"/>
        <w:left w:val="none" w:sz="0" w:space="0" w:color="auto"/>
        <w:bottom w:val="none" w:sz="0" w:space="0" w:color="auto"/>
        <w:right w:val="none" w:sz="0" w:space="0" w:color="auto"/>
      </w:divBdr>
    </w:div>
    <w:div w:id="1682463498">
      <w:bodyDiv w:val="1"/>
      <w:marLeft w:val="0"/>
      <w:marRight w:val="0"/>
      <w:marTop w:val="0"/>
      <w:marBottom w:val="0"/>
      <w:divBdr>
        <w:top w:val="none" w:sz="0" w:space="0" w:color="auto"/>
        <w:left w:val="none" w:sz="0" w:space="0" w:color="auto"/>
        <w:bottom w:val="none" w:sz="0" w:space="0" w:color="auto"/>
        <w:right w:val="none" w:sz="0" w:space="0" w:color="auto"/>
      </w:divBdr>
    </w:div>
    <w:div w:id="1689863899">
      <w:bodyDiv w:val="1"/>
      <w:marLeft w:val="0"/>
      <w:marRight w:val="0"/>
      <w:marTop w:val="0"/>
      <w:marBottom w:val="0"/>
      <w:divBdr>
        <w:top w:val="none" w:sz="0" w:space="0" w:color="auto"/>
        <w:left w:val="none" w:sz="0" w:space="0" w:color="auto"/>
        <w:bottom w:val="none" w:sz="0" w:space="0" w:color="auto"/>
        <w:right w:val="none" w:sz="0" w:space="0" w:color="auto"/>
      </w:divBdr>
    </w:div>
    <w:div w:id="1701852458">
      <w:bodyDiv w:val="1"/>
      <w:marLeft w:val="0"/>
      <w:marRight w:val="0"/>
      <w:marTop w:val="0"/>
      <w:marBottom w:val="0"/>
      <w:divBdr>
        <w:top w:val="none" w:sz="0" w:space="0" w:color="auto"/>
        <w:left w:val="none" w:sz="0" w:space="0" w:color="auto"/>
        <w:bottom w:val="none" w:sz="0" w:space="0" w:color="auto"/>
        <w:right w:val="none" w:sz="0" w:space="0" w:color="auto"/>
      </w:divBdr>
    </w:div>
    <w:div w:id="1721247101">
      <w:bodyDiv w:val="1"/>
      <w:marLeft w:val="0"/>
      <w:marRight w:val="0"/>
      <w:marTop w:val="0"/>
      <w:marBottom w:val="0"/>
      <w:divBdr>
        <w:top w:val="none" w:sz="0" w:space="0" w:color="auto"/>
        <w:left w:val="none" w:sz="0" w:space="0" w:color="auto"/>
        <w:bottom w:val="none" w:sz="0" w:space="0" w:color="auto"/>
        <w:right w:val="none" w:sz="0" w:space="0" w:color="auto"/>
      </w:divBdr>
    </w:div>
    <w:div w:id="1727220989">
      <w:bodyDiv w:val="1"/>
      <w:marLeft w:val="0"/>
      <w:marRight w:val="0"/>
      <w:marTop w:val="0"/>
      <w:marBottom w:val="0"/>
      <w:divBdr>
        <w:top w:val="none" w:sz="0" w:space="0" w:color="auto"/>
        <w:left w:val="none" w:sz="0" w:space="0" w:color="auto"/>
        <w:bottom w:val="none" w:sz="0" w:space="0" w:color="auto"/>
        <w:right w:val="none" w:sz="0" w:space="0" w:color="auto"/>
      </w:divBdr>
    </w:div>
    <w:div w:id="1742950100">
      <w:bodyDiv w:val="1"/>
      <w:marLeft w:val="0"/>
      <w:marRight w:val="0"/>
      <w:marTop w:val="0"/>
      <w:marBottom w:val="0"/>
      <w:divBdr>
        <w:top w:val="none" w:sz="0" w:space="0" w:color="auto"/>
        <w:left w:val="none" w:sz="0" w:space="0" w:color="auto"/>
        <w:bottom w:val="none" w:sz="0" w:space="0" w:color="auto"/>
        <w:right w:val="none" w:sz="0" w:space="0" w:color="auto"/>
      </w:divBdr>
    </w:div>
    <w:div w:id="1757092903">
      <w:bodyDiv w:val="1"/>
      <w:marLeft w:val="0"/>
      <w:marRight w:val="0"/>
      <w:marTop w:val="0"/>
      <w:marBottom w:val="0"/>
      <w:divBdr>
        <w:top w:val="none" w:sz="0" w:space="0" w:color="auto"/>
        <w:left w:val="none" w:sz="0" w:space="0" w:color="auto"/>
        <w:bottom w:val="none" w:sz="0" w:space="0" w:color="auto"/>
        <w:right w:val="none" w:sz="0" w:space="0" w:color="auto"/>
      </w:divBdr>
    </w:div>
    <w:div w:id="1796170208">
      <w:bodyDiv w:val="1"/>
      <w:marLeft w:val="0"/>
      <w:marRight w:val="0"/>
      <w:marTop w:val="0"/>
      <w:marBottom w:val="0"/>
      <w:divBdr>
        <w:top w:val="none" w:sz="0" w:space="0" w:color="auto"/>
        <w:left w:val="none" w:sz="0" w:space="0" w:color="auto"/>
        <w:bottom w:val="none" w:sz="0" w:space="0" w:color="auto"/>
        <w:right w:val="none" w:sz="0" w:space="0" w:color="auto"/>
      </w:divBdr>
    </w:div>
    <w:div w:id="1797137439">
      <w:bodyDiv w:val="1"/>
      <w:marLeft w:val="0"/>
      <w:marRight w:val="0"/>
      <w:marTop w:val="0"/>
      <w:marBottom w:val="0"/>
      <w:divBdr>
        <w:top w:val="none" w:sz="0" w:space="0" w:color="auto"/>
        <w:left w:val="none" w:sz="0" w:space="0" w:color="auto"/>
        <w:bottom w:val="none" w:sz="0" w:space="0" w:color="auto"/>
        <w:right w:val="none" w:sz="0" w:space="0" w:color="auto"/>
      </w:divBdr>
    </w:div>
    <w:div w:id="1800025167">
      <w:bodyDiv w:val="1"/>
      <w:marLeft w:val="0"/>
      <w:marRight w:val="0"/>
      <w:marTop w:val="0"/>
      <w:marBottom w:val="0"/>
      <w:divBdr>
        <w:top w:val="none" w:sz="0" w:space="0" w:color="auto"/>
        <w:left w:val="none" w:sz="0" w:space="0" w:color="auto"/>
        <w:bottom w:val="none" w:sz="0" w:space="0" w:color="auto"/>
        <w:right w:val="none" w:sz="0" w:space="0" w:color="auto"/>
      </w:divBdr>
    </w:div>
    <w:div w:id="1802454802">
      <w:bodyDiv w:val="1"/>
      <w:marLeft w:val="0"/>
      <w:marRight w:val="0"/>
      <w:marTop w:val="0"/>
      <w:marBottom w:val="0"/>
      <w:divBdr>
        <w:top w:val="none" w:sz="0" w:space="0" w:color="auto"/>
        <w:left w:val="none" w:sz="0" w:space="0" w:color="auto"/>
        <w:bottom w:val="none" w:sz="0" w:space="0" w:color="auto"/>
        <w:right w:val="none" w:sz="0" w:space="0" w:color="auto"/>
      </w:divBdr>
    </w:div>
    <w:div w:id="1813865849">
      <w:bodyDiv w:val="1"/>
      <w:marLeft w:val="0"/>
      <w:marRight w:val="0"/>
      <w:marTop w:val="0"/>
      <w:marBottom w:val="0"/>
      <w:divBdr>
        <w:top w:val="none" w:sz="0" w:space="0" w:color="auto"/>
        <w:left w:val="none" w:sz="0" w:space="0" w:color="auto"/>
        <w:bottom w:val="none" w:sz="0" w:space="0" w:color="auto"/>
        <w:right w:val="none" w:sz="0" w:space="0" w:color="auto"/>
      </w:divBdr>
    </w:div>
    <w:div w:id="1815832791">
      <w:bodyDiv w:val="1"/>
      <w:marLeft w:val="0"/>
      <w:marRight w:val="0"/>
      <w:marTop w:val="0"/>
      <w:marBottom w:val="0"/>
      <w:divBdr>
        <w:top w:val="none" w:sz="0" w:space="0" w:color="auto"/>
        <w:left w:val="none" w:sz="0" w:space="0" w:color="auto"/>
        <w:bottom w:val="none" w:sz="0" w:space="0" w:color="auto"/>
        <w:right w:val="none" w:sz="0" w:space="0" w:color="auto"/>
      </w:divBdr>
    </w:div>
    <w:div w:id="1819372708">
      <w:bodyDiv w:val="1"/>
      <w:marLeft w:val="0"/>
      <w:marRight w:val="0"/>
      <w:marTop w:val="0"/>
      <w:marBottom w:val="0"/>
      <w:divBdr>
        <w:top w:val="none" w:sz="0" w:space="0" w:color="auto"/>
        <w:left w:val="none" w:sz="0" w:space="0" w:color="auto"/>
        <w:bottom w:val="none" w:sz="0" w:space="0" w:color="auto"/>
        <w:right w:val="none" w:sz="0" w:space="0" w:color="auto"/>
      </w:divBdr>
    </w:div>
    <w:div w:id="1854144702">
      <w:bodyDiv w:val="1"/>
      <w:marLeft w:val="0"/>
      <w:marRight w:val="0"/>
      <w:marTop w:val="0"/>
      <w:marBottom w:val="0"/>
      <w:divBdr>
        <w:top w:val="none" w:sz="0" w:space="0" w:color="auto"/>
        <w:left w:val="none" w:sz="0" w:space="0" w:color="auto"/>
        <w:bottom w:val="none" w:sz="0" w:space="0" w:color="auto"/>
        <w:right w:val="none" w:sz="0" w:space="0" w:color="auto"/>
      </w:divBdr>
    </w:div>
    <w:div w:id="1865898701">
      <w:bodyDiv w:val="1"/>
      <w:marLeft w:val="0"/>
      <w:marRight w:val="0"/>
      <w:marTop w:val="0"/>
      <w:marBottom w:val="0"/>
      <w:divBdr>
        <w:top w:val="none" w:sz="0" w:space="0" w:color="auto"/>
        <w:left w:val="none" w:sz="0" w:space="0" w:color="auto"/>
        <w:bottom w:val="none" w:sz="0" w:space="0" w:color="auto"/>
        <w:right w:val="none" w:sz="0" w:space="0" w:color="auto"/>
      </w:divBdr>
    </w:div>
    <w:div w:id="1870798934">
      <w:bodyDiv w:val="1"/>
      <w:marLeft w:val="0"/>
      <w:marRight w:val="0"/>
      <w:marTop w:val="0"/>
      <w:marBottom w:val="0"/>
      <w:divBdr>
        <w:top w:val="none" w:sz="0" w:space="0" w:color="auto"/>
        <w:left w:val="none" w:sz="0" w:space="0" w:color="auto"/>
        <w:bottom w:val="none" w:sz="0" w:space="0" w:color="auto"/>
        <w:right w:val="none" w:sz="0" w:space="0" w:color="auto"/>
      </w:divBdr>
    </w:div>
    <w:div w:id="1881505366">
      <w:bodyDiv w:val="1"/>
      <w:marLeft w:val="0"/>
      <w:marRight w:val="0"/>
      <w:marTop w:val="0"/>
      <w:marBottom w:val="0"/>
      <w:divBdr>
        <w:top w:val="none" w:sz="0" w:space="0" w:color="auto"/>
        <w:left w:val="none" w:sz="0" w:space="0" w:color="auto"/>
        <w:bottom w:val="none" w:sz="0" w:space="0" w:color="auto"/>
        <w:right w:val="none" w:sz="0" w:space="0" w:color="auto"/>
      </w:divBdr>
    </w:div>
    <w:div w:id="1896770626">
      <w:bodyDiv w:val="1"/>
      <w:marLeft w:val="0"/>
      <w:marRight w:val="0"/>
      <w:marTop w:val="0"/>
      <w:marBottom w:val="0"/>
      <w:divBdr>
        <w:top w:val="none" w:sz="0" w:space="0" w:color="auto"/>
        <w:left w:val="none" w:sz="0" w:space="0" w:color="auto"/>
        <w:bottom w:val="none" w:sz="0" w:space="0" w:color="auto"/>
        <w:right w:val="none" w:sz="0" w:space="0" w:color="auto"/>
      </w:divBdr>
    </w:div>
    <w:div w:id="1900362009">
      <w:bodyDiv w:val="1"/>
      <w:marLeft w:val="0"/>
      <w:marRight w:val="0"/>
      <w:marTop w:val="0"/>
      <w:marBottom w:val="0"/>
      <w:divBdr>
        <w:top w:val="none" w:sz="0" w:space="0" w:color="auto"/>
        <w:left w:val="none" w:sz="0" w:space="0" w:color="auto"/>
        <w:bottom w:val="none" w:sz="0" w:space="0" w:color="auto"/>
        <w:right w:val="none" w:sz="0" w:space="0" w:color="auto"/>
      </w:divBdr>
    </w:div>
    <w:div w:id="1929385283">
      <w:bodyDiv w:val="1"/>
      <w:marLeft w:val="0"/>
      <w:marRight w:val="0"/>
      <w:marTop w:val="0"/>
      <w:marBottom w:val="0"/>
      <w:divBdr>
        <w:top w:val="none" w:sz="0" w:space="0" w:color="auto"/>
        <w:left w:val="none" w:sz="0" w:space="0" w:color="auto"/>
        <w:bottom w:val="none" w:sz="0" w:space="0" w:color="auto"/>
        <w:right w:val="none" w:sz="0" w:space="0" w:color="auto"/>
      </w:divBdr>
    </w:div>
    <w:div w:id="1986199918">
      <w:bodyDiv w:val="1"/>
      <w:marLeft w:val="0"/>
      <w:marRight w:val="0"/>
      <w:marTop w:val="0"/>
      <w:marBottom w:val="0"/>
      <w:divBdr>
        <w:top w:val="none" w:sz="0" w:space="0" w:color="auto"/>
        <w:left w:val="none" w:sz="0" w:space="0" w:color="auto"/>
        <w:bottom w:val="none" w:sz="0" w:space="0" w:color="auto"/>
        <w:right w:val="none" w:sz="0" w:space="0" w:color="auto"/>
      </w:divBdr>
    </w:div>
    <w:div w:id="1992637001">
      <w:bodyDiv w:val="1"/>
      <w:marLeft w:val="0"/>
      <w:marRight w:val="0"/>
      <w:marTop w:val="0"/>
      <w:marBottom w:val="0"/>
      <w:divBdr>
        <w:top w:val="none" w:sz="0" w:space="0" w:color="auto"/>
        <w:left w:val="none" w:sz="0" w:space="0" w:color="auto"/>
        <w:bottom w:val="none" w:sz="0" w:space="0" w:color="auto"/>
        <w:right w:val="none" w:sz="0" w:space="0" w:color="auto"/>
      </w:divBdr>
    </w:div>
    <w:div w:id="2042435783">
      <w:bodyDiv w:val="1"/>
      <w:marLeft w:val="0"/>
      <w:marRight w:val="0"/>
      <w:marTop w:val="0"/>
      <w:marBottom w:val="0"/>
      <w:divBdr>
        <w:top w:val="none" w:sz="0" w:space="0" w:color="auto"/>
        <w:left w:val="none" w:sz="0" w:space="0" w:color="auto"/>
        <w:bottom w:val="none" w:sz="0" w:space="0" w:color="auto"/>
        <w:right w:val="none" w:sz="0" w:space="0" w:color="auto"/>
      </w:divBdr>
    </w:div>
    <w:div w:id="2049640942">
      <w:bodyDiv w:val="1"/>
      <w:marLeft w:val="0"/>
      <w:marRight w:val="0"/>
      <w:marTop w:val="0"/>
      <w:marBottom w:val="0"/>
      <w:divBdr>
        <w:top w:val="none" w:sz="0" w:space="0" w:color="auto"/>
        <w:left w:val="none" w:sz="0" w:space="0" w:color="auto"/>
        <w:bottom w:val="none" w:sz="0" w:space="0" w:color="auto"/>
        <w:right w:val="none" w:sz="0" w:space="0" w:color="auto"/>
      </w:divBdr>
    </w:div>
    <w:div w:id="2064408653">
      <w:bodyDiv w:val="1"/>
      <w:marLeft w:val="0"/>
      <w:marRight w:val="0"/>
      <w:marTop w:val="0"/>
      <w:marBottom w:val="0"/>
      <w:divBdr>
        <w:top w:val="none" w:sz="0" w:space="0" w:color="auto"/>
        <w:left w:val="none" w:sz="0" w:space="0" w:color="auto"/>
        <w:bottom w:val="none" w:sz="0" w:space="0" w:color="auto"/>
        <w:right w:val="none" w:sz="0" w:space="0" w:color="auto"/>
      </w:divBdr>
    </w:div>
    <w:div w:id="2065524357">
      <w:bodyDiv w:val="1"/>
      <w:marLeft w:val="0"/>
      <w:marRight w:val="0"/>
      <w:marTop w:val="0"/>
      <w:marBottom w:val="0"/>
      <w:divBdr>
        <w:top w:val="none" w:sz="0" w:space="0" w:color="auto"/>
        <w:left w:val="none" w:sz="0" w:space="0" w:color="auto"/>
        <w:bottom w:val="none" w:sz="0" w:space="0" w:color="auto"/>
        <w:right w:val="none" w:sz="0" w:space="0" w:color="auto"/>
      </w:divBdr>
    </w:div>
    <w:div w:id="2070570216">
      <w:bodyDiv w:val="1"/>
      <w:marLeft w:val="0"/>
      <w:marRight w:val="0"/>
      <w:marTop w:val="0"/>
      <w:marBottom w:val="0"/>
      <w:divBdr>
        <w:top w:val="none" w:sz="0" w:space="0" w:color="auto"/>
        <w:left w:val="none" w:sz="0" w:space="0" w:color="auto"/>
        <w:bottom w:val="none" w:sz="0" w:space="0" w:color="auto"/>
        <w:right w:val="none" w:sz="0" w:space="0" w:color="auto"/>
      </w:divBdr>
    </w:div>
    <w:div w:id="2077044584">
      <w:bodyDiv w:val="1"/>
      <w:marLeft w:val="0"/>
      <w:marRight w:val="0"/>
      <w:marTop w:val="0"/>
      <w:marBottom w:val="0"/>
      <w:divBdr>
        <w:top w:val="none" w:sz="0" w:space="0" w:color="auto"/>
        <w:left w:val="none" w:sz="0" w:space="0" w:color="auto"/>
        <w:bottom w:val="none" w:sz="0" w:space="0" w:color="auto"/>
        <w:right w:val="none" w:sz="0" w:space="0" w:color="auto"/>
      </w:divBdr>
    </w:div>
    <w:div w:id="2095976635">
      <w:bodyDiv w:val="1"/>
      <w:marLeft w:val="0"/>
      <w:marRight w:val="0"/>
      <w:marTop w:val="0"/>
      <w:marBottom w:val="0"/>
      <w:divBdr>
        <w:top w:val="none" w:sz="0" w:space="0" w:color="auto"/>
        <w:left w:val="none" w:sz="0" w:space="0" w:color="auto"/>
        <w:bottom w:val="none" w:sz="0" w:space="0" w:color="auto"/>
        <w:right w:val="none" w:sz="0" w:space="0" w:color="auto"/>
      </w:divBdr>
    </w:div>
    <w:div w:id="21425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EF6263-146C-48DE-AE83-912F5DD7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182</Pages>
  <Words>20053</Words>
  <Characters>114307</Characters>
  <Application>Microsoft Office Word</Application>
  <DocSecurity>0</DocSecurity>
  <Lines>952</Lines>
  <Paragraphs>268</Paragraphs>
  <ScaleCrop>false</ScaleCrop>
  <Company>易方达基金管理有限公司</Company>
  <LinksUpToDate>false</LinksUpToDate>
  <CharactersWithSpaces>134092</CharactersWithSpaces>
  <SharedDoc>false</SharedDoc>
  <HLinks>
    <vt:vector size="786" baseType="variant">
      <vt:variant>
        <vt:i4>6160454</vt:i4>
      </vt:variant>
      <vt:variant>
        <vt:i4>783</vt:i4>
      </vt:variant>
      <vt:variant>
        <vt:i4>0</vt:i4>
      </vt:variant>
      <vt:variant>
        <vt:i4>5</vt:i4>
      </vt:variant>
      <vt:variant>
        <vt:lpwstr>http://www.efunds.com.cn/</vt:lpwstr>
      </vt:variant>
      <vt:variant>
        <vt:lpwstr/>
      </vt:variant>
      <vt:variant>
        <vt:i4>2031666</vt:i4>
      </vt:variant>
      <vt:variant>
        <vt:i4>776</vt:i4>
      </vt:variant>
      <vt:variant>
        <vt:i4>0</vt:i4>
      </vt:variant>
      <vt:variant>
        <vt:i4>5</vt:i4>
      </vt:variant>
      <vt:variant>
        <vt:lpwstr/>
      </vt:variant>
      <vt:variant>
        <vt:lpwstr>_Toc399510947</vt:lpwstr>
      </vt:variant>
      <vt:variant>
        <vt:i4>2031666</vt:i4>
      </vt:variant>
      <vt:variant>
        <vt:i4>770</vt:i4>
      </vt:variant>
      <vt:variant>
        <vt:i4>0</vt:i4>
      </vt:variant>
      <vt:variant>
        <vt:i4>5</vt:i4>
      </vt:variant>
      <vt:variant>
        <vt:lpwstr/>
      </vt:variant>
      <vt:variant>
        <vt:lpwstr>_Toc399510946</vt:lpwstr>
      </vt:variant>
      <vt:variant>
        <vt:i4>2031666</vt:i4>
      </vt:variant>
      <vt:variant>
        <vt:i4>764</vt:i4>
      </vt:variant>
      <vt:variant>
        <vt:i4>0</vt:i4>
      </vt:variant>
      <vt:variant>
        <vt:i4>5</vt:i4>
      </vt:variant>
      <vt:variant>
        <vt:lpwstr/>
      </vt:variant>
      <vt:variant>
        <vt:lpwstr>_Toc399510945</vt:lpwstr>
      </vt:variant>
      <vt:variant>
        <vt:i4>2031666</vt:i4>
      </vt:variant>
      <vt:variant>
        <vt:i4>758</vt:i4>
      </vt:variant>
      <vt:variant>
        <vt:i4>0</vt:i4>
      </vt:variant>
      <vt:variant>
        <vt:i4>5</vt:i4>
      </vt:variant>
      <vt:variant>
        <vt:lpwstr/>
      </vt:variant>
      <vt:variant>
        <vt:lpwstr>_Toc399510944</vt:lpwstr>
      </vt:variant>
      <vt:variant>
        <vt:i4>2031666</vt:i4>
      </vt:variant>
      <vt:variant>
        <vt:i4>752</vt:i4>
      </vt:variant>
      <vt:variant>
        <vt:i4>0</vt:i4>
      </vt:variant>
      <vt:variant>
        <vt:i4>5</vt:i4>
      </vt:variant>
      <vt:variant>
        <vt:lpwstr/>
      </vt:variant>
      <vt:variant>
        <vt:lpwstr>_Toc399510943</vt:lpwstr>
      </vt:variant>
      <vt:variant>
        <vt:i4>2031666</vt:i4>
      </vt:variant>
      <vt:variant>
        <vt:i4>746</vt:i4>
      </vt:variant>
      <vt:variant>
        <vt:i4>0</vt:i4>
      </vt:variant>
      <vt:variant>
        <vt:i4>5</vt:i4>
      </vt:variant>
      <vt:variant>
        <vt:lpwstr/>
      </vt:variant>
      <vt:variant>
        <vt:lpwstr>_Toc399510942</vt:lpwstr>
      </vt:variant>
      <vt:variant>
        <vt:i4>2031666</vt:i4>
      </vt:variant>
      <vt:variant>
        <vt:i4>740</vt:i4>
      </vt:variant>
      <vt:variant>
        <vt:i4>0</vt:i4>
      </vt:variant>
      <vt:variant>
        <vt:i4>5</vt:i4>
      </vt:variant>
      <vt:variant>
        <vt:lpwstr/>
      </vt:variant>
      <vt:variant>
        <vt:lpwstr>_Toc399510941</vt:lpwstr>
      </vt:variant>
      <vt:variant>
        <vt:i4>2031666</vt:i4>
      </vt:variant>
      <vt:variant>
        <vt:i4>734</vt:i4>
      </vt:variant>
      <vt:variant>
        <vt:i4>0</vt:i4>
      </vt:variant>
      <vt:variant>
        <vt:i4>5</vt:i4>
      </vt:variant>
      <vt:variant>
        <vt:lpwstr/>
      </vt:variant>
      <vt:variant>
        <vt:lpwstr>_Toc399510940</vt:lpwstr>
      </vt:variant>
      <vt:variant>
        <vt:i4>1572914</vt:i4>
      </vt:variant>
      <vt:variant>
        <vt:i4>728</vt:i4>
      </vt:variant>
      <vt:variant>
        <vt:i4>0</vt:i4>
      </vt:variant>
      <vt:variant>
        <vt:i4>5</vt:i4>
      </vt:variant>
      <vt:variant>
        <vt:lpwstr/>
      </vt:variant>
      <vt:variant>
        <vt:lpwstr>_Toc399510939</vt:lpwstr>
      </vt:variant>
      <vt:variant>
        <vt:i4>1572914</vt:i4>
      </vt:variant>
      <vt:variant>
        <vt:i4>722</vt:i4>
      </vt:variant>
      <vt:variant>
        <vt:i4>0</vt:i4>
      </vt:variant>
      <vt:variant>
        <vt:i4>5</vt:i4>
      </vt:variant>
      <vt:variant>
        <vt:lpwstr/>
      </vt:variant>
      <vt:variant>
        <vt:lpwstr>_Toc399510938</vt:lpwstr>
      </vt:variant>
      <vt:variant>
        <vt:i4>1572914</vt:i4>
      </vt:variant>
      <vt:variant>
        <vt:i4>716</vt:i4>
      </vt:variant>
      <vt:variant>
        <vt:i4>0</vt:i4>
      </vt:variant>
      <vt:variant>
        <vt:i4>5</vt:i4>
      </vt:variant>
      <vt:variant>
        <vt:lpwstr/>
      </vt:variant>
      <vt:variant>
        <vt:lpwstr>_Toc399510937</vt:lpwstr>
      </vt:variant>
      <vt:variant>
        <vt:i4>1572914</vt:i4>
      </vt:variant>
      <vt:variant>
        <vt:i4>710</vt:i4>
      </vt:variant>
      <vt:variant>
        <vt:i4>0</vt:i4>
      </vt:variant>
      <vt:variant>
        <vt:i4>5</vt:i4>
      </vt:variant>
      <vt:variant>
        <vt:lpwstr/>
      </vt:variant>
      <vt:variant>
        <vt:lpwstr>_Toc399510936</vt:lpwstr>
      </vt:variant>
      <vt:variant>
        <vt:i4>1572914</vt:i4>
      </vt:variant>
      <vt:variant>
        <vt:i4>704</vt:i4>
      </vt:variant>
      <vt:variant>
        <vt:i4>0</vt:i4>
      </vt:variant>
      <vt:variant>
        <vt:i4>5</vt:i4>
      </vt:variant>
      <vt:variant>
        <vt:lpwstr/>
      </vt:variant>
      <vt:variant>
        <vt:lpwstr>_Toc399510935</vt:lpwstr>
      </vt:variant>
      <vt:variant>
        <vt:i4>1572914</vt:i4>
      </vt:variant>
      <vt:variant>
        <vt:i4>698</vt:i4>
      </vt:variant>
      <vt:variant>
        <vt:i4>0</vt:i4>
      </vt:variant>
      <vt:variant>
        <vt:i4>5</vt:i4>
      </vt:variant>
      <vt:variant>
        <vt:lpwstr/>
      </vt:variant>
      <vt:variant>
        <vt:lpwstr>_Toc399510934</vt:lpwstr>
      </vt:variant>
      <vt:variant>
        <vt:i4>1572914</vt:i4>
      </vt:variant>
      <vt:variant>
        <vt:i4>692</vt:i4>
      </vt:variant>
      <vt:variant>
        <vt:i4>0</vt:i4>
      </vt:variant>
      <vt:variant>
        <vt:i4>5</vt:i4>
      </vt:variant>
      <vt:variant>
        <vt:lpwstr/>
      </vt:variant>
      <vt:variant>
        <vt:lpwstr>_Toc399510933</vt:lpwstr>
      </vt:variant>
      <vt:variant>
        <vt:i4>1572914</vt:i4>
      </vt:variant>
      <vt:variant>
        <vt:i4>686</vt:i4>
      </vt:variant>
      <vt:variant>
        <vt:i4>0</vt:i4>
      </vt:variant>
      <vt:variant>
        <vt:i4>5</vt:i4>
      </vt:variant>
      <vt:variant>
        <vt:lpwstr/>
      </vt:variant>
      <vt:variant>
        <vt:lpwstr>_Toc399510932</vt:lpwstr>
      </vt:variant>
      <vt:variant>
        <vt:i4>1572914</vt:i4>
      </vt:variant>
      <vt:variant>
        <vt:i4>680</vt:i4>
      </vt:variant>
      <vt:variant>
        <vt:i4>0</vt:i4>
      </vt:variant>
      <vt:variant>
        <vt:i4>5</vt:i4>
      </vt:variant>
      <vt:variant>
        <vt:lpwstr/>
      </vt:variant>
      <vt:variant>
        <vt:lpwstr>_Toc399510931</vt:lpwstr>
      </vt:variant>
      <vt:variant>
        <vt:i4>1572914</vt:i4>
      </vt:variant>
      <vt:variant>
        <vt:i4>674</vt:i4>
      </vt:variant>
      <vt:variant>
        <vt:i4>0</vt:i4>
      </vt:variant>
      <vt:variant>
        <vt:i4>5</vt:i4>
      </vt:variant>
      <vt:variant>
        <vt:lpwstr/>
      </vt:variant>
      <vt:variant>
        <vt:lpwstr>_Toc399510930</vt:lpwstr>
      </vt:variant>
      <vt:variant>
        <vt:i4>1638450</vt:i4>
      </vt:variant>
      <vt:variant>
        <vt:i4>668</vt:i4>
      </vt:variant>
      <vt:variant>
        <vt:i4>0</vt:i4>
      </vt:variant>
      <vt:variant>
        <vt:i4>5</vt:i4>
      </vt:variant>
      <vt:variant>
        <vt:lpwstr/>
      </vt:variant>
      <vt:variant>
        <vt:lpwstr>_Toc399510929</vt:lpwstr>
      </vt:variant>
      <vt:variant>
        <vt:i4>1638450</vt:i4>
      </vt:variant>
      <vt:variant>
        <vt:i4>662</vt:i4>
      </vt:variant>
      <vt:variant>
        <vt:i4>0</vt:i4>
      </vt:variant>
      <vt:variant>
        <vt:i4>5</vt:i4>
      </vt:variant>
      <vt:variant>
        <vt:lpwstr/>
      </vt:variant>
      <vt:variant>
        <vt:lpwstr>_Toc399510928</vt:lpwstr>
      </vt:variant>
      <vt:variant>
        <vt:i4>1638450</vt:i4>
      </vt:variant>
      <vt:variant>
        <vt:i4>656</vt:i4>
      </vt:variant>
      <vt:variant>
        <vt:i4>0</vt:i4>
      </vt:variant>
      <vt:variant>
        <vt:i4>5</vt:i4>
      </vt:variant>
      <vt:variant>
        <vt:lpwstr/>
      </vt:variant>
      <vt:variant>
        <vt:lpwstr>_Toc399510927</vt:lpwstr>
      </vt:variant>
      <vt:variant>
        <vt:i4>1638450</vt:i4>
      </vt:variant>
      <vt:variant>
        <vt:i4>650</vt:i4>
      </vt:variant>
      <vt:variant>
        <vt:i4>0</vt:i4>
      </vt:variant>
      <vt:variant>
        <vt:i4>5</vt:i4>
      </vt:variant>
      <vt:variant>
        <vt:lpwstr/>
      </vt:variant>
      <vt:variant>
        <vt:lpwstr>_Toc399510926</vt:lpwstr>
      </vt:variant>
      <vt:variant>
        <vt:i4>1638450</vt:i4>
      </vt:variant>
      <vt:variant>
        <vt:i4>644</vt:i4>
      </vt:variant>
      <vt:variant>
        <vt:i4>0</vt:i4>
      </vt:variant>
      <vt:variant>
        <vt:i4>5</vt:i4>
      </vt:variant>
      <vt:variant>
        <vt:lpwstr/>
      </vt:variant>
      <vt:variant>
        <vt:lpwstr>_Toc399510925</vt:lpwstr>
      </vt:variant>
      <vt:variant>
        <vt:i4>1638450</vt:i4>
      </vt:variant>
      <vt:variant>
        <vt:i4>638</vt:i4>
      </vt:variant>
      <vt:variant>
        <vt:i4>0</vt:i4>
      </vt:variant>
      <vt:variant>
        <vt:i4>5</vt:i4>
      </vt:variant>
      <vt:variant>
        <vt:lpwstr/>
      </vt:variant>
      <vt:variant>
        <vt:lpwstr>_Toc399510924</vt:lpwstr>
      </vt:variant>
      <vt:variant>
        <vt:i4>1638450</vt:i4>
      </vt:variant>
      <vt:variant>
        <vt:i4>632</vt:i4>
      </vt:variant>
      <vt:variant>
        <vt:i4>0</vt:i4>
      </vt:variant>
      <vt:variant>
        <vt:i4>5</vt:i4>
      </vt:variant>
      <vt:variant>
        <vt:lpwstr/>
      </vt:variant>
      <vt:variant>
        <vt:lpwstr>_Toc399510923</vt:lpwstr>
      </vt:variant>
      <vt:variant>
        <vt:i4>1638450</vt:i4>
      </vt:variant>
      <vt:variant>
        <vt:i4>626</vt:i4>
      </vt:variant>
      <vt:variant>
        <vt:i4>0</vt:i4>
      </vt:variant>
      <vt:variant>
        <vt:i4>5</vt:i4>
      </vt:variant>
      <vt:variant>
        <vt:lpwstr/>
      </vt:variant>
      <vt:variant>
        <vt:lpwstr>_Toc399510922</vt:lpwstr>
      </vt:variant>
      <vt:variant>
        <vt:i4>1638450</vt:i4>
      </vt:variant>
      <vt:variant>
        <vt:i4>620</vt:i4>
      </vt:variant>
      <vt:variant>
        <vt:i4>0</vt:i4>
      </vt:variant>
      <vt:variant>
        <vt:i4>5</vt:i4>
      </vt:variant>
      <vt:variant>
        <vt:lpwstr/>
      </vt:variant>
      <vt:variant>
        <vt:lpwstr>_Toc399510921</vt:lpwstr>
      </vt:variant>
      <vt:variant>
        <vt:i4>1638450</vt:i4>
      </vt:variant>
      <vt:variant>
        <vt:i4>614</vt:i4>
      </vt:variant>
      <vt:variant>
        <vt:i4>0</vt:i4>
      </vt:variant>
      <vt:variant>
        <vt:i4>5</vt:i4>
      </vt:variant>
      <vt:variant>
        <vt:lpwstr/>
      </vt:variant>
      <vt:variant>
        <vt:lpwstr>_Toc399510920</vt:lpwstr>
      </vt:variant>
      <vt:variant>
        <vt:i4>1703986</vt:i4>
      </vt:variant>
      <vt:variant>
        <vt:i4>608</vt:i4>
      </vt:variant>
      <vt:variant>
        <vt:i4>0</vt:i4>
      </vt:variant>
      <vt:variant>
        <vt:i4>5</vt:i4>
      </vt:variant>
      <vt:variant>
        <vt:lpwstr/>
      </vt:variant>
      <vt:variant>
        <vt:lpwstr>_Toc399510919</vt:lpwstr>
      </vt:variant>
      <vt:variant>
        <vt:i4>1703986</vt:i4>
      </vt:variant>
      <vt:variant>
        <vt:i4>602</vt:i4>
      </vt:variant>
      <vt:variant>
        <vt:i4>0</vt:i4>
      </vt:variant>
      <vt:variant>
        <vt:i4>5</vt:i4>
      </vt:variant>
      <vt:variant>
        <vt:lpwstr/>
      </vt:variant>
      <vt:variant>
        <vt:lpwstr>_Toc399510918</vt:lpwstr>
      </vt:variant>
      <vt:variant>
        <vt:i4>1703986</vt:i4>
      </vt:variant>
      <vt:variant>
        <vt:i4>596</vt:i4>
      </vt:variant>
      <vt:variant>
        <vt:i4>0</vt:i4>
      </vt:variant>
      <vt:variant>
        <vt:i4>5</vt:i4>
      </vt:variant>
      <vt:variant>
        <vt:lpwstr/>
      </vt:variant>
      <vt:variant>
        <vt:lpwstr>_Toc399510917</vt:lpwstr>
      </vt:variant>
      <vt:variant>
        <vt:i4>1703986</vt:i4>
      </vt:variant>
      <vt:variant>
        <vt:i4>590</vt:i4>
      </vt:variant>
      <vt:variant>
        <vt:i4>0</vt:i4>
      </vt:variant>
      <vt:variant>
        <vt:i4>5</vt:i4>
      </vt:variant>
      <vt:variant>
        <vt:lpwstr/>
      </vt:variant>
      <vt:variant>
        <vt:lpwstr>_Toc399510916</vt:lpwstr>
      </vt:variant>
      <vt:variant>
        <vt:i4>1703986</vt:i4>
      </vt:variant>
      <vt:variant>
        <vt:i4>584</vt:i4>
      </vt:variant>
      <vt:variant>
        <vt:i4>0</vt:i4>
      </vt:variant>
      <vt:variant>
        <vt:i4>5</vt:i4>
      </vt:variant>
      <vt:variant>
        <vt:lpwstr/>
      </vt:variant>
      <vt:variant>
        <vt:lpwstr>_Toc399510915</vt:lpwstr>
      </vt:variant>
      <vt:variant>
        <vt:i4>1703986</vt:i4>
      </vt:variant>
      <vt:variant>
        <vt:i4>578</vt:i4>
      </vt:variant>
      <vt:variant>
        <vt:i4>0</vt:i4>
      </vt:variant>
      <vt:variant>
        <vt:i4>5</vt:i4>
      </vt:variant>
      <vt:variant>
        <vt:lpwstr/>
      </vt:variant>
      <vt:variant>
        <vt:lpwstr>_Toc399510914</vt:lpwstr>
      </vt:variant>
      <vt:variant>
        <vt:i4>1703986</vt:i4>
      </vt:variant>
      <vt:variant>
        <vt:i4>572</vt:i4>
      </vt:variant>
      <vt:variant>
        <vt:i4>0</vt:i4>
      </vt:variant>
      <vt:variant>
        <vt:i4>5</vt:i4>
      </vt:variant>
      <vt:variant>
        <vt:lpwstr/>
      </vt:variant>
      <vt:variant>
        <vt:lpwstr>_Toc399510913</vt:lpwstr>
      </vt:variant>
      <vt:variant>
        <vt:i4>1703986</vt:i4>
      </vt:variant>
      <vt:variant>
        <vt:i4>566</vt:i4>
      </vt:variant>
      <vt:variant>
        <vt:i4>0</vt:i4>
      </vt:variant>
      <vt:variant>
        <vt:i4>5</vt:i4>
      </vt:variant>
      <vt:variant>
        <vt:lpwstr/>
      </vt:variant>
      <vt:variant>
        <vt:lpwstr>_Toc399510912</vt:lpwstr>
      </vt:variant>
      <vt:variant>
        <vt:i4>1703986</vt:i4>
      </vt:variant>
      <vt:variant>
        <vt:i4>560</vt:i4>
      </vt:variant>
      <vt:variant>
        <vt:i4>0</vt:i4>
      </vt:variant>
      <vt:variant>
        <vt:i4>5</vt:i4>
      </vt:variant>
      <vt:variant>
        <vt:lpwstr/>
      </vt:variant>
      <vt:variant>
        <vt:lpwstr>_Toc399510911</vt:lpwstr>
      </vt:variant>
      <vt:variant>
        <vt:i4>1703986</vt:i4>
      </vt:variant>
      <vt:variant>
        <vt:i4>554</vt:i4>
      </vt:variant>
      <vt:variant>
        <vt:i4>0</vt:i4>
      </vt:variant>
      <vt:variant>
        <vt:i4>5</vt:i4>
      </vt:variant>
      <vt:variant>
        <vt:lpwstr/>
      </vt:variant>
      <vt:variant>
        <vt:lpwstr>_Toc399510910</vt:lpwstr>
      </vt:variant>
      <vt:variant>
        <vt:i4>1769522</vt:i4>
      </vt:variant>
      <vt:variant>
        <vt:i4>548</vt:i4>
      </vt:variant>
      <vt:variant>
        <vt:i4>0</vt:i4>
      </vt:variant>
      <vt:variant>
        <vt:i4>5</vt:i4>
      </vt:variant>
      <vt:variant>
        <vt:lpwstr/>
      </vt:variant>
      <vt:variant>
        <vt:lpwstr>_Toc399510909</vt:lpwstr>
      </vt:variant>
      <vt:variant>
        <vt:i4>1769522</vt:i4>
      </vt:variant>
      <vt:variant>
        <vt:i4>542</vt:i4>
      </vt:variant>
      <vt:variant>
        <vt:i4>0</vt:i4>
      </vt:variant>
      <vt:variant>
        <vt:i4>5</vt:i4>
      </vt:variant>
      <vt:variant>
        <vt:lpwstr/>
      </vt:variant>
      <vt:variant>
        <vt:lpwstr>_Toc399510908</vt:lpwstr>
      </vt:variant>
      <vt:variant>
        <vt:i4>1769522</vt:i4>
      </vt:variant>
      <vt:variant>
        <vt:i4>536</vt:i4>
      </vt:variant>
      <vt:variant>
        <vt:i4>0</vt:i4>
      </vt:variant>
      <vt:variant>
        <vt:i4>5</vt:i4>
      </vt:variant>
      <vt:variant>
        <vt:lpwstr/>
      </vt:variant>
      <vt:variant>
        <vt:lpwstr>_Toc399510907</vt:lpwstr>
      </vt:variant>
      <vt:variant>
        <vt:i4>1769522</vt:i4>
      </vt:variant>
      <vt:variant>
        <vt:i4>530</vt:i4>
      </vt:variant>
      <vt:variant>
        <vt:i4>0</vt:i4>
      </vt:variant>
      <vt:variant>
        <vt:i4>5</vt:i4>
      </vt:variant>
      <vt:variant>
        <vt:lpwstr/>
      </vt:variant>
      <vt:variant>
        <vt:lpwstr>_Toc399510906</vt:lpwstr>
      </vt:variant>
      <vt:variant>
        <vt:i4>1769522</vt:i4>
      </vt:variant>
      <vt:variant>
        <vt:i4>524</vt:i4>
      </vt:variant>
      <vt:variant>
        <vt:i4>0</vt:i4>
      </vt:variant>
      <vt:variant>
        <vt:i4>5</vt:i4>
      </vt:variant>
      <vt:variant>
        <vt:lpwstr/>
      </vt:variant>
      <vt:variant>
        <vt:lpwstr>_Toc399510905</vt:lpwstr>
      </vt:variant>
      <vt:variant>
        <vt:i4>1769522</vt:i4>
      </vt:variant>
      <vt:variant>
        <vt:i4>518</vt:i4>
      </vt:variant>
      <vt:variant>
        <vt:i4>0</vt:i4>
      </vt:variant>
      <vt:variant>
        <vt:i4>5</vt:i4>
      </vt:variant>
      <vt:variant>
        <vt:lpwstr/>
      </vt:variant>
      <vt:variant>
        <vt:lpwstr>_Toc399510904</vt:lpwstr>
      </vt:variant>
      <vt:variant>
        <vt:i4>1769522</vt:i4>
      </vt:variant>
      <vt:variant>
        <vt:i4>512</vt:i4>
      </vt:variant>
      <vt:variant>
        <vt:i4>0</vt:i4>
      </vt:variant>
      <vt:variant>
        <vt:i4>5</vt:i4>
      </vt:variant>
      <vt:variant>
        <vt:lpwstr/>
      </vt:variant>
      <vt:variant>
        <vt:lpwstr>_Toc399510903</vt:lpwstr>
      </vt:variant>
      <vt:variant>
        <vt:i4>1769522</vt:i4>
      </vt:variant>
      <vt:variant>
        <vt:i4>506</vt:i4>
      </vt:variant>
      <vt:variant>
        <vt:i4>0</vt:i4>
      </vt:variant>
      <vt:variant>
        <vt:i4>5</vt:i4>
      </vt:variant>
      <vt:variant>
        <vt:lpwstr/>
      </vt:variant>
      <vt:variant>
        <vt:lpwstr>_Toc399510902</vt:lpwstr>
      </vt:variant>
      <vt:variant>
        <vt:i4>1769522</vt:i4>
      </vt:variant>
      <vt:variant>
        <vt:i4>500</vt:i4>
      </vt:variant>
      <vt:variant>
        <vt:i4>0</vt:i4>
      </vt:variant>
      <vt:variant>
        <vt:i4>5</vt:i4>
      </vt:variant>
      <vt:variant>
        <vt:lpwstr/>
      </vt:variant>
      <vt:variant>
        <vt:lpwstr>_Toc399510901</vt:lpwstr>
      </vt:variant>
      <vt:variant>
        <vt:i4>1769522</vt:i4>
      </vt:variant>
      <vt:variant>
        <vt:i4>494</vt:i4>
      </vt:variant>
      <vt:variant>
        <vt:i4>0</vt:i4>
      </vt:variant>
      <vt:variant>
        <vt:i4>5</vt:i4>
      </vt:variant>
      <vt:variant>
        <vt:lpwstr/>
      </vt:variant>
      <vt:variant>
        <vt:lpwstr>_Toc399510900</vt:lpwstr>
      </vt:variant>
      <vt:variant>
        <vt:i4>1179699</vt:i4>
      </vt:variant>
      <vt:variant>
        <vt:i4>488</vt:i4>
      </vt:variant>
      <vt:variant>
        <vt:i4>0</vt:i4>
      </vt:variant>
      <vt:variant>
        <vt:i4>5</vt:i4>
      </vt:variant>
      <vt:variant>
        <vt:lpwstr/>
      </vt:variant>
      <vt:variant>
        <vt:lpwstr>_Toc399510899</vt:lpwstr>
      </vt:variant>
      <vt:variant>
        <vt:i4>1179699</vt:i4>
      </vt:variant>
      <vt:variant>
        <vt:i4>482</vt:i4>
      </vt:variant>
      <vt:variant>
        <vt:i4>0</vt:i4>
      </vt:variant>
      <vt:variant>
        <vt:i4>5</vt:i4>
      </vt:variant>
      <vt:variant>
        <vt:lpwstr/>
      </vt:variant>
      <vt:variant>
        <vt:lpwstr>_Toc399510898</vt:lpwstr>
      </vt:variant>
      <vt:variant>
        <vt:i4>1179699</vt:i4>
      </vt:variant>
      <vt:variant>
        <vt:i4>476</vt:i4>
      </vt:variant>
      <vt:variant>
        <vt:i4>0</vt:i4>
      </vt:variant>
      <vt:variant>
        <vt:i4>5</vt:i4>
      </vt:variant>
      <vt:variant>
        <vt:lpwstr/>
      </vt:variant>
      <vt:variant>
        <vt:lpwstr>_Toc399510897</vt:lpwstr>
      </vt:variant>
      <vt:variant>
        <vt:i4>1179699</vt:i4>
      </vt:variant>
      <vt:variant>
        <vt:i4>470</vt:i4>
      </vt:variant>
      <vt:variant>
        <vt:i4>0</vt:i4>
      </vt:variant>
      <vt:variant>
        <vt:i4>5</vt:i4>
      </vt:variant>
      <vt:variant>
        <vt:lpwstr/>
      </vt:variant>
      <vt:variant>
        <vt:lpwstr>_Toc399510896</vt:lpwstr>
      </vt:variant>
      <vt:variant>
        <vt:i4>1179699</vt:i4>
      </vt:variant>
      <vt:variant>
        <vt:i4>464</vt:i4>
      </vt:variant>
      <vt:variant>
        <vt:i4>0</vt:i4>
      </vt:variant>
      <vt:variant>
        <vt:i4>5</vt:i4>
      </vt:variant>
      <vt:variant>
        <vt:lpwstr/>
      </vt:variant>
      <vt:variant>
        <vt:lpwstr>_Toc399510895</vt:lpwstr>
      </vt:variant>
      <vt:variant>
        <vt:i4>1179699</vt:i4>
      </vt:variant>
      <vt:variant>
        <vt:i4>458</vt:i4>
      </vt:variant>
      <vt:variant>
        <vt:i4>0</vt:i4>
      </vt:variant>
      <vt:variant>
        <vt:i4>5</vt:i4>
      </vt:variant>
      <vt:variant>
        <vt:lpwstr/>
      </vt:variant>
      <vt:variant>
        <vt:lpwstr>_Toc399510894</vt:lpwstr>
      </vt:variant>
      <vt:variant>
        <vt:i4>1179699</vt:i4>
      </vt:variant>
      <vt:variant>
        <vt:i4>452</vt:i4>
      </vt:variant>
      <vt:variant>
        <vt:i4>0</vt:i4>
      </vt:variant>
      <vt:variant>
        <vt:i4>5</vt:i4>
      </vt:variant>
      <vt:variant>
        <vt:lpwstr/>
      </vt:variant>
      <vt:variant>
        <vt:lpwstr>_Toc399510893</vt:lpwstr>
      </vt:variant>
      <vt:variant>
        <vt:i4>1179699</vt:i4>
      </vt:variant>
      <vt:variant>
        <vt:i4>446</vt:i4>
      </vt:variant>
      <vt:variant>
        <vt:i4>0</vt:i4>
      </vt:variant>
      <vt:variant>
        <vt:i4>5</vt:i4>
      </vt:variant>
      <vt:variant>
        <vt:lpwstr/>
      </vt:variant>
      <vt:variant>
        <vt:lpwstr>_Toc399510892</vt:lpwstr>
      </vt:variant>
      <vt:variant>
        <vt:i4>1179699</vt:i4>
      </vt:variant>
      <vt:variant>
        <vt:i4>440</vt:i4>
      </vt:variant>
      <vt:variant>
        <vt:i4>0</vt:i4>
      </vt:variant>
      <vt:variant>
        <vt:i4>5</vt:i4>
      </vt:variant>
      <vt:variant>
        <vt:lpwstr/>
      </vt:variant>
      <vt:variant>
        <vt:lpwstr>_Toc399510891</vt:lpwstr>
      </vt:variant>
      <vt:variant>
        <vt:i4>1179699</vt:i4>
      </vt:variant>
      <vt:variant>
        <vt:i4>434</vt:i4>
      </vt:variant>
      <vt:variant>
        <vt:i4>0</vt:i4>
      </vt:variant>
      <vt:variant>
        <vt:i4>5</vt:i4>
      </vt:variant>
      <vt:variant>
        <vt:lpwstr/>
      </vt:variant>
      <vt:variant>
        <vt:lpwstr>_Toc399510890</vt:lpwstr>
      </vt:variant>
      <vt:variant>
        <vt:i4>1245235</vt:i4>
      </vt:variant>
      <vt:variant>
        <vt:i4>428</vt:i4>
      </vt:variant>
      <vt:variant>
        <vt:i4>0</vt:i4>
      </vt:variant>
      <vt:variant>
        <vt:i4>5</vt:i4>
      </vt:variant>
      <vt:variant>
        <vt:lpwstr/>
      </vt:variant>
      <vt:variant>
        <vt:lpwstr>_Toc399510889</vt:lpwstr>
      </vt:variant>
      <vt:variant>
        <vt:i4>1245235</vt:i4>
      </vt:variant>
      <vt:variant>
        <vt:i4>422</vt:i4>
      </vt:variant>
      <vt:variant>
        <vt:i4>0</vt:i4>
      </vt:variant>
      <vt:variant>
        <vt:i4>5</vt:i4>
      </vt:variant>
      <vt:variant>
        <vt:lpwstr/>
      </vt:variant>
      <vt:variant>
        <vt:lpwstr>_Toc399510888</vt:lpwstr>
      </vt:variant>
      <vt:variant>
        <vt:i4>1245235</vt:i4>
      </vt:variant>
      <vt:variant>
        <vt:i4>416</vt:i4>
      </vt:variant>
      <vt:variant>
        <vt:i4>0</vt:i4>
      </vt:variant>
      <vt:variant>
        <vt:i4>5</vt:i4>
      </vt:variant>
      <vt:variant>
        <vt:lpwstr/>
      </vt:variant>
      <vt:variant>
        <vt:lpwstr>_Toc399510887</vt:lpwstr>
      </vt:variant>
      <vt:variant>
        <vt:i4>1245235</vt:i4>
      </vt:variant>
      <vt:variant>
        <vt:i4>410</vt:i4>
      </vt:variant>
      <vt:variant>
        <vt:i4>0</vt:i4>
      </vt:variant>
      <vt:variant>
        <vt:i4>5</vt:i4>
      </vt:variant>
      <vt:variant>
        <vt:lpwstr/>
      </vt:variant>
      <vt:variant>
        <vt:lpwstr>_Toc399510886</vt:lpwstr>
      </vt:variant>
      <vt:variant>
        <vt:i4>1245235</vt:i4>
      </vt:variant>
      <vt:variant>
        <vt:i4>404</vt:i4>
      </vt:variant>
      <vt:variant>
        <vt:i4>0</vt:i4>
      </vt:variant>
      <vt:variant>
        <vt:i4>5</vt:i4>
      </vt:variant>
      <vt:variant>
        <vt:lpwstr/>
      </vt:variant>
      <vt:variant>
        <vt:lpwstr>_Toc399510885</vt:lpwstr>
      </vt:variant>
      <vt:variant>
        <vt:i4>1245235</vt:i4>
      </vt:variant>
      <vt:variant>
        <vt:i4>398</vt:i4>
      </vt:variant>
      <vt:variant>
        <vt:i4>0</vt:i4>
      </vt:variant>
      <vt:variant>
        <vt:i4>5</vt:i4>
      </vt:variant>
      <vt:variant>
        <vt:lpwstr/>
      </vt:variant>
      <vt:variant>
        <vt:lpwstr>_Toc399510884</vt:lpwstr>
      </vt:variant>
      <vt:variant>
        <vt:i4>1245235</vt:i4>
      </vt:variant>
      <vt:variant>
        <vt:i4>392</vt:i4>
      </vt:variant>
      <vt:variant>
        <vt:i4>0</vt:i4>
      </vt:variant>
      <vt:variant>
        <vt:i4>5</vt:i4>
      </vt:variant>
      <vt:variant>
        <vt:lpwstr/>
      </vt:variant>
      <vt:variant>
        <vt:lpwstr>_Toc399510883</vt:lpwstr>
      </vt:variant>
      <vt:variant>
        <vt:i4>1245235</vt:i4>
      </vt:variant>
      <vt:variant>
        <vt:i4>386</vt:i4>
      </vt:variant>
      <vt:variant>
        <vt:i4>0</vt:i4>
      </vt:variant>
      <vt:variant>
        <vt:i4>5</vt:i4>
      </vt:variant>
      <vt:variant>
        <vt:lpwstr/>
      </vt:variant>
      <vt:variant>
        <vt:lpwstr>_Toc399510882</vt:lpwstr>
      </vt:variant>
      <vt:variant>
        <vt:i4>1245235</vt:i4>
      </vt:variant>
      <vt:variant>
        <vt:i4>380</vt:i4>
      </vt:variant>
      <vt:variant>
        <vt:i4>0</vt:i4>
      </vt:variant>
      <vt:variant>
        <vt:i4>5</vt:i4>
      </vt:variant>
      <vt:variant>
        <vt:lpwstr/>
      </vt:variant>
      <vt:variant>
        <vt:lpwstr>_Toc399510881</vt:lpwstr>
      </vt:variant>
      <vt:variant>
        <vt:i4>1245235</vt:i4>
      </vt:variant>
      <vt:variant>
        <vt:i4>374</vt:i4>
      </vt:variant>
      <vt:variant>
        <vt:i4>0</vt:i4>
      </vt:variant>
      <vt:variant>
        <vt:i4>5</vt:i4>
      </vt:variant>
      <vt:variant>
        <vt:lpwstr/>
      </vt:variant>
      <vt:variant>
        <vt:lpwstr>_Toc399510880</vt:lpwstr>
      </vt:variant>
      <vt:variant>
        <vt:i4>1835059</vt:i4>
      </vt:variant>
      <vt:variant>
        <vt:i4>368</vt:i4>
      </vt:variant>
      <vt:variant>
        <vt:i4>0</vt:i4>
      </vt:variant>
      <vt:variant>
        <vt:i4>5</vt:i4>
      </vt:variant>
      <vt:variant>
        <vt:lpwstr/>
      </vt:variant>
      <vt:variant>
        <vt:lpwstr>_Toc399510879</vt:lpwstr>
      </vt:variant>
      <vt:variant>
        <vt:i4>1835059</vt:i4>
      </vt:variant>
      <vt:variant>
        <vt:i4>362</vt:i4>
      </vt:variant>
      <vt:variant>
        <vt:i4>0</vt:i4>
      </vt:variant>
      <vt:variant>
        <vt:i4>5</vt:i4>
      </vt:variant>
      <vt:variant>
        <vt:lpwstr/>
      </vt:variant>
      <vt:variant>
        <vt:lpwstr>_Toc399510878</vt:lpwstr>
      </vt:variant>
      <vt:variant>
        <vt:i4>1835059</vt:i4>
      </vt:variant>
      <vt:variant>
        <vt:i4>356</vt:i4>
      </vt:variant>
      <vt:variant>
        <vt:i4>0</vt:i4>
      </vt:variant>
      <vt:variant>
        <vt:i4>5</vt:i4>
      </vt:variant>
      <vt:variant>
        <vt:lpwstr/>
      </vt:variant>
      <vt:variant>
        <vt:lpwstr>_Toc399510877</vt:lpwstr>
      </vt:variant>
      <vt:variant>
        <vt:i4>1835059</vt:i4>
      </vt:variant>
      <vt:variant>
        <vt:i4>350</vt:i4>
      </vt:variant>
      <vt:variant>
        <vt:i4>0</vt:i4>
      </vt:variant>
      <vt:variant>
        <vt:i4>5</vt:i4>
      </vt:variant>
      <vt:variant>
        <vt:lpwstr/>
      </vt:variant>
      <vt:variant>
        <vt:lpwstr>_Toc399510876</vt:lpwstr>
      </vt:variant>
      <vt:variant>
        <vt:i4>1835059</vt:i4>
      </vt:variant>
      <vt:variant>
        <vt:i4>344</vt:i4>
      </vt:variant>
      <vt:variant>
        <vt:i4>0</vt:i4>
      </vt:variant>
      <vt:variant>
        <vt:i4>5</vt:i4>
      </vt:variant>
      <vt:variant>
        <vt:lpwstr/>
      </vt:variant>
      <vt:variant>
        <vt:lpwstr>_Toc399510875</vt:lpwstr>
      </vt:variant>
      <vt:variant>
        <vt:i4>1835059</vt:i4>
      </vt:variant>
      <vt:variant>
        <vt:i4>338</vt:i4>
      </vt:variant>
      <vt:variant>
        <vt:i4>0</vt:i4>
      </vt:variant>
      <vt:variant>
        <vt:i4>5</vt:i4>
      </vt:variant>
      <vt:variant>
        <vt:lpwstr/>
      </vt:variant>
      <vt:variant>
        <vt:lpwstr>_Toc399510874</vt:lpwstr>
      </vt:variant>
      <vt:variant>
        <vt:i4>1835059</vt:i4>
      </vt:variant>
      <vt:variant>
        <vt:i4>332</vt:i4>
      </vt:variant>
      <vt:variant>
        <vt:i4>0</vt:i4>
      </vt:variant>
      <vt:variant>
        <vt:i4>5</vt:i4>
      </vt:variant>
      <vt:variant>
        <vt:lpwstr/>
      </vt:variant>
      <vt:variant>
        <vt:lpwstr>_Toc399510873</vt:lpwstr>
      </vt:variant>
      <vt:variant>
        <vt:i4>1835059</vt:i4>
      </vt:variant>
      <vt:variant>
        <vt:i4>326</vt:i4>
      </vt:variant>
      <vt:variant>
        <vt:i4>0</vt:i4>
      </vt:variant>
      <vt:variant>
        <vt:i4>5</vt:i4>
      </vt:variant>
      <vt:variant>
        <vt:lpwstr/>
      </vt:variant>
      <vt:variant>
        <vt:lpwstr>_Toc399510872</vt:lpwstr>
      </vt:variant>
      <vt:variant>
        <vt:i4>1835059</vt:i4>
      </vt:variant>
      <vt:variant>
        <vt:i4>320</vt:i4>
      </vt:variant>
      <vt:variant>
        <vt:i4>0</vt:i4>
      </vt:variant>
      <vt:variant>
        <vt:i4>5</vt:i4>
      </vt:variant>
      <vt:variant>
        <vt:lpwstr/>
      </vt:variant>
      <vt:variant>
        <vt:lpwstr>_Toc399510871</vt:lpwstr>
      </vt:variant>
      <vt:variant>
        <vt:i4>1835059</vt:i4>
      </vt:variant>
      <vt:variant>
        <vt:i4>314</vt:i4>
      </vt:variant>
      <vt:variant>
        <vt:i4>0</vt:i4>
      </vt:variant>
      <vt:variant>
        <vt:i4>5</vt:i4>
      </vt:variant>
      <vt:variant>
        <vt:lpwstr/>
      </vt:variant>
      <vt:variant>
        <vt:lpwstr>_Toc399510870</vt:lpwstr>
      </vt:variant>
      <vt:variant>
        <vt:i4>1900595</vt:i4>
      </vt:variant>
      <vt:variant>
        <vt:i4>308</vt:i4>
      </vt:variant>
      <vt:variant>
        <vt:i4>0</vt:i4>
      </vt:variant>
      <vt:variant>
        <vt:i4>5</vt:i4>
      </vt:variant>
      <vt:variant>
        <vt:lpwstr/>
      </vt:variant>
      <vt:variant>
        <vt:lpwstr>_Toc399510869</vt:lpwstr>
      </vt:variant>
      <vt:variant>
        <vt:i4>1900595</vt:i4>
      </vt:variant>
      <vt:variant>
        <vt:i4>302</vt:i4>
      </vt:variant>
      <vt:variant>
        <vt:i4>0</vt:i4>
      </vt:variant>
      <vt:variant>
        <vt:i4>5</vt:i4>
      </vt:variant>
      <vt:variant>
        <vt:lpwstr/>
      </vt:variant>
      <vt:variant>
        <vt:lpwstr>_Toc399510868</vt:lpwstr>
      </vt:variant>
      <vt:variant>
        <vt:i4>1900595</vt:i4>
      </vt:variant>
      <vt:variant>
        <vt:i4>296</vt:i4>
      </vt:variant>
      <vt:variant>
        <vt:i4>0</vt:i4>
      </vt:variant>
      <vt:variant>
        <vt:i4>5</vt:i4>
      </vt:variant>
      <vt:variant>
        <vt:lpwstr/>
      </vt:variant>
      <vt:variant>
        <vt:lpwstr>_Toc399510867</vt:lpwstr>
      </vt:variant>
      <vt:variant>
        <vt:i4>1900595</vt:i4>
      </vt:variant>
      <vt:variant>
        <vt:i4>290</vt:i4>
      </vt:variant>
      <vt:variant>
        <vt:i4>0</vt:i4>
      </vt:variant>
      <vt:variant>
        <vt:i4>5</vt:i4>
      </vt:variant>
      <vt:variant>
        <vt:lpwstr/>
      </vt:variant>
      <vt:variant>
        <vt:lpwstr>_Toc399510866</vt:lpwstr>
      </vt:variant>
      <vt:variant>
        <vt:i4>1900595</vt:i4>
      </vt:variant>
      <vt:variant>
        <vt:i4>284</vt:i4>
      </vt:variant>
      <vt:variant>
        <vt:i4>0</vt:i4>
      </vt:variant>
      <vt:variant>
        <vt:i4>5</vt:i4>
      </vt:variant>
      <vt:variant>
        <vt:lpwstr/>
      </vt:variant>
      <vt:variant>
        <vt:lpwstr>_Toc399510865</vt:lpwstr>
      </vt:variant>
      <vt:variant>
        <vt:i4>1900595</vt:i4>
      </vt:variant>
      <vt:variant>
        <vt:i4>278</vt:i4>
      </vt:variant>
      <vt:variant>
        <vt:i4>0</vt:i4>
      </vt:variant>
      <vt:variant>
        <vt:i4>5</vt:i4>
      </vt:variant>
      <vt:variant>
        <vt:lpwstr/>
      </vt:variant>
      <vt:variant>
        <vt:lpwstr>_Toc399510864</vt:lpwstr>
      </vt:variant>
      <vt:variant>
        <vt:i4>1900595</vt:i4>
      </vt:variant>
      <vt:variant>
        <vt:i4>272</vt:i4>
      </vt:variant>
      <vt:variant>
        <vt:i4>0</vt:i4>
      </vt:variant>
      <vt:variant>
        <vt:i4>5</vt:i4>
      </vt:variant>
      <vt:variant>
        <vt:lpwstr/>
      </vt:variant>
      <vt:variant>
        <vt:lpwstr>_Toc399510863</vt:lpwstr>
      </vt:variant>
      <vt:variant>
        <vt:i4>1900595</vt:i4>
      </vt:variant>
      <vt:variant>
        <vt:i4>266</vt:i4>
      </vt:variant>
      <vt:variant>
        <vt:i4>0</vt:i4>
      </vt:variant>
      <vt:variant>
        <vt:i4>5</vt:i4>
      </vt:variant>
      <vt:variant>
        <vt:lpwstr/>
      </vt:variant>
      <vt:variant>
        <vt:lpwstr>_Toc399510862</vt:lpwstr>
      </vt:variant>
      <vt:variant>
        <vt:i4>1900595</vt:i4>
      </vt:variant>
      <vt:variant>
        <vt:i4>260</vt:i4>
      </vt:variant>
      <vt:variant>
        <vt:i4>0</vt:i4>
      </vt:variant>
      <vt:variant>
        <vt:i4>5</vt:i4>
      </vt:variant>
      <vt:variant>
        <vt:lpwstr/>
      </vt:variant>
      <vt:variant>
        <vt:lpwstr>_Toc399510861</vt:lpwstr>
      </vt:variant>
      <vt:variant>
        <vt:i4>1900595</vt:i4>
      </vt:variant>
      <vt:variant>
        <vt:i4>254</vt:i4>
      </vt:variant>
      <vt:variant>
        <vt:i4>0</vt:i4>
      </vt:variant>
      <vt:variant>
        <vt:i4>5</vt:i4>
      </vt:variant>
      <vt:variant>
        <vt:lpwstr/>
      </vt:variant>
      <vt:variant>
        <vt:lpwstr>_Toc399510860</vt:lpwstr>
      </vt:variant>
      <vt:variant>
        <vt:i4>1966131</vt:i4>
      </vt:variant>
      <vt:variant>
        <vt:i4>248</vt:i4>
      </vt:variant>
      <vt:variant>
        <vt:i4>0</vt:i4>
      </vt:variant>
      <vt:variant>
        <vt:i4>5</vt:i4>
      </vt:variant>
      <vt:variant>
        <vt:lpwstr/>
      </vt:variant>
      <vt:variant>
        <vt:lpwstr>_Toc399510859</vt:lpwstr>
      </vt:variant>
      <vt:variant>
        <vt:i4>1966131</vt:i4>
      </vt:variant>
      <vt:variant>
        <vt:i4>242</vt:i4>
      </vt:variant>
      <vt:variant>
        <vt:i4>0</vt:i4>
      </vt:variant>
      <vt:variant>
        <vt:i4>5</vt:i4>
      </vt:variant>
      <vt:variant>
        <vt:lpwstr/>
      </vt:variant>
      <vt:variant>
        <vt:lpwstr>_Toc399510858</vt:lpwstr>
      </vt:variant>
      <vt:variant>
        <vt:i4>1966131</vt:i4>
      </vt:variant>
      <vt:variant>
        <vt:i4>236</vt:i4>
      </vt:variant>
      <vt:variant>
        <vt:i4>0</vt:i4>
      </vt:variant>
      <vt:variant>
        <vt:i4>5</vt:i4>
      </vt:variant>
      <vt:variant>
        <vt:lpwstr/>
      </vt:variant>
      <vt:variant>
        <vt:lpwstr>_Toc399510857</vt:lpwstr>
      </vt:variant>
      <vt:variant>
        <vt:i4>1966131</vt:i4>
      </vt:variant>
      <vt:variant>
        <vt:i4>230</vt:i4>
      </vt:variant>
      <vt:variant>
        <vt:i4>0</vt:i4>
      </vt:variant>
      <vt:variant>
        <vt:i4>5</vt:i4>
      </vt:variant>
      <vt:variant>
        <vt:lpwstr/>
      </vt:variant>
      <vt:variant>
        <vt:lpwstr>_Toc399510856</vt:lpwstr>
      </vt:variant>
      <vt:variant>
        <vt:i4>1966131</vt:i4>
      </vt:variant>
      <vt:variant>
        <vt:i4>224</vt:i4>
      </vt:variant>
      <vt:variant>
        <vt:i4>0</vt:i4>
      </vt:variant>
      <vt:variant>
        <vt:i4>5</vt:i4>
      </vt:variant>
      <vt:variant>
        <vt:lpwstr/>
      </vt:variant>
      <vt:variant>
        <vt:lpwstr>_Toc399510855</vt:lpwstr>
      </vt:variant>
      <vt:variant>
        <vt:i4>1966131</vt:i4>
      </vt:variant>
      <vt:variant>
        <vt:i4>218</vt:i4>
      </vt:variant>
      <vt:variant>
        <vt:i4>0</vt:i4>
      </vt:variant>
      <vt:variant>
        <vt:i4>5</vt:i4>
      </vt:variant>
      <vt:variant>
        <vt:lpwstr/>
      </vt:variant>
      <vt:variant>
        <vt:lpwstr>_Toc399510854</vt:lpwstr>
      </vt:variant>
      <vt:variant>
        <vt:i4>1966131</vt:i4>
      </vt:variant>
      <vt:variant>
        <vt:i4>212</vt:i4>
      </vt:variant>
      <vt:variant>
        <vt:i4>0</vt:i4>
      </vt:variant>
      <vt:variant>
        <vt:i4>5</vt:i4>
      </vt:variant>
      <vt:variant>
        <vt:lpwstr/>
      </vt:variant>
      <vt:variant>
        <vt:lpwstr>_Toc399510853</vt:lpwstr>
      </vt:variant>
      <vt:variant>
        <vt:i4>1966131</vt:i4>
      </vt:variant>
      <vt:variant>
        <vt:i4>206</vt:i4>
      </vt:variant>
      <vt:variant>
        <vt:i4>0</vt:i4>
      </vt:variant>
      <vt:variant>
        <vt:i4>5</vt:i4>
      </vt:variant>
      <vt:variant>
        <vt:lpwstr/>
      </vt:variant>
      <vt:variant>
        <vt:lpwstr>_Toc399510852</vt:lpwstr>
      </vt:variant>
      <vt:variant>
        <vt:i4>1966131</vt:i4>
      </vt:variant>
      <vt:variant>
        <vt:i4>200</vt:i4>
      </vt:variant>
      <vt:variant>
        <vt:i4>0</vt:i4>
      </vt:variant>
      <vt:variant>
        <vt:i4>5</vt:i4>
      </vt:variant>
      <vt:variant>
        <vt:lpwstr/>
      </vt:variant>
      <vt:variant>
        <vt:lpwstr>_Toc399510851</vt:lpwstr>
      </vt:variant>
      <vt:variant>
        <vt:i4>1966131</vt:i4>
      </vt:variant>
      <vt:variant>
        <vt:i4>194</vt:i4>
      </vt:variant>
      <vt:variant>
        <vt:i4>0</vt:i4>
      </vt:variant>
      <vt:variant>
        <vt:i4>5</vt:i4>
      </vt:variant>
      <vt:variant>
        <vt:lpwstr/>
      </vt:variant>
      <vt:variant>
        <vt:lpwstr>_Toc399510850</vt:lpwstr>
      </vt:variant>
      <vt:variant>
        <vt:i4>2031667</vt:i4>
      </vt:variant>
      <vt:variant>
        <vt:i4>188</vt:i4>
      </vt:variant>
      <vt:variant>
        <vt:i4>0</vt:i4>
      </vt:variant>
      <vt:variant>
        <vt:i4>5</vt:i4>
      </vt:variant>
      <vt:variant>
        <vt:lpwstr/>
      </vt:variant>
      <vt:variant>
        <vt:lpwstr>_Toc399510849</vt:lpwstr>
      </vt:variant>
      <vt:variant>
        <vt:i4>2031667</vt:i4>
      </vt:variant>
      <vt:variant>
        <vt:i4>182</vt:i4>
      </vt:variant>
      <vt:variant>
        <vt:i4>0</vt:i4>
      </vt:variant>
      <vt:variant>
        <vt:i4>5</vt:i4>
      </vt:variant>
      <vt:variant>
        <vt:lpwstr/>
      </vt:variant>
      <vt:variant>
        <vt:lpwstr>_Toc399510848</vt:lpwstr>
      </vt:variant>
      <vt:variant>
        <vt:i4>2031667</vt:i4>
      </vt:variant>
      <vt:variant>
        <vt:i4>176</vt:i4>
      </vt:variant>
      <vt:variant>
        <vt:i4>0</vt:i4>
      </vt:variant>
      <vt:variant>
        <vt:i4>5</vt:i4>
      </vt:variant>
      <vt:variant>
        <vt:lpwstr/>
      </vt:variant>
      <vt:variant>
        <vt:lpwstr>_Toc399510847</vt:lpwstr>
      </vt:variant>
      <vt:variant>
        <vt:i4>2031667</vt:i4>
      </vt:variant>
      <vt:variant>
        <vt:i4>170</vt:i4>
      </vt:variant>
      <vt:variant>
        <vt:i4>0</vt:i4>
      </vt:variant>
      <vt:variant>
        <vt:i4>5</vt:i4>
      </vt:variant>
      <vt:variant>
        <vt:lpwstr/>
      </vt:variant>
      <vt:variant>
        <vt:lpwstr>_Toc399510846</vt:lpwstr>
      </vt:variant>
      <vt:variant>
        <vt:i4>2031667</vt:i4>
      </vt:variant>
      <vt:variant>
        <vt:i4>164</vt:i4>
      </vt:variant>
      <vt:variant>
        <vt:i4>0</vt:i4>
      </vt:variant>
      <vt:variant>
        <vt:i4>5</vt:i4>
      </vt:variant>
      <vt:variant>
        <vt:lpwstr/>
      </vt:variant>
      <vt:variant>
        <vt:lpwstr>_Toc399510845</vt:lpwstr>
      </vt:variant>
      <vt:variant>
        <vt:i4>2031667</vt:i4>
      </vt:variant>
      <vt:variant>
        <vt:i4>158</vt:i4>
      </vt:variant>
      <vt:variant>
        <vt:i4>0</vt:i4>
      </vt:variant>
      <vt:variant>
        <vt:i4>5</vt:i4>
      </vt:variant>
      <vt:variant>
        <vt:lpwstr/>
      </vt:variant>
      <vt:variant>
        <vt:lpwstr>_Toc399510844</vt:lpwstr>
      </vt:variant>
      <vt:variant>
        <vt:i4>2031667</vt:i4>
      </vt:variant>
      <vt:variant>
        <vt:i4>152</vt:i4>
      </vt:variant>
      <vt:variant>
        <vt:i4>0</vt:i4>
      </vt:variant>
      <vt:variant>
        <vt:i4>5</vt:i4>
      </vt:variant>
      <vt:variant>
        <vt:lpwstr/>
      </vt:variant>
      <vt:variant>
        <vt:lpwstr>_Toc399510843</vt:lpwstr>
      </vt:variant>
      <vt:variant>
        <vt:i4>2031667</vt:i4>
      </vt:variant>
      <vt:variant>
        <vt:i4>146</vt:i4>
      </vt:variant>
      <vt:variant>
        <vt:i4>0</vt:i4>
      </vt:variant>
      <vt:variant>
        <vt:i4>5</vt:i4>
      </vt:variant>
      <vt:variant>
        <vt:lpwstr/>
      </vt:variant>
      <vt:variant>
        <vt:lpwstr>_Toc399510842</vt:lpwstr>
      </vt:variant>
      <vt:variant>
        <vt:i4>2031667</vt:i4>
      </vt:variant>
      <vt:variant>
        <vt:i4>140</vt:i4>
      </vt:variant>
      <vt:variant>
        <vt:i4>0</vt:i4>
      </vt:variant>
      <vt:variant>
        <vt:i4>5</vt:i4>
      </vt:variant>
      <vt:variant>
        <vt:lpwstr/>
      </vt:variant>
      <vt:variant>
        <vt:lpwstr>_Toc399510841</vt:lpwstr>
      </vt:variant>
      <vt:variant>
        <vt:i4>2031667</vt:i4>
      </vt:variant>
      <vt:variant>
        <vt:i4>134</vt:i4>
      </vt:variant>
      <vt:variant>
        <vt:i4>0</vt:i4>
      </vt:variant>
      <vt:variant>
        <vt:i4>5</vt:i4>
      </vt:variant>
      <vt:variant>
        <vt:lpwstr/>
      </vt:variant>
      <vt:variant>
        <vt:lpwstr>_Toc399510840</vt:lpwstr>
      </vt:variant>
      <vt:variant>
        <vt:i4>1572915</vt:i4>
      </vt:variant>
      <vt:variant>
        <vt:i4>128</vt:i4>
      </vt:variant>
      <vt:variant>
        <vt:i4>0</vt:i4>
      </vt:variant>
      <vt:variant>
        <vt:i4>5</vt:i4>
      </vt:variant>
      <vt:variant>
        <vt:lpwstr/>
      </vt:variant>
      <vt:variant>
        <vt:lpwstr>_Toc399510839</vt:lpwstr>
      </vt:variant>
      <vt:variant>
        <vt:i4>1572915</vt:i4>
      </vt:variant>
      <vt:variant>
        <vt:i4>122</vt:i4>
      </vt:variant>
      <vt:variant>
        <vt:i4>0</vt:i4>
      </vt:variant>
      <vt:variant>
        <vt:i4>5</vt:i4>
      </vt:variant>
      <vt:variant>
        <vt:lpwstr/>
      </vt:variant>
      <vt:variant>
        <vt:lpwstr>_Toc399510838</vt:lpwstr>
      </vt:variant>
      <vt:variant>
        <vt:i4>1572915</vt:i4>
      </vt:variant>
      <vt:variant>
        <vt:i4>116</vt:i4>
      </vt:variant>
      <vt:variant>
        <vt:i4>0</vt:i4>
      </vt:variant>
      <vt:variant>
        <vt:i4>5</vt:i4>
      </vt:variant>
      <vt:variant>
        <vt:lpwstr/>
      </vt:variant>
      <vt:variant>
        <vt:lpwstr>_Toc399510837</vt:lpwstr>
      </vt:variant>
      <vt:variant>
        <vt:i4>1572915</vt:i4>
      </vt:variant>
      <vt:variant>
        <vt:i4>110</vt:i4>
      </vt:variant>
      <vt:variant>
        <vt:i4>0</vt:i4>
      </vt:variant>
      <vt:variant>
        <vt:i4>5</vt:i4>
      </vt:variant>
      <vt:variant>
        <vt:lpwstr/>
      </vt:variant>
      <vt:variant>
        <vt:lpwstr>_Toc399510836</vt:lpwstr>
      </vt:variant>
      <vt:variant>
        <vt:i4>1572915</vt:i4>
      </vt:variant>
      <vt:variant>
        <vt:i4>104</vt:i4>
      </vt:variant>
      <vt:variant>
        <vt:i4>0</vt:i4>
      </vt:variant>
      <vt:variant>
        <vt:i4>5</vt:i4>
      </vt:variant>
      <vt:variant>
        <vt:lpwstr/>
      </vt:variant>
      <vt:variant>
        <vt:lpwstr>_Toc399510835</vt:lpwstr>
      </vt:variant>
      <vt:variant>
        <vt:i4>1572915</vt:i4>
      </vt:variant>
      <vt:variant>
        <vt:i4>98</vt:i4>
      </vt:variant>
      <vt:variant>
        <vt:i4>0</vt:i4>
      </vt:variant>
      <vt:variant>
        <vt:i4>5</vt:i4>
      </vt:variant>
      <vt:variant>
        <vt:lpwstr/>
      </vt:variant>
      <vt:variant>
        <vt:lpwstr>_Toc399510834</vt:lpwstr>
      </vt:variant>
      <vt:variant>
        <vt:i4>1572915</vt:i4>
      </vt:variant>
      <vt:variant>
        <vt:i4>92</vt:i4>
      </vt:variant>
      <vt:variant>
        <vt:i4>0</vt:i4>
      </vt:variant>
      <vt:variant>
        <vt:i4>5</vt:i4>
      </vt:variant>
      <vt:variant>
        <vt:lpwstr/>
      </vt:variant>
      <vt:variant>
        <vt:lpwstr>_Toc399510833</vt:lpwstr>
      </vt:variant>
      <vt:variant>
        <vt:i4>1572915</vt:i4>
      </vt:variant>
      <vt:variant>
        <vt:i4>86</vt:i4>
      </vt:variant>
      <vt:variant>
        <vt:i4>0</vt:i4>
      </vt:variant>
      <vt:variant>
        <vt:i4>5</vt:i4>
      </vt:variant>
      <vt:variant>
        <vt:lpwstr/>
      </vt:variant>
      <vt:variant>
        <vt:lpwstr>_Toc399510832</vt:lpwstr>
      </vt:variant>
      <vt:variant>
        <vt:i4>1572915</vt:i4>
      </vt:variant>
      <vt:variant>
        <vt:i4>80</vt:i4>
      </vt:variant>
      <vt:variant>
        <vt:i4>0</vt:i4>
      </vt:variant>
      <vt:variant>
        <vt:i4>5</vt:i4>
      </vt:variant>
      <vt:variant>
        <vt:lpwstr/>
      </vt:variant>
      <vt:variant>
        <vt:lpwstr>_Toc399510831</vt:lpwstr>
      </vt:variant>
      <vt:variant>
        <vt:i4>1572915</vt:i4>
      </vt:variant>
      <vt:variant>
        <vt:i4>74</vt:i4>
      </vt:variant>
      <vt:variant>
        <vt:i4>0</vt:i4>
      </vt:variant>
      <vt:variant>
        <vt:i4>5</vt:i4>
      </vt:variant>
      <vt:variant>
        <vt:lpwstr/>
      </vt:variant>
      <vt:variant>
        <vt:lpwstr>_Toc399510830</vt:lpwstr>
      </vt:variant>
      <vt:variant>
        <vt:i4>1638451</vt:i4>
      </vt:variant>
      <vt:variant>
        <vt:i4>68</vt:i4>
      </vt:variant>
      <vt:variant>
        <vt:i4>0</vt:i4>
      </vt:variant>
      <vt:variant>
        <vt:i4>5</vt:i4>
      </vt:variant>
      <vt:variant>
        <vt:lpwstr/>
      </vt:variant>
      <vt:variant>
        <vt:lpwstr>_Toc399510829</vt:lpwstr>
      </vt:variant>
      <vt:variant>
        <vt:i4>1638451</vt:i4>
      </vt:variant>
      <vt:variant>
        <vt:i4>62</vt:i4>
      </vt:variant>
      <vt:variant>
        <vt:i4>0</vt:i4>
      </vt:variant>
      <vt:variant>
        <vt:i4>5</vt:i4>
      </vt:variant>
      <vt:variant>
        <vt:lpwstr/>
      </vt:variant>
      <vt:variant>
        <vt:lpwstr>_Toc399510828</vt:lpwstr>
      </vt:variant>
      <vt:variant>
        <vt:i4>1638451</vt:i4>
      </vt:variant>
      <vt:variant>
        <vt:i4>56</vt:i4>
      </vt:variant>
      <vt:variant>
        <vt:i4>0</vt:i4>
      </vt:variant>
      <vt:variant>
        <vt:i4>5</vt:i4>
      </vt:variant>
      <vt:variant>
        <vt:lpwstr/>
      </vt:variant>
      <vt:variant>
        <vt:lpwstr>_Toc399510827</vt:lpwstr>
      </vt:variant>
      <vt:variant>
        <vt:i4>1638451</vt:i4>
      </vt:variant>
      <vt:variant>
        <vt:i4>50</vt:i4>
      </vt:variant>
      <vt:variant>
        <vt:i4>0</vt:i4>
      </vt:variant>
      <vt:variant>
        <vt:i4>5</vt:i4>
      </vt:variant>
      <vt:variant>
        <vt:lpwstr/>
      </vt:variant>
      <vt:variant>
        <vt:lpwstr>_Toc399510826</vt:lpwstr>
      </vt:variant>
      <vt:variant>
        <vt:i4>1638451</vt:i4>
      </vt:variant>
      <vt:variant>
        <vt:i4>44</vt:i4>
      </vt:variant>
      <vt:variant>
        <vt:i4>0</vt:i4>
      </vt:variant>
      <vt:variant>
        <vt:i4>5</vt:i4>
      </vt:variant>
      <vt:variant>
        <vt:lpwstr/>
      </vt:variant>
      <vt:variant>
        <vt:lpwstr>_Toc399510825</vt:lpwstr>
      </vt:variant>
      <vt:variant>
        <vt:i4>1638451</vt:i4>
      </vt:variant>
      <vt:variant>
        <vt:i4>38</vt:i4>
      </vt:variant>
      <vt:variant>
        <vt:i4>0</vt:i4>
      </vt:variant>
      <vt:variant>
        <vt:i4>5</vt:i4>
      </vt:variant>
      <vt:variant>
        <vt:lpwstr/>
      </vt:variant>
      <vt:variant>
        <vt:lpwstr>_Toc399510824</vt:lpwstr>
      </vt:variant>
      <vt:variant>
        <vt:i4>1638451</vt:i4>
      </vt:variant>
      <vt:variant>
        <vt:i4>32</vt:i4>
      </vt:variant>
      <vt:variant>
        <vt:i4>0</vt:i4>
      </vt:variant>
      <vt:variant>
        <vt:i4>5</vt:i4>
      </vt:variant>
      <vt:variant>
        <vt:lpwstr/>
      </vt:variant>
      <vt:variant>
        <vt:lpwstr>_Toc399510823</vt:lpwstr>
      </vt:variant>
      <vt:variant>
        <vt:i4>1638451</vt:i4>
      </vt:variant>
      <vt:variant>
        <vt:i4>26</vt:i4>
      </vt:variant>
      <vt:variant>
        <vt:i4>0</vt:i4>
      </vt:variant>
      <vt:variant>
        <vt:i4>5</vt:i4>
      </vt:variant>
      <vt:variant>
        <vt:lpwstr/>
      </vt:variant>
      <vt:variant>
        <vt:lpwstr>_Toc399510822</vt:lpwstr>
      </vt:variant>
      <vt:variant>
        <vt:i4>1638451</vt:i4>
      </vt:variant>
      <vt:variant>
        <vt:i4>20</vt:i4>
      </vt:variant>
      <vt:variant>
        <vt:i4>0</vt:i4>
      </vt:variant>
      <vt:variant>
        <vt:i4>5</vt:i4>
      </vt:variant>
      <vt:variant>
        <vt:lpwstr/>
      </vt:variant>
      <vt:variant>
        <vt:lpwstr>_Toc399510821</vt:lpwstr>
      </vt:variant>
      <vt:variant>
        <vt:i4>1638451</vt:i4>
      </vt:variant>
      <vt:variant>
        <vt:i4>14</vt:i4>
      </vt:variant>
      <vt:variant>
        <vt:i4>0</vt:i4>
      </vt:variant>
      <vt:variant>
        <vt:i4>5</vt:i4>
      </vt:variant>
      <vt:variant>
        <vt:lpwstr/>
      </vt:variant>
      <vt:variant>
        <vt:lpwstr>_Toc399510820</vt:lpwstr>
      </vt:variant>
      <vt:variant>
        <vt:i4>1703987</vt:i4>
      </vt:variant>
      <vt:variant>
        <vt:i4>8</vt:i4>
      </vt:variant>
      <vt:variant>
        <vt:i4>0</vt:i4>
      </vt:variant>
      <vt:variant>
        <vt:i4>5</vt:i4>
      </vt:variant>
      <vt:variant>
        <vt:lpwstr/>
      </vt:variant>
      <vt:variant>
        <vt:lpwstr>_Toc399510819</vt:lpwstr>
      </vt:variant>
      <vt:variant>
        <vt:i4>1703987</vt:i4>
      </vt:variant>
      <vt:variant>
        <vt:i4>2</vt:i4>
      </vt:variant>
      <vt:variant>
        <vt:i4>0</vt:i4>
      </vt:variant>
      <vt:variant>
        <vt:i4>5</vt:i4>
      </vt:variant>
      <vt:variant>
        <vt:lpwstr/>
      </vt:variant>
      <vt:variant>
        <vt:lpwstr>_Toc399510818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14</cp:revision>
  <cp:lastPrinted>2019-09-23T08:52:00Z</cp:lastPrinted>
  <dcterms:created xsi:type="dcterms:W3CDTF">2020-07-07T02:06:00Z</dcterms:created>
  <dcterms:modified xsi:type="dcterms:W3CDTF">2020-07-29T10:38:00Z</dcterms:modified>
</cp:coreProperties>
</file>