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易方达中证800交易型开放式指数证券投资基金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中国建设银行股份有限公司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基金托管人中国建设银行股份有限公司根据本基金合同规定，于2020年7月17日复核了本报告中的财务指标、净值表现和投资组合报告等内容，保证复核内容不存在虚假记载、误导性陈述或者重大遗漏。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易方达中证800ETF</w:t>
            </w:r>
          </w:p>
        </w:tc>
      </w:tr>
      <w:tr w:rsidR="00815999" w:rsidRPr="00264E55" w:rsidTr="003328D9">
        <w:tc>
          <w:tcPr>
            <w:tcW w:type="dxa" w:w="2835"/>
            <w:vAlign w:val="center"/>
          </w:tcPr>
          <w:p w:rsidP="00815999" w:rsidR="00815999" w:rsidRDefault="00815999" w:rsidRPr="00232B03">
            <w:pPr>
              <w:adjustRightInd w:val="0"/>
              <w:spacing w:before="29" w:line="360" w:lineRule="auto"/>
              <w:ind w:left="17"/>
              <w:jc w:val="left"/>
              <w:rPr>
                <w:kern w:val="0"/>
                <w:sz w:val="24"/>
                <w:szCs w:val="24"/>
              </w:rPr>
            </w:pPr>
            <w:r w:rsidRPr="00232B03">
              <w:rPr>
                <w:kern w:val="0"/>
                <w:sz w:val="24"/>
                <w:szCs w:val="24"/>
              </w:rPr>
              <w:t>场内简称</w:t>
            </w:r>
          </w:p>
        </w:tc>
        <w:tc>
          <w:tcPr>
            <w:tcW w:type="dxa" w:w="5479"/>
            <w:gridSpan w:val="2"/>
            <w:vAlign w:val="center"/>
          </w:tcPr>
          <w:p w:rsidP="00815999" w:rsidR="00815999" w:rsidRDefault="00815999" w:rsidRPr="00232B03">
            <w:pPr>
              <w:adjustRightInd w:val="0"/>
              <w:spacing w:before="29" w:line="360" w:lineRule="auto"/>
              <w:ind w:left="17"/>
              <w:jc w:val="left"/>
              <w:rPr>
                <w:kern w:val="0"/>
                <w:sz w:val="24"/>
                <w:szCs w:val="24"/>
              </w:rPr>
            </w:pPr>
            <w:r w:rsidRPr="00232B03">
              <w:rPr>
                <w:kern w:val="0"/>
                <w:sz w:val="24"/>
                <w:szCs w:val="24"/>
              </w:rPr>
              <w:t/>
            </w:r>
            <w:proofErr w:type="spellStart"/>
            <w:r w:rsidRPr="00232B03">
              <w:rPr>
                <w:kern w:val="0"/>
                <w:sz w:val="24"/>
                <w:szCs w:val="24"/>
              </w:rPr>
              <w:t/>
            </w:r>
            <w:proofErr w:type="spellEnd"/>
            <w:r w:rsidRPr="00232B03">
              <w:rPr>
                <w:kern w:val="0"/>
                <w:sz w:val="24"/>
                <w:szCs w:val="24"/>
              </w:rPr>
              <w:t/>
            </w:r>
            <w:proofErr w:type="spellStart"/>
            <w:r w:rsidRPr="00232B03">
              <w:rPr>
                <w:kern w:val="0"/>
                <w:sz w:val="24"/>
                <w:szCs w:val="24"/>
              </w:rPr>
              <w:t/>
            </w:r>
            <w:proofErr w:type="spellEnd"/>
            <w:r w:rsidRPr="00232B03">
              <w:rPr>
                <w:kern w:val="0"/>
                <w:sz w:val="24"/>
                <w:szCs w:val="24"/>
              </w:rPr>
              <w:t>ZZ800ETF、中证800ETF</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515810</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515810</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交易型开放式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2019年10月8日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110,908,843.00</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紧密跟踪标的指数，追求跟踪偏离度和跟踪误差的最小化。</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主要采取完全复制法，即完全按照标的指数的成份股组成及其权重构建基金股票投资组合，并根据标的指数成份股及其权重的变动进行相应调整。但在因特殊情形导致基金无法完全投资于标的指数成份股时，基金管理人将采取其他指数投资技术适当调整基金投资组合，以达到紧密跟踪标的指数的目的。为更好地实现投资目标，本基金可投资股指期货、期权和其他经中国证监会允许的衍生金融产品。本基金将根据风险管理的原则，主要选择流动性好、交易活跃的衍生品合约进行交易。在正常市场情况下，本基金力争日均跟踪偏离度的绝对值不超过0.2%，年化跟踪误差不超过2%。</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中证800指数收益率</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本基金为股票型基金，预期风险与预期收益水平高于混合型基金、债券型基金与货币市场基金。本基金为指数型基金，主要采用完全复制法跟踪标的指数的表现，具有与标的指数相似的风险收益特征。</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中国建设银行股份有限公司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8,156,776.20</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22,588,274.28</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0.1645</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122,157,361.08</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1.1014</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 xml:space="preserve">2.本期已实现收益指基金本期利息收入、投资收益、其他收入(不含公允价值变动收益)扣除相关费用后的余额，本期利润为本期已实现收益加上本期公允价值变动收益。 </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18.04%</w:t>
            </w:r>
          </w:p>
        </w:tc>
        <w:tc>
          <w:tcPr>
            <w:vAlign w:val="center"/>
          </w:tcPr>
          <w:p>
            <w:pPr>
              <w:jc w:val="center"/>
            </w:pPr>
            <w:r>
              <w:rPr>
                <w:color w:val="000000"/>
                <w:kern w:val="0"/>
                <w:sz w:val="24"/>
                <w:szCs w:val="24"/>
              </w:rPr>
              <w:t>0.92%</w:t>
            </w:r>
          </w:p>
        </w:tc>
        <w:tc>
          <w:tcPr>
            <w:vAlign w:val="center"/>
          </w:tcPr>
          <w:p>
            <w:pPr>
              <w:jc w:val="center"/>
            </w:pPr>
            <w:r>
              <w:rPr>
                <w:color w:val="000000"/>
                <w:kern w:val="0"/>
                <w:sz w:val="24"/>
                <w:szCs w:val="24"/>
              </w:rPr>
              <w:t>13.79%</w:t>
            </w:r>
          </w:p>
        </w:tc>
        <w:tc>
          <w:tcPr>
            <w:vAlign w:val="center"/>
          </w:tcPr>
          <w:p>
            <w:pPr>
              <w:jc w:val="center"/>
            </w:pPr>
            <w:r>
              <w:rPr>
                <w:color w:val="000000"/>
                <w:kern w:val="0"/>
                <w:sz w:val="24"/>
                <w:szCs w:val="24"/>
              </w:rPr>
              <w:t>0.92%</w:t>
            </w:r>
          </w:p>
        </w:tc>
        <w:tc>
          <w:tcPr>
            <w:vAlign w:val="center"/>
          </w:tcPr>
          <w:p>
            <w:pPr>
              <w:jc w:val="center"/>
            </w:pPr>
            <w:r>
              <w:rPr>
                <w:color w:val="000000"/>
                <w:kern w:val="0"/>
                <w:sz w:val="24"/>
                <w:szCs w:val="24"/>
              </w:rPr>
              <w:t>4.25%</w:t>
            </w:r>
          </w:p>
        </w:tc>
        <w:tc>
          <w:tcPr>
            <w:vAlign w:val="center"/>
          </w:tcPr>
          <w:p>
            <w:pPr>
              <w:jc w:val="center"/>
            </w:pPr>
            <w:r>
              <w:rPr>
                <w:color w:val="000000"/>
                <w:kern w:val="0"/>
                <w:sz w:val="24"/>
                <w:szCs w:val="24"/>
              </w:rPr>
              <w:t>0.00%</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10.40%</w:t>
            </w:r>
          </w:p>
        </w:tc>
        <w:tc>
          <w:tcPr>
            <w:vAlign w:val="center"/>
          </w:tcPr>
          <w:p>
            <w:pPr>
              <w:jc w:val="center"/>
            </w:pPr>
            <w:r>
              <w:rPr>
                <w:color w:val="000000"/>
                <w:kern w:val="0"/>
                <w:sz w:val="24"/>
                <w:szCs w:val="24"/>
              </w:rPr>
              <w:t>1.54%</w:t>
            </w:r>
          </w:p>
        </w:tc>
        <w:tc>
          <w:tcPr>
            <w:vAlign w:val="center"/>
          </w:tcPr>
          <w:p>
            <w:pPr>
              <w:jc w:val="center"/>
            </w:pPr>
            <w:r>
              <w:rPr>
                <w:color w:val="000000"/>
                <w:kern w:val="0"/>
                <w:sz w:val="24"/>
                <w:szCs w:val="24"/>
              </w:rPr>
              <w:t>3.94%</w:t>
            </w:r>
          </w:p>
        </w:tc>
        <w:tc>
          <w:tcPr>
            <w:vAlign w:val="center"/>
          </w:tcPr>
          <w:p>
            <w:pPr>
              <w:jc w:val="center"/>
            </w:pPr>
            <w:r>
              <w:rPr>
                <w:color w:val="000000"/>
                <w:kern w:val="0"/>
                <w:sz w:val="24"/>
                <w:szCs w:val="24"/>
              </w:rPr>
              <w:t>1.56%</w:t>
            </w:r>
          </w:p>
        </w:tc>
        <w:tc>
          <w:tcPr>
            <w:vAlign w:val="center"/>
          </w:tcPr>
          <w:p>
            <w:pPr>
              <w:jc w:val="center"/>
            </w:pPr>
            <w:r>
              <w:rPr>
                <w:color w:val="000000"/>
                <w:kern w:val="0"/>
                <w:sz w:val="24"/>
                <w:szCs w:val="24"/>
              </w:rPr>
              <w:t>6.46%</w:t>
            </w:r>
          </w:p>
        </w:tc>
        <w:tc>
          <w:tcPr>
            <w:vAlign w:val="center"/>
          </w:tcPr>
          <w:p>
            <w:pPr>
              <w:jc w:val="center"/>
            </w:pPr>
            <w:r>
              <w:rPr>
                <w:color w:val="000000"/>
                <w:kern w:val="0"/>
                <w:sz w:val="24"/>
                <w:szCs w:val="24"/>
              </w:rPr>
              <w:t>-0.02%</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10.14%</w:t>
            </w:r>
          </w:p>
        </w:tc>
        <w:tc>
          <w:tcPr>
            <w:vAlign w:val="center"/>
          </w:tcPr>
          <w:p>
            <w:pPr>
              <w:jc w:val="center"/>
            </w:pPr>
            <w:r>
              <w:rPr>
                <w:color w:val="000000"/>
                <w:kern w:val="0"/>
                <w:sz w:val="24"/>
                <w:szCs w:val="24"/>
              </w:rPr>
              <w:t>1.35%</w:t>
            </w:r>
          </w:p>
        </w:tc>
        <w:tc>
          <w:tcPr>
            <w:vAlign w:val="center"/>
          </w:tcPr>
          <w:p>
            <w:pPr>
              <w:jc w:val="center"/>
            </w:pPr>
            <w:r>
              <w:rPr>
                <w:color w:val="000000"/>
                <w:kern w:val="0"/>
                <w:sz w:val="24"/>
                <w:szCs w:val="24"/>
              </w:rPr>
              <w:t>11.44%</w:t>
            </w:r>
          </w:p>
        </w:tc>
        <w:tc>
          <w:tcPr>
            <w:vAlign w:val="center"/>
          </w:tcPr>
          <w:p>
            <w:pPr>
              <w:jc w:val="center"/>
            </w:pPr>
            <w:r>
              <w:rPr>
                <w:color w:val="000000"/>
                <w:kern w:val="0"/>
                <w:sz w:val="24"/>
                <w:szCs w:val="24"/>
              </w:rPr>
              <w:t>1.34%</w:t>
            </w:r>
          </w:p>
        </w:tc>
        <w:tc>
          <w:tcPr>
            <w:vAlign w:val="center"/>
          </w:tcPr>
          <w:p>
            <w:pPr>
              <w:jc w:val="center"/>
            </w:pPr>
            <w:r>
              <w:rPr>
                <w:color w:val="000000"/>
                <w:kern w:val="0"/>
                <w:sz w:val="24"/>
                <w:szCs w:val="24"/>
              </w:rPr>
              <w:t>-1.30%</w:t>
            </w:r>
          </w:p>
        </w:tc>
        <w:tc>
          <w:tcPr>
            <w:vAlign w:val="center"/>
          </w:tcPr>
          <w:p>
            <w:pPr>
              <w:jc w:val="center"/>
            </w:pPr>
            <w:r>
              <w:rPr>
                <w:color w:val="000000"/>
                <w:kern w:val="0"/>
                <w:sz w:val="24"/>
                <w:szCs w:val="24"/>
              </w:rPr>
              <w:t>0.01%</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易方达中证800交易型开放式指数证券投资基金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2019年10月8日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pPr>
        <w:spacing w:line="360" w:lineRule="auto"/>
        <w:ind w:firstLine="480" w:firstLineChars="200"/>
        <w:rPr>
          <w:color w:val="000000"/>
          <w:sz w:val="24"/>
          <w:szCs w:val="24"/>
        </w:rPr>
      </w:pPr>
      <w:r>
        <w:rPr>
          <w:color w:val="000000"/>
          <w:sz w:val="24"/>
          <w:szCs w:val="24"/>
        </w:rPr>
        <w:t>注：1.本基金合同于2019年10月8日生效，截至报告期末本基金合同生效未满一年。</w:t>
      </w:r>
    </w:p>
    <w:p>
      <w:pPr>
        <w:spacing w:line="360" w:lineRule="auto"/>
        <w:ind w:firstLine="480" w:firstLineChars="200"/>
        <w:rPr>
          <w:color w:val="000000"/>
          <w:sz w:val="24"/>
          <w:szCs w:val="24"/>
        </w:rPr>
      </w:pPr>
      <w:r>
        <w:rPr>
          <w:color w:val="000000"/>
          <w:sz w:val="24"/>
          <w:szCs w:val="24"/>
        </w:rPr>
        <w:t>2.按基金合同和招募说明书的约定，本基金的建仓期为六个月，建仓期结束时各项资产配置比例符合基金合同（第十四部分二、投资范围，三、投资策略和四、投资限制）的有关约定。</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xml:space="preserve">3.自基金合同生效至报告期末，基金份额净值增长率为10.14%，同期业绩比较基准收益率为11.44%。 </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林伟斌</w:t>
            </w:r>
          </w:p>
        </w:tc>
        <w:tc>
          <w:tcPr>
            <w:vAlign w:val="center"/>
          </w:tcPr>
          <w:p>
            <w:pPr>
              <w:jc w:val="left"/>
            </w:pPr>
            <w:r>
              <w:rPr>
                <w:color w:val="000000"/>
                <w:sz w:val="24"/>
              </w:rPr>
              <w:t>本基金的基金经理、易方达中证800交易型开放式指数证券投资基金发起式联接基金的基金经理、易方达中证红利交易型开放式指数证券投资基金的基金经理、指数投资部总经理</w:t>
            </w:r>
          </w:p>
        </w:tc>
        <w:tc>
          <w:tcPr>
            <w:vAlign w:val="center"/>
          </w:tcPr>
          <w:p>
            <w:pPr>
              <w:jc w:val="center"/>
            </w:pPr>
            <w:r>
              <w:rPr>
                <w:color w:val="000000"/>
                <w:sz w:val="24"/>
              </w:rPr>
              <w:t>2019-10-08</w:t>
            </w:r>
          </w:p>
        </w:tc>
        <w:tc>
          <w:tcPr>
            <w:vAlign w:val="center"/>
          </w:tcPr>
          <w:p>
            <w:pPr>
              <w:jc w:val="center"/>
            </w:pPr>
            <w:r>
              <w:rPr>
                <w:color w:val="000000"/>
                <w:sz w:val="24"/>
              </w:rPr>
              <w:t>-</w:t>
            </w:r>
          </w:p>
        </w:tc>
        <w:tc>
          <w:tcPr>
            <w:vAlign w:val="center"/>
          </w:tcPr>
          <w:p>
            <w:pPr>
              <w:jc w:val="center"/>
            </w:pPr>
            <w:r>
              <w:rPr>
                <w:color w:val="000000"/>
                <w:sz w:val="24"/>
              </w:rPr>
              <w:t>12年</w:t>
            </w:r>
          </w:p>
        </w:tc>
        <w:tc>
          <w:tcPr>
            <w:vAlign w:val="center"/>
          </w:tcPr>
          <w:p>
            <w:pPr>
              <w:jc w:val="both"/>
            </w:pPr>
            <w:r>
              <w:rPr>
                <w:color w:val="000000"/>
                <w:sz w:val="24"/>
              </w:rPr>
              <w:t>博士研究生，具有基金从业资格。曾任中国金融期货交易所股份有限公司研发部研究员，易方达基金管理有限公司指数与量化投资部指数量化研究员、基金经理助理、量化基金组合部副总经理、量化策略部副总经理、指数投资部副总经理、易方达沪深300交易型开放式指数发起式证券投资基金基金经理、易方达沪深300交易型开放式指数发起式证券投资基金联接基金基金经理、易方达中证500交易型开放式指数证券投资基金基金经理、易方达黄金交易型开放式证券投资基金基金经理、易方达黄金交易型开放式证券投资基金联接基金基金经理、易方达标普医疗保健指数证券投资基金（LOF）基金经理、易方达标普500指数证券投资基金（LOF）基金经理、易方达标普生物科技指数证券投资基金（LOF）基金经理、易方达标普信息科技指数证券投资基金（LOF）基金经理、易方达纳斯达克100指数证券投资基金（LOF）基金经理。</w:t>
            </w:r>
          </w:p>
        </w:tc>
      </w:tr>
      <w:tr>
        <w:tc>
          <w:tcPr>
            <w:vAlign w:val="center"/>
          </w:tcPr>
          <w:p>
            <w:pPr>
              <w:jc w:val="center"/>
            </w:pPr>
            <w:r>
              <w:rPr>
                <w:color w:val="000000"/>
                <w:sz w:val="24"/>
              </w:rPr>
              <w:t>刘树荣</w:t>
            </w:r>
          </w:p>
        </w:tc>
        <w:tc>
          <w:tcPr>
            <w:vAlign w:val="center"/>
          </w:tcPr>
          <w:p>
            <w:pPr>
              <w:jc w:val="left"/>
            </w:pPr>
            <w:r>
              <w:rPr>
                <w:color w:val="000000"/>
                <w:sz w:val="24"/>
              </w:rPr>
              <w:t>本基金的基金经理、易方达创业板交易型开放式指数证券投资基金的基金经理、易方达中小板指数证券投资基金（LOF）的基金经理、易方达生物科技指数分级证券投资基金的基金经理、易方达深证100交易型开放式指数基金的基金经理、易方达并购重组指数分级证券投资基金的基金经理、易方达深证100交易型开放式指数证券投资基金联接基金的基金经理、易方达创业板交易型开放式指数证券投资基金联接基金的基金经理、易方达银行指数分级证券投资基金的基金经理、易方达香港恒生综合小型股指数证券投资基金（LOF）的基金经理、易方达上证中盘交易型开放式指数证券投资基金的基金经理、易方达上证中盘交易型开放式指数证券投资基金联接基金的基金经理、易方达标普500指数证券投资基金（LOF）的基金经理、易方达标普信息科技指数证券投资基金（LOF）的基金经理（自2018年08月11日至2020年04月22日）、易方达标普生物科技指数证券投资基金（LOF）的基金经理（自2018年08月11日至2020年04月22日）、易方达标普医疗保健指数证券投资基金（LOF）的基金经理（自2018年08月11日至2020年04月22日）、易方达中证800交易型开放式指数证券投资基金发起式联接基金的基金经理、易方达中证国企一带一路交易型开放式指数证券投资基金的基金经理、易方达中证国企一带一路交易型开放式指数证券投资基金联接基金的基金经理、易方达中证浙江新动能交易型开放式指数证券投资基金联接基金的基金经理、易方达中证浙江新动能交易型开放式指数证券投资基金的基金经理</w:t>
            </w:r>
          </w:p>
        </w:tc>
        <w:tc>
          <w:tcPr>
            <w:vAlign w:val="center"/>
          </w:tcPr>
          <w:p>
            <w:pPr>
              <w:jc w:val="center"/>
            </w:pPr>
            <w:r>
              <w:rPr>
                <w:color w:val="000000"/>
                <w:sz w:val="24"/>
              </w:rPr>
              <w:t>2019-10-08</w:t>
            </w:r>
          </w:p>
        </w:tc>
        <w:tc>
          <w:tcPr>
            <w:vAlign w:val="center"/>
          </w:tcPr>
          <w:p>
            <w:pPr>
              <w:jc w:val="center"/>
            </w:pPr>
            <w:r>
              <w:rPr>
                <w:color w:val="000000"/>
                <w:sz w:val="24"/>
              </w:rPr>
              <w:t>-</w:t>
            </w:r>
          </w:p>
        </w:tc>
        <w:tc>
          <w:tcPr>
            <w:vAlign w:val="center"/>
          </w:tcPr>
          <w:p>
            <w:pPr>
              <w:jc w:val="center"/>
            </w:pPr>
            <w:r>
              <w:rPr>
                <w:color w:val="000000"/>
                <w:sz w:val="24"/>
              </w:rPr>
              <w:t>13年</w:t>
            </w:r>
          </w:p>
        </w:tc>
        <w:tc>
          <w:tcPr>
            <w:vAlign w:val="center"/>
          </w:tcPr>
          <w:p>
            <w:pPr>
              <w:jc w:val="both"/>
            </w:pPr>
            <w:r>
              <w:rPr>
                <w:color w:val="000000"/>
                <w:sz w:val="24"/>
              </w:rPr>
              <w:t>硕士研究生，具有基金从业资格。曾任招商银行资产托管部基金会计，易方达基金管理有限公司核算部基金核算专员、指数与量化投资部运作支持专员、基金经理助理、易方达深证成指交易型开放式指数证券投资基金基金经理、易方达深证成指交易型开放式指数证券投资基金联接基金基金经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本基金跟踪的标的指数为中证800指数，中证800指数由中证500和沪深300指数成份股组成，兼具成长性与价值性，综合反映中国A股市场大中小市值公司的股票价格表现。报告期内，本基金主要采取完全复制法的投资策略，即完全按照标的指数的成份股组成及其权重构建基金股票投资组合，并根据标的指数成份股及其权重的变动而进行相应调整。</w:t>
      </w:r>
    </w:p>
    <w:p>
      <w:pPr>
        <w:spacing w:line="360" w:lineRule="auto"/>
        <w:ind w:firstLine="480" w:firstLineChars="200"/>
        <w:rPr>
          <w:color w:val="000000"/>
          <w:sz w:val="24"/>
          <w:szCs w:val="24"/>
        </w:rPr>
      </w:pPr>
      <w:r>
        <w:rPr>
          <w:color w:val="000000"/>
          <w:sz w:val="24"/>
          <w:szCs w:val="24"/>
        </w:rPr>
        <w:t>中证800指数完全覆盖28个申万一级行业，成份股由各行业的龙头企业组成，指数走势的表现主要受国内外经济形式与市场情绪影响。年初爆发的新冠疫情给全球经济发展和人们日常生活带来了巨大的影响，股票市场也因此大幅波动。二季度，国内新冠疫情得到有效的控制和缓解，随着各行业陆续复工、复产，国内经济在系列政策的刺激和支持下逐步走向复苏，5月份全国规模以上工业企业利润总额同比增速回升转正至6.0%，6月制造业PMI升至50.9%好于市场预期。A股市场在医药生物、食品饮料、科技等板块的带动下开启了一波反弹行情。本报告期，中证800指数上涨13.79%。</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基金运作层面，报告期内，本基金严守基金合同认真对待投资者申购、赎回以及成份股调整事项，保障基金的正常运作。</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截至报告期末，本基金份额净值为1.1014元，本报告期份额净值增长率为18.04%，同期业绩比较基准收益率为13.79%，日跟踪偏离度的均值为0.07%，年化跟踪误差为1.09%，在合同规定的目标控制范围之内。</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112,549,005.95</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90.92</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112,549,005.95</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90.92</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23,600.00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0.02</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23,600.00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0.02</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8,571,111.04</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6.92</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2,642,011.59</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2.13</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123,785,728.58</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注：上表中的股票投资项含可退替代款估值增值,而5.2的合计项不含可退替代款估值增值。</w:t>
      </w:r>
    </w:p>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tbl>
      <w:tblPr>
        <w:tblW w:type="dxa" w:w="8789"/>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09"/>
        <w:gridCol w:w="3544"/>
        <w:gridCol w:w="2977"/>
        <w:gridCol w:w="1559"/>
      </w:tblGrid>
      <w:tr w:rsidR="008C2A4F" w:rsidRPr="008C2A4F" w:rsidTr="003B5535">
        <w:trPr>
          <w:trHeight w:val="390"/>
        </w:trPr>
        <w:tc>
          <w:tcPr>
            <w:tcW w:type="dxa" w:w="70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代码</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p>
        </w:tc>
        <w:tc>
          <w:tcPr>
            <w:tcW w:type="dxa" w:w="2977"/>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公允价值（元）</w:t>
            </w:r>
          </w:p>
        </w:tc>
        <w:tc>
          <w:tcPr>
            <w:tcW w:type="dxa" w:w="155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A</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农、林、牧、渔业</w:t>
            </w:r>
          </w:p>
        </w:tc>
        <w:tc>
          <w:tcPr>
            <w:tcW w:type="dxa" w:w="2977"/>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1,451,050.00</w:t>
            </w:r>
          </w:p>
        </w:tc>
        <w:tc>
          <w:tcPr>
            <w:tcW w:type="dxa" w:w="1559"/>
            <w:tcMar>
              <w:top w:type="dxa" w:w="15"/>
              <w:left w:type="dxa" w:w="15"/>
              <w:bottom w:type="dxa" w:w="0"/>
              <w:right w:type="dxa" w:w="15"/>
            </w:tcMar>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1.19</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B</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采矿业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2,516,699.85</w:t>
            </w:r>
          </w:p>
          <w:p w:rsidP="003328D9" w:rsidR="008C2A4F" w:rsidRDefault="008C2A4F" w:rsidRPr="008C2A4F">
            <w:pPr>
              <w:jc w:val="right"/>
              <w:rPr>
                <w:rFonts w:eastAsiaTheme="minorEastAsia"/>
                <w:color w:themeColor="text1" w:val="000000"/>
                <w:kern w:val="0"/>
                <w:sz w:val="24"/>
                <w:szCs w:val="24"/>
              </w:rPr>
            </w:pP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2.06</w:t>
            </w:r>
          </w:p>
          <w:p w:rsidP="003328D9" w:rsidR="008C2A4F" w:rsidRDefault="008C2A4F" w:rsidRPr="008C2A4F">
            <w:pPr>
              <w:jc w:val="right"/>
              <w:rPr>
                <w:rFonts w:eastAsiaTheme="minorEastAsia"/>
                <w:color w:themeColor="text1" w:val="000000"/>
                <w:kern w:val="0"/>
                <w:sz w:val="24"/>
                <w:szCs w:val="24"/>
              </w:rPr>
            </w:pP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C</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制造业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57,813,338.70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47.33</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D</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电力、热力、燃气及水生产和供应业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2,295,142.72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1.88</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E</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建筑业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1,971,863.00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1.61</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F</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批发和零售业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2,483,869.00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2.03</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G</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交通运输、仓储和邮政业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2,936,570.12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2.40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H</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住宿和餐饮业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119,199.00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0.10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I</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信息传输、软件和信息技术服务业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6,837,655.26</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5.60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J</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金融业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24,675,837.96</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20.20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K</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房地产业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4,060,967.84</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3.32</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L</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租赁和商务服务业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1,740,721.00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1.42</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M</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科学研究和技术服务业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773,968.00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0.63</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N</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水利、环境和公共设施管理业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296,276.00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0.24</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O</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居民服务、修理和其他服务业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P</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教育</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135,795.00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lastRenderedPageBreak/>
              <w:t>0.11</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Q</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卫生和社会工作</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1,205,988.50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0.99</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R</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文化、体育和娱乐业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942,133.00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0.77</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S</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综合</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291,931.00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0.24</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112,549,005.95</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92.13</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750D48" w:rsidRPr="00264E55" w:rsidTr="00191BDE">
        <w:tc>
          <w:tcPr>
            <w:tcW w:type="dxa" w:w="851"/>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股票代码</w:t>
            </w:r>
          </w:p>
        </w:tc>
        <w:tc>
          <w:tcPr>
            <w:tcW w:type="dxa" w:w="1418"/>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股票名称</w:t>
            </w:r>
          </w:p>
        </w:tc>
        <w:tc>
          <w:tcPr>
            <w:tcW w:type="dxa" w:w="1701"/>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type="dxa" w:w="1984"/>
            <w:vAlign w:val="center"/>
          </w:tcPr>
          <w:p w:rsidP="005F7917"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559"/>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601318</w:t>
            </w:r>
          </w:p>
        </w:tc>
        <w:tc>
          <w:tcPr>
            <w:vAlign w:val="center"/>
          </w:tcPr>
          <w:p>
            <w:pPr>
              <w:jc w:val="center"/>
            </w:pPr>
            <w:r>
              <w:rPr>
                <w:color w:val="000000"/>
                <w:kern w:val="0"/>
                <w:sz w:val="24"/>
                <w:szCs w:val="24"/>
              </w:rPr>
              <w:t>中国平安</w:t>
            </w:r>
          </w:p>
        </w:tc>
        <w:tc>
          <w:tcPr>
            <w:vAlign w:val="center"/>
          </w:tcPr>
          <w:p>
            <w:pPr>
              <w:jc w:val="right"/>
            </w:pPr>
            <w:r>
              <w:rPr>
                <w:color w:val="000000"/>
                <w:kern w:val="0"/>
                <w:sz w:val="24"/>
                <w:szCs w:val="24"/>
              </w:rPr>
              <w:t>59,900</w:t>
            </w:r>
          </w:p>
        </w:tc>
        <w:tc>
          <w:tcPr>
            <w:vAlign w:val="center"/>
          </w:tcPr>
          <w:p>
            <w:pPr>
              <w:jc w:val="right"/>
            </w:pPr>
            <w:r>
              <w:rPr>
                <w:color w:val="000000"/>
                <w:kern w:val="0"/>
                <w:sz w:val="24"/>
                <w:szCs w:val="24"/>
              </w:rPr>
              <w:t>4,276,860.00</w:t>
            </w:r>
          </w:p>
        </w:tc>
        <w:tc>
          <w:tcPr>
            <w:vAlign w:val="center"/>
          </w:tcPr>
          <w:p>
            <w:pPr>
              <w:jc w:val="right"/>
            </w:pPr>
            <w:r>
              <w:rPr>
                <w:color w:val="000000"/>
                <w:kern w:val="0"/>
                <w:sz w:val="24"/>
                <w:szCs w:val="24"/>
              </w:rPr>
              <w:t>3.50</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600519</w:t>
            </w:r>
          </w:p>
        </w:tc>
        <w:tc>
          <w:tcPr>
            <w:vAlign w:val="center"/>
          </w:tcPr>
          <w:p>
            <w:pPr>
              <w:jc w:val="center"/>
            </w:pPr>
            <w:r>
              <w:rPr>
                <w:color w:val="000000"/>
                <w:kern w:val="0"/>
                <w:sz w:val="24"/>
                <w:szCs w:val="24"/>
              </w:rPr>
              <w:t>贵州茅台</w:t>
            </w:r>
          </w:p>
        </w:tc>
        <w:tc>
          <w:tcPr>
            <w:vAlign w:val="center"/>
          </w:tcPr>
          <w:p>
            <w:pPr>
              <w:jc w:val="right"/>
            </w:pPr>
            <w:r>
              <w:rPr>
                <w:color w:val="000000"/>
                <w:kern w:val="0"/>
                <w:sz w:val="24"/>
                <w:szCs w:val="24"/>
              </w:rPr>
              <w:t>2,800</w:t>
            </w:r>
          </w:p>
        </w:tc>
        <w:tc>
          <w:tcPr>
            <w:vAlign w:val="center"/>
          </w:tcPr>
          <w:p>
            <w:pPr>
              <w:jc w:val="right"/>
            </w:pPr>
            <w:r>
              <w:rPr>
                <w:color w:val="000000"/>
                <w:kern w:val="0"/>
                <w:sz w:val="24"/>
                <w:szCs w:val="24"/>
              </w:rPr>
              <w:t>4,096,064.00</w:t>
            </w:r>
          </w:p>
        </w:tc>
        <w:tc>
          <w:tcPr>
            <w:vAlign w:val="center"/>
          </w:tcPr>
          <w:p>
            <w:pPr>
              <w:jc w:val="right"/>
            </w:pPr>
            <w:r>
              <w:rPr>
                <w:color w:val="000000"/>
                <w:kern w:val="0"/>
                <w:sz w:val="24"/>
                <w:szCs w:val="24"/>
              </w:rPr>
              <w:t>3.35</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600036</w:t>
            </w:r>
          </w:p>
        </w:tc>
        <w:tc>
          <w:tcPr>
            <w:vAlign w:val="center"/>
          </w:tcPr>
          <w:p>
            <w:pPr>
              <w:jc w:val="center"/>
            </w:pPr>
            <w:r>
              <w:rPr>
                <w:color w:val="000000"/>
                <w:kern w:val="0"/>
                <w:sz w:val="24"/>
                <w:szCs w:val="24"/>
              </w:rPr>
              <w:t>招商银行</w:t>
            </w:r>
          </w:p>
        </w:tc>
        <w:tc>
          <w:tcPr>
            <w:vAlign w:val="center"/>
          </w:tcPr>
          <w:p>
            <w:pPr>
              <w:jc w:val="right"/>
            </w:pPr>
            <w:r>
              <w:rPr>
                <w:color w:val="000000"/>
                <w:kern w:val="0"/>
                <w:sz w:val="24"/>
                <w:szCs w:val="24"/>
              </w:rPr>
              <w:t>57,015</w:t>
            </w:r>
          </w:p>
        </w:tc>
        <w:tc>
          <w:tcPr>
            <w:vAlign w:val="center"/>
          </w:tcPr>
          <w:p>
            <w:pPr>
              <w:jc w:val="right"/>
            </w:pPr>
            <w:r>
              <w:rPr>
                <w:color w:val="000000"/>
                <w:kern w:val="0"/>
                <w:sz w:val="24"/>
                <w:szCs w:val="24"/>
              </w:rPr>
              <w:t>1,922,545.80</w:t>
            </w:r>
          </w:p>
        </w:tc>
        <w:tc>
          <w:tcPr>
            <w:vAlign w:val="center"/>
          </w:tcPr>
          <w:p>
            <w:pPr>
              <w:jc w:val="right"/>
            </w:pPr>
            <w:r>
              <w:rPr>
                <w:color w:val="000000"/>
                <w:kern w:val="0"/>
                <w:sz w:val="24"/>
                <w:szCs w:val="24"/>
              </w:rPr>
              <w:t>1.57</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600276</w:t>
            </w:r>
          </w:p>
        </w:tc>
        <w:tc>
          <w:tcPr>
            <w:vAlign w:val="center"/>
          </w:tcPr>
          <w:p>
            <w:pPr>
              <w:jc w:val="center"/>
            </w:pPr>
            <w:r>
              <w:rPr>
                <w:color w:val="000000"/>
                <w:kern w:val="0"/>
                <w:sz w:val="24"/>
                <w:szCs w:val="24"/>
              </w:rPr>
              <w:t>恒瑞医药</w:t>
            </w:r>
          </w:p>
        </w:tc>
        <w:tc>
          <w:tcPr>
            <w:vAlign w:val="center"/>
          </w:tcPr>
          <w:p>
            <w:pPr>
              <w:jc w:val="right"/>
            </w:pPr>
            <w:r>
              <w:rPr>
                <w:color w:val="000000"/>
                <w:kern w:val="0"/>
                <w:sz w:val="24"/>
                <w:szCs w:val="24"/>
              </w:rPr>
              <w:t>20,600</w:t>
            </w:r>
          </w:p>
        </w:tc>
        <w:tc>
          <w:tcPr>
            <w:vAlign w:val="center"/>
          </w:tcPr>
          <w:p>
            <w:pPr>
              <w:jc w:val="right"/>
            </w:pPr>
            <w:r>
              <w:rPr>
                <w:color w:val="000000"/>
                <w:kern w:val="0"/>
                <w:sz w:val="24"/>
                <w:szCs w:val="24"/>
              </w:rPr>
              <w:t>1,901,380.00</w:t>
            </w:r>
          </w:p>
        </w:tc>
        <w:tc>
          <w:tcPr>
            <w:vAlign w:val="center"/>
          </w:tcPr>
          <w:p>
            <w:pPr>
              <w:jc w:val="right"/>
            </w:pPr>
            <w:r>
              <w:rPr>
                <w:color w:val="000000"/>
                <w:kern w:val="0"/>
                <w:sz w:val="24"/>
                <w:szCs w:val="24"/>
              </w:rPr>
              <w:t>1.56</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000858</w:t>
            </w:r>
          </w:p>
        </w:tc>
        <w:tc>
          <w:tcPr>
            <w:vAlign w:val="center"/>
          </w:tcPr>
          <w:p>
            <w:pPr>
              <w:jc w:val="center"/>
            </w:pPr>
            <w:r>
              <w:rPr>
                <w:color w:val="000000"/>
                <w:kern w:val="0"/>
                <w:sz w:val="24"/>
                <w:szCs w:val="24"/>
              </w:rPr>
              <w:t>五粮液</w:t>
            </w:r>
          </w:p>
        </w:tc>
        <w:tc>
          <w:tcPr>
            <w:vAlign w:val="center"/>
          </w:tcPr>
          <w:p>
            <w:pPr>
              <w:jc w:val="right"/>
            </w:pPr>
            <w:r>
              <w:rPr>
                <w:color w:val="000000"/>
                <w:kern w:val="0"/>
                <w:sz w:val="24"/>
                <w:szCs w:val="24"/>
              </w:rPr>
              <w:t>10,800</w:t>
            </w:r>
          </w:p>
        </w:tc>
        <w:tc>
          <w:tcPr>
            <w:vAlign w:val="center"/>
          </w:tcPr>
          <w:p>
            <w:pPr>
              <w:jc w:val="right"/>
            </w:pPr>
            <w:r>
              <w:rPr>
                <w:color w:val="000000"/>
                <w:kern w:val="0"/>
                <w:sz w:val="24"/>
                <w:szCs w:val="24"/>
              </w:rPr>
              <w:t>1,848,096.00</w:t>
            </w:r>
          </w:p>
        </w:tc>
        <w:tc>
          <w:tcPr>
            <w:vAlign w:val="center"/>
          </w:tcPr>
          <w:p>
            <w:pPr>
              <w:jc w:val="right"/>
            </w:pPr>
            <w:r>
              <w:rPr>
                <w:color w:val="000000"/>
                <w:kern w:val="0"/>
                <w:sz w:val="24"/>
                <w:szCs w:val="24"/>
              </w:rPr>
              <w:t>1.51</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000333</w:t>
            </w:r>
          </w:p>
        </w:tc>
        <w:tc>
          <w:tcPr>
            <w:vAlign w:val="center"/>
          </w:tcPr>
          <w:p>
            <w:pPr>
              <w:jc w:val="center"/>
            </w:pPr>
            <w:r>
              <w:rPr>
                <w:color w:val="000000"/>
                <w:kern w:val="0"/>
                <w:sz w:val="24"/>
                <w:szCs w:val="24"/>
              </w:rPr>
              <w:t>美的集团</w:t>
            </w:r>
          </w:p>
        </w:tc>
        <w:tc>
          <w:tcPr>
            <w:vAlign w:val="center"/>
          </w:tcPr>
          <w:p>
            <w:pPr>
              <w:jc w:val="right"/>
            </w:pPr>
            <w:r>
              <w:rPr>
                <w:color w:val="000000"/>
                <w:kern w:val="0"/>
                <w:sz w:val="24"/>
                <w:szCs w:val="24"/>
              </w:rPr>
              <w:t>27,200</w:t>
            </w:r>
          </w:p>
        </w:tc>
        <w:tc>
          <w:tcPr>
            <w:vAlign w:val="center"/>
          </w:tcPr>
          <w:p>
            <w:pPr>
              <w:jc w:val="right"/>
            </w:pPr>
            <w:r>
              <w:rPr>
                <w:color w:val="000000"/>
                <w:kern w:val="0"/>
                <w:sz w:val="24"/>
                <w:szCs w:val="24"/>
              </w:rPr>
              <w:t>1,626,288.00</w:t>
            </w:r>
          </w:p>
        </w:tc>
        <w:tc>
          <w:tcPr>
            <w:vAlign w:val="center"/>
          </w:tcPr>
          <w:p>
            <w:pPr>
              <w:jc w:val="right"/>
            </w:pPr>
            <w:r>
              <w:rPr>
                <w:color w:val="000000"/>
                <w:kern w:val="0"/>
                <w:sz w:val="24"/>
                <w:szCs w:val="24"/>
              </w:rPr>
              <w:t>1.33</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000651</w:t>
            </w:r>
          </w:p>
        </w:tc>
        <w:tc>
          <w:tcPr>
            <w:vAlign w:val="center"/>
          </w:tcPr>
          <w:p>
            <w:pPr>
              <w:jc w:val="center"/>
            </w:pPr>
            <w:r>
              <w:rPr>
                <w:color w:val="000000"/>
                <w:kern w:val="0"/>
                <w:sz w:val="24"/>
                <w:szCs w:val="24"/>
              </w:rPr>
              <w:t>格力电器</w:t>
            </w:r>
          </w:p>
        </w:tc>
        <w:tc>
          <w:tcPr>
            <w:vAlign w:val="center"/>
          </w:tcPr>
          <w:p>
            <w:pPr>
              <w:jc w:val="right"/>
            </w:pPr>
            <w:r>
              <w:rPr>
                <w:color w:val="000000"/>
                <w:kern w:val="0"/>
                <w:sz w:val="24"/>
                <w:szCs w:val="24"/>
              </w:rPr>
              <w:t>26,700</w:t>
            </w:r>
          </w:p>
        </w:tc>
        <w:tc>
          <w:tcPr>
            <w:vAlign w:val="center"/>
          </w:tcPr>
          <w:p>
            <w:pPr>
              <w:jc w:val="right"/>
            </w:pPr>
            <w:r>
              <w:rPr>
                <w:color w:val="000000"/>
                <w:kern w:val="0"/>
                <w:sz w:val="24"/>
                <w:szCs w:val="24"/>
              </w:rPr>
              <w:t>1,510,419.00</w:t>
            </w:r>
          </w:p>
        </w:tc>
        <w:tc>
          <w:tcPr>
            <w:vAlign w:val="center"/>
          </w:tcPr>
          <w:p>
            <w:pPr>
              <w:jc w:val="right"/>
            </w:pPr>
            <w:r>
              <w:rPr>
                <w:color w:val="000000"/>
                <w:kern w:val="0"/>
                <w:sz w:val="24"/>
                <w:szCs w:val="24"/>
              </w:rPr>
              <w:t>1.24</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002475</w:t>
            </w:r>
          </w:p>
        </w:tc>
        <w:tc>
          <w:tcPr>
            <w:vAlign w:val="center"/>
          </w:tcPr>
          <w:p>
            <w:pPr>
              <w:jc w:val="center"/>
            </w:pPr>
            <w:r>
              <w:rPr>
                <w:color w:val="000000"/>
                <w:kern w:val="0"/>
                <w:sz w:val="24"/>
                <w:szCs w:val="24"/>
              </w:rPr>
              <w:t>立讯精密</w:t>
            </w:r>
          </w:p>
        </w:tc>
        <w:tc>
          <w:tcPr>
            <w:vAlign w:val="center"/>
          </w:tcPr>
          <w:p>
            <w:pPr>
              <w:jc w:val="right"/>
            </w:pPr>
            <w:r>
              <w:rPr>
                <w:color w:val="000000"/>
                <w:kern w:val="0"/>
                <w:sz w:val="24"/>
                <w:szCs w:val="24"/>
              </w:rPr>
              <w:t>23,399</w:t>
            </w:r>
          </w:p>
        </w:tc>
        <w:tc>
          <w:tcPr>
            <w:vAlign w:val="center"/>
          </w:tcPr>
          <w:p>
            <w:pPr>
              <w:jc w:val="right"/>
            </w:pPr>
            <w:r>
              <w:rPr>
                <w:color w:val="000000"/>
                <w:kern w:val="0"/>
                <w:sz w:val="24"/>
                <w:szCs w:val="24"/>
              </w:rPr>
              <w:t>1,201,538.65</w:t>
            </w:r>
          </w:p>
        </w:tc>
        <w:tc>
          <w:tcPr>
            <w:vAlign w:val="center"/>
          </w:tcPr>
          <w:p>
            <w:pPr>
              <w:jc w:val="right"/>
            </w:pPr>
            <w:r>
              <w:rPr>
                <w:color w:val="000000"/>
                <w:kern w:val="0"/>
                <w:sz w:val="24"/>
                <w:szCs w:val="24"/>
              </w:rPr>
              <w:t>0.98</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600030</w:t>
            </w:r>
          </w:p>
        </w:tc>
        <w:tc>
          <w:tcPr>
            <w:vAlign w:val="center"/>
          </w:tcPr>
          <w:p>
            <w:pPr>
              <w:jc w:val="center"/>
            </w:pPr>
            <w:r>
              <w:rPr>
                <w:color w:val="000000"/>
                <w:kern w:val="0"/>
                <w:sz w:val="24"/>
                <w:szCs w:val="24"/>
              </w:rPr>
              <w:t>中信证券</w:t>
            </w:r>
          </w:p>
        </w:tc>
        <w:tc>
          <w:tcPr>
            <w:vAlign w:val="center"/>
          </w:tcPr>
          <w:p>
            <w:pPr>
              <w:jc w:val="right"/>
            </w:pPr>
            <w:r>
              <w:rPr>
                <w:color w:val="000000"/>
                <w:kern w:val="0"/>
                <w:sz w:val="24"/>
                <w:szCs w:val="24"/>
              </w:rPr>
              <w:t>47,100</w:t>
            </w:r>
          </w:p>
        </w:tc>
        <w:tc>
          <w:tcPr>
            <w:vAlign w:val="center"/>
          </w:tcPr>
          <w:p>
            <w:pPr>
              <w:jc w:val="right"/>
            </w:pPr>
            <w:r>
              <w:rPr>
                <w:color w:val="000000"/>
                <w:kern w:val="0"/>
                <w:sz w:val="24"/>
                <w:szCs w:val="24"/>
              </w:rPr>
              <w:t>1,135,581.00</w:t>
            </w:r>
          </w:p>
        </w:tc>
        <w:tc>
          <w:tcPr>
            <w:vAlign w:val="center"/>
          </w:tcPr>
          <w:p>
            <w:pPr>
              <w:jc w:val="right"/>
            </w:pPr>
            <w:r>
              <w:rPr>
                <w:color w:val="000000"/>
                <w:kern w:val="0"/>
                <w:sz w:val="24"/>
                <w:szCs w:val="24"/>
              </w:rPr>
              <w:t>0.93</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601166</w:t>
            </w:r>
          </w:p>
        </w:tc>
        <w:tc>
          <w:tcPr>
            <w:vAlign w:val="center"/>
          </w:tcPr>
          <w:p>
            <w:pPr>
              <w:jc w:val="center"/>
            </w:pPr>
            <w:r>
              <w:rPr>
                <w:color w:val="000000"/>
                <w:kern w:val="0"/>
                <w:sz w:val="24"/>
                <w:szCs w:val="24"/>
              </w:rPr>
              <w:t>兴业银行</w:t>
            </w:r>
          </w:p>
        </w:tc>
        <w:tc>
          <w:tcPr>
            <w:vAlign w:val="center"/>
          </w:tcPr>
          <w:p>
            <w:pPr>
              <w:jc w:val="right"/>
            </w:pPr>
            <w:r>
              <w:rPr>
                <w:color w:val="000000"/>
                <w:kern w:val="0"/>
                <w:sz w:val="24"/>
                <w:szCs w:val="24"/>
              </w:rPr>
              <w:t>68,200</w:t>
            </w:r>
          </w:p>
        </w:tc>
        <w:tc>
          <w:tcPr>
            <w:vAlign w:val="center"/>
          </w:tcPr>
          <w:p>
            <w:pPr>
              <w:jc w:val="right"/>
            </w:pPr>
            <w:r>
              <w:rPr>
                <w:color w:val="000000"/>
                <w:kern w:val="0"/>
                <w:sz w:val="24"/>
                <w:szCs w:val="24"/>
              </w:rPr>
              <w:t>1,076,196.00</w:t>
            </w:r>
          </w:p>
        </w:tc>
        <w:tc>
          <w:tcPr>
            <w:vAlign w:val="center"/>
          </w:tcPr>
          <w:p>
            <w:pPr>
              <w:jc w:val="right"/>
            </w:pPr>
            <w:r>
              <w:rPr>
                <w:color w:val="000000"/>
                <w:kern w:val="0"/>
                <w:sz w:val="24"/>
                <w:szCs w:val="24"/>
              </w:rPr>
              <w:t>0.88</w:t>
            </w:r>
          </w:p>
        </w:tc>
      </w:tr>
    </w:tbl>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tbl>
      <w:tblPr>
        <w:tblStyle w:val="af7"/>
        <w:tblW w:type="dxa" w:w="8755"/>
        <w:jc w:val="center"/>
        <w:tblLayout w:type="fixed"/>
        <w:tblLook w:firstColumn="1" w:firstRow="1" w:lastColumn="0" w:lastRow="0" w:noHBand="0" w:noVBand="1" w:val="04A0"/>
      </w:tblPr>
      <w:tblGrid>
        <w:gridCol w:w="817"/>
        <w:gridCol w:w="3260"/>
        <w:gridCol w:w="2949"/>
        <w:gridCol w:w="1729"/>
      </w:tblGrid>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序号</w:t>
            </w:r>
          </w:p>
        </w:tc>
        <w:tc>
          <w:tcPr>
            <w:tcW w:type="dxa" w:w="3260"/>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债券品种</w:t>
            </w: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
            </w:r>
          </w:p>
        </w:tc>
        <w:tc>
          <w:tcPr>
            <w:tcW w:type="dxa" w:w="294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公允价值</w:t>
            </w:r>
            <w:r w:rsidRPr="00283CAD">
              <w:rPr>
                <w:rFonts w:eastAsiaTheme="minorEastAsia"/>
                <w:color w:themeColor="text1" w:val="000000"/>
                <w:sz w:val="24"/>
                <w:szCs w:val="24"/>
              </w:rPr>
              <w:t>(</w:t>
            </w:r>
            <w:r w:rsidRPr="00283CAD">
              <w:rPr>
                <w:rFonts w:eastAsiaTheme="minorEastAsia"/>
                <w:color w:themeColor="text1" w:val="000000"/>
                <w:sz w:val="24"/>
                <w:szCs w:val="24"/>
              </w:rPr>
              <w:t>元</w:t>
            </w:r>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占基金资产净值比例</w:t>
            </w:r>
            <w:r w:rsidRPr="00283CAD">
              <w:rPr>
                <w:rFonts w:eastAsiaTheme="minorEastAsia"/>
                <w:color w:themeColor="text1" w:val="000000"/>
                <w:sz w:val="24"/>
                <w:szCs w:val="24"/>
              </w:rPr>
              <w:t>(</w:t>
            </w:r>
            <w:r w:rsidRPr="00283CAD">
              <w:rPr>
                <w:rFonts w:eastAsiaTheme="minorEastAsia"/>
                <w:color w:themeColor="text1" w:val="000000"/>
                <w:sz w:val="24"/>
                <w:szCs w:val="24"/>
              </w:rPr>
              <w:t>％</w:t>
            </w: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国家债券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2</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央行票据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3</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金融债券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其中：政策性金融债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4</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5</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企业短期融资券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6</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中期票据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7</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可转债</w:t>
            </w:r>
            <w:r w:rsidR="004B5343" w:rsidRPr="004B5343">
              <w:rPr>
                <w:rFonts w:eastAsiaTheme="minorEastAsia" w:hint="eastAsia"/>
                <w:color w:themeColor="text1" w:val="000000"/>
                <w:sz w:val="24"/>
                <w:szCs w:val="24"/>
              </w:rPr>
              <w:t>（可交换债）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23,600.00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lastRenderedPageBreak/>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0.02</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lastRenderedPageBreak/>
              <w:t>8</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同业存单</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9</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其他</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10</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合计</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23,600.00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0.02</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1276"/>
        <w:gridCol w:w="1275"/>
        <w:gridCol w:w="1560"/>
        <w:gridCol w:w="1984"/>
        <w:gridCol w:w="1474"/>
      </w:tblGrid>
      <w:tr w:rsidR="00750D48" w:rsidRPr="00264E55" w:rsidTr="005602F3">
        <w:tc>
          <w:tcPr>
            <w:tcW w:type="dxa" w:w="959"/>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债券代码</w:t>
            </w:r>
          </w:p>
        </w:tc>
        <w:tc>
          <w:tcPr>
            <w:tcW w:type="dxa" w:w="1275"/>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债券名称</w:t>
            </w:r>
          </w:p>
        </w:tc>
        <w:tc>
          <w:tcPr>
            <w:tcW w:type="dxa" w:w="1560"/>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（张）</w:t>
            </w:r>
          </w:p>
        </w:tc>
        <w:tc>
          <w:tcPr>
            <w:tcW w:type="dxa" w:w="198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47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128112</w:t>
            </w:r>
          </w:p>
        </w:tc>
        <w:tc>
          <w:tcPr>
            <w:vAlign w:val="center"/>
          </w:tcPr>
          <w:p>
            <w:pPr>
              <w:jc w:val="center"/>
            </w:pPr>
            <w:r>
              <w:rPr>
                <w:color w:val="000000"/>
                <w:kern w:val="0"/>
                <w:sz w:val="24"/>
                <w:szCs w:val="24"/>
              </w:rPr>
              <w:t>歌尔转2</w:t>
            </w:r>
          </w:p>
        </w:tc>
        <w:tc>
          <w:tcPr>
            <w:vAlign w:val="center"/>
          </w:tcPr>
          <w:p>
            <w:pPr>
              <w:jc w:val="right"/>
            </w:pPr>
            <w:r>
              <w:rPr>
                <w:color w:val="000000"/>
                <w:kern w:val="0"/>
                <w:sz w:val="24"/>
                <w:szCs w:val="24"/>
              </w:rPr>
              <w:t>163</w:t>
            </w:r>
          </w:p>
        </w:tc>
        <w:tc>
          <w:tcPr>
            <w:vAlign w:val="center"/>
          </w:tcPr>
          <w:p>
            <w:pPr>
              <w:jc w:val="right"/>
            </w:pPr>
            <w:r>
              <w:rPr>
                <w:color w:val="000000"/>
                <w:kern w:val="0"/>
                <w:sz w:val="24"/>
                <w:szCs w:val="24"/>
              </w:rPr>
              <w:t>16,300.00</w:t>
            </w:r>
          </w:p>
        </w:tc>
        <w:tc>
          <w:tcPr>
            <w:vAlign w:val="center"/>
          </w:tcPr>
          <w:p>
            <w:pPr>
              <w:jc w:val="right"/>
            </w:pPr>
            <w:r>
              <w:rPr>
                <w:color w:val="000000"/>
                <w:kern w:val="0"/>
                <w:sz w:val="24"/>
                <w:szCs w:val="24"/>
              </w:rPr>
              <w:t>0.01</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128114</w:t>
            </w:r>
          </w:p>
        </w:tc>
        <w:tc>
          <w:tcPr>
            <w:vAlign w:val="center"/>
          </w:tcPr>
          <w:p>
            <w:pPr>
              <w:jc w:val="center"/>
            </w:pPr>
            <w:r>
              <w:rPr>
                <w:color w:val="000000"/>
                <w:kern w:val="0"/>
                <w:sz w:val="24"/>
                <w:szCs w:val="24"/>
              </w:rPr>
              <w:t>正邦转债</w:t>
            </w:r>
          </w:p>
        </w:tc>
        <w:tc>
          <w:tcPr>
            <w:vAlign w:val="center"/>
          </w:tcPr>
          <w:p>
            <w:pPr>
              <w:jc w:val="right"/>
            </w:pPr>
            <w:r>
              <w:rPr>
                <w:color w:val="000000"/>
                <w:kern w:val="0"/>
                <w:sz w:val="24"/>
                <w:szCs w:val="24"/>
              </w:rPr>
              <w:t>47</w:t>
            </w:r>
          </w:p>
        </w:tc>
        <w:tc>
          <w:tcPr>
            <w:vAlign w:val="center"/>
          </w:tcPr>
          <w:p>
            <w:pPr>
              <w:jc w:val="right"/>
            </w:pPr>
            <w:r>
              <w:rPr>
                <w:color w:val="000000"/>
                <w:kern w:val="0"/>
                <w:sz w:val="24"/>
                <w:szCs w:val="24"/>
              </w:rPr>
              <w:t>4,700.00</w:t>
            </w:r>
          </w:p>
        </w:tc>
        <w:tc>
          <w:tcPr>
            <w:vAlign w:val="center"/>
          </w:tcPr>
          <w:p>
            <w:pPr>
              <w:jc w:val="right"/>
            </w:pPr>
            <w:r>
              <w:rPr>
                <w:color w:val="000000"/>
                <w:kern w:val="0"/>
                <w:sz w:val="24"/>
                <w:szCs w:val="24"/>
              </w:rPr>
              <w:t>0.00</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128115</w:t>
            </w:r>
          </w:p>
        </w:tc>
        <w:tc>
          <w:tcPr>
            <w:vAlign w:val="center"/>
          </w:tcPr>
          <w:p>
            <w:pPr>
              <w:jc w:val="center"/>
            </w:pPr>
            <w:r>
              <w:rPr>
                <w:color w:val="000000"/>
                <w:kern w:val="0"/>
                <w:sz w:val="24"/>
                <w:szCs w:val="24"/>
              </w:rPr>
              <w:t>巨星转债</w:t>
            </w:r>
          </w:p>
        </w:tc>
        <w:tc>
          <w:tcPr>
            <w:vAlign w:val="center"/>
          </w:tcPr>
          <w:p>
            <w:pPr>
              <w:jc w:val="right"/>
            </w:pPr>
            <w:r>
              <w:rPr>
                <w:color w:val="000000"/>
                <w:kern w:val="0"/>
                <w:sz w:val="24"/>
                <w:szCs w:val="24"/>
              </w:rPr>
              <w:t>26</w:t>
            </w:r>
          </w:p>
        </w:tc>
        <w:tc>
          <w:tcPr>
            <w:vAlign w:val="center"/>
          </w:tcPr>
          <w:p>
            <w:pPr>
              <w:jc w:val="right"/>
            </w:pPr>
            <w:r>
              <w:rPr>
                <w:color w:val="000000"/>
                <w:kern w:val="0"/>
                <w:sz w:val="24"/>
                <w:szCs w:val="24"/>
              </w:rPr>
              <w:t>2,600.00</w:t>
            </w:r>
          </w:p>
        </w:tc>
        <w:tc>
          <w:tcPr>
            <w:vAlign w:val="center"/>
          </w:tcPr>
          <w:p>
            <w:pPr>
              <w:jc w:val="right"/>
            </w:pPr>
            <w:r>
              <w:rPr>
                <w:color w:val="000000"/>
                <w:kern w:val="0"/>
                <w:sz w:val="24"/>
                <w:szCs w:val="24"/>
              </w:rPr>
              <w:t>0.00</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750D48">
      <w:pPr>
        <w:autoSpaceDE w:val="0"/>
        <w:autoSpaceDN w:val="0"/>
        <w:adjustRightInd w:val="0"/>
        <w:spacing w:line="360" w:lineRule="auto"/>
        <w:jc w:val="left"/>
        <w:rPr>
          <w:rFonts w:ascii="宋体"/>
          <w:b/>
          <w:bCs/>
          <w:color w:val="000000"/>
          <w:kern w:val="0"/>
          <w:sz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 xml:space="preserve">5.9.1 </w:t>
      </w:r>
      <w:r w:rsidRPr="001B0A62">
        <w:rPr>
          <w:rFonts w:ascii="宋体" w:hAnsi="宋体" w:hint="eastAsia"/>
          <w:b/>
          <w:bCs/>
          <w:color w:val="000000"/>
          <w:kern w:val="0"/>
          <w:sz w:val="24"/>
          <w:szCs w:val="24"/>
        </w:rPr>
        <w:t>报告期末本基金投资的股指期货持仓和损益明</w:t>
      </w:r>
      <w:r w:rsidRPr="001B0A62">
        <w:rPr>
          <w:rFonts w:ascii="宋体" w:hAnsi="宋体" w:hint="eastAsia"/>
          <w:b/>
          <w:bCs/>
          <w:color w:val="000000"/>
          <w:kern w:val="0"/>
          <w:sz w:val="24"/>
          <w:szCs w:val="24"/>
        </w:rPr>
        <w:lastRenderedPageBreak/>
        <w:t>细</w:t>
      </w:r>
      <w:r w:rsidRPr="00D92F47">
        <w:rPr>
          <w:rFonts w:ascii="宋体"/>
          <w:b/>
          <w:bCs/>
          <w:color w:val="000000"/>
          <w:kern w:val="0"/>
          <w:sz w:val="24"/>
          <w:szCs w:val="24"/>
        </w:rPr>
        <w:t/>
      </w:r>
      <w:proofErr w:type="spellStart"/>
      <w:r w:rsidRPr="00D92F47">
        <w:rPr>
          <w:rFonts w:ascii="宋体" w:hAnsi="宋体"/>
          <w:b/>
          <w:bCs/>
          <w:color w:val="000000"/>
          <w:kern w:val="0"/>
          <w:sz w:val="24"/>
          <w:szCs w:val="24"/>
        </w:rPr>
        <w:t/>
      </w:r>
      <w:proofErr w:type="spellEnd"/>
      <w:r w:rsidRPr="00D92F47">
        <w:rPr>
          <w:rFonts w:ascii="宋体" w:hAnsi="宋体"/>
          <w:b/>
          <w:bCs/>
          <w:color w:val="000000"/>
          <w:kern w:val="0"/>
          <w:sz w:val="24"/>
          <w:szCs w:val="24"/>
        </w:rPr>
        <w:t/>
      </w:r>
    </w:p>
    <w:tbl>
      <w:tblPr>
        <w:tblW w:type="dxa" w:w="8843"/>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1133"/>
        <w:gridCol w:w="1302"/>
        <w:gridCol w:w="993"/>
        <w:gridCol w:w="1700"/>
        <w:gridCol w:w="1641"/>
        <w:gridCol w:w="2074"/>
      </w:tblGrid>
      <w:tr w:rsidR="00277FAE" w:rsidTr="003B5535">
        <w:trPr>
          <w:trHeight w:val="105"/>
          <w:jc w:val="center"/>
        </w:trPr>
        <w:tc>
          <w:tcPr>
            <w:tcW w:type="dxa" w:w="1134"/>
            <w:hideMark/>
          </w:tcPr>
          <w:p w:rsidR="00277FAE" w:rsidRDefault="00277FAE">
            <w:pPr>
              <w:pStyle w:val="Default"/>
              <w:rPr>
                <w:rFonts w:ascii="Times New Roman" w:cs="Times New Roman" w:hAnsi="Times New Roman"/>
              </w:rPr>
            </w:pPr>
            <w:r>
              <w:rPr>
                <w:rFonts w:ascii="Times New Roman" w:cs="Times New Roman" w:hAnsi="Times New Roman" w:hint="eastAsia"/>
              </w:rPr>
              <w:t>代码</w:t>
            </w:r>
            <w:r>
              <w:rPr>
                <w:rFonts w:ascii="Times New Roman" w:cs="Times New Roman" w:hAnsi="Times New Roman"/>
                <w:b/>
              </w:rPr>
              <w:t/>
            </w:r>
            <w:proofErr w:type="spellStart"/>
            <w:r>
              <w:rPr>
                <w:rFonts w:ascii="Times New Roman" w:cs="Times New Roman" w:hAnsi="Times New Roman"/>
                <w:b/>
              </w:rPr>
              <w:t/>
            </w:r>
            <w:proofErr w:type="spellEnd"/>
            <w:r>
              <w:rPr>
                <w:rFonts w:ascii="Times New Roman" w:cs="Times New Roman" w:hAnsi="Times New Roman"/>
              </w:rPr>
              <w:t/>
            </w:r>
            <w:r>
              <w:rPr>
                <w:rFonts w:ascii="Times New Roman" w:cs="Times New Roman" w:eastAsiaTheme="minorEastAsia" w:hAnsi="Times New Roman"/>
                <w:b/>
              </w:rPr>
              <w:t/>
            </w:r>
            <w:proofErr w:type="spellStart"/>
            <w:r>
              <w:rPr>
                <w:rFonts w:ascii="Times New Roman" w:cs="Times New Roman" w:eastAsiaTheme="minorEastAsia" w:hAnsi="Times New Roman"/>
                <w:b/>
              </w:rPr>
              <w:t/>
            </w:r>
            <w:proofErr w:type="spellEnd"/>
            <w:r>
              <w:rPr>
                <w:rFonts w:ascii="Times New Roman" w:cs="Times New Roman" w:eastAsiaTheme="minorEastAsia" w:hAnsi="Times New Roman"/>
                <w:b/>
              </w:rPr>
              <w:t/>
            </w:r>
          </w:p>
        </w:tc>
        <w:tc>
          <w:tcPr>
            <w:tcW w:type="dxa" w:w="1303"/>
            <w:hideMark/>
          </w:tcPr>
          <w:p w:rsidR="00277FAE" w:rsidRDefault="00277FAE">
            <w:pPr>
              <w:pStyle w:val="Default"/>
              <w:rPr>
                <w:rFonts w:ascii="Times New Roman" w:cs="Times New Roman" w:hAnsi="Times New Roman"/>
              </w:rPr>
            </w:pPr>
            <w:r>
              <w:rPr>
                <w:rFonts w:ascii="Times New Roman" w:cs="Times New Roman" w:hAnsi="Times New Roman" w:hint="eastAsia"/>
              </w:rPr>
              <w:t>名称</w:t>
            </w:r>
          </w:p>
        </w:tc>
        <w:tc>
          <w:tcPr>
            <w:tcW w:type="dxa" w:w="993"/>
            <w:hideMark/>
          </w:tcPr>
          <w:p w:rsidR="00277FAE" w:rsidRDefault="00277FAE">
            <w:pPr>
              <w:pStyle w:val="Default"/>
              <w:rPr>
                <w:rFonts w:ascii="Times New Roman" w:cs="Times New Roman" w:hAnsi="Times New Roman"/>
              </w:rPr>
            </w:pPr>
            <w:r>
              <w:rPr>
                <w:rFonts w:ascii="Times New Roman" w:cs="Times New Roman" w:hAnsi="Times New Roman" w:hint="eastAsia"/>
              </w:rPr>
              <w:t>持仓量</w:t>
            </w:r>
          </w:p>
        </w:tc>
        <w:tc>
          <w:tcPr>
            <w:tcW w:type="dxa" w:w="1700"/>
            <w:hideMark/>
          </w:tcPr>
          <w:p w:rsidR="00277FAE" w:rsidRDefault="00277FAE">
            <w:pPr>
              <w:pStyle w:val="Default"/>
              <w:rPr>
                <w:rFonts w:ascii="Times New Roman" w:cs="Times New Roman" w:hAnsi="Times New Roman"/>
              </w:rPr>
            </w:pPr>
            <w:r>
              <w:rPr>
                <w:rFonts w:ascii="Times New Roman" w:cs="Times New Roman" w:hAnsi="Times New Roman" w:hint="eastAsia"/>
              </w:rPr>
              <w:t>合约市值（元）</w:t>
            </w:r>
          </w:p>
        </w:tc>
        <w:tc>
          <w:tcPr>
            <w:tcW w:type="dxa" w:w="1641"/>
            <w:hideMark/>
          </w:tcPr>
          <w:p w:rsidR="00277FAE" w:rsidRDefault="00277FAE">
            <w:pPr>
              <w:pStyle w:val="Default"/>
              <w:rPr>
                <w:rFonts w:ascii="Times New Roman" w:cs="Times New Roman" w:hAnsi="Times New Roman"/>
              </w:rPr>
            </w:pPr>
            <w:r>
              <w:rPr>
                <w:rFonts w:ascii="Times New Roman" w:cs="Times New Roman" w:hAnsi="Times New Roman" w:hint="eastAsia"/>
              </w:rPr>
              <w:t>公允价值变动（元）</w:t>
            </w:r>
          </w:p>
        </w:tc>
        <w:tc>
          <w:tcPr>
            <w:tcW w:type="dxa" w:w="2074"/>
            <w:hideMark/>
          </w:tcPr>
          <w:p w:rsidR="00277FAE" w:rsidRDefault="00277FAE">
            <w:pPr>
              <w:pStyle w:val="Default"/>
              <w:jc w:val="center"/>
              <w:rPr>
                <w:rFonts w:ascii="Times New Roman" w:cs="Times New Roman" w:hAnsi="Times New Roman"/>
                <w:color w:val="auto"/>
              </w:rPr>
            </w:pPr>
            <w:r>
              <w:rPr>
                <w:rFonts w:ascii="Times New Roman" w:cs="Times New Roman" w:hAnsi="Times New Roman" w:hint="eastAsia"/>
                <w:color w:val="auto"/>
              </w:rPr>
              <w:t>风险说明</w:t>
            </w:r>
          </w:p>
        </w:tc>
      </w:tr>
      <w:tr>
        <w:tc>
          <w:tcPr>
            <w:vAlign w:val="center"/>
          </w:tcPr>
          <w:p>
            <w:pPr>
              <w:jc w:val="center"/>
            </w:pPr>
            <w:r>
              <w:rPr>
                <w:rFonts w:ascii="Times New Roman" w:cs="Times New Roman" w:hAnsi="Times New Roman"/>
              </w:rPr>
              <w:t>IC2009</w:t>
            </w:r>
          </w:p>
        </w:tc>
        <w:tc>
          <w:tcPr>
            <w:vAlign w:val="center"/>
          </w:tcPr>
          <w:p>
            <w:pPr>
              <w:jc w:val="left"/>
            </w:pPr>
            <w:r>
              <w:rPr>
                <w:rFonts w:ascii="Times New Roman" w:cs="Times New Roman" w:hAnsi="Times New Roman"/>
              </w:rPr>
              <w:t>IC2009</w:t>
            </w:r>
          </w:p>
        </w:tc>
        <w:tc>
          <w:tcPr>
            <w:vAlign w:val="center"/>
          </w:tcPr>
          <w:p>
            <w:pPr>
              <w:jc w:val="right"/>
            </w:pPr>
            <w:r>
              <w:rPr>
                <w:rFonts w:ascii="Times New Roman" w:cs="Times New Roman" w:hAnsi="Times New Roman"/>
              </w:rPr>
              <w:t>2</w:t>
            </w:r>
          </w:p>
        </w:tc>
        <w:tc>
          <w:tcPr>
            <w:vAlign w:val="center"/>
          </w:tcPr>
          <w:p>
            <w:pPr>
              <w:jc w:val="right"/>
            </w:pPr>
            <w:r>
              <w:rPr>
                <w:rFonts w:ascii="Times New Roman" w:cs="Times New Roman" w:hAnsi="Times New Roman"/>
              </w:rPr>
              <w:t>2,265,760.00</w:t>
            </w:r>
          </w:p>
        </w:tc>
        <w:tc>
          <w:tcPr>
            <w:vAlign w:val="center"/>
          </w:tcPr>
          <w:p>
            <w:pPr>
              <w:jc w:val="right"/>
            </w:pPr>
            <w:r>
              <w:rPr>
                <w:rFonts w:ascii="Times New Roman" w:cs="Times New Roman" w:hAnsi="Times New Roman"/>
              </w:rPr>
              <w:t>136,400.00</w:t>
            </w:r>
          </w:p>
        </w:tc>
        <w:tc>
          <w:tcPr>
            <w:vAlign w:val="center"/>
          </w:tcPr>
          <w:p>
            <w:pPr>
              <w:jc w:val="left"/>
            </w:pPr>
            <w:r>
              <w:rPr>
                <w:rFonts w:ascii="Times New Roman" w:cs="Times New Roman" w:hAnsi="Times New Roman"/>
              </w:rPr>
              <w:t>买入股指期货多头合约的目的是进行更有效的流动性管理，以更好地跟踪标的指数，实现投资目标。</w:t>
            </w:r>
          </w:p>
        </w:tc>
      </w:tr>
      <w:tr>
        <w:tc>
          <w:tcPr>
            <w:vAlign w:val="center"/>
          </w:tcPr>
          <w:p>
            <w:pPr>
              <w:jc w:val="center"/>
            </w:pPr>
            <w:r>
              <w:rPr>
                <w:rFonts w:ascii="Times New Roman" w:cs="Times New Roman" w:hAnsi="Times New Roman"/>
              </w:rPr>
              <w:t>IF2009</w:t>
            </w:r>
          </w:p>
        </w:tc>
        <w:tc>
          <w:tcPr>
            <w:vAlign w:val="center"/>
          </w:tcPr>
          <w:p>
            <w:pPr>
              <w:jc w:val="left"/>
            </w:pPr>
            <w:r>
              <w:rPr>
                <w:rFonts w:ascii="Times New Roman" w:cs="Times New Roman" w:hAnsi="Times New Roman"/>
              </w:rPr>
              <w:t>IF2009</w:t>
            </w:r>
          </w:p>
        </w:tc>
        <w:tc>
          <w:tcPr>
            <w:vAlign w:val="center"/>
          </w:tcPr>
          <w:p>
            <w:pPr>
              <w:jc w:val="right"/>
            </w:pPr>
            <w:r>
              <w:rPr>
                <w:rFonts w:ascii="Times New Roman" w:cs="Times New Roman" w:hAnsi="Times New Roman"/>
              </w:rPr>
              <w:t>5</w:t>
            </w:r>
          </w:p>
        </w:tc>
        <w:tc>
          <w:tcPr>
            <w:vAlign w:val="center"/>
          </w:tcPr>
          <w:p>
            <w:pPr>
              <w:jc w:val="right"/>
            </w:pPr>
            <w:r>
              <w:rPr>
                <w:rFonts w:ascii="Times New Roman" w:cs="Times New Roman" w:hAnsi="Times New Roman"/>
              </w:rPr>
              <w:t>6,101,400.00</w:t>
            </w:r>
          </w:p>
        </w:tc>
        <w:tc>
          <w:tcPr>
            <w:vAlign w:val="center"/>
          </w:tcPr>
          <w:p>
            <w:pPr>
              <w:jc w:val="right"/>
            </w:pPr>
            <w:r>
              <w:rPr>
                <w:rFonts w:ascii="Times New Roman" w:cs="Times New Roman" w:hAnsi="Times New Roman"/>
              </w:rPr>
              <w:t>263,220.00</w:t>
            </w:r>
          </w:p>
        </w:tc>
        <w:tc>
          <w:tcPr>
            <w:vAlign w:val="center"/>
          </w:tcPr>
          <w:p>
            <w:pPr>
              <w:jc w:val="left"/>
            </w:pPr>
            <w:r>
              <w:rPr>
                <w:rFonts w:ascii="Times New Roman" w:cs="Times New Roman" w:hAnsi="Times New Roman"/>
              </w:rPr>
              <w:t>买入股指期货多头合约的目的是进行更有效的流动性管理，以更好地跟踪标的指数，实现投资目标。</w:t>
            </w:r>
          </w:p>
        </w:tc>
      </w:tr>
      <w:tr w:rsidR="00277FAE" w:rsidTr="003B5535">
        <w:trPr>
          <w:trHeight w:val="105"/>
          <w:jc w:val="center"/>
        </w:trPr>
        <w:tc>
          <w:tcPr>
            <w:tcW w:type="dxa" w:w="6771"/>
            <w:gridSpan w:val="5"/>
            <w:hideMark/>
          </w:tcPr>
          <w:p w:rsidR="00277FAE" w:rsidRDefault="00277FAE">
            <w:pPr>
              <w:pStyle w:val="Default"/>
              <w:rPr>
                <w:rFonts w:ascii="Times New Roman" w:cs="Times New Roman" w:hAnsi="Times New Roman"/>
              </w:rPr>
            </w:pPr>
            <w:r>
              <w:rPr>
                <w:rFonts w:ascii="Times New Roman" w:cs="Times New Roman" w:hAnsi="Times New Roman" w:hint="eastAsia"/>
              </w:rPr>
              <w:t>公允价值变动总额合计</w:t>
            </w:r>
            <w:r>
              <w:rPr>
                <w:rFonts w:ascii="Times New Roman" w:cs="Times New Roman" w:hAnsi="Times New Roman"/>
              </w:rPr>
              <w:t>(</w:t>
            </w:r>
            <w:r>
              <w:rPr>
                <w:rFonts w:ascii="Times New Roman" w:cs="Times New Roman" w:hAnsi="Times New Roman" w:hint="eastAsia"/>
              </w:rPr>
              <w:t>元</w:t>
            </w:r>
            <w:r>
              <w:rPr>
                <w:rFonts w:ascii="Times New Roman" w:cs="Times New Roman" w:hAnsi="Times New Roman"/>
              </w:rPr>
              <w:t>)</w:t>
            </w:r>
          </w:p>
        </w:tc>
        <w:tc>
          <w:tcPr>
            <w:tcW w:type="dxa" w:w="2074"/>
            <w:hideMark/>
          </w:tcPr>
          <w:p w:rsidR="00277FAE" w:rsidRDefault="00277FAE">
            <w:pPr>
              <w:pStyle w:val="Default"/>
              <w:jc w:val="right"/>
              <w:rPr>
                <w:rFonts w:ascii="Times New Roman" w:cs="Times New Roman" w:hAnsi="Times New Roman"/>
                <w:color w:val="auto"/>
              </w:rPr>
            </w:pPr>
            <w:r>
              <w:rPr>
                <w:rFonts w:ascii="Times New Roman" w:cs="Times New Roman" w:hAnsi="Times New Roman"/>
                <w:color w:val="auto"/>
              </w:rPr>
              <w:t/>
            </w:r>
            <w:proofErr w:type="spellStart"/>
            <w:r>
              <w:rPr>
                <w:rFonts w:ascii="Times New Roman" w:cs="Times New Roman" w:hAnsi="Times New Roman"/>
                <w:color w:val="auto"/>
              </w:rPr>
              <w:t/>
            </w:r>
            <w:proofErr w:type="spellEnd"/>
            <w:r>
              <w:rPr>
                <w:rFonts w:ascii="Times New Roman" w:cs="Times New Roman" w:hAnsi="Times New Roman"/>
                <w:color w:val="auto"/>
              </w:rPr>
              <w:t>399,620.00</w:t>
            </w:r>
          </w:p>
        </w:tc>
      </w:tr>
      <w:tr w:rsidR="00277FAE" w:rsidTr="003B5535">
        <w:trPr>
          <w:trHeight w:val="105"/>
          <w:jc w:val="center"/>
        </w:trPr>
        <w:tc>
          <w:tcPr>
            <w:tcW w:type="dxa" w:w="6771"/>
            <w:gridSpan w:val="5"/>
            <w:hideMark/>
          </w:tcPr>
          <w:p w:rsidR="00277FAE" w:rsidRDefault="00277FAE">
            <w:pPr>
              <w:pStyle w:val="Default"/>
              <w:rPr>
                <w:rFonts w:ascii="Times New Roman" w:cs="Times New Roman" w:hAnsi="Times New Roman"/>
                <w:color w:val="auto"/>
              </w:rPr>
            </w:pPr>
            <w:r>
              <w:rPr>
                <w:rFonts w:ascii="Times New Roman" w:cs="Times New Roman" w:hAnsi="Times New Roman" w:hint="eastAsia"/>
                <w:color w:val="auto"/>
              </w:rPr>
              <w:t>股指期货投资本期收益</w:t>
            </w:r>
            <w:r>
              <w:rPr>
                <w:rFonts w:ascii="Times New Roman" w:cs="Times New Roman" w:hAnsi="Times New Roman"/>
              </w:rPr>
              <w:t>(</w:t>
            </w:r>
            <w:r>
              <w:rPr>
                <w:rFonts w:ascii="Times New Roman" w:cs="Times New Roman" w:hAnsi="Times New Roman" w:hint="eastAsia"/>
              </w:rPr>
              <w:t>元</w:t>
            </w:r>
            <w:r>
              <w:rPr>
                <w:rFonts w:ascii="Times New Roman" w:cs="Times New Roman" w:hAnsi="Times New Roman"/>
              </w:rPr>
              <w:t>)</w:t>
            </w:r>
          </w:p>
        </w:tc>
        <w:tc>
          <w:tcPr>
            <w:tcW w:type="dxa" w:w="2074"/>
            <w:hideMark/>
          </w:tcPr>
          <w:p w:rsidR="00277FAE" w:rsidRDefault="00277FAE">
            <w:pPr>
              <w:pStyle w:val="Default"/>
              <w:jc w:val="right"/>
              <w:rPr>
                <w:rFonts w:ascii="Times New Roman" w:cs="Times New Roman" w:hAnsi="Times New Roman"/>
                <w:color w:val="auto"/>
              </w:rPr>
            </w:pPr>
            <w:r>
              <w:rPr>
                <w:rFonts w:ascii="Times New Roman" w:cs="Times New Roman" w:hAnsi="Times New Roman"/>
                <w:color w:val="auto"/>
              </w:rPr>
              <w:t/>
            </w:r>
            <w:proofErr w:type="spellStart"/>
            <w:r>
              <w:rPr>
                <w:rFonts w:ascii="Times New Roman" w:cs="Times New Roman" w:hAnsi="Times New Roman"/>
                <w:color w:val="auto"/>
              </w:rPr>
              <w:t/>
            </w:r>
            <w:proofErr w:type="spellEnd"/>
            <w:r>
              <w:rPr>
                <w:rFonts w:ascii="Times New Roman" w:cs="Times New Roman" w:hAnsi="Times New Roman"/>
                <w:color w:val="auto"/>
              </w:rPr>
              <w:t>1,093,520.00</w:t>
            </w:r>
          </w:p>
        </w:tc>
      </w:tr>
      <w:tr w:rsidR="00277FAE" w:rsidTr="003B5535">
        <w:trPr>
          <w:trHeight w:val="105"/>
          <w:jc w:val="center"/>
        </w:trPr>
        <w:tc>
          <w:tcPr>
            <w:tcW w:type="dxa" w:w="6771"/>
            <w:gridSpan w:val="5"/>
            <w:hideMark/>
          </w:tcPr>
          <w:p w:rsidR="00277FAE" w:rsidRDefault="00277FAE">
            <w:pPr>
              <w:pStyle w:val="Default"/>
              <w:rPr>
                <w:rFonts w:ascii="Times New Roman" w:cs="Times New Roman" w:hAnsi="Times New Roman"/>
                <w:color w:val="auto"/>
              </w:rPr>
            </w:pPr>
            <w:r>
              <w:rPr>
                <w:rFonts w:ascii="Times New Roman" w:cs="Times New Roman" w:hAnsi="Times New Roman" w:hint="eastAsia"/>
                <w:color w:val="auto"/>
              </w:rPr>
              <w:t>股指期货投资本期公允价值变动</w:t>
            </w:r>
            <w:r>
              <w:rPr>
                <w:rFonts w:ascii="Times New Roman" w:cs="Times New Roman" w:hAnsi="Times New Roman"/>
              </w:rPr>
              <w:t>(</w:t>
            </w:r>
            <w:r>
              <w:rPr>
                <w:rFonts w:ascii="Times New Roman" w:cs="Times New Roman" w:hAnsi="Times New Roman" w:hint="eastAsia"/>
              </w:rPr>
              <w:t>元</w:t>
            </w:r>
            <w:r>
              <w:rPr>
                <w:rFonts w:ascii="Times New Roman" w:cs="Times New Roman" w:hAnsi="Times New Roman"/>
              </w:rPr>
              <w:t>)</w:t>
            </w:r>
          </w:p>
        </w:tc>
        <w:tc>
          <w:tcPr>
            <w:tcW w:type="dxa" w:w="2074"/>
            <w:hideMark/>
          </w:tcPr>
          <w:p w:rsidR="00277FAE" w:rsidRDefault="00277FAE">
            <w:pPr>
              <w:pStyle w:val="Default"/>
              <w:jc w:val="right"/>
              <w:rPr>
                <w:rFonts w:ascii="Times New Roman" w:cs="Times New Roman" w:hAnsi="Times New Roman"/>
                <w:color w:val="auto"/>
              </w:rPr>
            </w:pPr>
            <w:r>
              <w:rPr>
                <w:rFonts w:ascii="Times New Roman" w:cs="Times New Roman" w:hAnsi="Times New Roman"/>
                <w:color w:val="auto"/>
              </w:rPr>
              <w:t>317,180.00</w:t>
            </w:r>
          </w:p>
        </w:tc>
      </w:tr>
    </w:tbl>
    <w:p w:rsidP="00277FAE"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 xml:space="preserve">5.9.2 </w:t>
      </w:r>
      <w:r w:rsidRPr="001B0A62">
        <w:rPr>
          <w:rFonts w:ascii="宋体" w:hAnsi="宋体" w:hint="eastAsia"/>
          <w:b/>
          <w:bCs/>
          <w:color w:val="000000"/>
          <w:kern w:val="0"/>
          <w:sz w:val="24"/>
          <w:szCs w:val="24"/>
        </w:rPr>
        <w:t>本基金投资股指期货的投资政策</w:t>
      </w:r>
      <w:r w:rsidRPr="00D92F47">
        <w:rPr>
          <w:rFonts w:ascii="宋体"/>
          <w:b/>
          <w:bCs/>
          <w:color w:val="000000"/>
          <w:kern w:val="0"/>
          <w:sz w:val="24"/>
          <w:szCs w:val="24"/>
        </w:rPr>
        <w:t/>
      </w:r>
      <w:proofErr w:type="spellStart"/>
      <w:r w:rsidRPr="00D92F47">
        <w:rPr>
          <w:rFonts w:ascii="宋体" w:hAnsi="宋体"/>
          <w:b/>
          <w:bCs/>
          <w:color w:val="000000"/>
          <w:kern w:val="0"/>
          <w:sz w:val="24"/>
          <w:szCs w:val="24"/>
        </w:rPr>
        <w:t/>
      </w:r>
      <w:proofErr w:type="spellEnd"/>
      <w:r w:rsidRPr="00D92F47">
        <w:rPr>
          <w:rFonts w:ascii="宋体" w:hAnsi="宋体"/>
          <w:b/>
          <w:bCs/>
          <w:color w:val="000000"/>
          <w:kern w:val="0"/>
          <w:sz w:val="24"/>
          <w:szCs w:val="24"/>
        </w:rPr>
        <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可投资股指期货和其他经中国证监会允许的衍生金融产品。本基金将根据风险管理的原则，以套期保值为目的，按照相关法律法规的有关规定，主要选择流动性好、交易活跃的股指期货合约来进行投资。为更有效地进行流动性管理，本基金在出现需要及时调整组合市场暴露情况时，通过股指期货套保交易满足基金的投资替代需求和风险对冲需求。本基金力争利用股指期货的杠杆作用，降低股票仓位频繁调整的交易成本和跟踪误差，达到有效跟踪标的指数的目的。本报告期内，本基金投资股指期货符合既定的投资政策和投资目的。</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2019年7月8日，中国银行保险监督管理委员会上海监管局针对兴业银行股份有限公司信用卡中心的如下违法违规行为作出责令改正、并处罚款40万元的行政处罚决定：1、2016年1月至2018年1月在为部分客户办理信用卡业务时未遵守总授信额度管理制度；2、2016年至2018年8月对部分信用卡申请人资信水平调查严重不尽职的违法违规行为。</w:t>
      </w:r>
    </w:p>
    <w:p>
      <w:pPr>
        <w:spacing w:line="360" w:lineRule="auto"/>
        <w:rPr>
          <w:rFonts w:ascii="宋体" w:hAnsi="宋体"/>
          <w:color w:val="000000"/>
          <w:sz w:val="24"/>
          <w:szCs w:val="24"/>
        </w:rPr>
      </w:pPr>
      <w:r>
        <w:rPr>
          <w:rFonts w:ascii="宋体" w:hAnsi="宋体"/>
          <w:color w:val="000000"/>
          <w:sz w:val="24"/>
          <w:szCs w:val="24"/>
        </w:rPr>
        <w:t>2019年7月8日，中国银行保险监督管理委员会上海监管局针对招商银行股份有限公司信用卡中心在为部分客户办理信用卡业务时未遵守总授信额度管理制度的行为，对招商银行股份有限公司处以责令改正，并处罚款20万元。</w:t>
      </w:r>
    </w:p>
    <w:p>
      <w:pPr>
        <w:spacing w:line="360" w:lineRule="auto"/>
        <w:rPr>
          <w:rFonts w:ascii="宋体" w:hAnsi="宋体"/>
          <w:color w:val="000000"/>
          <w:sz w:val="24"/>
          <w:szCs w:val="24"/>
        </w:rPr>
      </w:pPr>
      <w:r>
        <w:rPr>
          <w:rFonts w:ascii="宋体" w:hAnsi="宋体"/>
          <w:color w:val="000000"/>
          <w:sz w:val="24"/>
          <w:szCs w:val="24"/>
        </w:rPr>
        <w:t>2019年11月18日，珠海市交通运输局对珠海格力电器股份有限公司违反《超限运输车辆行驶公路管理规定》第四十三条的行为作出“罚款4000元”的行政处罚决定。</w:t>
      </w:r>
    </w:p>
    <w:p>
      <w:pPr>
        <w:spacing w:line="360" w:lineRule="auto"/>
        <w:rPr>
          <w:rFonts w:ascii="宋体" w:hAnsi="宋体"/>
          <w:color w:val="000000"/>
          <w:sz w:val="24"/>
          <w:szCs w:val="24"/>
        </w:rPr>
      </w:pPr>
      <w:r>
        <w:rPr>
          <w:rFonts w:ascii="宋体" w:hAnsi="宋体"/>
          <w:color w:val="000000"/>
          <w:sz w:val="24"/>
          <w:szCs w:val="24"/>
        </w:rPr>
        <w:t>2019年12月4日，珠海市交通运输局对珠海格力电器股份有限公司违反《超限运输车辆行驶公路管理规定》第四十三条的行为作出“罚款4000元”的行政处罚决定。</w:t>
      </w:r>
    </w:p>
    <w:p>
      <w:pPr>
        <w:spacing w:line="360" w:lineRule="auto"/>
        <w:rPr>
          <w:rFonts w:ascii="宋体" w:hAnsi="宋体"/>
          <w:color w:val="000000"/>
          <w:sz w:val="24"/>
          <w:szCs w:val="24"/>
        </w:rPr>
      </w:pPr>
      <w:r>
        <w:rPr>
          <w:rFonts w:ascii="宋体" w:hAnsi="宋体"/>
          <w:color w:val="000000"/>
          <w:sz w:val="24"/>
          <w:szCs w:val="24"/>
        </w:rPr>
        <w:t>本基金为指数型基金，上述股票系标的指数成份股，上述股票的投资决策程序符合公司投资制度的规定。除招商银行、兴业银行、格力电器外，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本基金投资的前十名股票没有超出基金合同规定的备选股票库。</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977,593.24</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1,586,892.97</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2,115.49</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75,409.89</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2,642,011.59</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本基金本报告期末未持有处于转股期的可转换债券。</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本基金本报告期末前十名股票中不存在流通受限情况。</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164,908,843.00</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81,000,000.00</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135,000,000.00</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110,908,843.00</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232B03" w:rsidR="00750D48" w:rsidRDefault="00AC11B0"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xml:space="preserve"> 本报告期内基金管理人未持有本基金份额。 </w:t>
      </w:r>
    </w:p>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本报告期内基金管理人未运用固有资金申购、赎回、买卖本基金份额。</w:t>
      </w:r>
    </w:p>
    <w:p w:rsidP="004B7A92" w:rsidR="004B7A92" w:rsidRDefault="004B7A92" w:rsidRPr="004B7A92">
      <w:pPr>
        <w:pStyle w:val="1"/>
        <w:spacing w:after="312" w:afterLines="100" w:before="312" w:beforeLines="100" w:line="360" w:lineRule="auto"/>
        <w:jc w:val="center"/>
        <w:rPr>
          <w:rFonts w:ascii="宋体" w:hAnsi="宋体"/>
          <w:color w:val="000000"/>
          <w:kern w:val="0"/>
          <w:sz w:val="24"/>
          <w:szCs w:val="24"/>
        </w:rPr>
      </w:pPr>
      <w:r w:rsidRPr="004B7A92">
        <w:rPr>
          <w:rFonts w:ascii="宋体" w:hAnsi="宋体"/>
          <w:color w:val="000000"/>
          <w:kern w:val="0"/>
          <w:sz w:val="24"/>
          <w:szCs w:val="24"/>
        </w:rPr>
        <w:lastRenderedPageBreak/>
        <w:t/>
      </w:r>
      <w:proofErr w:type="spellStart"/>
      <w:r w:rsidRPr="004B7A92">
        <w:rPr>
          <w:rFonts w:ascii="宋体" w:hAnsi="宋体"/>
          <w:color w:val="000000"/>
          <w:kern w:val="0"/>
          <w:sz w:val="24"/>
          <w:szCs w:val="24"/>
        </w:rPr>
        <w:t/>
      </w:r>
      <w:proofErr w:type="spellEnd"/>
      <w:r w:rsidRPr="004B7A92">
        <w:rPr>
          <w:rFonts w:ascii="宋体" w:hAnsi="宋体"/>
          <w:color w:val="000000"/>
          <w:kern w:val="0"/>
          <w:sz w:val="24"/>
          <w:szCs w:val="24"/>
        </w:rPr>
        <w:t/>
      </w:r>
      <w:r w:rsidR="00013E6E" w:rsidRPr="00264E55">
        <w:rPr>
          <w:rFonts w:ascii="宋体" w:hAnsi="宋体" w:hint="eastAsia"/>
          <w:color w:val="000000"/>
          <w:kern w:val="0"/>
          <w:sz w:val="24"/>
          <w:szCs w:val="24"/>
        </w:rPr>
        <w:t>§</w:t>
      </w:r>
      <w:r w:rsidRPr="004B7A92">
        <w:rPr>
          <w:rFonts w:ascii="宋体" w:hAnsi="宋体"/>
          <w:color w:val="000000"/>
          <w:kern w:val="0"/>
          <w:sz w:val="24"/>
          <w:szCs w:val="24"/>
        </w:rPr>
        <w:t>8</w:t>
      </w:r>
      <w:r w:rsidR="0043199A" w:rsidRPr="00264E55">
        <w:rPr>
          <w:rFonts w:ascii="宋体" w:hAnsi="宋体"/>
          <w:color w:val="000000"/>
          <w:kern w:val="0"/>
          <w:sz w:val="24"/>
          <w:szCs w:val="24"/>
        </w:rPr>
        <w:t xml:space="preserve">  </w:t>
      </w:r>
      <w:r w:rsidRPr="004B7A92">
        <w:rPr>
          <w:rFonts w:ascii="宋体" w:hAnsi="宋体"/>
          <w:color w:val="000000"/>
          <w:kern w:val="0"/>
          <w:sz w:val="24"/>
          <w:szCs w:val="24"/>
        </w:rPr>
        <w:t>影响投资者决策的其他重要信息</w:t>
      </w:r>
    </w:p>
    <w:p w:rsidP="001F5F5D" w:rsidR="001F5F5D" w:rsidRDefault="001F5F5D" w:rsidRPr="001F5F5D">
      <w:pPr>
        <w:autoSpaceDE w:val="0"/>
        <w:autoSpaceDN w:val="0"/>
        <w:adjustRightInd w:val="0"/>
        <w:spacing w:line="360" w:lineRule="auto"/>
        <w:jc w:val="left"/>
        <w:rPr>
          <w:rFonts w:ascii="宋体"/>
          <w:b/>
          <w:bCs/>
          <w:color w:val="000000"/>
          <w:kern w:val="0"/>
          <w:sz w:val="24"/>
          <w:szCs w:val="24"/>
        </w:rPr>
      </w:pPr>
      <w:r w:rsidRPr="001F5F5D">
        <w:rPr>
          <w:rFonts w:ascii="宋体"/>
          <w:b/>
          <w:bCs/>
          <w:color w:val="000000"/>
          <w:kern w:val="0"/>
          <w:sz w:val="24"/>
          <w:szCs w:val="24"/>
        </w:rPr>
        <w:t/>
      </w:r>
      <w:proofErr w:type="spellStart"/>
      <w:r w:rsidRPr="001F5F5D">
        <w:rPr>
          <w:rFonts w:ascii="宋体"/>
          <w:b/>
          <w:bCs/>
          <w:color w:val="000000"/>
          <w:kern w:val="0"/>
          <w:sz w:val="24"/>
          <w:szCs w:val="24"/>
        </w:rPr>
        <w:t/>
      </w:r>
      <w:proofErr w:type="spellEnd"/>
      <w:r w:rsidRPr="001F5F5D">
        <w:rPr>
          <w:rFonts w:ascii="宋体"/>
          <w:b/>
          <w:bCs/>
          <w:color w:val="000000"/>
          <w:kern w:val="0"/>
          <w:sz w:val="24"/>
          <w:szCs w:val="24"/>
        </w:rPr>
        <w:t>8.1 报告期内单一投资者持有基金份额比例达到或超过20%的情况</w:t>
      </w:r>
    </w:p>
    <w:tbl>
      <w:tblPr>
        <w:tblStyle w:val="af7"/>
        <w:tblW w:type="dxa" w:w="9640"/>
        <w:jc w:val="center"/>
        <w:tblLayout w:type="fixed"/>
        <w:tblLook w:firstColumn="1" w:firstRow="1" w:lastColumn="0" w:lastRow="0" w:noHBand="0" w:noVBand="1" w:val="04A0"/>
      </w:tblPr>
      <w:tblGrid>
        <w:gridCol w:w="1798"/>
        <w:gridCol w:w="709"/>
        <w:gridCol w:w="1985"/>
        <w:gridCol w:w="1134"/>
        <w:gridCol w:w="992"/>
        <w:gridCol w:w="1134"/>
        <w:gridCol w:w="1037"/>
        <w:gridCol w:w="851"/>
      </w:tblGrid>
      <w:tr w:rsidR="001F5F5D" w:rsidRPr="00FC0759" w:rsidTr="007125DB">
        <w:trPr>
          <w:jc w:val="center"/>
        </w:trPr>
        <w:tc>
          <w:tcPr>
            <w:tcW w:type="dxa" w:w="1798"/>
            <w:vMerge w:val="restart"/>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投资者类别</w:t>
            </w:r>
            <w:r w:rsidRPr="00FC0759">
              <w:rPr>
                <w:rFonts w:eastAsia="仿宋"/>
                <w:color w:themeColor="text1" w:val="000000"/>
                <w:sz w:val="24"/>
                <w:szCs w:val="24"/>
              </w:rPr>
              <w:t/>
            </w:r>
            <w:proofErr w:type="spellStart"/>
            <w:r w:rsidRPr="00FC0759">
              <w:rPr>
                <w:rFonts w:eastAsia="仿宋"/>
                <w:color w:themeColor="text1" w:val="000000"/>
                <w:sz w:val="24"/>
                <w:szCs w:val="24"/>
              </w:rPr>
              <w:t/>
            </w:r>
            <w:proofErr w:type="spellEnd"/>
            <w:r w:rsidRPr="00FC0759">
              <w:rPr>
                <w:rFonts w:eastAsia="仿宋"/>
                <w:color w:themeColor="text1" w:val="000000"/>
                <w:sz w:val="24"/>
                <w:szCs w:val="24"/>
              </w:rPr>
              <w:t/>
            </w:r>
            <w:proofErr w:type="spellStart"/>
            <w:r w:rsidRPr="00FC0759">
              <w:rPr>
                <w:rFonts w:eastAsia="仿宋"/>
                <w:color w:themeColor="text1" w:val="000000"/>
                <w:sz w:val="24"/>
                <w:szCs w:val="24"/>
              </w:rPr>
              <w:t/>
            </w:r>
            <w:proofErr w:type="spellEnd"/>
            <w:r w:rsidRPr="00FC0759">
              <w:rPr>
                <w:rFonts w:eastAsia="仿宋"/>
                <w:color w:themeColor="text1" w:val="000000"/>
                <w:sz w:val="24"/>
                <w:szCs w:val="24"/>
              </w:rPr>
              <w:t/>
            </w:r>
          </w:p>
        </w:tc>
        <w:tc>
          <w:tcPr>
            <w:tcW w:type="dxa" w:w="5954"/>
            <w:gridSpan w:val="5"/>
            <w:vAlign w:val="center"/>
          </w:tcPr>
          <w:p w:rsidP="00D9482C" w:rsidR="001F5F5D" w:rsidRDefault="001F5F5D" w:rsidRPr="00FC0759">
            <w:pPr>
              <w:autoSpaceDE w:val="0"/>
              <w:autoSpaceDN w:val="0"/>
              <w:adjustRightInd w:val="0"/>
              <w:ind w:firstLine="1126"/>
              <w:jc w:val="center"/>
              <w:rPr>
                <w:rFonts w:eastAsiaTheme="minorEastAsia"/>
                <w:b/>
                <w:bCs/>
                <w:color w:themeColor="text1" w:val="000000"/>
                <w:sz w:val="24"/>
                <w:szCs w:val="24"/>
              </w:rPr>
            </w:pPr>
            <w:r w:rsidRPr="00FC0759">
              <w:rPr>
                <w:color w:val="000000"/>
                <w:sz w:val="24"/>
                <w:szCs w:val="24"/>
              </w:rPr>
              <w:t>报告期内持有基金份额变化情况</w:t>
            </w:r>
          </w:p>
        </w:tc>
        <w:tc>
          <w:tcPr>
            <w:tcW w:type="dxa" w:w="1888"/>
            <w:gridSpan w:val="2"/>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报告期末持有基金情况</w:t>
            </w:r>
          </w:p>
        </w:tc>
      </w:tr>
      <w:tr w:rsidR="001F5F5D" w:rsidRPr="00FC0759" w:rsidTr="007125DB">
        <w:trPr>
          <w:jc w:val="center"/>
        </w:trPr>
        <w:tc>
          <w:tcPr>
            <w:tcW w:type="dxa" w:w="1798"/>
            <w:vMerge/>
            <w:vAlign w:val="center"/>
          </w:tcPr>
          <w:p w:rsidP="00D9482C" w:rsidR="001F5F5D" w:rsidRDefault="001F5F5D" w:rsidRPr="00FC0759">
            <w:pPr>
              <w:autoSpaceDE w:val="0"/>
              <w:autoSpaceDN w:val="0"/>
              <w:adjustRightInd w:val="0"/>
              <w:ind w:firstLine="1234"/>
              <w:jc w:val="center"/>
              <w:rPr>
                <w:rFonts w:eastAsiaTheme="minorEastAsia"/>
                <w:b/>
                <w:bCs/>
                <w:color w:themeColor="text1" w:val="000000"/>
                <w:sz w:val="24"/>
                <w:szCs w:val="24"/>
              </w:rPr>
            </w:pPr>
          </w:p>
        </w:tc>
        <w:tc>
          <w:tcPr>
            <w:tcW w:type="dxa" w:w="709"/>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序号</w:t>
            </w:r>
          </w:p>
        </w:tc>
        <w:tc>
          <w:tcPr>
            <w:tcW w:type="dxa" w:w="1985"/>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持有基金份额比例达到或者超过</w:t>
            </w:r>
            <w:r w:rsidRPr="00FC0759">
              <w:rPr>
                <w:color w:val="000000"/>
                <w:sz w:val="24"/>
                <w:szCs w:val="24"/>
              </w:rPr>
              <w:t>20%</w:t>
            </w:r>
            <w:r w:rsidRPr="00FC0759">
              <w:rPr>
                <w:color w:val="000000"/>
                <w:sz w:val="24"/>
                <w:szCs w:val="24"/>
              </w:rPr>
              <w:t>的时间区间</w:t>
            </w:r>
          </w:p>
        </w:tc>
        <w:tc>
          <w:tcPr>
            <w:tcW w:type="dxa" w:w="1134"/>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期初份额</w:t>
            </w:r>
          </w:p>
        </w:tc>
        <w:tc>
          <w:tcPr>
            <w:tcW w:type="dxa" w:w="992"/>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申购份额</w:t>
            </w:r>
          </w:p>
        </w:tc>
        <w:tc>
          <w:tcPr>
            <w:tcW w:type="dxa" w:w="1134"/>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赎回份额</w:t>
            </w:r>
          </w:p>
        </w:tc>
        <w:tc>
          <w:tcPr>
            <w:tcW w:type="dxa" w:w="1037"/>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持有份额</w:t>
            </w:r>
          </w:p>
        </w:tc>
        <w:tc>
          <w:tcPr>
            <w:tcW w:type="dxa" w:w="851"/>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份额占比</w:t>
            </w:r>
          </w:p>
        </w:tc>
      </w:tr>
      <w:tr>
        <w:tc>
          <w:tcPr>
            <w:vMerge w:val="restart"/>
            <w:vAlign w:val="center"/>
          </w:tcPr>
          <w:p>
            <w:r>
              <w:rPr>
                <w:sz w:val="24"/>
                <w:szCs w:val="24"/>
              </w:rPr>
              <w:t/>
            </w:r>
            <w:r>
              <w:rPr>
                <w:sz w:val="24"/>
                <w:szCs w:val="24"/>
              </w:rPr>
              <w:t>中国建设银行股份有限公司－易方达中证800交易型开放式指数证券投资基金发起式联接基金</w:t>
            </w:r>
          </w:p>
        </w:tc>
        <w:tc>
          <w:tcPr>
            <w:vAlign w:val="center"/>
          </w:tcPr>
          <w:p>
            <w:pPr>
              <w:jc w:val="center"/>
            </w:pPr>
            <w:r>
              <w:rPr>
                <w:sz w:val="24"/>
                <w:szCs w:val="24"/>
              </w:rPr>
              <w:t>1</w:t>
            </w:r>
          </w:p>
        </w:tc>
        <w:tc>
          <w:tcPr>
            <w:vAlign w:val="center"/>
          </w:tcPr>
          <w:p>
            <w:pPr>
              <w:jc w:val="center"/>
            </w:pPr>
            <w:r>
              <w:rPr>
                <w:sz w:val="24"/>
                <w:szCs w:val="24"/>
              </w:rPr>
              <w:t>2020年04月01日~2020年06月30日</w:t>
            </w:r>
          </w:p>
        </w:tc>
        <w:tc>
          <w:tcPr>
            <w:vAlign w:val="center"/>
          </w:tcPr>
          <w:p>
            <w:pPr>
              <w:jc w:val="center"/>
            </w:pPr>
            <w:r>
              <w:rPr>
                <w:sz w:val="24"/>
                <w:szCs w:val="24"/>
              </w:rPr>
              <w:t>57,620,300.00</w:t>
            </w:r>
          </w:p>
        </w:tc>
        <w:tc>
          <w:tcPr>
            <w:vAlign w:val="center"/>
          </w:tcPr>
          <w:p>
            <w:pPr>
              <w:jc w:val="center"/>
            </w:pPr>
            <w:r>
              <w:rPr>
                <w:sz w:val="24"/>
                <w:szCs w:val="24"/>
              </w:rPr>
              <w:t>9,000,000.00</w:t>
            </w:r>
          </w:p>
        </w:tc>
        <w:tc>
          <w:tcPr>
            <w:vAlign w:val="center"/>
          </w:tcPr>
          <w:p>
            <w:pPr>
              <w:jc w:val="center"/>
            </w:pPr>
            <w:r>
              <w:rPr>
                <w:sz w:val="24"/>
                <w:szCs w:val="24"/>
              </w:rPr>
              <w:t>24,560,000.00</w:t>
            </w:r>
          </w:p>
        </w:tc>
        <w:tc>
          <w:tcPr>
            <w:vAlign w:val="center"/>
          </w:tcPr>
          <w:p>
            <w:pPr>
              <w:jc w:val="center"/>
            </w:pPr>
            <w:r>
              <w:rPr>
                <w:sz w:val="24"/>
                <w:szCs w:val="24"/>
              </w:rPr>
              <w:t>42,060,300.00</w:t>
            </w:r>
          </w:p>
        </w:tc>
        <w:tc>
          <w:tcPr>
            <w:vAlign w:val="center"/>
          </w:tcPr>
          <w:p>
            <w:pPr>
              <w:jc w:val="center"/>
            </w:pPr>
            <w:r>
              <w:rPr>
                <w:sz w:val="24"/>
                <w:szCs w:val="24"/>
              </w:rPr>
              <w:t>37.92%</w:t>
            </w:r>
          </w:p>
        </w:tc>
      </w:tr>
    </w:tbl>
    <w:tbl>
      <w:tblPr>
        <w:tblStyle w:val="af7"/>
        <w:tblW w:type="dxa" w:w="9637"/>
        <w:jc w:val="center"/>
        <w:tblLayout w:type="fixed"/>
        <w:tblLook w:firstColumn="1" w:firstRow="1" w:lastColumn="0" w:lastRow="0" w:noHBand="0" w:noVBand="1" w:val="04A0"/>
      </w:tblPr>
      <w:tblGrid>
        <w:gridCol w:w="9637"/>
      </w:tblGrid>
      <w:tr w:rsidR="001F5F5D" w:rsidRPr="00FC0759" w:rsidTr="00D9482C">
        <w:trPr>
          <w:jc w:val="center"/>
        </w:trPr>
        <w:tc>
          <w:tcPr>
            <w:tcW w:type="dxa" w:w="9637"/>
            <w:vAlign w:val="center"/>
          </w:tcPr>
          <w:p w:rsidP="003350A8" w:rsidR="001F5F5D" w:rsidRDefault="001F5F5D" w:rsidRPr="00FC0759">
            <w:pPr>
              <w:autoSpaceDE w:val="0"/>
              <w:autoSpaceDN w:val="0"/>
              <w:adjustRightInd w:val="0"/>
              <w:jc w:val="center"/>
              <w:rPr>
                <w:sz w:val="24"/>
                <w:szCs w:val="24"/>
              </w:rPr>
            </w:pPr>
            <w:r w:rsidRPr="00FC0759">
              <w:rPr>
                <w:color w:val="000000"/>
                <w:sz w:val="24"/>
                <w:szCs w:val="24"/>
              </w:rPr>
              <w:t>产品特有风险</w:t>
            </w:r>
            <w:r w:rsidRPr="00FC0759">
              <w:rPr>
                <w:sz w:val="24"/>
                <w:szCs w:val="24"/>
              </w:rPr>
              <w:t/>
            </w:r>
            <w:proofErr w:type="spellStart"/>
            <w:r w:rsidRPr="00FC0759">
              <w:rPr>
                <w:sz w:val="24"/>
                <w:szCs w:val="24"/>
              </w:rPr>
              <w:t/>
            </w:r>
            <w:proofErr w:type="spellEnd"/>
            <w:r w:rsidRPr="00FC0759">
              <w:rPr>
                <w:sz w:val="24"/>
                <w:szCs w:val="24"/>
              </w:rPr>
              <w:t/>
            </w:r>
          </w:p>
        </w:tc>
      </w:tr>
      <w:tr w:rsidR="001F5F5D" w:rsidRPr="00FC0759" w:rsidTr="00D9482C">
        <w:trPr>
          <w:jc w:val="center"/>
        </w:trPr>
        <w:tc>
          <w:tcPr>
            <w:tcW w:type="dxa" w:w="9637"/>
            <w:vAlign w:val="center"/>
          </w:tcPr>
          <w:p w:rsidP="00D9482C" w:rsidR="001F5F5D" w:rsidRDefault="001F5F5D" w:rsidRPr="00FC0759">
            <w:pPr>
              <w:autoSpaceDE w:val="0"/>
              <w:autoSpaceDN w:val="0"/>
              <w:adjustRightInd w:val="0"/>
              <w:jc w:val="left"/>
              <w:rPr>
                <w:sz w:val="24"/>
                <w:szCs w:val="24"/>
              </w:rPr>
            </w:pPr>
            <w:r w:rsidRPr="00FC0759">
              <w:rPr>
                <w:sz w:val="24"/>
                <w:szCs w:val="24"/>
              </w:rPr>
              <w:t>报告期内，本基金存在单一投资者持有份额比例达到或超过20%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5000万元，基金将面临基金财产清算并终止的风险；持有基金份额占比较高的投资者在召开持有人大会并对审议事项进行投票表决时可能拥有较大话语权。</w:t>
            </w:r>
          </w:p>
        </w:tc>
      </w:tr>
    </w:tbl>
    <w:p w:rsidP="001F5F5D" w:rsidR="001F5F5D" w:rsidRDefault="001F5F5D" w:rsidRPr="00FC0759">
      <w:pPr>
        <w:autoSpaceDE w:val="0"/>
        <w:autoSpaceDN w:val="0"/>
        <w:adjustRightInd w:val="0"/>
        <w:spacing w:line="360" w:lineRule="auto"/>
        <w:ind w:firstLine="480" w:firstLineChars="200"/>
        <w:jc w:val="left"/>
        <w:rPr>
          <w:rFonts w:eastAsiaTheme="minorEastAsia"/>
          <w:bCs/>
          <w:color w:themeColor="text1" w:val="000000"/>
          <w:kern w:val="0"/>
          <w:sz w:val="24"/>
          <w:szCs w:val="24"/>
        </w:rPr>
      </w:pPr>
      <w:r w:rsidRPr="00FC0759">
        <w:rPr>
          <w:bCs/>
          <w:color w:themeColor="text1" w:val="000000"/>
          <w:kern w:val="0"/>
          <w:sz w:val="24"/>
          <w:szCs w:val="24"/>
        </w:rPr>
        <w:t>注：申购份额包括申购或者买入基金份额，赎回份额包括赎回或者卖出基金份额。</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9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9.1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1.中国证监会准予易方达中证800交易型开放式指数证券投资基金注册的文件；</w:t>
      </w:r>
    </w:p>
    <w:p>
      <w:pPr>
        <w:spacing w:line="360" w:lineRule="auto"/>
        <w:ind w:firstLine="480" w:firstLineChars="200"/>
        <w:rPr>
          <w:color w:val="000000"/>
          <w:sz w:val="24"/>
          <w:szCs w:val="24"/>
        </w:rPr>
      </w:pPr>
      <w:r>
        <w:rPr>
          <w:color w:val="000000"/>
          <w:sz w:val="24"/>
          <w:szCs w:val="24"/>
        </w:rPr>
        <w:t>2.《易方达中证800交易型开放式指数证券投资基金基金合同》；</w:t>
      </w:r>
    </w:p>
    <w:p>
      <w:pPr>
        <w:spacing w:line="360" w:lineRule="auto"/>
        <w:ind w:firstLine="480" w:firstLineChars="200"/>
        <w:rPr>
          <w:color w:val="000000"/>
          <w:sz w:val="24"/>
          <w:szCs w:val="24"/>
        </w:rPr>
      </w:pPr>
      <w:r>
        <w:rPr>
          <w:color w:val="000000"/>
          <w:sz w:val="24"/>
          <w:szCs w:val="24"/>
        </w:rPr>
        <w:t>3.《易方达中证800交易型开放式指数证券投资基金托管协议》；</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4.基金管理人业务资格批件和营业执照。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9.2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9.3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易方达中证800交易型开放式指数证券投资基金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