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易方达中证红利交易型开放式指数证券投资基金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易方达中证红利ETF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100红利、红利ETF易方达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515180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515180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2019年11月26日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843,637,000.00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为更好地实现投资目标，本基金可投资股指期货、期权和其他经中国证监会允许的金融衍生产品。本基金将根据风险管理的原则，主要选择流动性好、交易活跃的衍生品合约。在正常市场情况下，本基金力争日均跟踪偏离度的绝对值不超过0.2%，年化跟踪误差不超过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中证红利指数收益率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20,367,684.86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53,280,036.67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0.0602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832,039,234.51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0.9863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6.49%</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2.88%</w:t>
            </w:r>
          </w:p>
        </w:tc>
        <w:tc>
          <w:tcPr>
            <w:vAlign w:val="center"/>
          </w:tcPr>
          <w:p>
            <w:pPr>
              <w:jc w:val="center"/>
            </w:pPr>
            <w:r>
              <w:rPr>
                <w:color w:val="000000"/>
                <w:kern w:val="0"/>
                <w:sz w:val="24"/>
                <w:szCs w:val="24"/>
              </w:rPr>
              <w:t>0.74%</w:t>
            </w:r>
          </w:p>
        </w:tc>
        <w:tc>
          <w:tcPr>
            <w:vAlign w:val="center"/>
          </w:tcPr>
          <w:p>
            <w:pPr>
              <w:jc w:val="center"/>
            </w:pPr>
            <w:r>
              <w:rPr>
                <w:color w:val="000000"/>
                <w:kern w:val="0"/>
                <w:sz w:val="24"/>
                <w:szCs w:val="24"/>
              </w:rPr>
              <w:t>3.61%</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-3.28%</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-7.91%</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4.63%</w:t>
            </w:r>
          </w:p>
        </w:tc>
        <w:tc>
          <w:tcPr>
            <w:vAlign w:val="center"/>
          </w:tcPr>
          <w:p>
            <w:pPr>
              <w:jc w:val="center"/>
            </w:pPr>
            <w:r>
              <w:rPr>
                <w:color w:val="000000"/>
                <w:kern w:val="0"/>
                <w:sz w:val="24"/>
                <w:szCs w:val="24"/>
              </w:rPr>
              <w:t>-0.04%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1.26%</w:t>
            </w:r>
          </w:p>
        </w:tc>
        <w:tc>
          <w:tcPr>
            <w:vAlign w:val="center"/>
          </w:tcPr>
          <w:p>
            <w:pPr>
              <w:jc w:val="center"/>
            </w:pPr>
            <w:r>
              <w:rPr>
                <w:color w:val="000000"/>
                <w:kern w:val="0"/>
                <w:sz w:val="24"/>
                <w:szCs w:val="24"/>
              </w:rPr>
              <w:t>-3.44%</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2.07%</w:t>
            </w:r>
          </w:p>
        </w:tc>
        <w:tc>
          <w:tcPr>
            <w:vAlign w:val="center"/>
          </w:tcPr>
          <w:p>
            <w:pPr>
              <w:jc w:val="center"/>
            </w:pPr>
            <w:r>
              <w:rPr>
                <w:color w:val="000000"/>
                <w:kern w:val="0"/>
                <w:sz w:val="24"/>
                <w:szCs w:val="24"/>
              </w:rPr>
              <w:t>-0.05%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易方达中证红利交易型开放式指数证券投资基金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2019年11月26日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注：1.本基金合同于2019年11月26日生效,截至报告期末本基金合同生效未满一年。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2.按基金合同和招募说明书的约定，本基金的建仓期为六个月，建仓期结束时各项资产配置比例符合基金合同（第十四部分二、投资范围，三、投资策略和四、投资限制）的有关约定。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3.自基金合同生效至报告期末，基金份额净值增长率为-1.37%，同期业绩比较基准收益率为-3.44%。</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林伟斌</w:t>
            </w:r>
          </w:p>
        </w:tc>
        <w:tc>
          <w:tcPr>
            <w:vAlign w:val="center"/>
          </w:tcPr>
          <w:p>
            <w:pPr>
              <w:jc w:val="left"/>
            </w:pPr>
            <w:r>
              <w:rPr>
                <w:color w:val="000000"/>
                <w:sz w:val="24"/>
              </w:rPr>
              <w:t>本基金的基金经理、易方达中证800交易型开放式指数证券投资基金的基金经理、易方达中证800交易型开放式指数证券投资基金发起式联接基金的基金经理、指数投资部总经理</w:t>
            </w:r>
          </w:p>
        </w:tc>
        <w:tc>
          <w:tcPr>
            <w:vAlign w:val="center"/>
          </w:tcPr>
          <w:p>
            <w:pPr>
              <w:jc w:val="center"/>
            </w:pPr>
            <w:r>
              <w:rPr>
                <w:color w:val="000000"/>
                <w:sz w:val="24"/>
              </w:rPr>
              <w:t>2019-11-26</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300交易型开放式指数发起式证券投资基金基金经理、易方达沪深300交易型开放式指数发起式证券投资基金联接基金基金经理、易方达中证500交易型开放式指数证券投资基金基金经理、易方达黄金交易型开放式证券投资基金基金经理、易方达黄金交易型开放式证券投资基金联接基金基金经理、易方达标普医疗保健指数证券投资基金（LOF）基金经理、易方达标普500指数证券投资基金（LOF）基金经理、易方达标普生物科技指数证券投资基金（LOF）基金经理、易方达标普信息科技指数证券投资基金（LOF）基金经理、易方达纳斯达克100指数证券投资基金（LOF）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新型冠状病毒疫情在我国境内得到明显遏制，但在欧美等地区仍进一步蔓延。除中国之外，全球范围内的货币和信用宽松政策仍在持续、但经济复苏的迹象尚未显现。2季度，全球大类资产的价格有所反弹，例如原油、铜等大宗商品价格在二季度收复了一季度剧烈下跌的大部分阵地，美国标普500指数上涨20%，日本日经225指数上涨17.8%，中国的中证800指数上涨13.8%。</w:t>
      </w:r>
    </w:p>
    <w:p>
      <w:pPr>
        <w:spacing w:line="360" w:lineRule="auto"/>
        <w:ind w:firstLine="480" w:firstLineChars="200"/>
        <w:rPr>
          <w:color w:val="000000"/>
          <w:sz w:val="24"/>
          <w:szCs w:val="24"/>
        </w:rPr>
      </w:pPr>
      <w:r>
        <w:rPr>
          <w:color w:val="000000"/>
          <w:sz w:val="24"/>
          <w:szCs w:val="24"/>
        </w:rPr>
        <w:t>A股市场的风格分化依然明显，在科技类板块表现领先的背景下，创业板表现优于主板，沪深300指数上涨13%，而创业板指则上涨30.3%；行业方面，电子、医药生物、食品饮料等板块涨幅居前，银行、采掘、钢铁、建筑装饰等板块涨幅居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作为被动型指数基金，报告期内本基金按照完全复制法紧密跟踪中证红利指数，取得与标的指数基本一致的业绩表现。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截至报告期末，本基金份额净值为0.9863元，本报告期份额净值增长率为6.49%，同期业绩比较基准收益率为2.88%，日跟踪偏离度的均值为0.06%，年化跟踪误差为1.17%，各项指标均在合同规定的目标控制范围之内。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819,702,369.79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819,702,369.79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1,270,600.00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1,270,600.00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10,779,468.95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1.29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698,218.86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832,450,657.60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pPr>
        <w:spacing w:line="360" w:lineRule="auto"/>
        <w:ind w:firstLine="480" w:firstLineChars="200"/>
        <w:rPr>
          <w:color w:val="000000"/>
          <w:sz w:val="24"/>
          <w:szCs w:val="24"/>
        </w:rPr>
      </w:pPr>
      <w:r>
        <w:rPr>
          <w:color w:val="000000"/>
          <w:sz w:val="24"/>
          <w:szCs w:val="24"/>
        </w:rPr>
        <w:t>注：1.上表中的股票投资项含可退替代款估值增值，而5.2的合计项不含可退替代款估值增值。</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2.本基金本报告期末融出证券市值为37,672,125.00元，占净值比例4.53%。</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23,936,890.43</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2.88</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465,970,292.42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33,468,847.52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4.02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4,264,857.00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18,031,969.00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83,548,478.90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1,606,197.77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75,114,941.00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106,196,253.75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7,563,642.00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819,702,369.79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98.52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002601</w:t>
            </w:r>
          </w:p>
        </w:tc>
        <w:tc>
          <w:tcPr>
            <w:vAlign w:val="center"/>
          </w:tcPr>
          <w:p>
            <w:pPr>
              <w:jc w:val="center"/>
            </w:pPr>
            <w:r>
              <w:rPr>
                <w:color w:val="000000"/>
                <w:kern w:val="0"/>
                <w:sz w:val="24"/>
                <w:szCs w:val="24"/>
              </w:rPr>
              <w:t>龙蟒佰利</w:t>
            </w:r>
          </w:p>
        </w:tc>
        <w:tc>
          <w:tcPr>
            <w:vAlign w:val="center"/>
          </w:tcPr>
          <w:p>
            <w:pPr>
              <w:jc w:val="right"/>
            </w:pPr>
            <w:r>
              <w:rPr>
                <w:color w:val="000000"/>
                <w:kern w:val="0"/>
                <w:sz w:val="24"/>
                <w:szCs w:val="24"/>
              </w:rPr>
              <w:t>1,109,553</w:t>
            </w:r>
          </w:p>
        </w:tc>
        <w:tc>
          <w:tcPr>
            <w:vAlign w:val="center"/>
          </w:tcPr>
          <w:p>
            <w:pPr>
              <w:jc w:val="right"/>
            </w:pPr>
            <w:r>
              <w:rPr>
                <w:color w:val="000000"/>
                <w:kern w:val="0"/>
                <w:sz w:val="24"/>
                <w:szCs w:val="24"/>
              </w:rPr>
              <w:t>20,526,730.50</w:t>
            </w:r>
          </w:p>
        </w:tc>
        <w:tc>
          <w:tcPr>
            <w:vAlign w:val="center"/>
          </w:tcPr>
          <w:p>
            <w:pPr>
              <w:jc w:val="right"/>
            </w:pPr>
            <w:r>
              <w:rPr>
                <w:color w:val="000000"/>
                <w:kern w:val="0"/>
                <w:sz w:val="24"/>
                <w:szCs w:val="24"/>
              </w:rPr>
              <w:t>2.47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600507</w:t>
            </w:r>
          </w:p>
        </w:tc>
        <w:tc>
          <w:tcPr>
            <w:vAlign w:val="center"/>
          </w:tcPr>
          <w:p>
            <w:pPr>
              <w:jc w:val="center"/>
            </w:pPr>
            <w:r>
              <w:rPr>
                <w:color w:val="000000"/>
                <w:kern w:val="0"/>
                <w:sz w:val="24"/>
                <w:szCs w:val="24"/>
              </w:rPr>
              <w:t>方大特钢</w:t>
            </w:r>
          </w:p>
        </w:tc>
        <w:tc>
          <w:tcPr>
            <w:vAlign w:val="center"/>
          </w:tcPr>
          <w:p>
            <w:pPr>
              <w:jc w:val="right"/>
            </w:pPr>
            <w:r>
              <w:rPr>
                <w:color w:val="000000"/>
                <w:kern w:val="0"/>
                <w:sz w:val="24"/>
                <w:szCs w:val="24"/>
              </w:rPr>
              <w:t>3,651,308</w:t>
            </w:r>
          </w:p>
        </w:tc>
        <w:tc>
          <w:tcPr>
            <w:vAlign w:val="center"/>
          </w:tcPr>
          <w:p>
            <w:pPr>
              <w:jc w:val="right"/>
            </w:pPr>
            <w:r>
              <w:rPr>
                <w:color w:val="000000"/>
                <w:kern w:val="0"/>
                <w:sz w:val="24"/>
                <w:szCs w:val="24"/>
              </w:rPr>
              <w:t>18,950,288.52</w:t>
            </w:r>
          </w:p>
        </w:tc>
        <w:tc>
          <w:tcPr>
            <w:vAlign w:val="center"/>
          </w:tcPr>
          <w:p>
            <w:pPr>
              <w:jc w:val="right"/>
            </w:pPr>
            <w:r>
              <w:rPr>
                <w:color w:val="000000"/>
                <w:kern w:val="0"/>
                <w:sz w:val="24"/>
                <w:szCs w:val="24"/>
              </w:rPr>
              <w:t>2.28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002242</w:t>
            </w:r>
          </w:p>
        </w:tc>
        <w:tc>
          <w:tcPr>
            <w:vAlign w:val="center"/>
          </w:tcPr>
          <w:p>
            <w:pPr>
              <w:jc w:val="center"/>
            </w:pPr>
            <w:r>
              <w:rPr>
                <w:color w:val="000000"/>
                <w:kern w:val="0"/>
                <w:sz w:val="24"/>
                <w:szCs w:val="24"/>
              </w:rPr>
              <w:t>九阳股份</w:t>
            </w:r>
          </w:p>
        </w:tc>
        <w:tc>
          <w:tcPr>
            <w:vAlign w:val="center"/>
          </w:tcPr>
          <w:p>
            <w:pPr>
              <w:jc w:val="right"/>
            </w:pPr>
            <w:r>
              <w:rPr>
                <w:color w:val="000000"/>
                <w:kern w:val="0"/>
                <w:sz w:val="24"/>
                <w:szCs w:val="24"/>
              </w:rPr>
              <w:t>505,817</w:t>
            </w:r>
          </w:p>
        </w:tc>
        <w:tc>
          <w:tcPr>
            <w:vAlign w:val="center"/>
          </w:tcPr>
          <w:p>
            <w:pPr>
              <w:jc w:val="right"/>
            </w:pPr>
            <w:r>
              <w:rPr>
                <w:color w:val="000000"/>
                <w:kern w:val="0"/>
                <w:sz w:val="24"/>
                <w:szCs w:val="24"/>
              </w:rPr>
              <w:t>18,851,799.59</w:t>
            </w:r>
          </w:p>
        </w:tc>
        <w:tc>
          <w:tcPr>
            <w:vAlign w:val="center"/>
          </w:tcPr>
          <w:p>
            <w:pPr>
              <w:jc w:val="right"/>
            </w:pPr>
            <w:r>
              <w:rPr>
                <w:color w:val="000000"/>
                <w:kern w:val="0"/>
                <w:sz w:val="24"/>
                <w:szCs w:val="24"/>
              </w:rPr>
              <w:t>2.27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603328</w:t>
            </w:r>
          </w:p>
        </w:tc>
        <w:tc>
          <w:tcPr>
            <w:vAlign w:val="center"/>
          </w:tcPr>
          <w:p>
            <w:pPr>
              <w:jc w:val="center"/>
            </w:pPr>
            <w:r>
              <w:rPr>
                <w:color w:val="000000"/>
                <w:kern w:val="0"/>
                <w:sz w:val="24"/>
                <w:szCs w:val="24"/>
              </w:rPr>
              <w:t>依顿电子</w:t>
            </w:r>
          </w:p>
        </w:tc>
        <w:tc>
          <w:tcPr>
            <w:vAlign w:val="center"/>
          </w:tcPr>
          <w:p>
            <w:pPr>
              <w:jc w:val="right"/>
            </w:pPr>
            <w:r>
              <w:rPr>
                <w:color w:val="000000"/>
                <w:kern w:val="0"/>
                <w:sz w:val="24"/>
                <w:szCs w:val="24"/>
              </w:rPr>
              <w:t>1,762,241</w:t>
            </w:r>
          </w:p>
        </w:tc>
        <w:tc>
          <w:tcPr>
            <w:vAlign w:val="center"/>
          </w:tcPr>
          <w:p>
            <w:pPr>
              <w:jc w:val="right"/>
            </w:pPr>
            <w:r>
              <w:rPr>
                <w:color w:val="000000"/>
                <w:kern w:val="0"/>
                <w:sz w:val="24"/>
                <w:szCs w:val="24"/>
              </w:rPr>
              <w:t>18,380,173.63</w:t>
            </w:r>
          </w:p>
        </w:tc>
        <w:tc>
          <w:tcPr>
            <w:vAlign w:val="center"/>
          </w:tcPr>
          <w:p>
            <w:pPr>
              <w:jc w:val="right"/>
            </w:pPr>
            <w:r>
              <w:rPr>
                <w:color w:val="000000"/>
                <w:kern w:val="0"/>
                <w:sz w:val="24"/>
                <w:szCs w:val="24"/>
              </w:rPr>
              <w:t>2.21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002367</w:t>
            </w:r>
          </w:p>
        </w:tc>
        <w:tc>
          <w:tcPr>
            <w:vAlign w:val="center"/>
          </w:tcPr>
          <w:p>
            <w:pPr>
              <w:jc w:val="center"/>
            </w:pPr>
            <w:r>
              <w:rPr>
                <w:color w:val="000000"/>
                <w:kern w:val="0"/>
                <w:sz w:val="24"/>
                <w:szCs w:val="24"/>
              </w:rPr>
              <w:t>康力电梯</w:t>
            </w:r>
          </w:p>
        </w:tc>
        <w:tc>
          <w:tcPr>
            <w:vAlign w:val="center"/>
          </w:tcPr>
          <w:p>
            <w:pPr>
              <w:jc w:val="right"/>
            </w:pPr>
            <w:r>
              <w:rPr>
                <w:color w:val="000000"/>
                <w:kern w:val="0"/>
                <w:sz w:val="24"/>
                <w:szCs w:val="24"/>
              </w:rPr>
              <w:t>2,081,900</w:t>
            </w:r>
          </w:p>
        </w:tc>
        <w:tc>
          <w:tcPr>
            <w:vAlign w:val="center"/>
          </w:tcPr>
          <w:p>
            <w:pPr>
              <w:jc w:val="right"/>
            </w:pPr>
            <w:r>
              <w:rPr>
                <w:color w:val="000000"/>
                <w:kern w:val="0"/>
                <w:sz w:val="24"/>
                <w:szCs w:val="24"/>
              </w:rPr>
              <w:t>18,174,987.00</w:t>
            </w:r>
          </w:p>
        </w:tc>
        <w:tc>
          <w:tcPr>
            <w:vAlign w:val="center"/>
          </w:tcPr>
          <w:p>
            <w:pPr>
              <w:jc w:val="right"/>
            </w:pPr>
            <w:r>
              <w:rPr>
                <w:color w:val="000000"/>
                <w:kern w:val="0"/>
                <w:sz w:val="24"/>
                <w:szCs w:val="24"/>
              </w:rPr>
              <w:t>2.18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000429</w:t>
            </w:r>
          </w:p>
        </w:tc>
        <w:tc>
          <w:tcPr>
            <w:vAlign w:val="center"/>
          </w:tcPr>
          <w:p>
            <w:pPr>
              <w:jc w:val="center"/>
            </w:pPr>
            <w:r>
              <w:rPr>
                <w:color w:val="000000"/>
                <w:kern w:val="0"/>
                <w:sz w:val="24"/>
                <w:szCs w:val="24"/>
              </w:rPr>
              <w:t>粤高速A</w:t>
            </w:r>
          </w:p>
        </w:tc>
        <w:tc>
          <w:tcPr>
            <w:vAlign w:val="center"/>
          </w:tcPr>
          <w:p>
            <w:pPr>
              <w:jc w:val="right"/>
            </w:pPr>
            <w:r>
              <w:rPr>
                <w:color w:val="000000"/>
                <w:kern w:val="0"/>
                <w:sz w:val="24"/>
                <w:szCs w:val="24"/>
              </w:rPr>
              <w:t>2,410,538</w:t>
            </w:r>
          </w:p>
        </w:tc>
        <w:tc>
          <w:tcPr>
            <w:vAlign w:val="center"/>
          </w:tcPr>
          <w:p>
            <w:pPr>
              <w:jc w:val="right"/>
            </w:pPr>
            <w:r>
              <w:rPr>
                <w:color w:val="000000"/>
                <w:kern w:val="0"/>
                <w:sz w:val="24"/>
                <w:szCs w:val="24"/>
              </w:rPr>
              <w:t>16,849,660.62</w:t>
            </w:r>
          </w:p>
        </w:tc>
        <w:tc>
          <w:tcPr>
            <w:vAlign w:val="center"/>
          </w:tcPr>
          <w:p>
            <w:pPr>
              <w:jc w:val="right"/>
            </w:pPr>
            <w:r>
              <w:rPr>
                <w:color w:val="000000"/>
                <w:kern w:val="0"/>
                <w:sz w:val="24"/>
                <w:szCs w:val="24"/>
              </w:rPr>
              <w:t>2.03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601636</w:t>
            </w:r>
          </w:p>
        </w:tc>
        <w:tc>
          <w:tcPr>
            <w:vAlign w:val="center"/>
          </w:tcPr>
          <w:p>
            <w:pPr>
              <w:jc w:val="center"/>
            </w:pPr>
            <w:r>
              <w:rPr>
                <w:color w:val="000000"/>
                <w:kern w:val="0"/>
                <w:sz w:val="24"/>
                <w:szCs w:val="24"/>
              </w:rPr>
              <w:t>旗滨集团</w:t>
            </w:r>
          </w:p>
        </w:tc>
        <w:tc>
          <w:tcPr>
            <w:vAlign w:val="center"/>
          </w:tcPr>
          <w:p>
            <w:pPr>
              <w:jc w:val="right"/>
            </w:pPr>
            <w:r>
              <w:rPr>
                <w:color w:val="000000"/>
                <w:kern w:val="0"/>
                <w:sz w:val="24"/>
                <w:szCs w:val="24"/>
              </w:rPr>
              <w:t>2,589,300</w:t>
            </w:r>
          </w:p>
        </w:tc>
        <w:tc>
          <w:tcPr>
            <w:vAlign w:val="center"/>
          </w:tcPr>
          <w:p>
            <w:pPr>
              <w:jc w:val="right"/>
            </w:pPr>
            <w:r>
              <w:rPr>
                <w:color w:val="000000"/>
                <w:kern w:val="0"/>
                <w:sz w:val="24"/>
                <w:szCs w:val="24"/>
              </w:rPr>
              <w:t>15,328,656.00</w:t>
            </w:r>
          </w:p>
        </w:tc>
        <w:tc>
          <w:tcPr>
            <w:vAlign w:val="center"/>
          </w:tcPr>
          <w:p>
            <w:pPr>
              <w:jc w:val="right"/>
            </w:pPr>
            <w:r>
              <w:rPr>
                <w:color w:val="000000"/>
                <w:kern w:val="0"/>
                <w:sz w:val="24"/>
                <w:szCs w:val="24"/>
              </w:rPr>
              <w:t>1.84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000036</w:t>
            </w:r>
          </w:p>
        </w:tc>
        <w:tc>
          <w:tcPr>
            <w:vAlign w:val="center"/>
          </w:tcPr>
          <w:p>
            <w:pPr>
              <w:jc w:val="center"/>
            </w:pPr>
            <w:r>
              <w:rPr>
                <w:color w:val="000000"/>
                <w:kern w:val="0"/>
                <w:sz w:val="24"/>
                <w:szCs w:val="24"/>
              </w:rPr>
              <w:t>华联控股</w:t>
            </w:r>
          </w:p>
        </w:tc>
        <w:tc>
          <w:tcPr>
            <w:vAlign w:val="center"/>
          </w:tcPr>
          <w:p>
            <w:pPr>
              <w:jc w:val="right"/>
            </w:pPr>
            <w:r>
              <w:rPr>
                <w:color w:val="000000"/>
                <w:kern w:val="0"/>
                <w:sz w:val="24"/>
                <w:szCs w:val="24"/>
              </w:rPr>
              <w:t>3,322,400</w:t>
            </w:r>
          </w:p>
        </w:tc>
        <w:tc>
          <w:tcPr>
            <w:vAlign w:val="center"/>
          </w:tcPr>
          <w:p>
            <w:pPr>
              <w:jc w:val="right"/>
            </w:pPr>
            <w:r>
              <w:rPr>
                <w:color w:val="000000"/>
                <w:kern w:val="0"/>
                <w:sz w:val="24"/>
                <w:szCs w:val="24"/>
              </w:rPr>
              <w:t>14,618,560.00</w:t>
            </w:r>
          </w:p>
        </w:tc>
        <w:tc>
          <w:tcPr>
            <w:vAlign w:val="center"/>
          </w:tcPr>
          <w:p>
            <w:pPr>
              <w:jc w:val="right"/>
            </w:pPr>
            <w:r>
              <w:rPr>
                <w:color w:val="000000"/>
                <w:kern w:val="0"/>
                <w:sz w:val="24"/>
                <w:szCs w:val="24"/>
              </w:rPr>
              <w:t>1.76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002110</w:t>
            </w:r>
          </w:p>
        </w:tc>
        <w:tc>
          <w:tcPr>
            <w:vAlign w:val="center"/>
          </w:tcPr>
          <w:p>
            <w:pPr>
              <w:jc w:val="center"/>
            </w:pPr>
            <w:r>
              <w:rPr>
                <w:color w:val="000000"/>
                <w:kern w:val="0"/>
                <w:sz w:val="24"/>
                <w:szCs w:val="24"/>
              </w:rPr>
              <w:t>三钢闽光</w:t>
            </w:r>
          </w:p>
        </w:tc>
        <w:tc>
          <w:tcPr>
            <w:vAlign w:val="center"/>
          </w:tcPr>
          <w:p>
            <w:pPr>
              <w:jc w:val="right"/>
            </w:pPr>
            <w:r>
              <w:rPr>
                <w:color w:val="000000"/>
                <w:kern w:val="0"/>
                <w:sz w:val="24"/>
                <w:szCs w:val="24"/>
              </w:rPr>
              <w:t>2,103,150</w:t>
            </w:r>
          </w:p>
        </w:tc>
        <w:tc>
          <w:tcPr>
            <w:vAlign w:val="center"/>
          </w:tcPr>
          <w:p>
            <w:pPr>
              <w:jc w:val="right"/>
            </w:pPr>
            <w:r>
              <w:rPr>
                <w:color w:val="000000"/>
                <w:kern w:val="0"/>
                <w:sz w:val="24"/>
                <w:szCs w:val="24"/>
              </w:rPr>
              <w:t>14,006,979.00</w:t>
            </w:r>
          </w:p>
        </w:tc>
        <w:tc>
          <w:tcPr>
            <w:vAlign w:val="center"/>
          </w:tcPr>
          <w:p>
            <w:pPr>
              <w:jc w:val="right"/>
            </w:pPr>
            <w:r>
              <w:rPr>
                <w:color w:val="000000"/>
                <w:kern w:val="0"/>
                <w:sz w:val="24"/>
                <w:szCs w:val="24"/>
              </w:rPr>
              <w:t>1.68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600114</w:t>
            </w:r>
          </w:p>
        </w:tc>
        <w:tc>
          <w:tcPr>
            <w:vAlign w:val="center"/>
          </w:tcPr>
          <w:p>
            <w:pPr>
              <w:jc w:val="center"/>
            </w:pPr>
            <w:r>
              <w:rPr>
                <w:color w:val="000000"/>
                <w:kern w:val="0"/>
                <w:sz w:val="24"/>
                <w:szCs w:val="24"/>
              </w:rPr>
              <w:t>东睦股份</w:t>
            </w:r>
          </w:p>
        </w:tc>
        <w:tc>
          <w:tcPr>
            <w:vAlign w:val="center"/>
          </w:tcPr>
          <w:p>
            <w:pPr>
              <w:jc w:val="right"/>
            </w:pPr>
            <w:r>
              <w:rPr>
                <w:color w:val="000000"/>
                <w:kern w:val="0"/>
                <w:sz w:val="24"/>
                <w:szCs w:val="24"/>
              </w:rPr>
              <w:t>1,338,648</w:t>
            </w:r>
          </w:p>
        </w:tc>
        <w:tc>
          <w:tcPr>
            <w:vAlign w:val="center"/>
          </w:tcPr>
          <w:p>
            <w:pPr>
              <w:jc w:val="right"/>
            </w:pPr>
            <w:r>
              <w:rPr>
                <w:color w:val="000000"/>
                <w:kern w:val="0"/>
                <w:sz w:val="24"/>
                <w:szCs w:val="24"/>
              </w:rPr>
              <w:t>13,895,166.24</w:t>
            </w:r>
          </w:p>
        </w:tc>
        <w:tc>
          <w:tcPr>
            <w:vAlign w:val="center"/>
          </w:tcPr>
          <w:p>
            <w:pPr>
              <w:jc w:val="right"/>
            </w:pPr>
            <w:r>
              <w:rPr>
                <w:color w:val="000000"/>
                <w:kern w:val="0"/>
                <w:sz w:val="24"/>
                <w:szCs w:val="24"/>
              </w:rPr>
              <w:t>1.67</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1,270,600.00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1,270,600.00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128110</w:t>
            </w:r>
          </w:p>
        </w:tc>
        <w:tc>
          <w:tcPr>
            <w:vAlign w:val="center"/>
          </w:tcPr>
          <w:p>
            <w:pPr>
              <w:jc w:val="center"/>
            </w:pPr>
            <w:r>
              <w:rPr>
                <w:color w:val="000000"/>
                <w:kern w:val="0"/>
                <w:sz w:val="24"/>
                <w:szCs w:val="24"/>
              </w:rPr>
              <w:t>永兴转债</w:t>
            </w:r>
          </w:p>
        </w:tc>
        <w:tc>
          <w:tcPr>
            <w:vAlign w:val="center"/>
          </w:tcPr>
          <w:p>
            <w:pPr>
              <w:jc w:val="right"/>
            </w:pPr>
            <w:r>
              <w:rPr>
                <w:color w:val="000000"/>
                <w:kern w:val="0"/>
                <w:sz w:val="24"/>
                <w:szCs w:val="24"/>
              </w:rPr>
              <w:t>12,706</w:t>
            </w:r>
          </w:p>
        </w:tc>
        <w:tc>
          <w:tcPr>
            <w:vAlign w:val="center"/>
          </w:tcPr>
          <w:p>
            <w:pPr>
              <w:jc w:val="right"/>
            </w:pPr>
            <w:r>
              <w:rPr>
                <w:color w:val="000000"/>
                <w:kern w:val="0"/>
                <w:sz w:val="24"/>
                <w:szCs w:val="24"/>
              </w:rPr>
              <w:t>1,270,600.00</w:t>
            </w:r>
          </w:p>
        </w:tc>
        <w:tc>
          <w:tcPr>
            <w:vAlign w:val="center"/>
          </w:tcPr>
          <w:p>
            <w:pPr>
              <w:jc w:val="right"/>
            </w:pPr>
            <w:r>
              <w:rPr>
                <w:color w:val="000000"/>
                <w:kern w:val="0"/>
                <w:sz w:val="24"/>
                <w:szCs w:val="24"/>
              </w:rPr>
              <w:t>0.15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2019年11月6日，南昌市应急管理局对方大特钢科技股份有限公司于5月29日违反《中华人民共和国安全生产法》的违法违规事实，责令整改并处罚款100万元的行政处罚。</w:t>
      </w:r>
    </w:p>
    <w:p>
      <w:pPr>
        <w:spacing w:line="360" w:lineRule="auto"/>
        <w:rPr>
          <w:rFonts w:ascii="宋体" w:hAnsi="宋体"/>
          <w:color w:val="000000"/>
          <w:sz w:val="24"/>
          <w:szCs w:val="24"/>
        </w:rPr>
      </w:pPr>
      <w:r>
        <w:rPr>
          <w:rFonts w:ascii="宋体" w:hAnsi="宋体"/>
          <w:color w:val="000000"/>
          <w:sz w:val="24"/>
          <w:szCs w:val="24"/>
        </w:rPr>
        <w:t>2020年2月4日，河南省生态环境厅对龙蟒佰利联集团股份有限公司年产30万吨硫氯耦合钛材料绿色制造项目主体工程已建成，配电设施、电器仪表系统和管线工程尚未建成，未依法报批建设项目环境影响评价文件的违法违规事实，处以罚款130万元的行政处罚。</w:t>
      </w:r>
    </w:p>
    <w:p>
      <w:pPr>
        <w:spacing w:line="360" w:lineRule="auto"/>
        <w:rPr>
          <w:rFonts w:ascii="宋体" w:hAnsi="宋体"/>
          <w:color w:val="000000"/>
          <w:sz w:val="24"/>
          <w:szCs w:val="24"/>
        </w:rPr>
      </w:pPr>
      <w:r>
        <w:rPr>
          <w:rFonts w:ascii="宋体" w:hAnsi="宋体"/>
          <w:color w:val="000000"/>
          <w:sz w:val="24"/>
          <w:szCs w:val="24"/>
        </w:rPr>
        <w:t>2020年2月5日，河南省生态环境厅对龙蟒佰利联集团股份有限公司年产12万吨硫酸法钛白粉生产线未经竣工环境保护验收即投入生产的违法违规事实，处以罚款40万元的行政处罚。</w:t>
      </w:r>
    </w:p>
    <w:p>
      <w:pPr>
        <w:spacing w:line="360" w:lineRule="auto"/>
        <w:rPr>
          <w:rFonts w:ascii="宋体" w:hAnsi="宋体"/>
          <w:color w:val="000000"/>
          <w:sz w:val="24"/>
          <w:szCs w:val="24"/>
        </w:rPr>
      </w:pPr>
      <w:r>
        <w:rPr>
          <w:rFonts w:ascii="宋体" w:hAnsi="宋体"/>
          <w:color w:val="000000"/>
          <w:sz w:val="24"/>
          <w:szCs w:val="24"/>
        </w:rPr>
        <w:t>2020年2月5日，焦作市应急管理局对龙蟒佰利联集团股份有限公司组织建设的100万吨/年高盐废水深度治理项目，前期已要求停止建设，在项目未取得建设项目安全审查书的情况下，项目仍有开工的违法违规事实，处以罚款100万元的行政处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方大特钢、龙蟒佰利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537,048.94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77,120.00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8,640.03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75,409.89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698,218.86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603328</w:t>
            </w:r>
          </w:p>
        </w:tc>
        <w:tc>
          <w:tcPr>
            <w:vAlign w:val="center"/>
          </w:tcPr>
          <w:p>
            <w:pPr>
              <w:jc w:val="center"/>
            </w:pPr>
            <w:r>
              <w:rPr>
                <w:color w:val="000000"/>
                <w:kern w:val="0"/>
                <w:sz w:val="24"/>
                <w:szCs w:val="24"/>
              </w:rPr>
              <w:t>依顿电子</w:t>
            </w:r>
          </w:p>
        </w:tc>
        <w:tc>
          <w:tcPr>
            <w:vAlign w:val="center"/>
          </w:tcPr>
          <w:p>
            <w:pPr>
              <w:jc w:val="right"/>
            </w:pPr>
            <w:r>
              <w:rPr>
                <w:color w:val="000000"/>
                <w:kern w:val="0"/>
                <w:sz w:val="24"/>
                <w:szCs w:val="24"/>
              </w:rPr>
              <w:t>2,200,730.00</w:t>
            </w:r>
          </w:p>
        </w:tc>
        <w:tc>
          <w:tcPr>
            <w:vAlign w:val="center"/>
          </w:tcPr>
          <w:p>
            <w:pPr>
              <w:jc w:val="right"/>
            </w:pPr>
            <w:r>
              <w:rPr>
                <w:color w:val="000000"/>
                <w:kern w:val="0"/>
                <w:sz w:val="24"/>
                <w:szCs w:val="24"/>
              </w:rPr>
              <w:t>0.26</w:t>
            </w:r>
          </w:p>
        </w:tc>
        <w:tc>
          <w:tcPr>
            <w:vAlign w:val="center"/>
          </w:tcPr>
          <w:p>
            <w:pPr>
              <w:jc w:val="right"/>
            </w:pPr>
            <w:r>
              <w:rPr>
                <w:color w:val="000000"/>
                <w:kern w:val="0"/>
                <w:sz w:val="24"/>
                <w:szCs w:val="24"/>
              </w:rPr>
              <w:t>转融通流通受限</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600507</w:t>
            </w:r>
          </w:p>
        </w:tc>
        <w:tc>
          <w:tcPr>
            <w:vAlign w:val="center"/>
          </w:tcPr>
          <w:p>
            <w:pPr>
              <w:jc w:val="center"/>
            </w:pPr>
            <w:r>
              <w:rPr>
                <w:color w:val="000000"/>
                <w:kern w:val="0"/>
                <w:sz w:val="24"/>
                <w:szCs w:val="24"/>
              </w:rPr>
              <w:t>方大特钢</w:t>
            </w:r>
          </w:p>
        </w:tc>
        <w:tc>
          <w:tcPr>
            <w:vAlign w:val="center"/>
          </w:tcPr>
          <w:p>
            <w:pPr>
              <w:jc w:val="right"/>
            </w:pPr>
            <w:r>
              <w:rPr>
                <w:color w:val="000000"/>
                <w:kern w:val="0"/>
                <w:sz w:val="24"/>
                <w:szCs w:val="24"/>
              </w:rPr>
              <w:t>2,041,746.00</w:t>
            </w:r>
          </w:p>
        </w:tc>
        <w:tc>
          <w:tcPr>
            <w:vAlign w:val="center"/>
          </w:tcPr>
          <w:p>
            <w:pPr>
              <w:jc w:val="right"/>
            </w:pPr>
            <w:r>
              <w:rPr>
                <w:color w:val="000000"/>
                <w:kern w:val="0"/>
                <w:sz w:val="24"/>
                <w:szCs w:val="24"/>
              </w:rPr>
              <w:t>0.25</w:t>
            </w:r>
          </w:p>
        </w:tc>
        <w:tc>
          <w:tcPr>
            <w:vAlign w:val="center"/>
          </w:tcPr>
          <w:p>
            <w:pPr>
              <w:jc w:val="right"/>
            </w:pPr>
            <w:r>
              <w:rPr>
                <w:color w:val="000000"/>
                <w:kern w:val="0"/>
                <w:sz w:val="24"/>
                <w:szCs w:val="24"/>
              </w:rPr>
              <w:t>转融通流通受限</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002242</w:t>
            </w:r>
          </w:p>
        </w:tc>
        <w:tc>
          <w:tcPr>
            <w:vAlign w:val="center"/>
          </w:tcPr>
          <w:p>
            <w:pPr>
              <w:jc w:val="center"/>
            </w:pPr>
            <w:r>
              <w:rPr>
                <w:color w:val="000000"/>
                <w:kern w:val="0"/>
                <w:sz w:val="24"/>
                <w:szCs w:val="24"/>
              </w:rPr>
              <w:t>九阳股份</w:t>
            </w:r>
          </w:p>
        </w:tc>
        <w:tc>
          <w:tcPr>
            <w:vAlign w:val="center"/>
          </w:tcPr>
          <w:p>
            <w:pPr>
              <w:jc w:val="right"/>
            </w:pPr>
            <w:r>
              <w:rPr>
                <w:color w:val="000000"/>
                <w:kern w:val="0"/>
                <w:sz w:val="24"/>
                <w:szCs w:val="24"/>
              </w:rPr>
              <w:t>1,863,500.00</w:t>
            </w:r>
          </w:p>
        </w:tc>
        <w:tc>
          <w:tcPr>
            <w:vAlign w:val="center"/>
          </w:tcPr>
          <w:p>
            <w:pPr>
              <w:jc w:val="right"/>
            </w:pPr>
            <w:r>
              <w:rPr>
                <w:color w:val="000000"/>
                <w:kern w:val="0"/>
                <w:sz w:val="24"/>
                <w:szCs w:val="24"/>
              </w:rPr>
              <w:t>0.22</w:t>
            </w:r>
          </w:p>
        </w:tc>
        <w:tc>
          <w:tcPr>
            <w:vAlign w:val="center"/>
          </w:tcPr>
          <w:p>
            <w:pPr>
              <w:jc w:val="right"/>
            </w:pPr>
            <w:r>
              <w:rPr>
                <w:color w:val="000000"/>
                <w:kern w:val="0"/>
                <w:sz w:val="24"/>
                <w:szCs w:val="24"/>
              </w:rPr>
              <w:t>转融通流通受限</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601636</w:t>
            </w:r>
          </w:p>
        </w:tc>
        <w:tc>
          <w:tcPr>
            <w:vAlign w:val="center"/>
          </w:tcPr>
          <w:p>
            <w:pPr>
              <w:jc w:val="center"/>
            </w:pPr>
            <w:r>
              <w:rPr>
                <w:color w:val="000000"/>
                <w:kern w:val="0"/>
                <w:sz w:val="24"/>
                <w:szCs w:val="24"/>
              </w:rPr>
              <w:t>旗滨集团</w:t>
            </w:r>
          </w:p>
        </w:tc>
        <w:tc>
          <w:tcPr>
            <w:vAlign w:val="center"/>
          </w:tcPr>
          <w:p>
            <w:pPr>
              <w:jc w:val="right"/>
            </w:pPr>
            <w:r>
              <w:rPr>
                <w:color w:val="000000"/>
                <w:kern w:val="0"/>
                <w:sz w:val="24"/>
                <w:szCs w:val="24"/>
              </w:rPr>
              <w:t>1,657,600.00</w:t>
            </w:r>
          </w:p>
        </w:tc>
        <w:tc>
          <w:tcPr>
            <w:vAlign w:val="center"/>
          </w:tcPr>
          <w:p>
            <w:pPr>
              <w:jc w:val="right"/>
            </w:pPr>
            <w:r>
              <w:rPr>
                <w:color w:val="000000"/>
                <w:kern w:val="0"/>
                <w:sz w:val="24"/>
                <w:szCs w:val="24"/>
              </w:rPr>
              <w:t>0.20</w:t>
            </w:r>
          </w:p>
        </w:tc>
        <w:tc>
          <w:tcPr>
            <w:vAlign w:val="center"/>
          </w:tcPr>
          <w:p>
            <w:pPr>
              <w:jc w:val="right"/>
            </w:pPr>
            <w:r>
              <w:rPr>
                <w:color w:val="000000"/>
                <w:kern w:val="0"/>
                <w:sz w:val="24"/>
                <w:szCs w:val="24"/>
              </w:rPr>
              <w:t>转融通流通受限</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000036</w:t>
            </w:r>
          </w:p>
        </w:tc>
        <w:tc>
          <w:tcPr>
            <w:vAlign w:val="center"/>
          </w:tcPr>
          <w:p>
            <w:pPr>
              <w:jc w:val="center"/>
            </w:pPr>
            <w:r>
              <w:rPr>
                <w:color w:val="000000"/>
                <w:kern w:val="0"/>
                <w:sz w:val="24"/>
                <w:szCs w:val="24"/>
              </w:rPr>
              <w:t>华联控股</w:t>
            </w:r>
          </w:p>
        </w:tc>
        <w:tc>
          <w:tcPr>
            <w:vAlign w:val="center"/>
          </w:tcPr>
          <w:p>
            <w:pPr>
              <w:jc w:val="right"/>
            </w:pPr>
            <w:r>
              <w:rPr>
                <w:color w:val="000000"/>
                <w:kern w:val="0"/>
                <w:sz w:val="24"/>
                <w:szCs w:val="24"/>
              </w:rPr>
              <w:t>1,007,600.00</w:t>
            </w:r>
          </w:p>
        </w:tc>
        <w:tc>
          <w:tcPr>
            <w:vAlign w:val="center"/>
          </w:tcPr>
          <w:p>
            <w:pPr>
              <w:jc w:val="right"/>
            </w:pPr>
            <w:r>
              <w:rPr>
                <w:color w:val="000000"/>
                <w:kern w:val="0"/>
                <w:sz w:val="24"/>
                <w:szCs w:val="24"/>
              </w:rPr>
              <w:t>0.12</w:t>
            </w:r>
          </w:p>
        </w:tc>
        <w:tc>
          <w:tcPr>
            <w:vAlign w:val="center"/>
          </w:tcPr>
          <w:p>
            <w:pPr>
              <w:jc w:val="right"/>
            </w:pPr>
            <w:r>
              <w:rPr>
                <w:color w:val="000000"/>
                <w:kern w:val="0"/>
                <w:sz w:val="24"/>
                <w:szCs w:val="24"/>
              </w:rPr>
              <w:t>转融通流通受限</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002367</w:t>
            </w:r>
          </w:p>
        </w:tc>
        <w:tc>
          <w:tcPr>
            <w:vAlign w:val="center"/>
          </w:tcPr>
          <w:p>
            <w:pPr>
              <w:jc w:val="center"/>
            </w:pPr>
            <w:r>
              <w:rPr>
                <w:color w:val="000000"/>
                <w:kern w:val="0"/>
                <w:sz w:val="24"/>
                <w:szCs w:val="24"/>
              </w:rPr>
              <w:t>康力电梯</w:t>
            </w:r>
          </w:p>
        </w:tc>
        <w:tc>
          <w:tcPr>
            <w:vAlign w:val="center"/>
          </w:tcPr>
          <w:p>
            <w:pPr>
              <w:jc w:val="right"/>
            </w:pPr>
            <w:r>
              <w:rPr>
                <w:color w:val="000000"/>
                <w:kern w:val="0"/>
                <w:sz w:val="24"/>
                <w:szCs w:val="24"/>
              </w:rPr>
              <w:t>803,160.00</w:t>
            </w:r>
          </w:p>
        </w:tc>
        <w:tc>
          <w:tcPr>
            <w:vAlign w:val="center"/>
          </w:tcPr>
          <w:p>
            <w:pPr>
              <w:jc w:val="right"/>
            </w:pPr>
            <w:r>
              <w:rPr>
                <w:color w:val="000000"/>
                <w:kern w:val="0"/>
                <w:sz w:val="24"/>
                <w:szCs w:val="24"/>
              </w:rPr>
              <w:t>0.10</w:t>
            </w:r>
          </w:p>
        </w:tc>
        <w:tc>
          <w:tcPr>
            <w:vAlign w:val="center"/>
          </w:tcPr>
          <w:p>
            <w:pPr>
              <w:jc w:val="right"/>
            </w:pPr>
            <w:r>
              <w:rPr>
                <w:color w:val="000000"/>
                <w:kern w:val="0"/>
                <w:sz w:val="24"/>
                <w:szCs w:val="24"/>
              </w:rPr>
              <w:t>转融通流通受限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912,637,000.00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843,637,000.00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1.中国证监会准予易方达中证红利交易型开放式指数证券投资基金注册的文件；</w:t>
      </w:r>
    </w:p>
    <w:p>
      <w:pPr>
        <w:spacing w:line="360" w:lineRule="auto"/>
        <w:ind w:firstLine="480" w:firstLineChars="200"/>
        <w:rPr>
          <w:color w:val="000000"/>
          <w:sz w:val="24"/>
          <w:szCs w:val="24"/>
        </w:rPr>
      </w:pPr>
      <w:r>
        <w:rPr>
          <w:color w:val="000000"/>
          <w:sz w:val="24"/>
          <w:szCs w:val="24"/>
        </w:rPr>
        <w:t>2.《易方达中证红利交易型开放式指数证券投资基金基金合同》；</w:t>
      </w:r>
    </w:p>
    <w:p>
      <w:pPr>
        <w:spacing w:line="360" w:lineRule="auto"/>
        <w:ind w:firstLine="480" w:firstLineChars="200"/>
        <w:rPr>
          <w:color w:val="000000"/>
          <w:sz w:val="24"/>
          <w:szCs w:val="24"/>
        </w:rPr>
      </w:pPr>
      <w:r>
        <w:rPr>
          <w:color w:val="000000"/>
          <w:sz w:val="24"/>
          <w:szCs w:val="24"/>
        </w:rPr>
        <w:t>3.《易方达中证红利交易型开放式指数证券投资基金托管协议》；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易方达中证红利交易型开放式指数证券投资基金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