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易方达中证国企一带一路交易型开放式指数证券投资基金</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中国建设银行股份有限公司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基金托管人中国建设银行股份有限公司根据本基金合同规定，于2020年7月17日复核了本报告中的财务指标、净值表现和投资组合报告等内容，保证复核内容不存在虚假记载、误导性陈述或者重大遗漏。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易方达中证国企一带一路ETF</w:t>
            </w:r>
          </w:p>
        </w:tc>
      </w:tr>
      <w:tr w:rsidR="00815999" w:rsidRPr="00264E55" w:rsidTr="003328D9">
        <w:tc>
          <w:tcPr>
            <w:tcW w:type="dxa" w:w="2835"/>
            <w:vAlign w:val="center"/>
          </w:tcPr>
          <w:p w:rsidP="00815999" w:rsidR="00815999" w:rsidRDefault="00815999" w:rsidRPr="00232B03">
            <w:pPr>
              <w:adjustRightInd w:val="0"/>
              <w:spacing w:before="29" w:line="360" w:lineRule="auto"/>
              <w:ind w:left="17"/>
              <w:jc w:val="left"/>
              <w:rPr>
                <w:kern w:val="0"/>
                <w:sz w:val="24"/>
                <w:szCs w:val="24"/>
              </w:rPr>
            </w:pPr>
            <w:r w:rsidRPr="00232B03">
              <w:rPr>
                <w:kern w:val="0"/>
                <w:sz w:val="24"/>
                <w:szCs w:val="24"/>
              </w:rPr>
              <w:t>场内简称</w:t>
            </w:r>
          </w:p>
        </w:tc>
        <w:tc>
          <w:tcPr>
            <w:tcW w:type="dxa" w:w="5479"/>
            <w:gridSpan w:val="2"/>
            <w:vAlign w:val="center"/>
          </w:tcPr>
          <w:p w:rsidP="00815999" w:rsidR="00815999" w:rsidRDefault="00815999" w:rsidRPr="00232B03">
            <w:pPr>
              <w:adjustRightInd w:val="0"/>
              <w:spacing w:before="29" w:line="360" w:lineRule="auto"/>
              <w:ind w:left="17"/>
              <w:jc w:val="left"/>
              <w:rPr>
                <w:kern w:val="0"/>
                <w:sz w:val="24"/>
                <w:szCs w:val="24"/>
              </w:rPr>
            </w:pPr>
            <w:r w:rsidRPr="00232B03">
              <w:rPr>
                <w:kern w:val="0"/>
                <w:sz w:val="24"/>
                <w:szCs w:val="24"/>
              </w:rPr>
              <w:t/>
            </w:r>
            <w:proofErr w:type="spellStart"/>
            <w:r w:rsidRPr="00232B03">
              <w:rPr>
                <w:kern w:val="0"/>
                <w:sz w:val="24"/>
                <w:szCs w:val="24"/>
              </w:rPr>
              <w:t/>
            </w:r>
            <w:proofErr w:type="spellEnd"/>
            <w:r w:rsidRPr="00232B03">
              <w:rPr>
                <w:kern w:val="0"/>
                <w:sz w:val="24"/>
                <w:szCs w:val="24"/>
              </w:rPr>
              <w:t/>
            </w:r>
            <w:proofErr w:type="spellStart"/>
            <w:r w:rsidRPr="00232B03">
              <w:rPr>
                <w:kern w:val="0"/>
                <w:sz w:val="24"/>
                <w:szCs w:val="24"/>
              </w:rPr>
              <w:t/>
            </w:r>
            <w:proofErr w:type="spellEnd"/>
            <w:r w:rsidRPr="00232B03">
              <w:rPr>
                <w:kern w:val="0"/>
                <w:sz w:val="24"/>
                <w:szCs w:val="24"/>
              </w:rPr>
              <w:t>国企方达、一带一路国企ETF</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515110</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515110</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交易型开放式</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2019年11月6日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1,642,294,991.00</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紧密跟踪标的指数，追求跟踪偏离度和跟踪误差的最小化。</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主要采取完全复制法，即完全按照标的指数的成份股组成及其权重构建基金股票投资组合，并根据标的指数成份股及其权重的变动进行相应调整。但在因特殊情形导致基金无法完全投资于标的指数成份股时，基金管理人将采取其他指数投资技术适当调整基金投资组合，以达到紧密跟踪标的指数的目的。为更好地实现投资目标，本基金可投资股指期货、期权和其他经中国证监会允许的衍生金融产品。本基金将根据风险管理的原则，主要选择流动性好、交易活跃的衍生品合约。在正常市场情况下，本基金力争日均跟踪偏离度的绝对值不超过0.2%，年化跟踪误差不超过2%。</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中证国企一带一路指数收益率</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本基金为股票型基金，预期风险与预期收益水平高于混合型基金、债券型基金与货币市场基金。本基金为指数型基金，主要采用完全复制法跟踪标的指数的表现，具有与标的指数相似的风险收益特征。</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中国建设银行股份有限公司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-644,585,211.01</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3,647,395.85</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0.0007</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1,459,848,340.92</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0.8889</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0.59%</w:t>
            </w:r>
          </w:p>
        </w:tc>
        <w:tc>
          <w:tcPr>
            <w:vAlign w:val="center"/>
          </w:tcPr>
          <w:p>
            <w:pPr>
              <w:jc w:val="center"/>
            </w:pPr>
            <w:r>
              <w:rPr>
                <w:color w:val="000000"/>
                <w:kern w:val="0"/>
                <w:sz w:val="24"/>
                <w:szCs w:val="24"/>
              </w:rPr>
              <w:t>0.85%</w:t>
            </w:r>
          </w:p>
        </w:tc>
        <w:tc>
          <w:tcPr>
            <w:vAlign w:val="center"/>
          </w:tcPr>
          <w:p>
            <w:pPr>
              <w:jc w:val="center"/>
            </w:pPr>
            <w:r>
              <w:rPr>
                <w:color w:val="000000"/>
                <w:kern w:val="0"/>
                <w:sz w:val="24"/>
                <w:szCs w:val="24"/>
              </w:rPr>
              <w:t>-1.46%</w:t>
            </w:r>
          </w:p>
        </w:tc>
        <w:tc>
          <w:tcPr>
            <w:vAlign w:val="center"/>
          </w:tcPr>
          <w:p>
            <w:pPr>
              <w:jc w:val="center"/>
            </w:pPr>
            <w:r>
              <w:rPr>
                <w:color w:val="000000"/>
                <w:kern w:val="0"/>
                <w:sz w:val="24"/>
                <w:szCs w:val="24"/>
              </w:rPr>
              <w:t>0.86%</w:t>
            </w:r>
          </w:p>
        </w:tc>
        <w:tc>
          <w:tcPr>
            <w:vAlign w:val="center"/>
          </w:tcPr>
          <w:p>
            <w:pPr>
              <w:jc w:val="center"/>
            </w:pPr>
            <w:r>
              <w:rPr>
                <w:color w:val="000000"/>
                <w:kern w:val="0"/>
                <w:sz w:val="24"/>
                <w:szCs w:val="24"/>
              </w:rPr>
              <w:t>2.05%</w:t>
            </w:r>
          </w:p>
        </w:tc>
        <w:tc>
          <w:tcPr>
            <w:vAlign w:val="center"/>
          </w:tcPr>
          <w:p>
            <w:pPr>
              <w:jc w:val="center"/>
            </w:pPr>
            <w:r>
              <w:rPr>
                <w:color w:val="000000"/>
                <w:kern w:val="0"/>
                <w:sz w:val="24"/>
                <w:szCs w:val="24"/>
              </w:rPr>
              <w:t>-0.01%</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-11.95%</w:t>
            </w:r>
          </w:p>
        </w:tc>
        <w:tc>
          <w:tcPr>
            <w:vAlign w:val="center"/>
          </w:tcPr>
          <w:p>
            <w:pPr>
              <w:jc w:val="center"/>
            </w:pPr>
            <w:r>
              <w:rPr>
                <w:color w:val="000000"/>
                <w:kern w:val="0"/>
                <w:sz w:val="24"/>
                <w:szCs w:val="24"/>
              </w:rPr>
              <w:t>1.46%</w:t>
            </w:r>
          </w:p>
        </w:tc>
        <w:tc>
          <w:tcPr>
            <w:vAlign w:val="center"/>
          </w:tcPr>
          <w:p>
            <w:pPr>
              <w:jc w:val="center"/>
            </w:pPr>
            <w:r>
              <w:rPr>
                <w:color w:val="000000"/>
                <w:kern w:val="0"/>
                <w:sz w:val="24"/>
                <w:szCs w:val="24"/>
              </w:rPr>
              <w:t>-13.68%</w:t>
            </w:r>
          </w:p>
        </w:tc>
        <w:tc>
          <w:tcPr>
            <w:vAlign w:val="center"/>
          </w:tcPr>
          <w:p>
            <w:pPr>
              <w:jc w:val="center"/>
            </w:pPr>
            <w:r>
              <w:rPr>
                <w:color w:val="000000"/>
                <w:kern w:val="0"/>
                <w:sz w:val="24"/>
                <w:szCs w:val="24"/>
              </w:rPr>
              <w:t>1.49%</w:t>
            </w:r>
          </w:p>
        </w:tc>
        <w:tc>
          <w:tcPr>
            <w:vAlign w:val="center"/>
          </w:tcPr>
          <w:p>
            <w:pPr>
              <w:jc w:val="center"/>
            </w:pPr>
            <w:r>
              <w:rPr>
                <w:color w:val="000000"/>
                <w:kern w:val="0"/>
                <w:sz w:val="24"/>
                <w:szCs w:val="24"/>
              </w:rPr>
              <w:t>1.73%</w:t>
            </w:r>
          </w:p>
        </w:tc>
        <w:tc>
          <w:tcPr>
            <w:vAlign w:val="center"/>
          </w:tcPr>
          <w:p>
            <w:pPr>
              <w:jc w:val="center"/>
            </w:pPr>
            <w:r>
              <w:rPr>
                <w:color w:val="000000"/>
                <w:kern w:val="0"/>
                <w:sz w:val="24"/>
                <w:szCs w:val="24"/>
              </w:rPr>
              <w:t>-0.03%</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-11.11%</w:t>
            </w:r>
          </w:p>
        </w:tc>
        <w:tc>
          <w:tcPr>
            <w:vAlign w:val="center"/>
          </w:tcPr>
          <w:p>
            <w:pPr>
              <w:jc w:val="center"/>
            </w:pPr>
            <w:r>
              <w:rPr>
                <w:color w:val="000000"/>
                <w:kern w:val="0"/>
                <w:sz w:val="24"/>
                <w:szCs w:val="24"/>
              </w:rPr>
              <w:t>1.31%</w:t>
            </w:r>
          </w:p>
        </w:tc>
        <w:tc>
          <w:tcPr>
            <w:vAlign w:val="center"/>
          </w:tcPr>
          <w:p>
            <w:pPr>
              <w:jc w:val="center"/>
            </w:pPr>
            <w:r>
              <w:rPr>
                <w:color w:val="000000"/>
                <w:kern w:val="0"/>
                <w:sz w:val="24"/>
                <w:szCs w:val="24"/>
              </w:rPr>
              <w:t>-8.32%</w:t>
            </w:r>
          </w:p>
        </w:tc>
        <w:tc>
          <w:tcPr>
            <w:vAlign w:val="center"/>
          </w:tcPr>
          <w:p>
            <w:pPr>
              <w:jc w:val="center"/>
            </w:pPr>
            <w:r>
              <w:rPr>
                <w:color w:val="000000"/>
                <w:kern w:val="0"/>
                <w:sz w:val="24"/>
                <w:szCs w:val="24"/>
              </w:rPr>
              <w:t>1.35%</w:t>
            </w:r>
          </w:p>
        </w:tc>
        <w:tc>
          <w:tcPr>
            <w:vAlign w:val="center"/>
          </w:tcPr>
          <w:p>
            <w:pPr>
              <w:jc w:val="center"/>
            </w:pPr>
            <w:r>
              <w:rPr>
                <w:color w:val="000000"/>
                <w:kern w:val="0"/>
                <w:sz w:val="24"/>
                <w:szCs w:val="24"/>
              </w:rPr>
              <w:t>-2.79%</w:t>
            </w:r>
          </w:p>
        </w:tc>
        <w:tc>
          <w:tcPr>
            <w:vAlign w:val="center"/>
          </w:tcPr>
          <w:p>
            <w:pPr>
              <w:jc w:val="center"/>
            </w:pPr>
            <w:r>
              <w:rPr>
                <w:color w:val="000000"/>
                <w:kern w:val="0"/>
                <w:sz w:val="24"/>
                <w:szCs w:val="24"/>
              </w:rPr>
              <w:t>-0.04%</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易方达中证国企一带一路交易型开放式指数证券投资基金</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2019年11月6日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pPr>
        <w:spacing w:line="360" w:lineRule="auto"/>
        <w:ind w:firstLine="480" w:firstLineChars="200"/>
        <w:rPr>
          <w:color w:val="000000"/>
          <w:sz w:val="24"/>
          <w:szCs w:val="24"/>
        </w:rPr>
      </w:pPr>
      <w:r>
        <w:rPr>
          <w:color w:val="000000"/>
          <w:sz w:val="24"/>
          <w:szCs w:val="24"/>
        </w:rPr>
        <w:t>注：1.本基金合同于2019年11月6日生效，截至报告期末本基金合同生效未满一年。</w:t>
      </w:r>
    </w:p>
    <w:p>
      <w:pPr>
        <w:spacing w:line="360" w:lineRule="auto"/>
        <w:ind w:firstLine="480" w:firstLineChars="200"/>
        <w:rPr>
          <w:color w:val="000000"/>
          <w:sz w:val="24"/>
          <w:szCs w:val="24"/>
        </w:rPr>
      </w:pPr>
      <w:r>
        <w:rPr>
          <w:color w:val="000000"/>
          <w:sz w:val="24"/>
          <w:szCs w:val="24"/>
        </w:rPr>
        <w:t>2.按基金合同和招募说明书的约定，本基金的建仓期为六个月，建仓期结束时各项资产配置比例符合基金合同（第十四部分二、投资范围，三、投资策略和四、投资限制）的有关约定。</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3.自基金合同生效至报告期末，基金份额净值增长率为-11.11%，同期业绩比较基准收益率为-8.32%。</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杨俊</w:t>
            </w:r>
          </w:p>
        </w:tc>
        <w:tc>
          <w:tcPr>
            <w:vAlign w:val="center"/>
          </w:tcPr>
          <w:p>
            <w:pPr>
              <w:jc w:val="left"/>
            </w:pPr>
            <w:r>
              <w:rPr>
                <w:color w:val="000000"/>
                <w:sz w:val="24"/>
              </w:rPr>
              <w:t>本基金的基金经理、易方达中证国企一带一路交易型开放式指数证券投资基金联接基金的基金经理、易方达中证浙江新动能交易型开放式指数证券投资基金联接基金的基金经理、易方达中证浙江新动能交易型开放式指数证券投资基金的基金经理、指数增强投资部总经理助理</w:t>
            </w:r>
          </w:p>
        </w:tc>
        <w:tc>
          <w:tcPr>
            <w:vAlign w:val="center"/>
          </w:tcPr>
          <w:p>
            <w:pPr>
              <w:jc w:val="center"/>
            </w:pPr>
            <w:r>
              <w:rPr>
                <w:color w:val="000000"/>
                <w:sz w:val="24"/>
              </w:rPr>
              <w:t>2019-11-06</w:t>
            </w:r>
          </w:p>
        </w:tc>
        <w:tc>
          <w:tcPr>
            <w:vAlign w:val="center"/>
          </w:tcPr>
          <w:p>
            <w:pPr>
              <w:jc w:val="center"/>
            </w:pPr>
            <w:r>
              <w:rPr>
                <w:color w:val="000000"/>
                <w:sz w:val="24"/>
              </w:rPr>
              <w:t>-</w:t>
            </w:r>
          </w:p>
        </w:tc>
        <w:tc>
          <w:tcPr>
            <w:vAlign w:val="center"/>
          </w:tcPr>
          <w:p>
            <w:pPr>
              <w:jc w:val="center"/>
            </w:pPr>
            <w:r>
              <w:rPr>
                <w:color w:val="000000"/>
                <w:sz w:val="24"/>
              </w:rPr>
              <w:t>11年</w:t>
            </w:r>
          </w:p>
        </w:tc>
        <w:tc>
          <w:tcPr>
            <w:vAlign w:val="center"/>
          </w:tcPr>
          <w:p>
            <w:pPr>
              <w:jc w:val="both"/>
            </w:pPr>
            <w:r>
              <w:rPr>
                <w:color w:val="000000"/>
                <w:sz w:val="24"/>
              </w:rPr>
              <w:t>硕士研究生，具有基金从业资格。曾任易方达基金管理有限公司北京分公司渠道经理、指数与量化投资部高级账户经理、解决方案部总经理助理，易方达沪深300交易型开放式指数发起式证券投资基金联接基金基金经理、易方达国企改革指数分级证券投资基金基金经理、易方达沪深300交易型开放式指数发起式证券投资基金基金经理、易方达中证500交易型开放式指数证券投资基金基金经理、易方达中证500交易型开放式指数证券投资基金发起式联接基金基金经理。</w:t>
            </w:r>
          </w:p>
        </w:tc>
      </w:tr>
      <w:tr>
        <w:tc>
          <w:tcPr>
            <w:vAlign w:val="center"/>
          </w:tcPr>
          <w:p>
            <w:pPr>
              <w:jc w:val="center"/>
            </w:pPr>
            <w:r>
              <w:rPr>
                <w:color w:val="000000"/>
                <w:sz w:val="24"/>
              </w:rPr>
              <w:t>刘树荣</w:t>
            </w:r>
          </w:p>
        </w:tc>
        <w:tc>
          <w:tcPr>
            <w:vAlign w:val="center"/>
          </w:tcPr>
          <w:p>
            <w:pPr>
              <w:jc w:val="left"/>
            </w:pPr>
            <w:r>
              <w:rPr>
                <w:color w:val="000000"/>
                <w:sz w:val="24"/>
              </w:rPr>
              <w:t>本基金的基金经理、易方达创业板交易型开放式指数证券投资基金的基金经理、易方达深证100交易型开放式指数基金的基金经理、易方达中小板指数证券投资基金（LOF）的基金经理、易方达生物科技指数分级证券投资基金的基金经理、易方达深证100交易型开放式指数证券投资基金联接基金的基金经理、易方达并购重组指数分级证券投资基金的基金经理、易方达创业板交易型开放式指数证券投资基金联接基金的基金经理、易方达银行指数分级证券投资基金的基金经理、易方达标普信息科技指数证券投资基金（LOF）的基金经理（自2018年08月11日至2020年04月22日）、易方达标普500指数证券投资基金（LOF）的基金经理、易方达标普医疗保健指数证券投资基金（LOF）的基金经理（自2018年08月11日至2020年04月22日）、易方达上证中盘交易型开放式指数证券投资基金的基金经理、易方达上证中盘交易型开放式指数证券投资基金联接基金的基金经理、易方达标普生物科技指数证券投资基金（LOF）的基金经理（自2018年08月11日至2020年04月22日）、易方达香港恒生综合小型股指数证券投资基金（LOF）的基金经理、易方达中证800交易型开放式指数证券投资基金的基金经理、易方达中证800交易型开放式指数证券投资基金发起式联接基金的基金经理、易方达中证国企一带一路交易型开放式指数证券投资基金联接基金的基金经理、易方达中证浙江新动能交易型开放式指数证券投资基金联接基金的基金经理、易方达中证浙江新动能交易型开放式指数证券投资基金的基金经理</w:t>
            </w:r>
          </w:p>
        </w:tc>
        <w:tc>
          <w:tcPr>
            <w:vAlign w:val="center"/>
          </w:tcPr>
          <w:p>
            <w:pPr>
              <w:jc w:val="center"/>
            </w:pPr>
            <w:r>
              <w:rPr>
                <w:color w:val="000000"/>
                <w:sz w:val="24"/>
              </w:rPr>
              <w:t>2020-03-20</w:t>
            </w:r>
          </w:p>
        </w:tc>
        <w:tc>
          <w:tcPr>
            <w:vAlign w:val="center"/>
          </w:tcPr>
          <w:p>
            <w:pPr>
              <w:jc w:val="center"/>
            </w:pPr>
            <w:r>
              <w:rPr>
                <w:color w:val="000000"/>
                <w:sz w:val="24"/>
              </w:rPr>
              <w:t>-</w:t>
            </w:r>
          </w:p>
        </w:tc>
        <w:tc>
          <w:tcPr>
            <w:vAlign w:val="center"/>
          </w:tcPr>
          <w:p>
            <w:pPr>
              <w:jc w:val="center"/>
            </w:pPr>
            <w:r>
              <w:rPr>
                <w:color w:val="000000"/>
                <w:sz w:val="24"/>
              </w:rPr>
              <w:t>13年</w:t>
            </w:r>
          </w:p>
        </w:tc>
        <w:tc>
          <w:tcPr>
            <w:vAlign w:val="center"/>
          </w:tcPr>
          <w:p>
            <w:pPr>
              <w:jc w:val="both"/>
            </w:pPr>
            <w:r>
              <w:rPr>
                <w:color w:val="000000"/>
                <w:sz w:val="24"/>
              </w:rPr>
              <w:t>硕士研究生，具有基金从业资格。曾任招商银行资产托管部基金会计，易方达基金管理有限公司核算部基金核算专员、指数与量化投资部运作支持专员、基金经理助理、易方达深证成指交易型开放式指数证券投资基金基金经理、易方达深证成指交易型开放式指数证券投资基金联接基金基金经理。</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本基金跟踪的标的指数为中证国企一带一路指数。中证国企一带一路指数以参与一带一路建设的国企上市公司为待选样本，综合评估其市值规模、一带一路业务参与程度、盈利质量及股东回报、社会责任情况，选取其中较具代表性的100家上市公司股票构成样本股，反映受益于一带一路主题的国企上市公司股票在A股市场的整体走势。本基金主要采用组合复制策略以更好地跟踪标的指数，实现基金投资目标。</w:t>
      </w:r>
    </w:p>
    <w:p>
      <w:pPr>
        <w:spacing w:line="360" w:lineRule="auto"/>
        <w:ind w:firstLine="480" w:firstLineChars="200"/>
        <w:rPr>
          <w:color w:val="000000"/>
          <w:sz w:val="24"/>
          <w:szCs w:val="24"/>
        </w:rPr>
      </w:pPr>
      <w:r>
        <w:rPr>
          <w:color w:val="000000"/>
          <w:sz w:val="24"/>
          <w:szCs w:val="24"/>
        </w:rPr>
        <w:t>年初爆发的新冠疫情给全球经济发展和人们日常生活带来了巨大的影响，股票市场也因此大幅波动。二季度，国内新冠疫情得到有效的控制和缓解，随着各行业陆续复工、复产，国内经济在系列政策的刺激和支持下逐步走向复苏，5月份全国规模以上工业企业利润总额同比增速回升转正至6.0%，6月制造业PMI升至50.9%好于市场预期。A股市场在医药生物、食品饮料、科技等板块的带动下开启了一波反弹行情，中证国企一带一路指数成份股主要以传统周期股为主，二级市场表现落后于大盘。本报告期，中证国企一带一路指数下跌1.46%。</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基金运作层面，报告期内，本基金严守基金合同认真对待投资者申购、赎回以及成份股调整事项，保障基金的正常运作，基金跟踪误差以及日均偏离度等指标控制在合同规定范围之内。</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截至报告期末，本基金份额净值为0.8889元，本报告期份额净值增长率为0.59%，同期业绩比较基准收益率为-1.46%，日跟踪偏离度的均值为0.05%，年化跟踪误差为1.11%，在合同规定的目标控制范围之内。</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1,434,263,877.12</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97.63</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1,434,263,877.12</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97.63</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29,495,337.44</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2.01</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5,250,873.61</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0.36</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1,469,010,088.17</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pPr>
        <w:spacing w:line="360" w:lineRule="auto"/>
        <w:ind w:firstLine="480" w:firstLineChars="200"/>
        <w:rPr>
          <w:color w:val="000000"/>
          <w:sz w:val="24"/>
          <w:szCs w:val="24"/>
        </w:rPr>
      </w:pPr>
      <w:r>
        <w:rPr>
          <w:color w:val="000000"/>
          <w:sz w:val="24"/>
          <w:szCs w:val="24"/>
        </w:rPr>
        <w:t>注：1.上表中的股票投资项含可退替代款估值增值，而5.2的合计项不含可退替代款估值增值。</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2.本基金本报告期末融出证券市值为28,035,753.00元，占净值比例1.92%。</w:t>
      </w:r>
    </w:p>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tbl>
      <w:tblPr>
        <w:tblW w:type="dxa" w:w="8789"/>
        <w:tblInd w:type="dxa" w:w="-13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709"/>
        <w:gridCol w:w="3544"/>
        <w:gridCol w:w="2977"/>
        <w:gridCol w:w="1559"/>
      </w:tblGrid>
      <w:tr w:rsidR="008C2A4F" w:rsidRPr="008C2A4F" w:rsidTr="003B5535">
        <w:trPr>
          <w:trHeight w:val="390"/>
        </w:trPr>
        <w:tc>
          <w:tcPr>
            <w:tcW w:type="dxa" w:w="709"/>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代码</w:t>
            </w: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行业类别</w:t>
            </w:r>
          </w:p>
        </w:tc>
        <w:tc>
          <w:tcPr>
            <w:tcW w:type="dxa" w:w="2977"/>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公允价值（元）</w:t>
            </w:r>
          </w:p>
        </w:tc>
        <w:tc>
          <w:tcPr>
            <w:tcW w:type="dxa" w:w="155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占基金资产净值比例（％）</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A</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农、林、牧、渔业</w:t>
            </w:r>
          </w:p>
        </w:tc>
        <w:tc>
          <w:tcPr>
            <w:tcW w:type="dxa" w:w="2977"/>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B</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采矿业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171,359,011.16</w:t>
            </w:r>
          </w:p>
          <w:p w:rsidP="003328D9" w:rsidR="008C2A4F" w:rsidRDefault="008C2A4F" w:rsidRPr="008C2A4F">
            <w:pPr>
              <w:jc w:val="right"/>
              <w:rPr>
                <w:rFonts w:eastAsiaTheme="minorEastAsia"/>
                <w:color w:themeColor="text1" w:val="000000"/>
                <w:kern w:val="0"/>
                <w:sz w:val="24"/>
                <w:szCs w:val="24"/>
              </w:rPr>
            </w:pP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11.74</w:t>
            </w:r>
          </w:p>
          <w:p w:rsidP="003328D9" w:rsidR="008C2A4F" w:rsidRDefault="008C2A4F" w:rsidRPr="008C2A4F">
            <w:pPr>
              <w:jc w:val="right"/>
              <w:rPr>
                <w:rFonts w:eastAsiaTheme="minorEastAsia"/>
                <w:color w:themeColor="text1" w:val="000000"/>
                <w:kern w:val="0"/>
                <w:sz w:val="24"/>
                <w:szCs w:val="24"/>
              </w:rPr>
            </w:pP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C</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制造业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684,775,982.72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46.91</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D</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电力、热力、燃气及水生产和供应业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126,823,800.80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8.69</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E</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建筑业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185,203,283.53</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12.69</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F</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批发和零售业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49,274,862.15</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3.38</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G</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交通运输、仓储和邮政业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147,879,232.94</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10.13</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H</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住宿和餐饮业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I</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信息传输、软件和信息技术服务业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49,289,123.12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3.38</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J</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金融业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K</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房地产业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L</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租赁和商务服务业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19,479,033.57</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1.33</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M</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科学研究和技术服务业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N</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水利、环境和公共设施管理业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179,547.13</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0.01</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O</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居民服务、修理和其他服务业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P</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教育</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lastRenderedPageBreak/>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Q</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卫生和社会工作</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R</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文化、体育和娱乐业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S</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综合</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合计</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1,434,263,877.12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98.25</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tbl>
      <w:tblPr>
        <w:tblW w:type="dxa" w:w="8789"/>
        <w:tblInd w:type="dxa" w:w="-176"/>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1276"/>
        <w:gridCol w:w="1418"/>
        <w:gridCol w:w="1701"/>
        <w:gridCol w:w="1984"/>
        <w:gridCol w:w="1559"/>
      </w:tblGrid>
      <w:tr w:rsidR="00750D48" w:rsidRPr="00264E55" w:rsidTr="00191BDE">
        <w:tc>
          <w:tcPr>
            <w:tcW w:type="dxa" w:w="851"/>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股票代码</w:t>
            </w:r>
          </w:p>
        </w:tc>
        <w:tc>
          <w:tcPr>
            <w:tcW w:type="dxa" w:w="1418"/>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股票名称</w:t>
            </w:r>
          </w:p>
        </w:tc>
        <w:tc>
          <w:tcPr>
            <w:tcW w:type="dxa" w:w="1701"/>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（股）</w:t>
            </w:r>
          </w:p>
        </w:tc>
        <w:tc>
          <w:tcPr>
            <w:tcW w:type="dxa" w:w="1984"/>
            <w:vAlign w:val="center"/>
          </w:tcPr>
          <w:p w:rsidP="005F7917"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559"/>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600309</w:t>
            </w:r>
          </w:p>
        </w:tc>
        <w:tc>
          <w:tcPr>
            <w:vAlign w:val="center"/>
          </w:tcPr>
          <w:p>
            <w:pPr>
              <w:jc w:val="center"/>
            </w:pPr>
            <w:r>
              <w:rPr>
                <w:color w:val="000000"/>
                <w:kern w:val="0"/>
                <w:sz w:val="24"/>
                <w:szCs w:val="24"/>
              </w:rPr>
              <w:t>万华化学</w:t>
            </w:r>
          </w:p>
        </w:tc>
        <w:tc>
          <w:tcPr>
            <w:vAlign w:val="center"/>
          </w:tcPr>
          <w:p>
            <w:pPr>
              <w:jc w:val="right"/>
            </w:pPr>
            <w:r>
              <w:rPr>
                <w:color w:val="000000"/>
                <w:kern w:val="0"/>
                <w:sz w:val="24"/>
                <w:szCs w:val="24"/>
              </w:rPr>
              <w:t>813,941</w:t>
            </w:r>
          </w:p>
        </w:tc>
        <w:tc>
          <w:tcPr>
            <w:vAlign w:val="center"/>
          </w:tcPr>
          <w:p>
            <w:pPr>
              <w:jc w:val="right"/>
            </w:pPr>
            <w:r>
              <w:rPr>
                <w:color w:val="000000"/>
                <w:kern w:val="0"/>
                <w:sz w:val="24"/>
                <w:szCs w:val="24"/>
              </w:rPr>
              <w:t>40,688,910.59</w:t>
            </w:r>
          </w:p>
        </w:tc>
        <w:tc>
          <w:tcPr>
            <w:vAlign w:val="center"/>
          </w:tcPr>
          <w:p>
            <w:pPr>
              <w:jc w:val="right"/>
            </w:pPr>
            <w:r>
              <w:rPr>
                <w:color w:val="000000"/>
                <w:kern w:val="0"/>
                <w:sz w:val="24"/>
                <w:szCs w:val="24"/>
              </w:rPr>
              <w:t>2.79</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600019</w:t>
            </w:r>
          </w:p>
        </w:tc>
        <w:tc>
          <w:tcPr>
            <w:vAlign w:val="center"/>
          </w:tcPr>
          <w:p>
            <w:pPr>
              <w:jc w:val="center"/>
            </w:pPr>
            <w:r>
              <w:rPr>
                <w:color w:val="000000"/>
                <w:kern w:val="0"/>
                <w:sz w:val="24"/>
                <w:szCs w:val="24"/>
              </w:rPr>
              <w:t>宝钢股份</w:t>
            </w:r>
          </w:p>
        </w:tc>
        <w:tc>
          <w:tcPr>
            <w:vAlign w:val="center"/>
          </w:tcPr>
          <w:p>
            <w:pPr>
              <w:jc w:val="right"/>
            </w:pPr>
            <w:r>
              <w:rPr>
                <w:color w:val="000000"/>
                <w:kern w:val="0"/>
                <w:sz w:val="24"/>
                <w:szCs w:val="24"/>
              </w:rPr>
              <w:t>8,242,351</w:t>
            </w:r>
          </w:p>
        </w:tc>
        <w:tc>
          <w:tcPr>
            <w:vAlign w:val="center"/>
          </w:tcPr>
          <w:p>
            <w:pPr>
              <w:jc w:val="right"/>
            </w:pPr>
            <w:r>
              <w:rPr>
                <w:color w:val="000000"/>
                <w:kern w:val="0"/>
                <w:sz w:val="24"/>
                <w:szCs w:val="24"/>
              </w:rPr>
              <w:t>37,585,120.56</w:t>
            </w:r>
          </w:p>
        </w:tc>
        <w:tc>
          <w:tcPr>
            <w:vAlign w:val="center"/>
          </w:tcPr>
          <w:p>
            <w:pPr>
              <w:jc w:val="right"/>
            </w:pPr>
            <w:r>
              <w:rPr>
                <w:color w:val="000000"/>
                <w:kern w:val="0"/>
                <w:sz w:val="24"/>
                <w:szCs w:val="24"/>
              </w:rPr>
              <w:t>2.57</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600028</w:t>
            </w:r>
          </w:p>
        </w:tc>
        <w:tc>
          <w:tcPr>
            <w:vAlign w:val="center"/>
          </w:tcPr>
          <w:p>
            <w:pPr>
              <w:jc w:val="center"/>
            </w:pPr>
            <w:r>
              <w:rPr>
                <w:color w:val="000000"/>
                <w:kern w:val="0"/>
                <w:sz w:val="24"/>
                <w:szCs w:val="24"/>
              </w:rPr>
              <w:t>中国石化</w:t>
            </w:r>
          </w:p>
        </w:tc>
        <w:tc>
          <w:tcPr>
            <w:vAlign w:val="center"/>
          </w:tcPr>
          <w:p>
            <w:pPr>
              <w:jc w:val="right"/>
            </w:pPr>
            <w:r>
              <w:rPr>
                <w:color w:val="000000"/>
                <w:kern w:val="0"/>
                <w:sz w:val="24"/>
                <w:szCs w:val="24"/>
              </w:rPr>
              <w:t>8,654,020</w:t>
            </w:r>
          </w:p>
        </w:tc>
        <w:tc>
          <w:tcPr>
            <w:vAlign w:val="center"/>
          </w:tcPr>
          <w:p>
            <w:pPr>
              <w:jc w:val="right"/>
            </w:pPr>
            <w:r>
              <w:rPr>
                <w:color w:val="000000"/>
                <w:kern w:val="0"/>
                <w:sz w:val="24"/>
                <w:szCs w:val="24"/>
              </w:rPr>
              <w:t>33,837,218.20</w:t>
            </w:r>
          </w:p>
        </w:tc>
        <w:tc>
          <w:tcPr>
            <w:vAlign w:val="center"/>
          </w:tcPr>
          <w:p>
            <w:pPr>
              <w:jc w:val="right"/>
            </w:pPr>
            <w:r>
              <w:rPr>
                <w:color w:val="000000"/>
                <w:kern w:val="0"/>
                <w:sz w:val="24"/>
                <w:szCs w:val="24"/>
              </w:rPr>
              <w:t>2.32</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600887</w:t>
            </w:r>
          </w:p>
        </w:tc>
        <w:tc>
          <w:tcPr>
            <w:vAlign w:val="center"/>
          </w:tcPr>
          <w:p>
            <w:pPr>
              <w:jc w:val="center"/>
            </w:pPr>
            <w:r>
              <w:rPr>
                <w:color w:val="000000"/>
                <w:kern w:val="0"/>
                <w:sz w:val="24"/>
                <w:szCs w:val="24"/>
              </w:rPr>
              <w:t>伊利股份</w:t>
            </w:r>
          </w:p>
        </w:tc>
        <w:tc>
          <w:tcPr>
            <w:vAlign w:val="center"/>
          </w:tcPr>
          <w:p>
            <w:pPr>
              <w:jc w:val="right"/>
            </w:pPr>
            <w:r>
              <w:rPr>
                <w:color w:val="000000"/>
                <w:kern w:val="0"/>
                <w:sz w:val="24"/>
                <w:szCs w:val="24"/>
              </w:rPr>
              <w:t>1,063,284</w:t>
            </w:r>
          </w:p>
        </w:tc>
        <w:tc>
          <w:tcPr>
            <w:vAlign w:val="center"/>
          </w:tcPr>
          <w:p>
            <w:pPr>
              <w:jc w:val="right"/>
            </w:pPr>
            <w:r>
              <w:rPr>
                <w:color w:val="000000"/>
                <w:kern w:val="0"/>
                <w:sz w:val="24"/>
                <w:szCs w:val="24"/>
              </w:rPr>
              <w:t>33,100,030.92</w:t>
            </w:r>
          </w:p>
        </w:tc>
        <w:tc>
          <w:tcPr>
            <w:vAlign w:val="center"/>
          </w:tcPr>
          <w:p>
            <w:pPr>
              <w:jc w:val="right"/>
            </w:pPr>
            <w:r>
              <w:rPr>
                <w:color w:val="000000"/>
                <w:kern w:val="0"/>
                <w:sz w:val="24"/>
                <w:szCs w:val="24"/>
              </w:rPr>
              <w:t>2.27</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600104</w:t>
            </w:r>
          </w:p>
        </w:tc>
        <w:tc>
          <w:tcPr>
            <w:vAlign w:val="center"/>
          </w:tcPr>
          <w:p>
            <w:pPr>
              <w:jc w:val="center"/>
            </w:pPr>
            <w:r>
              <w:rPr>
                <w:color w:val="000000"/>
                <w:kern w:val="0"/>
                <w:sz w:val="24"/>
                <w:szCs w:val="24"/>
              </w:rPr>
              <w:t>上汽集团</w:t>
            </w:r>
          </w:p>
        </w:tc>
        <w:tc>
          <w:tcPr>
            <w:vAlign w:val="center"/>
          </w:tcPr>
          <w:p>
            <w:pPr>
              <w:jc w:val="right"/>
            </w:pPr>
            <w:r>
              <w:rPr>
                <w:color w:val="000000"/>
                <w:kern w:val="0"/>
                <w:sz w:val="24"/>
                <w:szCs w:val="24"/>
              </w:rPr>
              <w:t>1,901,787</w:t>
            </w:r>
          </w:p>
        </w:tc>
        <w:tc>
          <w:tcPr>
            <w:vAlign w:val="center"/>
          </w:tcPr>
          <w:p>
            <w:pPr>
              <w:jc w:val="right"/>
            </w:pPr>
            <w:r>
              <w:rPr>
                <w:color w:val="000000"/>
                <w:kern w:val="0"/>
                <w:sz w:val="24"/>
                <w:szCs w:val="24"/>
              </w:rPr>
              <w:t>32,311,361.13</w:t>
            </w:r>
          </w:p>
        </w:tc>
        <w:tc>
          <w:tcPr>
            <w:vAlign w:val="center"/>
          </w:tcPr>
          <w:p>
            <w:pPr>
              <w:jc w:val="right"/>
            </w:pPr>
            <w:r>
              <w:rPr>
                <w:color w:val="000000"/>
                <w:kern w:val="0"/>
                <w:sz w:val="24"/>
                <w:szCs w:val="24"/>
              </w:rPr>
              <w:t>2.21</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002415</w:t>
            </w:r>
          </w:p>
        </w:tc>
        <w:tc>
          <w:tcPr>
            <w:vAlign w:val="center"/>
          </w:tcPr>
          <w:p>
            <w:pPr>
              <w:jc w:val="center"/>
            </w:pPr>
            <w:r>
              <w:rPr>
                <w:color w:val="000000"/>
                <w:kern w:val="0"/>
                <w:sz w:val="24"/>
                <w:szCs w:val="24"/>
              </w:rPr>
              <w:t>海康威视</w:t>
            </w:r>
          </w:p>
        </w:tc>
        <w:tc>
          <w:tcPr>
            <w:vAlign w:val="center"/>
          </w:tcPr>
          <w:p>
            <w:pPr>
              <w:jc w:val="right"/>
            </w:pPr>
            <w:r>
              <w:rPr>
                <w:color w:val="000000"/>
                <w:kern w:val="0"/>
                <w:sz w:val="24"/>
                <w:szCs w:val="24"/>
              </w:rPr>
              <w:t>1,060,274</w:t>
            </w:r>
          </w:p>
        </w:tc>
        <w:tc>
          <w:tcPr>
            <w:vAlign w:val="center"/>
          </w:tcPr>
          <w:p>
            <w:pPr>
              <w:jc w:val="right"/>
            </w:pPr>
            <w:r>
              <w:rPr>
                <w:color w:val="000000"/>
                <w:kern w:val="0"/>
                <w:sz w:val="24"/>
                <w:szCs w:val="24"/>
              </w:rPr>
              <w:t>32,179,315.90</w:t>
            </w:r>
          </w:p>
        </w:tc>
        <w:tc>
          <w:tcPr>
            <w:vAlign w:val="center"/>
          </w:tcPr>
          <w:p>
            <w:pPr>
              <w:jc w:val="right"/>
            </w:pPr>
            <w:r>
              <w:rPr>
                <w:color w:val="000000"/>
                <w:kern w:val="0"/>
                <w:sz w:val="24"/>
                <w:szCs w:val="24"/>
              </w:rPr>
              <w:t>2.20</w:t>
            </w:r>
          </w:p>
        </w:tc>
      </w:tr>
      <w:tr>
        <w:tc>
          <w:tcPr>
            <w:vAlign w:val="center"/>
          </w:tcPr>
          <w:p>
            <w:pPr>
              <w:jc w:val="center"/>
            </w:pPr>
            <w:r>
              <w:rPr>
                <w:color w:val="000000"/>
                <w:kern w:val="0"/>
                <w:sz w:val="24"/>
                <w:szCs w:val="24"/>
              </w:rPr>
              <w:t>7</w:t>
            </w:r>
          </w:p>
        </w:tc>
        <w:tc>
          <w:tcPr>
            <w:vAlign w:val="center"/>
          </w:tcPr>
          <w:p>
            <w:pPr>
              <w:jc w:val="center"/>
            </w:pPr>
            <w:r>
              <w:rPr>
                <w:color w:val="000000"/>
                <w:kern w:val="0"/>
                <w:sz w:val="24"/>
                <w:szCs w:val="24"/>
              </w:rPr>
              <w:t>600188</w:t>
            </w:r>
          </w:p>
        </w:tc>
        <w:tc>
          <w:tcPr>
            <w:vAlign w:val="center"/>
          </w:tcPr>
          <w:p>
            <w:pPr>
              <w:jc w:val="center"/>
            </w:pPr>
            <w:r>
              <w:rPr>
                <w:color w:val="000000"/>
                <w:kern w:val="0"/>
                <w:sz w:val="24"/>
                <w:szCs w:val="24"/>
              </w:rPr>
              <w:t>兖州煤业</w:t>
            </w:r>
          </w:p>
        </w:tc>
        <w:tc>
          <w:tcPr>
            <w:vAlign w:val="center"/>
          </w:tcPr>
          <w:p>
            <w:pPr>
              <w:jc w:val="right"/>
            </w:pPr>
            <w:r>
              <w:rPr>
                <w:color w:val="000000"/>
                <w:kern w:val="0"/>
                <w:sz w:val="24"/>
                <w:szCs w:val="24"/>
              </w:rPr>
              <w:t>3,557,106</w:t>
            </w:r>
          </w:p>
        </w:tc>
        <w:tc>
          <w:tcPr>
            <w:vAlign w:val="center"/>
          </w:tcPr>
          <w:p>
            <w:pPr>
              <w:jc w:val="right"/>
            </w:pPr>
            <w:r>
              <w:rPr>
                <w:color w:val="000000"/>
                <w:kern w:val="0"/>
                <w:sz w:val="24"/>
                <w:szCs w:val="24"/>
              </w:rPr>
              <w:t>31,160,248.56</w:t>
            </w:r>
          </w:p>
        </w:tc>
        <w:tc>
          <w:tcPr>
            <w:vAlign w:val="center"/>
          </w:tcPr>
          <w:p>
            <w:pPr>
              <w:jc w:val="right"/>
            </w:pPr>
            <w:r>
              <w:rPr>
                <w:color w:val="000000"/>
                <w:kern w:val="0"/>
                <w:sz w:val="24"/>
                <w:szCs w:val="24"/>
              </w:rPr>
              <w:t>2.13</w:t>
            </w:r>
          </w:p>
        </w:tc>
      </w:tr>
      <w:tr>
        <w:tc>
          <w:tcPr>
            <w:vAlign w:val="center"/>
          </w:tcPr>
          <w:p>
            <w:pPr>
              <w:jc w:val="center"/>
            </w:pPr>
            <w:r>
              <w:rPr>
                <w:color w:val="000000"/>
                <w:kern w:val="0"/>
                <w:sz w:val="24"/>
                <w:szCs w:val="24"/>
              </w:rPr>
              <w:t>8</w:t>
            </w:r>
          </w:p>
        </w:tc>
        <w:tc>
          <w:tcPr>
            <w:vAlign w:val="center"/>
          </w:tcPr>
          <w:p>
            <w:pPr>
              <w:jc w:val="center"/>
            </w:pPr>
            <w:r>
              <w:rPr>
                <w:color w:val="000000"/>
                <w:kern w:val="0"/>
                <w:sz w:val="24"/>
                <w:szCs w:val="24"/>
              </w:rPr>
              <w:t>601088</w:t>
            </w:r>
          </w:p>
        </w:tc>
        <w:tc>
          <w:tcPr>
            <w:vAlign w:val="center"/>
          </w:tcPr>
          <w:p>
            <w:pPr>
              <w:jc w:val="center"/>
            </w:pPr>
            <w:r>
              <w:rPr>
                <w:color w:val="000000"/>
                <w:kern w:val="0"/>
                <w:sz w:val="24"/>
                <w:szCs w:val="24"/>
              </w:rPr>
              <w:t>中国神华</w:t>
            </w:r>
          </w:p>
        </w:tc>
        <w:tc>
          <w:tcPr>
            <w:vAlign w:val="center"/>
          </w:tcPr>
          <w:p>
            <w:pPr>
              <w:jc w:val="right"/>
            </w:pPr>
            <w:r>
              <w:rPr>
                <w:color w:val="000000"/>
                <w:kern w:val="0"/>
                <w:sz w:val="24"/>
                <w:szCs w:val="24"/>
              </w:rPr>
              <w:t>2,090,413</w:t>
            </w:r>
          </w:p>
        </w:tc>
        <w:tc>
          <w:tcPr>
            <w:vAlign w:val="center"/>
          </w:tcPr>
          <w:p>
            <w:pPr>
              <w:jc w:val="right"/>
            </w:pPr>
            <w:r>
              <w:rPr>
                <w:color w:val="000000"/>
                <w:kern w:val="0"/>
                <w:sz w:val="24"/>
                <w:szCs w:val="24"/>
              </w:rPr>
              <w:t>30,018,330.68</w:t>
            </w:r>
          </w:p>
        </w:tc>
        <w:tc>
          <w:tcPr>
            <w:vAlign w:val="center"/>
          </w:tcPr>
          <w:p>
            <w:pPr>
              <w:jc w:val="right"/>
            </w:pPr>
            <w:r>
              <w:rPr>
                <w:color w:val="000000"/>
                <w:kern w:val="0"/>
                <w:sz w:val="24"/>
                <w:szCs w:val="24"/>
              </w:rPr>
              <w:t>2.06</w:t>
            </w:r>
          </w:p>
        </w:tc>
      </w:tr>
      <w:tr>
        <w:tc>
          <w:tcPr>
            <w:vAlign w:val="center"/>
          </w:tcPr>
          <w:p>
            <w:pPr>
              <w:jc w:val="center"/>
            </w:pPr>
            <w:r>
              <w:rPr>
                <w:color w:val="000000"/>
                <w:kern w:val="0"/>
                <w:sz w:val="24"/>
                <w:szCs w:val="24"/>
              </w:rPr>
              <w:t>9</w:t>
            </w:r>
          </w:p>
        </w:tc>
        <w:tc>
          <w:tcPr>
            <w:vAlign w:val="center"/>
          </w:tcPr>
          <w:p>
            <w:pPr>
              <w:jc w:val="center"/>
            </w:pPr>
            <w:r>
              <w:rPr>
                <w:color w:val="000000"/>
                <w:kern w:val="0"/>
                <w:sz w:val="24"/>
                <w:szCs w:val="24"/>
              </w:rPr>
              <w:t>601668</w:t>
            </w:r>
          </w:p>
        </w:tc>
        <w:tc>
          <w:tcPr>
            <w:vAlign w:val="center"/>
          </w:tcPr>
          <w:p>
            <w:pPr>
              <w:jc w:val="center"/>
            </w:pPr>
            <w:r>
              <w:rPr>
                <w:color w:val="000000"/>
                <w:kern w:val="0"/>
                <w:sz w:val="24"/>
                <w:szCs w:val="24"/>
              </w:rPr>
              <w:t>中国建筑</w:t>
            </w:r>
          </w:p>
        </w:tc>
        <w:tc>
          <w:tcPr>
            <w:vAlign w:val="center"/>
          </w:tcPr>
          <w:p>
            <w:pPr>
              <w:jc w:val="right"/>
            </w:pPr>
            <w:r>
              <w:rPr>
                <w:color w:val="000000"/>
                <w:kern w:val="0"/>
                <w:sz w:val="24"/>
                <w:szCs w:val="24"/>
              </w:rPr>
              <w:t>6,201,500</w:t>
            </w:r>
          </w:p>
        </w:tc>
        <w:tc>
          <w:tcPr>
            <w:vAlign w:val="center"/>
          </w:tcPr>
          <w:p>
            <w:pPr>
              <w:jc w:val="right"/>
            </w:pPr>
            <w:r>
              <w:rPr>
                <w:color w:val="000000"/>
                <w:kern w:val="0"/>
                <w:sz w:val="24"/>
                <w:szCs w:val="24"/>
              </w:rPr>
              <w:t>29,581,155.00</w:t>
            </w:r>
          </w:p>
        </w:tc>
        <w:tc>
          <w:tcPr>
            <w:vAlign w:val="center"/>
          </w:tcPr>
          <w:p>
            <w:pPr>
              <w:jc w:val="right"/>
            </w:pPr>
            <w:r>
              <w:rPr>
                <w:color w:val="000000"/>
                <w:kern w:val="0"/>
                <w:sz w:val="24"/>
                <w:szCs w:val="24"/>
              </w:rPr>
              <w:t>2.03</w:t>
            </w:r>
          </w:p>
        </w:tc>
      </w:tr>
      <w:tr>
        <w:tc>
          <w:tcPr>
            <w:vAlign w:val="center"/>
          </w:tcPr>
          <w:p>
            <w:pPr>
              <w:jc w:val="center"/>
            </w:pPr>
            <w:r>
              <w:rPr>
                <w:color w:val="000000"/>
                <w:kern w:val="0"/>
                <w:sz w:val="24"/>
                <w:szCs w:val="24"/>
              </w:rPr>
              <w:t>10</w:t>
            </w:r>
          </w:p>
        </w:tc>
        <w:tc>
          <w:tcPr>
            <w:vAlign w:val="center"/>
          </w:tcPr>
          <w:p>
            <w:pPr>
              <w:jc w:val="center"/>
            </w:pPr>
            <w:r>
              <w:rPr>
                <w:color w:val="000000"/>
                <w:kern w:val="0"/>
                <w:sz w:val="24"/>
                <w:szCs w:val="24"/>
              </w:rPr>
              <w:t>000338</w:t>
            </w:r>
          </w:p>
        </w:tc>
        <w:tc>
          <w:tcPr>
            <w:vAlign w:val="center"/>
          </w:tcPr>
          <w:p>
            <w:pPr>
              <w:jc w:val="center"/>
            </w:pPr>
            <w:r>
              <w:rPr>
                <w:color w:val="000000"/>
                <w:kern w:val="0"/>
                <w:sz w:val="24"/>
                <w:szCs w:val="24"/>
              </w:rPr>
              <w:t>潍柴动力</w:t>
            </w:r>
          </w:p>
        </w:tc>
        <w:tc>
          <w:tcPr>
            <w:vAlign w:val="center"/>
          </w:tcPr>
          <w:p>
            <w:pPr>
              <w:jc w:val="right"/>
            </w:pPr>
            <w:r>
              <w:rPr>
                <w:color w:val="000000"/>
                <w:kern w:val="0"/>
                <w:sz w:val="24"/>
                <w:szCs w:val="24"/>
              </w:rPr>
              <w:t>2,001,009</w:t>
            </w:r>
          </w:p>
        </w:tc>
        <w:tc>
          <w:tcPr>
            <w:vAlign w:val="center"/>
          </w:tcPr>
          <w:p>
            <w:pPr>
              <w:jc w:val="right"/>
            </w:pPr>
            <w:r>
              <w:rPr>
                <w:color w:val="000000"/>
                <w:kern w:val="0"/>
                <w:sz w:val="24"/>
                <w:szCs w:val="24"/>
              </w:rPr>
              <w:t>27,453,843.48</w:t>
            </w:r>
          </w:p>
        </w:tc>
        <w:tc>
          <w:tcPr>
            <w:vAlign w:val="center"/>
          </w:tcPr>
          <w:p>
            <w:pPr>
              <w:jc w:val="right"/>
            </w:pPr>
            <w:r>
              <w:rPr>
                <w:color w:val="000000"/>
                <w:kern w:val="0"/>
                <w:sz w:val="24"/>
                <w:szCs w:val="24"/>
              </w:rPr>
              <w:t>1.88</w:t>
            </w:r>
          </w:p>
        </w:tc>
      </w:tr>
    </w:tbl>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p w:rsidP="00403A06" w:rsidR="00750D48" w:rsidRDefault="00CA4677"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本基金本报告期末未持有债券。</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本基金本报告期末未持有债券。</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本基金本报告期末未持有资产支持证券。</w:t>
      </w:r>
    </w:p>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277FAE">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2019年8月7日，江西省交通建设工程质量监督管理局对中国建筑股份有限公司违反交通法规的行为罚款五万元。</w:t>
      </w:r>
    </w:p>
    <w:p>
      <w:pPr>
        <w:spacing w:line="360" w:lineRule="auto"/>
        <w:rPr>
          <w:rFonts w:ascii="宋体" w:hAnsi="宋体"/>
          <w:color w:val="000000"/>
          <w:sz w:val="24"/>
          <w:szCs w:val="24"/>
        </w:rPr>
      </w:pPr>
      <w:r>
        <w:rPr>
          <w:rFonts w:ascii="宋体" w:hAnsi="宋体"/>
          <w:color w:val="000000"/>
          <w:sz w:val="24"/>
          <w:szCs w:val="24"/>
        </w:rPr>
        <w:t>2019年9月28日，深圳市住房和建设局对中国建筑股份有限公司违反“《中华人民共和国安全生产法》第三十八条第一款”的行为作出罚款50000元的处罚。</w:t>
      </w:r>
    </w:p>
    <w:p>
      <w:pPr>
        <w:spacing w:line="360" w:lineRule="auto"/>
        <w:rPr>
          <w:rFonts w:ascii="宋体" w:hAnsi="宋体"/>
          <w:color w:val="000000"/>
          <w:sz w:val="24"/>
          <w:szCs w:val="24"/>
        </w:rPr>
      </w:pPr>
      <w:r>
        <w:rPr>
          <w:rFonts w:ascii="宋体" w:hAnsi="宋体"/>
          <w:color w:val="000000"/>
          <w:sz w:val="24"/>
          <w:szCs w:val="24"/>
        </w:rPr>
        <w:t>2019年11月4日，国家税务总局北京市海淀区税务局对中国建筑股份有限公司未依法履行职责的行为进行罚款。</w:t>
      </w:r>
    </w:p>
    <w:p>
      <w:pPr>
        <w:spacing w:line="360" w:lineRule="auto"/>
        <w:rPr>
          <w:rFonts w:ascii="宋体" w:hAnsi="宋体"/>
          <w:color w:val="000000"/>
          <w:sz w:val="24"/>
          <w:szCs w:val="24"/>
        </w:rPr>
      </w:pPr>
      <w:r>
        <w:rPr>
          <w:rFonts w:ascii="宋体" w:hAnsi="宋体"/>
          <w:color w:val="000000"/>
          <w:sz w:val="24"/>
          <w:szCs w:val="24"/>
        </w:rPr>
        <w:t>2020年3月19日，西安市人力资源和社会保障局对中国建筑股份有限公司违反“《西安市农民工工资保障办法》第二十三条第一项”的行为作出罚款10000元的处罚。</w:t>
      </w:r>
    </w:p>
    <w:p>
      <w:pPr>
        <w:spacing w:line="360" w:lineRule="auto"/>
        <w:rPr>
          <w:rFonts w:ascii="宋体" w:hAnsi="宋体"/>
          <w:color w:val="000000"/>
          <w:sz w:val="24"/>
          <w:szCs w:val="24"/>
        </w:rPr>
      </w:pPr>
      <w:r>
        <w:rPr>
          <w:rFonts w:ascii="宋体" w:hAnsi="宋体"/>
          <w:color w:val="000000"/>
          <w:sz w:val="24"/>
          <w:szCs w:val="24"/>
        </w:rPr>
        <w:t>2020年5月7日，江西省交通建设工程质量监督管理局对中国建筑股份有限公司 “中国建筑股份有限公司井冈山航电枢纽工程项目A1合同段从事电焊作业的陈子高未按照国家有关规定经专门的安全作业培训取得相应特种作业资格”的行为罚款2万元。</w:t>
      </w:r>
    </w:p>
    <w:p>
      <w:pPr>
        <w:spacing w:line="360" w:lineRule="auto"/>
        <w:rPr>
          <w:rFonts w:ascii="宋体" w:hAnsi="宋体"/>
          <w:color w:val="000000"/>
          <w:sz w:val="24"/>
          <w:szCs w:val="24"/>
        </w:rPr>
      </w:pPr>
      <w:r>
        <w:rPr>
          <w:rFonts w:ascii="宋体" w:hAnsi="宋体"/>
          <w:color w:val="000000"/>
          <w:sz w:val="24"/>
          <w:szCs w:val="24"/>
        </w:rPr>
        <w:t>本基金为指数型基金，上述股票系标的指数成份股，上述股票的投资决策程序符合公司投资制度的规定。除中国建筑外，本基金投资的前十名证券的发行主体本期没有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本基金投资的前十名股票没有超出基金合同规定的备选股票库。</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1,351,121.88</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3,747,975.42</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60,963.00</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15,403.42</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75,409.89</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5,250,873.61</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本基金本报告期末未持有处于转股期的可转换债券。</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083"/>
        <w:gridCol w:w="1302"/>
        <w:gridCol w:w="1301"/>
        <w:gridCol w:w="1805"/>
        <w:gridCol w:w="1655"/>
        <w:gridCol w:w="1367"/>
      </w:tblGrid>
      <w:tr w:rsidR="00750D48" w:rsidRPr="00264E55" w:rsidTr="00B05049">
        <w:tc>
          <w:tcPr>
            <w:tcW w:type="dxa" w:w="1083"/>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序号</w:t>
            </w:r>
          </w:p>
        </w:tc>
        <w:tc>
          <w:tcPr>
            <w:tcW w:type="dxa" w:w="1302"/>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股票代码</w:t>
            </w:r>
          </w:p>
        </w:tc>
        <w:tc>
          <w:tcPr>
            <w:tcW w:type="dxa" w:w="1301"/>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股票名称</w:t>
            </w:r>
          </w:p>
        </w:tc>
        <w:tc>
          <w:tcPr>
            <w:tcW w:type="dxa" w:w="1805"/>
            <w:vAlign w:val="center"/>
          </w:tcPr>
          <w:p w:rsidP="005F7917"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流通受限部分的公允价值</w:t>
            </w:r>
            <w:r w:rsidR="005F7917" w:rsidRPr="00B227EA">
              <w:rPr>
                <w:color w:val="000000"/>
                <w:kern w:val="0"/>
                <w:sz w:val="24"/>
                <w:szCs w:val="24"/>
              </w:rPr>
              <w:t>（元）</w:t>
            </w:r>
          </w:p>
        </w:tc>
        <w:tc>
          <w:tcPr>
            <w:tcW w:type="dxa" w:w="1655"/>
            <w:vAlign w:val="center"/>
          </w:tcPr>
          <w:p w:rsidP="005F7917"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占基金资产净值比例</w:t>
            </w:r>
            <w:r w:rsidR="005F7917" w:rsidRPr="00B227EA">
              <w:rPr>
                <w:color w:val="000000"/>
                <w:kern w:val="0"/>
                <w:sz w:val="24"/>
                <w:szCs w:val="24"/>
              </w:rPr>
              <w:t>（</w:t>
            </w:r>
            <w:r w:rsidR="005F7917" w:rsidRPr="00B227EA">
              <w:rPr>
                <w:color w:val="000000"/>
                <w:kern w:val="0"/>
                <w:sz w:val="24"/>
                <w:szCs w:val="24"/>
              </w:rPr>
              <w:t>%</w:t>
            </w:r>
            <w:r w:rsidR="005F7917" w:rsidRPr="00B227EA">
              <w:rPr>
                <w:color w:val="000000"/>
                <w:kern w:val="0"/>
                <w:sz w:val="24"/>
                <w:szCs w:val="24"/>
              </w:rPr>
              <w:t>）</w:t>
            </w:r>
          </w:p>
        </w:tc>
        <w:tc>
          <w:tcPr>
            <w:tcW w:type="dxa" w:w="1367"/>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流通受限情况说明</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600028</w:t>
            </w:r>
          </w:p>
        </w:tc>
        <w:tc>
          <w:tcPr>
            <w:vAlign w:val="center"/>
          </w:tcPr>
          <w:p>
            <w:pPr>
              <w:jc w:val="center"/>
            </w:pPr>
            <w:r>
              <w:rPr>
                <w:color w:val="000000"/>
                <w:kern w:val="0"/>
                <w:sz w:val="24"/>
                <w:szCs w:val="24"/>
              </w:rPr>
              <w:t>中国石化</w:t>
            </w:r>
          </w:p>
        </w:tc>
        <w:tc>
          <w:tcPr>
            <w:vAlign w:val="center"/>
          </w:tcPr>
          <w:p>
            <w:pPr>
              <w:jc w:val="right"/>
            </w:pPr>
            <w:r>
              <w:rPr>
                <w:color w:val="000000"/>
                <w:kern w:val="0"/>
                <w:sz w:val="24"/>
                <w:szCs w:val="24"/>
              </w:rPr>
              <w:t>212,313.00</w:t>
            </w:r>
          </w:p>
        </w:tc>
        <w:tc>
          <w:tcPr>
            <w:vAlign w:val="center"/>
          </w:tcPr>
          <w:p>
            <w:pPr>
              <w:jc w:val="right"/>
            </w:pPr>
            <w:r>
              <w:rPr>
                <w:color w:val="000000"/>
                <w:kern w:val="0"/>
                <w:sz w:val="24"/>
                <w:szCs w:val="24"/>
              </w:rPr>
              <w:t>0.01</w:t>
            </w:r>
          </w:p>
        </w:tc>
        <w:tc>
          <w:tcPr>
            <w:vAlign w:val="center"/>
          </w:tcPr>
          <w:p>
            <w:pPr>
              <w:jc w:val="right"/>
            </w:pPr>
            <w:r>
              <w:rPr>
                <w:color w:val="000000"/>
                <w:kern w:val="0"/>
                <w:sz w:val="24"/>
                <w:szCs w:val="24"/>
              </w:rPr>
              <w:t>转融通流通受限</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8,372,294,991.00</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51,000,000.00</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6,781,000,000.00</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1,642,294,991.00</w:t>
            </w:r>
          </w:p>
        </w:tc>
      </w:tr>
    </w:tbl>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232B03" w:rsidR="00750D48" w:rsidRDefault="00AC11B0"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 xml:space="preserve">本报告期内基金管理人未持有本基金份额。 </w:t>
      </w:r>
    </w:p>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xml:space="preserve">本报告期内基金管理人未运用固有资金申购、赎回、买卖本基金份额。 </w:t>
      </w:r>
    </w:p>
    <w:p w:rsidP="004B7A92" w:rsidR="004B7A92" w:rsidRDefault="004B7A92" w:rsidRPr="004B7A92">
      <w:pPr>
        <w:pStyle w:val="1"/>
        <w:spacing w:after="312" w:afterLines="100" w:before="312" w:beforeLines="100" w:line="360" w:lineRule="auto"/>
        <w:jc w:val="center"/>
        <w:rPr>
          <w:rFonts w:ascii="宋体" w:hAnsi="宋体"/>
          <w:color w:val="000000"/>
          <w:kern w:val="0"/>
          <w:sz w:val="24"/>
          <w:szCs w:val="24"/>
        </w:rPr>
      </w:pPr>
      <w:r w:rsidRPr="004B7A92">
        <w:rPr>
          <w:rFonts w:ascii="宋体" w:hAnsi="宋体"/>
          <w:color w:val="000000"/>
          <w:kern w:val="0"/>
          <w:sz w:val="24"/>
          <w:szCs w:val="24"/>
        </w:rPr>
        <w:lastRenderedPageBreak/>
        <w:t/>
      </w:r>
      <w:proofErr w:type="spellStart"/>
      <w:r w:rsidRPr="004B7A92">
        <w:rPr>
          <w:rFonts w:ascii="宋体" w:hAnsi="宋体"/>
          <w:color w:val="000000"/>
          <w:kern w:val="0"/>
          <w:sz w:val="24"/>
          <w:szCs w:val="24"/>
        </w:rPr>
        <w:t/>
      </w:r>
      <w:proofErr w:type="spellEnd"/>
      <w:r w:rsidRPr="004B7A92">
        <w:rPr>
          <w:rFonts w:ascii="宋体" w:hAnsi="宋体"/>
          <w:color w:val="000000"/>
          <w:kern w:val="0"/>
          <w:sz w:val="24"/>
          <w:szCs w:val="24"/>
        </w:rPr>
        <w:t/>
      </w:r>
      <w:r w:rsidR="00013E6E" w:rsidRPr="00264E55">
        <w:rPr>
          <w:rFonts w:ascii="宋体" w:hAnsi="宋体" w:hint="eastAsia"/>
          <w:color w:val="000000"/>
          <w:kern w:val="0"/>
          <w:sz w:val="24"/>
          <w:szCs w:val="24"/>
        </w:rPr>
        <w:t>§</w:t>
      </w:r>
      <w:r w:rsidRPr="004B7A92">
        <w:rPr>
          <w:rFonts w:ascii="宋体" w:hAnsi="宋体"/>
          <w:color w:val="000000"/>
          <w:kern w:val="0"/>
          <w:sz w:val="24"/>
          <w:szCs w:val="24"/>
        </w:rPr>
        <w:t>8</w:t>
      </w:r>
      <w:r w:rsidR="0043199A" w:rsidRPr="00264E55">
        <w:rPr>
          <w:rFonts w:ascii="宋体" w:hAnsi="宋体"/>
          <w:color w:val="000000"/>
          <w:kern w:val="0"/>
          <w:sz w:val="24"/>
          <w:szCs w:val="24"/>
        </w:rPr>
        <w:t xml:space="preserve">  </w:t>
      </w:r>
      <w:r w:rsidRPr="004B7A92">
        <w:rPr>
          <w:rFonts w:ascii="宋体" w:hAnsi="宋体"/>
          <w:color w:val="000000"/>
          <w:kern w:val="0"/>
          <w:sz w:val="24"/>
          <w:szCs w:val="24"/>
        </w:rPr>
        <w:t>影响投资者决策的其他重要信息</w:t>
      </w:r>
    </w:p>
    <w:p w:rsidP="001F5F5D" w:rsidR="001F5F5D" w:rsidRDefault="001F5F5D" w:rsidRPr="001F5F5D">
      <w:pPr>
        <w:autoSpaceDE w:val="0"/>
        <w:autoSpaceDN w:val="0"/>
        <w:adjustRightInd w:val="0"/>
        <w:spacing w:line="360" w:lineRule="auto"/>
        <w:jc w:val="left"/>
        <w:rPr>
          <w:rFonts w:ascii="宋体"/>
          <w:b/>
          <w:bCs/>
          <w:color w:val="000000"/>
          <w:kern w:val="0"/>
          <w:sz w:val="24"/>
          <w:szCs w:val="24"/>
        </w:rPr>
      </w:pPr>
      <w:r w:rsidRPr="001F5F5D">
        <w:rPr>
          <w:rFonts w:ascii="宋体"/>
          <w:b/>
          <w:bCs/>
          <w:color w:val="000000"/>
          <w:kern w:val="0"/>
          <w:sz w:val="24"/>
          <w:szCs w:val="24"/>
        </w:rPr>
        <w:t/>
      </w:r>
      <w:proofErr w:type="spellStart"/>
      <w:r w:rsidRPr="001F5F5D">
        <w:rPr>
          <w:rFonts w:ascii="宋体"/>
          <w:b/>
          <w:bCs/>
          <w:color w:val="000000"/>
          <w:kern w:val="0"/>
          <w:sz w:val="24"/>
          <w:szCs w:val="24"/>
        </w:rPr>
        <w:t/>
      </w:r>
      <w:proofErr w:type="spellEnd"/>
      <w:r w:rsidRPr="001F5F5D">
        <w:rPr>
          <w:rFonts w:ascii="宋体"/>
          <w:b/>
          <w:bCs/>
          <w:color w:val="000000"/>
          <w:kern w:val="0"/>
          <w:sz w:val="24"/>
          <w:szCs w:val="24"/>
        </w:rPr>
        <w:t>8.1 报告期内单一投资者持有基金份额比例达到或超过20%的情况</w:t>
      </w:r>
    </w:p>
    <w:tbl>
      <w:tblPr>
        <w:tblStyle w:val="af7"/>
        <w:tblW w:type="dxa" w:w="9640"/>
        <w:jc w:val="center"/>
        <w:tblLayout w:type="fixed"/>
        <w:tblLook w:firstColumn="1" w:firstRow="1" w:lastColumn="0" w:lastRow="0" w:noHBand="0" w:noVBand="1" w:val="04A0"/>
      </w:tblPr>
      <w:tblGrid>
        <w:gridCol w:w="1798"/>
        <w:gridCol w:w="709"/>
        <w:gridCol w:w="1985"/>
        <w:gridCol w:w="1134"/>
        <w:gridCol w:w="992"/>
        <w:gridCol w:w="1134"/>
        <w:gridCol w:w="1037"/>
        <w:gridCol w:w="851"/>
      </w:tblGrid>
      <w:tr w:rsidR="001F5F5D" w:rsidRPr="00FC0759" w:rsidTr="007125DB">
        <w:trPr>
          <w:jc w:val="center"/>
        </w:trPr>
        <w:tc>
          <w:tcPr>
            <w:tcW w:type="dxa" w:w="1798"/>
            <w:vMerge w:val="restart"/>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投资者类别</w:t>
            </w:r>
            <w:r w:rsidRPr="00FC0759">
              <w:rPr>
                <w:rFonts w:eastAsia="仿宋"/>
                <w:color w:themeColor="text1" w:val="000000"/>
                <w:sz w:val="24"/>
                <w:szCs w:val="24"/>
              </w:rPr>
              <w:t/>
            </w:r>
            <w:proofErr w:type="spellStart"/>
            <w:r w:rsidRPr="00FC0759">
              <w:rPr>
                <w:rFonts w:eastAsia="仿宋"/>
                <w:color w:themeColor="text1" w:val="000000"/>
                <w:sz w:val="24"/>
                <w:szCs w:val="24"/>
              </w:rPr>
              <w:t/>
            </w:r>
            <w:proofErr w:type="spellEnd"/>
            <w:r w:rsidRPr="00FC0759">
              <w:rPr>
                <w:rFonts w:eastAsia="仿宋"/>
                <w:color w:themeColor="text1" w:val="000000"/>
                <w:sz w:val="24"/>
                <w:szCs w:val="24"/>
              </w:rPr>
              <w:t/>
            </w:r>
            <w:proofErr w:type="spellStart"/>
            <w:r w:rsidRPr="00FC0759">
              <w:rPr>
                <w:rFonts w:eastAsia="仿宋"/>
                <w:color w:themeColor="text1" w:val="000000"/>
                <w:sz w:val="24"/>
                <w:szCs w:val="24"/>
              </w:rPr>
              <w:t/>
            </w:r>
            <w:proofErr w:type="spellEnd"/>
            <w:r w:rsidRPr="00FC0759">
              <w:rPr>
                <w:rFonts w:eastAsia="仿宋"/>
                <w:color w:themeColor="text1" w:val="000000"/>
                <w:sz w:val="24"/>
                <w:szCs w:val="24"/>
              </w:rPr>
              <w:t/>
            </w:r>
          </w:p>
        </w:tc>
        <w:tc>
          <w:tcPr>
            <w:tcW w:type="dxa" w:w="5954"/>
            <w:gridSpan w:val="5"/>
            <w:vAlign w:val="center"/>
          </w:tcPr>
          <w:p w:rsidP="00D9482C" w:rsidR="001F5F5D" w:rsidRDefault="001F5F5D" w:rsidRPr="00FC0759">
            <w:pPr>
              <w:autoSpaceDE w:val="0"/>
              <w:autoSpaceDN w:val="0"/>
              <w:adjustRightInd w:val="0"/>
              <w:ind w:firstLine="1126"/>
              <w:jc w:val="center"/>
              <w:rPr>
                <w:rFonts w:eastAsiaTheme="minorEastAsia"/>
                <w:b/>
                <w:bCs/>
                <w:color w:themeColor="text1" w:val="000000"/>
                <w:sz w:val="24"/>
                <w:szCs w:val="24"/>
              </w:rPr>
            </w:pPr>
            <w:r w:rsidRPr="00FC0759">
              <w:rPr>
                <w:color w:val="000000"/>
                <w:sz w:val="24"/>
                <w:szCs w:val="24"/>
              </w:rPr>
              <w:t>报告期内持有基金份额变化情况</w:t>
            </w:r>
          </w:p>
        </w:tc>
        <w:tc>
          <w:tcPr>
            <w:tcW w:type="dxa" w:w="1888"/>
            <w:gridSpan w:val="2"/>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报告期末持有基金情况</w:t>
            </w:r>
          </w:p>
        </w:tc>
      </w:tr>
      <w:tr w:rsidR="001F5F5D" w:rsidRPr="00FC0759" w:rsidTr="007125DB">
        <w:trPr>
          <w:jc w:val="center"/>
        </w:trPr>
        <w:tc>
          <w:tcPr>
            <w:tcW w:type="dxa" w:w="1798"/>
            <w:vMerge/>
            <w:vAlign w:val="center"/>
          </w:tcPr>
          <w:p w:rsidP="00D9482C" w:rsidR="001F5F5D" w:rsidRDefault="001F5F5D" w:rsidRPr="00FC0759">
            <w:pPr>
              <w:autoSpaceDE w:val="0"/>
              <w:autoSpaceDN w:val="0"/>
              <w:adjustRightInd w:val="0"/>
              <w:ind w:firstLine="1234"/>
              <w:jc w:val="center"/>
              <w:rPr>
                <w:rFonts w:eastAsiaTheme="minorEastAsia"/>
                <w:b/>
                <w:bCs/>
                <w:color w:themeColor="text1" w:val="000000"/>
                <w:sz w:val="24"/>
                <w:szCs w:val="24"/>
              </w:rPr>
            </w:pPr>
          </w:p>
        </w:tc>
        <w:tc>
          <w:tcPr>
            <w:tcW w:type="dxa" w:w="709"/>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序号</w:t>
            </w:r>
          </w:p>
        </w:tc>
        <w:tc>
          <w:tcPr>
            <w:tcW w:type="dxa" w:w="1985"/>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持有基金份额比例达到或者超过</w:t>
            </w:r>
            <w:r w:rsidRPr="00FC0759">
              <w:rPr>
                <w:color w:val="000000"/>
                <w:sz w:val="24"/>
                <w:szCs w:val="24"/>
              </w:rPr>
              <w:t>20%</w:t>
            </w:r>
            <w:r w:rsidRPr="00FC0759">
              <w:rPr>
                <w:color w:val="000000"/>
                <w:sz w:val="24"/>
                <w:szCs w:val="24"/>
              </w:rPr>
              <w:t>的时间区间</w:t>
            </w:r>
          </w:p>
        </w:tc>
        <w:tc>
          <w:tcPr>
            <w:tcW w:type="dxa" w:w="1134"/>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期初份额</w:t>
            </w:r>
          </w:p>
        </w:tc>
        <w:tc>
          <w:tcPr>
            <w:tcW w:type="dxa" w:w="992"/>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申购份额</w:t>
            </w:r>
          </w:p>
        </w:tc>
        <w:tc>
          <w:tcPr>
            <w:tcW w:type="dxa" w:w="1134"/>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赎回份额</w:t>
            </w:r>
          </w:p>
        </w:tc>
        <w:tc>
          <w:tcPr>
            <w:tcW w:type="dxa" w:w="1037"/>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持有份额</w:t>
            </w:r>
          </w:p>
        </w:tc>
        <w:tc>
          <w:tcPr>
            <w:tcW w:type="dxa" w:w="851"/>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份额占比</w:t>
            </w:r>
          </w:p>
        </w:tc>
      </w:tr>
      <w:tr>
        <w:tc>
          <w:tcPr>
            <w:vMerge w:val="restart"/>
            <w:vAlign w:val="center"/>
          </w:tcPr>
          <w:p>
            <w:r>
              <w:rPr>
                <w:rFonts w:eastAsiaTheme="minorEastAsia"/>
                <w:bCs/>
                <w:color w:themeColor="text1" w:val="000000"/>
                <w:sz w:val="24"/>
                <w:szCs w:val="24"/>
              </w:rPr>
              <w:t>机构</w:t>
            </w:r>
          </w:p>
        </w:tc>
        <w:tc>
          <w:tcPr>
            <w:vAlign w:val="center"/>
          </w:tcPr>
          <w:p>
            <w:pPr>
              <w:jc w:val="center"/>
            </w:pPr>
            <w:r>
              <w:rPr>
                <w:sz w:val="24"/>
                <w:szCs w:val="24"/>
              </w:rPr>
              <w:t>1</w:t>
            </w:r>
          </w:p>
        </w:tc>
        <w:tc>
          <w:tcPr>
            <w:vAlign w:val="center"/>
          </w:tcPr>
          <w:p>
            <w:pPr>
              <w:jc w:val="center"/>
            </w:pPr>
            <w:r>
              <w:rPr>
                <w:sz w:val="24"/>
                <w:szCs w:val="24"/>
              </w:rPr>
              <w:t>2020年05月29日~2020年06月30日</w:t>
            </w:r>
          </w:p>
        </w:tc>
        <w:tc>
          <w:tcPr>
            <w:vAlign w:val="center"/>
          </w:tcPr>
          <w:p>
            <w:pPr>
              <w:jc w:val="center"/>
            </w:pPr>
            <w:r>
              <w:rPr>
                <w:sz w:val="24"/>
                <w:szCs w:val="24"/>
              </w:rPr>
              <w:t>742,624,399.00</w:t>
            </w:r>
          </w:p>
        </w:tc>
        <w:tc>
          <w:tcPr>
            <w:vAlign w:val="center"/>
          </w:tcPr>
          <w:p>
            <w:pPr>
              <w:jc w:val="center"/>
            </w:pPr>
            <w:r>
              <w:rPr>
                <w:sz w:val="24"/>
                <w:szCs w:val="24"/>
              </w:rPr>
              <w:t>-</w:t>
            </w:r>
          </w:p>
        </w:tc>
        <w:tc>
          <w:tcPr>
            <w:vAlign w:val="center"/>
          </w:tcPr>
          <w:p>
            <w:pPr>
              <w:jc w:val="center"/>
            </w:pPr>
            <w:r>
              <w:rPr>
                <w:sz w:val="24"/>
                <w:szCs w:val="24"/>
              </w:rPr>
              <w:t>-</w:t>
            </w:r>
          </w:p>
        </w:tc>
        <w:tc>
          <w:tcPr>
            <w:vAlign w:val="center"/>
          </w:tcPr>
          <w:p>
            <w:pPr>
              <w:jc w:val="center"/>
            </w:pPr>
            <w:r>
              <w:rPr>
                <w:sz w:val="24"/>
                <w:szCs w:val="24"/>
              </w:rPr>
              <w:t>742,624,399.00</w:t>
            </w:r>
          </w:p>
        </w:tc>
        <w:tc>
          <w:tcPr>
            <w:vAlign w:val="center"/>
          </w:tcPr>
          <w:p>
            <w:pPr>
              <w:jc w:val="center"/>
            </w:pPr>
            <w:r>
              <w:rPr>
                <w:sz w:val="24"/>
                <w:szCs w:val="24"/>
              </w:rPr>
              <w:t>45.22%</w:t>
            </w:r>
          </w:p>
        </w:tc>
      </w:tr>
      <w:tr>
        <w:tc>
          <w:tcPr>
            <w:vMerge/>
          </w:tcPr>
          <w:p/>
        </w:tc>
        <w:tc>
          <w:tcPr>
            <w:vAlign w:val="center"/>
          </w:tcPr>
          <w:p>
            <w:pPr>
              <w:jc w:val="center"/>
            </w:pPr>
            <w:r>
              <w:rPr>
                <w:sz w:val="24"/>
                <w:szCs w:val="24"/>
              </w:rPr>
              <w:t>2</w:t>
            </w:r>
          </w:p>
        </w:tc>
        <w:tc>
          <w:tcPr>
            <w:vAlign w:val="center"/>
          </w:tcPr>
          <w:p>
            <w:pPr>
              <w:jc w:val="center"/>
            </w:pPr>
            <w:r>
              <w:rPr>
                <w:sz w:val="24"/>
                <w:szCs w:val="24"/>
              </w:rPr>
              <w:t>2020年04月01日~2020年05月31日</w:t>
            </w:r>
          </w:p>
        </w:tc>
        <w:tc>
          <w:tcPr>
            <w:vAlign w:val="center"/>
          </w:tcPr>
          <w:p>
            <w:pPr>
              <w:jc w:val="center"/>
            </w:pPr>
            <w:r>
              <w:rPr>
                <w:sz w:val="24"/>
                <w:szCs w:val="24"/>
              </w:rPr>
              <w:t>6,765,990,362.00</w:t>
            </w:r>
          </w:p>
        </w:tc>
        <w:tc>
          <w:tcPr>
            <w:vAlign w:val="center"/>
          </w:tcPr>
          <w:p>
            <w:pPr>
              <w:jc w:val="center"/>
            </w:pPr>
            <w:r>
              <w:rPr>
                <w:sz w:val="24"/>
                <w:szCs w:val="24"/>
              </w:rPr>
              <w:t>-</w:t>
            </w:r>
          </w:p>
        </w:tc>
        <w:tc>
          <w:tcPr>
            <w:vAlign w:val="center"/>
          </w:tcPr>
          <w:p>
            <w:pPr>
              <w:jc w:val="center"/>
            </w:pPr>
            <w:r>
              <w:rPr>
                <w:sz w:val="24"/>
                <w:szCs w:val="24"/>
              </w:rPr>
              <w:t>6,765,990,362.00</w:t>
            </w:r>
          </w:p>
        </w:tc>
        <w:tc>
          <w:tcPr>
            <w:vAlign w:val="center"/>
          </w:tcPr>
          <w:p>
            <w:pPr>
              <w:jc w:val="center"/>
            </w:pPr>
            <w:r>
              <w:rPr>
                <w:sz w:val="24"/>
                <w:szCs w:val="24"/>
              </w:rPr>
              <w:t>-</w:t>
            </w:r>
          </w:p>
        </w:tc>
        <w:tc>
          <w:tcPr>
            <w:vAlign w:val="center"/>
          </w:tcPr>
          <w:p>
            <w:pPr>
              <w:jc w:val="center"/>
            </w:pPr>
            <w:r>
              <w:rPr>
                <w:sz w:val="24"/>
                <w:szCs w:val="24"/>
              </w:rPr>
              <w:t>-</w:t>
            </w:r>
          </w:p>
        </w:tc>
      </w:tr>
    </w:tbl>
    <w:tbl>
      <w:tblPr>
        <w:tblStyle w:val="af7"/>
        <w:tblW w:type="dxa" w:w="9637"/>
        <w:jc w:val="center"/>
        <w:tblLayout w:type="fixed"/>
        <w:tblLook w:firstColumn="1" w:firstRow="1" w:lastColumn="0" w:lastRow="0" w:noHBand="0" w:noVBand="1" w:val="04A0"/>
      </w:tblPr>
      <w:tblGrid>
        <w:gridCol w:w="9637"/>
      </w:tblGrid>
      <w:tr w:rsidR="001F5F5D" w:rsidRPr="00FC0759" w:rsidTr="00D9482C">
        <w:trPr>
          <w:jc w:val="center"/>
        </w:trPr>
        <w:tc>
          <w:tcPr>
            <w:tcW w:type="dxa" w:w="9637"/>
            <w:vAlign w:val="center"/>
          </w:tcPr>
          <w:p w:rsidP="003350A8" w:rsidR="001F5F5D" w:rsidRDefault="001F5F5D" w:rsidRPr="00FC0759">
            <w:pPr>
              <w:autoSpaceDE w:val="0"/>
              <w:autoSpaceDN w:val="0"/>
              <w:adjustRightInd w:val="0"/>
              <w:jc w:val="center"/>
              <w:rPr>
                <w:sz w:val="24"/>
                <w:szCs w:val="24"/>
              </w:rPr>
            </w:pPr>
            <w:r w:rsidRPr="00FC0759">
              <w:rPr>
                <w:color w:val="000000"/>
                <w:sz w:val="24"/>
                <w:szCs w:val="24"/>
              </w:rPr>
              <w:t>产品特有风险</w:t>
            </w:r>
            <w:r w:rsidRPr="00FC0759">
              <w:rPr>
                <w:sz w:val="24"/>
                <w:szCs w:val="24"/>
              </w:rPr>
              <w:t/>
            </w:r>
            <w:proofErr w:type="spellStart"/>
            <w:r w:rsidRPr="00FC0759">
              <w:rPr>
                <w:sz w:val="24"/>
                <w:szCs w:val="24"/>
              </w:rPr>
              <w:t/>
            </w:r>
            <w:proofErr w:type="spellEnd"/>
            <w:r w:rsidRPr="00FC0759">
              <w:rPr>
                <w:sz w:val="24"/>
                <w:szCs w:val="24"/>
              </w:rPr>
              <w:t/>
            </w:r>
          </w:p>
        </w:tc>
      </w:tr>
      <w:tr w:rsidR="001F5F5D" w:rsidRPr="00FC0759" w:rsidTr="00D9482C">
        <w:trPr>
          <w:jc w:val="center"/>
        </w:trPr>
        <w:tc>
          <w:tcPr>
            <w:tcW w:type="dxa" w:w="9637"/>
            <w:vAlign w:val="center"/>
          </w:tcPr>
          <w:p w:rsidP="00D9482C" w:rsidR="001F5F5D" w:rsidRDefault="001F5F5D" w:rsidRPr="00FC0759">
            <w:pPr>
              <w:autoSpaceDE w:val="0"/>
              <w:autoSpaceDN w:val="0"/>
              <w:adjustRightInd w:val="0"/>
              <w:jc w:val="left"/>
              <w:rPr>
                <w:sz w:val="24"/>
                <w:szCs w:val="24"/>
              </w:rPr>
            </w:pPr>
            <w:r w:rsidRPr="00FC0759">
              <w:rPr>
                <w:sz w:val="24"/>
                <w:szCs w:val="24"/>
              </w:rPr>
              <w:t>报告期内，本基金存在单一投资者持有份额比例达到或超过20%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5000万元，基金将面临基金财产清算并终止的风险；持有基金份额占比较高的投资者在召开持有人大会并对审议事项进行投票表决时可能拥有较大话语权。</w:t>
            </w:r>
          </w:p>
        </w:tc>
      </w:tr>
    </w:tbl>
    <w:p w:rsidP="001F5F5D" w:rsidR="001F5F5D" w:rsidRDefault="001F5F5D" w:rsidRPr="00FC0759">
      <w:pPr>
        <w:autoSpaceDE w:val="0"/>
        <w:autoSpaceDN w:val="0"/>
        <w:adjustRightInd w:val="0"/>
        <w:spacing w:line="360" w:lineRule="auto"/>
        <w:ind w:firstLine="480" w:firstLineChars="200"/>
        <w:jc w:val="left"/>
        <w:rPr>
          <w:rFonts w:eastAsiaTheme="minorEastAsia"/>
          <w:bCs/>
          <w:color w:themeColor="text1" w:val="000000"/>
          <w:kern w:val="0"/>
          <w:sz w:val="24"/>
          <w:szCs w:val="24"/>
        </w:rPr>
      </w:pPr>
      <w:r w:rsidRPr="00FC0759">
        <w:rPr>
          <w:bCs/>
          <w:color w:themeColor="text1" w:val="000000"/>
          <w:kern w:val="0"/>
          <w:sz w:val="24"/>
          <w:szCs w:val="24"/>
        </w:rPr>
        <w:t>注：申购份额包括申购或者买入基金份额，赎回份额包括赎回或者卖出基金份额。</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9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9.1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1.中国证监会准予易方达中证国企一带一路交易型开放式指数证券投资基金注册的文件；</w:t>
      </w:r>
    </w:p>
    <w:p>
      <w:pPr>
        <w:spacing w:line="360" w:lineRule="auto"/>
        <w:ind w:firstLine="480" w:firstLineChars="200"/>
        <w:rPr>
          <w:color w:val="000000"/>
          <w:sz w:val="24"/>
          <w:szCs w:val="24"/>
        </w:rPr>
      </w:pPr>
      <w:r>
        <w:rPr>
          <w:color w:val="000000"/>
          <w:sz w:val="24"/>
          <w:szCs w:val="24"/>
        </w:rPr>
        <w:t>2.《易方达中证国企一带一路交易型开放式指数证券投资基金基金合同》；</w:t>
      </w:r>
    </w:p>
    <w:p>
      <w:pPr>
        <w:spacing w:line="360" w:lineRule="auto"/>
        <w:ind w:firstLine="480" w:firstLineChars="200"/>
        <w:rPr>
          <w:color w:val="000000"/>
          <w:sz w:val="24"/>
          <w:szCs w:val="24"/>
        </w:rPr>
      </w:pPr>
      <w:r>
        <w:rPr>
          <w:color w:val="000000"/>
          <w:sz w:val="24"/>
          <w:szCs w:val="24"/>
        </w:rPr>
        <w:t>3.《易方达中证国企一带一路交易型开放式指数证券投资基金托管协议》；</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4.基金管理人业务资格批件和营业执照。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9.2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9.3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易方达中证国企一带一路交易型开放式指数证券投资基金</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