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易方达中证香港证券投资主题交易型开放式指数证券投资基金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招商银行股份有限公司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易方达中证香港证券投资主题ETF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香港证券、香港证券ETF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513090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513090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2020年3月13日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328,488,000.00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中证香港证券投资主题指数收益率（使用估值汇率折算）</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内地与香港股票市场交易互联互通机制投资于香港证券市场，除了需要承担市场波动风险等一般投资风险之外，本基金还面临汇率风险、投资于香港证券市场的风险、通过内地与香港股票市场交易互联互通机制投资的风险等特有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招商银行股份有限公司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34,299,176.65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48,328,873.13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0.0933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368,531,213.24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1.1219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9.85%</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8.93%</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0.92%</w:t>
            </w:r>
          </w:p>
        </w:tc>
        <w:tc>
          <w:tcPr>
            <w:vAlign w:val="center"/>
          </w:tcPr>
          <w:p>
            <w:pPr>
              <w:jc w:val="center"/>
            </w:pPr>
            <w:r>
              <w:rPr>
                <w:color w:val="000000"/>
                <w:kern w:val="0"/>
                <w:sz w:val="24"/>
                <w:szCs w:val="24"/>
              </w:rPr>
              <w:t>-0.04%</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12.19%</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3.84%</w:t>
            </w:r>
          </w:p>
        </w:tc>
        <w:tc>
          <w:tcPr>
            <w:vAlign w:val="center"/>
          </w:tcPr>
          <w:p>
            <w:pPr>
              <w:jc w:val="center"/>
            </w:pPr>
            <w:r>
              <w:rPr>
                <w:color w:val="000000"/>
                <w:kern w:val="0"/>
                <w:sz w:val="24"/>
                <w:szCs w:val="24"/>
              </w:rPr>
              <w:t>2.02%</w:t>
            </w:r>
          </w:p>
        </w:tc>
        <w:tc>
          <w:tcPr>
            <w:vAlign w:val="center"/>
          </w:tcPr>
          <w:p>
            <w:pPr>
              <w:jc w:val="center"/>
            </w:pPr>
            <w:r>
              <w:rPr>
                <w:color w:val="000000"/>
                <w:kern w:val="0"/>
                <w:sz w:val="24"/>
                <w:szCs w:val="24"/>
              </w:rPr>
              <w:t>8.35%</w:t>
            </w:r>
          </w:p>
        </w:tc>
        <w:tc>
          <w:tcPr>
            <w:vAlign w:val="center"/>
          </w:tcPr>
          <w:p>
            <w:pPr>
              <w:jc w:val="center"/>
            </w:pPr>
            <w:r>
              <w:rPr>
                <w:color w:val="000000"/>
                <w:kern w:val="0"/>
                <w:sz w:val="24"/>
                <w:szCs w:val="24"/>
              </w:rPr>
              <w:t>-0.50%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易方达中证香港证券投资主题交易型开放式指数证券投资基金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2020年3月13日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注：1.本基金的业绩比较基准已经转换为以人民币计价。</w:t>
      </w:r>
    </w:p>
    <w:p>
      <w:pPr>
        <w:spacing w:line="360" w:lineRule="auto"/>
        <w:ind w:firstLine="480" w:firstLineChars="200"/>
        <w:rPr>
          <w:color w:val="000000"/>
          <w:sz w:val="24"/>
          <w:szCs w:val="24"/>
        </w:rPr>
      </w:pPr>
      <w:r>
        <w:rPr>
          <w:color w:val="000000"/>
          <w:sz w:val="24"/>
          <w:szCs w:val="24"/>
        </w:rPr>
        <w:t>2.本基金合同于2020年3月13日生效,截至报告期末本基金合同生效未满一年。</w:t>
      </w:r>
    </w:p>
    <w:p>
      <w:pPr>
        <w:spacing w:line="360" w:lineRule="auto"/>
        <w:ind w:firstLine="480" w:firstLineChars="200"/>
        <w:rPr>
          <w:color w:val="000000"/>
          <w:sz w:val="24"/>
          <w:szCs w:val="24"/>
        </w:rPr>
      </w:pPr>
      <w:r>
        <w:rPr>
          <w:color w:val="000000"/>
          <w:sz w:val="24"/>
          <w:szCs w:val="24"/>
        </w:rPr>
        <w:t>3.按基金合同和招募说明书的约定,自基金合同生效之日起六个月内使基金的投资组合比例符合本基金合同(第十四部分二、投资范围,三、投资策略和四、投资限制)的有关约定。本报告期本基金处于建仓期内。</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4.自基金合同生效至报告期末,基金份额净值增长率为12.19%,同期业绩比较基准收益率为3.84% 。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黄金交易型开放式证券投资基金联接基金的基金经理、易方达原油证券投资基金（QDII）的基金经理、易方达标普信息科技指数证券投资基金（LOF）的基金经理、易方达标普生物科技指数证券投资基金（LOF）的基金经理、易方达标普医疗保健指数证券投资基金（LOF）的基金经理、易方达标普500指数证券投资基金（LOF）的基金经理、易方达黄金交易型开放式证券投资基金的基金经理、易方达中证海外中国互联网50交易型开放式指数证券投资基金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w:t>
            </w:r>
          </w:p>
        </w:tc>
        <w:tc>
          <w:tcPr>
            <w:vAlign w:val="center"/>
          </w:tcPr>
          <w:p>
            <w:pPr>
              <w:jc w:val="center"/>
            </w:pPr>
            <w:r>
              <w:rPr>
                <w:color w:val="000000"/>
                <w:sz w:val="24"/>
              </w:rPr>
              <w:t>2020-03-13</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恒生中国企业交易型开放式指数证券投资基金联接基金的基金经理、易方达纳斯达克100指数证券投资基金（LOF）的基金经理（自2018年08月11日至2020年04月22日）、易方达恒生中国企业交易型开放式指数证券投资基金的基金经理、易方达原油证券投资基金（QDII）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w:t>
            </w:r>
          </w:p>
        </w:tc>
        <w:tc>
          <w:tcPr>
            <w:vAlign w:val="center"/>
          </w:tcPr>
          <w:p>
            <w:pPr>
              <w:jc w:val="center"/>
            </w:pPr>
            <w:r>
              <w:rPr>
                <w:color w:val="000000"/>
                <w:sz w:val="24"/>
              </w:rPr>
              <w:t>2020-03-13</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回顾2020年二季度，全球经济前景仍然充满不确定性，疫情感染人数继续攀升。中国资本市场改革政策利好不断，在新三板“精选层”首批公开发行落地的同时，创业板注册制也正式进入实操阶段；科创板在基础制度改革方面先行先试，进一步提高投融资便利性，更好的发挥改革“试验田”作用。网易和京东相继在香港完成第二上市，IPO期间均获得大幅超额认购，也激发了市场的投资热情。在政策利好和股市表现的带动下，香港证券指数在二季度走强。</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作为追踪中证香港证券投资主题指数的被动式指数基金，我们在操作中严格遵守基金合同，坚持既定的指数化投资策略，力求追踪误差最小化。</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截至报告期末，本基金份额净值为1.1219元，本报告期份额净值增长率为9.85%，同期业绩比较基准收益率为8.93%，年化跟踪误差1.579%。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360,226,131.26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360,226,131.26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6,528,159.50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4,377,622.32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371,131,913.08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pPr>
        <w:spacing w:line="360" w:lineRule="auto"/>
        <w:ind w:firstLine="480" w:firstLineChars="200"/>
        <w:rPr>
          <w:color w:val="000000"/>
          <w:sz w:val="24"/>
          <w:szCs w:val="24"/>
        </w:rPr>
      </w:pPr>
      <w:r>
        <w:rPr>
          <w:color w:val="000000"/>
          <w:sz w:val="24"/>
          <w:szCs w:val="24"/>
        </w:rPr>
        <w:t>注：1.上表中的股票投资项含可退替代款估值增值，而5.2的合计项不含可退替代款估值增值。</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2.本基金本报告期末通过港股通交易机制投资的港股市值为360,226,131.26元,占净值比例97.75%。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360,226,131.26</w:t>
            </w:r>
          </w:p>
        </w:tc>
        <w:tc>
          <w:tcPr>
            <w:vAlign w:val="center"/>
          </w:tcPr>
          <w:p>
            <w:pPr>
              <w:jc w:val="center"/>
            </w:pPr>
            <w:r>
              <w:rPr>
                <w:rFonts w:eastAsiaTheme="minorEastAsia"/>
                <w:color w:themeColor="text1" w:val="000000"/>
                <w:kern w:val="0"/>
                <w:sz w:val="24"/>
                <w:szCs w:val="24"/>
              </w:rPr>
              <w:t>97.75</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360,226,131.26</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97.75</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00388</w:t>
            </w:r>
          </w:p>
        </w:tc>
        <w:tc>
          <w:tcPr>
            <w:vAlign w:val="center"/>
          </w:tcPr>
          <w:p>
            <w:pPr>
              <w:jc w:val="center"/>
            </w:pPr>
            <w:r>
              <w:rPr>
                <w:color w:val="000000"/>
                <w:kern w:val="0"/>
                <w:sz w:val="24"/>
                <w:szCs w:val="24"/>
              </w:rPr>
              <w:t>香港交易所</w:t>
            </w:r>
          </w:p>
        </w:tc>
        <w:tc>
          <w:tcPr>
            <w:vAlign w:val="center"/>
          </w:tcPr>
          <w:p>
            <w:pPr>
              <w:jc w:val="right"/>
            </w:pPr>
            <w:r>
              <w:rPr>
                <w:color w:val="000000"/>
                <w:kern w:val="0"/>
                <w:sz w:val="24"/>
                <w:szCs w:val="24"/>
              </w:rPr>
              <w:t>202,200</w:t>
            </w:r>
          </w:p>
        </w:tc>
        <w:tc>
          <w:tcPr>
            <w:vAlign w:val="center"/>
          </w:tcPr>
          <w:p>
            <w:pPr>
              <w:jc w:val="right"/>
            </w:pPr>
            <w:r>
              <w:rPr>
                <w:color w:val="000000"/>
                <w:kern w:val="0"/>
                <w:sz w:val="24"/>
                <w:szCs w:val="24"/>
              </w:rPr>
              <w:t>60,950,197.44</w:t>
            </w:r>
          </w:p>
        </w:tc>
        <w:tc>
          <w:tcPr>
            <w:vAlign w:val="center"/>
          </w:tcPr>
          <w:p>
            <w:pPr>
              <w:jc w:val="right"/>
            </w:pPr>
            <w:r>
              <w:rPr>
                <w:color w:val="000000"/>
                <w:kern w:val="0"/>
                <w:sz w:val="24"/>
                <w:szCs w:val="24"/>
              </w:rPr>
              <w:t>16.54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06030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3,951,500</w:t>
            </w:r>
          </w:p>
        </w:tc>
        <w:tc>
          <w:tcPr>
            <w:vAlign w:val="center"/>
          </w:tcPr>
          <w:p>
            <w:pPr>
              <w:jc w:val="right"/>
            </w:pPr>
            <w:r>
              <w:rPr>
                <w:color w:val="000000"/>
                <w:kern w:val="0"/>
                <w:sz w:val="24"/>
                <w:szCs w:val="24"/>
              </w:rPr>
              <w:t>52,914,656.63</w:t>
            </w:r>
          </w:p>
        </w:tc>
        <w:tc>
          <w:tcPr>
            <w:vAlign w:val="center"/>
          </w:tcPr>
          <w:p>
            <w:pPr>
              <w:jc w:val="right"/>
            </w:pPr>
            <w:r>
              <w:rPr>
                <w:color w:val="000000"/>
                <w:kern w:val="0"/>
                <w:sz w:val="24"/>
                <w:szCs w:val="24"/>
              </w:rPr>
              <w:t>14.36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03908</w:t>
            </w:r>
          </w:p>
        </w:tc>
        <w:tc>
          <w:tcPr>
            <w:vAlign w:val="center"/>
          </w:tcPr>
          <w:p>
            <w:pPr>
              <w:jc w:val="center"/>
            </w:pPr>
            <w:r>
              <w:rPr>
                <w:color w:val="000000"/>
                <w:kern w:val="0"/>
                <w:sz w:val="24"/>
                <w:szCs w:val="24"/>
              </w:rPr>
              <w:t>中金公司</w:t>
            </w:r>
          </w:p>
        </w:tc>
        <w:tc>
          <w:tcPr>
            <w:vAlign w:val="center"/>
          </w:tcPr>
          <w:p>
            <w:pPr>
              <w:jc w:val="right"/>
            </w:pPr>
            <w:r>
              <w:rPr>
                <w:color w:val="000000"/>
                <w:kern w:val="0"/>
                <w:sz w:val="24"/>
                <w:szCs w:val="24"/>
              </w:rPr>
              <w:t>2,952,400</w:t>
            </w:r>
          </w:p>
        </w:tc>
        <w:tc>
          <w:tcPr>
            <w:vAlign w:val="center"/>
          </w:tcPr>
          <w:p>
            <w:pPr>
              <w:jc w:val="right"/>
            </w:pPr>
            <w:r>
              <w:rPr>
                <w:color w:val="000000"/>
                <w:kern w:val="0"/>
                <w:sz w:val="24"/>
                <w:szCs w:val="24"/>
              </w:rPr>
              <w:t>41,045,908.70</w:t>
            </w:r>
          </w:p>
        </w:tc>
        <w:tc>
          <w:tcPr>
            <w:vAlign w:val="center"/>
          </w:tcPr>
          <w:p>
            <w:pPr>
              <w:jc w:val="right"/>
            </w:pPr>
            <w:r>
              <w:rPr>
                <w:color w:val="000000"/>
                <w:kern w:val="0"/>
                <w:sz w:val="24"/>
                <w:szCs w:val="24"/>
              </w:rPr>
              <w:t>11.14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06837</w:t>
            </w:r>
          </w:p>
        </w:tc>
        <w:tc>
          <w:tcPr>
            <w:vAlign w:val="center"/>
          </w:tcPr>
          <w:p>
            <w:pPr>
              <w:jc w:val="center"/>
            </w:pPr>
            <w:r>
              <w:rPr>
                <w:color w:val="000000"/>
                <w:kern w:val="0"/>
                <w:sz w:val="24"/>
                <w:szCs w:val="24"/>
              </w:rPr>
              <w:t>海通证券</w:t>
            </w:r>
          </w:p>
        </w:tc>
        <w:tc>
          <w:tcPr>
            <w:vAlign w:val="center"/>
          </w:tcPr>
          <w:p>
            <w:pPr>
              <w:jc w:val="right"/>
            </w:pPr>
            <w:r>
              <w:rPr>
                <w:color w:val="000000"/>
                <w:kern w:val="0"/>
                <w:sz w:val="24"/>
                <w:szCs w:val="24"/>
              </w:rPr>
              <w:t>6,607,200</w:t>
            </w:r>
          </w:p>
        </w:tc>
        <w:tc>
          <w:tcPr>
            <w:vAlign w:val="center"/>
          </w:tcPr>
          <w:p>
            <w:pPr>
              <w:jc w:val="right"/>
            </w:pPr>
            <w:r>
              <w:rPr>
                <w:color w:val="000000"/>
                <w:kern w:val="0"/>
                <w:sz w:val="24"/>
                <w:szCs w:val="24"/>
              </w:rPr>
              <w:t>37,780,857.61</w:t>
            </w:r>
          </w:p>
        </w:tc>
        <w:tc>
          <w:tcPr>
            <w:vAlign w:val="center"/>
          </w:tcPr>
          <w:p>
            <w:pPr>
              <w:jc w:val="right"/>
            </w:pPr>
            <w:r>
              <w:rPr>
                <w:color w:val="000000"/>
                <w:kern w:val="0"/>
                <w:sz w:val="24"/>
                <w:szCs w:val="24"/>
              </w:rPr>
              <w:t>10.25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06886</w:t>
            </w:r>
          </w:p>
        </w:tc>
        <w:tc>
          <w:tcPr>
            <w:vAlign w:val="center"/>
          </w:tcPr>
          <w:p>
            <w:pPr>
              <w:jc w:val="center"/>
            </w:pPr>
            <w:r>
              <w:rPr>
                <w:color w:val="000000"/>
                <w:kern w:val="0"/>
                <w:sz w:val="24"/>
                <w:szCs w:val="24"/>
              </w:rPr>
              <w:t>华泰证券</w:t>
            </w:r>
          </w:p>
        </w:tc>
        <w:tc>
          <w:tcPr>
            <w:vAlign w:val="center"/>
          </w:tcPr>
          <w:p>
            <w:pPr>
              <w:jc w:val="right"/>
            </w:pPr>
            <w:r>
              <w:rPr>
                <w:color w:val="000000"/>
                <w:kern w:val="0"/>
                <w:sz w:val="24"/>
                <w:szCs w:val="24"/>
              </w:rPr>
              <w:t>3,331,400</w:t>
            </w:r>
          </w:p>
        </w:tc>
        <w:tc>
          <w:tcPr>
            <w:vAlign w:val="center"/>
          </w:tcPr>
          <w:p>
            <w:pPr>
              <w:jc w:val="right"/>
            </w:pPr>
            <w:r>
              <w:rPr>
                <w:color w:val="000000"/>
                <w:kern w:val="0"/>
                <w:sz w:val="24"/>
                <w:szCs w:val="24"/>
              </w:rPr>
              <w:t>37,551,039.76</w:t>
            </w:r>
          </w:p>
        </w:tc>
        <w:tc>
          <w:tcPr>
            <w:vAlign w:val="center"/>
          </w:tcPr>
          <w:p>
            <w:pPr>
              <w:jc w:val="right"/>
            </w:pPr>
            <w:r>
              <w:rPr>
                <w:color w:val="000000"/>
                <w:kern w:val="0"/>
                <w:sz w:val="24"/>
                <w:szCs w:val="24"/>
              </w:rPr>
              <w:t>10.19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06881</w:t>
            </w:r>
          </w:p>
        </w:tc>
        <w:tc>
          <w:tcPr>
            <w:vAlign w:val="center"/>
          </w:tcPr>
          <w:p>
            <w:pPr>
              <w:jc w:val="center"/>
            </w:pPr>
            <w:r>
              <w:rPr>
                <w:color w:val="000000"/>
                <w:kern w:val="0"/>
                <w:sz w:val="24"/>
                <w:szCs w:val="24"/>
              </w:rPr>
              <w:t>中国银河</w:t>
            </w:r>
          </w:p>
        </w:tc>
        <w:tc>
          <w:tcPr>
            <w:vAlign w:val="center"/>
          </w:tcPr>
          <w:p>
            <w:pPr>
              <w:jc w:val="right"/>
            </w:pPr>
            <w:r>
              <w:rPr>
                <w:color w:val="000000"/>
                <w:kern w:val="0"/>
                <w:sz w:val="24"/>
                <w:szCs w:val="24"/>
              </w:rPr>
              <w:t>7,153,000</w:t>
            </w:r>
          </w:p>
        </w:tc>
        <w:tc>
          <w:tcPr>
            <w:vAlign w:val="center"/>
          </w:tcPr>
          <w:p>
            <w:pPr>
              <w:jc w:val="right"/>
            </w:pPr>
            <w:r>
              <w:rPr>
                <w:color w:val="000000"/>
                <w:kern w:val="0"/>
                <w:sz w:val="24"/>
                <w:szCs w:val="24"/>
              </w:rPr>
              <w:t>27,376,774.18</w:t>
            </w:r>
          </w:p>
        </w:tc>
        <w:tc>
          <w:tcPr>
            <w:vAlign w:val="center"/>
          </w:tcPr>
          <w:p>
            <w:pPr>
              <w:jc w:val="right"/>
            </w:pPr>
            <w:r>
              <w:rPr>
                <w:color w:val="000000"/>
                <w:kern w:val="0"/>
                <w:sz w:val="24"/>
                <w:szCs w:val="24"/>
              </w:rPr>
              <w:t>7.43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01776</w:t>
            </w:r>
          </w:p>
        </w:tc>
        <w:tc>
          <w:tcPr>
            <w:vAlign w:val="center"/>
          </w:tcPr>
          <w:p>
            <w:pPr>
              <w:jc w:val="center"/>
            </w:pPr>
            <w:r>
              <w:rPr>
                <w:color w:val="000000"/>
                <w:kern w:val="0"/>
                <w:sz w:val="24"/>
                <w:szCs w:val="24"/>
              </w:rPr>
              <w:t>广发证券</w:t>
            </w:r>
          </w:p>
        </w:tc>
        <w:tc>
          <w:tcPr>
            <w:vAlign w:val="center"/>
          </w:tcPr>
          <w:p>
            <w:pPr>
              <w:jc w:val="right"/>
            </w:pPr>
            <w:r>
              <w:rPr>
                <w:color w:val="000000"/>
                <w:kern w:val="0"/>
                <w:sz w:val="24"/>
                <w:szCs w:val="24"/>
              </w:rPr>
              <w:t>3,297,800</w:t>
            </w:r>
          </w:p>
        </w:tc>
        <w:tc>
          <w:tcPr>
            <w:vAlign w:val="center"/>
          </w:tcPr>
          <w:p>
            <w:pPr>
              <w:jc w:val="right"/>
            </w:pPr>
            <w:r>
              <w:rPr>
                <w:color w:val="000000"/>
                <w:kern w:val="0"/>
                <w:sz w:val="24"/>
                <w:szCs w:val="24"/>
              </w:rPr>
              <w:t>25,002,442.19</w:t>
            </w:r>
          </w:p>
        </w:tc>
        <w:tc>
          <w:tcPr>
            <w:vAlign w:val="center"/>
          </w:tcPr>
          <w:p>
            <w:pPr>
              <w:jc w:val="right"/>
            </w:pPr>
            <w:r>
              <w:rPr>
                <w:color w:val="000000"/>
                <w:kern w:val="0"/>
                <w:sz w:val="24"/>
                <w:szCs w:val="24"/>
              </w:rPr>
              <w:t>6.78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06066</w:t>
            </w:r>
          </w:p>
        </w:tc>
        <w:tc>
          <w:tcPr>
            <w:vAlign w:val="center"/>
          </w:tcPr>
          <w:p>
            <w:pPr>
              <w:jc w:val="center"/>
            </w:pPr>
            <w:r>
              <w:rPr>
                <w:color w:val="000000"/>
                <w:kern w:val="0"/>
                <w:sz w:val="24"/>
                <w:szCs w:val="24"/>
              </w:rPr>
              <w:t>中信建投证券</w:t>
            </w:r>
          </w:p>
        </w:tc>
        <w:tc>
          <w:tcPr>
            <w:vAlign w:val="center"/>
          </w:tcPr>
          <w:p>
            <w:pPr>
              <w:jc w:val="right"/>
            </w:pPr>
            <w:r>
              <w:rPr>
                <w:color w:val="000000"/>
                <w:kern w:val="0"/>
                <w:sz w:val="24"/>
                <w:szCs w:val="24"/>
              </w:rPr>
              <w:t>1,712,000</w:t>
            </w:r>
          </w:p>
        </w:tc>
        <w:tc>
          <w:tcPr>
            <w:vAlign w:val="center"/>
          </w:tcPr>
          <w:p>
            <w:pPr>
              <w:jc w:val="right"/>
            </w:pPr>
            <w:r>
              <w:rPr>
                <w:color w:val="000000"/>
                <w:kern w:val="0"/>
                <w:sz w:val="24"/>
                <w:szCs w:val="24"/>
              </w:rPr>
              <w:t>13,714,607.39</w:t>
            </w:r>
          </w:p>
        </w:tc>
        <w:tc>
          <w:tcPr>
            <w:vAlign w:val="center"/>
          </w:tcPr>
          <w:p>
            <w:pPr>
              <w:jc w:val="right"/>
            </w:pPr>
            <w:r>
              <w:rPr>
                <w:color w:val="000000"/>
                <w:kern w:val="0"/>
                <w:sz w:val="24"/>
                <w:szCs w:val="24"/>
              </w:rPr>
              <w:t>3.72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02611</w:t>
            </w:r>
          </w:p>
        </w:tc>
        <w:tc>
          <w:tcPr>
            <w:vAlign w:val="center"/>
          </w:tcPr>
          <w:p>
            <w:pPr>
              <w:jc w:val="center"/>
            </w:pPr>
            <w:r>
              <w:rPr>
                <w:color w:val="000000"/>
                <w:kern w:val="0"/>
                <w:sz w:val="24"/>
                <w:szCs w:val="24"/>
              </w:rPr>
              <w:t>国泰君安</w:t>
            </w:r>
          </w:p>
        </w:tc>
        <w:tc>
          <w:tcPr>
            <w:vAlign w:val="center"/>
          </w:tcPr>
          <w:p>
            <w:pPr>
              <w:jc w:val="right"/>
            </w:pPr>
            <w:r>
              <w:rPr>
                <w:color w:val="000000"/>
                <w:kern w:val="0"/>
                <w:sz w:val="24"/>
                <w:szCs w:val="24"/>
              </w:rPr>
              <w:t>1,349,000</w:t>
            </w:r>
          </w:p>
        </w:tc>
        <w:tc>
          <w:tcPr>
            <w:vAlign w:val="center"/>
          </w:tcPr>
          <w:p>
            <w:pPr>
              <w:jc w:val="right"/>
            </w:pPr>
            <w:r>
              <w:rPr>
                <w:color w:val="000000"/>
                <w:kern w:val="0"/>
                <w:sz w:val="24"/>
                <w:szCs w:val="24"/>
              </w:rPr>
              <w:t>13,209,511.60</w:t>
            </w:r>
          </w:p>
        </w:tc>
        <w:tc>
          <w:tcPr>
            <w:vAlign w:val="center"/>
          </w:tcPr>
          <w:p>
            <w:pPr>
              <w:jc w:val="right"/>
            </w:pPr>
            <w:r>
              <w:rPr>
                <w:color w:val="000000"/>
                <w:kern w:val="0"/>
                <w:sz w:val="24"/>
                <w:szCs w:val="24"/>
              </w:rPr>
              <w:t>3.58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06099</w:t>
            </w:r>
          </w:p>
        </w:tc>
        <w:tc>
          <w:tcPr>
            <w:vAlign w:val="center"/>
          </w:tcPr>
          <w:p>
            <w:pPr>
              <w:jc w:val="center"/>
            </w:pPr>
            <w:r>
              <w:rPr>
                <w:color w:val="000000"/>
                <w:kern w:val="0"/>
                <w:sz w:val="24"/>
                <w:szCs w:val="24"/>
              </w:rPr>
              <w:t>招商证券</w:t>
            </w:r>
          </w:p>
        </w:tc>
        <w:tc>
          <w:tcPr>
            <w:vAlign w:val="center"/>
          </w:tcPr>
          <w:p>
            <w:pPr>
              <w:jc w:val="right"/>
            </w:pPr>
            <w:r>
              <w:rPr>
                <w:color w:val="000000"/>
                <w:kern w:val="0"/>
                <w:sz w:val="24"/>
                <w:szCs w:val="24"/>
              </w:rPr>
              <w:t>1,520,200</w:t>
            </w:r>
          </w:p>
        </w:tc>
        <w:tc>
          <w:tcPr>
            <w:vAlign w:val="center"/>
          </w:tcPr>
          <w:p>
            <w:pPr>
              <w:jc w:val="right"/>
            </w:pPr>
            <w:r>
              <w:rPr>
                <w:color w:val="000000"/>
                <w:kern w:val="0"/>
                <w:sz w:val="24"/>
                <w:szCs w:val="24"/>
              </w:rPr>
              <w:t>12,053,147.72</w:t>
            </w:r>
          </w:p>
        </w:tc>
        <w:tc>
          <w:tcPr>
            <w:vAlign w:val="center"/>
          </w:tcPr>
          <w:p>
            <w:pPr>
              <w:jc w:val="right"/>
            </w:pPr>
            <w:r>
              <w:rPr>
                <w:color w:val="000000"/>
                <w:kern w:val="0"/>
                <w:sz w:val="24"/>
                <w:szCs w:val="24"/>
              </w:rPr>
              <w:t>3.27</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rFonts w:ascii="宋体" w:hAnsi="宋体"/>
          <w:color w:val="000000"/>
          <w:sz w:val="24"/>
          <w:szCs w:val="24"/>
        </w:rPr>
      </w:pPr>
      <w:r>
        <w:rPr>
          <w:rFonts w:ascii="宋体" w:hAnsi="宋体"/>
          <w:color w:val="000000"/>
          <w:sz w:val="24"/>
          <w:szCs w:val="24"/>
        </w:rPr>
        <w:t>2020年4月8日，中国人民银行长春中心支行对招商证券股份有限公司长春人民大街证券营业部未按照规定履行客户身份识别义务的违法违规事实，责令整改并处罚款22万元的行政处罚。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华泰证券、招商证券外，本基金投资的其他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15,988.42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4,282,749.60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653.00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78,231.30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4,377,622.32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787,988,000.00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137,000,000.00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596,500,000.00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328,488,000.00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1.中国证监会准予易方达中证香港证券投资主题交易型开放式指数证券投资基金注册的文件；</w:t>
      </w:r>
    </w:p>
    <w:p>
      <w:pPr>
        <w:spacing w:line="360" w:lineRule="auto"/>
        <w:ind w:firstLine="480" w:firstLineChars="200"/>
        <w:rPr>
          <w:color w:val="000000"/>
          <w:sz w:val="24"/>
          <w:szCs w:val="24"/>
        </w:rPr>
      </w:pPr>
      <w:r>
        <w:rPr>
          <w:color w:val="000000"/>
          <w:sz w:val="24"/>
          <w:szCs w:val="24"/>
        </w:rPr>
        <w:t>2.《易方达中证香港证券投资主题交易型开放式指数证券投资基金基金合同》；</w:t>
      </w:r>
    </w:p>
    <w:p>
      <w:pPr>
        <w:spacing w:line="360" w:lineRule="auto"/>
        <w:ind w:firstLine="480" w:firstLineChars="200"/>
        <w:rPr>
          <w:color w:val="000000"/>
          <w:sz w:val="24"/>
          <w:szCs w:val="24"/>
        </w:rPr>
      </w:pPr>
      <w:r>
        <w:rPr>
          <w:color w:val="000000"/>
          <w:sz w:val="24"/>
          <w:szCs w:val="24"/>
        </w:rPr>
        <w:t>3.《易方达中证香港证券投资主题交易型开放式指数证券投资基金托管协议》；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易方达中证香港证券投资主题交易型开放式指数证券投资基金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