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F22F00" w:rsidR="00F5013F" w:rsidRDefault="00F5013F" w:rsidRPr="002149AE">
      <w:pPr>
        <w:autoSpaceDE w:val="0"/>
        <w:autoSpaceDN w:val="0"/>
        <w:adjustRightInd w:val="0"/>
        <w:spacing w:line="360" w:lineRule="auto"/>
        <w:jc w:val="left"/>
        <w:rPr>
          <w:rFonts w:ascii="宋体" w:cs="Arial"/>
          <w:color w:val="000000"/>
          <w:kern w:val="0"/>
          <w:sz w:val="24"/>
        </w:rPr>
      </w:pPr>
    </w:p>
    <w:p w:rsidP="00506D57" w:rsidR="00F5013F" w:rsidRDefault="00F5013F" w:rsidRPr="002149AE">
      <w:pPr>
        <w:spacing w:line="360" w:lineRule="auto"/>
        <w:jc w:val="center"/>
        <w:rPr>
          <w:rFonts w:ascii="宋体" w:hAnsi="宋体"/>
          <w:b/>
          <w:sz w:val="36"/>
          <w:szCs w:val="36"/>
        </w:rPr>
      </w:pPr>
      <w:r w:rsidRPr="002149AE">
        <w:rPr>
          <w:rFonts w:ascii="宋体"/>
          <w:b/>
          <w:sz w:val="36"/>
          <w:szCs w:val="36"/>
        </w:rPr>
        <w:t/>
      </w:r>
      <w:r w:rsidRPr="002149AE">
        <w:rPr>
          <w:rFonts w:ascii="宋体" w:hAnsi="宋体"/>
          <w:b/>
          <w:sz w:val="36"/>
          <w:szCs w:val="36"/>
        </w:rPr>
        <w:t>易方达中证海外中国互联网50交易型开放式指数证券投资基金</w:t>
      </w:r>
    </w:p>
    <w:p w:rsidP="00506D57" w:rsidR="00F5013F" w:rsidRDefault="00F5013F" w:rsidRPr="002149AE">
      <w:pPr>
        <w:spacing w:line="360" w:lineRule="auto"/>
        <w:jc w:val="center"/>
        <w:rPr>
          <w:rFonts w:ascii="宋体" w:hAnsi="宋体"/>
          <w:b/>
          <w:sz w:val="36"/>
          <w:szCs w:val="36"/>
        </w:rPr>
      </w:pPr>
      <w:r w:rsidRPr="002149AE">
        <w:rPr>
          <w:rFonts w:ascii="宋体" w:hAnsi="宋体"/>
          <w:b/>
          <w:sz w:val="36"/>
          <w:szCs w:val="36"/>
        </w:rPr>
        <w:t>2020年第2季度报告</w:t>
      </w:r>
    </w:p>
    <w:p w:rsidP="00506D57" w:rsidR="00F5013F" w:rsidRDefault="00F5013F" w:rsidRPr="00CA4176">
      <w:pPr>
        <w:spacing w:line="360" w:lineRule="auto"/>
        <w:jc w:val="center"/>
        <w:rPr>
          <w:rFonts w:ascii="宋体" w:hAnsi="宋体"/>
          <w:b/>
          <w:sz w:val="24"/>
          <w:szCs w:val="36"/>
        </w:rPr>
      </w:pPr>
      <w:r w:rsidRPr="00CA4176">
        <w:rPr>
          <w:rFonts w:ascii="宋体"/>
          <w:b/>
          <w:sz w:val="24"/>
          <w:szCs w:val="36"/>
        </w:rPr>
        <w:t/>
      </w:r>
      <w:r w:rsidRPr="00CA4176">
        <w:rPr>
          <w:rFonts w:ascii="宋体" w:hAnsi="宋体"/>
          <w:b/>
          <w:sz w:val="24"/>
          <w:szCs w:val="36"/>
        </w:rPr>
        <w:t>2020年6月30日</w:t>
      </w: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0C6EE5">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547F92" w:rsidR="00F5013F" w:rsidRDefault="00F5013F" w:rsidRPr="002149AE">
      <w:pPr>
        <w:spacing w:line="288" w:lineRule="auto"/>
        <w:ind w:firstLine="2168" w:firstLineChars="900"/>
        <w:rPr>
          <w:rFonts w:ascii="宋体"/>
          <w:b/>
          <w:color w:val="000000"/>
          <w:sz w:val="24"/>
        </w:rPr>
      </w:pPr>
    </w:p>
    <w:p w:rsidP="00547F92" w:rsidR="00F5013F" w:rsidRDefault="00F5013F" w:rsidRPr="002149AE">
      <w:pPr>
        <w:spacing w:line="360" w:lineRule="auto"/>
        <w:ind w:firstLine="2168" w:firstLineChars="900"/>
        <w:rPr>
          <w:rFonts w:ascii="宋体" w:hAnsi="宋体"/>
          <w:b/>
          <w:color w:val="000000"/>
          <w:sz w:val="24"/>
        </w:rPr>
      </w:pPr>
      <w:r w:rsidRPr="002149AE">
        <w:rPr>
          <w:rFonts w:ascii="宋体" w:hAnsi="宋体" w:hint="eastAsia"/>
          <w:b/>
          <w:color w:val="000000"/>
          <w:sz w:val="24"/>
        </w:rPr>
        <w:t>基金管理人：</w:t>
      </w:r>
      <w:r w:rsidRPr="002149AE">
        <w:rPr>
          <w:rFonts w:ascii="宋体"/>
          <w:b/>
          <w:color w:val="000000"/>
          <w:sz w:val="24"/>
        </w:rPr>
        <w:t/>
      </w:r>
      <w:r w:rsidRPr="002149AE">
        <w:rPr>
          <w:rFonts w:ascii="宋体" w:hAnsi="宋体"/>
          <w:b/>
          <w:color w:val="000000"/>
          <w:sz w:val="24"/>
        </w:rPr>
        <w:t>易方达基金管理有限公司</w:t>
      </w:r>
    </w:p>
    <w:p w:rsidP="00547F92" w:rsidR="00F5013F" w:rsidRDefault="00F5013F" w:rsidRPr="002149AE">
      <w:pPr>
        <w:spacing w:line="360" w:lineRule="auto"/>
        <w:ind w:firstLine="2168" w:firstLineChars="900"/>
        <w:rPr>
          <w:rFonts w:ascii="宋体" w:hAnsi="宋体"/>
          <w:b/>
          <w:color w:val="000000"/>
          <w:sz w:val="24"/>
        </w:rPr>
      </w:pPr>
      <w:r w:rsidRPr="002149AE">
        <w:rPr>
          <w:rFonts w:ascii="宋体" w:hAnsi="宋体" w:hint="eastAsia"/>
          <w:b/>
          <w:color w:val="000000"/>
          <w:sz w:val="24"/>
        </w:rPr>
        <w:t>基金托管人：</w:t>
      </w:r>
      <w:r w:rsidRPr="002149AE">
        <w:rPr>
          <w:rFonts w:ascii="宋体"/>
          <w:b/>
          <w:color w:val="000000"/>
          <w:sz w:val="24"/>
        </w:rPr>
        <w:t/>
      </w:r>
      <w:r w:rsidRPr="002149AE">
        <w:rPr>
          <w:rFonts w:ascii="宋体" w:hAnsi="宋体"/>
          <w:b/>
          <w:color w:val="000000"/>
          <w:sz w:val="24"/>
        </w:rPr>
        <w:t>招商银行股份有限公司</w:t>
      </w:r>
    </w:p>
    <w:p w:rsidP="00547F92" w:rsidR="00F5013F" w:rsidRDefault="00F5013F" w:rsidRPr="002149AE">
      <w:pPr>
        <w:spacing w:line="360" w:lineRule="auto"/>
        <w:ind w:firstLine="2168" w:firstLineChars="900"/>
        <w:rPr>
          <w:rFonts w:ascii="宋体" w:hAnsi="宋体"/>
          <w:b/>
          <w:color w:val="000000"/>
          <w:sz w:val="24"/>
        </w:rPr>
        <w:sectPr w:rsidR="00F5013F" w:rsidRPr="002149AE" w:rsidSect="00B918B8">
          <w:headerReference r:id="rId8" w:type="default"/>
          <w:footerReference r:id="rId9" w:type="default"/>
          <w:pgSz w:h="15840" w:w="11926"/>
          <w:pgMar w:bottom="851" w:footer="992" w:gutter="0" w:header="851" w:left="1418" w:right="1418" w:top="1418"/>
          <w:cols w:space="720"/>
          <w:noEndnote/>
        </w:sectPr>
      </w:pPr>
      <w:r w:rsidRPr="002149AE">
        <w:rPr>
          <w:rFonts w:ascii="宋体" w:hAnsi="宋体" w:hint="eastAsia"/>
          <w:b/>
          <w:color w:val="000000"/>
          <w:sz w:val="24"/>
        </w:rPr>
        <w:t>报告送出日期：</w:t>
      </w:r>
      <w:r w:rsidRPr="002149AE">
        <w:rPr>
          <w:rFonts w:ascii="宋体"/>
          <w:b/>
          <w:color w:val="000000"/>
          <w:sz w:val="24"/>
        </w:rPr>
        <w:t/>
      </w:r>
      <w:r w:rsidRPr="002149AE">
        <w:rPr>
          <w:rFonts w:ascii="宋体" w:hAnsi="宋体"/>
          <w:b/>
          <w:color w:val="000000"/>
          <w:sz w:val="24"/>
        </w:rPr>
        <w:t>二〇二〇年七月二十一日</w:t>
      </w:r>
    </w:p>
    <w:p w:rsidP="00543B38" w:rsidR="00F5013F" w:rsidRDefault="00F5013F" w:rsidRPr="006506EF">
      <w:pPr>
        <w:pStyle w:val="1"/>
        <w:spacing w:after="312" w:afterLines="100" w:before="312" w:beforeLines="100" w:line="360" w:lineRule="auto"/>
        <w:jc w:val="center"/>
        <w:rPr>
          <w:b w:val="0"/>
          <w:color w:val="000000"/>
          <w:kern w:val="0"/>
          <w:sz w:val="24"/>
          <w:szCs w:val="24"/>
        </w:rPr>
      </w:pPr>
      <w:r w:rsidRPr="006506EF">
        <w:rPr>
          <w:color w:val="000000"/>
          <w:kern w:val="0"/>
          <w:sz w:val="24"/>
          <w:szCs w:val="24"/>
        </w:rPr>
        <w:lastRenderedPageBreak/>
        <w:t xml:space="preserve">§1  </w:t>
      </w:r>
      <w:r w:rsidRPr="006506EF">
        <w:rPr>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547F92" w:rsidR="00F5013F" w:rsidRDefault="00F5013F" w:rsidRPr="006506EF">
      <w:pPr>
        <w:spacing w:line="360" w:lineRule="auto"/>
        <w:ind w:firstLine="480" w:firstLineChars="200"/>
        <w:rPr>
          <w:color w:val="000000"/>
          <w:sz w:val="24"/>
        </w:rPr>
      </w:pPr>
      <w:r w:rsidRPr="006506EF">
        <w:rPr>
          <w:color w:val="000000"/>
          <w:sz w:val="24"/>
        </w:rPr>
        <w:t>本报告期自2020年4月1日起至6月30日止。</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§2  </w:t>
      </w:r>
      <w:r w:rsidRPr="006506EF">
        <w:rPr>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77"/>
        <w:gridCol w:w="2721"/>
        <w:gridCol w:w="2722"/>
      </w:tblGrid>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基金简称</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易方达中证海外中国互联网50（QDII-ETF）</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场内简称</w:t>
            </w:r>
          </w:p>
        </w:tc>
        <w:tc>
          <w:tcPr>
            <w:tcW w:type="dxa" w:w="5443"/>
            <w:gridSpan w:val="2"/>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中概互联、中概互联网ETF</w:t>
            </w:r>
          </w:p>
        </w:tc>
      </w:tr>
      <w:tr w:rsidR="002E6FB9" w:rsidRPr="006506EF" w:rsidTr="0063648A">
        <w:tc>
          <w:tcPr>
            <w:tcW w:type="dxa" w:w="2977"/>
          </w:tcPr>
          <w:p w:rsidP="0063648A" w:rsidR="002E6FB9" w:rsidRDefault="002E6FB9" w:rsidRPr="006506EF">
            <w:pPr>
              <w:adjustRightInd w:val="0"/>
              <w:spacing w:before="29" w:line="360" w:lineRule="auto"/>
              <w:ind w:left="17"/>
              <w:jc w:val="left"/>
              <w:rPr>
                <w:kern w:val="0"/>
                <w:sz w:val="24"/>
              </w:rPr>
            </w:pPr>
            <w:r w:rsidRPr="006506EF">
              <w:rPr>
                <w:kern w:val="0"/>
                <w:sz w:val="24"/>
              </w:rPr>
              <w:t>基金主代码</w:t>
            </w:r>
          </w:p>
        </w:tc>
        <w:tc>
          <w:tcPr>
            <w:tcW w:type="dxa" w:w="5443"/>
            <w:gridSpan w:val="2"/>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513050</w:t>
            </w:r>
          </w:p>
        </w:tc>
      </w:tr>
      <w:tr w:rsidR="002E6FB9" w:rsidRPr="006506EF" w:rsidTr="0063648A">
        <w:tc>
          <w:tcPr>
            <w:tcW w:type="dxa" w:w="2977"/>
          </w:tcPr>
          <w:p w:rsidP="0063648A" w:rsidR="002E6FB9" w:rsidRDefault="002E6FB9" w:rsidRPr="006506EF">
            <w:pPr>
              <w:adjustRightInd w:val="0"/>
              <w:spacing w:before="29" w:line="360" w:lineRule="auto"/>
              <w:ind w:left="17"/>
              <w:jc w:val="left"/>
              <w:rPr>
                <w:kern w:val="0"/>
                <w:sz w:val="24"/>
              </w:rPr>
            </w:pPr>
            <w:r w:rsidRPr="006506EF">
              <w:rPr>
                <w:kern w:val="0"/>
                <w:sz w:val="24"/>
              </w:rPr>
              <w:t>交易代码</w:t>
            </w:r>
          </w:p>
        </w:tc>
        <w:tc>
          <w:tcPr>
            <w:tcW w:type="dxa" w:w="5443"/>
            <w:gridSpan w:val="2"/>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513050</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基金运作方式</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交易型开放式（ETF）</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基金合同生效日</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2017年1月4日</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报告期末基金份额总额</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1,918,432,720.00</w:t>
            </w:r>
            <w:r w:rsidRPr="006506EF">
              <w:rPr>
                <w:color w:val="000000"/>
                <w:kern w:val="0"/>
                <w:sz w:val="24"/>
              </w:rPr>
              <w:t>份</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投资目标</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紧密跟踪标的指数，追求跟踪偏离度及跟踪误差的最小化。</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投资策略</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作为追踪中证海外中国互联网50指数的被动式海外指数基金，本基金主要采取组合复制策略和适当的替代性策略实现对标的指数的紧密跟踪。</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业绩比较基准</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中证海外中国互联网50指数</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风险收益特征</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本基金属股票指数基金，预期风险与收益水平高于混合基金、债券基金与货币市场基金。本基金主要采用完全复制法跟踪标的指数的表现，具有与标的指数相似的风险收益特征。</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基金管理人</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易方达基金管理有限公司</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基金托管人</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招商银行股份有限公司</w:t>
            </w:r>
          </w:p>
        </w:tc>
      </w:tr>
      <w:tr w:rsidR="002E6FB9" w:rsidRPr="006506EF" w:rsidTr="0063648A">
        <w:tc>
          <w:tcPr>
            <w:tcW w:type="dxa" w:w="2977"/>
            <w:vMerge w:val="restart"/>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境外投资顾问</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英文名称</w:t>
            </w:r>
            <w:r>
              <w:rPr>
                <w:kern w:val="0"/>
                <w:sz w:val="24"/>
              </w:rPr>
              <w:t>：</w:t>
            </w:r>
            <w:r w:rsidRPr="006506EF">
              <w:rPr>
                <w:color w:val="000000"/>
                <w:kern w:val="0"/>
                <w:sz w:val="24"/>
              </w:rPr>
              <w:t>无</w:t>
            </w:r>
          </w:p>
        </w:tc>
      </w:tr>
      <w:tr w:rsidR="002E6FB9" w:rsidRPr="006506EF" w:rsidTr="0063648A">
        <w:tc>
          <w:tcPr>
            <w:tcW w:type="dxa" w:w="2977"/>
            <w:vMerge/>
            <w:vAlign w:val="center"/>
          </w:tcPr>
          <w:p w:rsidP="0063648A" w:rsidR="002E6FB9" w:rsidRDefault="002E6FB9" w:rsidRPr="006506EF">
            <w:pPr>
              <w:adjustRightInd w:val="0"/>
              <w:spacing w:before="29" w:line="360" w:lineRule="auto"/>
              <w:jc w:val="left"/>
              <w:rPr>
                <w:kern w:val="0"/>
                <w:sz w:val="24"/>
              </w:rPr>
            </w:pP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中文名称</w:t>
            </w:r>
            <w:r>
              <w:rPr>
                <w:kern w:val="0"/>
                <w:sz w:val="24"/>
              </w:rPr>
              <w:t>：</w:t>
            </w:r>
            <w:r w:rsidRPr="006506EF">
              <w:rPr>
                <w:color w:val="000000"/>
                <w:kern w:val="0"/>
                <w:sz w:val="24"/>
              </w:rPr>
              <w:t>无</w:t>
            </w:r>
          </w:p>
        </w:tc>
      </w:tr>
      <w:tr w:rsidR="002E6FB9" w:rsidRPr="006506EF" w:rsidTr="0063648A">
        <w:tc>
          <w:tcPr>
            <w:tcW w:type="dxa" w:w="2977"/>
            <w:vMerge w:val="restart"/>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境外资产托管人</w:t>
            </w:r>
          </w:p>
        </w:tc>
        <w:tc>
          <w:tcPr>
            <w:tcW w:type="dxa" w:w="5443"/>
            <w:gridSpan w:val="2"/>
            <w:vAlign w:val="center"/>
          </w:tcPr>
          <w:p w:rsidP="00A53DD8" w:rsidR="002E6FB9" w:rsidRDefault="002E6FB9" w:rsidRPr="006506EF">
            <w:pPr>
              <w:adjustRightInd w:val="0"/>
              <w:spacing w:before="29" w:line="360" w:lineRule="auto"/>
              <w:ind w:left="17"/>
              <w:jc w:val="left"/>
              <w:rPr>
                <w:color w:val="000000"/>
                <w:kern w:val="0"/>
                <w:sz w:val="24"/>
              </w:rPr>
            </w:pPr>
            <w:r w:rsidRPr="006506EF">
              <w:rPr>
                <w:kern w:val="0"/>
                <w:sz w:val="24"/>
              </w:rPr>
              <w:t>英文名称</w:t>
            </w:r>
            <w:r>
              <w:rPr>
                <w:kern w:val="0"/>
                <w:sz w:val="24"/>
              </w:rPr>
              <w:t>：</w:t>
            </w:r>
            <w:r w:rsidRPr="006506EF">
              <w:rPr>
                <w:color w:val="000000"/>
                <w:kern w:val="0"/>
                <w:sz w:val="24"/>
              </w:rPr>
              <w:t>The Hongkong and Shanghai Banking Corporation Limited</w:t>
            </w:r>
          </w:p>
        </w:tc>
      </w:tr>
      <w:tr w:rsidR="002E6FB9" w:rsidRPr="006506EF" w:rsidTr="0063648A">
        <w:tc>
          <w:tcPr>
            <w:tcW w:type="dxa" w:w="2977"/>
            <w:vMerge/>
            <w:vAlign w:val="center"/>
          </w:tcPr>
          <w:p w:rsidP="0063648A" w:rsidR="002E6FB9" w:rsidRDefault="002E6FB9" w:rsidRPr="006506EF">
            <w:pPr>
              <w:adjustRightInd w:val="0"/>
              <w:spacing w:before="29" w:line="360" w:lineRule="auto"/>
              <w:ind w:left="17"/>
              <w:jc w:val="left"/>
              <w:rPr>
                <w:kern w:val="0"/>
                <w:sz w:val="24"/>
              </w:rPr>
            </w:pPr>
          </w:p>
        </w:tc>
        <w:tc>
          <w:tcPr>
            <w:tcW w:type="dxa" w:w="5443"/>
            <w:gridSpan w:val="2"/>
            <w:vAlign w:val="center"/>
          </w:tcPr>
          <w:p w:rsidP="00F23F0E" w:rsidR="002E6FB9" w:rsidRDefault="002E6FB9" w:rsidRPr="006506EF">
            <w:pPr>
              <w:adjustRightInd w:val="0"/>
              <w:spacing w:before="29" w:line="360" w:lineRule="auto"/>
              <w:ind w:left="17"/>
              <w:jc w:val="left"/>
              <w:rPr>
                <w:color w:val="000000"/>
                <w:kern w:val="0"/>
                <w:sz w:val="24"/>
              </w:rPr>
            </w:pPr>
            <w:r w:rsidRPr="006506EF">
              <w:rPr>
                <w:kern w:val="0"/>
                <w:sz w:val="24"/>
              </w:rPr>
              <w:t>中文名称</w:t>
            </w:r>
            <w:r>
              <w:rPr>
                <w:kern w:val="0"/>
                <w:sz w:val="24"/>
              </w:rPr>
              <w:t>：</w:t>
            </w:r>
            <w:r w:rsidR="00A53DD8" w:rsidRPr="006506EF">
              <w:rPr>
                <w:color w:val="000000"/>
                <w:kern w:val="0"/>
                <w:sz w:val="24"/>
              </w:rPr>
              <w:t xml:space="preserve"> </w:t>
            </w:r>
            <w:r w:rsidRPr="006506EF">
              <w:rPr>
                <w:color w:val="000000"/>
                <w:kern w:val="0"/>
                <w:sz w:val="24"/>
              </w:rPr>
              <w:t>香港上海汇丰银行有限公司</w:t>
            </w:r>
          </w:p>
        </w:tc>
      </w:tr>
    </w:tbl>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§3  </w:t>
      </w:r>
      <w:r w:rsidRPr="006506EF">
        <w:rPr>
          <w:color w:val="000000"/>
          <w:kern w:val="0"/>
          <w:sz w:val="24"/>
          <w:szCs w:val="24"/>
        </w:rPr>
        <w:t>主要财务指标和基金净值表现</w:t>
      </w:r>
    </w:p>
    <w:p w:rsidP="00506D57"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3.1 </w:t>
      </w:r>
      <w:r w:rsidRPr="006506EF">
        <w:rPr>
          <w:b/>
          <w:color w:val="000000"/>
          <w:kern w:val="0"/>
          <w:sz w:val="24"/>
        </w:rPr>
        <w:t>主要财务指标</w:t>
      </w:r>
    </w:p>
    <w:p w:rsidP="008B6A4A"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F5013F" w:rsidRPr="006506EF" w:rsidTr="00B918B8">
        <w:tc>
          <w:tcPr>
            <w:tcW w:type="dxa" w:w="3402"/>
            <w:vAlign w:val="center"/>
          </w:tcPr>
          <w:p w:rsidP="00B918B8" w:rsidR="00F5013F" w:rsidRDefault="00F5013F"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
        </w:tc>
        <w:tc>
          <w:tcPr>
            <w:tcW w:type="dxa" w:w="4962"/>
            <w:hMerge w:val="restart"/>
            <w:vAlign w:val="center"/>
          </w:tcPr>
          <w:p w:rsidP="000306F0" w:rsidR="00F5013F" w:rsidRDefault="00F5013F" w:rsidRPr="006506EF">
            <w:pPr>
              <w:adjustRightInd w:val="0"/>
              <w:spacing w:before="29" w:line="360" w:lineRule="auto"/>
              <w:ind w:left="17"/>
              <w:jc w:val="center"/>
              <w:rPr>
                <w:color w:val="000000"/>
                <w:sz w:val="24"/>
              </w:rPr>
            </w:pPr>
            <w:r w:rsidRPr="006506EF">
              <w:rPr>
                <w:color w:val="000000"/>
                <w:sz w:val="24"/>
              </w:rPr>
              <w:t>报告期</w:t>
            </w:r>
          </w:p>
          <w:p w:rsidP="000306F0" w:rsidR="00F5013F" w:rsidRDefault="00F5013F" w:rsidRPr="006506EF">
            <w:pPr>
              <w:adjustRightInd w:val="0"/>
              <w:spacing w:before="29" w:line="360" w:lineRule="auto"/>
              <w:ind w:left="17"/>
              <w:jc w:val="center"/>
              <w:rPr>
                <w:color w:val="000000"/>
                <w:sz w:val="24"/>
              </w:rPr>
            </w:pPr>
            <w:r w:rsidRPr="006506EF">
              <w:rPr>
                <w:color w:val="000000"/>
                <w:sz w:val="24"/>
              </w:rPr>
              <w:t>(2020年4月1日-2020年6月30日)</w:t>
            </w:r>
          </w:p>
        </w:tc>
        <w:tc>
          <w:tcPr>
            <w:tcW w:type="dxa" w:w="2410"/>
            <w:hMerge/>
          </w:tcPr>
          <w:p w:rsidP="00B918B8" w:rsidR="00F5013F" w:rsidRDefault="00F5013F"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67,505,819.38</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813,686,393.38</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0.4223</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
            </w:r>
            <w:r w:rsidRPr="006506EF">
              <w:rPr>
                <w:color w:val="000000"/>
                <w:sz w:val="24"/>
              </w:rPr>
              <w:lastRenderedPageBreak/>
              <w:t>3,441,746,783.36</w:t>
            </w:r>
          </w:p>
        </w:tc>
        <w:tc>
          <w:tcPr>
            <w:tcW w:type="dxa" w:w="2410"/>
            <w:hMerge/>
          </w:tcPr>
          <w:p w:rsidP="00B918B8" w:rsidR="00F5013F" w:rsidRDefault="00F5013F"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F5013F" w:rsidRPr="006506EF" w:rsidTr="00B918B8">
        <w:trPr>
          <w:trHeight w:val="158"/>
        </w:trPr>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lastRenderedPageBreak/>
              <w:t>5.</w:t>
            </w:r>
            <w:r w:rsidRPr="006506EF">
              <w:rPr>
                <w:kern w:val="0"/>
                <w:sz w:val="24"/>
              </w:rPr>
              <w:t>期末基金份额净值</w:t>
            </w:r>
          </w:p>
        </w:tc>
        <w:tc>
          <w:tcPr>
            <w:tcW w:type="dxa" w:w="4962"/>
            <w:hMerge w:val="restart"/>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1.7940</w:t>
            </w:r>
          </w:p>
        </w:tc>
        <w:tc>
          <w:tcPr>
            <w:tcW w:type="dxa" w:w="2410"/>
            <w:hMerge/>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A70EAB" w:rsidR="00F5013F" w:rsidRDefault="00F5013F" w:rsidRPr="006506EF">
      <w:pPr>
        <w:spacing w:line="360" w:lineRule="auto"/>
        <w:ind w:firstLine="480" w:firstLineChars="200"/>
        <w:rPr>
          <w:color w:val="000000"/>
          <w:sz w:val="24"/>
        </w:rPr>
      </w:pPr>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3.2 </w:t>
      </w:r>
      <w:r w:rsidRPr="006506EF">
        <w:rPr>
          <w:b/>
          <w:color w:val="000000"/>
          <w:kern w:val="0"/>
          <w:sz w:val="24"/>
        </w:rPr>
        <w:t>基金净值表现</w:t>
      </w:r>
    </w:p>
    <w:p w:rsidP="00EC4BA3" w:rsidR="00F5013F" w:rsidRDefault="00F5013F" w:rsidRPr="006506EF">
      <w:pPr>
        <w:autoSpaceDE w:val="0"/>
        <w:autoSpaceDN w:val="0"/>
        <w:adjustRightInd w:val="0"/>
        <w:spacing w:line="360" w:lineRule="auto"/>
        <w:jc w:val="left"/>
        <w:rPr>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506EF">
          <w:rPr>
            <w:b/>
            <w:color w:val="000000"/>
            <w:kern w:val="0"/>
            <w:sz w:val="24"/>
          </w:rPr>
          <w:t>3.2.1</w:t>
        </w:r>
      </w:smartTag>
      <w:r w:rsidRPr="006506EF">
        <w:rPr>
          <w:b/>
          <w:color w:val="000000"/>
          <w:kern w:val="0"/>
          <w:sz w:val="24"/>
        </w:rPr>
        <w:t>本报告期基金份额净值增长率及其与同期业绩比较基准收益率的比较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F5013F" w:rsidRPr="006506EF" w:rsidTr="00B918B8">
        <w:tc>
          <w:tcPr>
            <w:tcW w:type="dxa" w:w="1395"/>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阶段</w:t>
            </w:r>
            <w:r w:rsidRPr="006506EF">
              <w:rPr>
                <w:color w:val="000000"/>
                <w:sz w:val="24"/>
              </w:rPr>
              <w:t/>
            </w:r>
          </w:p>
        </w:tc>
        <w:tc>
          <w:tcPr>
            <w:tcW w:type="dxa" w:w="1092"/>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净值增长率</w:t>
            </w:r>
            <w:r w:rsidRPr="006506EF">
              <w:rPr>
                <w:rFonts w:ascii="宋体" w:cs="宋体" w:hAnsi="宋体" w:hint="eastAsia"/>
                <w:color w:val="000000"/>
                <w:sz w:val="24"/>
              </w:rPr>
              <w:t>①</w:t>
            </w:r>
          </w:p>
        </w:tc>
        <w:tc>
          <w:tcPr>
            <w:tcW w:type="dxa" w:w="1161"/>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净值增长率标准差</w:t>
            </w:r>
            <w:r w:rsidRPr="006506EF">
              <w:rPr>
                <w:rFonts w:ascii="宋体" w:cs="宋体" w:hAnsi="宋体" w:hint="eastAsia"/>
                <w:color w:val="000000"/>
                <w:sz w:val="24"/>
              </w:rPr>
              <w:t>②</w:t>
            </w:r>
          </w:p>
        </w:tc>
        <w:tc>
          <w:tcPr>
            <w:tcW w:type="dxa" w:w="1181"/>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业绩比较基准收益率</w:t>
            </w:r>
            <w:r w:rsidRPr="006506EF">
              <w:rPr>
                <w:rFonts w:ascii="宋体" w:cs="宋体" w:hAnsi="宋体" w:hint="eastAsia"/>
                <w:color w:val="000000"/>
                <w:sz w:val="24"/>
              </w:rPr>
              <w:t>③</w:t>
            </w:r>
          </w:p>
        </w:tc>
        <w:tc>
          <w:tcPr>
            <w:tcW w:type="dxa" w:w="1188"/>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业绩比较基准收益率标准差</w:t>
            </w:r>
            <w:r w:rsidRPr="006506EF">
              <w:rPr>
                <w:rFonts w:ascii="宋体" w:cs="宋体" w:hAnsi="宋体" w:hint="eastAsia"/>
                <w:color w:val="000000"/>
                <w:sz w:val="24"/>
              </w:rPr>
              <w:t>④</w:t>
            </w:r>
          </w:p>
        </w:tc>
        <w:tc>
          <w:tcPr>
            <w:tcW w:type="dxa" w:w="1199"/>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rFonts w:ascii="宋体" w:cs="宋体" w:hAnsi="宋体" w:hint="eastAsia"/>
                <w:color w:val="000000"/>
                <w:sz w:val="24"/>
              </w:rPr>
              <w:t>①</w:t>
            </w:r>
            <w:r w:rsidRPr="006506EF">
              <w:rPr>
                <w:color w:val="000000"/>
                <w:sz w:val="24"/>
              </w:rPr>
              <w:t>-</w:t>
            </w:r>
            <w:r w:rsidRPr="006506EF">
              <w:rPr>
                <w:rFonts w:ascii="宋体" w:cs="宋体" w:hAnsi="宋体" w:hint="eastAsia"/>
                <w:color w:val="000000"/>
                <w:sz w:val="24"/>
              </w:rPr>
              <w:t>③</w:t>
            </w:r>
          </w:p>
        </w:tc>
        <w:tc>
          <w:tcPr>
            <w:tcW w:type="dxa" w:w="1204"/>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rFonts w:ascii="宋体" w:cs="宋体" w:hAnsi="宋体" w:hint="eastAsia"/>
                <w:color w:val="000000"/>
                <w:sz w:val="24"/>
              </w:rPr>
              <w:t>②</w:t>
            </w:r>
            <w:r w:rsidRPr="006506EF">
              <w:rPr>
                <w:color w:val="000000"/>
                <w:sz w:val="24"/>
              </w:rPr>
              <w:t>-</w:t>
            </w:r>
            <w:r w:rsidRPr="006506EF">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right"/>
            </w:pPr>
            <w:r>
              <w:rPr>
                <w:color w:val="000000"/>
                <w:sz w:val="24"/>
              </w:rPr>
              <w:t>30.84%</w:t>
            </w:r>
          </w:p>
        </w:tc>
        <w:tc>
          <w:tcPr>
            <w:vAlign w:val="center"/>
          </w:tcPr>
          <w:p>
            <w:pPr>
              <w:jc w:val="right"/>
            </w:pPr>
            <w:r>
              <w:rPr>
                <w:color w:val="000000"/>
                <w:sz w:val="24"/>
              </w:rPr>
              <w:t>1.76%</w:t>
            </w:r>
          </w:p>
        </w:tc>
        <w:tc>
          <w:tcPr>
            <w:vAlign w:val="center"/>
          </w:tcPr>
          <w:p>
            <w:pPr>
              <w:jc w:val="right"/>
            </w:pPr>
            <w:r>
              <w:rPr>
                <w:color w:val="000000"/>
                <w:sz w:val="24"/>
              </w:rPr>
              <w:t>31.22%</w:t>
            </w:r>
          </w:p>
        </w:tc>
        <w:tc>
          <w:tcPr>
            <w:vAlign w:val="center"/>
          </w:tcPr>
          <w:p>
            <w:pPr>
              <w:jc w:val="right"/>
            </w:pPr>
            <w:r>
              <w:rPr>
                <w:color w:val="000000"/>
                <w:sz w:val="24"/>
              </w:rPr>
              <w:t>1.76%</w:t>
            </w:r>
          </w:p>
        </w:tc>
        <w:tc>
          <w:tcPr>
            <w:vAlign w:val="center"/>
          </w:tcPr>
          <w:p>
            <w:pPr>
              <w:jc w:val="right"/>
            </w:pPr>
            <w:r>
              <w:rPr>
                <w:color w:val="000000"/>
                <w:sz w:val="24"/>
              </w:rPr>
              <w:t>-0.38%</w:t>
            </w:r>
          </w:p>
        </w:tc>
        <w:tc>
          <w:tcPr>
            <w:vAlign w:val="center"/>
          </w:tcPr>
          <w:p>
            <w:pPr>
              <w:jc w:val="right"/>
            </w:pPr>
            <w:r>
              <w:rPr>
                <w:color w:val="000000"/>
                <w:sz w:val="24"/>
              </w:rPr>
              <w:t>0.00%</w:t>
            </w:r>
          </w:p>
        </w:tc>
      </w:tr>
      <w:tr>
        <w:tc>
          <w:tcPr>
            <w:vAlign w:val="center"/>
          </w:tcPr>
          <w:p>
            <w:pPr>
              <w:jc w:val="left"/>
            </w:pPr>
            <w:r>
              <w:rPr>
                <w:color w:val="000000"/>
                <w:sz w:val="24"/>
              </w:rPr>
              <w:t>过去六个月</w:t>
            </w:r>
          </w:p>
        </w:tc>
        <w:tc>
          <w:tcPr>
            <w:vAlign w:val="center"/>
          </w:tcPr>
          <w:p>
            <w:pPr>
              <w:jc w:val="right"/>
            </w:pPr>
            <w:r>
              <w:rPr>
                <w:color w:val="000000"/>
                <w:sz w:val="24"/>
              </w:rPr>
              <w:t>27.04%</w:t>
            </w:r>
          </w:p>
        </w:tc>
        <w:tc>
          <w:tcPr>
            <w:vAlign w:val="center"/>
          </w:tcPr>
          <w:p>
            <w:pPr>
              <w:jc w:val="right"/>
            </w:pPr>
            <w:r>
              <w:rPr>
                <w:color w:val="000000"/>
                <w:sz w:val="24"/>
              </w:rPr>
              <w:t>2.11%</w:t>
            </w:r>
          </w:p>
        </w:tc>
        <w:tc>
          <w:tcPr>
            <w:vAlign w:val="center"/>
          </w:tcPr>
          <w:p>
            <w:pPr>
              <w:jc w:val="right"/>
            </w:pPr>
            <w:r>
              <w:rPr>
                <w:color w:val="000000"/>
                <w:sz w:val="24"/>
              </w:rPr>
              <w:t>27.60%</w:t>
            </w:r>
          </w:p>
        </w:tc>
        <w:tc>
          <w:tcPr>
            <w:vAlign w:val="center"/>
          </w:tcPr>
          <w:p>
            <w:pPr>
              <w:jc w:val="right"/>
            </w:pPr>
            <w:r>
              <w:rPr>
                <w:color w:val="000000"/>
                <w:sz w:val="24"/>
              </w:rPr>
              <w:t>2.14%</w:t>
            </w:r>
          </w:p>
        </w:tc>
        <w:tc>
          <w:tcPr>
            <w:vAlign w:val="center"/>
          </w:tcPr>
          <w:p>
            <w:pPr>
              <w:jc w:val="right"/>
            </w:pPr>
            <w:r>
              <w:rPr>
                <w:color w:val="000000"/>
                <w:sz w:val="24"/>
              </w:rPr>
              <w:t>-0.56%</w:t>
            </w:r>
          </w:p>
        </w:tc>
        <w:tc>
          <w:tcPr>
            <w:vAlign w:val="center"/>
          </w:tcPr>
          <w:p>
            <w:pPr>
              <w:jc w:val="right"/>
            </w:pPr>
            <w:r>
              <w:rPr>
                <w:color w:val="000000"/>
                <w:sz w:val="24"/>
              </w:rPr>
              <w:t>-0.03%</w:t>
            </w:r>
          </w:p>
        </w:tc>
      </w:tr>
      <w:tr>
        <w:tc>
          <w:tcPr>
            <w:vAlign w:val="center"/>
          </w:tcPr>
          <w:p>
            <w:pPr>
              <w:jc w:val="left"/>
            </w:pPr>
            <w:r>
              <w:rPr>
                <w:color w:val="000000"/>
                <w:sz w:val="24"/>
              </w:rPr>
              <w:t>过去一年</w:t>
            </w:r>
          </w:p>
        </w:tc>
        <w:tc>
          <w:tcPr>
            <w:vAlign w:val="center"/>
          </w:tcPr>
          <w:p>
            <w:pPr>
              <w:jc w:val="right"/>
            </w:pPr>
            <w:r>
              <w:rPr>
                <w:color w:val="000000"/>
                <w:sz w:val="24"/>
              </w:rPr>
              <w:t>48.23%</w:t>
            </w:r>
          </w:p>
        </w:tc>
        <w:tc>
          <w:tcPr>
            <w:vAlign w:val="center"/>
          </w:tcPr>
          <w:p>
            <w:pPr>
              <w:jc w:val="right"/>
            </w:pPr>
            <w:r>
              <w:rPr>
                <w:color w:val="000000"/>
                <w:sz w:val="24"/>
              </w:rPr>
              <w:t>1.72%</w:t>
            </w:r>
          </w:p>
        </w:tc>
        <w:tc>
          <w:tcPr>
            <w:vAlign w:val="center"/>
          </w:tcPr>
          <w:p>
            <w:pPr>
              <w:jc w:val="right"/>
            </w:pPr>
            <w:r>
              <w:rPr>
                <w:color w:val="000000"/>
                <w:sz w:val="24"/>
              </w:rPr>
              <w:t>49.25%</w:t>
            </w:r>
          </w:p>
        </w:tc>
        <w:tc>
          <w:tcPr>
            <w:vAlign w:val="center"/>
          </w:tcPr>
          <w:p>
            <w:pPr>
              <w:jc w:val="right"/>
            </w:pPr>
            <w:r>
              <w:rPr>
                <w:color w:val="000000"/>
                <w:sz w:val="24"/>
              </w:rPr>
              <w:t>1.74%</w:t>
            </w:r>
          </w:p>
        </w:tc>
        <w:tc>
          <w:tcPr>
            <w:vAlign w:val="center"/>
          </w:tcPr>
          <w:p>
            <w:pPr>
              <w:jc w:val="right"/>
            </w:pPr>
            <w:r>
              <w:rPr>
                <w:color w:val="000000"/>
                <w:sz w:val="24"/>
              </w:rPr>
              <w:t>-1.02%</w:t>
            </w:r>
          </w:p>
        </w:tc>
        <w:tc>
          <w:tcPr>
            <w:vAlign w:val="center"/>
          </w:tcPr>
          <w:p>
            <w:pPr>
              <w:jc w:val="right"/>
            </w:pPr>
            <w:r>
              <w:rPr>
                <w:color w:val="000000"/>
                <w:sz w:val="24"/>
              </w:rPr>
              <w:t>-0.02%</w:t>
            </w:r>
          </w:p>
        </w:tc>
      </w:tr>
      <w:tr>
        <w:tc>
          <w:tcPr>
            <w:vAlign w:val="center"/>
          </w:tcPr>
          <w:p>
            <w:pPr>
              <w:jc w:val="left"/>
            </w:pPr>
            <w:r>
              <w:rPr>
                <w:color w:val="000000"/>
                <w:sz w:val="24"/>
              </w:rPr>
              <w:t>过去三年</w:t>
            </w:r>
          </w:p>
        </w:tc>
        <w:tc>
          <w:tcPr>
            <w:vAlign w:val="center"/>
          </w:tcPr>
          <w:p>
            <w:pPr>
              <w:jc w:val="right"/>
            </w:pPr>
            <w:r>
              <w:rPr>
                <w:color w:val="000000"/>
                <w:sz w:val="24"/>
              </w:rPr>
              <w:t>42.51%</w:t>
            </w:r>
          </w:p>
        </w:tc>
        <w:tc>
          <w:tcPr>
            <w:vAlign w:val="center"/>
          </w:tcPr>
          <w:p>
            <w:pPr>
              <w:jc w:val="right"/>
            </w:pPr>
            <w:r>
              <w:rPr>
                <w:color w:val="000000"/>
                <w:sz w:val="24"/>
              </w:rPr>
              <w:t>1.71%</w:t>
            </w:r>
          </w:p>
        </w:tc>
        <w:tc>
          <w:tcPr>
            <w:vAlign w:val="center"/>
          </w:tcPr>
          <w:p>
            <w:pPr>
              <w:jc w:val="right"/>
            </w:pPr>
            <w:r>
              <w:rPr>
                <w:color w:val="000000"/>
                <w:sz w:val="24"/>
              </w:rPr>
              <w:t>45.50%</w:t>
            </w:r>
          </w:p>
        </w:tc>
        <w:tc>
          <w:tcPr>
            <w:vAlign w:val="center"/>
          </w:tcPr>
          <w:p>
            <w:pPr>
              <w:jc w:val="right"/>
            </w:pPr>
            <w:r>
              <w:rPr>
                <w:color w:val="000000"/>
                <w:sz w:val="24"/>
              </w:rPr>
              <w:t>1.70%</w:t>
            </w:r>
          </w:p>
        </w:tc>
        <w:tc>
          <w:tcPr>
            <w:vAlign w:val="center"/>
          </w:tcPr>
          <w:p>
            <w:pPr>
              <w:jc w:val="right"/>
            </w:pPr>
            <w:r>
              <w:rPr>
                <w:color w:val="000000"/>
                <w:sz w:val="24"/>
              </w:rPr>
              <w:t>-2.99%</w:t>
            </w:r>
          </w:p>
        </w:tc>
        <w:tc>
          <w:tcPr>
            <w:vAlign w:val="center"/>
          </w:tcPr>
          <w:p>
            <w:pPr>
              <w:jc w:val="right"/>
            </w:pPr>
            <w:r>
              <w:rPr>
                <w:color w:val="000000"/>
                <w:sz w:val="24"/>
              </w:rPr>
              <w:t>0.01%</w:t>
            </w:r>
          </w:p>
        </w:tc>
      </w:tr>
      <w:tr>
        <w:tc>
          <w:tcPr>
            <w:vAlign w:val="center"/>
          </w:tcPr>
          <w:p>
            <w:pPr>
              <w:jc w:val="left"/>
            </w:pPr>
            <w:r>
              <w:rPr>
                <w:color w:val="000000"/>
                <w:sz w:val="24"/>
              </w:rPr>
              <w:t>过去五年</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自基金合同生效起至今</w:t>
            </w:r>
          </w:p>
        </w:tc>
        <w:tc>
          <w:tcPr>
            <w:vAlign w:val="center"/>
          </w:tcPr>
          <w:p>
            <w:pPr>
              <w:jc w:val="right"/>
            </w:pPr>
            <w:r>
              <w:rPr>
                <w:color w:val="000000"/>
                <w:sz w:val="24"/>
              </w:rPr>
              <w:t>79.40%</w:t>
            </w:r>
          </w:p>
        </w:tc>
        <w:tc>
          <w:tcPr>
            <w:vAlign w:val="center"/>
          </w:tcPr>
          <w:p>
            <w:pPr>
              <w:jc w:val="right"/>
            </w:pPr>
            <w:r>
              <w:rPr>
                <w:color w:val="000000"/>
                <w:sz w:val="24"/>
              </w:rPr>
              <w:t>1.63%</w:t>
            </w:r>
          </w:p>
        </w:tc>
        <w:tc>
          <w:tcPr>
            <w:vAlign w:val="center"/>
          </w:tcPr>
          <w:p>
            <w:pPr>
              <w:jc w:val="right"/>
            </w:pPr>
            <w:r>
              <w:rPr>
                <w:color w:val="000000"/>
                <w:sz w:val="24"/>
              </w:rPr>
              <w:t>94.55%</w:t>
            </w:r>
          </w:p>
        </w:tc>
        <w:tc>
          <w:tcPr>
            <w:vAlign w:val="center"/>
          </w:tcPr>
          <w:p>
            <w:pPr>
              <w:jc w:val="right"/>
            </w:pPr>
            <w:r>
              <w:rPr>
                <w:color w:val="000000"/>
                <w:sz w:val="24"/>
              </w:rPr>
              <w:t>1.63%</w:t>
            </w:r>
          </w:p>
        </w:tc>
        <w:tc>
          <w:tcPr>
            <w:vAlign w:val="center"/>
          </w:tcPr>
          <w:p>
            <w:pPr>
              <w:jc w:val="right"/>
            </w:pPr>
            <w:r>
              <w:rPr>
                <w:color w:val="000000"/>
                <w:sz w:val="24"/>
              </w:rPr>
              <w:t>-15.15%</w:t>
            </w:r>
          </w:p>
        </w:tc>
        <w:tc>
          <w:tcPr>
            <w:vAlign w:val="center"/>
          </w:tcPr>
          <w:p>
            <w:pPr>
              <w:jc w:val="right"/>
            </w:pPr>
            <w:r>
              <w:rPr>
                <w:color w:val="000000"/>
                <w:sz w:val="24"/>
              </w:rPr>
              <w:t>0.00%</w:t>
            </w:r>
          </w:p>
        </w:tc>
      </w:tr>
    </w:tbl>
    <w:p w:rsidP="00EC4BA3" w:rsidR="00F5013F" w:rsidRDefault="00F5013F" w:rsidRPr="006506EF">
      <w:pPr>
        <w:autoSpaceDE w:val="0"/>
        <w:autoSpaceDN w:val="0"/>
        <w:adjustRightInd w:val="0"/>
        <w:spacing w:line="360" w:lineRule="auto"/>
        <w:jc w:val="left"/>
        <w:rPr>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506EF">
          <w:rPr>
            <w:b/>
            <w:color w:val="000000"/>
            <w:kern w:val="0"/>
            <w:sz w:val="24"/>
          </w:rPr>
          <w:t>3.2.2</w:t>
        </w:r>
        <w:r w:rsidRPr="006506EF">
          <w:rPr>
            <w:b/>
            <w:color w:val="000000"/>
            <w:kern w:val="0"/>
            <w:sz w:val="24"/>
          </w:rPr>
          <w:t xml:space="preserve">　</w:t>
        </w:r>
        <w:r w:rsidR="00DF4456" w:rsidRPr="006506EF">
          <w:rPr>
            <w:rStyle w:val="af8"/>
            <w:color w:val="000000"/>
            <w:sz w:val="24"/>
            <w:shd w:color="auto" w:fill="FFFFFF" w:val="clear"/>
          </w:rPr>
          <w:t>自基金合同生效以来</w:t>
        </w:r>
      </w:smartTag>
      <w:r w:rsidRPr="006506EF">
        <w:rPr>
          <w:b/>
          <w:color w:val="000000"/>
          <w:kern w:val="0"/>
          <w:sz w:val="24"/>
        </w:rPr>
        <w:t>基金累计</w:t>
      </w:r>
      <w:r w:rsidR="000C6EE5" w:rsidRPr="006506EF">
        <w:rPr>
          <w:b/>
          <w:color w:val="000000"/>
          <w:kern w:val="0"/>
          <w:sz w:val="24"/>
        </w:rPr>
        <w:t>份额</w:t>
      </w:r>
      <w:r w:rsidRPr="006506EF">
        <w:rPr>
          <w:b/>
          <w:color w:val="000000"/>
          <w:kern w:val="0"/>
          <w:sz w:val="24"/>
        </w:rPr>
        <w:t>净值增长率变动及其与同期业绩比较基准收益率变动的比较</w:t>
      </w:r>
    </w:p>
    <w:p w:rsidP="00EC4BA3" w:rsidR="00F5013F" w:rsidRDefault="00F5013F" w:rsidRPr="006506EF">
      <w:pPr>
        <w:spacing w:line="360" w:lineRule="auto"/>
        <w:jc w:val="center"/>
        <w:rPr>
          <w:sz w:val="24"/>
        </w:rPr>
      </w:pPr>
      <w:r w:rsidRPr="006506EF">
        <w:rPr>
          <w:sz w:val="24"/>
        </w:rPr>
        <w:t>易方达中证海外中国互联网50交易型开放式指数证券投资基金</w:t>
      </w:r>
    </w:p>
    <w:p w:rsidP="00EC4BA3" w:rsidR="00F5013F" w:rsidRDefault="00F5013F" w:rsidRPr="006506EF">
      <w:pPr>
        <w:pStyle w:val="a5"/>
        <w:snapToGrid w:val="0"/>
        <w:spacing w:line="360" w:lineRule="auto"/>
        <w:ind w:firstLine="480"/>
        <w:jc w:val="center"/>
        <w:rPr>
          <w:rFonts w:ascii="Times New Roman" w:hAnsi="Times New Roman"/>
          <w:color w:val="000000"/>
          <w:sz w:val="24"/>
          <w:szCs w:val="24"/>
        </w:rPr>
      </w:pPr>
      <w:r w:rsidRPr="006506EF">
        <w:rPr>
          <w:rFonts w:ascii="Times New Roman" w:hAnsi="Times New Roman"/>
          <w:color w:val="000000"/>
          <w:sz w:val="24"/>
          <w:szCs w:val="24"/>
        </w:rPr>
        <w:t>累计净值增长率与业绩比较基准收益率的历史走势对比图</w:t>
      </w:r>
    </w:p>
    <w:p w:rsidP="00EC4BA3" w:rsidR="00F5013F" w:rsidRDefault="00F5013F" w:rsidRPr="006506EF">
      <w:pPr>
        <w:spacing w:line="360" w:lineRule="auto"/>
        <w:jc w:val="center"/>
        <w:rPr>
          <w:sz w:val="24"/>
        </w:rPr>
      </w:pPr>
      <w:r w:rsidRPr="006506EF">
        <w:rPr>
          <w:color w:val="000000"/>
          <w:kern w:val="0"/>
          <w:sz w:val="24"/>
        </w:rPr>
        <w:t>（</w:t>
      </w:r>
      <w:r w:rsidRPr="006506EF">
        <w:rPr>
          <w:color w:val="000000"/>
          <w:kern w:val="0"/>
          <w:sz w:val="24"/>
        </w:rPr>
        <w:t>2017年1月4日</w:t>
      </w:r>
      <w:r w:rsidRPr="006506EF">
        <w:rPr>
          <w:color w:val="000000"/>
          <w:kern w:val="0"/>
          <w:sz w:val="24"/>
        </w:rPr>
        <w:t>至</w:t>
      </w:r>
      <w:r w:rsidRPr="006506EF">
        <w:rPr>
          <w:color w:val="000000"/>
          <w:kern w:val="0"/>
          <w:sz w:val="24"/>
        </w:rPr>
        <w:t>2020年6月30日</w:t>
      </w:r>
      <w:r w:rsidRPr="006506EF">
        <w:rPr>
          <w:color w:val="000000"/>
          <w:kern w:val="0"/>
          <w:sz w:val="24"/>
        </w:rPr>
        <w:t>）</w:t>
      </w:r>
    </w:p>
    <w:p w:rsidP="00A96FD9" w:rsidR="00F5013F" w:rsidRDefault="00536368" w:rsidRPr="006506EF">
      <w:pPr>
        <w:tabs>
          <w:tab w:pos="1800" w:val="left"/>
        </w:tabs>
        <w:spacing w:line="360" w:lineRule="auto"/>
        <w:jc w:val="center"/>
        <w:rPr>
          <w:color w:val="000000"/>
          <w:sz w:val="24"/>
        </w:rPr>
      </w:pPr>
      <w:r>
        <w:rPr>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0"/>
          </v:shape>
        </w:pict>
      </w:r>
    </w:p>
    <w:p w:rsidP="00DB3360" w:rsidR="00F5013F" w:rsidRDefault="00F5013F" w:rsidRPr="006506EF">
      <w:pPr>
        <w:spacing w:line="360" w:lineRule="auto"/>
        <w:ind w:firstLine="480" w:firstLineChars="200"/>
        <w:rPr>
          <w:color w:val="000000"/>
          <w:sz w:val="24"/>
        </w:rPr>
      </w:pPr>
      <w:r w:rsidRPr="006506EF">
        <w:rPr>
          <w:color w:val="000000"/>
          <w:sz w:val="24"/>
        </w:rPr>
        <w:t>注：自基金合同生效至报告期末，基金份额净值增长率为79.40％，同期业绩比较基准收益率为94.55％。</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§4  </w:t>
      </w:r>
      <w:r w:rsidRPr="006506EF">
        <w:rPr>
          <w:color w:val="000000"/>
          <w:kern w:val="0"/>
          <w:sz w:val="24"/>
          <w:szCs w:val="24"/>
        </w:rPr>
        <w:t>管理人报告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4.1 </w:t>
      </w:r>
      <w:r w:rsidRPr="006506EF">
        <w:rPr>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F5013F" w:rsidRPr="006506EF" w:rsidTr="00A22642">
        <w:trPr>
          <w:cantSplit/>
          <w:trHeight w:val="292"/>
        </w:trPr>
        <w:tc>
          <w:tcPr>
            <w:tcW w:type="dxa" w:w="851"/>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姓名</w:t>
            </w:r>
          </w:p>
        </w:tc>
        <w:tc>
          <w:tcPr>
            <w:tcW w:type="dxa" w:w="3260"/>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职务</w:t>
            </w:r>
          </w:p>
        </w:tc>
        <w:tc>
          <w:tcPr>
            <w:tcW w:type="dxa" w:w="2552"/>
            <w:gridSpan w:val="2"/>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type="dxa" w:w="850"/>
            <w:vMerge w:val="restart"/>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type="dxa" w:w="1418"/>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说明</w:t>
            </w:r>
          </w:p>
        </w:tc>
      </w:tr>
      <w:tr w:rsidR="00F5013F" w:rsidRPr="006506EF" w:rsidTr="00A22642">
        <w:trPr>
          <w:cantSplit/>
        </w:trPr>
        <w:tc>
          <w:tcPr>
            <w:tcW w:type="dxa" w:w="851"/>
            <w:vMerge/>
            <w:vAlign w:val="center"/>
          </w:tcPr>
          <w:p w:rsidP="00B918B8" w:rsidR="00F5013F" w:rsidRDefault="00F5013F" w:rsidRPr="006506EF">
            <w:pPr>
              <w:widowControl/>
              <w:spacing w:line="360" w:lineRule="auto"/>
              <w:jc w:val="left"/>
              <w:rPr>
                <w:color w:val="000000"/>
                <w:kern w:val="0"/>
                <w:sz w:val="24"/>
              </w:rPr>
            </w:pPr>
          </w:p>
        </w:tc>
        <w:tc>
          <w:tcPr>
            <w:tcW w:type="dxa" w:w="3260"/>
            <w:vMerge/>
            <w:vAlign w:val="center"/>
          </w:tcPr>
          <w:p w:rsidP="00B918B8" w:rsidR="00F5013F" w:rsidRDefault="00F5013F" w:rsidRPr="006506EF">
            <w:pPr>
              <w:widowControl/>
              <w:spacing w:line="360" w:lineRule="auto"/>
              <w:jc w:val="left"/>
              <w:rPr>
                <w:color w:val="000000"/>
                <w:kern w:val="0"/>
                <w:sz w:val="24"/>
              </w:rPr>
            </w:pPr>
          </w:p>
        </w:tc>
        <w:tc>
          <w:tcPr>
            <w:tcW w:type="dxa" w:w="1276"/>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type="dxa" w:w="1276"/>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type="dxa" w:w="850"/>
            <w:vMerge/>
            <w:vAlign w:val="center"/>
          </w:tcPr>
          <w:p w:rsidP="00B918B8" w:rsidR="00F5013F" w:rsidRDefault="00F5013F" w:rsidRPr="006506EF">
            <w:pPr>
              <w:widowControl/>
              <w:spacing w:line="360" w:lineRule="auto"/>
              <w:jc w:val="left"/>
              <w:rPr>
                <w:color w:val="000000"/>
                <w:kern w:val="0"/>
                <w:sz w:val="24"/>
              </w:rPr>
            </w:pPr>
          </w:p>
        </w:tc>
        <w:tc>
          <w:tcPr>
            <w:tcW w:type="dxa" w:w="1418"/>
            <w:vMerge/>
            <w:vAlign w:val="center"/>
          </w:tcPr>
          <w:p w:rsidP="00B918B8" w:rsidR="00F5013F" w:rsidRDefault="00F5013F" w:rsidRPr="006506EF">
            <w:pPr>
              <w:widowControl/>
              <w:spacing w:line="360" w:lineRule="auto"/>
              <w:jc w:val="left"/>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证券公司指数分级证券投资基金的基金经理、易方达军工指数分级证券投资基金的基金经理、易方达中证500交易型开放式指数证券投资基金的基金经理、易方达沪深300交易型开放式指数发起式证券投资基金的基金经理、易方达沪深300交易型开放式指数发起式证券投资基金联接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恒生中国企业交易型开放式指数证券投资基金联接基金的基金经理、易方达恒生中国企业交易型开放式指数证券投资基金的基金经理、易方达黄金交易型开放式证券投资基金联接基金的基金经理、易方达黄金交易型开放式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2017-01-04</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left"/>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标普500指数证券投资基金（LOF）的基金经理、易方达黄金交易型开放式证券投资基金的基金经理、易方达标普生物科技指数证券投资基金（LOF）的基金经理、易方达标普信息科技指数证券投资基金（LOF）的基金经理、易方达黄金交易型开放式证券投资基金联接基金的基金经理、易方达原油证券投资基金（QDII）的基金经理、易方达标普医疗保健指数证券投资基金（LOF）的基金经理、易方达纳斯达克100指数证券投资基金（LOF）的基金经理、易方达MSCI中国A股国际通交易型开放式指数证券投资基金的基金经理、易方达中证海外中国互联网50交易型开放式指数证券投资基金联接基金的基金经理、易方达MSCI中国A股国际通交易型开放式指数证券投资基金发起式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2017-03-25</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left"/>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A70EAB" w:rsidR="00F5013F" w:rsidRDefault="00F5013F" w:rsidRPr="006506EF">
      <w:pPr>
        <w:spacing w:line="360" w:lineRule="auto"/>
        <w:ind w:firstLine="480" w:firstLineChars="200"/>
        <w:rPr>
          <w:color w:val="000000"/>
          <w:sz w:val="24"/>
        </w:rPr>
      </w:pPr>
      <w:r w:rsidRPr="006506EF">
        <w:rPr>
          <w:color w:val="000000"/>
          <w:sz w:val="24"/>
        </w:rPr>
        <w:t>2.证券从业的含义遵从《证券业从业人员资格管理办法》的相关规定。</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4.2 </w:t>
      </w:r>
      <w:r w:rsidRPr="006506EF">
        <w:rPr>
          <w:b/>
          <w:color w:val="000000"/>
          <w:kern w:val="0"/>
          <w:sz w:val="24"/>
        </w:rPr>
        <w:t>境外投资顾问为本基金提供投资建议的主要成员简介</w:t>
      </w:r>
    </w:p>
    <w:p w:rsidP="00A70EAB" w:rsidR="00F5013F" w:rsidRDefault="00F5013F" w:rsidRPr="006506EF">
      <w:pPr>
        <w:spacing w:line="360" w:lineRule="auto"/>
        <w:ind w:firstLine="480" w:firstLineChars="200"/>
        <w:rPr>
          <w:color w:val="000000"/>
          <w:sz w:val="24"/>
        </w:rPr>
      </w:pPr>
      <w:r w:rsidRPr="006506EF">
        <w:rPr>
          <w:color w:val="000000"/>
          <w:sz w:val="24"/>
        </w:rPr>
        <w:t>本基金未聘请境外投资顾问。</w:t>
      </w:r>
    </w:p>
    <w:p w:rsidP="00A70E2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4.3 </w:t>
      </w:r>
      <w:r w:rsidRPr="006506EF">
        <w:rPr>
          <w:b/>
          <w:color w:val="000000"/>
          <w:kern w:val="0"/>
          <w:sz w:val="24"/>
        </w:rPr>
        <w:t>报告期内本基金运作遵规守信情况说明</w:t>
      </w:r>
    </w:p>
    <w:p w:rsidP="00A70EAB" w:rsidR="00F5013F" w:rsidRDefault="00F5013F" w:rsidRPr="006506EF">
      <w:pPr>
        <w:spacing w:line="360" w:lineRule="auto"/>
        <w:ind w:firstLine="480" w:firstLineChars="200"/>
        <w:rPr>
          <w:color w:val="000000"/>
          <w:sz w:val="24"/>
        </w:rPr>
      </w:pPr>
      <w:r w:rsidRPr="006506EF">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A70E2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4.4 </w:t>
      </w:r>
      <w:r w:rsidRPr="006506EF">
        <w:rPr>
          <w:b/>
          <w:color w:val="000000"/>
          <w:kern w:val="0"/>
          <w:sz w:val="24"/>
        </w:rPr>
        <w:t>公平交易专项说明</w:t>
      </w:r>
    </w:p>
    <w:p w:rsidP="00A70E23" w:rsidR="00F5013F" w:rsidRDefault="00F5013F" w:rsidRPr="006506EF">
      <w:pPr>
        <w:spacing w:line="360" w:lineRule="auto"/>
        <w:rPr>
          <w:sz w:val="24"/>
        </w:rPr>
      </w:pPr>
      <w:r w:rsidRPr="006506EF">
        <w:rPr>
          <w:sz w:val="24"/>
        </w:rPr>
        <w:t xml:space="preserve">4.4.1 </w:t>
      </w:r>
      <w:r w:rsidRPr="006506EF">
        <w:rPr>
          <w:sz w:val="24"/>
        </w:rPr>
        <w:t>公平交易制度的执行情况</w:t>
      </w:r>
    </w:p>
    <w:p w:rsidP="00547F92" w:rsidR="00F5013F" w:rsidRDefault="00F5013F" w:rsidRPr="006506EF">
      <w:pPr>
        <w:spacing w:line="360" w:lineRule="auto"/>
        <w:ind w:firstLine="480" w:firstLineChars="200"/>
        <w:rPr>
          <w:color w:val="000000"/>
          <w:sz w:val="24"/>
        </w:rPr>
      </w:pPr>
      <w:r w:rsidRPr="006506EF">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A70E23" w:rsidR="00F5013F" w:rsidRDefault="00F5013F" w:rsidRPr="006506EF">
      <w:pPr>
        <w:spacing w:line="360" w:lineRule="auto"/>
        <w:rPr>
          <w:sz w:val="24"/>
        </w:rPr>
      </w:pPr>
      <w:r w:rsidRPr="006506EF">
        <w:rPr>
          <w:sz w:val="24"/>
        </w:rPr>
        <w:t>4.4.2</w:t>
      </w:r>
      <w:r w:rsidRPr="006506EF">
        <w:rPr>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A70EAB" w:rsidR="00F5013F" w:rsidRDefault="00F5013F" w:rsidRPr="006506EF">
      <w:pPr>
        <w:spacing w:line="360" w:lineRule="auto"/>
        <w:ind w:firstLine="480" w:firstLineChars="200"/>
        <w:rPr>
          <w:color w:val="000000"/>
          <w:sz w:val="24"/>
        </w:rPr>
      </w:pPr>
      <w:r w:rsidRPr="006506EF">
        <w:rPr>
          <w:color w:val="000000"/>
          <w:sz w:val="24"/>
        </w:rPr>
        <w:t>本报告期内，未发现本基金有可能导致不公平交易和利益输送的异常交易。</w:t>
      </w:r>
    </w:p>
    <w:p w:rsidP="00E13203" w:rsidR="00F5013F" w:rsidRDefault="00F5013F" w:rsidRPr="006506EF">
      <w:pPr>
        <w:autoSpaceDE w:val="0"/>
        <w:autoSpaceDN w:val="0"/>
        <w:adjustRightInd w:val="0"/>
        <w:spacing w:line="360" w:lineRule="auto"/>
        <w:jc w:val="left"/>
        <w:rPr>
          <w:sz w:val="24"/>
        </w:rPr>
      </w:pPr>
      <w:r w:rsidRPr="006506EF">
        <w:rPr>
          <w:b/>
          <w:color w:val="000000"/>
          <w:kern w:val="0"/>
          <w:sz w:val="24"/>
        </w:rPr>
        <w:t>4.5</w:t>
      </w:r>
      <w:r w:rsidR="006F7291">
        <w:rPr>
          <w:rFonts w:hint="eastAsia"/>
          <w:b/>
          <w:color w:val="000000"/>
          <w:kern w:val="0"/>
          <w:sz w:val="24"/>
        </w:rPr>
        <w:t xml:space="preserve"> </w:t>
      </w:r>
      <w:r w:rsidR="00E13203" w:rsidRPr="00E13203">
        <w:rPr>
          <w:rFonts w:hint="eastAsia"/>
          <w:b/>
          <w:color w:val="000000"/>
          <w:kern w:val="0"/>
          <w:sz w:val="24"/>
        </w:rPr>
        <w:t>报告期内基金的投资策略和业绩表现说明</w:t>
      </w:r>
    </w:p>
    <w:p>
      <w:pPr>
        <w:spacing w:line="360" w:lineRule="auto"/>
        <w:ind w:firstLine="480" w:firstLineChars="200"/>
        <w:rPr>
          <w:color w:val="000000"/>
          <w:sz w:val="24"/>
        </w:rPr>
      </w:pPr>
      <w:r>
        <w:rPr>
          <w:color w:val="000000"/>
          <w:sz w:val="24"/>
        </w:rPr>
        <w:t>回顾2020年二季度，在货币及财政政策刺激下，美股出现明显反弹，美国重启经济，进一步提高了市场的风险偏好。美联储6月货币政策会议决议鸽派基调明显，符合市场预期，加息路径点阵图显示，利率预计将维持在当前水平直至2022年。全球经济前景仍然充满不确定性，但中国经济复苏的步伐领先全球其他主要经济体，以科技互联网为代表的中国新经济更是体现出了很强的韧性，腾讯和阿里巴巴等中概互联指数代表性公司也交出了超预期的季报。网易和京东相继在香港完成第二上市，IPO期间均获得大幅超额认购，体现了投资者对其前景的认可。</w:t>
      </w:r>
    </w:p>
    <w:p>
      <w:pPr>
        <w:spacing w:line="360" w:lineRule="auto"/>
        <w:ind w:firstLine="480" w:firstLineChars="200"/>
        <w:rPr>
          <w:color w:val="000000"/>
          <w:sz w:val="24"/>
        </w:rPr>
      </w:pPr>
      <w:r>
        <w:rPr>
          <w:color w:val="000000"/>
          <w:sz w:val="24"/>
        </w:rPr>
        <w:t>作为追踪中证海外中国互联网50指数的被动式海外指数基金，我们在操作中严格遵守基金合同，坚持既定的指数化投资策略，力求追踪误差最小化。</w:t>
      </w:r>
    </w:p>
    <w:p w:rsidP="00A70EAB" w:rsidR="00F5013F" w:rsidRDefault="00F5013F" w:rsidRPr="006506EF">
      <w:pPr>
        <w:spacing w:line="360" w:lineRule="auto"/>
        <w:ind w:firstLine="480" w:firstLineChars="200"/>
        <w:rPr>
          <w:color w:val="000000"/>
          <w:sz w:val="24"/>
        </w:rPr>
      </w:pPr>
      <w:r w:rsidRPr="006506EF">
        <w:rPr>
          <w:color w:val="000000"/>
          <w:sz w:val="24"/>
        </w:rPr>
        <w:t/>
      </w:r>
      <w:r w:rsidR="00E13203" w:rsidRPr="00E13203">
        <w:rPr>
          <w:color w:val="000000"/>
          <w:sz w:val="24"/>
        </w:rPr>
        <w:t/>
      </w:r>
      <w:r w:rsidRPr="006506EF">
        <w:rPr>
          <w:color w:val="000000"/>
          <w:sz w:val="24"/>
        </w:rPr>
        <w:t>截至报告期末，本基金份额净值为1.7940元，本报告期份额净值增长率为30.84%，同期业绩比较基准收益率为31.22%，年化跟踪误差0.342%，在合同规定的目标控制范围之内。</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§5  </w:t>
      </w:r>
      <w:r w:rsidRPr="006506EF">
        <w:rPr>
          <w:color w:val="000000"/>
          <w:kern w:val="0"/>
          <w:sz w:val="24"/>
          <w:szCs w:val="24"/>
        </w:rPr>
        <w:t>投资组合报告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5.1 </w:t>
      </w:r>
      <w:r w:rsidRPr="006506EF">
        <w:rPr>
          <w:b/>
          <w:color w:val="000000"/>
          <w:kern w:val="0"/>
          <w:sz w:val="24"/>
        </w:rPr>
        <w:t>报告期末基金资产组合情况</w:t>
      </w:r>
    </w:p>
    <w:tbl>
      <w:tblPr>
        <w:tblW w:type="dxa" w:w="9498"/>
        <w:jc w:val="center"/>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4253"/>
        <w:gridCol w:w="2835"/>
        <w:gridCol w:w="1559"/>
      </w:tblGrid>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序号</w:t>
            </w:r>
          </w:p>
        </w:tc>
        <w:tc>
          <w:tcPr>
            <w:tcW w:type="dxa" w:w="4253"/>
            <w:vAlign w:val="center"/>
          </w:tcPr>
          <w:p w:rsidP="00B918B8" w:rsidR="00F5013F" w:rsidRDefault="00F5013F" w:rsidRPr="006506EF">
            <w:pPr>
              <w:spacing w:before="29" w:line="360" w:lineRule="auto"/>
              <w:ind w:left="17"/>
              <w:jc w:val="center"/>
              <w:rPr>
                <w:color w:val="000000"/>
                <w:sz w:val="24"/>
              </w:rPr>
            </w:pPr>
            <w:r w:rsidRPr="006506EF">
              <w:rPr>
                <w:color w:val="000000"/>
                <w:sz w:val="24"/>
              </w:rPr>
              <w:t>项目</w:t>
            </w:r>
            <w:r w:rsidRPr="006506EF">
              <w:rPr>
                <w:color w:val="000000"/>
                <w:sz w:val="24"/>
              </w:rPr>
              <w:t/>
            </w:r>
          </w:p>
        </w:tc>
        <w:tc>
          <w:tcPr>
            <w:tcW w:type="dxa" w:w="2835"/>
            <w:vAlign w:val="center"/>
          </w:tcPr>
          <w:p w:rsidP="00B918B8" w:rsidR="00F5013F" w:rsidRDefault="00F5013F" w:rsidRPr="006506EF">
            <w:pPr>
              <w:spacing w:before="29" w:line="360" w:lineRule="auto"/>
              <w:ind w:left="17"/>
              <w:jc w:val="center"/>
              <w:rPr>
                <w:color w:val="000000"/>
                <w:sz w:val="24"/>
              </w:rPr>
            </w:pPr>
            <w:r w:rsidRPr="006506EF">
              <w:rPr>
                <w:color w:val="000000"/>
                <w:sz w:val="24"/>
              </w:rPr>
              <w:t>金额</w:t>
            </w:r>
            <w:r w:rsidRPr="006506EF">
              <w:rPr>
                <w:color w:val="000000"/>
                <w:sz w:val="24"/>
              </w:rPr>
              <w:t>(</w:t>
            </w:r>
            <w:r w:rsidRPr="006506EF">
              <w:rPr>
                <w:color w:val="000000"/>
                <w:sz w:val="24"/>
              </w:rPr>
              <w:t>人民币元</w:t>
            </w:r>
            <w:r w:rsidRPr="006506EF">
              <w:rPr>
                <w:color w:val="000000"/>
                <w:sz w:val="24"/>
              </w:rPr>
              <w:t>)</w:t>
            </w:r>
          </w:p>
        </w:tc>
        <w:tc>
          <w:tcPr>
            <w:tcW w:type="dxa" w:w="1559"/>
            <w:vAlign w:val="center"/>
          </w:tcPr>
          <w:p w:rsidP="00B918B8" w:rsidR="00F5013F" w:rsidRDefault="00F5013F" w:rsidRPr="006506EF">
            <w:pPr>
              <w:spacing w:before="29" w:line="360" w:lineRule="auto"/>
              <w:ind w:left="17"/>
              <w:jc w:val="center"/>
              <w:rPr>
                <w:color w:val="000000"/>
                <w:sz w:val="24"/>
              </w:rPr>
            </w:pPr>
            <w:r w:rsidRPr="006506EF">
              <w:rPr>
                <w:color w:val="000000"/>
                <w:sz w:val="24"/>
              </w:rPr>
              <w:t>占基金总资产的比例</w:t>
            </w: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1</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权益投资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3,403,998,185.52</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97.68</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其中：普通股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1,547,793,378.86</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44.42</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存托凭证</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1,856,204,806.66</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53.27</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优先股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房地产信托</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tcPr>
          <w:p w:rsidP="00B25BE8" w:rsidR="00F5013F" w:rsidRDefault="00F5013F" w:rsidRPr="006506EF">
            <w:pPr>
              <w:adjustRightInd w:val="0"/>
              <w:snapToGrid w:val="0"/>
              <w:spacing w:line="400" w:lineRule="exact"/>
              <w:jc w:val="center"/>
              <w:rPr>
                <w:color w:val="000000"/>
                <w:sz w:val="24"/>
              </w:rPr>
            </w:pPr>
            <w:r w:rsidRPr="006506EF">
              <w:rPr>
                <w:color w:val="000000"/>
                <w:sz w:val="24"/>
              </w:rPr>
              <w:t>2</w:t>
            </w: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基金投资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lastRenderedPageBreak/>
              <w:t>3</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固定收益投资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其中：债券</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autoSpaceDE w:val="0"/>
              <w:autoSpaceDN w:val="0"/>
              <w:adjustRightInd w:val="0"/>
              <w:spacing w:before="29" w:line="360" w:lineRule="auto"/>
              <w:ind w:firstLine="720" w:firstLineChars="300" w:left="17"/>
              <w:jc w:val="left"/>
              <w:rPr>
                <w:color w:val="000000"/>
                <w:sz w:val="24"/>
              </w:rPr>
            </w:pPr>
            <w:r w:rsidRPr="006506EF">
              <w:rPr>
                <w:color w:val="000000"/>
                <w:sz w:val="24"/>
              </w:rPr>
              <w:t>资产支持证券</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4</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金融衍生品投资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其中：远期</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Del="00455464" w:rsidP="00547F92" w:rsidR="00F5013F" w:rsidRDefault="00F5013F" w:rsidRPr="006506EF">
            <w:pPr>
              <w:adjustRightInd w:val="0"/>
              <w:snapToGrid w:val="0"/>
              <w:spacing w:line="400" w:lineRule="exact"/>
              <w:ind w:firstLine="720" w:firstLineChars="300"/>
              <w:rPr>
                <w:color w:val="000000"/>
                <w:sz w:val="24"/>
              </w:rPr>
            </w:pPr>
            <w:r w:rsidRPr="006506EF">
              <w:rPr>
                <w:color w:val="000000"/>
                <w:sz w:val="24"/>
              </w:rPr>
              <w:t>期货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547F92" w:rsidR="00F5013F" w:rsidRDefault="00F5013F" w:rsidRPr="006506EF">
            <w:pPr>
              <w:adjustRightInd w:val="0"/>
              <w:snapToGrid w:val="0"/>
              <w:spacing w:line="400" w:lineRule="exact"/>
              <w:ind w:firstLine="720" w:firstLineChars="300"/>
              <w:rPr>
                <w:color w:val="000000"/>
                <w:sz w:val="24"/>
              </w:rPr>
            </w:pPr>
            <w:r w:rsidRPr="006506EF">
              <w:rPr>
                <w:color w:val="000000"/>
                <w:sz w:val="24"/>
              </w:rPr>
              <w:t>期权</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547F92" w:rsidR="00F5013F" w:rsidRDefault="00F5013F" w:rsidRPr="006506EF">
            <w:pPr>
              <w:adjustRightInd w:val="0"/>
              <w:snapToGrid w:val="0"/>
              <w:spacing w:line="400" w:lineRule="exact"/>
              <w:ind w:firstLine="715" w:firstLineChars="298"/>
              <w:rPr>
                <w:color w:val="000000"/>
                <w:sz w:val="24"/>
              </w:rPr>
            </w:pPr>
            <w:r w:rsidRPr="006506EF">
              <w:rPr>
                <w:color w:val="000000"/>
                <w:sz w:val="24"/>
              </w:rPr>
              <w:t>权证</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5</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买入返售金融资产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其中：买断式回购的买入返售金融资产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tcPr>
          <w:p w:rsidP="00B25BE8" w:rsidR="00F5013F" w:rsidRDefault="00F5013F" w:rsidRPr="006506EF">
            <w:pPr>
              <w:adjustRightInd w:val="0"/>
              <w:snapToGrid w:val="0"/>
              <w:spacing w:line="400" w:lineRule="exact"/>
              <w:jc w:val="center"/>
              <w:rPr>
                <w:color w:val="000000"/>
                <w:sz w:val="24"/>
              </w:rPr>
            </w:pPr>
            <w:r w:rsidRPr="006506EF">
              <w:rPr>
                <w:color w:val="000000"/>
                <w:sz w:val="24"/>
              </w:rPr>
              <w:t>6</w:t>
            </w: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货币市场工具</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7</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银行存款和结算备付金合计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80,725,630.72</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2.32</w:t>
            </w:r>
          </w:p>
        </w:tc>
      </w:tr>
      <w:tr w:rsidR="00F5013F" w:rsidRPr="006506EF" w:rsidTr="0078767E">
        <w:trPr>
          <w:jc w:val="center"/>
        </w:trPr>
        <w:tc>
          <w:tcPr>
            <w:tcW w:type="dxa" w:w="851"/>
            <w:vAlign w:val="center"/>
          </w:tcPr>
          <w:p w:rsidP="00466B17" w:rsidR="00F5013F" w:rsidRDefault="00F5013F" w:rsidRPr="006506EF">
            <w:pPr>
              <w:spacing w:before="29" w:line="360" w:lineRule="auto"/>
              <w:ind w:left="17"/>
              <w:jc w:val="center"/>
              <w:rPr>
                <w:color w:val="000000"/>
                <w:sz w:val="24"/>
              </w:rPr>
            </w:pPr>
            <w:r w:rsidRPr="006506EF">
              <w:rPr>
                <w:color w:val="000000"/>
                <w:sz w:val="24"/>
              </w:rPr>
              <w:t>8</w:t>
            </w:r>
          </w:p>
        </w:tc>
        <w:tc>
          <w:tcPr>
            <w:tcW w:type="dxa" w:w="4253"/>
            <w:vAlign w:val="center"/>
          </w:tcPr>
          <w:p w:rsidP="00B918B8" w:rsidR="00F5013F" w:rsidRDefault="00F5013F" w:rsidRPr="006506EF">
            <w:pPr>
              <w:jc w:val="left"/>
              <w:rPr>
                <w:sz w:val="24"/>
              </w:rPr>
            </w:pPr>
            <w:r w:rsidRPr="006506EF">
              <w:rPr>
                <w:color w:val="000000"/>
                <w:sz w:val="24"/>
              </w:rPr>
              <w:t>其他资产</w:t>
            </w:r>
          </w:p>
        </w:tc>
        <w:tc>
          <w:tcPr>
            <w:tcW w:type="dxa" w:w="2835"/>
            <w:vAlign w:val="center"/>
          </w:tcPr>
          <w:p w:rsidP="00BF1DD5" w:rsidR="00F5013F" w:rsidRDefault="00F5013F" w:rsidRPr="006506EF">
            <w:pPr>
              <w:jc w:val="right"/>
              <w:rPr>
                <w:color w:val="000000"/>
                <w:sz w:val="24"/>
              </w:rPr>
            </w:pPr>
            <w:r w:rsidRPr="006506EF">
              <w:rPr>
                <w:color w:val="000000"/>
                <w:sz w:val="24"/>
              </w:rPr>
              <w:t>44,722.65</w:t>
            </w:r>
          </w:p>
        </w:tc>
        <w:tc>
          <w:tcPr>
            <w:tcW w:type="dxa" w:w="1559"/>
            <w:vAlign w:val="center"/>
          </w:tcPr>
          <w:p w:rsidP="00BF1DD5" w:rsidR="00F5013F" w:rsidRDefault="00F5013F" w:rsidRPr="006506EF">
            <w:pPr>
              <w:jc w:val="right"/>
              <w:rPr>
                <w:color w:val="000000"/>
                <w:sz w:val="24"/>
              </w:rPr>
            </w:pPr>
            <w:r w:rsidRPr="006506EF">
              <w:rPr>
                <w:color w:val="000000"/>
                <w:sz w:val="24"/>
              </w:rPr>
              <w:t>0.00</w:t>
            </w:r>
          </w:p>
        </w:tc>
      </w:tr>
      <w:tr w:rsidR="00F5013F" w:rsidRPr="006506EF" w:rsidTr="0078767E">
        <w:trPr>
          <w:jc w:val="center"/>
        </w:trPr>
        <w:tc>
          <w:tcPr>
            <w:tcW w:type="dxa" w:w="851"/>
            <w:vAlign w:val="center"/>
          </w:tcPr>
          <w:p w:rsidP="00466B17" w:rsidR="00F5013F" w:rsidRDefault="00F5013F" w:rsidRPr="006506EF">
            <w:pPr>
              <w:spacing w:before="29" w:line="360" w:lineRule="auto"/>
              <w:ind w:left="17"/>
              <w:jc w:val="center"/>
              <w:rPr>
                <w:color w:val="000000"/>
                <w:sz w:val="24"/>
              </w:rPr>
            </w:pPr>
            <w:r w:rsidRPr="006506EF">
              <w:rPr>
                <w:color w:val="000000"/>
                <w:sz w:val="24"/>
              </w:rPr>
              <w:t>9</w:t>
            </w:r>
          </w:p>
        </w:tc>
        <w:tc>
          <w:tcPr>
            <w:tcW w:type="dxa" w:w="4253"/>
            <w:vAlign w:val="center"/>
          </w:tcPr>
          <w:p w:rsidP="00B918B8" w:rsidR="00F5013F" w:rsidRDefault="00F5013F" w:rsidRPr="006506EF">
            <w:pPr>
              <w:jc w:val="left"/>
              <w:rPr>
                <w:sz w:val="24"/>
              </w:rPr>
            </w:pPr>
            <w:r w:rsidRPr="006506EF">
              <w:rPr>
                <w:color w:val="000000"/>
                <w:sz w:val="24"/>
              </w:rPr>
              <w:t>合计</w:t>
            </w:r>
          </w:p>
        </w:tc>
        <w:tc>
          <w:tcPr>
            <w:tcW w:type="dxa" w:w="2835"/>
            <w:vAlign w:val="center"/>
          </w:tcPr>
          <w:p w:rsidP="00BF1DD5" w:rsidR="00F5013F" w:rsidRDefault="00F5013F" w:rsidRPr="006506EF">
            <w:pPr>
              <w:jc w:val="right"/>
              <w:rPr>
                <w:color w:val="000000"/>
                <w:sz w:val="24"/>
              </w:rPr>
            </w:pPr>
            <w:r w:rsidRPr="006506EF">
              <w:rPr>
                <w:color w:val="000000"/>
                <w:sz w:val="24"/>
              </w:rPr>
              <w:t>3,484,768,538.89</w:t>
            </w:r>
          </w:p>
        </w:tc>
        <w:tc>
          <w:tcPr>
            <w:tcW w:type="dxa" w:w="1559"/>
            <w:vAlign w:val="center"/>
          </w:tcPr>
          <w:p w:rsidP="00BF1DD5" w:rsidR="00F5013F" w:rsidRDefault="00F5013F" w:rsidRPr="006506EF">
            <w:pPr>
              <w:jc w:val="right"/>
              <w:rPr>
                <w:color w:val="000000"/>
                <w:sz w:val="24"/>
              </w:rPr>
            </w:pPr>
            <w:r w:rsidRPr="006506EF">
              <w:rPr>
                <w:color w:val="000000"/>
                <w:sz w:val="24"/>
              </w:rPr>
              <w:t>100.00</w:t>
            </w:r>
          </w:p>
        </w:tc>
      </w:tr>
    </w:tbl>
    <w:p>
      <w:pPr>
        <w:spacing w:line="360" w:lineRule="auto"/>
        <w:ind w:firstLine="480" w:firstLineChars="200"/>
        <w:rPr>
          <w:color w:val="000000"/>
          <w:sz w:val="24"/>
        </w:rPr>
      </w:pPr>
      <w:r>
        <w:rPr>
          <w:color w:val="000000"/>
          <w:sz w:val="24"/>
        </w:rPr>
        <w:t>注：1.上表中的权益投资项含可退替代款估值增值，而5.2和5.3的合计项不含可退替代款估值增值。</w:t>
      </w:r>
    </w:p>
    <w:p w:rsidP="00A70EAB" w:rsidR="00F5013F" w:rsidRDefault="00F5013F" w:rsidRPr="006506EF">
      <w:pPr>
        <w:spacing w:line="360" w:lineRule="auto"/>
        <w:ind w:firstLine="480" w:firstLineChars="200"/>
        <w:rPr>
          <w:color w:val="000000"/>
          <w:sz w:val="24"/>
        </w:rPr>
      </w:pPr>
      <w:r w:rsidRPr="006506EF">
        <w:rPr>
          <w:color w:val="000000"/>
          <w:sz w:val="24"/>
        </w:rPr>
        <w:t xml:space="preserve">2.本基金本报告期末通过港股通交易机制投资的港股市值为327,987,355.26元,占净值比例9.53%。 </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5.2 </w:t>
      </w:r>
      <w:r w:rsidRPr="006506EF">
        <w:rPr>
          <w:b/>
          <w:color w:val="000000"/>
          <w:kern w:val="0"/>
          <w:sz w:val="24"/>
        </w:rPr>
        <w:t>报告期末在各个国家（地区）证券市场的股票及存托凭证投资分布</w:t>
      </w:r>
    </w:p>
    <w:tbl>
      <w:tblPr>
        <w:tblW w:type="dxa" w:w="860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410"/>
        <w:gridCol w:w="3118"/>
        <w:gridCol w:w="3076"/>
      </w:tblGrid>
      <w:tr w:rsidR="00F5013F" w:rsidRPr="006506EF" w:rsidTr="0007178B">
        <w:trPr>
          <w:jc w:val="center"/>
        </w:trPr>
        <w:tc>
          <w:tcPr>
            <w:tcW w:type="dxa" w:w="2410"/>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国家（地区）</w:t>
            </w:r>
            <w:r w:rsidR="00FC55D1" w:rsidRPr="006506EF">
              <w:rPr>
                <w:color w:val="000000"/>
                <w:kern w:val="0"/>
                <w:sz w:val="24"/>
              </w:rPr>
              <w:t/>
            </w:r>
          </w:p>
        </w:tc>
        <w:tc>
          <w:tcPr>
            <w:tcW w:type="dxa" w:w="3118"/>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公允价值</w:t>
            </w:r>
            <w:r w:rsidRPr="006506EF">
              <w:rPr>
                <w:color w:val="000000"/>
                <w:kern w:val="0"/>
                <w:sz w:val="24"/>
              </w:rPr>
              <w:t>(</w:t>
            </w:r>
            <w:r w:rsidRPr="006506EF">
              <w:rPr>
                <w:color w:val="000000"/>
                <w:kern w:val="0"/>
                <w:sz w:val="24"/>
              </w:rPr>
              <w:t>人民币元</w:t>
            </w:r>
            <w:r w:rsidRPr="006506EF">
              <w:rPr>
                <w:color w:val="000000"/>
                <w:kern w:val="0"/>
                <w:sz w:val="24"/>
              </w:rPr>
              <w:t>)</w:t>
            </w:r>
          </w:p>
        </w:tc>
        <w:tc>
          <w:tcPr>
            <w:tcW w:type="dxa" w:w="3076"/>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tc>
          <w:tcPr>
            <w:vAlign w:val="center"/>
          </w:tcPr>
          <w:p>
            <w:pPr>
              <w:jc w:val="left"/>
            </w:pPr>
            <w:r>
              <w:rPr>
                <w:color w:val="000000"/>
                <w:sz w:val="24"/>
              </w:rPr>
              <w:t>美国</w:t>
            </w:r>
          </w:p>
        </w:tc>
        <w:tc>
          <w:tcPr>
            <w:vAlign w:val="center"/>
          </w:tcPr>
          <w:p>
            <w:pPr>
              <w:jc w:val="right"/>
            </w:pPr>
            <w:r>
              <w:rPr>
                <w:color w:val="000000"/>
                <w:sz w:val="24"/>
              </w:rPr>
              <w:t>1,863,534,363.17</w:t>
            </w:r>
          </w:p>
        </w:tc>
        <w:tc>
          <w:tcPr>
            <w:vAlign w:val="center"/>
          </w:tcPr>
          <w:p>
            <w:pPr>
              <w:jc w:val="right"/>
            </w:pPr>
            <w:r>
              <w:rPr>
                <w:color w:val="000000"/>
                <w:sz w:val="24"/>
              </w:rPr>
              <w:t>54.15</w:t>
            </w:r>
          </w:p>
        </w:tc>
      </w:tr>
      <w:tr>
        <w:tc>
          <w:tcPr>
            <w:vAlign w:val="center"/>
          </w:tcPr>
          <w:p>
            <w:pPr>
              <w:jc w:val="left"/>
            </w:pPr>
            <w:r>
              <w:rPr>
                <w:color w:val="000000"/>
                <w:sz w:val="24"/>
              </w:rPr>
              <w:t>中国香港</w:t>
            </w:r>
          </w:p>
        </w:tc>
        <w:tc>
          <w:tcPr>
            <w:vAlign w:val="center"/>
          </w:tcPr>
          <w:p>
            <w:pPr>
              <w:jc w:val="right"/>
            </w:pPr>
            <w:r>
              <w:rPr>
                <w:color w:val="000000"/>
                <w:sz w:val="24"/>
              </w:rPr>
              <w:t>1,540,463,822.35</w:t>
            </w:r>
          </w:p>
        </w:tc>
        <w:tc>
          <w:tcPr>
            <w:vAlign w:val="center"/>
          </w:tcPr>
          <w:p>
            <w:pPr>
              <w:jc w:val="right"/>
            </w:pPr>
            <w:r>
              <w:rPr>
                <w:color w:val="000000"/>
                <w:sz w:val="24"/>
              </w:rPr>
              <w:t>44.76</w:t>
            </w:r>
          </w:p>
        </w:tc>
      </w:tr>
      <w:tr w:rsidR="00F5013F" w:rsidRPr="006506EF" w:rsidTr="0007178B">
        <w:trPr>
          <w:jc w:val="center"/>
        </w:trPr>
        <w:tc>
          <w:tcPr>
            <w:tcW w:type="dxa" w:w="2410"/>
          </w:tcPr>
          <w:p w:rsidP="0007178B" w:rsidR="00F5013F" w:rsidRDefault="00F5013F" w:rsidRPr="006506EF">
            <w:pPr>
              <w:autoSpaceDE w:val="0"/>
              <w:autoSpaceDN w:val="0"/>
              <w:adjustRightInd w:val="0"/>
              <w:spacing w:before="29" w:line="360" w:lineRule="auto"/>
              <w:jc w:val="center"/>
              <w:rPr>
                <w:color w:val="000000"/>
                <w:sz w:val="24"/>
              </w:rPr>
            </w:pPr>
            <w:r w:rsidRPr="006506EF">
              <w:rPr>
                <w:color w:val="000000"/>
                <w:sz w:val="24"/>
              </w:rPr>
              <w:t>合计</w:t>
            </w:r>
          </w:p>
        </w:tc>
        <w:tc>
          <w:tcPr>
            <w:tcW w:type="dxa" w:w="3118"/>
          </w:tcPr>
          <w:p w:rsidP="0007178B" w:rsidR="00F5013F" w:rsidRDefault="00F5013F" w:rsidRPr="006506EF">
            <w:pPr>
              <w:autoSpaceDE w:val="0"/>
              <w:autoSpaceDN w:val="0"/>
              <w:adjustRightInd w:val="0"/>
              <w:spacing w:before="29" w:line="360" w:lineRule="auto"/>
              <w:jc w:val="right"/>
              <w:rPr>
                <w:color w:val="000000"/>
                <w:sz w:val="24"/>
              </w:rPr>
            </w:pPr>
            <w:r w:rsidRPr="006506EF">
              <w:rPr>
                <w:color w:val="000000"/>
                <w:sz w:val="24"/>
              </w:rPr>
              <w:t>3,403,998,185.52</w:t>
            </w:r>
          </w:p>
        </w:tc>
        <w:tc>
          <w:tcPr>
            <w:tcW w:type="dxa" w:w="3076"/>
          </w:tcPr>
          <w:p w:rsidP="0007178B" w:rsidR="00F5013F" w:rsidRDefault="00F5013F" w:rsidRPr="006506EF">
            <w:pPr>
              <w:autoSpaceDE w:val="0"/>
              <w:autoSpaceDN w:val="0"/>
              <w:adjustRightInd w:val="0"/>
              <w:spacing w:before="29" w:line="360" w:lineRule="auto"/>
              <w:jc w:val="right"/>
              <w:rPr>
                <w:color w:val="000000"/>
                <w:sz w:val="24"/>
              </w:rPr>
            </w:pPr>
            <w:r w:rsidRPr="006506EF">
              <w:rPr>
                <w:color w:val="000000"/>
                <w:sz w:val="24"/>
              </w:rPr>
              <w:t>98.90</w:t>
            </w:r>
          </w:p>
        </w:tc>
      </w:tr>
    </w:tbl>
    <w:p>
      <w:pPr>
        <w:spacing w:line="360" w:lineRule="auto"/>
        <w:ind w:firstLine="480" w:firstLineChars="200"/>
        <w:rPr>
          <w:color w:val="000000"/>
          <w:sz w:val="24"/>
        </w:rPr>
      </w:pPr>
      <w:r>
        <w:rPr>
          <w:color w:val="000000"/>
          <w:sz w:val="24"/>
        </w:rPr>
        <w:t>注：1.国家（地区）类别根据其所在的证券交易所确定。</w:t>
      </w:r>
    </w:p>
    <w:p w:rsidP="00A70EAB" w:rsidR="00F5013F" w:rsidRDefault="00F5013F" w:rsidRPr="006506EF">
      <w:pPr>
        <w:spacing w:line="360" w:lineRule="auto"/>
        <w:ind w:firstLine="480" w:firstLineChars="200"/>
        <w:rPr>
          <w:color w:val="000000"/>
          <w:sz w:val="24"/>
        </w:rPr>
      </w:pPr>
      <w:r w:rsidRPr="006506EF">
        <w:rPr>
          <w:color w:val="000000"/>
          <w:sz w:val="24"/>
        </w:rPr>
        <w:t>2.ADR、GDR按照存托凭证本身挂牌的证券交易所确定。</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5.3 </w:t>
      </w:r>
      <w:r w:rsidRPr="006506EF">
        <w:rPr>
          <w:b/>
          <w:color w:val="000000"/>
          <w:kern w:val="0"/>
          <w:sz w:val="24"/>
        </w:rPr>
        <w:t>报告期末按行业分类的股票及存托凭证投资组合</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787"/>
        <w:gridCol w:w="2551"/>
        <w:gridCol w:w="3175"/>
      </w:tblGrid>
      <w:tr w:rsidR="00F5013F" w:rsidRPr="006506EF" w:rsidTr="0007178B">
        <w:tc>
          <w:tcPr>
            <w:tcW w:type="dxa" w:w="2787"/>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行业类别</w:t>
            </w:r>
            <w:r w:rsidRPr="006506EF">
              <w:rPr>
                <w:color w:val="000000"/>
                <w:kern w:val="0"/>
                <w:sz w:val="24"/>
              </w:rPr>
              <w:t/>
            </w:r>
          </w:p>
        </w:tc>
        <w:tc>
          <w:tcPr>
            <w:tcW w:type="dxa" w:w="2551"/>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公允价值（人民币元）</w:t>
            </w:r>
          </w:p>
        </w:tc>
        <w:tc>
          <w:tcPr>
            <w:tcW w:type="dxa" w:w="3175"/>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tc>
          <w:tcPr>
            <w:vAlign w:val="center"/>
          </w:tcPr>
          <w:p>
            <w:pPr>
              <w:jc w:val="left"/>
            </w:pPr>
            <w:r>
              <w:rPr>
                <w:color w:val="000000"/>
                <w:sz w:val="24"/>
              </w:rPr>
              <w:t>能源</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材料</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工业</w:t>
            </w:r>
          </w:p>
        </w:tc>
        <w:tc>
          <w:tcPr>
            <w:vAlign w:val="center"/>
          </w:tcPr>
          <w:p>
            <w:pPr>
              <w:jc w:val="right"/>
            </w:pPr>
            <w:r>
              <w:rPr>
                <w:color w:val="000000"/>
                <w:sz w:val="24"/>
              </w:rPr>
              <w:t>7,503,615.57</w:t>
            </w:r>
          </w:p>
        </w:tc>
        <w:tc>
          <w:tcPr>
            <w:vAlign w:val="center"/>
          </w:tcPr>
          <w:p>
            <w:pPr>
              <w:jc w:val="right"/>
            </w:pPr>
            <w:r>
              <w:rPr>
                <w:color w:val="000000"/>
                <w:sz w:val="24"/>
              </w:rPr>
              <w:t>0.22</w:t>
            </w:r>
          </w:p>
        </w:tc>
      </w:tr>
      <w:tr>
        <w:tc>
          <w:tcPr>
            <w:vAlign w:val="center"/>
          </w:tcPr>
          <w:p>
            <w:pPr>
              <w:jc w:val="left"/>
            </w:pPr>
            <w:r>
              <w:rPr>
                <w:color w:val="000000"/>
                <w:sz w:val="24"/>
              </w:rPr>
              <w:t>非必需消费品</w:t>
            </w:r>
          </w:p>
        </w:tc>
        <w:tc>
          <w:tcPr>
            <w:vAlign w:val="center"/>
          </w:tcPr>
          <w:p>
            <w:pPr>
              <w:jc w:val="right"/>
            </w:pPr>
            <w:r>
              <w:rPr>
                <w:color w:val="000000"/>
                <w:sz w:val="24"/>
              </w:rPr>
              <w:t>1,802,963,699.53</w:t>
            </w:r>
          </w:p>
        </w:tc>
        <w:tc>
          <w:tcPr>
            <w:vAlign w:val="center"/>
          </w:tcPr>
          <w:p>
            <w:pPr>
              <w:jc w:val="right"/>
            </w:pPr>
            <w:r>
              <w:rPr>
                <w:color w:val="000000"/>
                <w:sz w:val="24"/>
              </w:rPr>
              <w:t>52.39</w:t>
            </w:r>
          </w:p>
        </w:tc>
      </w:tr>
      <w:tr>
        <w:tc>
          <w:tcPr>
            <w:vAlign w:val="center"/>
          </w:tcPr>
          <w:p>
            <w:pPr>
              <w:jc w:val="left"/>
            </w:pPr>
            <w:r>
              <w:rPr>
                <w:color w:val="000000"/>
                <w:sz w:val="24"/>
              </w:rPr>
              <w:t>必需消费品</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保健</w:t>
            </w:r>
          </w:p>
        </w:tc>
        <w:tc>
          <w:tcPr>
            <w:vAlign w:val="center"/>
          </w:tcPr>
          <w:p>
            <w:pPr>
              <w:jc w:val="right"/>
            </w:pPr>
            <w:r>
              <w:rPr>
                <w:color w:val="000000"/>
                <w:sz w:val="24"/>
              </w:rPr>
              <w:t>55,629,317.27</w:t>
            </w:r>
          </w:p>
        </w:tc>
        <w:tc>
          <w:tcPr>
            <w:vAlign w:val="center"/>
          </w:tcPr>
          <w:p>
            <w:pPr>
              <w:jc w:val="right"/>
            </w:pPr>
            <w:r>
              <w:rPr>
                <w:color w:val="000000"/>
                <w:sz w:val="24"/>
              </w:rPr>
              <w:t>1.62</w:t>
            </w:r>
          </w:p>
        </w:tc>
      </w:tr>
      <w:tr>
        <w:tc>
          <w:tcPr>
            <w:vAlign w:val="center"/>
          </w:tcPr>
          <w:p>
            <w:pPr>
              <w:jc w:val="left"/>
            </w:pPr>
            <w:r>
              <w:rPr>
                <w:color w:val="000000"/>
                <w:sz w:val="24"/>
              </w:rPr>
              <w:t>金融</w:t>
            </w:r>
          </w:p>
        </w:tc>
        <w:tc>
          <w:tcPr>
            <w:vAlign w:val="center"/>
          </w:tcPr>
          <w:p>
            <w:pPr>
              <w:jc w:val="right"/>
            </w:pPr>
            <w:r>
              <w:rPr>
                <w:color w:val="000000"/>
                <w:sz w:val="24"/>
              </w:rPr>
              <w:t>5,805,487.08</w:t>
            </w:r>
          </w:p>
        </w:tc>
        <w:tc>
          <w:tcPr>
            <w:vAlign w:val="center"/>
          </w:tcPr>
          <w:p>
            <w:pPr>
              <w:jc w:val="right"/>
            </w:pPr>
            <w:r>
              <w:rPr>
                <w:color w:val="000000"/>
                <w:sz w:val="24"/>
              </w:rPr>
              <w:t>0.17</w:t>
            </w:r>
          </w:p>
        </w:tc>
      </w:tr>
      <w:tr>
        <w:tc>
          <w:tcPr>
            <w:vAlign w:val="center"/>
          </w:tcPr>
          <w:p>
            <w:pPr>
              <w:jc w:val="left"/>
            </w:pPr>
            <w:r>
              <w:rPr>
                <w:color w:val="000000"/>
                <w:sz w:val="24"/>
              </w:rPr>
              <w:t>信息技术</w:t>
            </w:r>
          </w:p>
        </w:tc>
        <w:tc>
          <w:tcPr>
            <w:vAlign w:val="center"/>
          </w:tcPr>
          <w:p>
            <w:pPr>
              <w:jc w:val="right"/>
            </w:pPr>
            <w:r>
              <w:rPr>
                <w:color w:val="000000"/>
                <w:sz w:val="24"/>
              </w:rPr>
              <w:t>20,313,007.15</w:t>
            </w:r>
          </w:p>
        </w:tc>
        <w:tc>
          <w:tcPr>
            <w:vAlign w:val="center"/>
          </w:tcPr>
          <w:p>
            <w:pPr>
              <w:jc w:val="right"/>
            </w:pPr>
            <w:r>
              <w:rPr>
                <w:color w:val="000000"/>
                <w:sz w:val="24"/>
              </w:rPr>
              <w:t>0.59</w:t>
            </w:r>
          </w:p>
        </w:tc>
      </w:tr>
      <w:tr>
        <w:tc>
          <w:tcPr>
            <w:vAlign w:val="center"/>
          </w:tcPr>
          <w:p>
            <w:pPr>
              <w:jc w:val="left"/>
            </w:pPr>
            <w:r>
              <w:rPr>
                <w:color w:val="000000"/>
                <w:sz w:val="24"/>
              </w:rPr>
              <w:t>电信服务</w:t>
            </w:r>
          </w:p>
        </w:tc>
        <w:tc>
          <w:tcPr>
            <w:vAlign w:val="center"/>
          </w:tcPr>
          <w:p>
            <w:pPr>
              <w:jc w:val="right"/>
            </w:pPr>
            <w:r>
              <w:rPr>
                <w:color w:val="000000"/>
                <w:sz w:val="24"/>
              </w:rPr>
              <w:t>1,511,783,058.92</w:t>
            </w:r>
          </w:p>
        </w:tc>
        <w:tc>
          <w:tcPr>
            <w:vAlign w:val="center"/>
          </w:tcPr>
          <w:p>
            <w:pPr>
              <w:jc w:val="right"/>
            </w:pPr>
            <w:r>
              <w:rPr>
                <w:color w:val="000000"/>
                <w:sz w:val="24"/>
              </w:rPr>
              <w:t>43.92</w:t>
            </w:r>
          </w:p>
        </w:tc>
      </w:tr>
      <w:tr>
        <w:tc>
          <w:tcPr>
            <w:vAlign w:val="center"/>
          </w:tcPr>
          <w:p>
            <w:pPr>
              <w:jc w:val="left"/>
            </w:pPr>
            <w:r>
              <w:rPr>
                <w:color w:val="000000"/>
                <w:sz w:val="24"/>
              </w:rPr>
              <w:t>公用事业</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房地产</w:t>
            </w:r>
          </w:p>
        </w:tc>
        <w:tc>
          <w:tcPr>
            <w:vAlign w:val="center"/>
          </w:tcPr>
          <w:p>
            <w:pPr>
              <w:jc w:val="right"/>
            </w:pPr>
            <w:r>
              <w:rPr>
                <w:color w:val="000000"/>
                <w:sz w:val="24"/>
              </w:rPr>
              <w:t>-</w:t>
            </w:r>
          </w:p>
        </w:tc>
        <w:tc>
          <w:tcPr>
            <w:vAlign w:val="center"/>
          </w:tcPr>
          <w:p>
            <w:pPr>
              <w:jc w:val="right"/>
            </w:pPr>
            <w:r>
              <w:rPr>
                <w:color w:val="000000"/>
                <w:sz w:val="24"/>
              </w:rPr>
              <w:t>-</w:t>
            </w:r>
          </w:p>
        </w:tc>
      </w:tr>
      <w:tr w:rsidR="00F5013F" w:rsidRPr="006506EF" w:rsidTr="0007178B">
        <w:tc>
          <w:tcPr>
            <w:tcW w:type="dxa" w:w="2787"/>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合计</w:t>
            </w:r>
          </w:p>
        </w:tc>
        <w:tc>
          <w:tcPr>
            <w:tcW w:type="dxa" w:w="2551"/>
            <w:vAlign w:val="center"/>
          </w:tcPr>
          <w:p w:rsidP="0007178B" w:rsidR="00F5013F" w:rsidRDefault="00F5013F" w:rsidRPr="006506EF">
            <w:pPr>
              <w:autoSpaceDE w:val="0"/>
              <w:autoSpaceDN w:val="0"/>
              <w:adjustRightInd w:val="0"/>
              <w:spacing w:before="29" w:line="360" w:lineRule="auto"/>
              <w:ind w:left="15"/>
              <w:jc w:val="right"/>
              <w:rPr>
                <w:color w:val="000000"/>
                <w:sz w:val="24"/>
              </w:rPr>
            </w:pPr>
            <w:r w:rsidRPr="006506EF">
              <w:rPr>
                <w:color w:val="000000"/>
                <w:sz w:val="24"/>
              </w:rPr>
              <w:t>3,403,998,185.52</w:t>
            </w:r>
          </w:p>
        </w:tc>
        <w:tc>
          <w:tcPr>
            <w:tcW w:type="dxa" w:w="3175"/>
            <w:vAlign w:val="center"/>
          </w:tcPr>
          <w:p w:rsidP="0007178B" w:rsidR="00F5013F" w:rsidRDefault="00F5013F" w:rsidRPr="006506EF">
            <w:pPr>
              <w:autoSpaceDE w:val="0"/>
              <w:autoSpaceDN w:val="0"/>
              <w:adjustRightInd w:val="0"/>
              <w:spacing w:before="29" w:line="360" w:lineRule="auto"/>
              <w:ind w:left="15"/>
              <w:jc w:val="right"/>
              <w:rPr>
                <w:color w:val="000000"/>
                <w:sz w:val="24"/>
              </w:rPr>
            </w:pPr>
            <w:r w:rsidRPr="006506EF">
              <w:rPr>
                <w:color w:val="000000"/>
                <w:sz w:val="24"/>
              </w:rPr>
              <w:t>98.90</w:t>
            </w:r>
          </w:p>
        </w:tc>
      </w:tr>
    </w:tbl>
    <w:p w:rsidP="00A70EAB" w:rsidR="00F5013F" w:rsidRDefault="00F5013F" w:rsidRPr="006506EF">
      <w:pPr>
        <w:spacing w:line="360" w:lineRule="auto"/>
        <w:ind w:firstLine="480" w:firstLineChars="200"/>
        <w:rPr>
          <w:color w:val="000000"/>
          <w:sz w:val="24"/>
        </w:rPr>
      </w:pPr>
      <w:r w:rsidRPr="006506EF">
        <w:rPr>
          <w:color w:val="000000"/>
          <w:sz w:val="24"/>
        </w:rPr>
        <w:t>注：以上分类采用全球行业分类标准（GICS）。</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5.4 </w:t>
      </w:r>
      <w:r w:rsidRPr="006506EF">
        <w:rPr>
          <w:b/>
          <w:color w:val="000000"/>
          <w:kern w:val="0"/>
          <w:sz w:val="24"/>
        </w:rPr>
        <w:t>报告期末按公允价值占基金资产净值比例大小排序的前十名股票及存托凭证投资明细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761"/>
        <w:gridCol w:w="967"/>
        <w:gridCol w:w="984"/>
        <w:gridCol w:w="716"/>
        <w:gridCol w:w="760"/>
        <w:gridCol w:w="974"/>
        <w:gridCol w:w="1188"/>
        <w:gridCol w:w="974"/>
        <w:gridCol w:w="1189"/>
      </w:tblGrid>
      <w:tr w:rsidR="00F5013F" w:rsidRPr="006506EF" w:rsidTr="0007178B">
        <w:tc>
          <w:tcPr>
            <w:tcW w:type="dxa" w:w="794"/>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序号</w:t>
            </w:r>
          </w:p>
        </w:tc>
        <w:tc>
          <w:tcPr>
            <w:tcW w:type="dxa" w:w="974"/>
            <w:vAlign w:val="center"/>
          </w:tcPr>
          <w:p w:rsidP="0007178B" w:rsidR="00F5013F" w:rsidRDefault="00F5013F" w:rsidRPr="006506EF">
            <w:pPr>
              <w:adjustRightInd w:val="0"/>
              <w:snapToGrid w:val="0"/>
              <w:spacing w:line="400" w:lineRule="exact"/>
              <w:jc w:val="center"/>
              <w:rPr>
                <w:color w:val="000000"/>
                <w:kern w:val="0"/>
                <w:sz w:val="24"/>
              </w:rPr>
            </w:pPr>
            <w:r w:rsidRPr="006506EF">
              <w:rPr>
                <w:color w:val="000000"/>
                <w:kern w:val="0"/>
                <w:sz w:val="24"/>
              </w:rPr>
              <w:t>公司名称（英文）</w:t>
            </w:r>
          </w:p>
        </w:tc>
        <w:tc>
          <w:tcPr>
            <w:tcW w:type="dxa" w:w="1019"/>
            <w:vAlign w:val="center"/>
          </w:tcPr>
          <w:p w:rsidP="0007178B" w:rsidR="00F5013F" w:rsidRDefault="00F5013F" w:rsidRPr="006506EF">
            <w:pPr>
              <w:adjustRightInd w:val="0"/>
              <w:snapToGrid w:val="0"/>
              <w:spacing w:line="400" w:lineRule="exact"/>
              <w:jc w:val="center"/>
              <w:rPr>
                <w:color w:val="000000"/>
                <w:kern w:val="0"/>
                <w:sz w:val="24"/>
              </w:rPr>
            </w:pPr>
            <w:r w:rsidRPr="006506EF">
              <w:rPr>
                <w:color w:val="000000"/>
                <w:kern w:val="0"/>
                <w:sz w:val="24"/>
              </w:rPr>
              <w:t>公司名称（中文）</w:t>
            </w:r>
          </w:p>
        </w:tc>
        <w:tc>
          <w:tcPr>
            <w:tcW w:type="dxa" w:w="703"/>
            <w:vAlign w:val="center"/>
          </w:tcPr>
          <w:p w:rsidP="0007178B" w:rsidR="00F5013F" w:rsidRDefault="00F5013F" w:rsidRPr="006506EF">
            <w:pPr>
              <w:adjustRightInd w:val="0"/>
              <w:snapToGrid w:val="0"/>
              <w:spacing w:line="400" w:lineRule="exact"/>
              <w:jc w:val="center"/>
              <w:rPr>
                <w:color w:val="000000"/>
                <w:kern w:val="0"/>
                <w:sz w:val="24"/>
              </w:rPr>
            </w:pPr>
            <w:r w:rsidRPr="006506EF">
              <w:rPr>
                <w:color w:val="000000"/>
                <w:kern w:val="0"/>
                <w:sz w:val="24"/>
              </w:rPr>
              <w:t>证券代码</w:t>
            </w:r>
          </w:p>
        </w:tc>
        <w:tc>
          <w:tcPr>
            <w:tcW w:type="dxa" w:w="793"/>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所在证</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券市场</w:t>
            </w:r>
          </w:p>
        </w:tc>
        <w:tc>
          <w:tcPr>
            <w:tcW w:type="dxa" w:w="969"/>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所属国家</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（地区</w:t>
            </w:r>
            <w:r w:rsidRPr="006506EF">
              <w:rPr>
                <w:color w:val="000000"/>
                <w:kern w:val="0"/>
                <w:sz w:val="24"/>
              </w:rPr>
              <w:t>)</w:t>
            </w:r>
          </w:p>
        </w:tc>
        <w:tc>
          <w:tcPr>
            <w:tcW w:type="dxa" w:w="1146"/>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数量</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（股）</w:t>
            </w:r>
          </w:p>
        </w:tc>
        <w:tc>
          <w:tcPr>
            <w:tcW w:type="dxa" w:w="969"/>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公允价值（人民币元）</w:t>
            </w:r>
          </w:p>
        </w:tc>
        <w:tc>
          <w:tcPr>
            <w:tcW w:type="dxa" w:w="1146"/>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Tencent Holdings Ltd</w:t>
            </w:r>
          </w:p>
        </w:tc>
        <w:tc>
          <w:tcPr>
            <w:vAlign w:val="center"/>
          </w:tcPr>
          <w:p>
            <w:pPr>
              <w:jc w:val="center"/>
            </w:pPr>
            <w:r>
              <w:rPr>
                <w:color w:val="000000"/>
                <w:sz w:val="24"/>
              </w:rPr>
              <w:t>腾讯控股有限公司</w:t>
            </w:r>
          </w:p>
        </w:tc>
        <w:tc>
          <w:tcPr>
            <w:vAlign w:val="center"/>
          </w:tcPr>
          <w:p>
            <w:pPr>
              <w:jc w:val="center"/>
            </w:pPr>
            <w:r>
              <w:rPr>
                <w:color w:val="000000"/>
                <w:sz w:val="24"/>
              </w:rPr>
              <w:t>700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2,435,184</w:t>
            </w:r>
          </w:p>
        </w:tc>
        <w:tc>
          <w:tcPr>
            <w:vAlign w:val="center"/>
          </w:tcPr>
          <w:p>
            <w:pPr>
              <w:jc w:val="right"/>
            </w:pPr>
            <w:r>
              <w:rPr>
                <w:color w:val="000000"/>
                <w:sz w:val="24"/>
              </w:rPr>
              <w:t>1,109,083,084.22</w:t>
            </w:r>
          </w:p>
        </w:tc>
        <w:tc>
          <w:tcPr>
            <w:vAlign w:val="center"/>
          </w:tcPr>
          <w:p>
            <w:pPr>
              <w:jc w:val="right"/>
            </w:pPr>
            <w:r>
              <w:rPr>
                <w:color w:val="000000"/>
                <w:sz w:val="24"/>
              </w:rPr>
              <w:t>32.22</w:t>
            </w:r>
          </w:p>
        </w:tc>
      </w:tr>
      <w:tr>
        <w:tc>
          <w:tcPr>
            <w:vAlign w:val="center"/>
          </w:tcPr>
          <w:p>
            <w:pPr>
              <w:jc w:val="center"/>
            </w:pPr>
            <w:r>
              <w:rPr>
                <w:color w:val="000000"/>
                <w:sz w:val="24"/>
              </w:rPr>
              <w:t>2</w:t>
            </w:r>
          </w:p>
        </w:tc>
        <w:tc>
          <w:tcPr>
            <w:vAlign w:val="center"/>
          </w:tcPr>
          <w:p>
            <w:pPr>
              <w:jc w:val="center"/>
            </w:pPr>
            <w:r>
              <w:rPr>
                <w:color w:val="000000"/>
                <w:sz w:val="24"/>
              </w:rPr>
              <w:t>Alibaba Group Holding Ltd</w:t>
            </w:r>
          </w:p>
        </w:tc>
        <w:tc>
          <w:tcPr>
            <w:vAlign w:val="center"/>
          </w:tcPr>
          <w:p>
            <w:pPr>
              <w:jc w:val="center"/>
            </w:pPr>
            <w:r>
              <w:rPr>
                <w:color w:val="000000"/>
                <w:sz w:val="24"/>
              </w:rPr>
              <w:t>阿里巴巴集团控股有限公司</w:t>
            </w:r>
          </w:p>
        </w:tc>
        <w:tc>
          <w:tcPr>
            <w:vAlign w:val="center"/>
          </w:tcPr>
          <w:p>
            <w:pPr>
              <w:jc w:val="center"/>
            </w:pPr>
            <w:r>
              <w:rPr>
                <w:color w:val="000000"/>
                <w:sz w:val="24"/>
              </w:rPr>
              <w:t>BABA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616,956</w:t>
            </w:r>
          </w:p>
        </w:tc>
        <w:tc>
          <w:tcPr>
            <w:vAlign w:val="center"/>
          </w:tcPr>
          <w:p>
            <w:pPr>
              <w:jc w:val="right"/>
            </w:pPr>
            <w:r>
              <w:rPr>
                <w:color w:val="000000"/>
                <w:sz w:val="24"/>
              </w:rPr>
              <w:t>942,121,518.43</w:t>
            </w:r>
          </w:p>
        </w:tc>
        <w:tc>
          <w:tcPr>
            <w:vAlign w:val="center"/>
          </w:tcPr>
          <w:p>
            <w:pPr>
              <w:jc w:val="right"/>
            </w:pPr>
            <w:r>
              <w:rPr>
                <w:color w:val="000000"/>
                <w:sz w:val="24"/>
              </w:rPr>
              <w:t>27.37</w:t>
            </w:r>
          </w:p>
        </w:tc>
      </w:tr>
      <w:tr>
        <w:tc>
          <w:tcPr>
            <w:vAlign w:val="center"/>
          </w:tcPr>
          <w:p>
            <w:pPr>
              <w:jc w:val="center"/>
            </w:pPr>
            <w:r>
              <w:rPr>
                <w:color w:val="000000"/>
                <w:sz w:val="24"/>
              </w:rPr>
              <w:t>3</w:t>
            </w:r>
          </w:p>
        </w:tc>
        <w:tc>
          <w:tcPr>
            <w:vAlign w:val="center"/>
          </w:tcPr>
          <w:p>
            <w:pPr>
              <w:jc w:val="center"/>
            </w:pPr>
            <w:r>
              <w:rPr>
                <w:color w:val="000000"/>
                <w:sz w:val="24"/>
              </w:rPr>
              <w:t>Meituan Dianping</w:t>
            </w:r>
          </w:p>
        </w:tc>
        <w:tc>
          <w:tcPr>
            <w:vAlign w:val="center"/>
          </w:tcPr>
          <w:p>
            <w:pPr>
              <w:jc w:val="center"/>
            </w:pPr>
            <w:r>
              <w:rPr>
                <w:color w:val="000000"/>
                <w:sz w:val="24"/>
              </w:rPr>
              <w:t>美团点评</w:t>
            </w:r>
          </w:p>
        </w:tc>
        <w:tc>
          <w:tcPr>
            <w:vAlign w:val="center"/>
          </w:tcPr>
          <w:p>
            <w:pPr>
              <w:jc w:val="center"/>
            </w:pPr>
            <w:r>
              <w:rPr>
                <w:color w:val="000000"/>
                <w:sz w:val="24"/>
              </w:rPr>
              <w:t>3690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2,055,404</w:t>
            </w:r>
          </w:p>
        </w:tc>
        <w:tc>
          <w:tcPr>
            <w:vAlign w:val="center"/>
          </w:tcPr>
          <w:p>
            <w:pPr>
              <w:jc w:val="right"/>
            </w:pPr>
            <w:r>
              <w:rPr>
                <w:color w:val="000000"/>
                <w:sz w:val="24"/>
              </w:rPr>
              <w:t>322,740,226.70</w:t>
            </w:r>
          </w:p>
        </w:tc>
        <w:tc>
          <w:tcPr>
            <w:vAlign w:val="center"/>
          </w:tcPr>
          <w:p>
            <w:pPr>
              <w:jc w:val="right"/>
            </w:pPr>
            <w:r>
              <w:rPr>
                <w:color w:val="000000"/>
                <w:sz w:val="24"/>
              </w:rPr>
              <w:t>9.38</w:t>
            </w:r>
          </w:p>
        </w:tc>
      </w:tr>
      <w:tr>
        <w:tc>
          <w:tcPr>
            <w:vAlign w:val="center"/>
          </w:tcPr>
          <w:p>
            <w:pPr>
              <w:jc w:val="center"/>
            </w:pPr>
            <w:r>
              <w:rPr>
                <w:color w:val="000000"/>
                <w:sz w:val="24"/>
              </w:rPr>
              <w:t>4</w:t>
            </w:r>
          </w:p>
        </w:tc>
        <w:tc>
          <w:tcPr>
            <w:vAlign w:val="center"/>
          </w:tcPr>
          <w:p>
            <w:pPr>
              <w:jc w:val="center"/>
            </w:pPr>
            <w:r>
              <w:rPr>
                <w:color w:val="000000"/>
                <w:sz w:val="24"/>
              </w:rPr>
              <w:t>JD.com Inc</w:t>
            </w:r>
          </w:p>
        </w:tc>
        <w:tc>
          <w:tcPr>
            <w:vAlign w:val="center"/>
          </w:tcPr>
          <w:p>
            <w:pPr>
              <w:jc w:val="center"/>
            </w:pPr>
            <w:r>
              <w:rPr>
                <w:color w:val="000000"/>
                <w:sz w:val="24"/>
              </w:rPr>
              <w:t>京东商城电子商务有限公司</w:t>
            </w:r>
          </w:p>
        </w:tc>
        <w:tc>
          <w:tcPr>
            <w:vAlign w:val="center"/>
          </w:tcPr>
          <w:p>
            <w:pPr>
              <w:jc w:val="center"/>
            </w:pPr>
            <w:r>
              <w:rPr>
                <w:color w:val="000000"/>
                <w:sz w:val="24"/>
              </w:rPr>
              <w:t>JD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388,507</w:t>
            </w:r>
          </w:p>
        </w:tc>
        <w:tc>
          <w:tcPr>
            <w:vAlign w:val="center"/>
          </w:tcPr>
          <w:p>
            <w:pPr>
              <w:jc w:val="right"/>
            </w:pPr>
            <w:r>
              <w:rPr>
                <w:color w:val="000000"/>
                <w:sz w:val="24"/>
              </w:rPr>
              <w:t>165,521,196.75</w:t>
            </w:r>
          </w:p>
        </w:tc>
        <w:tc>
          <w:tcPr>
            <w:vAlign w:val="center"/>
          </w:tcPr>
          <w:p>
            <w:pPr>
              <w:jc w:val="right"/>
            </w:pPr>
            <w:r>
              <w:rPr>
                <w:color w:val="000000"/>
                <w:sz w:val="24"/>
              </w:rPr>
              <w:t>4.81</w:t>
            </w:r>
          </w:p>
        </w:tc>
      </w:tr>
      <w:tr>
        <w:tc>
          <w:tcPr>
            <w:vAlign w:val="center"/>
          </w:tcPr>
          <w:p>
            <w:pPr>
              <w:jc w:val="center"/>
            </w:pPr>
            <w:r>
              <w:rPr>
                <w:color w:val="000000"/>
                <w:sz w:val="24"/>
              </w:rPr>
              <w:t>5</w:t>
            </w:r>
          </w:p>
        </w:tc>
        <w:tc>
          <w:tcPr>
            <w:vAlign w:val="center"/>
          </w:tcPr>
          <w:p>
            <w:pPr>
              <w:jc w:val="center"/>
            </w:pPr>
            <w:r>
              <w:rPr>
                <w:color w:val="000000"/>
                <w:sz w:val="24"/>
              </w:rPr>
              <w:t>Pinduoduo Inc.</w:t>
            </w:r>
          </w:p>
        </w:tc>
        <w:tc>
          <w:tcPr>
            <w:vAlign w:val="center"/>
          </w:tcPr>
          <w:p>
            <w:pPr>
              <w:jc w:val="center"/>
            </w:pPr>
            <w:r>
              <w:rPr>
                <w:color w:val="000000"/>
                <w:sz w:val="24"/>
              </w:rPr>
              <w:t>拼多多</w:t>
            </w:r>
          </w:p>
        </w:tc>
        <w:tc>
          <w:tcPr>
            <w:vAlign w:val="center"/>
          </w:tcPr>
          <w:p>
            <w:pPr>
              <w:jc w:val="center"/>
            </w:pPr>
            <w:r>
              <w:rPr>
                <w:color w:val="000000"/>
                <w:sz w:val="24"/>
              </w:rPr>
              <w:t>PDD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264,037</w:t>
            </w:r>
          </w:p>
        </w:tc>
        <w:tc>
          <w:tcPr>
            <w:vAlign w:val="center"/>
          </w:tcPr>
          <w:p>
            <w:pPr>
              <w:jc w:val="right"/>
            </w:pPr>
            <w:r>
              <w:rPr>
                <w:color w:val="000000"/>
                <w:sz w:val="24"/>
              </w:rPr>
              <w:t>160,456,414.98</w:t>
            </w:r>
          </w:p>
        </w:tc>
        <w:tc>
          <w:tcPr>
            <w:vAlign w:val="center"/>
          </w:tcPr>
          <w:p>
            <w:pPr>
              <w:jc w:val="right"/>
            </w:pPr>
            <w:r>
              <w:rPr>
                <w:color w:val="000000"/>
                <w:sz w:val="24"/>
              </w:rPr>
              <w:t>4.66</w:t>
            </w:r>
          </w:p>
        </w:tc>
      </w:tr>
      <w:tr>
        <w:tc>
          <w:tcPr>
            <w:vAlign w:val="center"/>
          </w:tcPr>
          <w:p>
            <w:pPr>
              <w:jc w:val="center"/>
            </w:pPr>
            <w:r>
              <w:rPr>
                <w:color w:val="000000"/>
                <w:sz w:val="24"/>
              </w:rPr>
              <w:t>6</w:t>
            </w:r>
          </w:p>
        </w:tc>
        <w:tc>
          <w:tcPr>
            <w:vAlign w:val="center"/>
          </w:tcPr>
          <w:p>
            <w:pPr>
              <w:jc w:val="center"/>
            </w:pPr>
            <w:r>
              <w:rPr>
                <w:color w:val="000000"/>
                <w:sz w:val="24"/>
              </w:rPr>
              <w:t>Baidu Inc</w:t>
            </w:r>
          </w:p>
        </w:tc>
        <w:tc>
          <w:tcPr>
            <w:vAlign w:val="center"/>
          </w:tcPr>
          <w:p>
            <w:pPr>
              <w:jc w:val="center"/>
            </w:pPr>
            <w:r>
              <w:rPr>
                <w:color w:val="000000"/>
                <w:sz w:val="24"/>
              </w:rPr>
              <w:t>百度股份有限公司</w:t>
            </w:r>
          </w:p>
        </w:tc>
        <w:tc>
          <w:tcPr>
            <w:vAlign w:val="center"/>
          </w:tcPr>
          <w:p>
            <w:pPr>
              <w:jc w:val="center"/>
            </w:pPr>
            <w:r>
              <w:rPr>
                <w:color w:val="000000"/>
                <w:sz w:val="24"/>
              </w:rPr>
              <w:t>BIDU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151,975</w:t>
            </w:r>
          </w:p>
        </w:tc>
        <w:tc>
          <w:tcPr>
            <w:vAlign w:val="center"/>
          </w:tcPr>
          <w:p>
            <w:pPr>
              <w:jc w:val="right"/>
            </w:pPr>
            <w:r>
              <w:rPr>
                <w:color w:val="000000"/>
                <w:sz w:val="24"/>
              </w:rPr>
              <w:t>128,990,491.73</w:t>
            </w:r>
          </w:p>
        </w:tc>
        <w:tc>
          <w:tcPr>
            <w:vAlign w:val="center"/>
          </w:tcPr>
          <w:p>
            <w:pPr>
              <w:jc w:val="right"/>
            </w:pPr>
            <w:r>
              <w:rPr>
                <w:color w:val="000000"/>
                <w:sz w:val="24"/>
              </w:rPr>
              <w:t>3.75</w:t>
            </w:r>
          </w:p>
        </w:tc>
      </w:tr>
      <w:tr>
        <w:tc>
          <w:tcPr>
            <w:vAlign w:val="center"/>
          </w:tcPr>
          <w:p>
            <w:pPr>
              <w:jc w:val="center"/>
            </w:pPr>
            <w:r>
              <w:rPr>
                <w:color w:val="000000"/>
                <w:sz w:val="24"/>
              </w:rPr>
              <w:t>7</w:t>
            </w:r>
          </w:p>
        </w:tc>
        <w:tc>
          <w:tcPr>
            <w:vAlign w:val="center"/>
          </w:tcPr>
          <w:p>
            <w:pPr>
              <w:jc w:val="center"/>
            </w:pPr>
            <w:r>
              <w:rPr>
                <w:color w:val="000000"/>
                <w:sz w:val="24"/>
              </w:rPr>
              <w:t>NetEase Inc</w:t>
            </w:r>
          </w:p>
        </w:tc>
        <w:tc>
          <w:tcPr>
            <w:vAlign w:val="center"/>
          </w:tcPr>
          <w:p>
            <w:pPr>
              <w:jc w:val="center"/>
            </w:pPr>
            <w:r>
              <w:rPr>
                <w:color w:val="000000"/>
                <w:sz w:val="24"/>
              </w:rPr>
              <w:t>网易公司</w:t>
            </w:r>
          </w:p>
        </w:tc>
        <w:tc>
          <w:tcPr>
            <w:vAlign w:val="center"/>
          </w:tcPr>
          <w:p>
            <w:pPr>
              <w:jc w:val="center"/>
            </w:pPr>
            <w:r>
              <w:rPr>
                <w:color w:val="000000"/>
                <w:sz w:val="24"/>
              </w:rPr>
              <w:t>NTES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34,176</w:t>
            </w:r>
          </w:p>
        </w:tc>
        <w:tc>
          <w:tcPr>
            <w:vAlign w:val="center"/>
          </w:tcPr>
          <w:p>
            <w:pPr>
              <w:jc w:val="right"/>
            </w:pPr>
            <w:r>
              <w:rPr>
                <w:color w:val="000000"/>
                <w:sz w:val="24"/>
              </w:rPr>
              <w:t>103,888,058.18</w:t>
            </w:r>
          </w:p>
        </w:tc>
        <w:tc>
          <w:tcPr>
            <w:vAlign w:val="center"/>
          </w:tcPr>
          <w:p>
            <w:pPr>
              <w:jc w:val="right"/>
            </w:pPr>
            <w:r>
              <w:rPr>
                <w:color w:val="000000"/>
                <w:sz w:val="24"/>
              </w:rPr>
              <w:t>3.02</w:t>
            </w:r>
          </w:p>
        </w:tc>
      </w:tr>
      <w:tr>
        <w:tc>
          <w:tcPr>
            <w:vAlign w:val="center"/>
          </w:tcPr>
          <w:p>
            <w:pPr>
              <w:jc w:val="center"/>
            </w:pPr>
            <w:r>
              <w:rPr>
                <w:color w:val="000000"/>
                <w:sz w:val="24"/>
              </w:rPr>
              <w:t>8</w:t>
            </w:r>
          </w:p>
        </w:tc>
        <w:tc>
          <w:tcPr>
            <w:vAlign w:val="center"/>
          </w:tcPr>
          <w:p>
            <w:pPr>
              <w:jc w:val="center"/>
            </w:pPr>
            <w:r>
              <w:rPr>
                <w:color w:val="000000"/>
                <w:sz w:val="24"/>
              </w:rPr>
              <w:t>TAL Education Group</w:t>
            </w:r>
          </w:p>
        </w:tc>
        <w:tc>
          <w:tcPr>
            <w:vAlign w:val="center"/>
          </w:tcPr>
          <w:p>
            <w:pPr>
              <w:jc w:val="center"/>
            </w:pPr>
            <w:r>
              <w:rPr>
                <w:color w:val="000000"/>
                <w:sz w:val="24"/>
              </w:rPr>
              <w:t>好未来教育集团</w:t>
            </w:r>
          </w:p>
        </w:tc>
        <w:tc>
          <w:tcPr>
            <w:vAlign w:val="center"/>
          </w:tcPr>
          <w:p>
            <w:pPr>
              <w:jc w:val="center"/>
            </w:pPr>
            <w:r>
              <w:rPr>
                <w:color w:val="000000"/>
                <w:sz w:val="24"/>
              </w:rPr>
              <w:t>TAL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208,745</w:t>
            </w:r>
          </w:p>
        </w:tc>
        <w:tc>
          <w:tcPr>
            <w:vAlign w:val="center"/>
          </w:tcPr>
          <w:p>
            <w:pPr>
              <w:jc w:val="right"/>
            </w:pPr>
            <w:r>
              <w:rPr>
                <w:color w:val="000000"/>
                <w:sz w:val="24"/>
              </w:rPr>
              <w:t>101,052,663.36</w:t>
            </w:r>
          </w:p>
        </w:tc>
        <w:tc>
          <w:tcPr>
            <w:vAlign w:val="center"/>
          </w:tcPr>
          <w:p>
            <w:pPr>
              <w:jc w:val="right"/>
            </w:pPr>
            <w:r>
              <w:rPr>
                <w:color w:val="000000"/>
                <w:sz w:val="24"/>
              </w:rPr>
              <w:t>2.94</w:t>
            </w:r>
          </w:p>
        </w:tc>
      </w:tr>
      <w:tr>
        <w:tc>
          <w:tcPr>
            <w:vAlign w:val="center"/>
          </w:tcPr>
          <w:p>
            <w:pPr>
              <w:jc w:val="center"/>
            </w:pPr>
            <w:r>
              <w:rPr>
                <w:color w:val="000000"/>
                <w:sz w:val="24"/>
              </w:rPr>
              <w:t>9</w:t>
            </w:r>
          </w:p>
        </w:tc>
        <w:tc>
          <w:tcPr>
            <w:vAlign w:val="center"/>
          </w:tcPr>
          <w:p>
            <w:pPr>
              <w:jc w:val="center"/>
            </w:pPr>
            <w:r>
              <w:rPr>
                <w:color w:val="000000"/>
                <w:sz w:val="24"/>
              </w:rPr>
              <w:t>Trip.com Group Ltd</w:t>
            </w:r>
          </w:p>
        </w:tc>
        <w:tc>
          <w:tcPr>
            <w:vAlign w:val="center"/>
          </w:tcPr>
          <w:p>
            <w:pPr>
              <w:jc w:val="center"/>
            </w:pPr>
            <w:r>
              <w:rPr>
                <w:color w:val="000000"/>
                <w:sz w:val="24"/>
              </w:rPr>
              <w:t>携程国际有限公司</w:t>
            </w:r>
          </w:p>
        </w:tc>
        <w:tc>
          <w:tcPr>
            <w:vAlign w:val="center"/>
          </w:tcPr>
          <w:p>
            <w:pPr>
              <w:jc w:val="center"/>
            </w:pPr>
            <w:r>
              <w:rPr>
                <w:color w:val="000000"/>
                <w:sz w:val="24"/>
              </w:rPr>
              <w:t>TCOM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261,507</w:t>
            </w:r>
          </w:p>
        </w:tc>
        <w:tc>
          <w:tcPr>
            <w:vAlign w:val="center"/>
          </w:tcPr>
          <w:p>
            <w:pPr>
              <w:jc w:val="right"/>
            </w:pPr>
            <w:r>
              <w:rPr>
                <w:color w:val="000000"/>
                <w:sz w:val="24"/>
              </w:rPr>
              <w:t>47,986,701.86</w:t>
            </w:r>
          </w:p>
        </w:tc>
        <w:tc>
          <w:tcPr>
            <w:vAlign w:val="center"/>
          </w:tcPr>
          <w:p>
            <w:pPr>
              <w:jc w:val="right"/>
            </w:pPr>
            <w:r>
              <w:rPr>
                <w:color w:val="000000"/>
                <w:sz w:val="24"/>
              </w:rPr>
              <w:t>1.39</w:t>
            </w:r>
          </w:p>
        </w:tc>
      </w:tr>
      <w:tr>
        <w:tc>
          <w:tcPr>
            <w:vAlign w:val="center"/>
          </w:tcPr>
          <w:p>
            <w:pPr>
              <w:jc w:val="center"/>
            </w:pPr>
            <w:r>
              <w:rPr>
                <w:color w:val="000000"/>
                <w:sz w:val="24"/>
              </w:rPr>
              <w:t>10</w:t>
            </w:r>
          </w:p>
        </w:tc>
        <w:tc>
          <w:tcPr>
            <w:vAlign w:val="center"/>
          </w:tcPr>
          <w:p>
            <w:pPr>
              <w:jc w:val="center"/>
            </w:pPr>
            <w:r>
              <w:rPr>
                <w:color w:val="000000"/>
                <w:sz w:val="24"/>
              </w:rPr>
              <w:t>Alibaba Health Information Technology Limited</w:t>
            </w:r>
          </w:p>
        </w:tc>
        <w:tc>
          <w:tcPr>
            <w:vAlign w:val="center"/>
          </w:tcPr>
          <w:p>
            <w:pPr>
              <w:jc w:val="center"/>
            </w:pPr>
            <w:r>
              <w:rPr>
                <w:color w:val="000000"/>
                <w:sz w:val="24"/>
              </w:rPr>
              <w:t>阿里健康信息技术有限公司</w:t>
            </w:r>
          </w:p>
        </w:tc>
        <w:tc>
          <w:tcPr>
            <w:vAlign w:val="center"/>
          </w:tcPr>
          <w:p>
            <w:pPr>
              <w:jc w:val="center"/>
            </w:pPr>
            <w:r>
              <w:rPr>
                <w:color w:val="000000"/>
                <w:sz w:val="24"/>
              </w:rPr>
              <w:t>241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1,712,670</w:t>
            </w:r>
          </w:p>
        </w:tc>
        <w:tc>
          <w:tcPr>
            <w:vAlign w:val="center"/>
          </w:tcPr>
          <w:p>
            <w:pPr>
              <w:jc w:val="right"/>
            </w:pPr>
            <w:r>
              <w:rPr>
                <w:color w:val="000000"/>
                <w:sz w:val="24"/>
              </w:rPr>
              <w:t>35,355,921.03</w:t>
            </w:r>
          </w:p>
        </w:tc>
        <w:tc>
          <w:tcPr>
            <w:vAlign w:val="center"/>
          </w:tcPr>
          <w:p>
            <w:pPr>
              <w:jc w:val="right"/>
            </w:pPr>
            <w:r>
              <w:rPr>
                <w:color w:val="000000"/>
                <w:sz w:val="24"/>
              </w:rPr>
              <w:t>1.03</w:t>
            </w:r>
          </w:p>
        </w:tc>
      </w:tr>
    </w:tbl>
    <w:p w:rsidP="00A70EAB" w:rsidR="00F5013F" w:rsidRDefault="00F5013F" w:rsidRPr="006506EF">
      <w:pPr>
        <w:spacing w:line="360" w:lineRule="auto"/>
        <w:ind w:firstLine="480" w:firstLineChars="200"/>
        <w:rPr>
          <w:color w:val="000000"/>
          <w:sz w:val="24"/>
        </w:rPr>
      </w:pPr>
      <w:r w:rsidRPr="006506EF">
        <w:rPr>
          <w:color w:val="000000"/>
          <w:sz w:val="24"/>
        </w:rPr>
        <w:t>注：此处所用证券代码的类别是当地市场代码。</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5.5 </w:t>
      </w:r>
      <w:r w:rsidRPr="006506EF">
        <w:rPr>
          <w:b/>
          <w:color w:val="000000"/>
          <w:kern w:val="0"/>
          <w:sz w:val="24"/>
        </w:rPr>
        <w:t>报告期末按债券信用等级分类的债券投资组合</w:t>
      </w:r>
    </w:p>
    <w:p w:rsidP="00A70EAB"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本基金本报告期末未持有债券。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5.6</w:t>
      </w:r>
      <w:r w:rsidR="00547F92" w:rsidRPr="006506EF">
        <w:rPr>
          <w:b/>
          <w:color w:val="000000"/>
          <w:kern w:val="0"/>
          <w:sz w:val="24"/>
        </w:rPr>
        <w:t>报告期末按公允价值占基金资产净值比例大小排序</w:t>
      </w:r>
      <w:r w:rsidRPr="006506EF">
        <w:rPr>
          <w:b/>
          <w:color w:val="000000"/>
          <w:kern w:val="0"/>
          <w:sz w:val="24"/>
        </w:rPr>
        <w:t>的前五名债券投资明细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本基金本报告期末未持有债券。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5.7</w:t>
      </w:r>
      <w:r w:rsidR="00547F92" w:rsidRPr="006506EF">
        <w:rPr>
          <w:b/>
          <w:color w:val="000000"/>
          <w:kern w:val="0"/>
          <w:sz w:val="24"/>
        </w:rPr>
        <w:t>报告期末按公允价值占基金资产净值比例大小排序</w:t>
      </w:r>
      <w:r w:rsidRPr="006506EF">
        <w:rPr>
          <w:b/>
          <w:color w:val="000000"/>
          <w:kern w:val="0"/>
          <w:sz w:val="24"/>
        </w:rPr>
        <w:t>的前十名资产支持证券投资明细</w:t>
      </w:r>
    </w:p>
    <w:p w:rsidP="00A70EAB"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本基金本报告期末未持有资产支持证券。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5.8 </w:t>
      </w:r>
      <w:r w:rsidR="00547F92" w:rsidRPr="006506EF">
        <w:rPr>
          <w:b/>
          <w:color w:val="000000"/>
          <w:kern w:val="0"/>
          <w:sz w:val="24"/>
        </w:rPr>
        <w:t>报告期末按公允价值占基金资产净值比例大小排序</w:t>
      </w:r>
      <w:r w:rsidRPr="006506EF">
        <w:rPr>
          <w:b/>
          <w:color w:val="000000"/>
          <w:kern w:val="0"/>
          <w:sz w:val="24"/>
        </w:rPr>
        <w:t>的前五名金融衍生品投资明细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本基金本报告期末未持有金融衍生品。</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5.9</w:t>
      </w:r>
      <w:r w:rsidR="00547F92" w:rsidRPr="006506EF">
        <w:rPr>
          <w:b/>
          <w:color w:val="000000"/>
          <w:kern w:val="0"/>
          <w:sz w:val="24"/>
        </w:rPr>
        <w:t>报告期末按公允价值占基金资产净值比例大小排序</w:t>
      </w:r>
      <w:r w:rsidRPr="006506EF">
        <w:rPr>
          <w:b/>
          <w:color w:val="000000"/>
          <w:kern w:val="0"/>
          <w:sz w:val="24"/>
        </w:rPr>
        <w:t>的前十名基金投资明细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本基金本报告期末未持有基金。</w:t>
      </w:r>
    </w:p>
    <w:p w:rsidP="0049659A"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lastRenderedPageBreak/>
        <w:t xml:space="preserve">5.10 </w:t>
      </w:r>
      <w:r w:rsidRPr="006506EF">
        <w:rPr>
          <w:b/>
          <w:color w:val="000000"/>
          <w:kern w:val="0"/>
          <w:sz w:val="24"/>
        </w:rPr>
        <w:t>投资组合报告附注</w:t>
      </w:r>
    </w:p>
    <w:p w:rsidP="00B55EA7" w:rsidR="00F5013F" w:rsidRDefault="00E202B6" w:rsidRPr="006506EF">
      <w:pPr>
        <w:widowControl/>
        <w:spacing w:line="360" w:lineRule="auto"/>
        <w:rPr>
          <w:color w:val="000000"/>
          <w:sz w:val="24"/>
        </w:rPr>
      </w:pPr>
      <w:r w:rsidRPr="006506EF">
        <w:rPr>
          <w:color w:val="000000"/>
          <w:sz w:val="24"/>
        </w:rPr>
        <w:t/>
      </w:r>
      <w:r w:rsidR="00F5013F" w:rsidRPr="006506EF">
        <w:rPr>
          <w:color w:val="000000"/>
          <w:sz w:val="24"/>
        </w:rPr>
        <w:t>5.10.1</w:t>
      </w:r>
      <w:r w:rsidR="00212961">
        <w:rPr>
          <w:rFonts w:hint="eastAsia"/>
          <w:color w:val="000000"/>
          <w:sz w:val="24"/>
        </w:rPr>
        <w:t xml:space="preserve"> </w:t>
      </w:r>
      <w:r w:rsidR="00F5013F" w:rsidRPr="006506EF">
        <w:rPr>
          <w:color w:val="000000"/>
          <w:sz w:val="24"/>
        </w:rPr>
        <w:t>本基金投资的前十名证券的发行主体本期没有出现被监管部门立案调查，或在报告编制日前一年内受到公开谴责、处罚的情形。</w:t>
      </w:r>
    </w:p>
    <w:p w:rsidP="00B55EA7" w:rsidR="00F5013F" w:rsidRDefault="00E202B6" w:rsidRPr="006506EF">
      <w:pPr>
        <w:widowControl/>
        <w:spacing w:line="360" w:lineRule="auto"/>
        <w:rPr>
          <w:color w:val="000000"/>
          <w:sz w:val="24"/>
        </w:rPr>
      </w:pPr>
      <w:r w:rsidRPr="006506EF">
        <w:rPr>
          <w:color w:val="000000"/>
          <w:sz w:val="24"/>
        </w:rPr>
        <w:t/>
      </w:r>
      <w:r w:rsidR="00F5013F" w:rsidRPr="006506EF">
        <w:rPr>
          <w:color w:val="000000"/>
          <w:sz w:val="24"/>
        </w:rPr>
        <w:t>5.10.2</w:t>
      </w:r>
      <w:r w:rsidR="00212961">
        <w:rPr>
          <w:rFonts w:hint="eastAsia"/>
          <w:color w:val="000000"/>
          <w:sz w:val="24"/>
        </w:rPr>
        <w:t xml:space="preserve"> </w:t>
      </w:r>
      <w:r w:rsidR="00F5013F" w:rsidRPr="006506EF">
        <w:rPr>
          <w:color w:val="000000"/>
          <w:sz w:val="24"/>
        </w:rPr>
        <w:t>本基金投资的前十名股票没有超出基金合同规定的备选股票库。</w:t>
      </w:r>
    </w:p>
    <w:p w:rsidP="0049659A" w:rsidR="00F5013F" w:rsidRDefault="00287063" w:rsidRPr="006506EF">
      <w:pPr>
        <w:autoSpaceDE w:val="0"/>
        <w:autoSpaceDN w:val="0"/>
        <w:adjustRightInd w:val="0"/>
        <w:spacing w:line="360" w:lineRule="auto"/>
        <w:jc w:val="left"/>
        <w:rPr>
          <w:color w:val="000000"/>
          <w:kern w:val="0"/>
          <w:sz w:val="24"/>
        </w:rPr>
      </w:pPr>
      <w:r w:rsidRPr="006506EF">
        <w:rPr>
          <w:color w:val="000000"/>
          <w:sz w:val="24"/>
        </w:rPr>
        <w:t xml:space="preserve">5.10.3 </w:t>
      </w:r>
      <w:r w:rsidR="00536368">
        <w:rPr>
          <w:color w:val="000000"/>
          <w:kern w:val="0"/>
          <w:sz w:val="24"/>
        </w:rPr>
        <w:t>其他</w:t>
      </w:r>
      <w:bookmarkStart w:id="2" w:name="_GoBack"/>
      <w:bookmarkEnd w:id="2"/>
      <w:r w:rsidR="00F5013F" w:rsidRPr="006506EF">
        <w:rPr>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序号</w:t>
            </w:r>
          </w:p>
        </w:tc>
        <w:tc>
          <w:tcPr>
            <w:tcW w:type="dxa" w:w="2903"/>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名称</w:t>
            </w:r>
          </w:p>
        </w:tc>
        <w:tc>
          <w:tcPr>
            <w:tcW w:type="dxa" w:w="4808"/>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金额</w:t>
            </w:r>
            <w:r w:rsidRPr="006506EF">
              <w:rPr>
                <w:color w:val="000000"/>
                <w:kern w:val="0"/>
                <w:sz w:val="24"/>
              </w:rPr>
              <w:t>(</w:t>
            </w:r>
            <w:r w:rsidRPr="006506EF">
              <w:rPr>
                <w:color w:val="000000"/>
                <w:kern w:val="0"/>
                <w:sz w:val="24"/>
              </w:rPr>
              <w:t>人民币元</w:t>
            </w: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sz w:val="24"/>
              </w:rPr>
              <w:t>1</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存出保证金</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2</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应收证券清算款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3</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应收股利</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34,978.79</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4</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应收利息</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9,743.86</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5</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应收申购款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6</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其他应收款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7</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sz w:val="24"/>
              </w:rPr>
            </w:pPr>
            <w:r w:rsidRPr="006506EF">
              <w:rPr>
                <w:color w:val="000000"/>
                <w:sz w:val="24"/>
              </w:rPr>
              <w:t>待摊费用</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sz w:val="24"/>
              </w:rPr>
            </w:pPr>
            <w:r w:rsidRPr="006506EF">
              <w:rPr>
                <w:color w:val="00000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8</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其他</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9</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合计</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44,722.65</w:t>
            </w:r>
          </w:p>
        </w:tc>
      </w:tr>
    </w:tbl>
    <w:p w:rsidP="00EC4BA3" w:rsidR="00F5013F" w:rsidRDefault="00287063" w:rsidRPr="006506EF">
      <w:pPr>
        <w:autoSpaceDE w:val="0"/>
        <w:autoSpaceDN w:val="0"/>
        <w:adjustRightInd w:val="0"/>
        <w:spacing w:line="360" w:lineRule="auto"/>
        <w:jc w:val="left"/>
        <w:rPr>
          <w:color w:val="000000"/>
          <w:kern w:val="0"/>
          <w:sz w:val="24"/>
        </w:rPr>
      </w:pPr>
      <w:r w:rsidRPr="006506EF">
        <w:rPr>
          <w:kern w:val="0"/>
          <w:sz w:val="24"/>
        </w:rPr>
        <w:t xml:space="preserve">5.10.4 </w:t>
      </w:r>
      <w:r w:rsidR="00F5013F" w:rsidRPr="006506EF">
        <w:rPr>
          <w:color w:val="000000"/>
          <w:kern w:val="0"/>
          <w:sz w:val="24"/>
        </w:rPr>
        <w:t>报告期末持有的处于转股期的可转换债券明细</w:t>
      </w:r>
    </w:p>
    <w:p w:rsidP="00DB3360"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本基金本报告期末未持有处于转股期的可转换债券。</w:t>
      </w:r>
    </w:p>
    <w:p w:rsidP="00EC4BA3" w:rsidR="00F5013F" w:rsidRDefault="00287063" w:rsidRPr="006506EF">
      <w:pPr>
        <w:autoSpaceDE w:val="0"/>
        <w:autoSpaceDN w:val="0"/>
        <w:adjustRightInd w:val="0"/>
        <w:spacing w:line="360" w:lineRule="auto"/>
        <w:jc w:val="left"/>
        <w:rPr>
          <w:color w:val="000000"/>
          <w:kern w:val="0"/>
          <w:sz w:val="24"/>
        </w:rPr>
      </w:pPr>
      <w:r w:rsidRPr="006506EF">
        <w:rPr>
          <w:kern w:val="0"/>
          <w:sz w:val="24"/>
        </w:rPr>
        <w:t>5.10.5</w:t>
      </w:r>
      <w:r w:rsidR="00F5013F" w:rsidRPr="006506EF">
        <w:rPr>
          <w:color w:val="000000"/>
          <w:kern w:val="0"/>
          <w:sz w:val="24"/>
        </w:rPr>
        <w:t xml:space="preserve"> </w:t>
      </w:r>
      <w:r w:rsidR="00F5013F" w:rsidRPr="006506EF">
        <w:rPr>
          <w:color w:val="000000"/>
          <w:kern w:val="0"/>
          <w:sz w:val="24"/>
        </w:rPr>
        <w:t>报告期末前十名股票中存在流通受限情况的说明</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本基金本报告期末前十名股票中不存在流通受限情况。</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§6  </w:t>
      </w:r>
      <w:r w:rsidRPr="006506EF">
        <w:rPr>
          <w:color w:val="000000"/>
          <w:kern w:val="0"/>
          <w:sz w:val="24"/>
          <w:szCs w:val="24"/>
        </w:rPr>
        <w:t>开放式基金份额变动</w:t>
      </w:r>
    </w:p>
    <w:p w:rsidP="008B6A4A"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单位：份</w:t>
      </w:r>
    </w:p>
    <w:tbl>
      <w:tblPr>
        <w:tblW w:type="dxa" w:w="8861"/>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252"/>
      </w:tblGrid>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报告期期初基金份额总额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1,936,432,720.00</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w:t>
            </w:r>
            <w:r w:rsidRPr="006506EF">
              <w:rPr>
                <w:color w:val="000000"/>
                <w:kern w:val="0"/>
                <w:sz w:val="24"/>
              </w:rPr>
              <w:t>基</w:t>
            </w:r>
            <w:r w:rsidRPr="006506EF">
              <w:rPr>
                <w:color w:val="000000"/>
                <w:kern w:val="0"/>
                <w:sz w:val="24"/>
              </w:rPr>
              <w:lastRenderedPageBreak/>
              <w:t>金总申购份额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84,000,000.00</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lastRenderedPageBreak/>
              <w:t>减：</w:t>
            </w:r>
            <w:r w:rsidRPr="006506EF">
              <w:rPr>
                <w:color w:val="000000"/>
                <w:kern w:val="0"/>
                <w:sz w:val="24"/>
              </w:rPr>
              <w:t>报告期</w:t>
            </w:r>
            <w:r w:rsidRPr="006506EF">
              <w:rPr>
                <w:color w:val="000000"/>
                <w:kern w:val="0"/>
                <w:sz w:val="24"/>
              </w:rPr>
              <w:t>基金总赎回份额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102,000,000.00</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w:t>
            </w:r>
            <w:r w:rsidRPr="006506EF">
              <w:rPr>
                <w:color w:val="000000"/>
                <w:kern w:val="0"/>
                <w:sz w:val="24"/>
              </w:rPr>
              <w:t>基金拆分变动份额</w:t>
            </w:r>
            <w:r w:rsidR="003729CF">
              <w:rPr>
                <w:rFonts w:hint="eastAsia"/>
                <w:color w:val="000000"/>
                <w:kern w:val="0"/>
                <w:sz w:val="24"/>
              </w:rPr>
              <w:t>（份额减少以“</w:t>
            </w:r>
            <w:r w:rsidR="003729CF">
              <w:rPr>
                <w:color w:val="000000"/>
                <w:kern w:val="0"/>
                <w:sz w:val="24"/>
              </w:rPr>
              <w:t>-</w:t>
            </w:r>
            <w:r w:rsidR="003729CF">
              <w:rPr>
                <w:rFonts w:hint="eastAsia"/>
                <w:color w:val="000000"/>
                <w:kern w:val="0"/>
                <w:sz w:val="24"/>
              </w:rPr>
              <w:t>”填列）</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报告期期末基金份额总额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1,918,432,720.00</w:t>
            </w:r>
          </w:p>
        </w:tc>
      </w:tr>
    </w:tbl>
    <w:p w:rsidP="00543B38" w:rsidR="007362E0"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§7  </w:t>
      </w:r>
      <w:r w:rsidRPr="006506EF">
        <w:rPr>
          <w:color w:val="000000"/>
          <w:kern w:val="0"/>
          <w:sz w:val="24"/>
          <w:szCs w:val="24"/>
        </w:rPr>
        <w:t>基金管理人运用固有资金投资本基金交易明细</w:t>
      </w:r>
    </w:p>
    <w:p w:rsidP="00D7728B" w:rsidR="00F5013F" w:rsidRDefault="007362E0" w:rsidRPr="006506EF">
      <w:pPr>
        <w:spacing w:line="360" w:lineRule="auto"/>
        <w:ind w:firstLine="480" w:firstLineChars="200"/>
        <w:rPr>
          <w:color w:val="000000"/>
          <w:sz w:val="24"/>
        </w:rPr>
      </w:pPr>
      <w:r w:rsidRPr="006506EF">
        <w:rPr>
          <w:color w:val="000000"/>
          <w:sz w:val="24"/>
        </w:rPr>
        <w:t xml:space="preserve">本报告期内基金管理人未运用固有资金申购、赎回、买卖本基金份额。 </w:t>
      </w:r>
    </w:p>
    <w:p w:rsidP="0038359B" w:rsidR="0038359B" w:rsidRDefault="0038359B"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w:r>
      <w:r w:rsidR="002A4064" w:rsidRPr="006506EF">
        <w:rPr>
          <w:color w:val="000000"/>
          <w:kern w:val="0"/>
          <w:sz w:val="24"/>
          <w:szCs w:val="24"/>
        </w:rPr>
        <w:t>§</w:t>
      </w:r>
      <w:r w:rsidRPr="006506EF">
        <w:rPr>
          <w:color w:val="000000"/>
          <w:kern w:val="0"/>
          <w:sz w:val="24"/>
          <w:szCs w:val="24"/>
        </w:rPr>
        <w:t>8</w:t>
      </w:r>
      <w:r w:rsidR="002A4064" w:rsidRPr="006506EF">
        <w:rPr>
          <w:color w:val="000000"/>
          <w:kern w:val="0"/>
          <w:sz w:val="24"/>
          <w:szCs w:val="24"/>
        </w:rPr>
        <w:t xml:space="preserve">  </w:t>
      </w:r>
      <w:r w:rsidRPr="006506EF">
        <w:rPr>
          <w:color w:val="000000"/>
          <w:kern w:val="0"/>
          <w:sz w:val="24"/>
          <w:szCs w:val="24"/>
        </w:rPr>
        <w:t>影响投资者决策的其他重要信息</w:t>
      </w:r>
    </w:p>
    <w:p w:rsidP="007506E8" w:rsidR="007506E8" w:rsidRDefault="007506E8"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W w:type="dxa" w:w="964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798"/>
        <w:gridCol w:w="709"/>
        <w:gridCol w:w="1985"/>
        <w:gridCol w:w="1134"/>
        <w:gridCol w:w="992"/>
        <w:gridCol w:w="1134"/>
        <w:gridCol w:w="1037"/>
        <w:gridCol w:w="851"/>
      </w:tblGrid>
      <w:tr w:rsidR="00734B2B" w:rsidRPr="00FC0759" w:rsidTr="00734B2B">
        <w:trPr>
          <w:jc w:val="center"/>
        </w:trPr>
        <w:tc>
          <w:tcPr>
            <w:tcW w:type="dxa" w:w="1798"/>
            <w:vMerge w:val="restart"/>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投资者类别</w:t>
            </w:r>
            <w:r w:rsidRPr="00734B2B">
              <w:rPr>
                <w:rFonts w:eastAsia="仿宋"/>
                <w:color w:val="000000"/>
                <w:sz w:val="24"/>
              </w:rPr>
              <w:t/>
            </w:r>
          </w:p>
        </w:tc>
        <w:tc>
          <w:tcPr>
            <w:tcW w:type="dxa" w:w="5954"/>
            <w:gridSpan w:val="5"/>
            <w:shd w:color="auto" w:fill="auto" w:val="clear"/>
            <w:vAlign w:val="center"/>
          </w:tcPr>
          <w:p w:rsidP="00734B2B" w:rsidR="007506E8" w:rsidRDefault="007506E8" w:rsidRPr="00734B2B">
            <w:pPr>
              <w:autoSpaceDE w:val="0"/>
              <w:autoSpaceDN w:val="0"/>
              <w:adjustRightInd w:val="0"/>
              <w:ind w:firstLine="1126"/>
              <w:jc w:val="center"/>
              <w:rPr>
                <w:b/>
                <w:bCs/>
                <w:color w:val="000000"/>
                <w:sz w:val="24"/>
              </w:rPr>
            </w:pPr>
            <w:r w:rsidRPr="00734B2B">
              <w:rPr>
                <w:color w:val="000000"/>
                <w:sz w:val="24"/>
              </w:rPr>
              <w:t>报告期内持有基金份额变化情况</w:t>
            </w:r>
          </w:p>
        </w:tc>
        <w:tc>
          <w:tcPr>
            <w:tcW w:type="dxa" w:w="1888"/>
            <w:gridSpan w:val="2"/>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报告期末持有基金情况</w:t>
            </w:r>
          </w:p>
        </w:tc>
      </w:tr>
      <w:tr w:rsidR="00734B2B" w:rsidRPr="00FC0759" w:rsidTr="00734B2B">
        <w:trPr>
          <w:jc w:val="center"/>
        </w:trPr>
        <w:tc>
          <w:tcPr>
            <w:tcW w:type="dxa" w:w="1798"/>
            <w:vMerge/>
            <w:shd w:color="auto" w:fill="auto" w:val="clear"/>
            <w:vAlign w:val="center"/>
          </w:tcPr>
          <w:p w:rsidP="00734B2B" w:rsidR="007506E8" w:rsidRDefault="007506E8" w:rsidRPr="00734B2B">
            <w:pPr>
              <w:autoSpaceDE w:val="0"/>
              <w:autoSpaceDN w:val="0"/>
              <w:adjustRightInd w:val="0"/>
              <w:ind w:firstLine="1234"/>
              <w:jc w:val="center"/>
              <w:rPr>
                <w:b/>
                <w:bCs/>
                <w:color w:val="000000"/>
                <w:sz w:val="24"/>
              </w:rPr>
            </w:pPr>
          </w:p>
        </w:tc>
        <w:tc>
          <w:tcPr>
            <w:tcW w:type="dxa" w:w="709"/>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序号</w:t>
            </w:r>
          </w:p>
        </w:tc>
        <w:tc>
          <w:tcPr>
            <w:tcW w:type="dxa" w:w="1985"/>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持有基金份额比例达到或者超过</w:t>
            </w:r>
            <w:r w:rsidRPr="00734B2B">
              <w:rPr>
                <w:color w:val="000000"/>
                <w:sz w:val="24"/>
              </w:rPr>
              <w:t>20%</w:t>
            </w:r>
            <w:r w:rsidRPr="00734B2B">
              <w:rPr>
                <w:color w:val="000000"/>
                <w:sz w:val="24"/>
              </w:rPr>
              <w:t>的时间区间</w:t>
            </w:r>
          </w:p>
        </w:tc>
        <w:tc>
          <w:tcPr>
            <w:tcW w:type="dxa" w:w="1134"/>
            <w:shd w:color="auto" w:fill="auto" w:val="clear"/>
            <w:vAlign w:val="center"/>
          </w:tcPr>
          <w:p w:rsidP="00734B2B" w:rsidR="007506E8" w:rsidRDefault="007506E8" w:rsidRPr="00734B2B">
            <w:pPr>
              <w:widowControl/>
              <w:rPr>
                <w:b/>
                <w:bCs/>
                <w:color w:val="000000"/>
                <w:sz w:val="24"/>
              </w:rPr>
            </w:pPr>
            <w:r w:rsidRPr="00734B2B">
              <w:rPr>
                <w:color w:val="000000"/>
                <w:sz w:val="24"/>
              </w:rPr>
              <w:t>期初份额</w:t>
            </w:r>
          </w:p>
        </w:tc>
        <w:tc>
          <w:tcPr>
            <w:tcW w:type="dxa" w:w="992"/>
            <w:shd w:color="auto" w:fill="auto" w:val="clear"/>
            <w:vAlign w:val="center"/>
          </w:tcPr>
          <w:p w:rsidP="00734B2B" w:rsidR="007506E8" w:rsidRDefault="007506E8" w:rsidRPr="00734B2B">
            <w:pPr>
              <w:widowControl/>
              <w:rPr>
                <w:b/>
                <w:bCs/>
                <w:color w:val="000000"/>
                <w:sz w:val="24"/>
              </w:rPr>
            </w:pPr>
            <w:r w:rsidRPr="00734B2B">
              <w:rPr>
                <w:color w:val="000000"/>
                <w:sz w:val="24"/>
              </w:rPr>
              <w:t>申购份额</w:t>
            </w:r>
          </w:p>
        </w:tc>
        <w:tc>
          <w:tcPr>
            <w:tcW w:type="dxa" w:w="1134"/>
            <w:shd w:color="auto" w:fill="auto" w:val="clear"/>
            <w:vAlign w:val="center"/>
          </w:tcPr>
          <w:p w:rsidP="00734B2B" w:rsidR="007506E8" w:rsidRDefault="007506E8" w:rsidRPr="00734B2B">
            <w:pPr>
              <w:widowControl/>
              <w:rPr>
                <w:b/>
                <w:bCs/>
                <w:color w:val="000000"/>
                <w:sz w:val="24"/>
              </w:rPr>
            </w:pPr>
            <w:r w:rsidRPr="00734B2B">
              <w:rPr>
                <w:color w:val="000000"/>
                <w:sz w:val="24"/>
              </w:rPr>
              <w:t>赎回份额</w:t>
            </w:r>
          </w:p>
        </w:tc>
        <w:tc>
          <w:tcPr>
            <w:tcW w:type="dxa" w:w="1037"/>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持有份额</w:t>
            </w:r>
          </w:p>
        </w:tc>
        <w:tc>
          <w:tcPr>
            <w:tcW w:type="dxa" w:w="851"/>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份额占比</w:t>
            </w:r>
          </w:p>
        </w:tc>
      </w:tr>
      <w:tr>
        <w:tc>
          <w:tcPr>
            <w:vMerge w:val="restart"/>
            <w:vAlign w:val="center"/>
          </w:tcPr>
          <w:p>
            <w:r>
              <w:rPr>
                <w:sz w:val="24"/>
              </w:rPr>
              <w:t>招商银行股份有限公司－易方达中证海外中国互联网50交易型开放式指数证券投资基金联接基金</w:t>
            </w:r>
          </w:p>
        </w:tc>
        <w:tc>
          <w:tcPr>
            <w:vAlign w:val="center"/>
          </w:tcPr>
          <w:p>
            <w:pPr>
              <w:jc w:val="center"/>
            </w:pPr>
            <w:r>
              <w:rPr>
                <w:sz w:val="24"/>
              </w:rPr>
              <w:t>1</w:t>
            </w:r>
          </w:p>
        </w:tc>
        <w:tc>
          <w:tcPr>
            <w:vAlign w:val="center"/>
          </w:tcPr>
          <w:p>
            <w:pPr>
              <w:jc w:val="center"/>
            </w:pPr>
            <w:r>
              <w:rPr>
                <w:sz w:val="24"/>
              </w:rPr>
              <w:t>2020年04月07日~2020年06月30日</w:t>
            </w:r>
          </w:p>
        </w:tc>
        <w:tc>
          <w:tcPr>
            <w:vAlign w:val="center"/>
          </w:tcPr>
          <w:p>
            <w:pPr>
              <w:jc w:val="center"/>
            </w:pPr>
            <w:r>
              <w:rPr>
                <w:sz w:val="24"/>
              </w:rPr>
              <w:t>376,558,144.00</w:t>
            </w:r>
          </w:p>
        </w:tc>
        <w:tc>
          <w:tcPr>
            <w:vAlign w:val="center"/>
          </w:tcPr>
          <w:p>
            <w:pPr>
              <w:jc w:val="center"/>
            </w:pPr>
            <w:r>
              <w:rPr>
                <w:sz w:val="24"/>
              </w:rPr>
              <w:t>63,366,600.00</w:t>
            </w:r>
          </w:p>
        </w:tc>
        <w:tc>
          <w:tcPr>
            <w:vAlign w:val="center"/>
          </w:tcPr>
          <w:p>
            <w:pPr>
              <w:jc w:val="center"/>
            </w:pPr>
            <w:r>
              <w:rPr>
                <w:sz w:val="24"/>
              </w:rPr>
              <w:t>32,000,000.00</w:t>
            </w:r>
          </w:p>
        </w:tc>
        <w:tc>
          <w:tcPr>
            <w:vAlign w:val="center"/>
          </w:tcPr>
          <w:p>
            <w:pPr>
              <w:jc w:val="center"/>
            </w:pPr>
            <w:r>
              <w:rPr>
                <w:sz w:val="24"/>
              </w:rPr>
              <w:t>407,924,744.00</w:t>
            </w:r>
          </w:p>
        </w:tc>
        <w:tc>
          <w:tcPr>
            <w:vAlign w:val="center"/>
          </w:tcPr>
          <w:p>
            <w:pPr>
              <w:jc w:val="center"/>
            </w:pPr>
            <w:r>
              <w:rPr>
                <w:sz w:val="24"/>
              </w:rPr>
              <w:t>21.26%</w:t>
            </w:r>
          </w:p>
        </w:tc>
      </w:tr>
    </w:tbl>
    <w:tbl>
      <w:tblPr>
        <w:tblW w:type="dxa" w:w="963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9637"/>
      </w:tblGrid>
      <w:tr w:rsidR="007506E8" w:rsidRPr="00FC0759" w:rsidTr="00734B2B">
        <w:trPr>
          <w:jc w:val="center"/>
        </w:trPr>
        <w:tc>
          <w:tcPr>
            <w:tcW w:type="dxa" w:w="9637"/>
            <w:shd w:color="auto" w:fill="auto" w:val="clear"/>
            <w:vAlign w:val="center"/>
          </w:tcPr>
          <w:p w:rsidP="00344FF1" w:rsidR="007506E8" w:rsidRDefault="007506E8" w:rsidRPr="00734B2B">
            <w:pPr>
              <w:autoSpaceDE w:val="0"/>
              <w:autoSpaceDN w:val="0"/>
              <w:adjustRightInd w:val="0"/>
              <w:jc w:val="center"/>
              <w:rPr>
                <w:sz w:val="24"/>
              </w:rPr>
            </w:pPr>
            <w:r w:rsidRPr="00734B2B">
              <w:rPr>
                <w:color w:val="000000"/>
                <w:sz w:val="24"/>
              </w:rPr>
              <w:lastRenderedPageBreak/>
              <w:t>产品特有风险</w:t>
            </w:r>
            <w:r w:rsidRPr="00734B2B">
              <w:rPr>
                <w:sz w:val="24"/>
              </w:rPr>
              <w:t/>
            </w:r>
          </w:p>
        </w:tc>
      </w:tr>
      <w:tr w:rsidR="007506E8" w:rsidRPr="00FC0759" w:rsidTr="00734B2B">
        <w:trPr>
          <w:jc w:val="center"/>
        </w:trPr>
        <w:tc>
          <w:tcPr>
            <w:tcW w:type="dxa" w:w="9637"/>
            <w:shd w:color="auto" w:fill="auto" w:val="clear"/>
            <w:vAlign w:val="center"/>
          </w:tcPr>
          <w:p w:rsidP="00734B2B" w:rsidR="007506E8" w:rsidRDefault="007506E8" w:rsidRPr="00734B2B">
            <w:pPr>
              <w:autoSpaceDE w:val="0"/>
              <w:autoSpaceDN w:val="0"/>
              <w:adjustRightInd w:val="0"/>
              <w:jc w:val="left"/>
              <w:rPr>
                <w:sz w:val="24"/>
              </w:rPr>
            </w:pPr>
            <w:r w:rsidRPr="00734B2B">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7506E8" w:rsidR="007506E8" w:rsidRDefault="007506E8" w:rsidRPr="007506E8">
      <w:pPr>
        <w:autoSpaceDE w:val="0"/>
        <w:autoSpaceDN w:val="0"/>
        <w:adjustRightInd w:val="0"/>
        <w:spacing w:line="360" w:lineRule="auto"/>
        <w:ind w:firstLine="480" w:firstLineChars="200"/>
        <w:jc w:val="left"/>
        <w:rPr>
          <w:bCs/>
          <w:color w:val="000000"/>
          <w:kern w:val="0"/>
          <w:sz w:val="24"/>
        </w:rPr>
      </w:pPr>
      <w:r w:rsidRPr="007506E8">
        <w:rPr>
          <w:bCs/>
          <w:color w:val="000000"/>
          <w:kern w:val="0"/>
          <w:sz w:val="24"/>
        </w:rPr>
        <w:t>注：申购份额包括申购或者买入基金份额，赎回份额包括赎回或者卖出基金份额。</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§9</w:t>
      </w:r>
      <w:r w:rsidR="002A4064" w:rsidRPr="006506EF">
        <w:rPr>
          <w:color w:val="000000"/>
          <w:kern w:val="0"/>
          <w:sz w:val="24"/>
          <w:szCs w:val="24"/>
        </w:rPr>
        <w:t xml:space="preserve">  </w:t>
      </w:r>
      <w:r w:rsidRPr="006506EF">
        <w:rPr>
          <w:color w:val="000000"/>
          <w:kern w:val="0"/>
          <w:sz w:val="24"/>
          <w:szCs w:val="24"/>
        </w:rPr>
        <w:t>备查文件目录</w:t>
      </w:r>
    </w:p>
    <w:p w:rsidP="002C065A" w:rsidR="00F5013F" w:rsidRDefault="00F5013F" w:rsidRPr="006506EF">
      <w:pPr>
        <w:spacing w:line="360" w:lineRule="auto"/>
        <w:rPr>
          <w:sz w:val="24"/>
        </w:rPr>
      </w:pPr>
      <w:r w:rsidRPr="006506EF">
        <w:rPr>
          <w:sz w:val="24"/>
        </w:rPr>
        <w:t xml:space="preserve">9.1 </w:t>
      </w:r>
      <w:r w:rsidRPr="006506EF">
        <w:rPr>
          <w:sz w:val="24"/>
        </w:rPr>
        <w:t>备查文件目录</w:t>
      </w:r>
    </w:p>
    <w:p>
      <w:pPr>
        <w:spacing w:line="360" w:lineRule="auto"/>
        <w:ind w:firstLine="480" w:firstLineChars="200"/>
        <w:rPr>
          <w:color w:val="000000"/>
          <w:sz w:val="24"/>
        </w:rPr>
      </w:pPr>
      <w:r>
        <w:rPr>
          <w:color w:val="000000"/>
          <w:sz w:val="24"/>
        </w:rPr>
        <w:t>1.中国证监会准予易方达中证海外中国互联网 50 交易型开放式指数证券投资基金注册的文件；</w:t>
      </w:r>
    </w:p>
    <w:p>
      <w:pPr>
        <w:spacing w:line="360" w:lineRule="auto"/>
        <w:ind w:firstLine="480" w:firstLineChars="200"/>
        <w:rPr>
          <w:color w:val="000000"/>
          <w:sz w:val="24"/>
        </w:rPr>
      </w:pPr>
      <w:r>
        <w:rPr>
          <w:color w:val="000000"/>
          <w:sz w:val="24"/>
        </w:rPr>
        <w:t>2.《易方达中证海外中国互联网 50 交易型开放式指数证券投资基金基金合同》；</w:t>
      </w:r>
    </w:p>
    <w:p>
      <w:pPr>
        <w:spacing w:line="360" w:lineRule="auto"/>
        <w:ind w:firstLine="480" w:firstLineChars="200"/>
        <w:rPr>
          <w:color w:val="000000"/>
          <w:sz w:val="24"/>
        </w:rPr>
      </w:pPr>
      <w:r>
        <w:rPr>
          <w:color w:val="000000"/>
          <w:sz w:val="24"/>
        </w:rPr>
        <w:t>3.《易方达中证海外中国互联网 50 交易型开放式指数证券投资基金托管协议》；</w:t>
      </w:r>
    </w:p>
    <w:p w:rsidP="00A70EAB" w:rsidR="00F5013F" w:rsidRDefault="00F5013F" w:rsidRPr="006506EF">
      <w:pPr>
        <w:spacing w:line="360" w:lineRule="auto"/>
        <w:ind w:firstLine="480" w:firstLineChars="200"/>
        <w:rPr>
          <w:color w:val="000000"/>
          <w:sz w:val="24"/>
        </w:rPr>
      </w:pPr>
      <w:r w:rsidRPr="006506EF">
        <w:rPr>
          <w:color w:val="000000"/>
          <w:sz w:val="24"/>
        </w:rPr>
        <w:t>4.基金管理人业务资格批件和营业执照。</w:t>
      </w:r>
    </w:p>
    <w:p w:rsidP="002C065A" w:rsidR="00F5013F" w:rsidRDefault="00F5013F" w:rsidRPr="006506EF">
      <w:pPr>
        <w:spacing w:line="360" w:lineRule="auto"/>
        <w:rPr>
          <w:sz w:val="24"/>
        </w:rPr>
      </w:pPr>
      <w:r w:rsidRPr="006506EF">
        <w:rPr>
          <w:sz w:val="24"/>
        </w:rPr>
        <w:t xml:space="preserve">9.2 </w:t>
      </w:r>
      <w:r w:rsidRPr="006506EF">
        <w:rPr>
          <w:sz w:val="24"/>
        </w:rPr>
        <w:t>存放地点</w:t>
      </w:r>
    </w:p>
    <w:p w:rsidP="00A70EAB" w:rsidR="00F5013F" w:rsidRDefault="00F5013F" w:rsidRPr="006506EF">
      <w:pPr>
        <w:spacing w:line="360" w:lineRule="auto"/>
        <w:ind w:firstLine="480" w:firstLineChars="200"/>
        <w:rPr>
          <w:color w:val="000000"/>
          <w:sz w:val="24"/>
        </w:rPr>
      </w:pPr>
      <w:r w:rsidRPr="006506EF">
        <w:rPr>
          <w:color w:val="000000"/>
          <w:sz w:val="24"/>
        </w:rPr>
        <w:t>广州市天河区珠江新城珠江东路30号广州银行大厦40-43楼。</w:t>
      </w:r>
    </w:p>
    <w:p w:rsidP="002C065A" w:rsidR="00F5013F" w:rsidRDefault="00F5013F" w:rsidRPr="006506EF">
      <w:pPr>
        <w:spacing w:line="360" w:lineRule="auto"/>
        <w:rPr>
          <w:sz w:val="24"/>
        </w:rPr>
      </w:pPr>
      <w:r w:rsidRPr="006506EF">
        <w:rPr>
          <w:sz w:val="24"/>
        </w:rPr>
        <w:t xml:space="preserve">9.3 </w:t>
      </w:r>
      <w:r w:rsidRPr="006506EF">
        <w:rPr>
          <w:sz w:val="24"/>
        </w:rPr>
        <w:t>查阅方式</w:t>
      </w:r>
    </w:p>
    <w:p w:rsidP="00547F92" w:rsidR="00F5013F" w:rsidRDefault="00F5013F" w:rsidRPr="006506EF">
      <w:pPr>
        <w:spacing w:line="360" w:lineRule="auto"/>
        <w:ind w:firstLine="480" w:firstLineChars="200"/>
        <w:rPr>
          <w:color w:val="000000"/>
          <w:sz w:val="24"/>
        </w:rPr>
      </w:pPr>
      <w:r w:rsidRPr="006506EF">
        <w:rPr>
          <w:color w:val="000000"/>
          <w:sz w:val="24"/>
        </w:rPr>
        <w:t>投资者可在营业时间免费查阅，也可按工本费购买复印件。</w:t>
      </w: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0C7596" w:rsidR="00F5013F" w:rsidRDefault="00F5013F" w:rsidRPr="006506EF">
      <w:pPr>
        <w:spacing w:line="360" w:lineRule="auto"/>
        <w:jc w:val="right"/>
        <w:rPr>
          <w:b/>
          <w:bCs/>
          <w:sz w:val="24"/>
        </w:rPr>
      </w:pPr>
      <w:r w:rsidRPr="006506EF">
        <w:rPr>
          <w:b/>
          <w:bCs/>
          <w:sz w:val="24"/>
        </w:rPr>
        <w:t>易方达基金管理有限公司</w:t>
      </w:r>
    </w:p>
    <w:p w:rsidP="000C7596" w:rsidR="00F5013F" w:rsidRDefault="00F5013F" w:rsidRPr="006506EF">
      <w:pPr>
        <w:spacing w:line="360" w:lineRule="auto"/>
        <w:jc w:val="right"/>
        <w:rPr>
          <w:b/>
          <w:bCs/>
          <w:sz w:val="24"/>
        </w:rPr>
      </w:pPr>
      <w:r w:rsidRPr="006506EF">
        <w:rPr>
          <w:b/>
          <w:bCs/>
          <w:sz w:val="24"/>
        </w:rPr>
        <w:t>二〇二〇年七月二十一日</w:t>
      </w:r>
    </w:p>
    <w:sectPr w:rsidR="00F5013F" w:rsidRPr="006506EF" w:rsidSect="00DB4450">
      <w:headerReference r:id="rId11" w:type="even"/>
      <w:footerReference r:id="rId12" w:type="even"/>
      <w:footerReference r:id="rId13" w:type="default"/>
      <w:headerReference r:id="rId14" w:type="first"/>
      <w:footerReference r:id="rId15"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E24" w:rsidRDefault="008F6E24">
      <w:r>
        <w:separator/>
      </w:r>
    </w:p>
  </w:endnote>
  <w:endnote w:type="continuationSeparator" w:id="0">
    <w:p w:rsidR="008F6E24" w:rsidRDefault="008F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B918B8" w:rsidR="00F5013F" w:rsidRDefault="00F5013F" w:rsidRPr="001D0DB0">
    <w:pPr>
      <w:pStyle w:val="a6"/>
      <w:jc w:val="center"/>
    </w:pPr>
    <w:r>
      <w:rPr>
        <w:rFonts w:hint="eastAsia"/>
        <w:szCs w:val="21"/>
      </w:rPr>
      <w:t>第</w:t>
    </w:r>
    <w:r w:rsidR="005558C4">
      <w:rPr>
        <w:szCs w:val="21"/>
      </w:rPr>
      <w:fldChar w:fldCharType="begin"/>
    </w:r>
    <w:r>
      <w:rPr>
        <w:szCs w:val="21"/>
      </w:rPr>
      <w:instrText xml:space="preserve"> PAGE </w:instrText>
    </w:r>
    <w:r w:rsidR="005558C4">
      <w:rPr>
        <w:szCs w:val="21"/>
      </w:rPr>
      <w:fldChar w:fldCharType="separate"/>
    </w:r>
    <w:r w:rsidR="00536368">
      <w:rPr>
        <w:noProof/>
        <w:szCs w:val="21"/>
      </w:rPr>
      <w:t>1</w:t>
    </w:r>
    <w:r w:rsidR="005558C4">
      <w:rPr>
        <w:szCs w:val="21"/>
      </w:rPr>
      <w:fldChar w:fldCharType="end"/>
    </w:r>
    <w:r>
      <w:rPr>
        <w:rFonts w:hint="eastAsia"/>
        <w:szCs w:val="21"/>
      </w:rPr>
      <w:t>页共</w:t>
    </w:r>
    <w:r w:rsidR="005558C4">
      <w:rPr>
        <w:szCs w:val="21"/>
      </w:rPr>
      <w:fldChar w:fldCharType="begin"/>
    </w:r>
    <w:r>
      <w:rPr>
        <w:szCs w:val="21"/>
      </w:rPr>
      <w:instrText xml:space="preserve"> NUMPAGES </w:instrText>
    </w:r>
    <w:r w:rsidR="005558C4">
      <w:rPr>
        <w:szCs w:val="21"/>
      </w:rPr>
      <w:fldChar w:fldCharType="separate"/>
    </w:r>
    <w:r w:rsidR="00536368">
      <w:rPr>
        <w:noProof/>
        <w:szCs w:val="21"/>
      </w:rPr>
      <w:t>22</w:t>
    </w:r>
    <w:r w:rsidR="005558C4">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5558C4">
    <w:pPr>
      <w:pStyle w:val="a6"/>
      <w:framePr w:hAnchor="margin" w:vAnchor="text" w:wrap="around" w:xAlign="center" w:y="1"/>
      <w:rPr>
        <w:rStyle w:val="a7"/>
      </w:rPr>
    </w:pPr>
    <w:r>
      <w:rPr>
        <w:rStyle w:val="a7"/>
      </w:rPr>
      <w:fldChar w:fldCharType="begin"/>
    </w:r>
    <w:r w:rsidR="00F5013F">
      <w:rPr>
        <w:rStyle w:val="a7"/>
      </w:rPr>
      <w:instrText xml:space="preserve">PAGE  </w:instrText>
    </w:r>
    <w:r>
      <w:rPr>
        <w:rStyle w:val="a7"/>
      </w:rPr>
      <w:fldChar w:fldCharType="end"/>
    </w:r>
  </w:p>
  <w:p w:rsidR="00F5013F" w:rsidRDefault="00F5013F">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5558C4">
    <w:pPr>
      <w:pStyle w:val="a6"/>
      <w:framePr w:hAnchor="margin" w:vAnchor="text" w:wrap="around" w:xAlign="center" w:y="1"/>
      <w:rPr>
        <w:rStyle w:val="a7"/>
      </w:rPr>
    </w:pPr>
    <w:r>
      <w:rPr>
        <w:rStyle w:val="a7"/>
      </w:rPr>
      <w:fldChar w:fldCharType="begin"/>
    </w:r>
    <w:r w:rsidR="00F5013F">
      <w:rPr>
        <w:rStyle w:val="a7"/>
      </w:rPr>
      <w:instrText xml:space="preserve">PAGE  </w:instrText>
    </w:r>
    <w:r>
      <w:rPr>
        <w:rStyle w:val="a7"/>
      </w:rPr>
      <w:fldChar w:fldCharType="separate"/>
    </w:r>
    <w:r w:rsidR="00536368">
      <w:rPr>
        <w:rStyle w:val="a7"/>
        <w:noProof/>
      </w:rPr>
      <w:t>15</w:t>
    </w:r>
    <w:r>
      <w:rPr>
        <w:rStyle w:val="a7"/>
      </w:rPr>
      <w:fldChar w:fldCharType="end"/>
    </w:r>
  </w:p>
  <w:p w:rsidR="00F5013F" w:rsidRDefault="00F5013F">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8F6E24" w:rsidRDefault="008F6E24">
      <w:r>
        <w:separator/>
      </w:r>
    </w:p>
  </w:footnote>
  <w:footnote w:id="0" w:type="continuationSeparator">
    <w:p w:rsidR="008F6E24" w:rsidRDefault="008F6E24">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1356" w:rsidR="00F5013F" w:rsidRDefault="00F5013F" w:rsidRPr="00CA4176">
    <w:pPr>
      <w:pStyle w:val="a9"/>
      <w:pBdr>
        <w:bottom w:color="auto" w:space="0" w:sz="6" w:val="single"/>
      </w:pBdr>
      <w:jc w:val="right"/>
      <w:rPr>
        <w:sz w:val="15"/>
      </w:rPr>
    </w:pPr>
    <w:r w:rsidRPr="00CA4176">
      <w:rPr>
        <w:szCs w:val="21"/>
      </w:rPr>
      <w:t>易方达中证海外中国互联网50交易型开放式指数证券投资基金2020年第2季度报告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7FB4"/>
    <w:rsid w:val="0000403B"/>
    <w:rsid w:val="00005911"/>
    <w:rsid w:val="00010A83"/>
    <w:rsid w:val="00010A8E"/>
    <w:rsid w:val="00010AC3"/>
    <w:rsid w:val="00011EB5"/>
    <w:rsid w:val="00017581"/>
    <w:rsid w:val="00017739"/>
    <w:rsid w:val="00020583"/>
    <w:rsid w:val="00021DD4"/>
    <w:rsid w:val="00023BE7"/>
    <w:rsid w:val="00026BFF"/>
    <w:rsid w:val="000306F0"/>
    <w:rsid w:val="0003091A"/>
    <w:rsid w:val="00037FCF"/>
    <w:rsid w:val="00041AB5"/>
    <w:rsid w:val="000421B8"/>
    <w:rsid w:val="00043ABF"/>
    <w:rsid w:val="000445E4"/>
    <w:rsid w:val="00045AE7"/>
    <w:rsid w:val="000510AB"/>
    <w:rsid w:val="00055668"/>
    <w:rsid w:val="00055AF1"/>
    <w:rsid w:val="000565DC"/>
    <w:rsid w:val="00063A8D"/>
    <w:rsid w:val="00064AE3"/>
    <w:rsid w:val="00066524"/>
    <w:rsid w:val="00067332"/>
    <w:rsid w:val="00067AC4"/>
    <w:rsid w:val="00070CD1"/>
    <w:rsid w:val="0007171B"/>
    <w:rsid w:val="0007178B"/>
    <w:rsid w:val="00081D05"/>
    <w:rsid w:val="000876A0"/>
    <w:rsid w:val="00087CF7"/>
    <w:rsid w:val="00094876"/>
    <w:rsid w:val="00095912"/>
    <w:rsid w:val="00095CE0"/>
    <w:rsid w:val="000965F7"/>
    <w:rsid w:val="00096933"/>
    <w:rsid w:val="00097230"/>
    <w:rsid w:val="000A09BE"/>
    <w:rsid w:val="000A457E"/>
    <w:rsid w:val="000A521D"/>
    <w:rsid w:val="000A549A"/>
    <w:rsid w:val="000A55BD"/>
    <w:rsid w:val="000A72F2"/>
    <w:rsid w:val="000B0C56"/>
    <w:rsid w:val="000B3274"/>
    <w:rsid w:val="000B3E43"/>
    <w:rsid w:val="000B7DD0"/>
    <w:rsid w:val="000C1723"/>
    <w:rsid w:val="000C1B20"/>
    <w:rsid w:val="000C4107"/>
    <w:rsid w:val="000C41AE"/>
    <w:rsid w:val="000C45E7"/>
    <w:rsid w:val="000C6EE5"/>
    <w:rsid w:val="000C7596"/>
    <w:rsid w:val="000D01F4"/>
    <w:rsid w:val="000D09E5"/>
    <w:rsid w:val="000D121F"/>
    <w:rsid w:val="000D1519"/>
    <w:rsid w:val="000E1F7C"/>
    <w:rsid w:val="000E3B88"/>
    <w:rsid w:val="000E4456"/>
    <w:rsid w:val="000F175F"/>
    <w:rsid w:val="000F17D1"/>
    <w:rsid w:val="000F4D41"/>
    <w:rsid w:val="000F60FF"/>
    <w:rsid w:val="000F635F"/>
    <w:rsid w:val="000F6C61"/>
    <w:rsid w:val="00100A7C"/>
    <w:rsid w:val="00100C12"/>
    <w:rsid w:val="001049B6"/>
    <w:rsid w:val="001051C6"/>
    <w:rsid w:val="0010694D"/>
    <w:rsid w:val="0011177A"/>
    <w:rsid w:val="00112E27"/>
    <w:rsid w:val="0011345C"/>
    <w:rsid w:val="00114B31"/>
    <w:rsid w:val="00116E31"/>
    <w:rsid w:val="00120FAF"/>
    <w:rsid w:val="0012150F"/>
    <w:rsid w:val="00121683"/>
    <w:rsid w:val="0012304E"/>
    <w:rsid w:val="00123B10"/>
    <w:rsid w:val="001248EF"/>
    <w:rsid w:val="001257C7"/>
    <w:rsid w:val="00126DDF"/>
    <w:rsid w:val="001270BF"/>
    <w:rsid w:val="00127BAC"/>
    <w:rsid w:val="00142A56"/>
    <w:rsid w:val="00143B45"/>
    <w:rsid w:val="00144DF5"/>
    <w:rsid w:val="00145A97"/>
    <w:rsid w:val="00146485"/>
    <w:rsid w:val="00150AD6"/>
    <w:rsid w:val="00154ADA"/>
    <w:rsid w:val="0015531A"/>
    <w:rsid w:val="0016041C"/>
    <w:rsid w:val="00163B27"/>
    <w:rsid w:val="00165317"/>
    <w:rsid w:val="00171BAD"/>
    <w:rsid w:val="00172B84"/>
    <w:rsid w:val="0017406E"/>
    <w:rsid w:val="001756A1"/>
    <w:rsid w:val="001761EE"/>
    <w:rsid w:val="00176EAA"/>
    <w:rsid w:val="0017725A"/>
    <w:rsid w:val="00177BE0"/>
    <w:rsid w:val="00177C4B"/>
    <w:rsid w:val="00180FB6"/>
    <w:rsid w:val="00181F3C"/>
    <w:rsid w:val="0018325A"/>
    <w:rsid w:val="00186199"/>
    <w:rsid w:val="0018734E"/>
    <w:rsid w:val="001878B0"/>
    <w:rsid w:val="00190115"/>
    <w:rsid w:val="001928F7"/>
    <w:rsid w:val="00194537"/>
    <w:rsid w:val="00194F40"/>
    <w:rsid w:val="001A21A9"/>
    <w:rsid w:val="001A59D8"/>
    <w:rsid w:val="001A5FA6"/>
    <w:rsid w:val="001B28D0"/>
    <w:rsid w:val="001B2F0C"/>
    <w:rsid w:val="001C37F6"/>
    <w:rsid w:val="001C46E1"/>
    <w:rsid w:val="001C5C03"/>
    <w:rsid w:val="001C6288"/>
    <w:rsid w:val="001C7D5D"/>
    <w:rsid w:val="001D0DB0"/>
    <w:rsid w:val="001D0F6A"/>
    <w:rsid w:val="001D1356"/>
    <w:rsid w:val="001D21BC"/>
    <w:rsid w:val="001D2FA5"/>
    <w:rsid w:val="001D3187"/>
    <w:rsid w:val="001D35E0"/>
    <w:rsid w:val="001D4F52"/>
    <w:rsid w:val="001D5045"/>
    <w:rsid w:val="001D5A44"/>
    <w:rsid w:val="001D724B"/>
    <w:rsid w:val="001E03D6"/>
    <w:rsid w:val="001E11D3"/>
    <w:rsid w:val="001E227F"/>
    <w:rsid w:val="001E2A6A"/>
    <w:rsid w:val="001E3DC2"/>
    <w:rsid w:val="001E4ABC"/>
    <w:rsid w:val="001E56FF"/>
    <w:rsid w:val="001E5C6B"/>
    <w:rsid w:val="001F03E1"/>
    <w:rsid w:val="001F26C1"/>
    <w:rsid w:val="001F3C28"/>
    <w:rsid w:val="001F3CC6"/>
    <w:rsid w:val="001F4530"/>
    <w:rsid w:val="002010DE"/>
    <w:rsid w:val="00202968"/>
    <w:rsid w:val="00202C32"/>
    <w:rsid w:val="00203AEF"/>
    <w:rsid w:val="00206F8C"/>
    <w:rsid w:val="00211A26"/>
    <w:rsid w:val="002125F7"/>
    <w:rsid w:val="00212961"/>
    <w:rsid w:val="00213FE8"/>
    <w:rsid w:val="00214463"/>
    <w:rsid w:val="00214756"/>
    <w:rsid w:val="002149AE"/>
    <w:rsid w:val="00215CF2"/>
    <w:rsid w:val="00221174"/>
    <w:rsid w:val="002224FF"/>
    <w:rsid w:val="002236BC"/>
    <w:rsid w:val="00223DBB"/>
    <w:rsid w:val="00233B7F"/>
    <w:rsid w:val="002359EB"/>
    <w:rsid w:val="002363AB"/>
    <w:rsid w:val="0024260D"/>
    <w:rsid w:val="00245012"/>
    <w:rsid w:val="0024504E"/>
    <w:rsid w:val="0024651F"/>
    <w:rsid w:val="0025158D"/>
    <w:rsid w:val="0025281A"/>
    <w:rsid w:val="00253D3C"/>
    <w:rsid w:val="00254F37"/>
    <w:rsid w:val="00255292"/>
    <w:rsid w:val="00256097"/>
    <w:rsid w:val="00260200"/>
    <w:rsid w:val="00261DB3"/>
    <w:rsid w:val="002648D8"/>
    <w:rsid w:val="00264E55"/>
    <w:rsid w:val="002655D4"/>
    <w:rsid w:val="00265865"/>
    <w:rsid w:val="00267A28"/>
    <w:rsid w:val="00267D54"/>
    <w:rsid w:val="002711AA"/>
    <w:rsid w:val="00273F86"/>
    <w:rsid w:val="0027576B"/>
    <w:rsid w:val="00276834"/>
    <w:rsid w:val="002774F0"/>
    <w:rsid w:val="00280566"/>
    <w:rsid w:val="00281DBD"/>
    <w:rsid w:val="00284519"/>
    <w:rsid w:val="0028459B"/>
    <w:rsid w:val="00284C5F"/>
    <w:rsid w:val="00287063"/>
    <w:rsid w:val="002873F0"/>
    <w:rsid w:val="00287B56"/>
    <w:rsid w:val="002964F9"/>
    <w:rsid w:val="00297B13"/>
    <w:rsid w:val="002A1F14"/>
    <w:rsid w:val="002A2678"/>
    <w:rsid w:val="002A2E01"/>
    <w:rsid w:val="002A398F"/>
    <w:rsid w:val="002A4064"/>
    <w:rsid w:val="002A530F"/>
    <w:rsid w:val="002A5C6B"/>
    <w:rsid w:val="002A5D31"/>
    <w:rsid w:val="002A714F"/>
    <w:rsid w:val="002B14C2"/>
    <w:rsid w:val="002B1851"/>
    <w:rsid w:val="002B2019"/>
    <w:rsid w:val="002B27FF"/>
    <w:rsid w:val="002B3A0A"/>
    <w:rsid w:val="002B4320"/>
    <w:rsid w:val="002B6793"/>
    <w:rsid w:val="002C042C"/>
    <w:rsid w:val="002C065A"/>
    <w:rsid w:val="002C1726"/>
    <w:rsid w:val="002C21A6"/>
    <w:rsid w:val="002C2678"/>
    <w:rsid w:val="002C26D5"/>
    <w:rsid w:val="002C5777"/>
    <w:rsid w:val="002D31BB"/>
    <w:rsid w:val="002D32E3"/>
    <w:rsid w:val="002E0FEB"/>
    <w:rsid w:val="002E5C64"/>
    <w:rsid w:val="002E6899"/>
    <w:rsid w:val="002E6FB9"/>
    <w:rsid w:val="002F0F79"/>
    <w:rsid w:val="002F2234"/>
    <w:rsid w:val="002F2713"/>
    <w:rsid w:val="002F280E"/>
    <w:rsid w:val="002F3709"/>
    <w:rsid w:val="002F3A6C"/>
    <w:rsid w:val="002F4296"/>
    <w:rsid w:val="00300951"/>
    <w:rsid w:val="00302CA8"/>
    <w:rsid w:val="00302DE9"/>
    <w:rsid w:val="003033EE"/>
    <w:rsid w:val="00304106"/>
    <w:rsid w:val="00304E5A"/>
    <w:rsid w:val="00304E97"/>
    <w:rsid w:val="00305084"/>
    <w:rsid w:val="00311094"/>
    <w:rsid w:val="0031598C"/>
    <w:rsid w:val="00316339"/>
    <w:rsid w:val="003204E9"/>
    <w:rsid w:val="00321E8C"/>
    <w:rsid w:val="00322A86"/>
    <w:rsid w:val="00323AE8"/>
    <w:rsid w:val="00324548"/>
    <w:rsid w:val="003251F4"/>
    <w:rsid w:val="003303E3"/>
    <w:rsid w:val="003329EA"/>
    <w:rsid w:val="003407A5"/>
    <w:rsid w:val="00341188"/>
    <w:rsid w:val="0034147B"/>
    <w:rsid w:val="00344A44"/>
    <w:rsid w:val="00344FF1"/>
    <w:rsid w:val="00345F56"/>
    <w:rsid w:val="00346DF0"/>
    <w:rsid w:val="00350238"/>
    <w:rsid w:val="0035109C"/>
    <w:rsid w:val="00351F0A"/>
    <w:rsid w:val="0035432B"/>
    <w:rsid w:val="00361E7E"/>
    <w:rsid w:val="00363E15"/>
    <w:rsid w:val="0037006D"/>
    <w:rsid w:val="00370AA4"/>
    <w:rsid w:val="00371FF4"/>
    <w:rsid w:val="003729CF"/>
    <w:rsid w:val="003745DA"/>
    <w:rsid w:val="0037468D"/>
    <w:rsid w:val="00376A15"/>
    <w:rsid w:val="00376E96"/>
    <w:rsid w:val="00377520"/>
    <w:rsid w:val="00380D36"/>
    <w:rsid w:val="003822D3"/>
    <w:rsid w:val="0038359B"/>
    <w:rsid w:val="00386630"/>
    <w:rsid w:val="00390B25"/>
    <w:rsid w:val="00395BC9"/>
    <w:rsid w:val="00396E32"/>
    <w:rsid w:val="00397156"/>
    <w:rsid w:val="00397616"/>
    <w:rsid w:val="00397960"/>
    <w:rsid w:val="003A30B8"/>
    <w:rsid w:val="003A3BC4"/>
    <w:rsid w:val="003A458A"/>
    <w:rsid w:val="003B2F13"/>
    <w:rsid w:val="003B405E"/>
    <w:rsid w:val="003B57D3"/>
    <w:rsid w:val="003C1F58"/>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7C45"/>
    <w:rsid w:val="0040132C"/>
    <w:rsid w:val="00401FEA"/>
    <w:rsid w:val="004027BA"/>
    <w:rsid w:val="0040469F"/>
    <w:rsid w:val="00405085"/>
    <w:rsid w:val="004061D9"/>
    <w:rsid w:val="004066FC"/>
    <w:rsid w:val="00407C10"/>
    <w:rsid w:val="004113B4"/>
    <w:rsid w:val="00414827"/>
    <w:rsid w:val="00416C10"/>
    <w:rsid w:val="00420007"/>
    <w:rsid w:val="00424EF3"/>
    <w:rsid w:val="004261BD"/>
    <w:rsid w:val="004268BB"/>
    <w:rsid w:val="00431047"/>
    <w:rsid w:val="00431B86"/>
    <w:rsid w:val="004339D9"/>
    <w:rsid w:val="004408EC"/>
    <w:rsid w:val="00441E6A"/>
    <w:rsid w:val="00443C8F"/>
    <w:rsid w:val="00452481"/>
    <w:rsid w:val="00455464"/>
    <w:rsid w:val="004567C5"/>
    <w:rsid w:val="00457804"/>
    <w:rsid w:val="00462B61"/>
    <w:rsid w:val="00464283"/>
    <w:rsid w:val="004646BF"/>
    <w:rsid w:val="00464744"/>
    <w:rsid w:val="004665E3"/>
    <w:rsid w:val="00466B17"/>
    <w:rsid w:val="00467F2B"/>
    <w:rsid w:val="004705EB"/>
    <w:rsid w:val="004731F1"/>
    <w:rsid w:val="004745CC"/>
    <w:rsid w:val="00477111"/>
    <w:rsid w:val="0047798A"/>
    <w:rsid w:val="004804B1"/>
    <w:rsid w:val="00480BC8"/>
    <w:rsid w:val="00481265"/>
    <w:rsid w:val="004814BF"/>
    <w:rsid w:val="00482956"/>
    <w:rsid w:val="0048587E"/>
    <w:rsid w:val="00487C2B"/>
    <w:rsid w:val="0049297D"/>
    <w:rsid w:val="004929F2"/>
    <w:rsid w:val="004958BE"/>
    <w:rsid w:val="00495A03"/>
    <w:rsid w:val="0049659A"/>
    <w:rsid w:val="004966FE"/>
    <w:rsid w:val="00497079"/>
    <w:rsid w:val="004A1BBA"/>
    <w:rsid w:val="004A3039"/>
    <w:rsid w:val="004A3251"/>
    <w:rsid w:val="004A3E3C"/>
    <w:rsid w:val="004A5B18"/>
    <w:rsid w:val="004B0E6D"/>
    <w:rsid w:val="004B16E8"/>
    <w:rsid w:val="004B25F8"/>
    <w:rsid w:val="004B38A1"/>
    <w:rsid w:val="004B3F56"/>
    <w:rsid w:val="004B6250"/>
    <w:rsid w:val="004B76B1"/>
    <w:rsid w:val="004C0057"/>
    <w:rsid w:val="004C0541"/>
    <w:rsid w:val="004C05F3"/>
    <w:rsid w:val="004C2C46"/>
    <w:rsid w:val="004C52A1"/>
    <w:rsid w:val="004C7235"/>
    <w:rsid w:val="004C7955"/>
    <w:rsid w:val="004D047F"/>
    <w:rsid w:val="004D3971"/>
    <w:rsid w:val="004D3D96"/>
    <w:rsid w:val="004D650F"/>
    <w:rsid w:val="004E2133"/>
    <w:rsid w:val="004E60FB"/>
    <w:rsid w:val="004F16AD"/>
    <w:rsid w:val="004F6565"/>
    <w:rsid w:val="004F779C"/>
    <w:rsid w:val="004F7846"/>
    <w:rsid w:val="005000D4"/>
    <w:rsid w:val="00501BB1"/>
    <w:rsid w:val="0050335E"/>
    <w:rsid w:val="00505BE7"/>
    <w:rsid w:val="00506786"/>
    <w:rsid w:val="00506D57"/>
    <w:rsid w:val="00510CAF"/>
    <w:rsid w:val="005128C5"/>
    <w:rsid w:val="0051478B"/>
    <w:rsid w:val="0051566A"/>
    <w:rsid w:val="00515D7B"/>
    <w:rsid w:val="005166E9"/>
    <w:rsid w:val="0052009E"/>
    <w:rsid w:val="00521EDE"/>
    <w:rsid w:val="00525E59"/>
    <w:rsid w:val="005318CC"/>
    <w:rsid w:val="005346F1"/>
    <w:rsid w:val="005349B1"/>
    <w:rsid w:val="00536368"/>
    <w:rsid w:val="005374BC"/>
    <w:rsid w:val="00543367"/>
    <w:rsid w:val="00543B38"/>
    <w:rsid w:val="00543BFA"/>
    <w:rsid w:val="00547D9C"/>
    <w:rsid w:val="00547DA1"/>
    <w:rsid w:val="00547F92"/>
    <w:rsid w:val="0055513C"/>
    <w:rsid w:val="005558C4"/>
    <w:rsid w:val="00560C94"/>
    <w:rsid w:val="0056291C"/>
    <w:rsid w:val="00565A63"/>
    <w:rsid w:val="00566588"/>
    <w:rsid w:val="00571BD3"/>
    <w:rsid w:val="00571FA8"/>
    <w:rsid w:val="0057275D"/>
    <w:rsid w:val="005749DF"/>
    <w:rsid w:val="0057608B"/>
    <w:rsid w:val="0057676D"/>
    <w:rsid w:val="005800A9"/>
    <w:rsid w:val="00580488"/>
    <w:rsid w:val="0058074D"/>
    <w:rsid w:val="00582FAD"/>
    <w:rsid w:val="00583489"/>
    <w:rsid w:val="005837E4"/>
    <w:rsid w:val="005838AE"/>
    <w:rsid w:val="00587B92"/>
    <w:rsid w:val="005908C0"/>
    <w:rsid w:val="00590FE4"/>
    <w:rsid w:val="00591D9C"/>
    <w:rsid w:val="00592EFF"/>
    <w:rsid w:val="00597057"/>
    <w:rsid w:val="00597D8B"/>
    <w:rsid w:val="005A128A"/>
    <w:rsid w:val="005A140B"/>
    <w:rsid w:val="005A1C30"/>
    <w:rsid w:val="005A3295"/>
    <w:rsid w:val="005A44E4"/>
    <w:rsid w:val="005A46FF"/>
    <w:rsid w:val="005A5D3B"/>
    <w:rsid w:val="005A6BFC"/>
    <w:rsid w:val="005A704A"/>
    <w:rsid w:val="005B011E"/>
    <w:rsid w:val="005B2E84"/>
    <w:rsid w:val="005B3103"/>
    <w:rsid w:val="005B6AC7"/>
    <w:rsid w:val="005B6CA6"/>
    <w:rsid w:val="005B7B0E"/>
    <w:rsid w:val="005C2541"/>
    <w:rsid w:val="005C28CB"/>
    <w:rsid w:val="005C45E8"/>
    <w:rsid w:val="005C5409"/>
    <w:rsid w:val="005C69AC"/>
    <w:rsid w:val="005C722E"/>
    <w:rsid w:val="005C7FD4"/>
    <w:rsid w:val="005D01A4"/>
    <w:rsid w:val="005D45B3"/>
    <w:rsid w:val="005D4CEB"/>
    <w:rsid w:val="005E0EAB"/>
    <w:rsid w:val="005E2501"/>
    <w:rsid w:val="005E39D4"/>
    <w:rsid w:val="005E64DA"/>
    <w:rsid w:val="005E6CD4"/>
    <w:rsid w:val="005F04E6"/>
    <w:rsid w:val="005F43B9"/>
    <w:rsid w:val="005F68CB"/>
    <w:rsid w:val="005F7085"/>
    <w:rsid w:val="005F79F9"/>
    <w:rsid w:val="006004FE"/>
    <w:rsid w:val="00602ACD"/>
    <w:rsid w:val="006033E3"/>
    <w:rsid w:val="00605748"/>
    <w:rsid w:val="00610C82"/>
    <w:rsid w:val="0061321C"/>
    <w:rsid w:val="0062145B"/>
    <w:rsid w:val="00623556"/>
    <w:rsid w:val="0062386E"/>
    <w:rsid w:val="00623F01"/>
    <w:rsid w:val="00624407"/>
    <w:rsid w:val="00626E2D"/>
    <w:rsid w:val="00627D94"/>
    <w:rsid w:val="00630B42"/>
    <w:rsid w:val="0063181A"/>
    <w:rsid w:val="00633BBA"/>
    <w:rsid w:val="00634585"/>
    <w:rsid w:val="00637258"/>
    <w:rsid w:val="00642072"/>
    <w:rsid w:val="006440ED"/>
    <w:rsid w:val="00645293"/>
    <w:rsid w:val="00646237"/>
    <w:rsid w:val="006506EF"/>
    <w:rsid w:val="00651B78"/>
    <w:rsid w:val="00652263"/>
    <w:rsid w:val="00652881"/>
    <w:rsid w:val="00661974"/>
    <w:rsid w:val="00662D4B"/>
    <w:rsid w:val="00664551"/>
    <w:rsid w:val="00664F49"/>
    <w:rsid w:val="006658FA"/>
    <w:rsid w:val="0066726C"/>
    <w:rsid w:val="006674BD"/>
    <w:rsid w:val="006676A0"/>
    <w:rsid w:val="00670857"/>
    <w:rsid w:val="00671124"/>
    <w:rsid w:val="006727B0"/>
    <w:rsid w:val="0067307E"/>
    <w:rsid w:val="00680BB3"/>
    <w:rsid w:val="00686EC0"/>
    <w:rsid w:val="00687AD5"/>
    <w:rsid w:val="00691153"/>
    <w:rsid w:val="00695251"/>
    <w:rsid w:val="00695ADE"/>
    <w:rsid w:val="00695C0D"/>
    <w:rsid w:val="00696356"/>
    <w:rsid w:val="00696E18"/>
    <w:rsid w:val="006A1DAE"/>
    <w:rsid w:val="006A2C8E"/>
    <w:rsid w:val="006A72C6"/>
    <w:rsid w:val="006B02DA"/>
    <w:rsid w:val="006B077E"/>
    <w:rsid w:val="006B1FD1"/>
    <w:rsid w:val="006B2065"/>
    <w:rsid w:val="006B2F2B"/>
    <w:rsid w:val="006B3940"/>
    <w:rsid w:val="006B47D1"/>
    <w:rsid w:val="006C0411"/>
    <w:rsid w:val="006C168D"/>
    <w:rsid w:val="006C1D52"/>
    <w:rsid w:val="006C4E16"/>
    <w:rsid w:val="006C55C8"/>
    <w:rsid w:val="006C5E36"/>
    <w:rsid w:val="006C642C"/>
    <w:rsid w:val="006C6FC6"/>
    <w:rsid w:val="006D00D5"/>
    <w:rsid w:val="006E34B7"/>
    <w:rsid w:val="006F4CD8"/>
    <w:rsid w:val="006F7291"/>
    <w:rsid w:val="00701F44"/>
    <w:rsid w:val="00703E8A"/>
    <w:rsid w:val="00710335"/>
    <w:rsid w:val="00711522"/>
    <w:rsid w:val="007124FE"/>
    <w:rsid w:val="00713186"/>
    <w:rsid w:val="00713757"/>
    <w:rsid w:val="00717772"/>
    <w:rsid w:val="00721AF1"/>
    <w:rsid w:val="0072280F"/>
    <w:rsid w:val="00722B5E"/>
    <w:rsid w:val="0072708F"/>
    <w:rsid w:val="00730500"/>
    <w:rsid w:val="007328AB"/>
    <w:rsid w:val="00732D1D"/>
    <w:rsid w:val="00734B2B"/>
    <w:rsid w:val="0073600F"/>
    <w:rsid w:val="00736034"/>
    <w:rsid w:val="007362E0"/>
    <w:rsid w:val="00736479"/>
    <w:rsid w:val="0073681C"/>
    <w:rsid w:val="00741EBE"/>
    <w:rsid w:val="00746130"/>
    <w:rsid w:val="00746A40"/>
    <w:rsid w:val="00750358"/>
    <w:rsid w:val="007506E8"/>
    <w:rsid w:val="007513AC"/>
    <w:rsid w:val="00751763"/>
    <w:rsid w:val="00755CDF"/>
    <w:rsid w:val="00757A4C"/>
    <w:rsid w:val="00763925"/>
    <w:rsid w:val="00764A94"/>
    <w:rsid w:val="0076518F"/>
    <w:rsid w:val="007651E5"/>
    <w:rsid w:val="007670DC"/>
    <w:rsid w:val="0077111A"/>
    <w:rsid w:val="00772721"/>
    <w:rsid w:val="007756ED"/>
    <w:rsid w:val="0078105B"/>
    <w:rsid w:val="00783C07"/>
    <w:rsid w:val="007870FC"/>
    <w:rsid w:val="0078767E"/>
    <w:rsid w:val="00787CD0"/>
    <w:rsid w:val="00791053"/>
    <w:rsid w:val="00791A3A"/>
    <w:rsid w:val="00791BB9"/>
    <w:rsid w:val="007936BA"/>
    <w:rsid w:val="00794196"/>
    <w:rsid w:val="00796EC9"/>
    <w:rsid w:val="00797637"/>
    <w:rsid w:val="007A3680"/>
    <w:rsid w:val="007A39AF"/>
    <w:rsid w:val="007A59B8"/>
    <w:rsid w:val="007A75F5"/>
    <w:rsid w:val="007B2862"/>
    <w:rsid w:val="007B662A"/>
    <w:rsid w:val="007C3469"/>
    <w:rsid w:val="007D1292"/>
    <w:rsid w:val="007D28C9"/>
    <w:rsid w:val="007D3AE5"/>
    <w:rsid w:val="007D3CC8"/>
    <w:rsid w:val="007D62F9"/>
    <w:rsid w:val="007D63A4"/>
    <w:rsid w:val="007E1AA2"/>
    <w:rsid w:val="007E2F72"/>
    <w:rsid w:val="007E303C"/>
    <w:rsid w:val="007E4C1F"/>
    <w:rsid w:val="007F0759"/>
    <w:rsid w:val="007F25C0"/>
    <w:rsid w:val="007F26D5"/>
    <w:rsid w:val="007F5F52"/>
    <w:rsid w:val="007F768B"/>
    <w:rsid w:val="007F77C6"/>
    <w:rsid w:val="008003A1"/>
    <w:rsid w:val="008006B7"/>
    <w:rsid w:val="00800FDB"/>
    <w:rsid w:val="00802081"/>
    <w:rsid w:val="0080315C"/>
    <w:rsid w:val="00806461"/>
    <w:rsid w:val="0081096D"/>
    <w:rsid w:val="00810EAD"/>
    <w:rsid w:val="00811833"/>
    <w:rsid w:val="008174D4"/>
    <w:rsid w:val="00820FE6"/>
    <w:rsid w:val="00821A66"/>
    <w:rsid w:val="00822476"/>
    <w:rsid w:val="00822882"/>
    <w:rsid w:val="00825F68"/>
    <w:rsid w:val="00826B12"/>
    <w:rsid w:val="00835408"/>
    <w:rsid w:val="00837CEF"/>
    <w:rsid w:val="00840035"/>
    <w:rsid w:val="008428A9"/>
    <w:rsid w:val="00844112"/>
    <w:rsid w:val="00844929"/>
    <w:rsid w:val="00845614"/>
    <w:rsid w:val="008456C9"/>
    <w:rsid w:val="0084611D"/>
    <w:rsid w:val="00850C62"/>
    <w:rsid w:val="00852E6D"/>
    <w:rsid w:val="00861D07"/>
    <w:rsid w:val="008620ED"/>
    <w:rsid w:val="00863011"/>
    <w:rsid w:val="00865075"/>
    <w:rsid w:val="008673EE"/>
    <w:rsid w:val="0086748F"/>
    <w:rsid w:val="0087034D"/>
    <w:rsid w:val="008712A3"/>
    <w:rsid w:val="00872CE4"/>
    <w:rsid w:val="008740FD"/>
    <w:rsid w:val="0087718C"/>
    <w:rsid w:val="00877B62"/>
    <w:rsid w:val="00881015"/>
    <w:rsid w:val="008810B0"/>
    <w:rsid w:val="008819B6"/>
    <w:rsid w:val="00881AAC"/>
    <w:rsid w:val="0088256A"/>
    <w:rsid w:val="008836B7"/>
    <w:rsid w:val="008841D3"/>
    <w:rsid w:val="00884359"/>
    <w:rsid w:val="00887DE6"/>
    <w:rsid w:val="00890172"/>
    <w:rsid w:val="008911D2"/>
    <w:rsid w:val="00893048"/>
    <w:rsid w:val="00894C2A"/>
    <w:rsid w:val="00896B65"/>
    <w:rsid w:val="008975BC"/>
    <w:rsid w:val="00897708"/>
    <w:rsid w:val="00897D88"/>
    <w:rsid w:val="00897E6F"/>
    <w:rsid w:val="008A2EC6"/>
    <w:rsid w:val="008A2F16"/>
    <w:rsid w:val="008A6D69"/>
    <w:rsid w:val="008B0A73"/>
    <w:rsid w:val="008B1823"/>
    <w:rsid w:val="008B2EAD"/>
    <w:rsid w:val="008B6226"/>
    <w:rsid w:val="008B6A4A"/>
    <w:rsid w:val="008B6E16"/>
    <w:rsid w:val="008B7110"/>
    <w:rsid w:val="008C2029"/>
    <w:rsid w:val="008C503E"/>
    <w:rsid w:val="008C50F5"/>
    <w:rsid w:val="008C61D6"/>
    <w:rsid w:val="008C64F1"/>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47DC"/>
    <w:rsid w:val="008E7896"/>
    <w:rsid w:val="008E7D2D"/>
    <w:rsid w:val="008F2477"/>
    <w:rsid w:val="008F623C"/>
    <w:rsid w:val="008F6E24"/>
    <w:rsid w:val="008F7815"/>
    <w:rsid w:val="00900F02"/>
    <w:rsid w:val="009010F0"/>
    <w:rsid w:val="00901162"/>
    <w:rsid w:val="0090223A"/>
    <w:rsid w:val="009028E2"/>
    <w:rsid w:val="00914EAB"/>
    <w:rsid w:val="00916E6C"/>
    <w:rsid w:val="00920F85"/>
    <w:rsid w:val="00922D49"/>
    <w:rsid w:val="0092502E"/>
    <w:rsid w:val="00925E37"/>
    <w:rsid w:val="00925EDD"/>
    <w:rsid w:val="00927D0E"/>
    <w:rsid w:val="009309DA"/>
    <w:rsid w:val="0093260B"/>
    <w:rsid w:val="00936688"/>
    <w:rsid w:val="00937CFA"/>
    <w:rsid w:val="009406B3"/>
    <w:rsid w:val="00943C27"/>
    <w:rsid w:val="00945CF5"/>
    <w:rsid w:val="009500A1"/>
    <w:rsid w:val="0095037E"/>
    <w:rsid w:val="00952AAD"/>
    <w:rsid w:val="00954567"/>
    <w:rsid w:val="00957466"/>
    <w:rsid w:val="0096260B"/>
    <w:rsid w:val="00962748"/>
    <w:rsid w:val="009664D5"/>
    <w:rsid w:val="00970C69"/>
    <w:rsid w:val="00971F1C"/>
    <w:rsid w:val="0097211D"/>
    <w:rsid w:val="00972E10"/>
    <w:rsid w:val="009746CA"/>
    <w:rsid w:val="00981963"/>
    <w:rsid w:val="00983C82"/>
    <w:rsid w:val="00984520"/>
    <w:rsid w:val="0098545C"/>
    <w:rsid w:val="00985BF7"/>
    <w:rsid w:val="00990071"/>
    <w:rsid w:val="00991EA9"/>
    <w:rsid w:val="00992BA2"/>
    <w:rsid w:val="00992F83"/>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D1EA4"/>
    <w:rsid w:val="009D27AA"/>
    <w:rsid w:val="009D4991"/>
    <w:rsid w:val="009D5BB5"/>
    <w:rsid w:val="009D696D"/>
    <w:rsid w:val="009D6DAB"/>
    <w:rsid w:val="009D6ED2"/>
    <w:rsid w:val="009E0F1A"/>
    <w:rsid w:val="009E140D"/>
    <w:rsid w:val="009E1E55"/>
    <w:rsid w:val="009E4465"/>
    <w:rsid w:val="009E6401"/>
    <w:rsid w:val="009E6C54"/>
    <w:rsid w:val="009E6D44"/>
    <w:rsid w:val="009F2A25"/>
    <w:rsid w:val="009F5235"/>
    <w:rsid w:val="009F531A"/>
    <w:rsid w:val="009F6550"/>
    <w:rsid w:val="009F786E"/>
    <w:rsid w:val="00A00902"/>
    <w:rsid w:val="00A039FF"/>
    <w:rsid w:val="00A05ACE"/>
    <w:rsid w:val="00A07117"/>
    <w:rsid w:val="00A14AE3"/>
    <w:rsid w:val="00A16675"/>
    <w:rsid w:val="00A22642"/>
    <w:rsid w:val="00A22CD6"/>
    <w:rsid w:val="00A22D4B"/>
    <w:rsid w:val="00A234EC"/>
    <w:rsid w:val="00A2417A"/>
    <w:rsid w:val="00A27804"/>
    <w:rsid w:val="00A3193E"/>
    <w:rsid w:val="00A32FDA"/>
    <w:rsid w:val="00A36AB5"/>
    <w:rsid w:val="00A37DDA"/>
    <w:rsid w:val="00A411D1"/>
    <w:rsid w:val="00A41566"/>
    <w:rsid w:val="00A43389"/>
    <w:rsid w:val="00A43C40"/>
    <w:rsid w:val="00A43E71"/>
    <w:rsid w:val="00A45753"/>
    <w:rsid w:val="00A47B15"/>
    <w:rsid w:val="00A47E47"/>
    <w:rsid w:val="00A52F84"/>
    <w:rsid w:val="00A53DD8"/>
    <w:rsid w:val="00A56AA4"/>
    <w:rsid w:val="00A56B05"/>
    <w:rsid w:val="00A57678"/>
    <w:rsid w:val="00A60E2F"/>
    <w:rsid w:val="00A63127"/>
    <w:rsid w:val="00A63284"/>
    <w:rsid w:val="00A64CB8"/>
    <w:rsid w:val="00A67018"/>
    <w:rsid w:val="00A672F3"/>
    <w:rsid w:val="00A673DC"/>
    <w:rsid w:val="00A7076E"/>
    <w:rsid w:val="00A709BE"/>
    <w:rsid w:val="00A70E23"/>
    <w:rsid w:val="00A70EAB"/>
    <w:rsid w:val="00A7162E"/>
    <w:rsid w:val="00A72D71"/>
    <w:rsid w:val="00A75705"/>
    <w:rsid w:val="00A7634D"/>
    <w:rsid w:val="00A77C69"/>
    <w:rsid w:val="00A83953"/>
    <w:rsid w:val="00A840C5"/>
    <w:rsid w:val="00A903B6"/>
    <w:rsid w:val="00A90F4F"/>
    <w:rsid w:val="00A947AA"/>
    <w:rsid w:val="00A96748"/>
    <w:rsid w:val="00A96FD9"/>
    <w:rsid w:val="00AA1B53"/>
    <w:rsid w:val="00AA3556"/>
    <w:rsid w:val="00AA35FD"/>
    <w:rsid w:val="00AA3DB7"/>
    <w:rsid w:val="00AA72C6"/>
    <w:rsid w:val="00AB2DFA"/>
    <w:rsid w:val="00AB3012"/>
    <w:rsid w:val="00AB321C"/>
    <w:rsid w:val="00AB3DEF"/>
    <w:rsid w:val="00AB42E2"/>
    <w:rsid w:val="00AB6221"/>
    <w:rsid w:val="00AB67DE"/>
    <w:rsid w:val="00AB688F"/>
    <w:rsid w:val="00AB75EA"/>
    <w:rsid w:val="00AB7AA2"/>
    <w:rsid w:val="00AC05F8"/>
    <w:rsid w:val="00AC4BC1"/>
    <w:rsid w:val="00AC588F"/>
    <w:rsid w:val="00AC5E4B"/>
    <w:rsid w:val="00AD04BD"/>
    <w:rsid w:val="00AD1A03"/>
    <w:rsid w:val="00AD7214"/>
    <w:rsid w:val="00AE1066"/>
    <w:rsid w:val="00AE19D8"/>
    <w:rsid w:val="00AE4518"/>
    <w:rsid w:val="00AE5D7F"/>
    <w:rsid w:val="00AE79F0"/>
    <w:rsid w:val="00AE7D44"/>
    <w:rsid w:val="00AF4FE7"/>
    <w:rsid w:val="00AF6EC1"/>
    <w:rsid w:val="00AF7CF5"/>
    <w:rsid w:val="00B00331"/>
    <w:rsid w:val="00B0116D"/>
    <w:rsid w:val="00B01A80"/>
    <w:rsid w:val="00B05412"/>
    <w:rsid w:val="00B07C27"/>
    <w:rsid w:val="00B10DE1"/>
    <w:rsid w:val="00B10FF8"/>
    <w:rsid w:val="00B111B9"/>
    <w:rsid w:val="00B136E9"/>
    <w:rsid w:val="00B203C4"/>
    <w:rsid w:val="00B22995"/>
    <w:rsid w:val="00B22A61"/>
    <w:rsid w:val="00B22E81"/>
    <w:rsid w:val="00B23996"/>
    <w:rsid w:val="00B23CB2"/>
    <w:rsid w:val="00B2561A"/>
    <w:rsid w:val="00B25A64"/>
    <w:rsid w:val="00B25BE8"/>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6BBB"/>
    <w:rsid w:val="00B77142"/>
    <w:rsid w:val="00B7766E"/>
    <w:rsid w:val="00B80A2C"/>
    <w:rsid w:val="00B81F60"/>
    <w:rsid w:val="00B83F8E"/>
    <w:rsid w:val="00B841AC"/>
    <w:rsid w:val="00B865B0"/>
    <w:rsid w:val="00B8760C"/>
    <w:rsid w:val="00B90780"/>
    <w:rsid w:val="00B918B8"/>
    <w:rsid w:val="00B9240D"/>
    <w:rsid w:val="00B94BB8"/>
    <w:rsid w:val="00B94C15"/>
    <w:rsid w:val="00B95E5A"/>
    <w:rsid w:val="00BA22A8"/>
    <w:rsid w:val="00BA3539"/>
    <w:rsid w:val="00BA3E48"/>
    <w:rsid w:val="00BB1EB3"/>
    <w:rsid w:val="00BB2678"/>
    <w:rsid w:val="00BC2343"/>
    <w:rsid w:val="00BC76D5"/>
    <w:rsid w:val="00BD18B8"/>
    <w:rsid w:val="00BD30C8"/>
    <w:rsid w:val="00BD3EB4"/>
    <w:rsid w:val="00BD5C65"/>
    <w:rsid w:val="00BD77ED"/>
    <w:rsid w:val="00BE01CA"/>
    <w:rsid w:val="00BE6018"/>
    <w:rsid w:val="00BF1DD5"/>
    <w:rsid w:val="00BF1F57"/>
    <w:rsid w:val="00BF3EA0"/>
    <w:rsid w:val="00BF4086"/>
    <w:rsid w:val="00BF426C"/>
    <w:rsid w:val="00BF460D"/>
    <w:rsid w:val="00BF58D0"/>
    <w:rsid w:val="00BF7D6A"/>
    <w:rsid w:val="00C013E1"/>
    <w:rsid w:val="00C01611"/>
    <w:rsid w:val="00C01C01"/>
    <w:rsid w:val="00C02C6D"/>
    <w:rsid w:val="00C02D59"/>
    <w:rsid w:val="00C030B6"/>
    <w:rsid w:val="00C03284"/>
    <w:rsid w:val="00C04855"/>
    <w:rsid w:val="00C050D7"/>
    <w:rsid w:val="00C05B5F"/>
    <w:rsid w:val="00C104CC"/>
    <w:rsid w:val="00C130C1"/>
    <w:rsid w:val="00C152FE"/>
    <w:rsid w:val="00C16739"/>
    <w:rsid w:val="00C17C9B"/>
    <w:rsid w:val="00C22CCE"/>
    <w:rsid w:val="00C23BA2"/>
    <w:rsid w:val="00C25D0C"/>
    <w:rsid w:val="00C32AF2"/>
    <w:rsid w:val="00C33204"/>
    <w:rsid w:val="00C338EB"/>
    <w:rsid w:val="00C33E2E"/>
    <w:rsid w:val="00C3465D"/>
    <w:rsid w:val="00C379E9"/>
    <w:rsid w:val="00C37E98"/>
    <w:rsid w:val="00C42431"/>
    <w:rsid w:val="00C43324"/>
    <w:rsid w:val="00C439FB"/>
    <w:rsid w:val="00C43F23"/>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A96"/>
    <w:rsid w:val="00C82CC6"/>
    <w:rsid w:val="00C850A3"/>
    <w:rsid w:val="00C85C32"/>
    <w:rsid w:val="00C87568"/>
    <w:rsid w:val="00C87BB7"/>
    <w:rsid w:val="00C90DB6"/>
    <w:rsid w:val="00C9394F"/>
    <w:rsid w:val="00C93B1A"/>
    <w:rsid w:val="00C9504A"/>
    <w:rsid w:val="00C96275"/>
    <w:rsid w:val="00C96F5F"/>
    <w:rsid w:val="00CA178F"/>
    <w:rsid w:val="00CA3977"/>
    <w:rsid w:val="00CA4176"/>
    <w:rsid w:val="00CA5927"/>
    <w:rsid w:val="00CA79EC"/>
    <w:rsid w:val="00CB39C2"/>
    <w:rsid w:val="00CB44DE"/>
    <w:rsid w:val="00CB4C8C"/>
    <w:rsid w:val="00CB6782"/>
    <w:rsid w:val="00CB7629"/>
    <w:rsid w:val="00CC00EC"/>
    <w:rsid w:val="00CC080A"/>
    <w:rsid w:val="00CC3C04"/>
    <w:rsid w:val="00CE3C13"/>
    <w:rsid w:val="00CE4499"/>
    <w:rsid w:val="00CE5277"/>
    <w:rsid w:val="00CE6358"/>
    <w:rsid w:val="00CE7FC6"/>
    <w:rsid w:val="00CF0C6C"/>
    <w:rsid w:val="00CF2D54"/>
    <w:rsid w:val="00CF622A"/>
    <w:rsid w:val="00D01324"/>
    <w:rsid w:val="00D024C6"/>
    <w:rsid w:val="00D02BA5"/>
    <w:rsid w:val="00D03538"/>
    <w:rsid w:val="00D03B67"/>
    <w:rsid w:val="00D049B8"/>
    <w:rsid w:val="00D0516C"/>
    <w:rsid w:val="00D05EE7"/>
    <w:rsid w:val="00D06394"/>
    <w:rsid w:val="00D068D0"/>
    <w:rsid w:val="00D078D1"/>
    <w:rsid w:val="00D129A8"/>
    <w:rsid w:val="00D12FB9"/>
    <w:rsid w:val="00D13987"/>
    <w:rsid w:val="00D17C3A"/>
    <w:rsid w:val="00D200BD"/>
    <w:rsid w:val="00D22399"/>
    <w:rsid w:val="00D33751"/>
    <w:rsid w:val="00D36F6E"/>
    <w:rsid w:val="00D37343"/>
    <w:rsid w:val="00D4205E"/>
    <w:rsid w:val="00D565EC"/>
    <w:rsid w:val="00D61982"/>
    <w:rsid w:val="00D6226F"/>
    <w:rsid w:val="00D6267A"/>
    <w:rsid w:val="00D674CF"/>
    <w:rsid w:val="00D678DF"/>
    <w:rsid w:val="00D67D12"/>
    <w:rsid w:val="00D70923"/>
    <w:rsid w:val="00D74F09"/>
    <w:rsid w:val="00D754C0"/>
    <w:rsid w:val="00D75673"/>
    <w:rsid w:val="00D7585A"/>
    <w:rsid w:val="00D76D01"/>
    <w:rsid w:val="00D7728B"/>
    <w:rsid w:val="00D80618"/>
    <w:rsid w:val="00D82494"/>
    <w:rsid w:val="00D84A4B"/>
    <w:rsid w:val="00D85E13"/>
    <w:rsid w:val="00D863FA"/>
    <w:rsid w:val="00D8669F"/>
    <w:rsid w:val="00D92168"/>
    <w:rsid w:val="00D93CDD"/>
    <w:rsid w:val="00D940B5"/>
    <w:rsid w:val="00D95CB0"/>
    <w:rsid w:val="00D95D81"/>
    <w:rsid w:val="00D977C0"/>
    <w:rsid w:val="00DA00A3"/>
    <w:rsid w:val="00DA13F3"/>
    <w:rsid w:val="00DA27D4"/>
    <w:rsid w:val="00DA2DE3"/>
    <w:rsid w:val="00DA716A"/>
    <w:rsid w:val="00DB1841"/>
    <w:rsid w:val="00DB1F4F"/>
    <w:rsid w:val="00DB3360"/>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DF1"/>
    <w:rsid w:val="00DF0726"/>
    <w:rsid w:val="00DF4456"/>
    <w:rsid w:val="00DF63FA"/>
    <w:rsid w:val="00E012CC"/>
    <w:rsid w:val="00E02B71"/>
    <w:rsid w:val="00E02DEB"/>
    <w:rsid w:val="00E042A1"/>
    <w:rsid w:val="00E104FA"/>
    <w:rsid w:val="00E10506"/>
    <w:rsid w:val="00E1082A"/>
    <w:rsid w:val="00E11166"/>
    <w:rsid w:val="00E13182"/>
    <w:rsid w:val="00E13203"/>
    <w:rsid w:val="00E15383"/>
    <w:rsid w:val="00E1738C"/>
    <w:rsid w:val="00E202B6"/>
    <w:rsid w:val="00E22D28"/>
    <w:rsid w:val="00E230E3"/>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616DB"/>
    <w:rsid w:val="00E618DD"/>
    <w:rsid w:val="00E627A4"/>
    <w:rsid w:val="00E630ED"/>
    <w:rsid w:val="00E73C41"/>
    <w:rsid w:val="00E74EC5"/>
    <w:rsid w:val="00E76B86"/>
    <w:rsid w:val="00E81AFF"/>
    <w:rsid w:val="00E82EB9"/>
    <w:rsid w:val="00E8342F"/>
    <w:rsid w:val="00E847A7"/>
    <w:rsid w:val="00E87C2F"/>
    <w:rsid w:val="00E906B4"/>
    <w:rsid w:val="00E9095B"/>
    <w:rsid w:val="00E90CF1"/>
    <w:rsid w:val="00E9399B"/>
    <w:rsid w:val="00E94008"/>
    <w:rsid w:val="00E94762"/>
    <w:rsid w:val="00E94AA2"/>
    <w:rsid w:val="00E96B52"/>
    <w:rsid w:val="00EA2244"/>
    <w:rsid w:val="00EA411E"/>
    <w:rsid w:val="00EA5FC0"/>
    <w:rsid w:val="00EA6FA7"/>
    <w:rsid w:val="00EB067F"/>
    <w:rsid w:val="00EB16A0"/>
    <w:rsid w:val="00EB1F02"/>
    <w:rsid w:val="00EB51FD"/>
    <w:rsid w:val="00EB5BC5"/>
    <w:rsid w:val="00EB72C1"/>
    <w:rsid w:val="00EC086C"/>
    <w:rsid w:val="00EC42D0"/>
    <w:rsid w:val="00EC4BA3"/>
    <w:rsid w:val="00EC5CE6"/>
    <w:rsid w:val="00EC638F"/>
    <w:rsid w:val="00EE23B1"/>
    <w:rsid w:val="00EE2ACE"/>
    <w:rsid w:val="00EE4874"/>
    <w:rsid w:val="00EE79A6"/>
    <w:rsid w:val="00EE7FB4"/>
    <w:rsid w:val="00EF0D26"/>
    <w:rsid w:val="00EF0D86"/>
    <w:rsid w:val="00EF22FE"/>
    <w:rsid w:val="00EF76AC"/>
    <w:rsid w:val="00EF7C29"/>
    <w:rsid w:val="00F005A0"/>
    <w:rsid w:val="00F01D97"/>
    <w:rsid w:val="00F02435"/>
    <w:rsid w:val="00F0542C"/>
    <w:rsid w:val="00F058BE"/>
    <w:rsid w:val="00F077D2"/>
    <w:rsid w:val="00F11352"/>
    <w:rsid w:val="00F13FCD"/>
    <w:rsid w:val="00F1498D"/>
    <w:rsid w:val="00F14D34"/>
    <w:rsid w:val="00F14DDF"/>
    <w:rsid w:val="00F152AD"/>
    <w:rsid w:val="00F154A8"/>
    <w:rsid w:val="00F158FF"/>
    <w:rsid w:val="00F16CF0"/>
    <w:rsid w:val="00F20BE9"/>
    <w:rsid w:val="00F2285F"/>
    <w:rsid w:val="00F22F00"/>
    <w:rsid w:val="00F23155"/>
    <w:rsid w:val="00F23F0E"/>
    <w:rsid w:val="00F24E0E"/>
    <w:rsid w:val="00F26693"/>
    <w:rsid w:val="00F36130"/>
    <w:rsid w:val="00F40444"/>
    <w:rsid w:val="00F40868"/>
    <w:rsid w:val="00F423BD"/>
    <w:rsid w:val="00F432FF"/>
    <w:rsid w:val="00F4715C"/>
    <w:rsid w:val="00F5013F"/>
    <w:rsid w:val="00F50707"/>
    <w:rsid w:val="00F54869"/>
    <w:rsid w:val="00F556B2"/>
    <w:rsid w:val="00F57187"/>
    <w:rsid w:val="00F574E5"/>
    <w:rsid w:val="00F5754B"/>
    <w:rsid w:val="00F576DE"/>
    <w:rsid w:val="00F63BF7"/>
    <w:rsid w:val="00F65617"/>
    <w:rsid w:val="00F70316"/>
    <w:rsid w:val="00F710BE"/>
    <w:rsid w:val="00F72CEF"/>
    <w:rsid w:val="00F736D2"/>
    <w:rsid w:val="00F7564C"/>
    <w:rsid w:val="00F76220"/>
    <w:rsid w:val="00F769BE"/>
    <w:rsid w:val="00F82E6B"/>
    <w:rsid w:val="00F93C09"/>
    <w:rsid w:val="00F951CF"/>
    <w:rsid w:val="00F97B71"/>
    <w:rsid w:val="00FA1925"/>
    <w:rsid w:val="00FA2DDA"/>
    <w:rsid w:val="00FA34CA"/>
    <w:rsid w:val="00FA3CC8"/>
    <w:rsid w:val="00FA4A55"/>
    <w:rsid w:val="00FA4D4F"/>
    <w:rsid w:val="00FA54E8"/>
    <w:rsid w:val="00FA5CA2"/>
    <w:rsid w:val="00FA6052"/>
    <w:rsid w:val="00FB0D88"/>
    <w:rsid w:val="00FB2D17"/>
    <w:rsid w:val="00FB2F69"/>
    <w:rsid w:val="00FB39F7"/>
    <w:rsid w:val="00FB3BCA"/>
    <w:rsid w:val="00FB45FF"/>
    <w:rsid w:val="00FB47E0"/>
    <w:rsid w:val="00FB56F5"/>
    <w:rsid w:val="00FB5D97"/>
    <w:rsid w:val="00FB7363"/>
    <w:rsid w:val="00FC1CA5"/>
    <w:rsid w:val="00FC2979"/>
    <w:rsid w:val="00FC45F4"/>
    <w:rsid w:val="00FC55D1"/>
    <w:rsid w:val="00FD1C3C"/>
    <w:rsid w:val="00FD3532"/>
    <w:rsid w:val="00FD38A8"/>
    <w:rsid w:val="00FD6AC8"/>
    <w:rsid w:val="00FD7298"/>
    <w:rsid w:val="00FE308B"/>
    <w:rsid w:val="00FE3EA1"/>
    <w:rsid w:val="00FE4818"/>
    <w:rsid w:val="00FE5D80"/>
    <w:rsid w:val="00FF665B"/>
    <w:rsid w:val="00FF6ADB"/>
    <w:rsid w:val="00FF70FD"/>
    <w:rsid w:val="00FF7F4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name="Date" w:uiPriority="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qFormat/>
    <w:rsid w:val="00A7634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EB72C1"/>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locked/>
    <w:rsid w:val="00A7634D"/>
    <w:rPr>
      <w:rFonts w:cs="Times New Roman"/>
      <w:b/>
      <w:bCs/>
      <w:kern w:val="44"/>
      <w:sz w:val="44"/>
      <w:szCs w:val="44"/>
    </w:rPr>
  </w:style>
  <w:style w:customStyle="1" w:styleId="2Char" w:type="character">
    <w:name w:val="标题 2 Char"/>
    <w:link w:val="2"/>
    <w:uiPriority w:val="9"/>
    <w:semiHidden/>
    <w:rsid w:val="00525D36"/>
    <w:rPr>
      <w:rFonts w:ascii="Cambria" w:cs="Times New Roman" w:eastAsia="宋体" w:hAnsi="Cambria"/>
      <w:b/>
      <w:bCs/>
      <w:sz w:val="32"/>
      <w:szCs w:val="32"/>
    </w:rPr>
  </w:style>
  <w:style w:styleId="a0" w:type="paragraph">
    <w:name w:val="Normal Indent"/>
    <w:basedOn w:val="a"/>
    <w:uiPriority w:val="99"/>
    <w:rsid w:val="00EB72C1"/>
    <w:pPr>
      <w:ind w:firstLine="420" w:firstLineChars="200"/>
    </w:pPr>
  </w:style>
  <w:style w:styleId="a4" w:type="paragraph">
    <w:name w:val="Body Text Indent"/>
    <w:basedOn w:val="a"/>
    <w:link w:val="Char"/>
    <w:uiPriority w:val="99"/>
    <w:rsid w:val="00EB72C1"/>
    <w:pPr>
      <w:widowControl/>
      <w:spacing w:after="100" w:afterAutospacing="1" w:before="100" w:beforeAutospacing="1"/>
      <w:jc w:val="left"/>
    </w:pPr>
    <w:rPr>
      <w:kern w:val="0"/>
      <w:sz w:val="20"/>
    </w:rPr>
  </w:style>
  <w:style w:customStyle="1" w:styleId="Char" w:type="character">
    <w:name w:val="正文文本缩进 Char"/>
    <w:link w:val="a4"/>
    <w:uiPriority w:val="99"/>
    <w:semiHidden/>
    <w:rsid w:val="00525D36"/>
    <w:rPr>
      <w:szCs w:val="24"/>
    </w:rPr>
  </w:style>
  <w:style w:styleId="a5" w:type="paragraph">
    <w:name w:val="Plain Text"/>
    <w:basedOn w:val="a"/>
    <w:link w:val="Char0"/>
    <w:uiPriority w:val="99"/>
    <w:rsid w:val="00EB72C1"/>
    <w:rPr>
      <w:rFonts w:ascii="宋体" w:hAnsi="Courier New"/>
      <w:szCs w:val="20"/>
    </w:rPr>
  </w:style>
  <w:style w:customStyle="1" w:styleId="Char0" w:type="character">
    <w:name w:val="纯文本 Char"/>
    <w:link w:val="a5"/>
    <w:uiPriority w:val="99"/>
    <w:locked/>
    <w:rsid w:val="00A96FD9"/>
    <w:rPr>
      <w:rFonts w:ascii="宋体" w:hAnsi="Courier New"/>
      <w:kern w:val="2"/>
      <w:sz w:val="21"/>
    </w:rPr>
  </w:style>
  <w:style w:styleId="20" w:type="paragraph">
    <w:name w:val="Body Text Indent 2"/>
    <w:basedOn w:val="a"/>
    <w:link w:val="2Char0"/>
    <w:uiPriority w:val="99"/>
    <w:rsid w:val="00EB72C1"/>
    <w:pPr>
      <w:spacing w:line="560" w:lineRule="exact"/>
      <w:ind w:firstLine="480" w:firstLineChars="200"/>
    </w:pPr>
    <w:rPr>
      <w:kern w:val="0"/>
      <w:sz w:val="20"/>
    </w:rPr>
  </w:style>
  <w:style w:customStyle="1" w:styleId="2Char0" w:type="character">
    <w:name w:val="正文文本缩进 2 Char"/>
    <w:link w:val="20"/>
    <w:uiPriority w:val="99"/>
    <w:semiHidden/>
    <w:rsid w:val="00525D36"/>
    <w:rPr>
      <w:szCs w:val="24"/>
    </w:rPr>
  </w:style>
  <w:style w:styleId="a6" w:type="paragraph">
    <w:name w:val="footer"/>
    <w:basedOn w:val="a"/>
    <w:link w:val="Char1"/>
    <w:uiPriority w:val="99"/>
    <w:rsid w:val="00EB72C1"/>
    <w:pPr>
      <w:tabs>
        <w:tab w:pos="4153" w:val="center"/>
        <w:tab w:pos="8306" w:val="right"/>
      </w:tabs>
      <w:snapToGrid w:val="0"/>
      <w:jc w:val="left"/>
    </w:pPr>
    <w:rPr>
      <w:kern w:val="0"/>
      <w:sz w:val="18"/>
      <w:szCs w:val="18"/>
    </w:rPr>
  </w:style>
  <w:style w:customStyle="1" w:styleId="Char1" w:type="character">
    <w:name w:val="页脚 Char"/>
    <w:link w:val="a6"/>
    <w:uiPriority w:val="99"/>
    <w:semiHidden/>
    <w:rsid w:val="00525D36"/>
    <w:rPr>
      <w:sz w:val="18"/>
      <w:szCs w:val="18"/>
    </w:rPr>
  </w:style>
  <w:style w:styleId="a7" w:type="character">
    <w:name w:val="page number"/>
    <w:uiPriority w:val="99"/>
    <w:rsid w:val="00EB72C1"/>
    <w:rPr>
      <w:rFonts w:cs="Times New Roman"/>
    </w:rPr>
  </w:style>
  <w:style w:styleId="a8" w:type="character">
    <w:name w:val="Hyperlink"/>
    <w:uiPriority w:val="99"/>
    <w:rsid w:val="00EB72C1"/>
    <w:rPr>
      <w:rFonts w:cs="Times New Roman"/>
      <w:color w:val="0000FF"/>
      <w:u w:val="single"/>
    </w:rPr>
  </w:style>
  <w:style w:styleId="3" w:type="paragraph">
    <w:name w:val="Body Text Indent 3"/>
    <w:basedOn w:val="a"/>
    <w:link w:val="3Char"/>
    <w:uiPriority w:val="99"/>
    <w:rsid w:val="00EB72C1"/>
    <w:pPr>
      <w:spacing w:line="560" w:lineRule="exact"/>
      <w:ind w:firstLine="420" w:firstLineChars="200"/>
    </w:pPr>
    <w:rPr>
      <w:kern w:val="0"/>
      <w:sz w:val="16"/>
      <w:szCs w:val="16"/>
    </w:rPr>
  </w:style>
  <w:style w:customStyle="1" w:styleId="3Char" w:type="character">
    <w:name w:val="正文文本缩进 3 Char"/>
    <w:link w:val="3"/>
    <w:uiPriority w:val="99"/>
    <w:semiHidden/>
    <w:rsid w:val="00525D36"/>
    <w:rPr>
      <w:sz w:val="16"/>
      <w:szCs w:val="16"/>
    </w:rPr>
  </w:style>
  <w:style w:styleId="a9" w:type="paragraph">
    <w:name w:val="header"/>
    <w:basedOn w:val="a"/>
    <w:link w:val="Char2"/>
    <w:uiPriority w:val="99"/>
    <w:rsid w:val="00EB72C1"/>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D1356"/>
    <w:rPr>
      <w:rFonts w:cs="Times New Roman"/>
      <w:kern w:val="2"/>
      <w:sz w:val="18"/>
      <w:szCs w:val="18"/>
    </w:rPr>
  </w:style>
  <w:style w:styleId="aa" w:type="character">
    <w:name w:val="FollowedHyperlink"/>
    <w:uiPriority w:val="99"/>
    <w:rsid w:val="00EB72C1"/>
    <w:rPr>
      <w:rFonts w:cs="Times New Roman"/>
      <w:color w:val="800080"/>
      <w:u w:val="single"/>
    </w:rPr>
  </w:style>
  <w:style w:styleId="ab" w:type="paragraph">
    <w:name w:val="List"/>
    <w:basedOn w:val="ac"/>
    <w:uiPriority w:val="99"/>
    <w:rsid w:val="00EB72C1"/>
    <w:pPr>
      <w:spacing w:after="220" w:line="220" w:lineRule="atLeast"/>
      <w:ind w:hanging="360" w:left="1440"/>
    </w:pPr>
    <w:rPr>
      <w:szCs w:val="20"/>
    </w:rPr>
  </w:style>
  <w:style w:styleId="ac" w:type="paragraph">
    <w:name w:val="Body Text"/>
    <w:basedOn w:val="a"/>
    <w:link w:val="Char3"/>
    <w:uiPriority w:val="99"/>
    <w:rsid w:val="00EB72C1"/>
    <w:pPr>
      <w:spacing w:after="120"/>
    </w:pPr>
    <w:rPr>
      <w:kern w:val="0"/>
      <w:sz w:val="20"/>
    </w:rPr>
  </w:style>
  <w:style w:customStyle="1" w:styleId="Char3" w:type="character">
    <w:name w:val="正文文本 Char"/>
    <w:link w:val="ac"/>
    <w:uiPriority w:val="99"/>
    <w:semiHidden/>
    <w:rsid w:val="00525D36"/>
    <w:rPr>
      <w:szCs w:val="24"/>
    </w:rPr>
  </w:style>
  <w:style w:styleId="ad" w:type="paragraph">
    <w:name w:val="Date"/>
    <w:basedOn w:val="a"/>
    <w:next w:val="a"/>
    <w:link w:val="Char4"/>
    <w:rsid w:val="00EB72C1"/>
    <w:rPr>
      <w:sz w:val="24"/>
      <w:szCs w:val="20"/>
    </w:rPr>
  </w:style>
  <w:style w:customStyle="1" w:styleId="Char4" w:type="character">
    <w:name w:val="日期 Char"/>
    <w:link w:val="ad"/>
    <w:locked/>
    <w:rsid w:val="00C503D3"/>
    <w:rPr>
      <w:rFonts w:cs="Times New Roman"/>
      <w:kern w:val="2"/>
      <w:sz w:val="24"/>
    </w:rPr>
  </w:style>
  <w:style w:customStyle="1" w:styleId="c1" w:type="character">
    <w:name w:val="c1"/>
    <w:uiPriority w:val="99"/>
    <w:rsid w:val="00EB72C1"/>
    <w:rPr>
      <w:color w:val="000000"/>
      <w:sz w:val="18"/>
    </w:rPr>
  </w:style>
  <w:style w:styleId="10" w:type="paragraph">
    <w:name w:val="index 1"/>
    <w:basedOn w:val="a"/>
    <w:next w:val="a"/>
    <w:autoRedefine/>
    <w:uiPriority w:val="99"/>
    <w:semiHidden/>
    <w:rsid w:val="00EB72C1"/>
    <w:pPr>
      <w:jc w:val="right"/>
    </w:pPr>
    <w:rPr>
      <w:color w:val="008000"/>
    </w:rPr>
  </w:style>
  <w:style w:customStyle="1" w:styleId="font5" w:type="paragraph">
    <w:name w:val="font5"/>
    <w:basedOn w:val="a"/>
    <w:uiPriority w:val="99"/>
    <w:rsid w:val="00EB72C1"/>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EB72C1"/>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EB72C1"/>
    <w:rPr>
      <w:kern w:val="0"/>
      <w:sz w:val="0"/>
      <w:szCs w:val="0"/>
    </w:rPr>
  </w:style>
  <w:style w:customStyle="1" w:styleId="Char5" w:type="character">
    <w:name w:val="批注框文本 Char"/>
    <w:link w:val="ae"/>
    <w:uiPriority w:val="99"/>
    <w:semiHidden/>
    <w:rsid w:val="00525D36"/>
    <w:rPr>
      <w:sz w:val="0"/>
      <w:szCs w:val="0"/>
    </w:rPr>
  </w:style>
  <w:style w:styleId="af" w:type="character">
    <w:name w:val="annotation reference"/>
    <w:uiPriority w:val="99"/>
    <w:semiHidden/>
    <w:rsid w:val="00EB72C1"/>
    <w:rPr>
      <w:rFonts w:cs="Times New Roman"/>
      <w:sz w:val="21"/>
    </w:rPr>
  </w:style>
  <w:style w:styleId="af0" w:type="paragraph">
    <w:name w:val="annotation text"/>
    <w:basedOn w:val="a"/>
    <w:link w:val="Char6"/>
    <w:uiPriority w:val="99"/>
    <w:semiHidden/>
    <w:rsid w:val="00EB72C1"/>
    <w:pPr>
      <w:jc w:val="left"/>
    </w:pPr>
    <w:rPr>
      <w:kern w:val="0"/>
      <w:sz w:val="20"/>
    </w:rPr>
  </w:style>
  <w:style w:customStyle="1" w:styleId="Char6" w:type="character">
    <w:name w:val="批注文字 Char"/>
    <w:link w:val="af0"/>
    <w:uiPriority w:val="99"/>
    <w:semiHidden/>
    <w:rsid w:val="00525D36"/>
    <w:rPr>
      <w:szCs w:val="24"/>
    </w:rPr>
  </w:style>
  <w:style w:styleId="af1" w:type="paragraph">
    <w:name w:val="annotation subject"/>
    <w:basedOn w:val="af0"/>
    <w:next w:val="af0"/>
    <w:link w:val="Char7"/>
    <w:uiPriority w:val="99"/>
    <w:semiHidden/>
    <w:rsid w:val="00EB72C1"/>
    <w:rPr>
      <w:b/>
      <w:bCs/>
    </w:rPr>
  </w:style>
  <w:style w:customStyle="1" w:styleId="Char7" w:type="character">
    <w:name w:val="批注主题 Char"/>
    <w:link w:val="af1"/>
    <w:uiPriority w:val="99"/>
    <w:semiHidden/>
    <w:rsid w:val="00525D36"/>
    <w:rPr>
      <w:b/>
      <w:bCs/>
      <w:szCs w:val="24"/>
    </w:rPr>
  </w:style>
  <w:style w:customStyle="1" w:styleId="Char8" w:type="paragraph">
    <w:name w:val="Char"/>
    <w:basedOn w:val="a"/>
    <w:uiPriority w:val="99"/>
    <w:rsid w:val="00EB72C1"/>
  </w:style>
  <w:style w:styleId="af2" w:type="paragraph">
    <w:name w:val="Document Map"/>
    <w:basedOn w:val="a"/>
    <w:link w:val="Char9"/>
    <w:uiPriority w:val="99"/>
    <w:semiHidden/>
    <w:rsid w:val="000A549A"/>
    <w:pPr>
      <w:shd w:color="auto" w:fill="000080" w:val="clear"/>
    </w:pPr>
    <w:rPr>
      <w:kern w:val="0"/>
      <w:sz w:val="0"/>
      <w:szCs w:val="0"/>
    </w:rPr>
  </w:style>
  <w:style w:customStyle="1" w:styleId="Char9" w:type="character">
    <w:name w:val="文档结构图 Char"/>
    <w:link w:val="af2"/>
    <w:uiPriority w:val="99"/>
    <w:semiHidden/>
    <w:rsid w:val="00525D36"/>
    <w:rPr>
      <w:sz w:val="0"/>
      <w:szCs w:val="0"/>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rsid w:val="00525D36"/>
    <w:rPr>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styleId="af8" w:type="character">
    <w:name w:val="Strong"/>
    <w:uiPriority w:val="22"/>
    <w:qFormat/>
    <w:locked/>
    <w:rsid w:val="00DF44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796064">
      <w:marLeft w:val="0"/>
      <w:marRight w:val="0"/>
      <w:marTop w:val="0"/>
      <w:marBottom w:val="0"/>
      <w:divBdr>
        <w:top w:val="none" w:sz="0" w:space="0" w:color="auto"/>
        <w:left w:val="none" w:sz="0" w:space="0" w:color="auto"/>
        <w:bottom w:val="none" w:sz="0" w:space="0" w:color="auto"/>
        <w:right w:val="none" w:sz="0" w:space="0" w:color="auto"/>
      </w:divBdr>
    </w:div>
    <w:div w:id="886796065">
      <w:marLeft w:val="0"/>
      <w:marRight w:val="0"/>
      <w:marTop w:val="0"/>
      <w:marBottom w:val="0"/>
      <w:divBdr>
        <w:top w:val="none" w:sz="0" w:space="0" w:color="auto"/>
        <w:left w:val="none" w:sz="0" w:space="0" w:color="auto"/>
        <w:bottom w:val="none" w:sz="0" w:space="0" w:color="auto"/>
        <w:right w:val="none" w:sz="0" w:space="0" w:color="auto"/>
      </w:divBdr>
    </w:div>
    <w:div w:id="886796066">
      <w:marLeft w:val="0"/>
      <w:marRight w:val="0"/>
      <w:marTop w:val="0"/>
      <w:marBottom w:val="0"/>
      <w:divBdr>
        <w:top w:val="none" w:sz="0" w:space="0" w:color="auto"/>
        <w:left w:val="none" w:sz="0" w:space="0" w:color="auto"/>
        <w:bottom w:val="none" w:sz="0" w:space="0" w:color="auto"/>
        <w:right w:val="none" w:sz="0" w:space="0" w:color="auto"/>
      </w:divBdr>
    </w:div>
    <w:div w:id="886796067">
      <w:marLeft w:val="0"/>
      <w:marRight w:val="0"/>
      <w:marTop w:val="0"/>
      <w:marBottom w:val="0"/>
      <w:divBdr>
        <w:top w:val="none" w:sz="0" w:space="0" w:color="auto"/>
        <w:left w:val="none" w:sz="0" w:space="0" w:color="auto"/>
        <w:bottom w:val="none" w:sz="0" w:space="0" w:color="auto"/>
        <w:right w:val="none" w:sz="0" w:space="0" w:color="auto"/>
      </w:divBdr>
    </w:div>
    <w:div w:id="886796068">
      <w:marLeft w:val="0"/>
      <w:marRight w:val="0"/>
      <w:marTop w:val="0"/>
      <w:marBottom w:val="0"/>
      <w:divBdr>
        <w:top w:val="none" w:sz="0" w:space="0" w:color="auto"/>
        <w:left w:val="none" w:sz="0" w:space="0" w:color="auto"/>
        <w:bottom w:val="none" w:sz="0" w:space="0" w:color="auto"/>
        <w:right w:val="none" w:sz="0" w:space="0" w:color="auto"/>
      </w:divBdr>
    </w:div>
    <w:div w:id="886796069">
      <w:marLeft w:val="0"/>
      <w:marRight w:val="0"/>
      <w:marTop w:val="0"/>
      <w:marBottom w:val="0"/>
      <w:divBdr>
        <w:top w:val="none" w:sz="0" w:space="0" w:color="auto"/>
        <w:left w:val="none" w:sz="0" w:space="0" w:color="auto"/>
        <w:bottom w:val="none" w:sz="0" w:space="0" w:color="auto"/>
        <w:right w:val="none" w:sz="0" w:space="0" w:color="auto"/>
      </w:divBdr>
    </w:div>
    <w:div w:id="886796070">
      <w:marLeft w:val="0"/>
      <w:marRight w:val="0"/>
      <w:marTop w:val="0"/>
      <w:marBottom w:val="0"/>
      <w:divBdr>
        <w:top w:val="none" w:sz="0" w:space="0" w:color="auto"/>
        <w:left w:val="none" w:sz="0" w:space="0" w:color="auto"/>
        <w:bottom w:val="none" w:sz="0" w:space="0" w:color="auto"/>
        <w:right w:val="none" w:sz="0" w:space="0" w:color="auto"/>
      </w:divBdr>
    </w:div>
    <w:div w:id="886796072">
      <w:marLeft w:val="0"/>
      <w:marRight w:val="0"/>
      <w:marTop w:val="0"/>
      <w:marBottom w:val="0"/>
      <w:divBdr>
        <w:top w:val="none" w:sz="0" w:space="0" w:color="auto"/>
        <w:left w:val="none" w:sz="0" w:space="0" w:color="auto"/>
        <w:bottom w:val="none" w:sz="0" w:space="0" w:color="auto"/>
        <w:right w:val="none" w:sz="0" w:space="0" w:color="auto"/>
      </w:divBdr>
    </w:div>
    <w:div w:id="886796073">
      <w:marLeft w:val="0"/>
      <w:marRight w:val="0"/>
      <w:marTop w:val="0"/>
      <w:marBottom w:val="0"/>
      <w:divBdr>
        <w:top w:val="none" w:sz="0" w:space="0" w:color="auto"/>
        <w:left w:val="none" w:sz="0" w:space="0" w:color="auto"/>
        <w:bottom w:val="none" w:sz="0" w:space="0" w:color="auto"/>
        <w:right w:val="none" w:sz="0" w:space="0" w:color="auto"/>
      </w:divBdr>
      <w:divsChild>
        <w:div w:id="886796071">
          <w:marLeft w:val="0"/>
          <w:marRight w:val="0"/>
          <w:marTop w:val="0"/>
          <w:marBottom w:val="0"/>
          <w:divBdr>
            <w:top w:val="none" w:sz="0" w:space="0" w:color="auto"/>
            <w:left w:val="none" w:sz="0" w:space="0" w:color="auto"/>
            <w:bottom w:val="none" w:sz="0" w:space="0" w:color="auto"/>
            <w:right w:val="none" w:sz="0" w:space="0" w:color="auto"/>
          </w:divBdr>
        </w:div>
      </w:divsChild>
    </w:div>
    <w:div w:id="8867960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header3.xml" Type="http://schemas.openxmlformats.org/officeDocument/2006/relationships/header"/>
<Relationship Id="rId15" Target="footer4.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Documents%20and%20Settings/Administrator/&#26700;&#38754;/qdii.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87</TotalTime>
  <Pages>22</Pages>
  <Words>3091</Words>
  <Characters>17622</Characters>
  <Application>Microsoft Office Word</Application>
  <DocSecurity>0</DocSecurity>
  <Lines>146</Lines>
  <Paragraphs>41</Paragraphs>
  <ScaleCrop>false</ScaleCrop>
  <Company>TRT. Ltd. Co.</Company>
  <LinksUpToDate>false</LinksUpToDate>
  <CharactersWithSpaces>20672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2013-08-01T05:26:00Z</dcterms:created>
  <dc:creator>bonnieliu</dc:creator>
  <cp:lastModifiedBy>sirong han</cp:lastModifiedBy>
  <cp:lastPrinted>2007-07-19T00:46:00Z</cp:lastPrinted>
  <dcterms:modified xsi:type="dcterms:W3CDTF">2020-07-09T02:50:00Z</dcterms:modified>
  <cp:revision>118</cp:revision>
</cp:coreProperties>
</file>