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易方达中证全指证券公司交易型开放式指数证券投资基金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招商银行股份有限公司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基金托管人招商银行股份有限公司根据本基金合同规定，于2020年7月17日复核了本报告中的财务指标、净值表现和投资组合报告等内容，保证复核内容不存在虚假记载、误导性陈述或者重大遗漏。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易方达中证全指证券公司ETF</w:t>
            </w:r>
          </w:p>
        </w:tc>
      </w:tr>
      <w:tr w:rsidR="00815999" w:rsidRPr="00264E55" w:rsidTr="003328D9">
        <w:tc>
          <w:tcPr>
            <w:tcW w:type="dxa" w:w="2835"/>
            <w:vAlign w:val="center"/>
          </w:tcPr>
          <w:p w:rsidP="00815999" w:rsidR="00815999" w:rsidRDefault="00815999" w:rsidRPr="00232B03">
            <w:pPr>
              <w:adjustRightInd w:val="0"/>
              <w:spacing w:before="29" w:line="360" w:lineRule="auto"/>
              <w:ind w:left="17"/>
              <w:jc w:val="left"/>
              <w:rPr>
                <w:kern w:val="0"/>
                <w:sz w:val="24"/>
                <w:szCs w:val="24"/>
              </w:rPr>
            </w:pPr>
            <w:r w:rsidRPr="00232B03">
              <w:rPr>
                <w:kern w:val="0"/>
                <w:sz w:val="24"/>
                <w:szCs w:val="24"/>
              </w:rPr>
              <w:t>场内简称</w:t>
            </w:r>
          </w:p>
        </w:tc>
        <w:tc>
          <w:tcPr>
            <w:tcW w:type="dxa" w:w="5479"/>
            <w:gridSpan w:val="2"/>
            <w:vAlign w:val="center"/>
          </w:tcPr>
          <w:p w:rsidP="00815999" w:rsidR="00815999" w:rsidRDefault="00815999" w:rsidRPr="00232B03">
            <w:pPr>
              <w:adjustRightInd w:val="0"/>
              <w:spacing w:before="29" w:line="360" w:lineRule="auto"/>
              <w:ind w:left="17"/>
              <w:jc w:val="left"/>
              <w:rPr>
                <w:kern w:val="0"/>
                <w:sz w:val="24"/>
                <w:szCs w:val="24"/>
              </w:rPr>
            </w:pPr>
            <w:r w:rsidRPr="00232B03">
              <w:rPr>
                <w:kern w:val="0"/>
                <w:sz w:val="24"/>
                <w:szCs w:val="24"/>
              </w:rPr>
              <w:t/>
            </w:r>
            <w:proofErr w:type="spellStart"/>
            <w:r w:rsidRPr="00232B03">
              <w:rPr>
                <w:kern w:val="0"/>
                <w:sz w:val="24"/>
                <w:szCs w:val="24"/>
              </w:rPr>
              <w:t/>
            </w:r>
            <w:proofErr w:type="spellEnd"/>
            <w:r w:rsidRPr="00232B03">
              <w:rPr>
                <w:kern w:val="0"/>
                <w:sz w:val="24"/>
                <w:szCs w:val="24"/>
              </w:rPr>
              <w:t/>
            </w:r>
            <w:proofErr w:type="spellStart"/>
            <w:r w:rsidRPr="00232B03">
              <w:rPr>
                <w:kern w:val="0"/>
                <w:sz w:val="24"/>
                <w:szCs w:val="24"/>
              </w:rPr>
              <w:t/>
            </w:r>
            <w:proofErr w:type="spellEnd"/>
            <w:r w:rsidRPr="00232B03">
              <w:rPr>
                <w:kern w:val="0"/>
                <w:sz w:val="24"/>
                <w:szCs w:val="24"/>
              </w:rPr>
              <w:t>中证证券、中证证券ETF</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512570</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512570</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交易型开放式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2017年7月27日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30,806,068.00</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紧密跟踪标的指数，追求跟踪偏离度和跟踪误差的最小化。</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主要采取完全复制法，即完全按照标的指数的成份股组成及其权重构建基金股票投资组合，并根据标的指数成份股及其权重的变动进行相应调整。但在因特殊情形导致基金无法完全投资于标的指数成份股时，基金管理人将采取其他指数投资技术适当调整基金投资组合，以达到紧密跟踪标的指数的目的。</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中证全指证券公司指数</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本基金为股票型基金，预期风险与预期收益水平高于混合型基金、债券型基金与货币市场基金。本基金为指数型基金，主要采用完全复制法跟踪标的指数的表现，具有与标的指数相似的风险收益特征。</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招商银行股份有限公司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28,144.57</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2,648,733.81</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0.0844</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29,778,080.26</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0.9666</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9.55%</w:t>
            </w:r>
          </w:p>
        </w:tc>
        <w:tc>
          <w:tcPr>
            <w:vAlign w:val="center"/>
          </w:tcPr>
          <w:p>
            <w:pPr>
              <w:jc w:val="center"/>
            </w:pPr>
            <w:r>
              <w:rPr>
                <w:color w:val="000000"/>
                <w:kern w:val="0"/>
                <w:sz w:val="24"/>
                <w:szCs w:val="24"/>
              </w:rPr>
              <w:t>1.45%</w:t>
            </w:r>
          </w:p>
        </w:tc>
        <w:tc>
          <w:tcPr>
            <w:vAlign w:val="center"/>
          </w:tcPr>
          <w:p>
            <w:pPr>
              <w:jc w:val="center"/>
            </w:pPr>
            <w:r>
              <w:rPr>
                <w:color w:val="000000"/>
                <w:kern w:val="0"/>
                <w:sz w:val="24"/>
                <w:szCs w:val="24"/>
              </w:rPr>
              <w:t>9.34%</w:t>
            </w:r>
          </w:p>
        </w:tc>
        <w:tc>
          <w:tcPr>
            <w:vAlign w:val="center"/>
          </w:tcPr>
          <w:p>
            <w:pPr>
              <w:jc w:val="center"/>
            </w:pPr>
            <w:r>
              <w:rPr>
                <w:color w:val="000000"/>
                <w:kern w:val="0"/>
                <w:sz w:val="24"/>
                <w:szCs w:val="24"/>
              </w:rPr>
              <w:t>1.48%</w:t>
            </w:r>
          </w:p>
        </w:tc>
        <w:tc>
          <w:tcPr>
            <w:vAlign w:val="center"/>
          </w:tcPr>
          <w:p>
            <w:pPr>
              <w:jc w:val="center"/>
            </w:pPr>
            <w:r>
              <w:rPr>
                <w:color w:val="000000"/>
                <w:kern w:val="0"/>
                <w:sz w:val="24"/>
                <w:szCs w:val="24"/>
              </w:rPr>
              <w:t>0.21%</w:t>
            </w:r>
          </w:p>
        </w:tc>
        <w:tc>
          <w:tcPr>
            <w:vAlign w:val="center"/>
          </w:tcPr>
          <w:p>
            <w:pPr>
              <w:jc w:val="center"/>
            </w:pPr>
            <w:r>
              <w:rPr>
                <w:color w:val="000000"/>
                <w:kern w:val="0"/>
                <w:sz w:val="24"/>
                <w:szCs w:val="24"/>
              </w:rPr>
              <w:t>-0.03%</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-2.15%</w:t>
            </w:r>
          </w:p>
        </w:tc>
        <w:tc>
          <w:tcPr>
            <w:vAlign w:val="center"/>
          </w:tcPr>
          <w:p>
            <w:pPr>
              <w:jc w:val="center"/>
            </w:pPr>
            <w:r>
              <w:rPr>
                <w:color w:val="000000"/>
                <w:kern w:val="0"/>
                <w:sz w:val="24"/>
                <w:szCs w:val="24"/>
              </w:rPr>
              <w:t>2.17%</w:t>
            </w:r>
          </w:p>
        </w:tc>
        <w:tc>
          <w:tcPr>
            <w:vAlign w:val="center"/>
          </w:tcPr>
          <w:p>
            <w:pPr>
              <w:jc w:val="center"/>
            </w:pPr>
            <w:r>
              <w:rPr>
                <w:color w:val="000000"/>
                <w:kern w:val="0"/>
                <w:sz w:val="24"/>
                <w:szCs w:val="24"/>
              </w:rPr>
              <w:t>-2.81%</w:t>
            </w:r>
          </w:p>
        </w:tc>
        <w:tc>
          <w:tcPr>
            <w:vAlign w:val="center"/>
          </w:tcPr>
          <w:p>
            <w:pPr>
              <w:jc w:val="center"/>
            </w:pPr>
            <w:r>
              <w:rPr>
                <w:color w:val="000000"/>
                <w:kern w:val="0"/>
                <w:sz w:val="24"/>
                <w:szCs w:val="24"/>
              </w:rPr>
              <w:t>2.20%</w:t>
            </w:r>
          </w:p>
        </w:tc>
        <w:tc>
          <w:tcPr>
            <w:vAlign w:val="center"/>
          </w:tcPr>
          <w:p>
            <w:pPr>
              <w:jc w:val="center"/>
            </w:pPr>
            <w:r>
              <w:rPr>
                <w:color w:val="000000"/>
                <w:kern w:val="0"/>
                <w:sz w:val="24"/>
                <w:szCs w:val="24"/>
              </w:rPr>
              <w:t>0.66%</w:t>
            </w:r>
          </w:p>
        </w:tc>
        <w:tc>
          <w:tcPr>
            <w:vAlign w:val="center"/>
          </w:tcPr>
          <w:p>
            <w:pPr>
              <w:jc w:val="center"/>
            </w:pPr>
            <w:r>
              <w:rPr>
                <w:color w:val="000000"/>
                <w:kern w:val="0"/>
                <w:sz w:val="24"/>
                <w:szCs w:val="24"/>
              </w:rPr>
              <w:t>-0.03%</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3.29%</w:t>
            </w:r>
          </w:p>
        </w:tc>
        <w:tc>
          <w:tcPr>
            <w:vAlign w:val="center"/>
          </w:tcPr>
          <w:p>
            <w:pPr>
              <w:jc w:val="center"/>
            </w:pPr>
            <w:r>
              <w:rPr>
                <w:color w:val="000000"/>
                <w:kern w:val="0"/>
                <w:sz w:val="24"/>
                <w:szCs w:val="24"/>
              </w:rPr>
              <w:t>1.85%</w:t>
            </w:r>
          </w:p>
        </w:tc>
        <w:tc>
          <w:tcPr>
            <w:vAlign w:val="center"/>
          </w:tcPr>
          <w:p>
            <w:pPr>
              <w:jc w:val="center"/>
            </w:pPr>
            <w:r>
              <w:rPr>
                <w:color w:val="000000"/>
                <w:kern w:val="0"/>
                <w:sz w:val="24"/>
                <w:szCs w:val="24"/>
              </w:rPr>
              <w:t>1.44%</w:t>
            </w:r>
          </w:p>
        </w:tc>
        <w:tc>
          <w:tcPr>
            <w:vAlign w:val="center"/>
          </w:tcPr>
          <w:p>
            <w:pPr>
              <w:jc w:val="center"/>
            </w:pPr>
            <w:r>
              <w:rPr>
                <w:color w:val="000000"/>
                <w:kern w:val="0"/>
                <w:sz w:val="24"/>
                <w:szCs w:val="24"/>
              </w:rPr>
              <w:t>1.88%</w:t>
            </w:r>
          </w:p>
        </w:tc>
        <w:tc>
          <w:tcPr>
            <w:vAlign w:val="center"/>
          </w:tcPr>
          <w:p>
            <w:pPr>
              <w:jc w:val="center"/>
            </w:pPr>
            <w:r>
              <w:rPr>
                <w:color w:val="000000"/>
                <w:kern w:val="0"/>
                <w:sz w:val="24"/>
                <w:szCs w:val="24"/>
              </w:rPr>
              <w:t>1.85%</w:t>
            </w:r>
          </w:p>
        </w:tc>
        <w:tc>
          <w:tcPr>
            <w:vAlign w:val="center"/>
          </w:tcPr>
          <w:p>
            <w:pPr>
              <w:jc w:val="center"/>
            </w:pPr>
            <w:r>
              <w:rPr>
                <w:color w:val="000000"/>
                <w:kern w:val="0"/>
                <w:sz w:val="24"/>
                <w:szCs w:val="24"/>
              </w:rPr>
              <w:t>-0.03%</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-3.34%</w:t>
            </w:r>
          </w:p>
        </w:tc>
        <w:tc>
          <w:tcPr>
            <w:vAlign w:val="center"/>
          </w:tcPr>
          <w:p>
            <w:pPr>
              <w:jc w:val="center"/>
            </w:pPr>
            <w:r>
              <w:rPr>
                <w:color w:val="000000"/>
                <w:kern w:val="0"/>
                <w:sz w:val="24"/>
                <w:szCs w:val="24"/>
              </w:rPr>
              <w:t>1.94%</w:t>
            </w:r>
          </w:p>
        </w:tc>
        <w:tc>
          <w:tcPr>
            <w:vAlign w:val="center"/>
          </w:tcPr>
          <w:p>
            <w:pPr>
              <w:jc w:val="center"/>
            </w:pPr>
            <w:r>
              <w:rPr>
                <w:color w:val="000000"/>
                <w:kern w:val="0"/>
                <w:sz w:val="24"/>
                <w:szCs w:val="24"/>
              </w:rPr>
              <w:t>-7.77%</w:t>
            </w:r>
          </w:p>
        </w:tc>
        <w:tc>
          <w:tcPr>
            <w:vAlign w:val="center"/>
          </w:tcPr>
          <w:p>
            <w:pPr>
              <w:jc w:val="center"/>
            </w:pPr>
            <w:r>
              <w:rPr>
                <w:color w:val="000000"/>
                <w:kern w:val="0"/>
                <w:sz w:val="24"/>
                <w:szCs w:val="24"/>
              </w:rPr>
              <w:t>1.99%</w:t>
            </w:r>
          </w:p>
        </w:tc>
        <w:tc>
          <w:tcPr>
            <w:vAlign w:val="center"/>
          </w:tcPr>
          <w:p>
            <w:pPr>
              <w:jc w:val="center"/>
            </w:pPr>
            <w:r>
              <w:rPr>
                <w:color w:val="000000"/>
                <w:kern w:val="0"/>
                <w:sz w:val="24"/>
                <w:szCs w:val="24"/>
              </w:rPr>
              <w:t>4.43%</w:t>
            </w:r>
          </w:p>
        </w:tc>
        <w:tc>
          <w:tcPr>
            <w:vAlign w:val="center"/>
          </w:tcPr>
          <w:p>
            <w:pPr>
              <w:jc w:val="center"/>
            </w:pPr>
            <w:r>
              <w:rPr>
                <w:color w:val="000000"/>
                <w:kern w:val="0"/>
                <w:sz w:val="24"/>
                <w:szCs w:val="24"/>
              </w:rPr>
              <w:t>-0.05%</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易方达中证全指证券公司交易型开放式指数证券投资基金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2017年7月27日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注：自基金合同生效至报告期末，基金份额净值增长率为-3.34%，同期业绩比较基准收益率为-7.77%。</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余海燕</w:t>
            </w:r>
          </w:p>
        </w:tc>
        <w:tc>
          <w:tcPr>
            <w:vAlign w:val="center"/>
          </w:tcPr>
          <w:p>
            <w:pPr>
              <w:jc w:val="left"/>
            </w:pPr>
            <w:r>
              <w:rPr>
                <w:color w:val="000000"/>
                <w:sz w:val="24"/>
              </w:rPr>
              <w:t>本基金的基金经理、易方达沪深300医药卫生交易型开放式指数证券投资基金的基金经理、易方达沪深300非银行金融交易型开放式指数证券投资基金的基金经理、易方达沪深300非银行金融交易型开放式指数证券投资基金联接基金的基金经理、易方达上证50指数分级证券投资基金的基金经理、易方达国企改革指数分级证券投资基金的基金经理、易方达证券公司指数分级证券投资基金的基金经理、易方达军工指数分级证券投资基金的基金经理、易方达沪深300交易型开放式指数发起式证券投资基金的基金经理、易方达中证500交易型开放式指数证券投资基金的基金经理、易方达沪深300交易型开放式指数发起式证券投资基金联接基金的基金经理、易方达中证海外中国互联网50交易型开放式指数证券投资基金的基金经理、易方达中证军工交易型开放式指数证券投资基金的基金经理、易方达沪深300医药卫生交易型开放式指数证券投资基金联接基金的基金经理、易方达恒生中国企业交易型开放式指数证券投资基金联接基金的基金经理、易方达黄金交易型开放式证券投资基金联接基金的基金经理、易方达黄金交易型开放式证券投资基金的基金经理、易方达恒生中国企业交易型开放式指数证券投资基金的基金经理、易方达中证海外中国互联网50交易型开放式指数证券投资基金联接基金的基金经理、易方达中证500交易型开放式指数证券投资基金发起式联接基金的基金经理、易方达日兴资管日经225交易型开放式指数证券投资基金（QDII）的基金经理、易方达上证50交易型开放式指数证券投资基金的基金经理、易方达上证50交易型开放式指数证券投资基金发起式联接基金的基金经理、指数投资部副总经理</w:t>
            </w:r>
          </w:p>
        </w:tc>
        <w:tc>
          <w:tcPr>
            <w:vAlign w:val="center"/>
          </w:tcPr>
          <w:p>
            <w:pPr>
              <w:jc w:val="center"/>
            </w:pPr>
            <w:r>
              <w:rPr>
                <w:color w:val="000000"/>
                <w:sz w:val="24"/>
              </w:rPr>
              <w:t>2017-07-27</w:t>
            </w:r>
          </w:p>
        </w:tc>
        <w:tc>
          <w:tcPr>
            <w:vAlign w:val="center"/>
          </w:tcPr>
          <w:p>
            <w:pPr>
              <w:jc w:val="center"/>
            </w:pPr>
            <w:r>
              <w:rPr>
                <w:color w:val="000000"/>
                <w:sz w:val="24"/>
              </w:rPr>
              <w:t>-</w:t>
            </w:r>
          </w:p>
        </w:tc>
        <w:tc>
          <w:tcPr>
            <w:vAlign w:val="center"/>
          </w:tcPr>
          <w:p>
            <w:pPr>
              <w:jc w:val="center"/>
            </w:pPr>
            <w:r>
              <w:rPr>
                <w:color w:val="000000"/>
                <w:sz w:val="24"/>
              </w:rPr>
              <w:t>15年</w:t>
            </w:r>
          </w:p>
        </w:tc>
        <w:tc>
          <w:tcPr>
            <w:vAlign w:val="center"/>
          </w:tcPr>
          <w:p>
            <w:pPr>
              <w:jc w:val="both"/>
            </w:pPr>
            <w:r>
              <w:rPr>
                <w:color w:val="000000"/>
                <w:sz w:val="24"/>
              </w:rPr>
              <w:t>硕士研究生，具有基金从业资格。曾任汇丰银行Consumer Credit Risk信用风险分析师，华宝兴业基金管理有限公司分析师、基金经理助理、基金经理，易方达基金管理有限公司投资发展部产品经理。</w:t>
            </w:r>
          </w:p>
        </w:tc>
      </w:tr>
      <w:tr>
        <w:tc>
          <w:tcPr>
            <w:vAlign w:val="center"/>
          </w:tcPr>
          <w:p>
            <w:pPr>
              <w:jc w:val="center"/>
            </w:pPr>
            <w:r>
              <w:rPr>
                <w:color w:val="000000"/>
                <w:sz w:val="24"/>
              </w:rPr>
              <w:t>张湛</w:t>
            </w:r>
          </w:p>
        </w:tc>
        <w:tc>
          <w:tcPr>
            <w:vAlign w:val="center"/>
          </w:tcPr>
          <w:p>
            <w:pPr>
              <w:jc w:val="left"/>
            </w:pPr>
            <w:r>
              <w:rPr>
                <w:color w:val="000000"/>
                <w:sz w:val="24"/>
              </w:rPr>
              <w:t>本基金的基金经理、易方达中证科技50交易型开放式指数证券投资基金的基金经理、易方达中证军工交易型开放式指数证券投资基金的基金经理</w:t>
            </w:r>
          </w:p>
        </w:tc>
        <w:tc>
          <w:tcPr>
            <w:vAlign w:val="center"/>
          </w:tcPr>
          <w:p>
            <w:pPr>
              <w:jc w:val="center"/>
            </w:pPr>
            <w:r>
              <w:rPr>
                <w:color w:val="000000"/>
                <w:sz w:val="24"/>
              </w:rPr>
              <w:t>2020-04-30</w:t>
            </w:r>
          </w:p>
        </w:tc>
        <w:tc>
          <w:tcPr>
            <w:vAlign w:val="center"/>
          </w:tcPr>
          <w:p>
            <w:pPr>
              <w:jc w:val="center"/>
            </w:pPr>
            <w:r>
              <w:rPr>
                <w:color w:val="000000"/>
                <w:sz w:val="24"/>
              </w:rPr>
              <w:t>-</w:t>
            </w:r>
          </w:p>
        </w:tc>
        <w:tc>
          <w:tcPr>
            <w:vAlign w:val="center"/>
          </w:tcPr>
          <w:p>
            <w:pPr>
              <w:jc w:val="center"/>
            </w:pPr>
            <w:r>
              <w:rPr>
                <w:color w:val="000000"/>
                <w:sz w:val="24"/>
              </w:rPr>
              <w:t>11年</w:t>
            </w:r>
          </w:p>
        </w:tc>
        <w:tc>
          <w:tcPr>
            <w:vAlign w:val="center"/>
          </w:tcPr>
          <w:p>
            <w:pPr>
              <w:jc w:val="both"/>
            </w:pPr>
            <w:r>
              <w:rPr>
                <w:color w:val="000000"/>
                <w:sz w:val="24"/>
              </w:rPr>
              <w:t>硕士研究生，具有基金从业资格。曾任易方达基金管理有限公司投资发展部数量化投资研究员、指数与量化投资部量化研究员、指数及增强投资部投资经理。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2020年二季度国内宏观经济复苏态势向好，随着复工复产的深入推进，生产需求继续回暖，企业的经营压力有所减轻。5月份规模以上工业企业利润增速实现了自2019年11月以来的首次由负转正，释放了市场需求回暖、经济社会运行加速回归正轨的积极信号。6月份PMI为50.9%，比上月提升0.3个百分点，已连续4个月处于荣枯分界线以上。在宏观政策方面，央行二季度货币政策坚持总量政策适度，促进金融和实体经济的良性循环，强调政策对冲疫情的有效性和直达性。资本市场方面，在海外疫情或呈现见顶趋势、国内政策力度渐强等因素主导下，A股市场延续了3月底以来的反弹趋势，二季度上证综指以上涨8.52%收官。风格主题方面，以创业板指为代表的成长风格表现更为强劲，创业板表现优于主板，创业板指大幅上涨30.25%，上证50指数、沪深300指数分别上涨9.40%、12.96%；行业方面，休闲服务、电子、医药生物、食品饮料、传媒等板块表现强势，建筑装饰、纺织服装、采掘、银行等板块表现落后。报告期内中证全指证券公司指数上涨9.34%。</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报告期内本基金为正常运作期，在操作中，我们严格遵守基金合同，坚持既定的指数化投资策略，在指数权重调整和基金申赎变动时，应用指数复制和数量化技术降低冲击成本和减少跟踪误差。</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截至报告期末，本基金份额净值为0.9666元，本报告期份额净值增长率为9.55%，同期业绩比较基准收益率为9.34%，日跟踪偏离度的均值为0.02%，年化跟踪误差为0.424%，各项指标均在合同规定的目标控制范围之内。</w:t>
      </w:r>
    </w:p>
    <w:p w:rsidP="00D62BEE" w:rsidR="00D62BEE" w:rsidRDefault="00D62BEE" w:rsidRPr="00701A03">
      <w:pPr>
        <w:autoSpaceDE w:val="0"/>
        <w:autoSpaceDN w:val="0"/>
        <w:adjustRightInd w:val="0"/>
        <w:spacing w:line="360" w:lineRule="auto"/>
        <w:jc w:val="left"/>
        <w:rPr>
          <w:rFonts w:ascii="宋体" w:cs="Arial" w:hAnsi="宋体"/>
          <w:b/>
          <w:color w:val="000000"/>
          <w:kern w:val="0"/>
          <w:sz w:val="24"/>
        </w:rPr>
      </w:pPr>
      <w:r w:rsidRPr="00701A03">
        <w:rPr>
          <w:rFonts w:ascii="宋体" w:cs="Arial" w:hAnsi="宋体"/>
          <w:b/>
          <w:color w:val="000000"/>
          <w:kern w:val="0"/>
          <w:sz w:val="24"/>
        </w:rPr>
        <w:t/>
      </w:r>
      <w:proofErr w:type="spellStart"/>
      <w:r w:rsidRPr="00701A03">
        <w:rPr>
          <w:rFonts w:ascii="宋体" w:cs="Arial" w:hAnsi="宋体"/>
          <w:b/>
          <w:color w:val="000000"/>
          <w:kern w:val="0"/>
          <w:sz w:val="24"/>
        </w:rPr>
        <w:t/>
      </w:r>
      <w:proofErr w:type="spellEnd"/>
      <w:r w:rsidRPr="00701A03">
        <w:rPr>
          <w:rFonts w:ascii="宋体" w:cs="Arial" w:hAnsi="宋体"/>
          <w:b/>
          <w:color w:val="000000"/>
          <w:kern w:val="0"/>
          <w:sz w:val="24"/>
        </w:rPr>
        <w:t>4</w:t>
      </w:r>
      <w:r w:rsidRPr="00701A03">
        <w:rPr>
          <w:rFonts w:ascii="宋体" w:cs="Arial" w:hAnsi="宋体" w:hint="eastAsia"/>
          <w:b/>
          <w:color w:val="000000"/>
          <w:kern w:val="0"/>
          <w:sz w:val="24"/>
        </w:rPr>
        <w:t>.</w:t>
      </w:r>
      <w:r w:rsidR="004A4D5B">
        <w:rPr>
          <w:rFonts w:ascii="宋体" w:cs="Arial" w:hAnsi="宋体" w:hint="eastAsia"/>
          <w:b/>
          <w:color w:val="000000"/>
          <w:kern w:val="0"/>
          <w:sz w:val="24"/>
        </w:rPr>
        <w:t/>
      </w:r>
      <w:r w:rsidRPr="00701A03">
        <w:rPr>
          <w:rFonts w:ascii="宋体" w:cs="Arial" w:hAnsi="宋体" w:hint="eastAsia"/>
          <w:b/>
          <w:color w:val="000000"/>
          <w:kern w:val="0"/>
          <w:sz w:val="24"/>
        </w:rPr>
        <w:t>5报告期内基金持有人数或基金资产净值预警说明</w:t>
      </w:r>
    </w:p>
    <w:p>
      <w:pPr>
        <w:spacing w:line="360" w:lineRule="auto"/>
        <w:ind w:firstLine="480" w:firstLineChars="200"/>
        <w:rPr>
          <w:color w:val="000000"/>
          <w:sz w:val="24"/>
          <w:szCs w:val="24"/>
        </w:rPr>
      </w:pPr>
      <w:r>
        <w:rPr>
          <w:color w:val="000000"/>
          <w:sz w:val="24"/>
          <w:szCs w:val="24"/>
        </w:rPr>
        <w:t>本报告期，本基金均存在连续二十个工作日基金资产净值低于五千万元的情形。</w:t>
      </w:r>
    </w:p>
    <w:p w:rsidP="00D62BEE" w:rsidR="00D62BEE" w:rsidRDefault="00D62BEE" w:rsidRPr="006C56AA">
      <w:pPr>
        <w:spacing w:line="360" w:lineRule="auto"/>
        <w:ind w:firstLine="480" w:firstLineChars="200"/>
        <w:rPr>
          <w:color w:val="000000"/>
          <w:sz w:val="24"/>
          <w:szCs w:val="24"/>
        </w:rPr>
      </w:pPr>
      <w:r w:rsidRPr="0006661F">
        <w:rPr>
          <w:color w:val="000000"/>
          <w:sz w:val="24"/>
          <w:szCs w:val="24"/>
        </w:rPr>
        <w:t>本报告期，本基金均存在连续六十个工作日基金资产净值低于五千万元的情形。鉴于基金资产净值的下滑主要受市场环境影响，本基金将继续运作。</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29,374,789.75</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97.62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29,374,789.75</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97.62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1,600.00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0.01</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1,600.00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0.01</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423,155.68</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1.41</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291,833.88</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0.97</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30,091,379.31</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xml:space="preserve">注：上表中的股票投资项含可退替代款估值增值,而5.2的合计项不含可退替代款估值增值。 </w:t>
      </w:r>
    </w:p>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29,374,789.75</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98.65</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29,374,789.75</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98.65</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600030</w:t>
            </w:r>
          </w:p>
        </w:tc>
        <w:tc>
          <w:tcPr>
            <w:vAlign w:val="center"/>
          </w:tcPr>
          <w:p>
            <w:pPr>
              <w:jc w:val="center"/>
            </w:pPr>
            <w:r>
              <w:rPr>
                <w:color w:val="000000"/>
                <w:kern w:val="0"/>
                <w:sz w:val="24"/>
                <w:szCs w:val="24"/>
              </w:rPr>
              <w:t>中信证券</w:t>
            </w:r>
          </w:p>
        </w:tc>
        <w:tc>
          <w:tcPr>
            <w:vAlign w:val="center"/>
          </w:tcPr>
          <w:p>
            <w:pPr>
              <w:jc w:val="right"/>
            </w:pPr>
            <w:r>
              <w:rPr>
                <w:color w:val="000000"/>
                <w:kern w:val="0"/>
                <w:sz w:val="24"/>
                <w:szCs w:val="24"/>
              </w:rPr>
              <w:t>176,200</w:t>
            </w:r>
          </w:p>
        </w:tc>
        <w:tc>
          <w:tcPr>
            <w:vAlign w:val="center"/>
          </w:tcPr>
          <w:p>
            <w:pPr>
              <w:jc w:val="right"/>
            </w:pPr>
            <w:r>
              <w:rPr>
                <w:color w:val="000000"/>
                <w:kern w:val="0"/>
                <w:sz w:val="24"/>
                <w:szCs w:val="24"/>
              </w:rPr>
              <w:t>4,248,182.00</w:t>
            </w:r>
          </w:p>
        </w:tc>
        <w:tc>
          <w:tcPr>
            <w:vAlign w:val="center"/>
          </w:tcPr>
          <w:p>
            <w:pPr>
              <w:jc w:val="right"/>
            </w:pPr>
            <w:r>
              <w:rPr>
                <w:color w:val="000000"/>
                <w:kern w:val="0"/>
                <w:sz w:val="24"/>
                <w:szCs w:val="24"/>
              </w:rPr>
              <w:t>14.27</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300059</w:t>
            </w:r>
          </w:p>
        </w:tc>
        <w:tc>
          <w:tcPr>
            <w:vAlign w:val="center"/>
          </w:tcPr>
          <w:p>
            <w:pPr>
              <w:jc w:val="center"/>
            </w:pPr>
            <w:r>
              <w:rPr>
                <w:color w:val="000000"/>
                <w:kern w:val="0"/>
                <w:sz w:val="24"/>
                <w:szCs w:val="24"/>
              </w:rPr>
              <w:t>东方财富</w:t>
            </w:r>
          </w:p>
        </w:tc>
        <w:tc>
          <w:tcPr>
            <w:vAlign w:val="center"/>
          </w:tcPr>
          <w:p>
            <w:pPr>
              <w:jc w:val="right"/>
            </w:pPr>
            <w:r>
              <w:rPr>
                <w:color w:val="000000"/>
                <w:kern w:val="0"/>
                <w:sz w:val="24"/>
                <w:szCs w:val="24"/>
              </w:rPr>
              <w:t>136,300</w:t>
            </w:r>
          </w:p>
        </w:tc>
        <w:tc>
          <w:tcPr>
            <w:vAlign w:val="center"/>
          </w:tcPr>
          <w:p>
            <w:pPr>
              <w:jc w:val="right"/>
            </w:pPr>
            <w:r>
              <w:rPr>
                <w:color w:val="000000"/>
                <w:kern w:val="0"/>
                <w:sz w:val="24"/>
                <w:szCs w:val="24"/>
              </w:rPr>
              <w:t>2,753,260.00</w:t>
            </w:r>
          </w:p>
        </w:tc>
        <w:tc>
          <w:tcPr>
            <w:vAlign w:val="center"/>
          </w:tcPr>
          <w:p>
            <w:pPr>
              <w:jc w:val="right"/>
            </w:pPr>
            <w:r>
              <w:rPr>
                <w:color w:val="000000"/>
                <w:kern w:val="0"/>
                <w:sz w:val="24"/>
                <w:szCs w:val="24"/>
              </w:rPr>
              <w:t>9.25</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601688</w:t>
            </w:r>
          </w:p>
        </w:tc>
        <w:tc>
          <w:tcPr>
            <w:vAlign w:val="center"/>
          </w:tcPr>
          <w:p>
            <w:pPr>
              <w:jc w:val="center"/>
            </w:pPr>
            <w:r>
              <w:rPr>
                <w:color w:val="000000"/>
                <w:kern w:val="0"/>
                <w:sz w:val="24"/>
                <w:szCs w:val="24"/>
              </w:rPr>
              <w:t>华泰证券</w:t>
            </w:r>
          </w:p>
        </w:tc>
        <w:tc>
          <w:tcPr>
            <w:vAlign w:val="center"/>
          </w:tcPr>
          <w:p>
            <w:pPr>
              <w:jc w:val="right"/>
            </w:pPr>
            <w:r>
              <w:rPr>
                <w:color w:val="000000"/>
                <w:kern w:val="0"/>
                <w:sz w:val="24"/>
                <w:szCs w:val="24"/>
              </w:rPr>
              <w:t>124,500</w:t>
            </w:r>
          </w:p>
        </w:tc>
        <w:tc>
          <w:tcPr>
            <w:vAlign w:val="center"/>
          </w:tcPr>
          <w:p>
            <w:pPr>
              <w:jc w:val="right"/>
            </w:pPr>
            <w:r>
              <w:rPr>
                <w:color w:val="000000"/>
                <w:kern w:val="0"/>
                <w:sz w:val="24"/>
                <w:szCs w:val="24"/>
              </w:rPr>
              <w:t>2,340,600.00</w:t>
            </w:r>
          </w:p>
        </w:tc>
        <w:tc>
          <w:tcPr>
            <w:vAlign w:val="center"/>
          </w:tcPr>
          <w:p>
            <w:pPr>
              <w:jc w:val="right"/>
            </w:pPr>
            <w:r>
              <w:rPr>
                <w:color w:val="000000"/>
                <w:kern w:val="0"/>
                <w:sz w:val="24"/>
                <w:szCs w:val="24"/>
              </w:rPr>
              <w:t>7.86</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600837</w:t>
            </w:r>
          </w:p>
        </w:tc>
        <w:tc>
          <w:tcPr>
            <w:vAlign w:val="center"/>
          </w:tcPr>
          <w:p>
            <w:pPr>
              <w:jc w:val="center"/>
            </w:pPr>
            <w:r>
              <w:rPr>
                <w:color w:val="000000"/>
                <w:kern w:val="0"/>
                <w:sz w:val="24"/>
                <w:szCs w:val="24"/>
              </w:rPr>
              <w:t>海通证券</w:t>
            </w:r>
          </w:p>
        </w:tc>
        <w:tc>
          <w:tcPr>
            <w:vAlign w:val="center"/>
          </w:tcPr>
          <w:p>
            <w:pPr>
              <w:jc w:val="right"/>
            </w:pPr>
            <w:r>
              <w:rPr>
                <w:color w:val="000000"/>
                <w:kern w:val="0"/>
                <w:sz w:val="24"/>
                <w:szCs w:val="24"/>
              </w:rPr>
              <w:t>171,200</w:t>
            </w:r>
          </w:p>
        </w:tc>
        <w:tc>
          <w:tcPr>
            <w:vAlign w:val="center"/>
          </w:tcPr>
          <w:p>
            <w:pPr>
              <w:jc w:val="right"/>
            </w:pPr>
            <w:r>
              <w:rPr>
                <w:color w:val="000000"/>
                <w:kern w:val="0"/>
                <w:sz w:val="24"/>
                <w:szCs w:val="24"/>
              </w:rPr>
              <w:t>2,153,696.00</w:t>
            </w:r>
          </w:p>
        </w:tc>
        <w:tc>
          <w:tcPr>
            <w:vAlign w:val="center"/>
          </w:tcPr>
          <w:p>
            <w:pPr>
              <w:jc w:val="right"/>
            </w:pPr>
            <w:r>
              <w:rPr>
                <w:color w:val="000000"/>
                <w:kern w:val="0"/>
                <w:sz w:val="24"/>
                <w:szCs w:val="24"/>
              </w:rPr>
              <w:t>7.23</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601211</w:t>
            </w:r>
          </w:p>
        </w:tc>
        <w:tc>
          <w:tcPr>
            <w:vAlign w:val="center"/>
          </w:tcPr>
          <w:p>
            <w:pPr>
              <w:jc w:val="center"/>
            </w:pPr>
            <w:r>
              <w:rPr>
                <w:color w:val="000000"/>
                <w:kern w:val="0"/>
                <w:sz w:val="24"/>
                <w:szCs w:val="24"/>
              </w:rPr>
              <w:t>国泰君安</w:t>
            </w:r>
          </w:p>
        </w:tc>
        <w:tc>
          <w:tcPr>
            <w:vAlign w:val="center"/>
          </w:tcPr>
          <w:p>
            <w:pPr>
              <w:jc w:val="right"/>
            </w:pPr>
            <w:r>
              <w:rPr>
                <w:color w:val="000000"/>
                <w:kern w:val="0"/>
                <w:sz w:val="24"/>
                <w:szCs w:val="24"/>
              </w:rPr>
              <w:t>95,400</w:t>
            </w:r>
          </w:p>
        </w:tc>
        <w:tc>
          <w:tcPr>
            <w:vAlign w:val="center"/>
          </w:tcPr>
          <w:p>
            <w:pPr>
              <w:jc w:val="right"/>
            </w:pPr>
            <w:r>
              <w:rPr>
                <w:color w:val="000000"/>
                <w:kern w:val="0"/>
                <w:sz w:val="24"/>
                <w:szCs w:val="24"/>
              </w:rPr>
              <w:t>1,646,604.00</w:t>
            </w:r>
          </w:p>
        </w:tc>
        <w:tc>
          <w:tcPr>
            <w:vAlign w:val="center"/>
          </w:tcPr>
          <w:p>
            <w:pPr>
              <w:jc w:val="right"/>
            </w:pPr>
            <w:r>
              <w:rPr>
                <w:color w:val="000000"/>
                <w:kern w:val="0"/>
                <w:sz w:val="24"/>
                <w:szCs w:val="24"/>
              </w:rPr>
              <w:t>5.53</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600999</w:t>
            </w:r>
          </w:p>
        </w:tc>
        <w:tc>
          <w:tcPr>
            <w:vAlign w:val="center"/>
          </w:tcPr>
          <w:p>
            <w:pPr>
              <w:jc w:val="center"/>
            </w:pPr>
            <w:r>
              <w:rPr>
                <w:color w:val="000000"/>
                <w:kern w:val="0"/>
                <w:sz w:val="24"/>
                <w:szCs w:val="24"/>
              </w:rPr>
              <w:t>招商证券</w:t>
            </w:r>
          </w:p>
        </w:tc>
        <w:tc>
          <w:tcPr>
            <w:vAlign w:val="center"/>
          </w:tcPr>
          <w:p>
            <w:pPr>
              <w:jc w:val="right"/>
            </w:pPr>
            <w:r>
              <w:rPr>
                <w:color w:val="000000"/>
                <w:kern w:val="0"/>
                <w:sz w:val="24"/>
                <w:szCs w:val="24"/>
              </w:rPr>
              <w:t>60,500</w:t>
            </w:r>
          </w:p>
        </w:tc>
        <w:tc>
          <w:tcPr>
            <w:vAlign w:val="center"/>
          </w:tcPr>
          <w:p>
            <w:pPr>
              <w:jc w:val="right"/>
            </w:pPr>
            <w:r>
              <w:rPr>
                <w:color w:val="000000"/>
                <w:kern w:val="0"/>
                <w:sz w:val="24"/>
                <w:szCs w:val="24"/>
              </w:rPr>
              <w:t>1,327,975.00</w:t>
            </w:r>
          </w:p>
        </w:tc>
        <w:tc>
          <w:tcPr>
            <w:vAlign w:val="center"/>
          </w:tcPr>
          <w:p>
            <w:pPr>
              <w:jc w:val="right"/>
            </w:pPr>
            <w:r>
              <w:rPr>
                <w:color w:val="000000"/>
                <w:kern w:val="0"/>
                <w:sz w:val="24"/>
                <w:szCs w:val="24"/>
              </w:rPr>
              <w:t>4.46</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000166</w:t>
            </w:r>
          </w:p>
        </w:tc>
        <w:tc>
          <w:tcPr>
            <w:vAlign w:val="center"/>
          </w:tcPr>
          <w:p>
            <w:pPr>
              <w:jc w:val="center"/>
            </w:pPr>
            <w:r>
              <w:rPr>
                <w:color w:val="000000"/>
                <w:kern w:val="0"/>
                <w:sz w:val="24"/>
                <w:szCs w:val="24"/>
              </w:rPr>
              <w:t>申万宏源</w:t>
            </w:r>
          </w:p>
        </w:tc>
        <w:tc>
          <w:tcPr>
            <w:vAlign w:val="center"/>
          </w:tcPr>
          <w:p>
            <w:pPr>
              <w:jc w:val="right"/>
            </w:pPr>
            <w:r>
              <w:rPr>
                <w:color w:val="000000"/>
                <w:kern w:val="0"/>
                <w:sz w:val="24"/>
                <w:szCs w:val="24"/>
              </w:rPr>
              <w:t>190,600</w:t>
            </w:r>
          </w:p>
        </w:tc>
        <w:tc>
          <w:tcPr>
            <w:vAlign w:val="center"/>
          </w:tcPr>
          <w:p>
            <w:pPr>
              <w:jc w:val="right"/>
            </w:pPr>
            <w:r>
              <w:rPr>
                <w:color w:val="000000"/>
                <w:kern w:val="0"/>
                <w:sz w:val="24"/>
                <w:szCs w:val="24"/>
              </w:rPr>
              <w:t>962,530.00</w:t>
            </w:r>
          </w:p>
        </w:tc>
        <w:tc>
          <w:tcPr>
            <w:vAlign w:val="center"/>
          </w:tcPr>
          <w:p>
            <w:pPr>
              <w:jc w:val="right"/>
            </w:pPr>
            <w:r>
              <w:rPr>
                <w:color w:val="000000"/>
                <w:kern w:val="0"/>
                <w:sz w:val="24"/>
                <w:szCs w:val="24"/>
              </w:rPr>
              <w:t>3.23</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000776</w:t>
            </w:r>
          </w:p>
        </w:tc>
        <w:tc>
          <w:tcPr>
            <w:vAlign w:val="center"/>
          </w:tcPr>
          <w:p>
            <w:pPr>
              <w:jc w:val="center"/>
            </w:pPr>
            <w:r>
              <w:rPr>
                <w:color w:val="000000"/>
                <w:kern w:val="0"/>
                <w:sz w:val="24"/>
                <w:szCs w:val="24"/>
              </w:rPr>
              <w:t>广发证券</w:t>
            </w:r>
          </w:p>
        </w:tc>
        <w:tc>
          <w:tcPr>
            <w:vAlign w:val="center"/>
          </w:tcPr>
          <w:p>
            <w:pPr>
              <w:jc w:val="right"/>
            </w:pPr>
            <w:r>
              <w:rPr>
                <w:color w:val="000000"/>
                <w:kern w:val="0"/>
                <w:sz w:val="24"/>
                <w:szCs w:val="24"/>
              </w:rPr>
              <w:t>62,600</w:t>
            </w:r>
          </w:p>
        </w:tc>
        <w:tc>
          <w:tcPr>
            <w:vAlign w:val="center"/>
          </w:tcPr>
          <w:p>
            <w:pPr>
              <w:jc w:val="right"/>
            </w:pPr>
            <w:r>
              <w:rPr>
                <w:color w:val="000000"/>
                <w:kern w:val="0"/>
                <w:sz w:val="24"/>
                <w:szCs w:val="24"/>
              </w:rPr>
              <w:t>883,912.00</w:t>
            </w:r>
          </w:p>
        </w:tc>
        <w:tc>
          <w:tcPr>
            <w:vAlign w:val="center"/>
          </w:tcPr>
          <w:p>
            <w:pPr>
              <w:jc w:val="right"/>
            </w:pPr>
            <w:r>
              <w:rPr>
                <w:color w:val="000000"/>
                <w:kern w:val="0"/>
                <w:sz w:val="24"/>
                <w:szCs w:val="24"/>
              </w:rPr>
              <w:t>2.97</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600958</w:t>
            </w:r>
          </w:p>
        </w:tc>
        <w:tc>
          <w:tcPr>
            <w:vAlign w:val="center"/>
          </w:tcPr>
          <w:p>
            <w:pPr>
              <w:jc w:val="center"/>
            </w:pPr>
            <w:r>
              <w:rPr>
                <w:color w:val="000000"/>
                <w:kern w:val="0"/>
                <w:sz w:val="24"/>
                <w:szCs w:val="24"/>
              </w:rPr>
              <w:t>东方证券</w:t>
            </w:r>
          </w:p>
        </w:tc>
        <w:tc>
          <w:tcPr>
            <w:vAlign w:val="center"/>
          </w:tcPr>
          <w:p>
            <w:pPr>
              <w:jc w:val="right"/>
            </w:pPr>
            <w:r>
              <w:rPr>
                <w:color w:val="000000"/>
                <w:kern w:val="0"/>
                <w:sz w:val="24"/>
                <w:szCs w:val="24"/>
              </w:rPr>
              <w:t>75,700</w:t>
            </w:r>
          </w:p>
        </w:tc>
        <w:tc>
          <w:tcPr>
            <w:vAlign w:val="center"/>
          </w:tcPr>
          <w:p>
            <w:pPr>
              <w:jc w:val="right"/>
            </w:pPr>
            <w:r>
              <w:rPr>
                <w:color w:val="000000"/>
                <w:kern w:val="0"/>
                <w:sz w:val="24"/>
                <w:szCs w:val="24"/>
              </w:rPr>
              <w:t>718,393.00</w:t>
            </w:r>
          </w:p>
        </w:tc>
        <w:tc>
          <w:tcPr>
            <w:vAlign w:val="center"/>
          </w:tcPr>
          <w:p>
            <w:pPr>
              <w:jc w:val="right"/>
            </w:pPr>
            <w:r>
              <w:rPr>
                <w:color w:val="000000"/>
                <w:kern w:val="0"/>
                <w:sz w:val="24"/>
                <w:szCs w:val="24"/>
              </w:rPr>
              <w:t>2.41</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601377</w:t>
            </w:r>
          </w:p>
        </w:tc>
        <w:tc>
          <w:tcPr>
            <w:vAlign w:val="center"/>
          </w:tcPr>
          <w:p>
            <w:pPr>
              <w:jc w:val="center"/>
            </w:pPr>
            <w:r>
              <w:rPr>
                <w:color w:val="000000"/>
                <w:kern w:val="0"/>
                <w:sz w:val="24"/>
                <w:szCs w:val="24"/>
              </w:rPr>
              <w:t>兴业证券</w:t>
            </w:r>
          </w:p>
        </w:tc>
        <w:tc>
          <w:tcPr>
            <w:vAlign w:val="center"/>
          </w:tcPr>
          <w:p>
            <w:pPr>
              <w:jc w:val="right"/>
            </w:pPr>
            <w:r>
              <w:rPr>
                <w:color w:val="000000"/>
                <w:kern w:val="0"/>
                <w:sz w:val="24"/>
                <w:szCs w:val="24"/>
              </w:rPr>
              <w:t>99,100</w:t>
            </w:r>
          </w:p>
        </w:tc>
        <w:tc>
          <w:tcPr>
            <w:vAlign w:val="center"/>
          </w:tcPr>
          <w:p>
            <w:pPr>
              <w:jc w:val="right"/>
            </w:pPr>
            <w:r>
              <w:rPr>
                <w:color w:val="000000"/>
                <w:kern w:val="0"/>
                <w:sz w:val="24"/>
                <w:szCs w:val="24"/>
              </w:rPr>
              <w:t>678,835.00</w:t>
            </w:r>
          </w:p>
        </w:tc>
        <w:tc>
          <w:tcPr>
            <w:vAlign w:val="center"/>
          </w:tcPr>
          <w:p>
            <w:pPr>
              <w:jc w:val="right"/>
            </w:pPr>
            <w:r>
              <w:rPr>
                <w:color w:val="000000"/>
                <w:kern w:val="0"/>
                <w:sz w:val="24"/>
                <w:szCs w:val="24"/>
              </w:rPr>
              <w:t>2.28</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1,600.00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lastRenderedPageBreak/>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0.01</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1,600.00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0.01</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128116</w:t>
            </w:r>
          </w:p>
        </w:tc>
        <w:tc>
          <w:tcPr>
            <w:vAlign w:val="center"/>
          </w:tcPr>
          <w:p>
            <w:pPr>
              <w:jc w:val="center"/>
            </w:pPr>
            <w:r>
              <w:rPr>
                <w:color w:val="000000"/>
                <w:kern w:val="0"/>
                <w:sz w:val="24"/>
                <w:szCs w:val="24"/>
              </w:rPr>
              <w:t>瑞达转债</w:t>
            </w:r>
          </w:p>
        </w:tc>
        <w:tc>
          <w:tcPr>
            <w:vAlign w:val="center"/>
          </w:tcPr>
          <w:p>
            <w:pPr>
              <w:jc w:val="right"/>
            </w:pPr>
            <w:r>
              <w:rPr>
                <w:color w:val="000000"/>
                <w:kern w:val="0"/>
                <w:sz w:val="24"/>
                <w:szCs w:val="24"/>
              </w:rPr>
              <w:t>16</w:t>
            </w:r>
          </w:p>
        </w:tc>
        <w:tc>
          <w:tcPr>
            <w:vAlign w:val="center"/>
          </w:tcPr>
          <w:p>
            <w:pPr>
              <w:jc w:val="right"/>
            </w:pPr>
            <w:r>
              <w:rPr>
                <w:color w:val="000000"/>
                <w:kern w:val="0"/>
                <w:sz w:val="24"/>
                <w:szCs w:val="24"/>
              </w:rPr>
              <w:t>1,600.00</w:t>
            </w:r>
          </w:p>
        </w:tc>
        <w:tc>
          <w:tcPr>
            <w:vAlign w:val="center"/>
          </w:tcPr>
          <w:p>
            <w:pPr>
              <w:jc w:val="right"/>
            </w:pPr>
            <w:r>
              <w:rPr>
                <w:color w:val="000000"/>
                <w:kern w:val="0"/>
                <w:sz w:val="24"/>
                <w:szCs w:val="24"/>
              </w:rPr>
              <w:t>0.01</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2020年2月10日，中国人民银行针对华泰证券股份有限公司如下违法事实：1、未按规定履行客户身份识别义务；2、未按规定报送可疑交易报告；3、与身份不明的客户进行交易，处以责令改正，并处罚款1010万元的行政处罚。</w:t>
      </w:r>
    </w:p>
    <w:p>
      <w:pPr>
        <w:spacing w:line="360" w:lineRule="auto"/>
        <w:rPr>
          <w:rFonts w:ascii="宋体" w:hAnsi="宋体"/>
          <w:color w:val="000000"/>
          <w:sz w:val="24"/>
          <w:szCs w:val="24"/>
        </w:rPr>
      </w:pPr>
      <w:r>
        <w:rPr>
          <w:rFonts w:ascii="宋体" w:hAnsi="宋体"/>
          <w:color w:val="000000"/>
          <w:sz w:val="24"/>
          <w:szCs w:val="24"/>
        </w:rPr>
        <w:t>2020年4月8日，中国人民银行长春中心支行对招商证券股份有限公司长春人民大街证券营业部未按照规定履行客户身份识别义务的违法违规事实，责令整改并处罚款22万元的行政处罚。</w:t>
      </w:r>
    </w:p>
    <w:p>
      <w:pPr>
        <w:spacing w:line="360" w:lineRule="auto"/>
        <w:rPr>
          <w:rFonts w:ascii="宋体" w:hAnsi="宋体"/>
          <w:color w:val="000000"/>
          <w:sz w:val="24"/>
          <w:szCs w:val="24"/>
        </w:rPr>
      </w:pPr>
      <w:r>
        <w:rPr>
          <w:rFonts w:ascii="宋体" w:hAnsi="宋体"/>
          <w:color w:val="000000"/>
          <w:sz w:val="24"/>
          <w:szCs w:val="24"/>
        </w:rPr>
        <w:t>本基金为指数型基金，上述股票系标的指数成份股，上述股票的投资决策程序符合公司投资制度的规定。除华泰证券、招商证券外，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1,460.22</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290,332.13</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41.53</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291,833.88</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本基金本报告期末前十名股票中不存在流通受限情况。</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30,806,068.00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1,000,000.00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1,000,000.00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30,806,068.00</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本报告期内基金管理人未持有本基金份额。</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1.中国证监会注册易方达中证全指证券公司交易型开放式指数证券投资基金募集的文件；</w:t>
      </w:r>
    </w:p>
    <w:p>
      <w:pPr>
        <w:spacing w:line="360" w:lineRule="auto"/>
        <w:ind w:firstLine="480" w:firstLineChars="200"/>
        <w:rPr>
          <w:color w:val="000000"/>
          <w:sz w:val="24"/>
          <w:szCs w:val="24"/>
        </w:rPr>
      </w:pPr>
      <w:r>
        <w:rPr>
          <w:color w:val="000000"/>
          <w:sz w:val="24"/>
          <w:szCs w:val="24"/>
        </w:rPr>
        <w:t>2.《易方达中证全指证券公司交易型开放式指数证券投资基金基金合同》；</w:t>
      </w:r>
    </w:p>
    <w:p>
      <w:pPr>
        <w:spacing w:line="360" w:lineRule="auto"/>
        <w:ind w:firstLine="480" w:firstLineChars="200"/>
        <w:rPr>
          <w:color w:val="000000"/>
          <w:sz w:val="24"/>
          <w:szCs w:val="24"/>
        </w:rPr>
      </w:pPr>
      <w:r>
        <w:rPr>
          <w:color w:val="000000"/>
          <w:sz w:val="24"/>
          <w:szCs w:val="24"/>
        </w:rPr>
        <w:t>3.《易方达中证全指证券公司交易型开放式指数证券投资基金托管协议》；</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4.基金管理人业务资格批件和营业执照。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易方达中证全指证券公司交易型开放式指数证券投资基金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