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易方达中证军工交易型开放式指数证券投资基金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招商银行股份有限公司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易方达中证军工ETF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中证军工、军工ETF易方达</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512560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512560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2017年7月14日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29,563,496.00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中证军工指数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招商银行股份有限公司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85,310.56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1,753,168.94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0.0800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26,512,025.12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0.8968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10.88%</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11.16%</w:t>
            </w:r>
          </w:p>
        </w:tc>
        <w:tc>
          <w:tcPr>
            <w:vAlign w:val="center"/>
          </w:tcPr>
          <w:p>
            <w:pPr>
              <w:jc w:val="center"/>
            </w:pPr>
            <w:r>
              <w:rPr>
                <w:color w:val="000000"/>
                <w:kern w:val="0"/>
                <w:sz w:val="24"/>
                <w:szCs w:val="24"/>
              </w:rPr>
              <w:t>1.34%</w:t>
            </w:r>
          </w:p>
        </w:tc>
        <w:tc>
          <w:tcPr>
            <w:vAlign w:val="center"/>
          </w:tcPr>
          <w:p>
            <w:pPr>
              <w:jc w:val="center"/>
            </w:pPr>
            <w:r>
              <w:rPr>
                <w:color w:val="000000"/>
                <w:kern w:val="0"/>
                <w:sz w:val="24"/>
                <w:szCs w:val="24"/>
              </w:rPr>
              <w:t>-0.28%</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9.62%</w:t>
            </w:r>
          </w:p>
        </w:tc>
        <w:tc>
          <w:tcPr>
            <w:vAlign w:val="center"/>
          </w:tcPr>
          <w:p>
            <w:pPr>
              <w:jc w:val="center"/>
            </w:pPr>
            <w:r>
              <w:rPr>
                <w:color w:val="000000"/>
                <w:kern w:val="0"/>
                <w:sz w:val="24"/>
                <w:szCs w:val="24"/>
              </w:rPr>
              <w:t>2.05%</w:t>
            </w:r>
          </w:p>
        </w:tc>
        <w:tc>
          <w:tcPr>
            <w:vAlign w:val="center"/>
          </w:tcPr>
          <w:p>
            <w:pPr>
              <w:jc w:val="center"/>
            </w:pPr>
            <w:r>
              <w:rPr>
                <w:color w:val="000000"/>
                <w:kern w:val="0"/>
                <w:sz w:val="24"/>
                <w:szCs w:val="24"/>
              </w:rPr>
              <w:t>9.56%</w:t>
            </w:r>
          </w:p>
        </w:tc>
        <w:tc>
          <w:tcPr>
            <w:vAlign w:val="center"/>
          </w:tcPr>
          <w:p>
            <w:pPr>
              <w:jc w:val="center"/>
            </w:pPr>
            <w:r>
              <w:rPr>
                <w:color w:val="000000"/>
                <w:kern w:val="0"/>
                <w:sz w:val="24"/>
                <w:szCs w:val="24"/>
              </w:rPr>
              <w:t>2.09%</w:t>
            </w:r>
          </w:p>
        </w:tc>
        <w:tc>
          <w:tcPr>
            <w:vAlign w:val="center"/>
          </w:tcPr>
          <w:p>
            <w:pPr>
              <w:jc w:val="center"/>
            </w:pPr>
            <w:r>
              <w:rPr>
                <w:color w:val="000000"/>
                <w:kern w:val="0"/>
                <w:sz w:val="24"/>
                <w:szCs w:val="24"/>
              </w:rPr>
              <w:t>0.06%</w:t>
            </w:r>
          </w:p>
        </w:tc>
        <w:tc>
          <w:tcPr>
            <w:vAlign w:val="center"/>
          </w:tcPr>
          <w:p>
            <w:pPr>
              <w:jc w:val="center"/>
            </w:pPr>
            <w:r>
              <w:rPr>
                <w:color w:val="000000"/>
                <w:kern w:val="0"/>
                <w:sz w:val="24"/>
                <w:szCs w:val="24"/>
              </w:rPr>
              <w:t>-0.04%</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11.51%</w:t>
            </w:r>
          </w:p>
        </w:tc>
        <w:tc>
          <w:tcPr>
            <w:vAlign w:val="center"/>
          </w:tcPr>
          <w:p>
            <w:pPr>
              <w:jc w:val="center"/>
            </w:pPr>
            <w:r>
              <w:rPr>
                <w:color w:val="000000"/>
                <w:kern w:val="0"/>
                <w:sz w:val="24"/>
                <w:szCs w:val="24"/>
              </w:rPr>
              <w:t>1.69%</w:t>
            </w:r>
          </w:p>
        </w:tc>
        <w:tc>
          <w:tcPr>
            <w:vAlign w:val="center"/>
          </w:tcPr>
          <w:p>
            <w:pPr>
              <w:jc w:val="center"/>
            </w:pPr>
            <w:r>
              <w:rPr>
                <w:color w:val="000000"/>
                <w:kern w:val="0"/>
                <w:sz w:val="24"/>
                <w:szCs w:val="24"/>
              </w:rPr>
              <w:t>11.63%</w:t>
            </w:r>
          </w:p>
        </w:tc>
        <w:tc>
          <w:tcPr>
            <w:vAlign w:val="center"/>
          </w:tcPr>
          <w:p>
            <w:pPr>
              <w:jc w:val="center"/>
            </w:pPr>
            <w:r>
              <w:rPr>
                <w:color w:val="000000"/>
                <w:kern w:val="0"/>
                <w:sz w:val="24"/>
                <w:szCs w:val="24"/>
              </w:rPr>
              <w:t>1.72%</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-10.32%</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-9.64%</w:t>
            </w:r>
          </w:p>
        </w:tc>
        <w:tc>
          <w:tcPr>
            <w:vAlign w:val="center"/>
          </w:tcPr>
          <w:p>
            <w:pPr>
              <w:jc w:val="center"/>
            </w:pPr>
            <w:r>
              <w:rPr>
                <w:color w:val="000000"/>
                <w:kern w:val="0"/>
                <w:sz w:val="24"/>
                <w:szCs w:val="24"/>
              </w:rPr>
              <w:t>1.73%</w:t>
            </w:r>
          </w:p>
        </w:tc>
        <w:tc>
          <w:tcPr>
            <w:vAlign w:val="center"/>
          </w:tcPr>
          <w:p>
            <w:pPr>
              <w:jc w:val="center"/>
            </w:pPr>
            <w:r>
              <w:rPr>
                <w:color w:val="000000"/>
                <w:kern w:val="0"/>
                <w:sz w:val="24"/>
                <w:szCs w:val="24"/>
              </w:rPr>
              <w:t>-0.68%</w:t>
            </w:r>
          </w:p>
        </w:tc>
        <w:tc>
          <w:tcPr>
            <w:vAlign w:val="center"/>
          </w:tcPr>
          <w:p>
            <w:pPr>
              <w:jc w:val="center"/>
            </w:pPr>
            <w:r>
              <w:rPr>
                <w:color w:val="000000"/>
                <w:kern w:val="0"/>
                <w:sz w:val="24"/>
                <w:szCs w:val="24"/>
              </w:rPr>
              <w:t>-0.06%</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易方达中证军工交易型开放式指数证券投资基金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2017年7月14日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注：自基金合同生效至报告期末,基金份额净值增长率为-10.32%,同期业绩比较基准收益率为-9.64%。 </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军工指数分级证券投资基金的基金经理、易方达沪深300交易型开放式指数发起式证券投资基金的基金经理、易方达中证500交易型开放式指数证券投资基金的基金经理、易方达沪深300交易型开放式指数发起式证券投资基金联接基金的基金经理、易方达中证海外中国互联网50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联接基金的基金经理、易方达黄金交易型开放式证券投资基金联接基金的基金经理、易方达黄金交易型开放式证券投资基金的基金经理、易方达恒生中国企业交易型开放式指数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2017-07-14</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r>
        <w:tc>
          <w:tcPr>
            <w:vAlign w:val="center"/>
          </w:tcPr>
          <w:p>
            <w:pPr>
              <w:jc w:val="center"/>
            </w:pPr>
            <w:r>
              <w:rPr>
                <w:color w:val="000000"/>
                <w:sz w:val="24"/>
              </w:rPr>
              <w:t>张湛</w:t>
            </w:r>
          </w:p>
        </w:tc>
        <w:tc>
          <w:tcPr>
            <w:vAlign w:val="center"/>
          </w:tcPr>
          <w:p>
            <w:pPr>
              <w:jc w:val="left"/>
            </w:pPr>
            <w:r>
              <w:rPr>
                <w:color w:val="000000"/>
                <w:sz w:val="24"/>
              </w:rPr>
              <w:t>本基金的基金经理、易方达中证科技50交易型开放式指数证券投资基金的基金经理、易方达中证全指证券公司交易型开放式指数证券投资基金的基金经理</w:t>
            </w:r>
          </w:p>
        </w:tc>
        <w:tc>
          <w:tcPr>
            <w:vAlign w:val="center"/>
          </w:tcPr>
          <w:p>
            <w:pPr>
              <w:jc w:val="center"/>
            </w:pPr>
            <w:r>
              <w:rPr>
                <w:color w:val="000000"/>
                <w:sz w:val="24"/>
              </w:rPr>
              <w:t>2020-04-30</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硕士研究生，具有基金从业资格。曾任易方达基金管理有限公司投资发展部数量化投资研究员、指数与量化投资部量化研究员、指数及增强投资部投资经理。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中证军工指数上涨11.16%。</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报告期内本基金为正常运作期，在操作中，我们严格遵守基金合同，坚持既定的指数化投资策略，在指数权重调整和基金申赎变动时，应用指数复制和数量化技术降低冲击成本和减少跟踪误差。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截至报告期末，本基金份额净值为0.8968元，本报告期份额净值增长率为10.88%，同期业绩比较基准收益率为11.16%，日跟踪偏离度的均值为0.02%，年化跟踪误差为0.490%，各项指标均在合同规定的目标控制范围之内。</w:t>
      </w:r>
    </w:p>
    <w:p w:rsidP="00D62BEE" w:rsidR="00D62BEE" w:rsidRDefault="00D62BEE" w:rsidRPr="00701A03">
      <w:pPr>
        <w:autoSpaceDE w:val="0"/>
        <w:autoSpaceDN w:val="0"/>
        <w:adjustRightInd w:val="0"/>
        <w:spacing w:line="360" w:lineRule="auto"/>
        <w:jc w:val="left"/>
        <w:rPr>
          <w:rFonts w:ascii="宋体" w:cs="Arial" w:hAnsi="宋体"/>
          <w:b/>
          <w:color w:val="000000"/>
          <w:kern w:val="0"/>
          <w:sz w:val="24"/>
        </w:rPr>
      </w:pPr>
      <w:r w:rsidRPr="00701A03">
        <w:rPr>
          <w:rFonts w:ascii="宋体" w:cs="Arial" w:hAnsi="宋体"/>
          <w:b/>
          <w:color w:val="000000"/>
          <w:kern w:val="0"/>
          <w:sz w:val="24"/>
        </w:rPr>
        <w:t/>
      </w:r>
      <w:proofErr w:type="spellStart"/>
      <w:r w:rsidRPr="00701A03">
        <w:rPr>
          <w:rFonts w:ascii="宋体" w:cs="Arial" w:hAnsi="宋体"/>
          <w:b/>
          <w:color w:val="000000"/>
          <w:kern w:val="0"/>
          <w:sz w:val="24"/>
        </w:rPr>
        <w:t/>
      </w:r>
      <w:proofErr w:type="spellEnd"/>
      <w:r w:rsidRPr="00701A03">
        <w:rPr>
          <w:rFonts w:ascii="宋体" w:cs="Arial" w:hAnsi="宋体"/>
          <w:b/>
          <w:color w:val="000000"/>
          <w:kern w:val="0"/>
          <w:sz w:val="24"/>
        </w:rPr>
        <w:t>4</w:t>
      </w:r>
      <w:r w:rsidRPr="00701A03">
        <w:rPr>
          <w:rFonts w:ascii="宋体" w:cs="Arial" w:hAnsi="宋体" w:hint="eastAsia"/>
          <w:b/>
          <w:color w:val="000000"/>
          <w:kern w:val="0"/>
          <w:sz w:val="24"/>
        </w:rPr>
        <w:t>.</w:t>
      </w:r>
      <w:r w:rsidR="004A4D5B">
        <w:rPr>
          <w:rFonts w:ascii="宋体" w:cs="Arial" w:hAnsi="宋体" w:hint="eastAsia"/>
          <w:b/>
          <w:color w:val="000000"/>
          <w:kern w:val="0"/>
          <w:sz w:val="24"/>
        </w:rPr>
        <w:t/>
      </w:r>
      <w:r w:rsidRPr="00701A03">
        <w:rPr>
          <w:rFonts w:ascii="宋体" w:cs="Arial" w:hAnsi="宋体" w:hint="eastAsia"/>
          <w:b/>
          <w:color w:val="000000"/>
          <w:kern w:val="0"/>
          <w:sz w:val="24"/>
        </w:rPr>
        <w:t>5报告期内基金持有人数或基金资产净值预警说明</w:t>
      </w:r>
    </w:p>
    <w:p>
      <w:pPr>
        <w:spacing w:line="360" w:lineRule="auto"/>
        <w:ind w:firstLine="480" w:firstLineChars="200"/>
        <w:rPr>
          <w:color w:val="000000"/>
          <w:sz w:val="24"/>
          <w:szCs w:val="24"/>
        </w:rPr>
      </w:pPr>
      <w:r>
        <w:rPr>
          <w:color w:val="000000"/>
          <w:sz w:val="24"/>
          <w:szCs w:val="24"/>
        </w:rPr>
        <w:t>本报告期，本基金均存在连续二十个工作日基金资产净值低于五千万元的情形。</w:t>
      </w:r>
    </w:p>
    <w:p w:rsidP="00D62BEE" w:rsidR="00D62BEE" w:rsidRDefault="00D62BEE" w:rsidRPr="006C56AA">
      <w:pPr>
        <w:spacing w:line="360" w:lineRule="auto"/>
        <w:ind w:firstLine="480" w:firstLineChars="200"/>
        <w:rPr>
          <w:color w:val="000000"/>
          <w:sz w:val="24"/>
          <w:szCs w:val="24"/>
        </w:rPr>
      </w:pPr>
      <w:r w:rsidRPr="0006661F">
        <w:rPr>
          <w:color w:val="000000"/>
          <w:sz w:val="24"/>
          <w:szCs w:val="24"/>
        </w:rPr>
        <w:t>本报告期，本基金均存在连续六十个工作日基金资产净值低于五千万元的情形。鉴于基金资产净值的下滑主要受市场环境影响，本基金将继续运作。</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26,072,695.89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98.23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26,072,695.89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98.23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464,905.93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1.75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4,371.66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26,541,973.48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注：上表中的股票投资项含可退替代款估值增值,而5.2的合计项不含可退替代款估值增值。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24,626,977.17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92.89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1,445,718.72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5.45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26,072,695.89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98.34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601989</w:t>
            </w:r>
          </w:p>
        </w:tc>
        <w:tc>
          <w:tcPr>
            <w:vAlign w:val="center"/>
          </w:tcPr>
          <w:p>
            <w:pPr>
              <w:jc w:val="center"/>
            </w:pPr>
            <w:r>
              <w:rPr>
                <w:color w:val="000000"/>
                <w:kern w:val="0"/>
                <w:sz w:val="24"/>
                <w:szCs w:val="24"/>
              </w:rPr>
              <w:t>中国重工</w:t>
            </w:r>
          </w:p>
        </w:tc>
        <w:tc>
          <w:tcPr>
            <w:vAlign w:val="center"/>
          </w:tcPr>
          <w:p>
            <w:pPr>
              <w:jc w:val="right"/>
            </w:pPr>
            <w:r>
              <w:rPr>
                <w:color w:val="000000"/>
                <w:kern w:val="0"/>
                <w:sz w:val="24"/>
                <w:szCs w:val="24"/>
              </w:rPr>
              <w:t>540,700</w:t>
            </w:r>
          </w:p>
        </w:tc>
        <w:tc>
          <w:tcPr>
            <w:vAlign w:val="center"/>
          </w:tcPr>
          <w:p>
            <w:pPr>
              <w:jc w:val="right"/>
            </w:pPr>
            <w:r>
              <w:rPr>
                <w:color w:val="000000"/>
                <w:kern w:val="0"/>
                <w:sz w:val="24"/>
                <w:szCs w:val="24"/>
              </w:rPr>
              <w:t>2,162,800.00</w:t>
            </w:r>
          </w:p>
        </w:tc>
        <w:tc>
          <w:tcPr>
            <w:vAlign w:val="center"/>
          </w:tcPr>
          <w:p>
            <w:pPr>
              <w:jc w:val="right"/>
            </w:pPr>
            <w:r>
              <w:rPr>
                <w:color w:val="000000"/>
                <w:kern w:val="0"/>
                <w:sz w:val="24"/>
                <w:szCs w:val="24"/>
              </w:rPr>
              <w:t>8.16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000768</w:t>
            </w:r>
          </w:p>
        </w:tc>
        <w:tc>
          <w:tcPr>
            <w:vAlign w:val="center"/>
          </w:tcPr>
          <w:p>
            <w:pPr>
              <w:jc w:val="center"/>
            </w:pPr>
            <w:r>
              <w:rPr>
                <w:color w:val="000000"/>
                <w:kern w:val="0"/>
                <w:sz w:val="24"/>
                <w:szCs w:val="24"/>
              </w:rPr>
              <w:t>中航飞机</w:t>
            </w:r>
          </w:p>
        </w:tc>
        <w:tc>
          <w:tcPr>
            <w:vAlign w:val="center"/>
          </w:tcPr>
          <w:p>
            <w:pPr>
              <w:jc w:val="right"/>
            </w:pPr>
            <w:r>
              <w:rPr>
                <w:color w:val="000000"/>
                <w:kern w:val="0"/>
                <w:sz w:val="24"/>
                <w:szCs w:val="24"/>
              </w:rPr>
              <w:t>82,086</w:t>
            </w:r>
          </w:p>
        </w:tc>
        <w:tc>
          <w:tcPr>
            <w:vAlign w:val="center"/>
          </w:tcPr>
          <w:p>
            <w:pPr>
              <w:jc w:val="right"/>
            </w:pPr>
            <w:r>
              <w:rPr>
                <w:color w:val="000000"/>
                <w:kern w:val="0"/>
                <w:sz w:val="24"/>
                <w:szCs w:val="24"/>
              </w:rPr>
              <w:t>1,456,205.64</w:t>
            </w:r>
          </w:p>
        </w:tc>
        <w:tc>
          <w:tcPr>
            <w:vAlign w:val="center"/>
          </w:tcPr>
          <w:p>
            <w:pPr>
              <w:jc w:val="right"/>
            </w:pPr>
            <w:r>
              <w:rPr>
                <w:color w:val="000000"/>
                <w:kern w:val="0"/>
                <w:sz w:val="24"/>
                <w:szCs w:val="24"/>
              </w:rPr>
              <w:t>5.49</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002465</w:t>
            </w:r>
          </w:p>
        </w:tc>
        <w:tc>
          <w:tcPr>
            <w:vAlign w:val="center"/>
          </w:tcPr>
          <w:p>
            <w:pPr>
              <w:jc w:val="center"/>
            </w:pPr>
            <w:r>
              <w:rPr>
                <w:color w:val="000000"/>
                <w:kern w:val="0"/>
                <w:sz w:val="24"/>
                <w:szCs w:val="24"/>
              </w:rPr>
              <w:t>海格通信</w:t>
            </w:r>
          </w:p>
        </w:tc>
        <w:tc>
          <w:tcPr>
            <w:vAlign w:val="center"/>
          </w:tcPr>
          <w:p>
            <w:pPr>
              <w:jc w:val="right"/>
            </w:pPr>
            <w:r>
              <w:rPr>
                <w:color w:val="000000"/>
                <w:kern w:val="0"/>
                <w:sz w:val="24"/>
                <w:szCs w:val="24"/>
              </w:rPr>
              <w:t>109,400</w:t>
            </w:r>
          </w:p>
        </w:tc>
        <w:tc>
          <w:tcPr>
            <w:vAlign w:val="center"/>
          </w:tcPr>
          <w:p>
            <w:pPr>
              <w:jc w:val="right"/>
            </w:pPr>
            <w:r>
              <w:rPr>
                <w:color w:val="000000"/>
                <w:kern w:val="0"/>
                <w:sz w:val="24"/>
                <w:szCs w:val="24"/>
              </w:rPr>
              <w:t>1,415,636.00</w:t>
            </w:r>
          </w:p>
        </w:tc>
        <w:tc>
          <w:tcPr>
            <w:vAlign w:val="center"/>
          </w:tcPr>
          <w:p>
            <w:pPr>
              <w:jc w:val="right"/>
            </w:pPr>
            <w:r>
              <w:rPr>
                <w:color w:val="000000"/>
                <w:kern w:val="0"/>
                <w:sz w:val="24"/>
                <w:szCs w:val="24"/>
              </w:rPr>
              <w:t>5.34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002179</w:t>
            </w:r>
          </w:p>
        </w:tc>
        <w:tc>
          <w:tcPr>
            <w:vAlign w:val="center"/>
          </w:tcPr>
          <w:p>
            <w:pPr>
              <w:jc w:val="center"/>
            </w:pPr>
            <w:r>
              <w:rPr>
                <w:color w:val="000000"/>
                <w:kern w:val="0"/>
                <w:sz w:val="24"/>
                <w:szCs w:val="24"/>
              </w:rPr>
              <w:t>中航光电</w:t>
            </w:r>
          </w:p>
        </w:tc>
        <w:tc>
          <w:tcPr>
            <w:vAlign w:val="center"/>
          </w:tcPr>
          <w:p>
            <w:pPr>
              <w:jc w:val="right"/>
            </w:pPr>
            <w:r>
              <w:rPr>
                <w:color w:val="000000"/>
                <w:kern w:val="0"/>
                <w:sz w:val="24"/>
                <w:szCs w:val="24"/>
              </w:rPr>
              <w:t>32,570</w:t>
            </w:r>
          </w:p>
        </w:tc>
        <w:tc>
          <w:tcPr>
            <w:vAlign w:val="center"/>
          </w:tcPr>
          <w:p>
            <w:pPr>
              <w:jc w:val="right"/>
            </w:pPr>
            <w:r>
              <w:rPr>
                <w:color w:val="000000"/>
                <w:kern w:val="0"/>
                <w:sz w:val="24"/>
                <w:szCs w:val="24"/>
              </w:rPr>
              <w:t>1,335,695.70</w:t>
            </w:r>
          </w:p>
        </w:tc>
        <w:tc>
          <w:tcPr>
            <w:vAlign w:val="center"/>
          </w:tcPr>
          <w:p>
            <w:pPr>
              <w:jc w:val="right"/>
            </w:pPr>
            <w:r>
              <w:rPr>
                <w:color w:val="000000"/>
                <w:kern w:val="0"/>
                <w:sz w:val="24"/>
                <w:szCs w:val="24"/>
              </w:rPr>
              <w:t>5.04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600893</w:t>
            </w:r>
          </w:p>
        </w:tc>
        <w:tc>
          <w:tcPr>
            <w:vAlign w:val="center"/>
          </w:tcPr>
          <w:p>
            <w:pPr>
              <w:jc w:val="center"/>
            </w:pPr>
            <w:r>
              <w:rPr>
                <w:color w:val="000000"/>
                <w:kern w:val="0"/>
                <w:sz w:val="24"/>
                <w:szCs w:val="24"/>
              </w:rPr>
              <w:t>航发动力</w:t>
            </w:r>
          </w:p>
        </w:tc>
        <w:tc>
          <w:tcPr>
            <w:vAlign w:val="center"/>
          </w:tcPr>
          <w:p>
            <w:pPr>
              <w:jc w:val="right"/>
            </w:pPr>
            <w:r>
              <w:rPr>
                <w:color w:val="000000"/>
                <w:kern w:val="0"/>
                <w:sz w:val="24"/>
                <w:szCs w:val="24"/>
              </w:rPr>
              <w:t>53,300</w:t>
            </w:r>
          </w:p>
        </w:tc>
        <w:tc>
          <w:tcPr>
            <w:vAlign w:val="center"/>
          </w:tcPr>
          <w:p>
            <w:pPr>
              <w:jc w:val="right"/>
            </w:pPr>
            <w:r>
              <w:rPr>
                <w:color w:val="000000"/>
                <w:kern w:val="0"/>
                <w:sz w:val="24"/>
                <w:szCs w:val="24"/>
              </w:rPr>
              <w:t>1,251,484.00</w:t>
            </w:r>
          </w:p>
        </w:tc>
        <w:tc>
          <w:tcPr>
            <w:vAlign w:val="center"/>
          </w:tcPr>
          <w:p>
            <w:pPr>
              <w:jc w:val="right"/>
            </w:pPr>
            <w:r>
              <w:rPr>
                <w:color w:val="000000"/>
                <w:kern w:val="0"/>
                <w:sz w:val="24"/>
                <w:szCs w:val="24"/>
              </w:rPr>
              <w:t>4.72</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002414</w:t>
            </w:r>
          </w:p>
        </w:tc>
        <w:tc>
          <w:tcPr>
            <w:vAlign w:val="center"/>
          </w:tcPr>
          <w:p>
            <w:pPr>
              <w:jc w:val="center"/>
            </w:pPr>
            <w:r>
              <w:rPr>
                <w:color w:val="000000"/>
                <w:kern w:val="0"/>
                <w:sz w:val="24"/>
                <w:szCs w:val="24"/>
              </w:rPr>
              <w:t>高德红外</w:t>
            </w:r>
          </w:p>
        </w:tc>
        <w:tc>
          <w:tcPr>
            <w:vAlign w:val="center"/>
          </w:tcPr>
          <w:p>
            <w:pPr>
              <w:jc w:val="right"/>
            </w:pPr>
            <w:r>
              <w:rPr>
                <w:color w:val="000000"/>
                <w:kern w:val="0"/>
                <w:sz w:val="24"/>
                <w:szCs w:val="24"/>
              </w:rPr>
              <w:t>37,775</w:t>
            </w:r>
          </w:p>
        </w:tc>
        <w:tc>
          <w:tcPr>
            <w:vAlign w:val="center"/>
          </w:tcPr>
          <w:p>
            <w:pPr>
              <w:jc w:val="right"/>
            </w:pPr>
            <w:r>
              <w:rPr>
                <w:color w:val="000000"/>
                <w:kern w:val="0"/>
                <w:sz w:val="24"/>
                <w:szCs w:val="24"/>
              </w:rPr>
              <w:t>1,106,052.00</w:t>
            </w:r>
          </w:p>
        </w:tc>
        <w:tc>
          <w:tcPr>
            <w:vAlign w:val="center"/>
          </w:tcPr>
          <w:p>
            <w:pPr>
              <w:jc w:val="right"/>
            </w:pPr>
            <w:r>
              <w:rPr>
                <w:color w:val="000000"/>
                <w:kern w:val="0"/>
                <w:sz w:val="24"/>
                <w:szCs w:val="24"/>
              </w:rPr>
              <w:t>4.17</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600118</w:t>
            </w:r>
          </w:p>
        </w:tc>
        <w:tc>
          <w:tcPr>
            <w:vAlign w:val="center"/>
          </w:tcPr>
          <w:p>
            <w:pPr>
              <w:jc w:val="center"/>
            </w:pPr>
            <w:r>
              <w:rPr>
                <w:color w:val="000000"/>
                <w:kern w:val="0"/>
                <w:sz w:val="24"/>
                <w:szCs w:val="24"/>
              </w:rPr>
              <w:t>中国卫星</w:t>
            </w:r>
          </w:p>
        </w:tc>
        <w:tc>
          <w:tcPr>
            <w:vAlign w:val="center"/>
          </w:tcPr>
          <w:p>
            <w:pPr>
              <w:jc w:val="right"/>
            </w:pPr>
            <w:r>
              <w:rPr>
                <w:color w:val="000000"/>
                <w:kern w:val="0"/>
                <w:sz w:val="24"/>
                <w:szCs w:val="24"/>
              </w:rPr>
              <w:t>35,000</w:t>
            </w:r>
          </w:p>
        </w:tc>
        <w:tc>
          <w:tcPr>
            <w:vAlign w:val="center"/>
          </w:tcPr>
          <w:p>
            <w:pPr>
              <w:jc w:val="right"/>
            </w:pPr>
            <w:r>
              <w:rPr>
                <w:color w:val="000000"/>
                <w:kern w:val="0"/>
                <w:sz w:val="24"/>
                <w:szCs w:val="24"/>
              </w:rPr>
              <w:t>1,079,050.00</w:t>
            </w:r>
          </w:p>
        </w:tc>
        <w:tc>
          <w:tcPr>
            <w:vAlign w:val="center"/>
          </w:tcPr>
          <w:p>
            <w:pPr>
              <w:jc w:val="right"/>
            </w:pPr>
            <w:r>
              <w:rPr>
                <w:color w:val="000000"/>
                <w:kern w:val="0"/>
                <w:sz w:val="24"/>
                <w:szCs w:val="24"/>
              </w:rPr>
              <w:t>4.07</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000547</w:t>
            </w:r>
          </w:p>
        </w:tc>
        <w:tc>
          <w:tcPr>
            <w:vAlign w:val="center"/>
          </w:tcPr>
          <w:p>
            <w:pPr>
              <w:jc w:val="center"/>
            </w:pPr>
            <w:r>
              <w:rPr>
                <w:color w:val="000000"/>
                <w:kern w:val="0"/>
                <w:sz w:val="24"/>
                <w:szCs w:val="24"/>
              </w:rPr>
              <w:t>航天发展</w:t>
            </w:r>
          </w:p>
        </w:tc>
        <w:tc>
          <w:tcPr>
            <w:vAlign w:val="center"/>
          </w:tcPr>
          <w:p>
            <w:pPr>
              <w:jc w:val="right"/>
            </w:pPr>
            <w:r>
              <w:rPr>
                <w:color w:val="000000"/>
                <w:kern w:val="0"/>
                <w:sz w:val="24"/>
                <w:szCs w:val="24"/>
              </w:rPr>
              <w:t>76,200</w:t>
            </w:r>
          </w:p>
        </w:tc>
        <w:tc>
          <w:tcPr>
            <w:vAlign w:val="center"/>
          </w:tcPr>
          <w:p>
            <w:pPr>
              <w:jc w:val="right"/>
            </w:pPr>
            <w:r>
              <w:rPr>
                <w:color w:val="000000"/>
                <w:kern w:val="0"/>
                <w:sz w:val="24"/>
                <w:szCs w:val="24"/>
              </w:rPr>
              <w:t>1,041,654.00</w:t>
            </w:r>
          </w:p>
        </w:tc>
        <w:tc>
          <w:tcPr>
            <w:vAlign w:val="center"/>
          </w:tcPr>
          <w:p>
            <w:pPr>
              <w:jc w:val="right"/>
            </w:pPr>
            <w:r>
              <w:rPr>
                <w:color w:val="000000"/>
                <w:kern w:val="0"/>
                <w:sz w:val="24"/>
                <w:szCs w:val="24"/>
              </w:rPr>
              <w:t>3.93</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300699</w:t>
            </w:r>
          </w:p>
        </w:tc>
        <w:tc>
          <w:tcPr>
            <w:vAlign w:val="center"/>
          </w:tcPr>
          <w:p>
            <w:pPr>
              <w:jc w:val="center"/>
            </w:pPr>
            <w:r>
              <w:rPr>
                <w:color w:val="000000"/>
                <w:kern w:val="0"/>
                <w:sz w:val="24"/>
                <w:szCs w:val="24"/>
              </w:rPr>
              <w:t>光威复材</w:t>
            </w:r>
          </w:p>
        </w:tc>
        <w:tc>
          <w:tcPr>
            <w:vAlign w:val="center"/>
          </w:tcPr>
          <w:p>
            <w:pPr>
              <w:jc w:val="right"/>
            </w:pPr>
            <w:r>
              <w:rPr>
                <w:color w:val="000000"/>
                <w:kern w:val="0"/>
                <w:sz w:val="24"/>
                <w:szCs w:val="24"/>
              </w:rPr>
              <w:t>15,380</w:t>
            </w:r>
          </w:p>
        </w:tc>
        <w:tc>
          <w:tcPr>
            <w:vAlign w:val="center"/>
          </w:tcPr>
          <w:p>
            <w:pPr>
              <w:jc w:val="right"/>
            </w:pPr>
            <w:r>
              <w:rPr>
                <w:color w:val="000000"/>
                <w:kern w:val="0"/>
                <w:sz w:val="24"/>
                <w:szCs w:val="24"/>
              </w:rPr>
              <w:t>964,787.40</w:t>
            </w:r>
          </w:p>
        </w:tc>
        <w:tc>
          <w:tcPr>
            <w:vAlign w:val="center"/>
          </w:tcPr>
          <w:p>
            <w:pPr>
              <w:jc w:val="right"/>
            </w:pPr>
            <w:r>
              <w:rPr>
                <w:color w:val="000000"/>
                <w:kern w:val="0"/>
                <w:sz w:val="24"/>
                <w:szCs w:val="24"/>
              </w:rPr>
              <w:t>3.64</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002013</w:t>
            </w:r>
          </w:p>
        </w:tc>
        <w:tc>
          <w:tcPr>
            <w:vAlign w:val="center"/>
          </w:tcPr>
          <w:p>
            <w:pPr>
              <w:jc w:val="center"/>
            </w:pPr>
            <w:r>
              <w:rPr>
                <w:color w:val="000000"/>
                <w:kern w:val="0"/>
                <w:sz w:val="24"/>
                <w:szCs w:val="24"/>
              </w:rPr>
              <w:t>中航机电</w:t>
            </w:r>
          </w:p>
        </w:tc>
        <w:tc>
          <w:tcPr>
            <w:vAlign w:val="center"/>
          </w:tcPr>
          <w:p>
            <w:pPr>
              <w:jc w:val="right"/>
            </w:pPr>
            <w:r>
              <w:rPr>
                <w:color w:val="000000"/>
                <w:kern w:val="0"/>
                <w:sz w:val="24"/>
                <w:szCs w:val="24"/>
              </w:rPr>
              <w:t>107,000</w:t>
            </w:r>
          </w:p>
        </w:tc>
        <w:tc>
          <w:tcPr>
            <w:vAlign w:val="center"/>
          </w:tcPr>
          <w:p>
            <w:pPr>
              <w:jc w:val="right"/>
            </w:pPr>
            <w:r>
              <w:rPr>
                <w:color w:val="000000"/>
                <w:kern w:val="0"/>
                <w:sz w:val="24"/>
                <w:szCs w:val="24"/>
              </w:rPr>
              <w:t>845,300.00</w:t>
            </w:r>
          </w:p>
        </w:tc>
        <w:tc>
          <w:tcPr>
            <w:vAlign w:val="center"/>
          </w:tcPr>
          <w:p>
            <w:pPr>
              <w:jc w:val="right"/>
            </w:pPr>
            <w:r>
              <w:rPr>
                <w:color w:val="000000"/>
                <w:kern w:val="0"/>
                <w:sz w:val="24"/>
                <w:szCs w:val="24"/>
              </w:rPr>
              <w:t>3.19</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4,295.76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75.90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4,371.66</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18,563,496.00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14,000,000.00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29,563,496.00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1.中国证监会准予易方达中证军工交易型开放式指数证券投资基金注册的文件；</w:t>
      </w:r>
    </w:p>
    <w:p>
      <w:pPr>
        <w:spacing w:line="360" w:lineRule="auto"/>
        <w:ind w:firstLine="480" w:firstLineChars="200"/>
        <w:rPr>
          <w:color w:val="000000"/>
          <w:sz w:val="24"/>
          <w:szCs w:val="24"/>
        </w:rPr>
      </w:pPr>
      <w:r>
        <w:rPr>
          <w:color w:val="000000"/>
          <w:sz w:val="24"/>
          <w:szCs w:val="24"/>
        </w:rPr>
        <w:t>2.《易方达中证军工交易型开放式指数证券投资基金基金合同》；</w:t>
      </w:r>
    </w:p>
    <w:p>
      <w:pPr>
        <w:spacing w:line="360" w:lineRule="auto"/>
        <w:ind w:firstLine="480" w:firstLineChars="200"/>
        <w:rPr>
          <w:color w:val="000000"/>
          <w:sz w:val="24"/>
          <w:szCs w:val="24"/>
        </w:rPr>
      </w:pPr>
      <w:r>
        <w:rPr>
          <w:color w:val="000000"/>
          <w:sz w:val="24"/>
          <w:szCs w:val="24"/>
        </w:rPr>
        <w:t>3.《易方达中证军工交易型开放式指数证券投资基金托管协议》；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易方达中证军工交易型开放式指数证券投资基金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