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易方达MSCI中国A股国际通交易型开放式指数证券投资基金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易方达MSCI中国A股国际通ETF</w:t>
            </w:r>
          </w:p>
        </w:tc>
      </w:tr>
      <w:tr w:rsidR="00815999" w:rsidRPr="00264E55" w:rsidTr="003328D9">
        <w:tc>
          <w:tcPr>
            <w:tcW w:type="dxa" w:w="2835"/>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场内简称</w:t>
            </w:r>
          </w:p>
        </w:tc>
        <w:tc>
          <w:tcPr>
            <w:tcW w:type="dxa" w:w="5479"/>
            <w:gridSpan w:val="2"/>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
            </w:r>
            <w:proofErr w:type="spellStart"/>
            <w:r w:rsidRPr="00232B03">
              <w:rPr>
                <w:kern w:val="0"/>
                <w:sz w:val="24"/>
                <w:szCs w:val="24"/>
              </w:rPr>
              <w:t/>
            </w:r>
            <w:proofErr w:type="spellEnd"/>
            <w:r w:rsidRPr="00232B03">
              <w:rPr>
                <w:kern w:val="0"/>
                <w:sz w:val="24"/>
                <w:szCs w:val="24"/>
              </w:rPr>
              <w:t/>
            </w:r>
            <w:proofErr w:type="spellStart"/>
            <w:r w:rsidRPr="00232B03">
              <w:rPr>
                <w:kern w:val="0"/>
                <w:sz w:val="24"/>
                <w:szCs w:val="24"/>
              </w:rPr>
              <w:t/>
            </w:r>
            <w:proofErr w:type="spellEnd"/>
            <w:r w:rsidRPr="00232B03">
              <w:rPr>
                <w:kern w:val="0"/>
                <w:sz w:val="24"/>
                <w:szCs w:val="24"/>
              </w:rPr>
              <w:t>MSCI易基、MSCIA股ETF易方达</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512090</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512090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交易型开放式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2018年5月17日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331,592,316.00</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紧密跟踪标的指数，追求跟踪偏离度和跟踪误差的最小化。</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可采取包括成份股替代策略在内的其他指数投资技术适当调整基金投资组合，以达到紧密跟踪标的指数的目的。</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xml:space="preserve">MSCI中国A股国际通指数（MSCI China A Inclusion RMB Index）收益率 </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本基金为股票型基金，预期风险与预期收益水平高于混合型基金、债券型基金与货币市场基金。本基金为指数型基金，主要采用完全复制法跟踪标的指数的表现，具有与标的指数相似的风险收益特征。</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19,168,650.78</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63,622,349.66</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0.1919</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423,777,874.50</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1.2780</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17.63%</w:t>
            </w:r>
          </w:p>
        </w:tc>
        <w:tc>
          <w:tcPr>
            <w:vAlign w:val="center"/>
          </w:tcPr>
          <w:p>
            <w:pPr>
              <w:jc w:val="center"/>
            </w:pPr>
            <w:r>
              <w:rPr>
                <w:color w:val="000000"/>
                <w:kern w:val="0"/>
                <w:sz w:val="24"/>
                <w:szCs w:val="24"/>
              </w:rPr>
              <w:t>0.93%</w:t>
            </w:r>
          </w:p>
        </w:tc>
        <w:tc>
          <w:tcPr>
            <w:vAlign w:val="center"/>
          </w:tcPr>
          <w:p>
            <w:pPr>
              <w:jc w:val="center"/>
            </w:pPr>
            <w:r>
              <w:rPr>
                <w:color w:val="000000"/>
                <w:kern w:val="0"/>
                <w:sz w:val="24"/>
                <w:szCs w:val="24"/>
              </w:rPr>
              <w:t>14.49%</w:t>
            </w:r>
          </w:p>
        </w:tc>
        <w:tc>
          <w:tcPr>
            <w:vAlign w:val="center"/>
          </w:tcPr>
          <w:p>
            <w:pPr>
              <w:jc w:val="center"/>
            </w:pPr>
            <w:r>
              <w:rPr>
                <w:color w:val="000000"/>
                <w:kern w:val="0"/>
                <w:sz w:val="24"/>
                <w:szCs w:val="24"/>
              </w:rPr>
              <w:t>0.92%</w:t>
            </w:r>
          </w:p>
        </w:tc>
        <w:tc>
          <w:tcPr>
            <w:vAlign w:val="center"/>
          </w:tcPr>
          <w:p>
            <w:pPr>
              <w:jc w:val="center"/>
            </w:pPr>
            <w:r>
              <w:rPr>
                <w:color w:val="000000"/>
                <w:kern w:val="0"/>
                <w:sz w:val="24"/>
                <w:szCs w:val="24"/>
              </w:rPr>
              <w:t>3.14%</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10.45%</w:t>
            </w:r>
          </w:p>
        </w:tc>
        <w:tc>
          <w:tcPr>
            <w:vAlign w:val="center"/>
          </w:tcPr>
          <w:p>
            <w:pPr>
              <w:jc w:val="center"/>
            </w:pPr>
            <w:r>
              <w:rPr>
                <w:color w:val="000000"/>
                <w:kern w:val="0"/>
                <w:sz w:val="24"/>
                <w:szCs w:val="24"/>
              </w:rPr>
              <w:t>1.53%</w:t>
            </w:r>
          </w:p>
        </w:tc>
        <w:tc>
          <w:tcPr>
            <w:vAlign w:val="center"/>
          </w:tcPr>
          <w:p>
            <w:pPr>
              <w:jc w:val="center"/>
            </w:pPr>
            <w:r>
              <w:rPr>
                <w:color w:val="000000"/>
                <w:kern w:val="0"/>
                <w:sz w:val="24"/>
                <w:szCs w:val="24"/>
              </w:rPr>
              <w:t>5.80%</w:t>
            </w:r>
          </w:p>
        </w:tc>
        <w:tc>
          <w:tcPr>
            <w:vAlign w:val="center"/>
          </w:tcPr>
          <w:p>
            <w:pPr>
              <w:jc w:val="center"/>
            </w:pPr>
            <w:r>
              <w:rPr>
                <w:color w:val="000000"/>
                <w:kern w:val="0"/>
                <w:sz w:val="24"/>
                <w:szCs w:val="24"/>
              </w:rPr>
              <w:t>1.53%</w:t>
            </w:r>
          </w:p>
        </w:tc>
        <w:tc>
          <w:tcPr>
            <w:vAlign w:val="center"/>
          </w:tcPr>
          <w:p>
            <w:pPr>
              <w:jc w:val="center"/>
            </w:pPr>
            <w:r>
              <w:rPr>
                <w:color w:val="000000"/>
                <w:kern w:val="0"/>
                <w:sz w:val="24"/>
                <w:szCs w:val="24"/>
              </w:rPr>
              <w:t>4.65%</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21.40%</w:t>
            </w:r>
          </w:p>
        </w:tc>
        <w:tc>
          <w:tcPr>
            <w:vAlign w:val="center"/>
          </w:tcPr>
          <w:p>
            <w:pPr>
              <w:jc w:val="center"/>
            </w:pPr>
            <w:r>
              <w:rPr>
                <w:color w:val="000000"/>
                <w:kern w:val="0"/>
                <w:sz w:val="24"/>
                <w:szCs w:val="24"/>
              </w:rPr>
              <w:t>1.21%</w:t>
            </w:r>
          </w:p>
        </w:tc>
        <w:tc>
          <w:tcPr>
            <w:vAlign w:val="center"/>
          </w:tcPr>
          <w:p>
            <w:pPr>
              <w:jc w:val="center"/>
            </w:pPr>
            <w:r>
              <w:rPr>
                <w:color w:val="000000"/>
                <w:kern w:val="0"/>
                <w:sz w:val="24"/>
                <w:szCs w:val="24"/>
              </w:rPr>
              <w:t>14.01%</w:t>
            </w:r>
          </w:p>
        </w:tc>
        <w:tc>
          <w:tcPr>
            <w:vAlign w:val="center"/>
          </w:tcPr>
          <w:p>
            <w:pPr>
              <w:jc w:val="center"/>
            </w:pPr>
            <w:r>
              <w:rPr>
                <w:color w:val="000000"/>
                <w:kern w:val="0"/>
                <w:sz w:val="24"/>
                <w:szCs w:val="24"/>
              </w:rPr>
              <w:t>1.22%</w:t>
            </w:r>
          </w:p>
        </w:tc>
        <w:tc>
          <w:tcPr>
            <w:vAlign w:val="center"/>
          </w:tcPr>
          <w:p>
            <w:pPr>
              <w:jc w:val="center"/>
            </w:pPr>
            <w:r>
              <w:rPr>
                <w:color w:val="000000"/>
                <w:kern w:val="0"/>
                <w:sz w:val="24"/>
                <w:szCs w:val="24"/>
              </w:rPr>
              <w:t>7.39%</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27.80%</w:t>
            </w:r>
          </w:p>
        </w:tc>
        <w:tc>
          <w:tcPr>
            <w:vAlign w:val="center"/>
          </w:tcPr>
          <w:p>
            <w:pPr>
              <w:jc w:val="center"/>
            </w:pPr>
            <w:r>
              <w:rPr>
                <w:color w:val="000000"/>
                <w:kern w:val="0"/>
                <w:sz w:val="24"/>
                <w:szCs w:val="24"/>
              </w:rPr>
              <w:t>1.33%</w:t>
            </w:r>
          </w:p>
        </w:tc>
        <w:tc>
          <w:tcPr>
            <w:vAlign w:val="center"/>
          </w:tcPr>
          <w:p>
            <w:pPr>
              <w:jc w:val="center"/>
            </w:pPr>
            <w:r>
              <w:rPr>
                <w:color w:val="000000"/>
                <w:kern w:val="0"/>
                <w:sz w:val="24"/>
                <w:szCs w:val="24"/>
              </w:rPr>
              <w:t>10.83%</w:t>
            </w:r>
          </w:p>
        </w:tc>
        <w:tc>
          <w:tcPr>
            <w:vAlign w:val="center"/>
          </w:tcPr>
          <w:p>
            <w:pPr>
              <w:jc w:val="center"/>
            </w:pPr>
            <w:r>
              <w:rPr>
                <w:color w:val="000000"/>
                <w:kern w:val="0"/>
                <w:sz w:val="24"/>
                <w:szCs w:val="24"/>
              </w:rPr>
              <w:t>1.36%</w:t>
            </w:r>
          </w:p>
        </w:tc>
        <w:tc>
          <w:tcPr>
            <w:vAlign w:val="center"/>
          </w:tcPr>
          <w:p>
            <w:pPr>
              <w:jc w:val="center"/>
            </w:pPr>
            <w:r>
              <w:rPr>
                <w:color w:val="000000"/>
                <w:kern w:val="0"/>
                <w:sz w:val="24"/>
                <w:szCs w:val="24"/>
              </w:rPr>
              <w:t>16.97%</w:t>
            </w:r>
          </w:p>
        </w:tc>
        <w:tc>
          <w:tcPr>
            <w:vAlign w:val="center"/>
          </w:tcPr>
          <w:p>
            <w:pPr>
              <w:jc w:val="center"/>
            </w:pPr>
            <w:r>
              <w:rPr>
                <w:color w:val="000000"/>
                <w:kern w:val="0"/>
                <w:sz w:val="24"/>
                <w:szCs w:val="24"/>
              </w:rPr>
              <w:t>-0.03%</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易方达MSCI中国A股国际通交易型开放式指数证券投资基金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2018年5月17日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注：自基金合同生效至报告期末，基金份额净值增长率为27.80%，同期业绩比较基准收益率为10.83%。 </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FAN BING（范冰）</w:t>
            </w:r>
          </w:p>
        </w:tc>
        <w:tc>
          <w:tcPr>
            <w:vAlign w:val="center"/>
          </w:tcPr>
          <w:p>
            <w:pPr>
              <w:jc w:val="left"/>
            </w:pPr>
            <w:r>
              <w:rPr>
                <w:color w:val="000000"/>
                <w:sz w:val="24"/>
              </w:rPr>
              <w:t>本基金的基金经理、易方达标普生物科技指数证券投资基金（LOF）的基金经理、易方达原油证券投资基金（QDII）的基金经理、易方达标普信息科技指数证券投资基金（LOF）的基金经理、易方达黄金交易型开放式证券投资基金联接基金的基金经理、易方达标普医疗保健指数证券投资基金（LOF）的基金经理、易方达标普500指数证券投资基金（LOF）的基金经理、易方达黄金交易型开放式证券投资基金的基金经理、易方达中证海外中国互联网50交易型开放式指数证券投资基金的基金经理、易方达纳斯达克100指数证券投资基金（LOF）的基金经理、易方达中证海外中国互联网50交易型开放式指数证券投资基金联接基金的基金经理、易方达MSCI中国A股国际通交易型开放式指数证券投资基金发起式联接基金的基金经理、易方达日兴资管日经225交易型开放式指数证券投资基金（QDII）的基金经理、易方达中证香港证券投资主题交易型开放式指数证券投资基金的基金经理</w:t>
            </w:r>
          </w:p>
        </w:tc>
        <w:tc>
          <w:tcPr>
            <w:vAlign w:val="center"/>
          </w:tcPr>
          <w:p>
            <w:pPr>
              <w:jc w:val="center"/>
            </w:pPr>
            <w:r>
              <w:rPr>
                <w:color w:val="000000"/>
                <w:sz w:val="24"/>
              </w:rPr>
              <w:t>2018-05-17</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新加坡籍，硕士研究生，具有基金从业资格。曾任皇家加拿大银行托管部核算专员，美国道富集团中台交易支持专员，巴克莱资产管理公司悉尼金融数据部高级金融数据分析员、悉尼金融数据部主管、新加坡金融数据部主管，贝莱德集团金融数据运营部部门经理、风险控制与咨询部客户经理、亚太股票指数基金部基金经理，易方达基金管理有限公司易方达标普全球高端消费品指数增强型证券投资基金基金经理。</w:t>
            </w:r>
          </w:p>
        </w:tc>
      </w:tr>
      <w:tr>
        <w:tc>
          <w:tcPr>
            <w:vAlign w:val="center"/>
          </w:tcPr>
          <w:p>
            <w:pPr>
              <w:jc w:val="center"/>
            </w:pPr>
            <w:r>
              <w:rPr>
                <w:color w:val="000000"/>
                <w:sz w:val="24"/>
              </w:rPr>
              <w:t>成曦</w:t>
            </w:r>
          </w:p>
        </w:tc>
        <w:tc>
          <w:tcPr>
            <w:vAlign w:val="center"/>
          </w:tcPr>
          <w:p>
            <w:pPr>
              <w:jc w:val="left"/>
            </w:pPr>
            <w:r>
              <w:rPr>
                <w:color w:val="000000"/>
                <w:sz w:val="24"/>
              </w:rPr>
              <w:t>本基金的基金经理、易方达深证100交易型开放式指数基金的基金经理、易方达创业板交易型开放式指数证券投资基金的基金经理、易方达深证100交易型开放式指数证券投资基金联接基金的基金经理、易方达并购重组指数分级证券投资基金的基金经理（自2016年05月07日至2020年04月22日）、易方达生物科技指数分级证券投资基金的基金经理（自2016年05月07日至2020年04月22日）、易方达银行指数分级证券投资基金的基金经理（自2016年05月07日至2020年04月22日）、易方达中小板指数证券投资基金（LOF）的基金经理（自2016年05月07日至2020年04月22日）、易方达创业板交易型开放式指数证券投资基金联接基金的基金经理、易方达原油证券投资基金（QDII）的基金经理、易方达恒生中国企业交易型开放式指数证券投资基金的基金经理、易方达纳斯达克100指数证券投资基金（LOF）的基金经理（自2018年08月11日至2020年04月22日）、易方达恒生中国企业交易型开放式指数证券投资基金联接基金的基金经理、易方达MSCI中国A股国际通交易型开放式指数证券投资基金发起式联接基金的基金经理（自2019年03月13日至2020年04月22日）、易方达上证50交易型开放式指数证券投资基金的基金经理、易方达上证50交易型开放式指数证券投资基金发起式联接基金的基金经理、易方达中证香港证券投资主题交易型开放式指数证券投资基金的基金经理</w:t>
            </w:r>
          </w:p>
        </w:tc>
        <w:tc>
          <w:tcPr>
            <w:vAlign w:val="center"/>
          </w:tcPr>
          <w:p>
            <w:pPr>
              <w:jc w:val="center"/>
            </w:pPr>
            <w:r>
              <w:rPr>
                <w:color w:val="000000"/>
                <w:sz w:val="24"/>
              </w:rPr>
              <w:t>2018-05-17</w:t>
            </w:r>
          </w:p>
        </w:tc>
        <w:tc>
          <w:tcPr>
            <w:vAlign w:val="center"/>
          </w:tcPr>
          <w:p>
            <w:pPr>
              <w:jc w:val="center"/>
            </w:pPr>
            <w:r>
              <w:rPr>
                <w:color w:val="000000"/>
                <w:sz w:val="24"/>
              </w:rPr>
              <w:t>2020-04-23</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回顾2020年二季度，全球经济前景仍然充满不确定性，疫情感染人数继续攀升。全球主要经济体纷纷开启货币及财政政策刺激，提高了市场的风险偏好，MSCI中国A股国际通指数在二季度也一路走高。中国虽然是第一个受到新冠疫情影响的国家，但由于政府采用了多重强力措施来遏制疫情，中国也成为第一个大规模重启经济的大国。国内资本市场改革政策利好不断，在新三板“精选层”首批公开发行落地的同时，创业板注册制也正式进入实操阶段。MSCI今年以来没有继续增加指数中A股的纳入比例，但北向资金在二季度仍然持续流入A股市场。</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作为追踪MSCI中国A股国际通指数的ETF，我们在操作中严格遵守基金合同，坚持既定的指数化投资策略，力求追踪误差最小化。</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截至报告期末，本基金份额净值为1.2780元，本报告期份额净值增长率为17.63%，同期业绩比较基准收益率为14.49%，年化跟踪误差0.934%，在合同规定的目标控制范围之内。</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407,320,249.38</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93.78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407,320,249.38</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93.78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69,000.00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0.02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69,000.00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0.02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11,657,957.84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2.68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15,295,561.10</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3.52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434,342,768.32</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注：上表中的股票投资项含可退替代款估值增值,而5.2的合计项不含可退替代款估值增值。</w:t>
      </w:r>
    </w:p>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6,757,676.00</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1.59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9,652,405.79</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2.28</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212,268,805.55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50.09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9,758,007.26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2.30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8,054,881.20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1.90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6,444,053.74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1.52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10,759,230.50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2.54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463,776.00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0.11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22,997,385.49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5.43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85,891,874.02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20.27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14,787,697.90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3.49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5,778,056.74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3,487,214.00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0.82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336,168.00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579,975.00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0.14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5,179,138.76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1.22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3,597,085.61</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0.85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495,621.60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0.12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407,289,053.16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96.11</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600519</w:t>
            </w:r>
          </w:p>
        </w:tc>
        <w:tc>
          <w:tcPr>
            <w:vAlign w:val="center"/>
          </w:tcPr>
          <w:p>
            <w:pPr>
              <w:jc w:val="center"/>
            </w:pPr>
            <w:r>
              <w:rPr>
                <w:color w:val="000000"/>
                <w:kern w:val="0"/>
                <w:sz w:val="24"/>
                <w:szCs w:val="24"/>
              </w:rPr>
              <w:t>贵州茅台</w:t>
            </w:r>
          </w:p>
        </w:tc>
        <w:tc>
          <w:tcPr>
            <w:vAlign w:val="center"/>
          </w:tcPr>
          <w:p>
            <w:pPr>
              <w:jc w:val="right"/>
            </w:pPr>
            <w:r>
              <w:rPr>
                <w:color w:val="000000"/>
                <w:kern w:val="0"/>
                <w:sz w:val="24"/>
                <w:szCs w:val="24"/>
              </w:rPr>
              <w:t>16,000</w:t>
            </w:r>
          </w:p>
        </w:tc>
        <w:tc>
          <w:tcPr>
            <w:vAlign w:val="center"/>
          </w:tcPr>
          <w:p>
            <w:pPr>
              <w:jc w:val="right"/>
            </w:pPr>
            <w:r>
              <w:rPr>
                <w:color w:val="000000"/>
                <w:kern w:val="0"/>
                <w:sz w:val="24"/>
                <w:szCs w:val="24"/>
              </w:rPr>
              <w:t>23,406,080.00</w:t>
            </w:r>
          </w:p>
        </w:tc>
        <w:tc>
          <w:tcPr>
            <w:vAlign w:val="center"/>
          </w:tcPr>
          <w:p>
            <w:pPr>
              <w:jc w:val="right"/>
            </w:pPr>
            <w:r>
              <w:rPr>
                <w:color w:val="000000"/>
                <w:kern w:val="0"/>
                <w:sz w:val="24"/>
                <w:szCs w:val="24"/>
              </w:rPr>
              <w:t>5.52</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601318</w:t>
            </w:r>
          </w:p>
        </w:tc>
        <w:tc>
          <w:tcPr>
            <w:vAlign w:val="center"/>
          </w:tcPr>
          <w:p>
            <w:pPr>
              <w:jc w:val="center"/>
            </w:pPr>
            <w:r>
              <w:rPr>
                <w:color w:val="000000"/>
                <w:kern w:val="0"/>
                <w:sz w:val="24"/>
                <w:szCs w:val="24"/>
              </w:rPr>
              <w:t>中国平安</w:t>
            </w:r>
          </w:p>
        </w:tc>
        <w:tc>
          <w:tcPr>
            <w:vAlign w:val="center"/>
          </w:tcPr>
          <w:p>
            <w:pPr>
              <w:jc w:val="right"/>
            </w:pPr>
            <w:r>
              <w:rPr>
                <w:color w:val="000000"/>
                <w:kern w:val="0"/>
                <w:sz w:val="24"/>
                <w:szCs w:val="24"/>
              </w:rPr>
              <w:t>132,600</w:t>
            </w:r>
          </w:p>
        </w:tc>
        <w:tc>
          <w:tcPr>
            <w:vAlign w:val="center"/>
          </w:tcPr>
          <w:p>
            <w:pPr>
              <w:jc w:val="right"/>
            </w:pPr>
            <w:r>
              <w:rPr>
                <w:color w:val="000000"/>
                <w:kern w:val="0"/>
                <w:sz w:val="24"/>
                <w:szCs w:val="24"/>
              </w:rPr>
              <w:t>9,467,640.00</w:t>
            </w:r>
          </w:p>
        </w:tc>
        <w:tc>
          <w:tcPr>
            <w:vAlign w:val="center"/>
          </w:tcPr>
          <w:p>
            <w:pPr>
              <w:jc w:val="right"/>
            </w:pPr>
            <w:r>
              <w:rPr>
                <w:color w:val="000000"/>
                <w:kern w:val="0"/>
                <w:sz w:val="24"/>
                <w:szCs w:val="24"/>
              </w:rPr>
              <w:t>2.23</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600036</w:t>
            </w:r>
          </w:p>
        </w:tc>
        <w:tc>
          <w:tcPr>
            <w:vAlign w:val="center"/>
          </w:tcPr>
          <w:p>
            <w:pPr>
              <w:jc w:val="center"/>
            </w:pPr>
            <w:r>
              <w:rPr>
                <w:color w:val="000000"/>
                <w:kern w:val="0"/>
                <w:sz w:val="24"/>
                <w:szCs w:val="24"/>
              </w:rPr>
              <w:t>招商银行</w:t>
            </w:r>
          </w:p>
        </w:tc>
        <w:tc>
          <w:tcPr>
            <w:vAlign w:val="center"/>
          </w:tcPr>
          <w:p>
            <w:pPr>
              <w:jc w:val="right"/>
            </w:pPr>
            <w:r>
              <w:rPr>
                <w:color w:val="000000"/>
                <w:kern w:val="0"/>
                <w:sz w:val="24"/>
                <w:szCs w:val="24"/>
              </w:rPr>
              <w:t>253,087</w:t>
            </w:r>
          </w:p>
        </w:tc>
        <w:tc>
          <w:tcPr>
            <w:vAlign w:val="center"/>
          </w:tcPr>
          <w:p>
            <w:pPr>
              <w:jc w:val="right"/>
            </w:pPr>
            <w:r>
              <w:rPr>
                <w:color w:val="000000"/>
                <w:kern w:val="0"/>
                <w:sz w:val="24"/>
                <w:szCs w:val="24"/>
              </w:rPr>
              <w:t>8,534,093.64</w:t>
            </w:r>
          </w:p>
        </w:tc>
        <w:tc>
          <w:tcPr>
            <w:vAlign w:val="center"/>
          </w:tcPr>
          <w:p>
            <w:pPr>
              <w:jc w:val="right"/>
            </w:pPr>
            <w:r>
              <w:rPr>
                <w:color w:val="000000"/>
                <w:kern w:val="0"/>
                <w:sz w:val="24"/>
                <w:szCs w:val="24"/>
              </w:rPr>
              <w:t>2.01</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000858</w:t>
            </w:r>
          </w:p>
        </w:tc>
        <w:tc>
          <w:tcPr>
            <w:vAlign w:val="center"/>
          </w:tcPr>
          <w:p>
            <w:pPr>
              <w:jc w:val="center"/>
            </w:pPr>
            <w:r>
              <w:rPr>
                <w:color w:val="000000"/>
                <w:kern w:val="0"/>
                <w:sz w:val="24"/>
                <w:szCs w:val="24"/>
              </w:rPr>
              <w:t>五粮液</w:t>
            </w:r>
          </w:p>
        </w:tc>
        <w:tc>
          <w:tcPr>
            <w:vAlign w:val="center"/>
          </w:tcPr>
          <w:p>
            <w:pPr>
              <w:jc w:val="right"/>
            </w:pPr>
            <w:r>
              <w:rPr>
                <w:color w:val="000000"/>
                <w:kern w:val="0"/>
                <w:sz w:val="24"/>
                <w:szCs w:val="24"/>
              </w:rPr>
              <w:t>49,000</w:t>
            </w:r>
          </w:p>
        </w:tc>
        <w:tc>
          <w:tcPr>
            <w:vAlign w:val="center"/>
          </w:tcPr>
          <w:p>
            <w:pPr>
              <w:jc w:val="right"/>
            </w:pPr>
            <w:r>
              <w:rPr>
                <w:color w:val="000000"/>
                <w:kern w:val="0"/>
                <w:sz w:val="24"/>
                <w:szCs w:val="24"/>
              </w:rPr>
              <w:t>8,384,880.00</w:t>
            </w:r>
          </w:p>
        </w:tc>
        <w:tc>
          <w:tcPr>
            <w:vAlign w:val="center"/>
          </w:tcPr>
          <w:p>
            <w:pPr>
              <w:jc w:val="right"/>
            </w:pPr>
            <w:r>
              <w:rPr>
                <w:color w:val="000000"/>
                <w:kern w:val="0"/>
                <w:sz w:val="24"/>
                <w:szCs w:val="24"/>
              </w:rPr>
              <w:t>1.98</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600276</w:t>
            </w:r>
          </w:p>
        </w:tc>
        <w:tc>
          <w:tcPr>
            <w:vAlign w:val="center"/>
          </w:tcPr>
          <w:p>
            <w:pPr>
              <w:jc w:val="center"/>
            </w:pPr>
            <w:r>
              <w:rPr>
                <w:color w:val="000000"/>
                <w:kern w:val="0"/>
                <w:sz w:val="24"/>
                <w:szCs w:val="24"/>
              </w:rPr>
              <w:t>恒瑞医药</w:t>
            </w:r>
          </w:p>
        </w:tc>
        <w:tc>
          <w:tcPr>
            <w:vAlign w:val="center"/>
          </w:tcPr>
          <w:p>
            <w:pPr>
              <w:jc w:val="right"/>
            </w:pPr>
            <w:r>
              <w:rPr>
                <w:color w:val="000000"/>
                <w:kern w:val="0"/>
                <w:sz w:val="24"/>
                <w:szCs w:val="24"/>
              </w:rPr>
              <w:t>65,804</w:t>
            </w:r>
          </w:p>
        </w:tc>
        <w:tc>
          <w:tcPr>
            <w:vAlign w:val="center"/>
          </w:tcPr>
          <w:p>
            <w:pPr>
              <w:jc w:val="right"/>
            </w:pPr>
            <w:r>
              <w:rPr>
                <w:color w:val="000000"/>
                <w:kern w:val="0"/>
                <w:sz w:val="24"/>
                <w:szCs w:val="24"/>
              </w:rPr>
              <w:t>6,073,709.20</w:t>
            </w:r>
          </w:p>
        </w:tc>
        <w:tc>
          <w:tcPr>
            <w:vAlign w:val="center"/>
          </w:tcPr>
          <w:p>
            <w:pPr>
              <w:jc w:val="right"/>
            </w:pPr>
            <w:r>
              <w:rPr>
                <w:color w:val="000000"/>
                <w:kern w:val="0"/>
                <w:sz w:val="24"/>
                <w:szCs w:val="24"/>
              </w:rPr>
              <w:t>1.43</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600900</w:t>
            </w:r>
          </w:p>
        </w:tc>
        <w:tc>
          <w:tcPr>
            <w:vAlign w:val="center"/>
          </w:tcPr>
          <w:p>
            <w:pPr>
              <w:jc w:val="center"/>
            </w:pPr>
            <w:r>
              <w:rPr>
                <w:color w:val="000000"/>
                <w:kern w:val="0"/>
                <w:sz w:val="24"/>
                <w:szCs w:val="24"/>
              </w:rPr>
              <w:t>长江电力</w:t>
            </w:r>
          </w:p>
        </w:tc>
        <w:tc>
          <w:tcPr>
            <w:vAlign w:val="center"/>
          </w:tcPr>
          <w:p>
            <w:pPr>
              <w:jc w:val="right"/>
            </w:pPr>
            <w:r>
              <w:rPr>
                <w:color w:val="000000"/>
                <w:kern w:val="0"/>
                <w:sz w:val="24"/>
                <w:szCs w:val="24"/>
              </w:rPr>
              <w:t>271,321</w:t>
            </w:r>
          </w:p>
        </w:tc>
        <w:tc>
          <w:tcPr>
            <w:vAlign w:val="center"/>
          </w:tcPr>
          <w:p>
            <w:pPr>
              <w:jc w:val="right"/>
            </w:pPr>
            <w:r>
              <w:rPr>
                <w:color w:val="000000"/>
                <w:kern w:val="0"/>
                <w:sz w:val="24"/>
                <w:szCs w:val="24"/>
              </w:rPr>
              <w:t>5,138,819.74</w:t>
            </w:r>
          </w:p>
        </w:tc>
        <w:tc>
          <w:tcPr>
            <w:vAlign w:val="center"/>
          </w:tcPr>
          <w:p>
            <w:pPr>
              <w:jc w:val="right"/>
            </w:pPr>
            <w:r>
              <w:rPr>
                <w:color w:val="000000"/>
                <w:kern w:val="0"/>
                <w:sz w:val="24"/>
                <w:szCs w:val="24"/>
              </w:rPr>
              <w:t>1.21</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300750</w:t>
            </w:r>
          </w:p>
        </w:tc>
        <w:tc>
          <w:tcPr>
            <w:vAlign w:val="center"/>
          </w:tcPr>
          <w:p>
            <w:pPr>
              <w:jc w:val="center"/>
            </w:pPr>
            <w:r>
              <w:rPr>
                <w:color w:val="000000"/>
                <w:kern w:val="0"/>
                <w:sz w:val="24"/>
                <w:szCs w:val="24"/>
              </w:rPr>
              <w:t>宁德时代</w:t>
            </w:r>
          </w:p>
        </w:tc>
        <w:tc>
          <w:tcPr>
            <w:vAlign w:val="center"/>
          </w:tcPr>
          <w:p>
            <w:pPr>
              <w:jc w:val="right"/>
            </w:pPr>
            <w:r>
              <w:rPr>
                <w:color w:val="000000"/>
                <w:kern w:val="0"/>
                <w:sz w:val="24"/>
                <w:szCs w:val="24"/>
              </w:rPr>
              <w:t>28,200</w:t>
            </w:r>
          </w:p>
        </w:tc>
        <w:tc>
          <w:tcPr>
            <w:vAlign w:val="center"/>
          </w:tcPr>
          <w:p>
            <w:pPr>
              <w:jc w:val="right"/>
            </w:pPr>
            <w:r>
              <w:rPr>
                <w:color w:val="000000"/>
                <w:kern w:val="0"/>
                <w:sz w:val="24"/>
                <w:szCs w:val="24"/>
              </w:rPr>
              <w:t>4,916,952.00</w:t>
            </w:r>
          </w:p>
        </w:tc>
        <w:tc>
          <w:tcPr>
            <w:vAlign w:val="center"/>
          </w:tcPr>
          <w:p>
            <w:pPr>
              <w:jc w:val="right"/>
            </w:pPr>
            <w:r>
              <w:rPr>
                <w:color w:val="000000"/>
                <w:kern w:val="0"/>
                <w:sz w:val="24"/>
                <w:szCs w:val="24"/>
              </w:rPr>
              <w:t>1.16</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002475</w:t>
            </w:r>
          </w:p>
        </w:tc>
        <w:tc>
          <w:tcPr>
            <w:vAlign w:val="center"/>
          </w:tcPr>
          <w:p>
            <w:pPr>
              <w:jc w:val="center"/>
            </w:pPr>
            <w:r>
              <w:rPr>
                <w:color w:val="000000"/>
                <w:kern w:val="0"/>
                <w:sz w:val="24"/>
                <w:szCs w:val="24"/>
              </w:rPr>
              <w:t>立讯精密</w:t>
            </w:r>
          </w:p>
        </w:tc>
        <w:tc>
          <w:tcPr>
            <w:vAlign w:val="center"/>
          </w:tcPr>
          <w:p>
            <w:pPr>
              <w:jc w:val="right"/>
            </w:pPr>
            <w:r>
              <w:rPr>
                <w:color w:val="000000"/>
                <w:kern w:val="0"/>
                <w:sz w:val="24"/>
                <w:szCs w:val="24"/>
              </w:rPr>
              <w:t>88,886</w:t>
            </w:r>
          </w:p>
        </w:tc>
        <w:tc>
          <w:tcPr>
            <w:vAlign w:val="center"/>
          </w:tcPr>
          <w:p>
            <w:pPr>
              <w:jc w:val="right"/>
            </w:pPr>
            <w:r>
              <w:rPr>
                <w:color w:val="000000"/>
                <w:kern w:val="0"/>
                <w:sz w:val="24"/>
                <w:szCs w:val="24"/>
              </w:rPr>
              <w:t>4,564,296.10</w:t>
            </w:r>
          </w:p>
        </w:tc>
        <w:tc>
          <w:tcPr>
            <w:vAlign w:val="center"/>
          </w:tcPr>
          <w:p>
            <w:pPr>
              <w:jc w:val="right"/>
            </w:pPr>
            <w:r>
              <w:rPr>
                <w:color w:val="000000"/>
                <w:kern w:val="0"/>
                <w:sz w:val="24"/>
                <w:szCs w:val="24"/>
              </w:rPr>
              <w:t>1.08</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603288</w:t>
            </w:r>
          </w:p>
        </w:tc>
        <w:tc>
          <w:tcPr>
            <w:vAlign w:val="center"/>
          </w:tcPr>
          <w:p>
            <w:pPr>
              <w:jc w:val="center"/>
            </w:pPr>
            <w:r>
              <w:rPr>
                <w:color w:val="000000"/>
                <w:kern w:val="0"/>
                <w:sz w:val="24"/>
                <w:szCs w:val="24"/>
              </w:rPr>
              <w:t>海天味业</w:t>
            </w:r>
          </w:p>
        </w:tc>
        <w:tc>
          <w:tcPr>
            <w:vAlign w:val="center"/>
          </w:tcPr>
          <w:p>
            <w:pPr>
              <w:jc w:val="right"/>
            </w:pPr>
            <w:r>
              <w:rPr>
                <w:color w:val="000000"/>
                <w:kern w:val="0"/>
                <w:sz w:val="24"/>
                <w:szCs w:val="24"/>
              </w:rPr>
              <w:t>33,372</w:t>
            </w:r>
          </w:p>
        </w:tc>
        <w:tc>
          <w:tcPr>
            <w:vAlign w:val="center"/>
          </w:tcPr>
          <w:p>
            <w:pPr>
              <w:jc w:val="right"/>
            </w:pPr>
            <w:r>
              <w:rPr>
                <w:color w:val="000000"/>
                <w:kern w:val="0"/>
                <w:sz w:val="24"/>
                <w:szCs w:val="24"/>
              </w:rPr>
              <w:t>4,151,476.80</w:t>
            </w:r>
          </w:p>
        </w:tc>
        <w:tc>
          <w:tcPr>
            <w:vAlign w:val="center"/>
          </w:tcPr>
          <w:p>
            <w:pPr>
              <w:jc w:val="right"/>
            </w:pPr>
            <w:r>
              <w:rPr>
                <w:color w:val="000000"/>
                <w:kern w:val="0"/>
                <w:sz w:val="24"/>
                <w:szCs w:val="24"/>
              </w:rPr>
              <w:t>0.98</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601166</w:t>
            </w:r>
          </w:p>
        </w:tc>
        <w:tc>
          <w:tcPr>
            <w:vAlign w:val="center"/>
          </w:tcPr>
          <w:p>
            <w:pPr>
              <w:jc w:val="center"/>
            </w:pPr>
            <w:r>
              <w:rPr>
                <w:color w:val="000000"/>
                <w:kern w:val="0"/>
                <w:sz w:val="24"/>
                <w:szCs w:val="24"/>
              </w:rPr>
              <w:t>兴业银行</w:t>
            </w:r>
          </w:p>
        </w:tc>
        <w:tc>
          <w:tcPr>
            <w:vAlign w:val="center"/>
          </w:tcPr>
          <w:p>
            <w:pPr>
              <w:jc w:val="right"/>
            </w:pPr>
            <w:r>
              <w:rPr>
                <w:color w:val="000000"/>
                <w:kern w:val="0"/>
                <w:sz w:val="24"/>
                <w:szCs w:val="24"/>
              </w:rPr>
              <w:t>255,357</w:t>
            </w:r>
          </w:p>
        </w:tc>
        <w:tc>
          <w:tcPr>
            <w:vAlign w:val="center"/>
          </w:tcPr>
          <w:p>
            <w:pPr>
              <w:jc w:val="right"/>
            </w:pPr>
            <w:r>
              <w:rPr>
                <w:color w:val="000000"/>
                <w:kern w:val="0"/>
                <w:sz w:val="24"/>
                <w:szCs w:val="24"/>
              </w:rPr>
              <w:t>4,029,533.46</w:t>
            </w:r>
          </w:p>
        </w:tc>
        <w:tc>
          <w:tcPr>
            <w:vAlign w:val="center"/>
          </w:tcPr>
          <w:p>
            <w:pPr>
              <w:jc w:val="right"/>
            </w:pPr>
            <w:r>
              <w:rPr>
                <w:color w:val="000000"/>
                <w:kern w:val="0"/>
                <w:sz w:val="24"/>
                <w:szCs w:val="24"/>
              </w:rPr>
              <w:t>0.95</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69,000.00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0.02</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69,000.00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0.02</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128112</w:t>
            </w:r>
          </w:p>
        </w:tc>
        <w:tc>
          <w:tcPr>
            <w:vAlign w:val="center"/>
          </w:tcPr>
          <w:p>
            <w:pPr>
              <w:jc w:val="center"/>
            </w:pPr>
            <w:r>
              <w:rPr>
                <w:color w:val="000000"/>
                <w:kern w:val="0"/>
                <w:sz w:val="24"/>
                <w:szCs w:val="24"/>
              </w:rPr>
              <w:t>歌尔转2</w:t>
            </w:r>
          </w:p>
        </w:tc>
        <w:tc>
          <w:tcPr>
            <w:vAlign w:val="center"/>
          </w:tcPr>
          <w:p>
            <w:pPr>
              <w:jc w:val="right"/>
            </w:pPr>
            <w:r>
              <w:rPr>
                <w:color w:val="000000"/>
                <w:kern w:val="0"/>
                <w:sz w:val="24"/>
                <w:szCs w:val="24"/>
              </w:rPr>
              <w:t>502</w:t>
            </w:r>
          </w:p>
        </w:tc>
        <w:tc>
          <w:tcPr>
            <w:vAlign w:val="center"/>
          </w:tcPr>
          <w:p>
            <w:pPr>
              <w:jc w:val="right"/>
            </w:pPr>
            <w:r>
              <w:rPr>
                <w:color w:val="000000"/>
                <w:kern w:val="0"/>
                <w:sz w:val="24"/>
                <w:szCs w:val="24"/>
              </w:rPr>
              <w:t>50,200.00</w:t>
            </w:r>
          </w:p>
        </w:tc>
        <w:tc>
          <w:tcPr>
            <w:vAlign w:val="center"/>
          </w:tcPr>
          <w:p>
            <w:pPr>
              <w:jc w:val="right"/>
            </w:pPr>
            <w:r>
              <w:rPr>
                <w:color w:val="000000"/>
                <w:kern w:val="0"/>
                <w:sz w:val="24"/>
                <w:szCs w:val="24"/>
              </w:rPr>
              <w:t>0.01</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128114</w:t>
            </w:r>
          </w:p>
        </w:tc>
        <w:tc>
          <w:tcPr>
            <w:vAlign w:val="center"/>
          </w:tcPr>
          <w:p>
            <w:pPr>
              <w:jc w:val="center"/>
            </w:pPr>
            <w:r>
              <w:rPr>
                <w:color w:val="000000"/>
                <w:kern w:val="0"/>
                <w:sz w:val="24"/>
                <w:szCs w:val="24"/>
              </w:rPr>
              <w:t>正邦转债</w:t>
            </w:r>
          </w:p>
        </w:tc>
        <w:tc>
          <w:tcPr>
            <w:vAlign w:val="center"/>
          </w:tcPr>
          <w:p>
            <w:pPr>
              <w:jc w:val="right"/>
            </w:pPr>
            <w:r>
              <w:rPr>
                <w:color w:val="000000"/>
                <w:kern w:val="0"/>
                <w:sz w:val="24"/>
                <w:szCs w:val="24"/>
              </w:rPr>
              <w:t>188</w:t>
            </w:r>
          </w:p>
        </w:tc>
        <w:tc>
          <w:tcPr>
            <w:vAlign w:val="center"/>
          </w:tcPr>
          <w:p>
            <w:pPr>
              <w:jc w:val="right"/>
            </w:pPr>
            <w:r>
              <w:rPr>
                <w:color w:val="000000"/>
                <w:kern w:val="0"/>
                <w:sz w:val="24"/>
                <w:szCs w:val="24"/>
              </w:rPr>
              <w:t>18,800.00</w:t>
            </w:r>
          </w:p>
        </w:tc>
        <w:tc>
          <w:tcPr>
            <w:vAlign w:val="center"/>
          </w:tcPr>
          <w:p>
            <w:pPr>
              <w:jc w:val="right"/>
            </w:pPr>
            <w:r>
              <w:rPr>
                <w:color w:val="000000"/>
                <w:kern w:val="0"/>
                <w:sz w:val="24"/>
                <w:szCs w:val="24"/>
              </w:rPr>
              <w:t>0.00</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750D48">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 xml:space="preserve">5.9.1 </w:t>
      </w:r>
      <w:r w:rsidRPr="001B0A62">
        <w:rPr>
          <w:rFonts w:ascii="宋体" w:hAnsi="宋体" w:hint="eastAsia"/>
          <w:b/>
          <w:bCs/>
          <w:color w:val="000000"/>
          <w:kern w:val="0"/>
          <w:sz w:val="24"/>
          <w:szCs w:val="24"/>
        </w:rPr>
        <w:t>报告期末本基金投资的股指期货持仓和损益明</w:t>
      </w:r>
      <w:r w:rsidRPr="001B0A62">
        <w:rPr>
          <w:rFonts w:ascii="宋体" w:hAnsi="宋体" w:hint="eastAsia"/>
          <w:b/>
          <w:bCs/>
          <w:color w:val="000000"/>
          <w:kern w:val="0"/>
          <w:sz w:val="24"/>
          <w:szCs w:val="24"/>
        </w:rPr>
        <w:lastRenderedPageBreak/>
        <w:t>细</w:t>
      </w:r>
      <w:r w:rsidRPr="00D92F47">
        <w:rPr>
          <w:rFonts w:ascii="宋体"/>
          <w:b/>
          <w:bCs/>
          <w:color w:val="000000"/>
          <w:kern w:val="0"/>
          <w:sz w:val="24"/>
          <w:szCs w:val="24"/>
        </w:rPr>
        <w:t/>
      </w:r>
      <w:proofErr w:type="spellStart"/>
      <w:r w:rsidRPr="00D92F47">
        <w:rPr>
          <w:rFonts w:ascii="宋体" w:hAnsi="宋体"/>
          <w:b/>
          <w:bCs/>
          <w:color w:val="000000"/>
          <w:kern w:val="0"/>
          <w:sz w:val="24"/>
          <w:szCs w:val="24"/>
        </w:rPr>
        <w:t/>
      </w:r>
      <w:proofErr w:type="spellEnd"/>
      <w:r w:rsidRPr="00D92F47">
        <w:rPr>
          <w:rFonts w:ascii="宋体" w:hAnsi="宋体"/>
          <w:b/>
          <w:bCs/>
          <w:color w:val="000000"/>
          <w:kern w:val="0"/>
          <w:sz w:val="24"/>
          <w:szCs w:val="24"/>
        </w:rPr>
        <w:t/>
      </w:r>
    </w:p>
    <w:tbl>
      <w:tblPr>
        <w:tblW w:type="dxa" w:w="8843"/>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1133"/>
        <w:gridCol w:w="1302"/>
        <w:gridCol w:w="993"/>
        <w:gridCol w:w="1700"/>
        <w:gridCol w:w="1641"/>
        <w:gridCol w:w="2074"/>
      </w:tblGrid>
      <w:tr w:rsidR="00277FAE" w:rsidTr="003B5535">
        <w:trPr>
          <w:trHeight w:val="105"/>
          <w:jc w:val="center"/>
        </w:trPr>
        <w:tc>
          <w:tcPr>
            <w:tcW w:type="dxa" w:w="1134"/>
            <w:hideMark/>
          </w:tcPr>
          <w:p w:rsidR="00277FAE" w:rsidRDefault="00277FAE">
            <w:pPr>
              <w:pStyle w:val="Default"/>
              <w:rPr>
                <w:rFonts w:ascii="Times New Roman" w:cs="Times New Roman" w:hAnsi="Times New Roman"/>
              </w:rPr>
            </w:pPr>
            <w:r>
              <w:rPr>
                <w:rFonts w:ascii="Times New Roman" w:cs="Times New Roman" w:hAnsi="Times New Roman" w:hint="eastAsia"/>
              </w:rPr>
              <w:t>代码</w:t>
            </w:r>
            <w:r>
              <w:rPr>
                <w:rFonts w:ascii="Times New Roman" w:cs="Times New Roman" w:hAnsi="Times New Roman"/>
                <w:b/>
              </w:rPr>
              <w:t/>
            </w:r>
            <w:proofErr w:type="spellStart"/>
            <w:r>
              <w:rPr>
                <w:rFonts w:ascii="Times New Roman" w:cs="Times New Roman" w:hAnsi="Times New Roman"/>
                <w:b/>
              </w:rPr>
              <w:t/>
            </w:r>
            <w:proofErr w:type="spellEnd"/>
            <w:r>
              <w:rPr>
                <w:rFonts w:ascii="Times New Roman" w:cs="Times New Roman" w:hAnsi="Times New Roman"/>
              </w:rPr>
              <w:t/>
            </w:r>
            <w:r>
              <w:rPr>
                <w:rFonts w:ascii="Times New Roman" w:cs="Times New Roman" w:eastAsiaTheme="minorEastAsia" w:hAnsi="Times New Roman"/>
                <w:b/>
              </w:rPr>
              <w:t/>
            </w:r>
            <w:proofErr w:type="spellStart"/>
            <w:r>
              <w:rPr>
                <w:rFonts w:ascii="Times New Roman" w:cs="Times New Roman" w:eastAsiaTheme="minorEastAsia" w:hAnsi="Times New Roman"/>
                <w:b/>
              </w:rPr>
              <w:t/>
            </w:r>
            <w:proofErr w:type="spellEnd"/>
            <w:r>
              <w:rPr>
                <w:rFonts w:ascii="Times New Roman" w:cs="Times New Roman" w:eastAsiaTheme="minorEastAsia" w:hAnsi="Times New Roman"/>
                <w:b/>
              </w:rPr>
              <w:t/>
            </w:r>
          </w:p>
        </w:tc>
        <w:tc>
          <w:tcPr>
            <w:tcW w:type="dxa" w:w="1303"/>
            <w:hideMark/>
          </w:tcPr>
          <w:p w:rsidR="00277FAE" w:rsidRDefault="00277FAE">
            <w:pPr>
              <w:pStyle w:val="Default"/>
              <w:rPr>
                <w:rFonts w:ascii="Times New Roman" w:cs="Times New Roman" w:hAnsi="Times New Roman"/>
              </w:rPr>
            </w:pPr>
            <w:r>
              <w:rPr>
                <w:rFonts w:ascii="Times New Roman" w:cs="Times New Roman" w:hAnsi="Times New Roman" w:hint="eastAsia"/>
              </w:rPr>
              <w:t>名称</w:t>
            </w:r>
          </w:p>
        </w:tc>
        <w:tc>
          <w:tcPr>
            <w:tcW w:type="dxa" w:w="993"/>
            <w:hideMark/>
          </w:tcPr>
          <w:p w:rsidR="00277FAE" w:rsidRDefault="00277FAE">
            <w:pPr>
              <w:pStyle w:val="Default"/>
              <w:rPr>
                <w:rFonts w:ascii="Times New Roman" w:cs="Times New Roman" w:hAnsi="Times New Roman"/>
              </w:rPr>
            </w:pPr>
            <w:r>
              <w:rPr>
                <w:rFonts w:ascii="Times New Roman" w:cs="Times New Roman" w:hAnsi="Times New Roman" w:hint="eastAsia"/>
              </w:rPr>
              <w:t>持仓量</w:t>
            </w:r>
          </w:p>
        </w:tc>
        <w:tc>
          <w:tcPr>
            <w:tcW w:type="dxa" w:w="1700"/>
            <w:hideMark/>
          </w:tcPr>
          <w:p w:rsidR="00277FAE" w:rsidRDefault="00277FAE">
            <w:pPr>
              <w:pStyle w:val="Default"/>
              <w:rPr>
                <w:rFonts w:ascii="Times New Roman" w:cs="Times New Roman" w:hAnsi="Times New Roman"/>
              </w:rPr>
            </w:pPr>
            <w:r>
              <w:rPr>
                <w:rFonts w:ascii="Times New Roman" w:cs="Times New Roman" w:hAnsi="Times New Roman" w:hint="eastAsia"/>
              </w:rPr>
              <w:t>合约市值（元）</w:t>
            </w:r>
          </w:p>
        </w:tc>
        <w:tc>
          <w:tcPr>
            <w:tcW w:type="dxa" w:w="1641"/>
            <w:hideMark/>
          </w:tcPr>
          <w:p w:rsidR="00277FAE" w:rsidRDefault="00277FAE">
            <w:pPr>
              <w:pStyle w:val="Default"/>
              <w:rPr>
                <w:rFonts w:ascii="Times New Roman" w:cs="Times New Roman" w:hAnsi="Times New Roman"/>
              </w:rPr>
            </w:pPr>
            <w:r>
              <w:rPr>
                <w:rFonts w:ascii="Times New Roman" w:cs="Times New Roman" w:hAnsi="Times New Roman" w:hint="eastAsia"/>
              </w:rPr>
              <w:t>公允价值变动（元）</w:t>
            </w:r>
          </w:p>
        </w:tc>
        <w:tc>
          <w:tcPr>
            <w:tcW w:type="dxa" w:w="2074"/>
            <w:hideMark/>
          </w:tcPr>
          <w:p w:rsidR="00277FAE" w:rsidRDefault="00277FAE">
            <w:pPr>
              <w:pStyle w:val="Default"/>
              <w:jc w:val="center"/>
              <w:rPr>
                <w:rFonts w:ascii="Times New Roman" w:cs="Times New Roman" w:hAnsi="Times New Roman"/>
                <w:color w:val="auto"/>
              </w:rPr>
            </w:pPr>
            <w:r>
              <w:rPr>
                <w:rFonts w:ascii="Times New Roman" w:cs="Times New Roman" w:hAnsi="Times New Roman" w:hint="eastAsia"/>
                <w:color w:val="auto"/>
              </w:rPr>
              <w:t>风险说明</w:t>
            </w:r>
          </w:p>
        </w:tc>
      </w:tr>
      <w:tr>
        <w:tc>
          <w:tcPr>
            <w:vAlign w:val="center"/>
          </w:tcPr>
          <w:p>
            <w:pPr>
              <w:jc w:val="center"/>
            </w:pPr>
            <w:r>
              <w:rPr>
                <w:rFonts w:ascii="Times New Roman" w:cs="Times New Roman" w:hAnsi="Times New Roman"/>
              </w:rPr>
              <w:t>IC2009</w:t>
            </w:r>
          </w:p>
        </w:tc>
        <w:tc>
          <w:tcPr>
            <w:vAlign w:val="center"/>
          </w:tcPr>
          <w:p>
            <w:pPr>
              <w:jc w:val="left"/>
            </w:pPr>
            <w:r>
              <w:rPr>
                <w:rFonts w:ascii="Times New Roman" w:cs="Times New Roman" w:hAnsi="Times New Roman"/>
              </w:rPr>
              <w:t>IC2009</w:t>
            </w:r>
          </w:p>
        </w:tc>
        <w:tc>
          <w:tcPr>
            <w:vAlign w:val="center"/>
          </w:tcPr>
          <w:p>
            <w:pPr>
              <w:jc w:val="right"/>
            </w:pPr>
            <w:r>
              <w:rPr>
                <w:rFonts w:ascii="Times New Roman" w:cs="Times New Roman" w:hAnsi="Times New Roman"/>
              </w:rPr>
              <w:t>1</w:t>
            </w:r>
          </w:p>
        </w:tc>
        <w:tc>
          <w:tcPr>
            <w:vAlign w:val="center"/>
          </w:tcPr>
          <w:p>
            <w:pPr>
              <w:jc w:val="right"/>
            </w:pPr>
            <w:r>
              <w:rPr>
                <w:rFonts w:ascii="Times New Roman" w:cs="Times New Roman" w:hAnsi="Times New Roman"/>
              </w:rPr>
              <w:t>1,132,880.00</w:t>
            </w:r>
          </w:p>
        </w:tc>
        <w:tc>
          <w:tcPr>
            <w:vAlign w:val="center"/>
          </w:tcPr>
          <w:p>
            <w:pPr>
              <w:jc w:val="right"/>
            </w:pPr>
            <w:r>
              <w:rPr>
                <w:rFonts w:ascii="Times New Roman" w:cs="Times New Roman" w:hAnsi="Times New Roman"/>
              </w:rPr>
              <w:t>69,280.00</w:t>
            </w:r>
          </w:p>
        </w:tc>
        <w:tc>
          <w:tcPr>
            <w:vAlign w:val="center"/>
          </w:tcPr>
          <w:p>
            <w:pPr>
              <w:jc w:val="left"/>
            </w:pPr>
            <w:r>
              <w:rPr>
                <w:rFonts w:ascii="Times New Roman" w:cs="Times New Roman" w:hAnsi="Times New Roman"/>
              </w:rPr>
              <w:t>买入股指期货多头合约的目的是进行更有效的流动性管理，降低现金拖累，减少交易成本，以更好地跟踪标的指数，实现投资目标。</w:t>
            </w:r>
          </w:p>
        </w:tc>
      </w:tr>
      <w:tr>
        <w:tc>
          <w:tcPr>
            <w:vAlign w:val="center"/>
          </w:tcPr>
          <w:p>
            <w:pPr>
              <w:jc w:val="center"/>
            </w:pPr>
            <w:r>
              <w:rPr>
                <w:rFonts w:ascii="Times New Roman" w:cs="Times New Roman" w:hAnsi="Times New Roman"/>
              </w:rPr>
              <w:t>IF2009</w:t>
            </w:r>
          </w:p>
        </w:tc>
        <w:tc>
          <w:tcPr>
            <w:vAlign w:val="center"/>
          </w:tcPr>
          <w:p>
            <w:pPr>
              <w:jc w:val="left"/>
            </w:pPr>
            <w:r>
              <w:rPr>
                <w:rFonts w:ascii="Times New Roman" w:cs="Times New Roman" w:hAnsi="Times New Roman"/>
              </w:rPr>
              <w:t>IF2009</w:t>
            </w:r>
          </w:p>
        </w:tc>
        <w:tc>
          <w:tcPr>
            <w:vAlign w:val="center"/>
          </w:tcPr>
          <w:p>
            <w:pPr>
              <w:jc w:val="right"/>
            </w:pPr>
            <w:r>
              <w:rPr>
                <w:rFonts w:ascii="Times New Roman" w:cs="Times New Roman" w:hAnsi="Times New Roman"/>
              </w:rPr>
              <w:t>4</w:t>
            </w:r>
          </w:p>
        </w:tc>
        <w:tc>
          <w:tcPr>
            <w:vAlign w:val="center"/>
          </w:tcPr>
          <w:p>
            <w:pPr>
              <w:jc w:val="right"/>
            </w:pPr>
            <w:r>
              <w:rPr>
                <w:rFonts w:ascii="Times New Roman" w:cs="Times New Roman" w:hAnsi="Times New Roman"/>
              </w:rPr>
              <w:t>4,881,120.00</w:t>
            </w:r>
          </w:p>
        </w:tc>
        <w:tc>
          <w:tcPr>
            <w:vAlign w:val="center"/>
          </w:tcPr>
          <w:p>
            <w:pPr>
              <w:jc w:val="right"/>
            </w:pPr>
            <w:r>
              <w:rPr>
                <w:rFonts w:ascii="Times New Roman" w:cs="Times New Roman" w:hAnsi="Times New Roman"/>
              </w:rPr>
              <w:t>236,325.00</w:t>
            </w:r>
          </w:p>
        </w:tc>
        <w:tc>
          <w:tcPr>
            <w:vAlign w:val="center"/>
          </w:tcPr>
          <w:p>
            <w:pPr>
              <w:jc w:val="left"/>
            </w:pPr>
            <w:r>
              <w:rPr>
                <w:rFonts w:ascii="Times New Roman" w:cs="Times New Roman" w:hAnsi="Times New Roman"/>
              </w:rPr>
              <w:t>买入股指期货多头合约的目的是进行更有效的流动性管理，降低现金拖累，减少交易成本，以更好地跟踪标的指数，实现投资目标。</w:t>
            </w:r>
          </w:p>
        </w:tc>
      </w:tr>
      <w:tr w:rsidR="00277FAE" w:rsidTr="003B5535">
        <w:trPr>
          <w:trHeight w:val="105"/>
          <w:jc w:val="center"/>
        </w:trPr>
        <w:tc>
          <w:tcPr>
            <w:tcW w:type="dxa" w:w="6771"/>
            <w:gridSpan w:val="5"/>
            <w:hideMark/>
          </w:tcPr>
          <w:p w:rsidR="00277FAE" w:rsidRDefault="00277FAE">
            <w:pPr>
              <w:pStyle w:val="Default"/>
              <w:rPr>
                <w:rFonts w:ascii="Times New Roman" w:cs="Times New Roman" w:hAnsi="Times New Roman"/>
              </w:rPr>
            </w:pPr>
            <w:r>
              <w:rPr>
                <w:rFonts w:ascii="Times New Roman" w:cs="Times New Roman" w:hAnsi="Times New Roman" w:hint="eastAsia"/>
              </w:rPr>
              <w:t>公允价值变动总额合计</w:t>
            </w:r>
            <w:r>
              <w:rPr>
                <w:rFonts w:ascii="Times New Roman" w:cs="Times New Roman" w:hAnsi="Times New Roman"/>
              </w:rPr>
              <w:t>(</w:t>
            </w:r>
            <w:r>
              <w:rPr>
                <w:rFonts w:ascii="Times New Roman" w:cs="Times New Roman" w:hAnsi="Times New Roman" w:hint="eastAsia"/>
              </w:rPr>
              <w:t>元</w:t>
            </w:r>
            <w:r>
              <w:rPr>
                <w:rFonts w:ascii="Times New Roman" w:cs="Times New Roman" w:hAnsi="Times New Roman"/>
              </w:rPr>
              <w:t>)</w:t>
            </w:r>
          </w:p>
        </w:tc>
        <w:tc>
          <w:tcPr>
            <w:tcW w:type="dxa" w:w="2074"/>
            <w:hideMark/>
          </w:tcPr>
          <w:p w:rsidR="00277FAE" w:rsidRDefault="00277FAE">
            <w:pPr>
              <w:pStyle w:val="Default"/>
              <w:jc w:val="right"/>
              <w:rPr>
                <w:rFonts w:ascii="Times New Roman" w:cs="Times New Roman" w:hAnsi="Times New Roman"/>
                <w:color w:val="auto"/>
              </w:rPr>
            </w:pPr>
            <w:r>
              <w:rPr>
                <w:rFonts w:ascii="Times New Roman" w:cs="Times New Roman" w:hAnsi="Times New Roman"/>
                <w:color w:val="auto"/>
              </w:rPr>
              <w:t/>
            </w:r>
            <w:proofErr w:type="spellStart"/>
            <w:r>
              <w:rPr>
                <w:rFonts w:ascii="Times New Roman" w:cs="Times New Roman" w:hAnsi="Times New Roman"/>
                <w:color w:val="auto"/>
              </w:rPr>
              <w:t/>
            </w:r>
            <w:proofErr w:type="spellEnd"/>
            <w:r>
              <w:rPr>
                <w:rFonts w:ascii="Times New Roman" w:cs="Times New Roman" w:hAnsi="Times New Roman"/>
                <w:color w:val="auto"/>
              </w:rPr>
              <w:t>305,605.00</w:t>
            </w:r>
          </w:p>
        </w:tc>
      </w:tr>
      <w:tr w:rsidR="00277FAE" w:rsidTr="003B5535">
        <w:trPr>
          <w:trHeight w:val="105"/>
          <w:jc w:val="center"/>
        </w:trPr>
        <w:tc>
          <w:tcPr>
            <w:tcW w:type="dxa" w:w="6771"/>
            <w:gridSpan w:val="5"/>
            <w:hideMark/>
          </w:tcPr>
          <w:p w:rsidR="00277FAE" w:rsidRDefault="00277FAE">
            <w:pPr>
              <w:pStyle w:val="Default"/>
              <w:rPr>
                <w:rFonts w:ascii="Times New Roman" w:cs="Times New Roman" w:hAnsi="Times New Roman"/>
                <w:color w:val="auto"/>
              </w:rPr>
            </w:pPr>
            <w:r>
              <w:rPr>
                <w:rFonts w:ascii="Times New Roman" w:cs="Times New Roman" w:hAnsi="Times New Roman" w:hint="eastAsia"/>
                <w:color w:val="auto"/>
              </w:rPr>
              <w:t>股指期货投资本期收益</w:t>
            </w:r>
            <w:r>
              <w:rPr>
                <w:rFonts w:ascii="Times New Roman" w:cs="Times New Roman" w:hAnsi="Times New Roman"/>
              </w:rPr>
              <w:t>(</w:t>
            </w:r>
            <w:r>
              <w:rPr>
                <w:rFonts w:ascii="Times New Roman" w:cs="Times New Roman" w:hAnsi="Times New Roman" w:hint="eastAsia"/>
              </w:rPr>
              <w:t>元</w:t>
            </w:r>
            <w:r>
              <w:rPr>
                <w:rFonts w:ascii="Times New Roman" w:cs="Times New Roman" w:hAnsi="Times New Roman"/>
              </w:rPr>
              <w:t>)</w:t>
            </w:r>
          </w:p>
        </w:tc>
        <w:tc>
          <w:tcPr>
            <w:tcW w:type="dxa" w:w="2074"/>
            <w:hideMark/>
          </w:tcPr>
          <w:p w:rsidR="00277FAE" w:rsidRDefault="00277FAE">
            <w:pPr>
              <w:pStyle w:val="Default"/>
              <w:jc w:val="right"/>
              <w:rPr>
                <w:rFonts w:ascii="Times New Roman" w:cs="Times New Roman" w:hAnsi="Times New Roman"/>
                <w:color w:val="auto"/>
              </w:rPr>
            </w:pPr>
            <w:r>
              <w:rPr>
                <w:rFonts w:ascii="Times New Roman" w:cs="Times New Roman" w:hAnsi="Times New Roman"/>
                <w:color w:val="auto"/>
              </w:rPr>
              <w:t/>
            </w:r>
            <w:proofErr w:type="spellStart"/>
            <w:r>
              <w:rPr>
                <w:rFonts w:ascii="Times New Roman" w:cs="Times New Roman" w:hAnsi="Times New Roman"/>
                <w:color w:val="auto"/>
              </w:rPr>
              <w:t/>
            </w:r>
            <w:proofErr w:type="spellEnd"/>
            <w:r>
              <w:rPr>
                <w:rFonts w:ascii="Times New Roman" w:cs="Times New Roman" w:hAnsi="Times New Roman"/>
                <w:color w:val="auto"/>
              </w:rPr>
              <w:t>219,895.00</w:t>
            </w:r>
          </w:p>
        </w:tc>
      </w:tr>
      <w:tr w:rsidR="00277FAE" w:rsidTr="003B5535">
        <w:trPr>
          <w:trHeight w:val="105"/>
          <w:jc w:val="center"/>
        </w:trPr>
        <w:tc>
          <w:tcPr>
            <w:tcW w:type="dxa" w:w="6771"/>
            <w:gridSpan w:val="5"/>
            <w:hideMark/>
          </w:tcPr>
          <w:p w:rsidR="00277FAE" w:rsidRDefault="00277FAE">
            <w:pPr>
              <w:pStyle w:val="Default"/>
              <w:rPr>
                <w:rFonts w:ascii="Times New Roman" w:cs="Times New Roman" w:hAnsi="Times New Roman"/>
                <w:color w:val="auto"/>
              </w:rPr>
            </w:pPr>
            <w:r>
              <w:rPr>
                <w:rFonts w:ascii="Times New Roman" w:cs="Times New Roman" w:hAnsi="Times New Roman" w:hint="eastAsia"/>
                <w:color w:val="auto"/>
              </w:rPr>
              <w:t>股指期货投资本期公允价值变动</w:t>
            </w:r>
            <w:r>
              <w:rPr>
                <w:rFonts w:ascii="Times New Roman" w:cs="Times New Roman" w:hAnsi="Times New Roman"/>
              </w:rPr>
              <w:t>(</w:t>
            </w:r>
            <w:r>
              <w:rPr>
                <w:rFonts w:ascii="Times New Roman" w:cs="Times New Roman" w:hAnsi="Times New Roman" w:hint="eastAsia"/>
              </w:rPr>
              <w:t>元</w:t>
            </w:r>
            <w:r>
              <w:rPr>
                <w:rFonts w:ascii="Times New Roman" w:cs="Times New Roman" w:hAnsi="Times New Roman"/>
              </w:rPr>
              <w:t>)</w:t>
            </w:r>
          </w:p>
        </w:tc>
        <w:tc>
          <w:tcPr>
            <w:tcW w:type="dxa" w:w="2074"/>
            <w:hideMark/>
          </w:tcPr>
          <w:p w:rsidR="00277FAE" w:rsidRDefault="00277FAE">
            <w:pPr>
              <w:pStyle w:val="Default"/>
              <w:jc w:val="right"/>
              <w:rPr>
                <w:rFonts w:ascii="Times New Roman" w:cs="Times New Roman" w:hAnsi="Times New Roman"/>
                <w:color w:val="auto"/>
              </w:rPr>
            </w:pPr>
            <w:r>
              <w:rPr>
                <w:rFonts w:ascii="Times New Roman" w:cs="Times New Roman" w:hAnsi="Times New Roman"/>
                <w:color w:val="auto"/>
              </w:rPr>
              <w:t>305,605.00</w:t>
            </w:r>
          </w:p>
        </w:tc>
      </w:tr>
    </w:tbl>
    <w:p w:rsidP="00277FAE"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 xml:space="preserve">5.9.2 </w:t>
      </w:r>
      <w:r w:rsidRPr="001B0A62">
        <w:rPr>
          <w:rFonts w:ascii="宋体" w:hAnsi="宋体" w:hint="eastAsia"/>
          <w:b/>
          <w:bCs/>
          <w:color w:val="000000"/>
          <w:kern w:val="0"/>
          <w:sz w:val="24"/>
          <w:szCs w:val="24"/>
        </w:rPr>
        <w:t>本基金投资股指期货的投资政策</w:t>
      </w:r>
      <w:r w:rsidRPr="00D92F47">
        <w:rPr>
          <w:rFonts w:ascii="宋体"/>
          <w:b/>
          <w:bCs/>
          <w:color w:val="000000"/>
          <w:kern w:val="0"/>
          <w:sz w:val="24"/>
          <w:szCs w:val="24"/>
        </w:rPr>
        <w:t/>
      </w:r>
      <w:proofErr w:type="spellStart"/>
      <w:r w:rsidRPr="00D92F47">
        <w:rPr>
          <w:rFonts w:ascii="宋体" w:hAnsi="宋体"/>
          <w:b/>
          <w:bCs/>
          <w:color w:val="000000"/>
          <w:kern w:val="0"/>
          <w:sz w:val="24"/>
          <w:szCs w:val="24"/>
        </w:rPr>
        <w:t/>
      </w:r>
      <w:proofErr w:type="spellEnd"/>
      <w:r w:rsidRPr="00D92F47">
        <w:rPr>
          <w:rFonts w:ascii="宋体" w:hAnsi="宋体"/>
          <w:b/>
          <w:bCs/>
          <w:color w:val="000000"/>
          <w:kern w:val="0"/>
          <w:sz w:val="24"/>
          <w:szCs w:val="24"/>
        </w:rPr>
        <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可投资股指期货和其他经中国证监会允许的衍生金融产品。本基金将根据风险管理的原则，以套期保值为目的，按照相关法律法规的有关规定，主要选择流动性好、交易活跃的股指期货合约来进行投资。为更有效地进行流动性管理，本基金在出现需要及时调整组合市场暴露情况时，通过股指期货套保交易满足基金的投资替代需求和风险管理需求。本基金力争利用股指期货的杠杆作用，降低股票仓位频繁调整的交易成本和跟踪误差，达到有效跟踪标的指数的目的。本报告期内，本基金投资股指期货符合既定的投资政策和投资目的。</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7月8日，中国银行保险监督管理委员会上海监管局针对兴业银行股份有限公司信用卡中心的如下违法违规行为作出责令改正、并处罚款40万元的行政处罚决定：1、2016年1月至2018年1月在为部分客户办理信用卡业务时未遵守总授信额度管理制度；2、2016年至2018年8月对部分信用卡申请人资信水平调查严重不尽职的违法违规行为。</w:t>
      </w:r>
    </w:p>
    <w:p>
      <w:pPr>
        <w:spacing w:line="360" w:lineRule="auto"/>
        <w:rPr>
          <w:rFonts w:ascii="宋体" w:hAnsi="宋体"/>
          <w:color w:val="000000"/>
          <w:sz w:val="24"/>
          <w:szCs w:val="24"/>
        </w:rPr>
      </w:pPr>
      <w:r>
        <w:rPr>
          <w:rFonts w:ascii="宋体" w:hAnsi="宋体"/>
          <w:color w:val="000000"/>
          <w:sz w:val="24"/>
          <w:szCs w:val="24"/>
        </w:rPr>
        <w:t>2019年7月8日，中国银行保险监督管理委员会上海监管局针对招商银行股份有限公司信用卡中心在为部分客户办理信用卡业务时未遵守总授信额度管理制度的行为，对招商银行股份有限公司处以责令改正，并处罚款20万元。</w:t>
      </w:r>
    </w:p>
    <w:p>
      <w:pPr>
        <w:spacing w:line="360" w:lineRule="auto"/>
        <w:rPr>
          <w:rFonts w:ascii="宋体" w:hAnsi="宋体"/>
          <w:color w:val="000000"/>
          <w:sz w:val="24"/>
          <w:szCs w:val="24"/>
        </w:rPr>
      </w:pPr>
      <w:r>
        <w:rPr>
          <w:rFonts w:ascii="宋体" w:hAnsi="宋体"/>
          <w:color w:val="000000"/>
          <w:sz w:val="24"/>
          <w:szCs w:val="24"/>
        </w:rPr>
        <w:t>本基金为指数型基金，上述股票系标的指数成份股，上述股票的投资决策程序符合公司投资制度的规定。除兴业银行、招商银行外，本基金投资的其他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857,265.48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14,436,876.27</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1,419.35</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15,295,561.10</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343,592,316.00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156,000,000.00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168,000,000.00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331,592,316.00</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8</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8.1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sz w:val="24"/>
                <w:szCs w:val="24"/>
              </w:rPr>
              <w:t/>
            </w:r>
            <w:r>
              <w:rPr>
                <w:sz w:val="24"/>
                <w:szCs w:val="24"/>
              </w:rPr>
              <w:t>中国银行股份有限公司－易方达MSCI中国A股国际通交易型开放式指数证券投资基金发起式联接基金</w:t>
            </w:r>
          </w:p>
        </w:tc>
        <w:tc>
          <w:tcPr>
            <w:vAlign w:val="center"/>
          </w:tcPr>
          <w:p>
            <w:pPr>
              <w:jc w:val="center"/>
            </w:pPr>
            <w:r>
              <w:rPr>
                <w:sz w:val="24"/>
                <w:szCs w:val="24"/>
              </w:rPr>
              <w:t>1</w:t>
            </w:r>
          </w:p>
        </w:tc>
        <w:tc>
          <w:tcPr>
            <w:vAlign w:val="center"/>
          </w:tcPr>
          <w:p>
            <w:pPr>
              <w:jc w:val="center"/>
            </w:pPr>
            <w:r>
              <w:rPr>
                <w:sz w:val="24"/>
                <w:szCs w:val="24"/>
              </w:rPr>
              <w:t>2020年04月01日~2020年06月29日</w:t>
            </w:r>
          </w:p>
        </w:tc>
        <w:tc>
          <w:tcPr>
            <w:vAlign w:val="center"/>
          </w:tcPr>
          <w:p>
            <w:pPr>
              <w:jc w:val="center"/>
            </w:pPr>
            <w:r>
              <w:rPr>
                <w:sz w:val="24"/>
                <w:szCs w:val="24"/>
              </w:rPr>
              <w:t>74,369,260.00</w:t>
            </w:r>
          </w:p>
        </w:tc>
        <w:tc>
          <w:tcPr>
            <w:vAlign w:val="center"/>
          </w:tcPr>
          <w:p>
            <w:pPr>
              <w:jc w:val="center"/>
            </w:pPr>
            <w:r>
              <w:rPr>
                <w:sz w:val="24"/>
                <w:szCs w:val="24"/>
              </w:rPr>
              <w:t>370,000.00</w:t>
            </w:r>
          </w:p>
        </w:tc>
        <w:tc>
          <w:tcPr>
            <w:vAlign w:val="center"/>
          </w:tcPr>
          <w:p>
            <w:pPr>
              <w:jc w:val="center"/>
            </w:pPr>
            <w:r>
              <w:rPr>
                <w:sz w:val="24"/>
                <w:szCs w:val="24"/>
              </w:rPr>
              <w:t>9,980,000.00</w:t>
            </w:r>
          </w:p>
        </w:tc>
        <w:tc>
          <w:tcPr>
            <w:vAlign w:val="center"/>
          </w:tcPr>
          <w:p>
            <w:pPr>
              <w:jc w:val="center"/>
            </w:pPr>
            <w:r>
              <w:rPr>
                <w:sz w:val="24"/>
                <w:szCs w:val="24"/>
              </w:rPr>
              <w:t>64,759,260.00</w:t>
            </w:r>
          </w:p>
        </w:tc>
        <w:tc>
          <w:tcPr>
            <w:vAlign w:val="center"/>
          </w:tcPr>
          <w:p>
            <w:pPr>
              <w:jc w:val="center"/>
            </w:pPr>
            <w:r>
              <w:rPr>
                <w:sz w:val="24"/>
                <w:szCs w:val="24"/>
              </w:rPr>
              <w:t>19.53%</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1F5F5D" w:rsidR="001F5F5D" w:rsidRDefault="001F5F5D" w:rsidRPr="00FC0759">
      <w:pPr>
        <w:autoSpaceDE w:val="0"/>
        <w:autoSpaceDN w:val="0"/>
        <w:adjustRightInd w:val="0"/>
        <w:spacing w:line="360" w:lineRule="auto"/>
        <w:ind w:firstLine="480" w:firstLineChars="200"/>
        <w:jc w:val="left"/>
        <w:rPr>
          <w:rFonts w:eastAsiaTheme="minorEastAsia"/>
          <w:bCs/>
          <w:color w:themeColor="text1" w:val="000000"/>
          <w:kern w:val="0"/>
          <w:sz w:val="24"/>
          <w:szCs w:val="24"/>
        </w:rPr>
      </w:pPr>
      <w:r w:rsidRPr="00FC0759">
        <w:rPr>
          <w:bCs/>
          <w:color w:themeColor="text1" w:val="000000"/>
          <w:kern w:val="0"/>
          <w:sz w:val="24"/>
          <w:szCs w:val="24"/>
        </w:rPr>
        <w:t>注：申购份额包括申购或者买入基金份额，赎回份额包括赎回或者卖出基金份额。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9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1.中国证监会准予易方达MSCI中国A股国际通交易型开放式指数证券投资基金注册的文件；</w:t>
      </w:r>
    </w:p>
    <w:p>
      <w:pPr>
        <w:spacing w:line="360" w:lineRule="auto"/>
        <w:ind w:firstLine="480" w:firstLineChars="200"/>
        <w:rPr>
          <w:color w:val="000000"/>
          <w:sz w:val="24"/>
          <w:szCs w:val="24"/>
        </w:rPr>
      </w:pPr>
      <w:r>
        <w:rPr>
          <w:color w:val="000000"/>
          <w:sz w:val="24"/>
          <w:szCs w:val="24"/>
        </w:rPr>
        <w:t>2.《易方达MSCI中国A股国际通交易型开放式指数证券投资基金基金合同》；</w:t>
      </w:r>
    </w:p>
    <w:p>
      <w:pPr>
        <w:spacing w:line="360" w:lineRule="auto"/>
        <w:ind w:firstLine="480" w:firstLineChars="200"/>
        <w:rPr>
          <w:color w:val="000000"/>
          <w:sz w:val="24"/>
          <w:szCs w:val="24"/>
        </w:rPr>
      </w:pPr>
      <w:r>
        <w:rPr>
          <w:color w:val="000000"/>
          <w:sz w:val="24"/>
          <w:szCs w:val="24"/>
        </w:rPr>
        <w:t>3.《易方达MSCI中国A股国际通交易型开放式指数证券投资基金托管协议》；</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4.基金管理人业务资格批件和营业执照。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易方达MSCI中国A股国际通交易型开放式指数证券投资基金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