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易方达沪深300非银行金融交易型开放式指数证券投资基金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易方达沪深300非银ETF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非银ETF、非银行金融ETF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512070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512070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2014年6月26日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1,025,506,448.00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沪深300非银行金融指数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13,562,454.38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169,796,532.91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0.1889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2,212,517,302.29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2.1575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9.29%</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7.78%</w:t>
            </w:r>
          </w:p>
        </w:tc>
        <w:tc>
          <w:tcPr>
            <w:vAlign w:val="center"/>
          </w:tcPr>
          <w:p>
            <w:pPr>
              <w:jc w:val="center"/>
            </w:pPr>
            <w:r>
              <w:rPr>
                <w:color w:val="000000"/>
                <w:kern w:val="0"/>
                <w:sz w:val="24"/>
                <w:szCs w:val="24"/>
              </w:rPr>
              <w:t>1.17%</w:t>
            </w:r>
          </w:p>
        </w:tc>
        <w:tc>
          <w:tcPr>
            <w:vAlign w:val="center"/>
          </w:tcPr>
          <w:p>
            <w:pPr>
              <w:jc w:val="center"/>
            </w:pPr>
            <w:r>
              <w:rPr>
                <w:color w:val="000000"/>
                <w:kern w:val="0"/>
                <w:sz w:val="24"/>
                <w:szCs w:val="24"/>
              </w:rPr>
              <w:t>1.51%</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-7.56%</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-9.46%</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1.90%</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-6.18%</w:t>
            </w:r>
          </w:p>
        </w:tc>
        <w:tc>
          <w:tcPr>
            <w:vAlign w:val="center"/>
          </w:tcPr>
          <w:p>
            <w:pPr>
              <w:jc w:val="center"/>
            </w:pPr>
            <w:r>
              <w:rPr>
                <w:color w:val="000000"/>
                <w:kern w:val="0"/>
                <w:sz w:val="24"/>
                <w:szCs w:val="24"/>
              </w:rPr>
              <w:t>1.50%</w:t>
            </w:r>
          </w:p>
        </w:tc>
        <w:tc>
          <w:tcPr>
            <w:vAlign w:val="center"/>
          </w:tcPr>
          <w:p>
            <w:pPr>
              <w:jc w:val="center"/>
            </w:pPr>
            <w:r>
              <w:rPr>
                <w:color w:val="000000"/>
                <w:kern w:val="0"/>
                <w:sz w:val="24"/>
                <w:szCs w:val="24"/>
              </w:rPr>
              <w:t>-9.11%</w:t>
            </w:r>
          </w:p>
        </w:tc>
        <w:tc>
          <w:tcPr>
            <w:vAlign w:val="center"/>
          </w:tcPr>
          <w:p>
            <w:pPr>
              <w:jc w:val="center"/>
            </w:pPr>
            <w:r>
              <w:rPr>
                <w:color w:val="000000"/>
                <w:kern w:val="0"/>
                <w:sz w:val="24"/>
                <w:szCs w:val="24"/>
              </w:rPr>
              <w:t>1.51%</w:t>
            </w:r>
          </w:p>
        </w:tc>
        <w:tc>
          <w:tcPr>
            <w:vAlign w:val="center"/>
          </w:tcPr>
          <w:p>
            <w:pPr>
              <w:jc w:val="center"/>
            </w:pPr>
            <w:r>
              <w:rPr>
                <w:color w:val="000000"/>
                <w:kern w:val="0"/>
                <w:sz w:val="24"/>
                <w:szCs w:val="24"/>
              </w:rPr>
              <w:t>2.93%</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17.25%</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8.96%</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8.29%</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-5.65%</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-16.56%</w:t>
            </w:r>
          </w:p>
        </w:tc>
        <w:tc>
          <w:tcPr>
            <w:vAlign w:val="center"/>
          </w:tcPr>
          <w:p>
            <w:pPr>
              <w:jc w:val="center"/>
            </w:pPr>
            <w:r>
              <w:rPr>
                <w:color w:val="000000"/>
                <w:kern w:val="0"/>
                <w:sz w:val="24"/>
                <w:szCs w:val="24"/>
              </w:rPr>
              <w:t>1.89%</w:t>
            </w:r>
          </w:p>
        </w:tc>
        <w:tc>
          <w:tcPr>
            <w:vAlign w:val="center"/>
          </w:tcPr>
          <w:p>
            <w:pPr>
              <w:jc w:val="center"/>
            </w:pPr>
            <w:r>
              <w:rPr>
                <w:color w:val="000000"/>
                <w:kern w:val="0"/>
                <w:sz w:val="24"/>
                <w:szCs w:val="24"/>
              </w:rPr>
              <w:t>10.91%</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115.75%</w:t>
            </w:r>
          </w:p>
        </w:tc>
        <w:tc>
          <w:tcPr>
            <w:vAlign w:val="center"/>
          </w:tcPr>
          <w:p>
            <w:pPr>
              <w:jc w:val="center"/>
            </w:pPr>
            <w:r>
              <w:rPr>
                <w:color w:val="000000"/>
                <w:kern w:val="0"/>
                <w:sz w:val="24"/>
                <w:szCs w:val="24"/>
              </w:rPr>
              <w:t>2.05%</w:t>
            </w:r>
          </w:p>
        </w:tc>
        <w:tc>
          <w:tcPr>
            <w:vAlign w:val="center"/>
          </w:tcPr>
          <w:p>
            <w:pPr>
              <w:jc w:val="center"/>
            </w:pPr>
            <w:r>
              <w:rPr>
                <w:color w:val="000000"/>
                <w:kern w:val="0"/>
                <w:sz w:val="24"/>
                <w:szCs w:val="24"/>
              </w:rPr>
              <w:t>99.94%</w:t>
            </w:r>
          </w:p>
        </w:tc>
        <w:tc>
          <w:tcPr>
            <w:vAlign w:val="center"/>
          </w:tcPr>
          <w:p>
            <w:pPr>
              <w:jc w:val="center"/>
            </w:pPr>
            <w:r>
              <w:rPr>
                <w:color w:val="000000"/>
                <w:kern w:val="0"/>
                <w:sz w:val="24"/>
                <w:szCs w:val="24"/>
              </w:rPr>
              <w:t>2.07%</w:t>
            </w:r>
          </w:p>
        </w:tc>
        <w:tc>
          <w:tcPr>
            <w:vAlign w:val="center"/>
          </w:tcPr>
          <w:p>
            <w:pPr>
              <w:jc w:val="center"/>
            </w:pPr>
            <w:r>
              <w:rPr>
                <w:color w:val="000000"/>
                <w:kern w:val="0"/>
                <w:sz w:val="24"/>
                <w:szCs w:val="24"/>
              </w:rPr>
              <w:t>15.81%</w:t>
            </w:r>
          </w:p>
        </w:tc>
        <w:tc>
          <w:tcPr>
            <w:vAlign w:val="center"/>
          </w:tcPr>
          <w:p>
            <w:pPr>
              <w:jc w:val="center"/>
            </w:pPr>
            <w:r>
              <w:rPr>
                <w:color w:val="000000"/>
                <w:kern w:val="0"/>
                <w:sz w:val="24"/>
                <w:szCs w:val="24"/>
              </w:rPr>
              <w:t>-0.02%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易方达沪深300非银行金融交易型开放式指数证券投资基金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2014年6月26日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注：自基金合同生效至报告期末，基金份额净值增长率为115.75%，同期业绩比较基准收益率为99.94%。</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中证500交易型开放式指数证券投资基金的基金经理、易方达沪深300交易型开放式指数发起式证券投资基金联接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联接基金的基金经理、易方达恒生中国企业交易型开放式指数证券投资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2014-06-26</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沪深300非银行金融指数上涨7.78%。</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截至报告期末，本基金份额净值为2.1575元，本报告期份额净值增长率为9.29%，同期业绩比较基准收益率为7.78%，日跟踪偏离度的均值为0.03%，年化跟踪误差为1.446%，各项指标均在合同规定的目标控制范围之内。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2,205,219,622.46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2,205,219,622.46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8,652,381.78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0.39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3,840,879.35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0.17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2,217,712,883.59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7,100,898.78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112,595,637.47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5.09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2,079,514,909.07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93.99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402,083.70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2,205,219,622.46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99.67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10,248,504</w:t>
            </w:r>
          </w:p>
        </w:tc>
        <w:tc>
          <w:tcPr>
            <w:vAlign w:val="center"/>
          </w:tcPr>
          <w:p>
            <w:pPr>
              <w:jc w:val="right"/>
            </w:pPr>
            <w:r>
              <w:rPr>
                <w:color w:val="000000"/>
                <w:kern w:val="0"/>
                <w:sz w:val="24"/>
                <w:szCs w:val="24"/>
              </w:rPr>
              <w:t>731,743,185.60</w:t>
            </w:r>
          </w:p>
        </w:tc>
        <w:tc>
          <w:tcPr>
            <w:vAlign w:val="center"/>
          </w:tcPr>
          <w:p>
            <w:pPr>
              <w:jc w:val="right"/>
            </w:pPr>
            <w:r>
              <w:rPr>
                <w:color w:val="000000"/>
                <w:kern w:val="0"/>
                <w:sz w:val="24"/>
                <w:szCs w:val="24"/>
              </w:rPr>
              <w:t>33.07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600030</w:t>
            </w:r>
          </w:p>
        </w:tc>
        <w:tc>
          <w:tcPr>
            <w:vAlign w:val="center"/>
          </w:tcPr>
          <w:p>
            <w:pPr>
              <w:jc w:val="center"/>
            </w:pPr>
            <w:r>
              <w:rPr>
                <w:color w:val="000000"/>
                <w:kern w:val="0"/>
                <w:sz w:val="24"/>
                <w:szCs w:val="24"/>
              </w:rPr>
              <w:t>中信证券</w:t>
            </w:r>
          </w:p>
        </w:tc>
        <w:tc>
          <w:tcPr>
            <w:vAlign w:val="center"/>
          </w:tcPr>
          <w:p>
            <w:pPr>
              <w:jc w:val="right"/>
            </w:pPr>
            <w:r>
              <w:rPr>
                <w:color w:val="000000"/>
                <w:kern w:val="0"/>
                <w:sz w:val="24"/>
                <w:szCs w:val="24"/>
              </w:rPr>
              <w:t>8,059,327</w:t>
            </w:r>
          </w:p>
        </w:tc>
        <w:tc>
          <w:tcPr>
            <w:vAlign w:val="center"/>
          </w:tcPr>
          <w:p>
            <w:pPr>
              <w:jc w:val="right"/>
            </w:pPr>
            <w:r>
              <w:rPr>
                <w:color w:val="000000"/>
                <w:kern w:val="0"/>
                <w:sz w:val="24"/>
                <w:szCs w:val="24"/>
              </w:rPr>
              <w:t>194,310,373.97</w:t>
            </w:r>
          </w:p>
        </w:tc>
        <w:tc>
          <w:tcPr>
            <w:vAlign w:val="center"/>
          </w:tcPr>
          <w:p>
            <w:pPr>
              <w:jc w:val="right"/>
            </w:pPr>
            <w:r>
              <w:rPr>
                <w:color w:val="000000"/>
                <w:kern w:val="0"/>
                <w:sz w:val="24"/>
                <w:szCs w:val="24"/>
              </w:rPr>
              <w:t>8.78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300059</w:t>
            </w:r>
          </w:p>
        </w:tc>
        <w:tc>
          <w:tcPr>
            <w:vAlign w:val="center"/>
          </w:tcPr>
          <w:p>
            <w:pPr>
              <w:jc w:val="center"/>
            </w:pPr>
            <w:r>
              <w:rPr>
                <w:color w:val="000000"/>
                <w:kern w:val="0"/>
                <w:sz w:val="24"/>
                <w:szCs w:val="24"/>
              </w:rPr>
              <w:t>东方财富</w:t>
            </w:r>
          </w:p>
        </w:tc>
        <w:tc>
          <w:tcPr>
            <w:vAlign w:val="center"/>
          </w:tcPr>
          <w:p>
            <w:pPr>
              <w:jc w:val="right"/>
            </w:pPr>
            <w:r>
              <w:rPr>
                <w:color w:val="000000"/>
                <w:kern w:val="0"/>
                <w:sz w:val="24"/>
                <w:szCs w:val="24"/>
              </w:rPr>
              <w:t>6,099,302</w:t>
            </w:r>
          </w:p>
        </w:tc>
        <w:tc>
          <w:tcPr>
            <w:vAlign w:val="center"/>
          </w:tcPr>
          <w:p>
            <w:pPr>
              <w:jc w:val="right"/>
            </w:pPr>
            <w:r>
              <w:rPr>
                <w:color w:val="000000"/>
                <w:kern w:val="0"/>
                <w:sz w:val="24"/>
                <w:szCs w:val="24"/>
              </w:rPr>
              <w:t>123,205,900.40</w:t>
            </w:r>
          </w:p>
        </w:tc>
        <w:tc>
          <w:tcPr>
            <w:vAlign w:val="center"/>
          </w:tcPr>
          <w:p>
            <w:pPr>
              <w:jc w:val="right"/>
            </w:pPr>
            <w:r>
              <w:rPr>
                <w:color w:val="000000"/>
                <w:kern w:val="0"/>
                <w:sz w:val="24"/>
                <w:szCs w:val="24"/>
              </w:rPr>
              <w:t>5.57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601688</w:t>
            </w:r>
          </w:p>
        </w:tc>
        <w:tc>
          <w:tcPr>
            <w:vAlign w:val="center"/>
          </w:tcPr>
          <w:p>
            <w:pPr>
              <w:jc w:val="center"/>
            </w:pPr>
            <w:r>
              <w:rPr>
                <w:color w:val="000000"/>
                <w:kern w:val="0"/>
                <w:sz w:val="24"/>
                <w:szCs w:val="24"/>
              </w:rPr>
              <w:t>华泰证券</w:t>
            </w:r>
          </w:p>
        </w:tc>
        <w:tc>
          <w:tcPr>
            <w:vAlign w:val="center"/>
          </w:tcPr>
          <w:p>
            <w:pPr>
              <w:jc w:val="right"/>
            </w:pPr>
            <w:r>
              <w:rPr>
                <w:color w:val="000000"/>
                <w:kern w:val="0"/>
                <w:sz w:val="24"/>
                <w:szCs w:val="24"/>
              </w:rPr>
              <w:t>5,568,703</w:t>
            </w:r>
          </w:p>
        </w:tc>
        <w:tc>
          <w:tcPr>
            <w:vAlign w:val="center"/>
          </w:tcPr>
          <w:p>
            <w:pPr>
              <w:jc w:val="right"/>
            </w:pPr>
            <w:r>
              <w:rPr>
                <w:color w:val="000000"/>
                <w:kern w:val="0"/>
                <w:sz w:val="24"/>
                <w:szCs w:val="24"/>
              </w:rPr>
              <w:t>104,691,616.40</w:t>
            </w:r>
          </w:p>
        </w:tc>
        <w:tc>
          <w:tcPr>
            <w:vAlign w:val="center"/>
          </w:tcPr>
          <w:p>
            <w:pPr>
              <w:jc w:val="right"/>
            </w:pPr>
            <w:r>
              <w:rPr>
                <w:color w:val="000000"/>
                <w:kern w:val="0"/>
                <w:sz w:val="24"/>
                <w:szCs w:val="24"/>
              </w:rPr>
              <w:t>4.73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600837</w:t>
            </w:r>
          </w:p>
        </w:tc>
        <w:tc>
          <w:tcPr>
            <w:vAlign w:val="center"/>
          </w:tcPr>
          <w:p>
            <w:pPr>
              <w:jc w:val="center"/>
            </w:pPr>
            <w:r>
              <w:rPr>
                <w:color w:val="000000"/>
                <w:kern w:val="0"/>
                <w:sz w:val="24"/>
                <w:szCs w:val="24"/>
              </w:rPr>
              <w:t>海通证券</w:t>
            </w:r>
          </w:p>
        </w:tc>
        <w:tc>
          <w:tcPr>
            <w:vAlign w:val="center"/>
          </w:tcPr>
          <w:p>
            <w:pPr>
              <w:jc w:val="right"/>
            </w:pPr>
            <w:r>
              <w:rPr>
                <w:color w:val="000000"/>
                <w:kern w:val="0"/>
                <w:sz w:val="24"/>
                <w:szCs w:val="24"/>
              </w:rPr>
              <w:t>7,655,652</w:t>
            </w:r>
          </w:p>
        </w:tc>
        <w:tc>
          <w:tcPr>
            <w:vAlign w:val="center"/>
          </w:tcPr>
          <w:p>
            <w:pPr>
              <w:jc w:val="right"/>
            </w:pPr>
            <w:r>
              <w:rPr>
                <w:color w:val="000000"/>
                <w:kern w:val="0"/>
                <w:sz w:val="24"/>
                <w:szCs w:val="24"/>
              </w:rPr>
              <w:t>96,308,102.16</w:t>
            </w:r>
          </w:p>
        </w:tc>
        <w:tc>
          <w:tcPr>
            <w:vAlign w:val="center"/>
          </w:tcPr>
          <w:p>
            <w:pPr>
              <w:jc w:val="right"/>
            </w:pPr>
            <w:r>
              <w:rPr>
                <w:color w:val="000000"/>
                <w:kern w:val="0"/>
                <w:sz w:val="24"/>
                <w:szCs w:val="24"/>
              </w:rPr>
              <w:t>4.35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790,339</w:t>
            </w:r>
          </w:p>
        </w:tc>
        <w:tc>
          <w:tcPr>
            <w:vAlign w:val="center"/>
          </w:tcPr>
          <w:p>
            <w:pPr>
              <w:jc w:val="right"/>
            </w:pPr>
            <w:r>
              <w:rPr>
                <w:color w:val="000000"/>
                <w:kern w:val="0"/>
                <w:sz w:val="24"/>
                <w:szCs w:val="24"/>
              </w:rPr>
              <w:t>85,119,510.30</w:t>
            </w:r>
          </w:p>
        </w:tc>
        <w:tc>
          <w:tcPr>
            <w:vAlign w:val="center"/>
          </w:tcPr>
          <w:p>
            <w:pPr>
              <w:jc w:val="right"/>
            </w:pPr>
            <w:r>
              <w:rPr>
                <w:color w:val="000000"/>
                <w:kern w:val="0"/>
                <w:sz w:val="24"/>
                <w:szCs w:val="24"/>
              </w:rPr>
              <w:t>3.85</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601211</w:t>
            </w:r>
          </w:p>
        </w:tc>
        <w:tc>
          <w:tcPr>
            <w:vAlign w:val="center"/>
          </w:tcPr>
          <w:p>
            <w:pPr>
              <w:jc w:val="center"/>
            </w:pPr>
            <w:r>
              <w:rPr>
                <w:color w:val="000000"/>
                <w:kern w:val="0"/>
                <w:sz w:val="24"/>
                <w:szCs w:val="24"/>
              </w:rPr>
              <w:t>国泰君安</w:t>
            </w:r>
          </w:p>
        </w:tc>
        <w:tc>
          <w:tcPr>
            <w:vAlign w:val="center"/>
          </w:tcPr>
          <w:p>
            <w:pPr>
              <w:jc w:val="right"/>
            </w:pPr>
            <w:r>
              <w:rPr>
                <w:color w:val="000000"/>
                <w:kern w:val="0"/>
                <w:sz w:val="24"/>
                <w:szCs w:val="24"/>
              </w:rPr>
              <w:t>4,266,510</w:t>
            </w:r>
          </w:p>
        </w:tc>
        <w:tc>
          <w:tcPr>
            <w:vAlign w:val="center"/>
          </w:tcPr>
          <w:p>
            <w:pPr>
              <w:jc w:val="right"/>
            </w:pPr>
            <w:r>
              <w:rPr>
                <w:color w:val="000000"/>
                <w:kern w:val="0"/>
                <w:sz w:val="24"/>
                <w:szCs w:val="24"/>
              </w:rPr>
              <w:t>73,639,962.60</w:t>
            </w:r>
          </w:p>
        </w:tc>
        <w:tc>
          <w:tcPr>
            <w:vAlign w:val="center"/>
          </w:tcPr>
          <w:p>
            <w:pPr>
              <w:jc w:val="right"/>
            </w:pPr>
            <w:r>
              <w:rPr>
                <w:color w:val="000000"/>
                <w:kern w:val="0"/>
                <w:sz w:val="24"/>
                <w:szCs w:val="24"/>
              </w:rPr>
              <w:t>3.33</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601601</w:t>
            </w:r>
          </w:p>
        </w:tc>
        <w:tc>
          <w:tcPr>
            <w:vAlign w:val="center"/>
          </w:tcPr>
          <w:p>
            <w:pPr>
              <w:jc w:val="center"/>
            </w:pPr>
            <w:r>
              <w:rPr>
                <w:color w:val="000000"/>
                <w:kern w:val="0"/>
                <w:sz w:val="24"/>
                <w:szCs w:val="24"/>
              </w:rPr>
              <w:t>中国太保</w:t>
            </w:r>
          </w:p>
        </w:tc>
        <w:tc>
          <w:tcPr>
            <w:vAlign w:val="center"/>
          </w:tcPr>
          <w:p>
            <w:pPr>
              <w:jc w:val="right"/>
            </w:pPr>
            <w:r>
              <w:rPr>
                <w:color w:val="000000"/>
                <w:kern w:val="0"/>
                <w:sz w:val="24"/>
                <w:szCs w:val="24"/>
              </w:rPr>
              <w:t>2,573,690</w:t>
            </w:r>
          </w:p>
        </w:tc>
        <w:tc>
          <w:tcPr>
            <w:vAlign w:val="center"/>
          </w:tcPr>
          <w:p>
            <w:pPr>
              <w:jc w:val="right"/>
            </w:pPr>
            <w:r>
              <w:rPr>
                <w:color w:val="000000"/>
                <w:kern w:val="0"/>
                <w:sz w:val="24"/>
                <w:szCs w:val="24"/>
              </w:rPr>
              <w:t>70,133,052.50</w:t>
            </w:r>
          </w:p>
        </w:tc>
        <w:tc>
          <w:tcPr>
            <w:vAlign w:val="center"/>
          </w:tcPr>
          <w:p>
            <w:pPr>
              <w:jc w:val="right"/>
            </w:pPr>
            <w:r>
              <w:rPr>
                <w:color w:val="000000"/>
                <w:kern w:val="0"/>
                <w:sz w:val="24"/>
                <w:szCs w:val="24"/>
              </w:rPr>
              <w:t>3.17</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600999</w:t>
            </w:r>
          </w:p>
        </w:tc>
        <w:tc>
          <w:tcPr>
            <w:vAlign w:val="center"/>
          </w:tcPr>
          <w:p>
            <w:pPr>
              <w:jc w:val="center"/>
            </w:pPr>
            <w:r>
              <w:rPr>
                <w:color w:val="000000"/>
                <w:kern w:val="0"/>
                <w:sz w:val="24"/>
                <w:szCs w:val="24"/>
              </w:rPr>
              <w:t>招商证券</w:t>
            </w:r>
          </w:p>
        </w:tc>
        <w:tc>
          <w:tcPr>
            <w:vAlign w:val="center"/>
          </w:tcPr>
          <w:p>
            <w:pPr>
              <w:jc w:val="right"/>
            </w:pPr>
            <w:r>
              <w:rPr>
                <w:color w:val="000000"/>
                <w:kern w:val="0"/>
                <w:sz w:val="24"/>
                <w:szCs w:val="24"/>
              </w:rPr>
              <w:t>2,705,412</w:t>
            </w:r>
          </w:p>
        </w:tc>
        <w:tc>
          <w:tcPr>
            <w:vAlign w:val="center"/>
          </w:tcPr>
          <w:p>
            <w:pPr>
              <w:jc w:val="right"/>
            </w:pPr>
            <w:r>
              <w:rPr>
                <w:color w:val="000000"/>
                <w:kern w:val="0"/>
                <w:sz w:val="24"/>
                <w:szCs w:val="24"/>
              </w:rPr>
              <w:t>59,383,793.40</w:t>
            </w:r>
          </w:p>
        </w:tc>
        <w:tc>
          <w:tcPr>
            <w:vAlign w:val="center"/>
          </w:tcPr>
          <w:p>
            <w:pPr>
              <w:jc w:val="right"/>
            </w:pPr>
            <w:r>
              <w:rPr>
                <w:color w:val="000000"/>
                <w:kern w:val="0"/>
                <w:sz w:val="24"/>
                <w:szCs w:val="24"/>
              </w:rPr>
              <w:t>2.68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000166</w:t>
            </w:r>
          </w:p>
        </w:tc>
        <w:tc>
          <w:tcPr>
            <w:vAlign w:val="center"/>
          </w:tcPr>
          <w:p>
            <w:pPr>
              <w:jc w:val="center"/>
            </w:pPr>
            <w:r>
              <w:rPr>
                <w:color w:val="000000"/>
                <w:kern w:val="0"/>
                <w:sz w:val="24"/>
                <w:szCs w:val="24"/>
              </w:rPr>
              <w:t>申万宏源</w:t>
            </w:r>
          </w:p>
        </w:tc>
        <w:tc>
          <w:tcPr>
            <w:vAlign w:val="center"/>
          </w:tcPr>
          <w:p>
            <w:pPr>
              <w:jc w:val="right"/>
            </w:pPr>
            <w:r>
              <w:rPr>
                <w:color w:val="000000"/>
                <w:kern w:val="0"/>
                <w:sz w:val="24"/>
                <w:szCs w:val="24"/>
              </w:rPr>
              <w:t>8,528,228</w:t>
            </w:r>
          </w:p>
        </w:tc>
        <w:tc>
          <w:tcPr>
            <w:vAlign w:val="center"/>
          </w:tcPr>
          <w:p>
            <w:pPr>
              <w:jc w:val="right"/>
            </w:pPr>
            <w:r>
              <w:rPr>
                <w:color w:val="000000"/>
                <w:kern w:val="0"/>
                <w:sz w:val="24"/>
                <w:szCs w:val="24"/>
              </w:rPr>
              <w:t>43,067,551.40</w:t>
            </w:r>
          </w:p>
        </w:tc>
        <w:tc>
          <w:tcPr>
            <w:vAlign w:val="center"/>
          </w:tcPr>
          <w:p>
            <w:pPr>
              <w:jc w:val="right"/>
            </w:pPr>
            <w:r>
              <w:rPr>
                <w:color w:val="000000"/>
                <w:kern w:val="0"/>
                <w:sz w:val="24"/>
                <w:szCs w:val="24"/>
              </w:rPr>
              <w:t>1.95</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spacing w:line="360" w:lineRule="auto"/>
        <w:rPr>
          <w:rFonts w:ascii="宋体" w:hAnsi="宋体"/>
          <w:color w:val="000000"/>
          <w:sz w:val="24"/>
          <w:szCs w:val="24"/>
        </w:rPr>
      </w:pPr>
      <w:r>
        <w:rPr>
          <w:rFonts w:ascii="宋体" w:hAnsi="宋体"/>
          <w:color w:val="000000"/>
          <w:sz w:val="24"/>
          <w:szCs w:val="24"/>
        </w:rPr>
        <w:t>2020年4月8日，中国人民银行长春中心支行对招商证券股份有限公司长春人民大街证券营业部未按照规定履行客户身份识别义务的违法违规事实，责令整改并处罚款22万元的行政处罚。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华泰证券、招商证券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102,842.44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3,736,203.91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1,833.00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3,840,879.35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857,900,662.00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253,808,758.00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86,202,972.00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1,025,506,448.00</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注：期初基金总份额包含场外份额18,740,765份；期末基金总份额包含场外份额12,346,551份；总申购份额包含场外总申购份额4,808,758份；总赎回份额包含场外总赎回份额11,202,972份。</w:t>
      </w:r>
    </w:p>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中国建设银行股份有限公司－易方达沪深300非银行金融交易型开放式指数证券投资基金联接基金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656,827,441.00</w:t>
            </w:r>
          </w:p>
        </w:tc>
        <w:tc>
          <w:tcPr>
            <w:vAlign w:val="center"/>
          </w:tcPr>
          <w:p>
            <w:pPr>
              <w:jc w:val="center"/>
            </w:pPr>
            <w:r>
              <w:rPr>
                <w:sz w:val="24"/>
                <w:szCs w:val="24"/>
              </w:rPr>
              <w:t>385,319,300.00</w:t>
            </w:r>
          </w:p>
        </w:tc>
        <w:tc>
          <w:tcPr>
            <w:vAlign w:val="center"/>
          </w:tcPr>
          <w:p>
            <w:pPr>
              <w:jc w:val="center"/>
            </w:pPr>
            <w:r>
              <w:rPr>
                <w:sz w:val="24"/>
                <w:szCs w:val="24"/>
              </w:rPr>
              <w:t>214,007,800.00</w:t>
            </w:r>
          </w:p>
        </w:tc>
        <w:tc>
          <w:tcPr>
            <w:vAlign w:val="center"/>
          </w:tcPr>
          <w:p>
            <w:pPr>
              <w:jc w:val="center"/>
            </w:pPr>
            <w:r>
              <w:rPr>
                <w:sz w:val="24"/>
                <w:szCs w:val="24"/>
              </w:rPr>
              <w:t>828,138,941.00</w:t>
            </w:r>
          </w:p>
        </w:tc>
        <w:tc>
          <w:tcPr>
            <w:vAlign w:val="center"/>
          </w:tcPr>
          <w:p>
            <w:pPr>
              <w:jc w:val="center"/>
            </w:pPr>
            <w:r>
              <w:rPr>
                <w:sz w:val="24"/>
                <w:szCs w:val="24"/>
              </w:rPr>
              <w:t>80.75%</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1.中国证监会核准易方达沪深300非银行金融交易型开放式指数证券投资基金募集的文件；</w:t>
      </w:r>
    </w:p>
    <w:p>
      <w:pPr>
        <w:spacing w:line="360" w:lineRule="auto"/>
        <w:ind w:firstLine="480" w:firstLineChars="200"/>
        <w:rPr>
          <w:color w:val="000000"/>
          <w:sz w:val="24"/>
          <w:szCs w:val="24"/>
        </w:rPr>
      </w:pPr>
      <w:r>
        <w:rPr>
          <w:color w:val="000000"/>
          <w:sz w:val="24"/>
          <w:szCs w:val="24"/>
        </w:rPr>
        <w:t>2.《易方达沪深300非银行金融交易型开放式指数证券投资基金基金合同》；</w:t>
      </w:r>
    </w:p>
    <w:p>
      <w:pPr>
        <w:spacing w:line="360" w:lineRule="auto"/>
        <w:ind w:firstLine="480" w:firstLineChars="200"/>
        <w:rPr>
          <w:color w:val="000000"/>
          <w:sz w:val="24"/>
          <w:szCs w:val="24"/>
        </w:rPr>
      </w:pPr>
      <w:r>
        <w:rPr>
          <w:color w:val="000000"/>
          <w:sz w:val="24"/>
          <w:szCs w:val="24"/>
        </w:rPr>
        <w:t>3.《易方达沪深300非银行金融交易型开放式指数证券投资基金托管协议》；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易方达沪深300非银行金融交易型开放式指数证券投资基金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