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易方达沪深300医药卫生交易型开放式指数证券投资基金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易方达沪深300医药ETF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医药ETF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512010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512010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2013年9月23日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807,173,734.00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沪深300医药卫生指数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92,962,527.47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409,964,821.54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0.5993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2,042,907,720.95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2.5309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29.14%</w:t>
            </w:r>
          </w:p>
        </w:tc>
        <w:tc>
          <w:tcPr>
            <w:vAlign w:val="center"/>
          </w:tcPr>
          <w:p>
            <w:pPr>
              <w:jc w:val="center"/>
            </w:pPr>
            <w:r>
              <w:rPr>
                <w:color w:val="000000"/>
                <w:kern w:val="0"/>
                <w:sz w:val="24"/>
                <w:szCs w:val="24"/>
              </w:rPr>
              <w:t>1.41%</w:t>
            </w:r>
          </w:p>
        </w:tc>
        <w:tc>
          <w:tcPr>
            <w:vAlign w:val="center"/>
          </w:tcPr>
          <w:p>
            <w:pPr>
              <w:jc w:val="center"/>
            </w:pPr>
            <w:r>
              <w:rPr>
                <w:color w:val="000000"/>
                <w:kern w:val="0"/>
                <w:sz w:val="24"/>
                <w:szCs w:val="24"/>
              </w:rPr>
              <w:t>28.43%</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0.71%</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33.80%</w:t>
            </w:r>
          </w:p>
        </w:tc>
        <w:tc>
          <w:tcPr>
            <w:vAlign w:val="center"/>
          </w:tcPr>
          <w:p>
            <w:pPr>
              <w:jc w:val="center"/>
            </w:pPr>
            <w:r>
              <w:rPr>
                <w:color w:val="000000"/>
                <w:kern w:val="0"/>
                <w:sz w:val="24"/>
                <w:szCs w:val="24"/>
              </w:rPr>
              <w:t>1.64%</w:t>
            </w:r>
          </w:p>
        </w:tc>
        <w:tc>
          <w:tcPr>
            <w:vAlign w:val="center"/>
          </w:tcPr>
          <w:p>
            <w:pPr>
              <w:jc w:val="center"/>
            </w:pPr>
            <w:r>
              <w:rPr>
                <w:color w:val="000000"/>
                <w:kern w:val="0"/>
                <w:sz w:val="24"/>
                <w:szCs w:val="24"/>
              </w:rPr>
              <w:t>32.44%</w:t>
            </w:r>
          </w:p>
        </w:tc>
        <w:tc>
          <w:tcPr>
            <w:vAlign w:val="center"/>
          </w:tcPr>
          <w:p>
            <w:pPr>
              <w:jc w:val="center"/>
            </w:pPr>
            <w:r>
              <w:rPr>
                <w:color w:val="000000"/>
                <w:kern w:val="0"/>
                <w:sz w:val="24"/>
                <w:szCs w:val="24"/>
              </w:rPr>
              <w:t>1.66%</w:t>
            </w:r>
          </w:p>
        </w:tc>
        <w:tc>
          <w:tcPr>
            <w:vAlign w:val="center"/>
          </w:tcPr>
          <w:p>
            <w:pPr>
              <w:jc w:val="center"/>
            </w:pPr>
            <w:r>
              <w:rPr>
                <w:color w:val="000000"/>
                <w:kern w:val="0"/>
                <w:sz w:val="24"/>
                <w:szCs w:val="24"/>
              </w:rPr>
              <w:t>1.36%</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54.80%</w:t>
            </w:r>
          </w:p>
        </w:tc>
        <w:tc>
          <w:tcPr>
            <w:vAlign w:val="center"/>
          </w:tcPr>
          <w:p>
            <w:pPr>
              <w:jc w:val="center"/>
            </w:pPr>
            <w:r>
              <w:rPr>
                <w:color w:val="000000"/>
                <w:kern w:val="0"/>
                <w:sz w:val="24"/>
                <w:szCs w:val="24"/>
              </w:rPr>
              <w:t>1.41%</w:t>
            </w:r>
          </w:p>
        </w:tc>
        <w:tc>
          <w:tcPr>
            <w:vAlign w:val="center"/>
          </w:tcPr>
          <w:p>
            <w:pPr>
              <w:jc w:val="center"/>
            </w:pPr>
            <w:r>
              <w:rPr>
                <w:color w:val="000000"/>
                <w:kern w:val="0"/>
                <w:sz w:val="24"/>
                <w:szCs w:val="24"/>
              </w:rPr>
              <w:t>52.25%</w:t>
            </w:r>
          </w:p>
        </w:tc>
        <w:tc>
          <w:tcPr>
            <w:vAlign w:val="center"/>
          </w:tcPr>
          <w:p>
            <w:pPr>
              <w:jc w:val="center"/>
            </w:pPr>
            <w:r>
              <w:rPr>
                <w:color w:val="000000"/>
                <w:kern w:val="0"/>
                <w:sz w:val="24"/>
                <w:szCs w:val="24"/>
              </w:rPr>
              <w:t>1.43%</w:t>
            </w:r>
          </w:p>
        </w:tc>
        <w:tc>
          <w:tcPr>
            <w:vAlign w:val="center"/>
          </w:tcPr>
          <w:p>
            <w:pPr>
              <w:jc w:val="center"/>
            </w:pPr>
            <w:r>
              <w:rPr>
                <w:color w:val="000000"/>
                <w:kern w:val="0"/>
                <w:sz w:val="24"/>
                <w:szCs w:val="24"/>
              </w:rPr>
              <w:t>2.55%</w:t>
            </w:r>
          </w:p>
        </w:tc>
        <w:tc>
          <w:tcPr>
            <w:vAlign w:val="center"/>
          </w:tcPr>
          <w:p>
            <w:pPr>
              <w:jc w:val="center"/>
            </w:pPr>
            <w:r>
              <w:rPr>
                <w:color w:val="000000"/>
                <w:kern w:val="0"/>
                <w:sz w:val="24"/>
                <w:szCs w:val="24"/>
              </w:rPr>
              <w:t>-0.02%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63.14%</w:t>
            </w:r>
          </w:p>
        </w:tc>
        <w:tc>
          <w:tcPr>
            <w:vAlign w:val="center"/>
          </w:tcPr>
          <w:p>
            <w:pPr>
              <w:jc w:val="center"/>
            </w:pPr>
            <w:r>
              <w:rPr>
                <w:color w:val="000000"/>
                <w:kern w:val="0"/>
                <w:sz w:val="24"/>
                <w:szCs w:val="24"/>
              </w:rPr>
              <w:t>1.55%</w:t>
            </w:r>
          </w:p>
        </w:tc>
        <w:tc>
          <w:tcPr>
            <w:vAlign w:val="center"/>
          </w:tcPr>
          <w:p>
            <w:pPr>
              <w:jc w:val="center"/>
            </w:pPr>
            <w:r>
              <w:rPr>
                <w:color w:val="000000"/>
                <w:kern w:val="0"/>
                <w:sz w:val="24"/>
                <w:szCs w:val="24"/>
              </w:rPr>
              <w:t>52.91%</w:t>
            </w:r>
          </w:p>
        </w:tc>
        <w:tc>
          <w:tcPr>
            <w:vAlign w:val="center"/>
          </w:tcPr>
          <w:p>
            <w:pPr>
              <w:jc w:val="center"/>
            </w:pPr>
            <w:r>
              <w:rPr>
                <w:color w:val="000000"/>
                <w:kern w:val="0"/>
                <w:sz w:val="24"/>
                <w:szCs w:val="24"/>
              </w:rPr>
              <w:t>1.58%</w:t>
            </w:r>
          </w:p>
        </w:tc>
        <w:tc>
          <w:tcPr>
            <w:vAlign w:val="center"/>
          </w:tcPr>
          <w:p>
            <w:pPr>
              <w:jc w:val="center"/>
            </w:pPr>
            <w:r>
              <w:rPr>
                <w:color w:val="000000"/>
                <w:kern w:val="0"/>
                <w:sz w:val="24"/>
                <w:szCs w:val="24"/>
              </w:rPr>
              <w:t>10.23%</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84.05%</w:t>
            </w:r>
          </w:p>
        </w:tc>
        <w:tc>
          <w:tcPr>
            <w:vAlign w:val="center"/>
          </w:tcPr>
          <w:p>
            <w:pPr>
              <w:jc w:val="center"/>
            </w:pPr>
            <w:r>
              <w:rPr>
                <w:color w:val="000000"/>
                <w:kern w:val="0"/>
                <w:sz w:val="24"/>
                <w:szCs w:val="24"/>
              </w:rPr>
              <w:t>1.64%</w:t>
            </w:r>
          </w:p>
        </w:tc>
        <w:tc>
          <w:tcPr>
            <w:vAlign w:val="center"/>
          </w:tcPr>
          <w:p>
            <w:pPr>
              <w:jc w:val="center"/>
            </w:pPr>
            <w:r>
              <w:rPr>
                <w:color w:val="000000"/>
                <w:kern w:val="0"/>
                <w:sz w:val="24"/>
                <w:szCs w:val="24"/>
              </w:rPr>
              <w:t>71.06%</w:t>
            </w:r>
          </w:p>
        </w:tc>
        <w:tc>
          <w:tcPr>
            <w:vAlign w:val="center"/>
          </w:tcPr>
          <w:p>
            <w:pPr>
              <w:jc w:val="center"/>
            </w:pPr>
            <w:r>
              <w:rPr>
                <w:color w:val="000000"/>
                <w:kern w:val="0"/>
                <w:sz w:val="24"/>
                <w:szCs w:val="24"/>
              </w:rPr>
              <w:t>1.68%</w:t>
            </w:r>
          </w:p>
        </w:tc>
        <w:tc>
          <w:tcPr>
            <w:vAlign w:val="center"/>
          </w:tcPr>
          <w:p>
            <w:pPr>
              <w:jc w:val="center"/>
            </w:pPr>
            <w:r>
              <w:rPr>
                <w:color w:val="000000"/>
                <w:kern w:val="0"/>
                <w:sz w:val="24"/>
                <w:szCs w:val="24"/>
              </w:rPr>
              <w:t>12.99%</w:t>
            </w:r>
          </w:p>
        </w:tc>
        <w:tc>
          <w:tcPr>
            <w:vAlign w:val="center"/>
          </w:tcPr>
          <w:p>
            <w:pPr>
              <w:jc w:val="center"/>
            </w:pPr>
            <w:r>
              <w:rPr>
                <w:color w:val="000000"/>
                <w:kern w:val="0"/>
                <w:sz w:val="24"/>
                <w:szCs w:val="24"/>
              </w:rPr>
              <w:t>-0.04%</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153.09%</w:t>
            </w:r>
          </w:p>
        </w:tc>
        <w:tc>
          <w:tcPr>
            <w:vAlign w:val="center"/>
          </w:tcPr>
          <w:p>
            <w:pPr>
              <w:jc w:val="center"/>
            </w:pPr>
            <w:r>
              <w:rPr>
                <w:color w:val="000000"/>
                <w:kern w:val="0"/>
                <w:sz w:val="24"/>
                <w:szCs w:val="24"/>
              </w:rPr>
              <w:t>1.60%</w:t>
            </w:r>
          </w:p>
        </w:tc>
        <w:tc>
          <w:tcPr>
            <w:vAlign w:val="center"/>
          </w:tcPr>
          <w:p>
            <w:pPr>
              <w:jc w:val="center"/>
            </w:pPr>
            <w:r>
              <w:rPr>
                <w:color w:val="000000"/>
                <w:kern w:val="0"/>
                <w:sz w:val="24"/>
                <w:szCs w:val="24"/>
              </w:rPr>
              <w:t>154.13%</w:t>
            </w:r>
          </w:p>
        </w:tc>
        <w:tc>
          <w:tcPr>
            <w:vAlign w:val="center"/>
          </w:tcPr>
          <w:p>
            <w:pPr>
              <w:jc w:val="center"/>
            </w:pPr>
            <w:r>
              <w:rPr>
                <w:color w:val="000000"/>
                <w:kern w:val="0"/>
                <w:sz w:val="24"/>
                <w:szCs w:val="24"/>
              </w:rPr>
              <w:t>1.65%</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-0.05%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易方达沪深300医药卫生交易型开放式指数证券投资基金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2013年9月23日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注：自基金合同生效至报告期末，基金份额净值增长率为153.09%，同期业绩比较基准收益率为154.13%。</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中证500交易型开放式指数证券投资基金的基金经理、易方达沪深300交易型开放式指数发起式证券投资基金联接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联接基金的基金经理、易方达恒生中国企业交易型开放式指数证券投资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2013-09-23</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沪深300医药指数上涨28.43%。</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截至报告期末，本基金份额净值为2.5309元，本报告期份额净值增长率为29.14%，同期业绩比较基准收益率为28.43%，日跟踪偏离度的均值为0.03%，年化跟踪误差为0.660%，各项指标均在合同规定的目标控制范围之内。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2,029,474,261.21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98.77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2,029,474,261.21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98.77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21,639,105.51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1.05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3,726,671.68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2,054,840,038.40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pPr>
        <w:spacing w:line="360" w:lineRule="auto"/>
        <w:ind w:firstLine="480" w:firstLineChars="200"/>
        <w:rPr>
          <w:color w:val="000000"/>
          <w:sz w:val="24"/>
          <w:szCs w:val="24"/>
        </w:rPr>
      </w:pPr>
      <w:r>
        <w:rPr>
          <w:color w:val="000000"/>
          <w:sz w:val="24"/>
          <w:szCs w:val="24"/>
        </w:rPr>
        <w:t>注：1.上表中的股票投资项含可退替代款估值增值，而5.2的合计项不含可退替代款估值增值。</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2.本基金本报告期末融出证券市值为1,002,200.00元，占净值比例0.05%。</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1,543,137,861.29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75.54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82,092,496.14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2,370,051.25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0.12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143,495,725.80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7.02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258,174,601.69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12.64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2,029,474,234.26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99.34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5,315,484</w:t>
            </w:r>
          </w:p>
        </w:tc>
        <w:tc>
          <w:tcPr>
            <w:vAlign w:val="center"/>
          </w:tcPr>
          <w:p>
            <w:pPr>
              <w:jc w:val="right"/>
            </w:pPr>
            <w:r>
              <w:rPr>
                <w:color w:val="000000"/>
                <w:kern w:val="0"/>
                <w:sz w:val="24"/>
                <w:szCs w:val="24"/>
              </w:rPr>
              <w:t>490,619,173.20</w:t>
            </w:r>
          </w:p>
        </w:tc>
        <w:tc>
          <w:tcPr>
            <w:vAlign w:val="center"/>
          </w:tcPr>
          <w:p>
            <w:pPr>
              <w:jc w:val="right"/>
            </w:pPr>
            <w:r>
              <w:rPr>
                <w:color w:val="000000"/>
                <w:kern w:val="0"/>
                <w:sz w:val="24"/>
                <w:szCs w:val="24"/>
              </w:rPr>
              <w:t>24.02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000661</w:t>
            </w:r>
          </w:p>
        </w:tc>
        <w:tc>
          <w:tcPr>
            <w:vAlign w:val="center"/>
          </w:tcPr>
          <w:p>
            <w:pPr>
              <w:jc w:val="center"/>
            </w:pPr>
            <w:r>
              <w:rPr>
                <w:color w:val="000000"/>
                <w:kern w:val="0"/>
                <w:sz w:val="24"/>
                <w:szCs w:val="24"/>
              </w:rPr>
              <w:t>长春高新</w:t>
            </w:r>
          </w:p>
        </w:tc>
        <w:tc>
          <w:tcPr>
            <w:vAlign w:val="center"/>
          </w:tcPr>
          <w:p>
            <w:pPr>
              <w:jc w:val="right"/>
            </w:pPr>
            <w:r>
              <w:rPr>
                <w:color w:val="000000"/>
                <w:kern w:val="0"/>
                <w:sz w:val="24"/>
                <w:szCs w:val="24"/>
              </w:rPr>
              <w:t>405,300</w:t>
            </w:r>
          </w:p>
        </w:tc>
        <w:tc>
          <w:tcPr>
            <w:vAlign w:val="center"/>
          </w:tcPr>
          <w:p>
            <w:pPr>
              <w:jc w:val="right"/>
            </w:pPr>
            <w:r>
              <w:rPr>
                <w:color w:val="000000"/>
                <w:kern w:val="0"/>
                <w:sz w:val="24"/>
                <w:szCs w:val="24"/>
              </w:rPr>
              <w:t>176,427,090.00</w:t>
            </w:r>
          </w:p>
        </w:tc>
        <w:tc>
          <w:tcPr>
            <w:vAlign w:val="center"/>
          </w:tcPr>
          <w:p>
            <w:pPr>
              <w:jc w:val="right"/>
            </w:pPr>
            <w:r>
              <w:rPr>
                <w:color w:val="000000"/>
                <w:kern w:val="0"/>
                <w:sz w:val="24"/>
                <w:szCs w:val="24"/>
              </w:rPr>
              <w:t>8.64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1,485,463</w:t>
            </w:r>
          </w:p>
        </w:tc>
        <w:tc>
          <w:tcPr>
            <w:vAlign w:val="center"/>
          </w:tcPr>
          <w:p>
            <w:pPr>
              <w:jc w:val="right"/>
            </w:pPr>
            <w:r>
              <w:rPr>
                <w:color w:val="000000"/>
                <w:kern w:val="0"/>
                <w:sz w:val="24"/>
                <w:szCs w:val="24"/>
              </w:rPr>
              <w:t>143,495,725.80</w:t>
            </w:r>
          </w:p>
        </w:tc>
        <w:tc>
          <w:tcPr>
            <w:vAlign w:val="center"/>
          </w:tcPr>
          <w:p>
            <w:pPr>
              <w:jc w:val="right"/>
            </w:pPr>
            <w:r>
              <w:rPr>
                <w:color w:val="000000"/>
                <w:kern w:val="0"/>
                <w:sz w:val="24"/>
                <w:szCs w:val="24"/>
              </w:rPr>
              <w:t>7.02</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300015</w:t>
            </w:r>
          </w:p>
        </w:tc>
        <w:tc>
          <w:tcPr>
            <w:vAlign w:val="center"/>
          </w:tcPr>
          <w:p>
            <w:pPr>
              <w:jc w:val="center"/>
            </w:pPr>
            <w:r>
              <w:rPr>
                <w:color w:val="000000"/>
                <w:kern w:val="0"/>
                <w:sz w:val="24"/>
                <w:szCs w:val="24"/>
              </w:rPr>
              <w:t>爱尔眼科</w:t>
            </w:r>
          </w:p>
        </w:tc>
        <w:tc>
          <w:tcPr>
            <w:vAlign w:val="center"/>
          </w:tcPr>
          <w:p>
            <w:pPr>
              <w:jc w:val="right"/>
            </w:pPr>
            <w:r>
              <w:rPr>
                <w:color w:val="000000"/>
                <w:kern w:val="0"/>
                <w:sz w:val="24"/>
                <w:szCs w:val="24"/>
              </w:rPr>
              <w:t>2,882,214</w:t>
            </w:r>
          </w:p>
        </w:tc>
        <w:tc>
          <w:tcPr>
            <w:vAlign w:val="center"/>
          </w:tcPr>
          <w:p>
            <w:pPr>
              <w:jc w:val="right"/>
            </w:pPr>
            <w:r>
              <w:rPr>
                <w:color w:val="000000"/>
                <w:kern w:val="0"/>
                <w:sz w:val="24"/>
                <w:szCs w:val="24"/>
              </w:rPr>
              <w:t>125,232,198.30</w:t>
            </w:r>
          </w:p>
        </w:tc>
        <w:tc>
          <w:tcPr>
            <w:vAlign w:val="center"/>
          </w:tcPr>
          <w:p>
            <w:pPr>
              <w:jc w:val="right"/>
            </w:pPr>
            <w:r>
              <w:rPr>
                <w:color w:val="000000"/>
                <w:kern w:val="0"/>
                <w:sz w:val="24"/>
                <w:szCs w:val="24"/>
              </w:rPr>
              <w:t>6.13</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300142</w:t>
            </w:r>
          </w:p>
        </w:tc>
        <w:tc>
          <w:tcPr>
            <w:vAlign w:val="center"/>
          </w:tcPr>
          <w:p>
            <w:pPr>
              <w:jc w:val="center"/>
            </w:pPr>
            <w:r>
              <w:rPr>
                <w:color w:val="000000"/>
                <w:kern w:val="0"/>
                <w:sz w:val="24"/>
                <w:szCs w:val="24"/>
              </w:rPr>
              <w:t>沃森生物</w:t>
            </w:r>
          </w:p>
        </w:tc>
        <w:tc>
          <w:tcPr>
            <w:vAlign w:val="center"/>
          </w:tcPr>
          <w:p>
            <w:pPr>
              <w:jc w:val="right"/>
            </w:pPr>
            <w:r>
              <w:rPr>
                <w:color w:val="000000"/>
                <w:kern w:val="0"/>
                <w:sz w:val="24"/>
                <w:szCs w:val="24"/>
              </w:rPr>
              <w:t>2,202,768</w:t>
            </w:r>
          </w:p>
        </w:tc>
        <w:tc>
          <w:tcPr>
            <w:vAlign w:val="center"/>
          </w:tcPr>
          <w:p>
            <w:pPr>
              <w:jc w:val="right"/>
            </w:pPr>
            <w:r>
              <w:rPr>
                <w:color w:val="000000"/>
                <w:kern w:val="0"/>
                <w:sz w:val="24"/>
                <w:szCs w:val="24"/>
              </w:rPr>
              <w:t>115,336,932.48</w:t>
            </w:r>
          </w:p>
        </w:tc>
        <w:tc>
          <w:tcPr>
            <w:vAlign w:val="center"/>
          </w:tcPr>
          <w:p>
            <w:pPr>
              <w:jc w:val="right"/>
            </w:pPr>
            <w:r>
              <w:rPr>
                <w:color w:val="000000"/>
                <w:kern w:val="0"/>
                <w:sz w:val="24"/>
                <w:szCs w:val="24"/>
              </w:rPr>
              <w:t>5.65</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300122</w:t>
            </w:r>
          </w:p>
        </w:tc>
        <w:tc>
          <w:tcPr>
            <w:vAlign w:val="center"/>
          </w:tcPr>
          <w:p>
            <w:pPr>
              <w:jc w:val="center"/>
            </w:pPr>
            <w:r>
              <w:rPr>
                <w:color w:val="000000"/>
                <w:kern w:val="0"/>
                <w:sz w:val="24"/>
                <w:szCs w:val="24"/>
              </w:rPr>
              <w:t>智飞生物</w:t>
            </w:r>
          </w:p>
        </w:tc>
        <w:tc>
          <w:tcPr>
            <w:vAlign w:val="center"/>
          </w:tcPr>
          <w:p>
            <w:pPr>
              <w:jc w:val="right"/>
            </w:pPr>
            <w:r>
              <w:rPr>
                <w:color w:val="000000"/>
                <w:kern w:val="0"/>
                <w:sz w:val="24"/>
                <w:szCs w:val="24"/>
              </w:rPr>
              <w:t>914,300</w:t>
            </w:r>
          </w:p>
        </w:tc>
        <w:tc>
          <w:tcPr>
            <w:vAlign w:val="center"/>
          </w:tcPr>
          <w:p>
            <w:pPr>
              <w:jc w:val="right"/>
            </w:pPr>
            <w:r>
              <w:rPr>
                <w:color w:val="000000"/>
                <w:kern w:val="0"/>
                <w:sz w:val="24"/>
                <w:szCs w:val="24"/>
              </w:rPr>
              <w:t>91,567,145.00</w:t>
            </w:r>
          </w:p>
        </w:tc>
        <w:tc>
          <w:tcPr>
            <w:vAlign w:val="center"/>
          </w:tcPr>
          <w:p>
            <w:pPr>
              <w:jc w:val="right"/>
            </w:pPr>
            <w:r>
              <w:rPr>
                <w:color w:val="000000"/>
                <w:kern w:val="0"/>
                <w:sz w:val="24"/>
                <w:szCs w:val="24"/>
              </w:rPr>
              <w:t>4.48</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002007</w:t>
            </w:r>
          </w:p>
        </w:tc>
        <w:tc>
          <w:tcPr>
            <w:vAlign w:val="center"/>
          </w:tcPr>
          <w:p>
            <w:pPr>
              <w:jc w:val="center"/>
            </w:pPr>
            <w:r>
              <w:rPr>
                <w:color w:val="000000"/>
                <w:kern w:val="0"/>
                <w:sz w:val="24"/>
                <w:szCs w:val="24"/>
              </w:rPr>
              <w:t>华兰生物</w:t>
            </w:r>
          </w:p>
        </w:tc>
        <w:tc>
          <w:tcPr>
            <w:vAlign w:val="center"/>
          </w:tcPr>
          <w:p>
            <w:pPr>
              <w:jc w:val="right"/>
            </w:pPr>
            <w:r>
              <w:rPr>
                <w:color w:val="000000"/>
                <w:kern w:val="0"/>
                <w:sz w:val="24"/>
                <w:szCs w:val="24"/>
              </w:rPr>
              <w:t>1,568,606</w:t>
            </w:r>
          </w:p>
        </w:tc>
        <w:tc>
          <w:tcPr>
            <w:vAlign w:val="center"/>
          </w:tcPr>
          <w:p>
            <w:pPr>
              <w:jc w:val="right"/>
            </w:pPr>
            <w:r>
              <w:rPr>
                <w:color w:val="000000"/>
                <w:kern w:val="0"/>
                <w:sz w:val="24"/>
                <w:szCs w:val="24"/>
              </w:rPr>
              <w:t>78,602,846.66</w:t>
            </w:r>
          </w:p>
        </w:tc>
        <w:tc>
          <w:tcPr>
            <w:vAlign w:val="center"/>
          </w:tcPr>
          <w:p>
            <w:pPr>
              <w:jc w:val="right"/>
            </w:pPr>
            <w:r>
              <w:rPr>
                <w:color w:val="000000"/>
                <w:kern w:val="0"/>
                <w:sz w:val="24"/>
                <w:szCs w:val="24"/>
              </w:rPr>
              <w:t>3.85</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300601</w:t>
            </w:r>
          </w:p>
        </w:tc>
        <w:tc>
          <w:tcPr>
            <w:vAlign w:val="center"/>
          </w:tcPr>
          <w:p>
            <w:pPr>
              <w:jc w:val="center"/>
            </w:pPr>
            <w:r>
              <w:rPr>
                <w:color w:val="000000"/>
                <w:kern w:val="0"/>
                <w:sz w:val="24"/>
                <w:szCs w:val="24"/>
              </w:rPr>
              <w:t>康泰生物</w:t>
            </w:r>
          </w:p>
        </w:tc>
        <w:tc>
          <w:tcPr>
            <w:vAlign w:val="center"/>
          </w:tcPr>
          <w:p>
            <w:pPr>
              <w:jc w:val="right"/>
            </w:pPr>
            <w:r>
              <w:rPr>
                <w:color w:val="000000"/>
                <w:kern w:val="0"/>
                <w:sz w:val="24"/>
                <w:szCs w:val="24"/>
              </w:rPr>
              <w:t>481,324</w:t>
            </w:r>
          </w:p>
        </w:tc>
        <w:tc>
          <w:tcPr>
            <w:vAlign w:val="center"/>
          </w:tcPr>
          <w:p>
            <w:pPr>
              <w:jc w:val="right"/>
            </w:pPr>
            <w:r>
              <w:rPr>
                <w:color w:val="000000"/>
                <w:kern w:val="0"/>
                <w:sz w:val="24"/>
                <w:szCs w:val="24"/>
              </w:rPr>
              <w:t>78,051,499.84</w:t>
            </w:r>
          </w:p>
        </w:tc>
        <w:tc>
          <w:tcPr>
            <w:vAlign w:val="center"/>
          </w:tcPr>
          <w:p>
            <w:pPr>
              <w:jc w:val="right"/>
            </w:pPr>
            <w:r>
              <w:rPr>
                <w:color w:val="000000"/>
                <w:kern w:val="0"/>
                <w:sz w:val="24"/>
                <w:szCs w:val="24"/>
              </w:rPr>
              <w:t>3.82</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300347</w:t>
            </w:r>
          </w:p>
        </w:tc>
        <w:tc>
          <w:tcPr>
            <w:vAlign w:val="center"/>
          </w:tcPr>
          <w:p>
            <w:pPr>
              <w:jc w:val="center"/>
            </w:pPr>
            <w:r>
              <w:rPr>
                <w:color w:val="000000"/>
                <w:kern w:val="0"/>
                <w:sz w:val="24"/>
                <w:szCs w:val="24"/>
              </w:rPr>
              <w:t>泰格医药</w:t>
            </w:r>
          </w:p>
        </w:tc>
        <w:tc>
          <w:tcPr>
            <w:vAlign w:val="center"/>
          </w:tcPr>
          <w:p>
            <w:pPr>
              <w:jc w:val="right"/>
            </w:pPr>
            <w:r>
              <w:rPr>
                <w:color w:val="000000"/>
                <w:kern w:val="0"/>
                <w:sz w:val="24"/>
                <w:szCs w:val="24"/>
              </w:rPr>
              <w:t>749,400</w:t>
            </w:r>
          </w:p>
        </w:tc>
        <w:tc>
          <w:tcPr>
            <w:vAlign w:val="center"/>
          </w:tcPr>
          <w:p>
            <w:pPr>
              <w:jc w:val="right"/>
            </w:pPr>
            <w:r>
              <w:rPr>
                <w:color w:val="000000"/>
                <w:kern w:val="0"/>
                <w:sz w:val="24"/>
                <w:szCs w:val="24"/>
              </w:rPr>
              <w:t>76,348,872.00</w:t>
            </w:r>
          </w:p>
        </w:tc>
        <w:tc>
          <w:tcPr>
            <w:vAlign w:val="center"/>
          </w:tcPr>
          <w:p>
            <w:pPr>
              <w:jc w:val="right"/>
            </w:pPr>
            <w:r>
              <w:rPr>
                <w:color w:val="000000"/>
                <w:kern w:val="0"/>
                <w:sz w:val="24"/>
                <w:szCs w:val="24"/>
              </w:rPr>
              <w:t>3.74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600436</w:t>
            </w:r>
          </w:p>
        </w:tc>
        <w:tc>
          <w:tcPr>
            <w:vAlign w:val="center"/>
          </w:tcPr>
          <w:p>
            <w:pPr>
              <w:jc w:val="center"/>
            </w:pPr>
            <w:r>
              <w:rPr>
                <w:color w:val="000000"/>
                <w:kern w:val="0"/>
                <w:sz w:val="24"/>
                <w:szCs w:val="24"/>
              </w:rPr>
              <w:t>片仔癀</w:t>
            </w:r>
          </w:p>
        </w:tc>
        <w:tc>
          <w:tcPr>
            <w:vAlign w:val="center"/>
          </w:tcPr>
          <w:p>
            <w:pPr>
              <w:jc w:val="right"/>
            </w:pPr>
            <w:r>
              <w:rPr>
                <w:color w:val="000000"/>
                <w:kern w:val="0"/>
                <w:sz w:val="24"/>
                <w:szCs w:val="24"/>
              </w:rPr>
              <w:t>430,174</w:t>
            </w:r>
          </w:p>
        </w:tc>
        <w:tc>
          <w:tcPr>
            <w:vAlign w:val="center"/>
          </w:tcPr>
          <w:p>
            <w:pPr>
              <w:jc w:val="right"/>
            </w:pPr>
            <w:r>
              <w:rPr>
                <w:color w:val="000000"/>
                <w:kern w:val="0"/>
                <w:sz w:val="24"/>
                <w:szCs w:val="24"/>
              </w:rPr>
              <w:t>73,237,123.50</w:t>
            </w:r>
          </w:p>
        </w:tc>
        <w:tc>
          <w:tcPr>
            <w:vAlign w:val="center"/>
          </w:tcPr>
          <w:p>
            <w:pPr>
              <w:jc w:val="right"/>
            </w:pPr>
            <w:r>
              <w:rPr>
                <w:color w:val="000000"/>
                <w:kern w:val="0"/>
                <w:sz w:val="24"/>
                <w:szCs w:val="24"/>
              </w:rPr>
              <w:t>3.58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786,134.80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2,936,024.52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4,512.36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3,726,671.68</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002007</w:t>
            </w:r>
          </w:p>
        </w:tc>
        <w:tc>
          <w:tcPr>
            <w:vAlign w:val="center"/>
          </w:tcPr>
          <w:p>
            <w:pPr>
              <w:jc w:val="center"/>
            </w:pPr>
            <w:r>
              <w:rPr>
                <w:color w:val="000000"/>
                <w:kern w:val="0"/>
                <w:sz w:val="24"/>
                <w:szCs w:val="24"/>
              </w:rPr>
              <w:t>华兰生物</w:t>
            </w:r>
          </w:p>
        </w:tc>
        <w:tc>
          <w:tcPr>
            <w:vAlign w:val="center"/>
          </w:tcPr>
          <w:p>
            <w:pPr>
              <w:jc w:val="right"/>
            </w:pPr>
            <w:r>
              <w:rPr>
                <w:color w:val="000000"/>
                <w:kern w:val="0"/>
                <w:sz w:val="24"/>
                <w:szCs w:val="24"/>
              </w:rPr>
              <w:t>1,002,200.00</w:t>
            </w:r>
          </w:p>
        </w:tc>
        <w:tc>
          <w:tcPr>
            <w:vAlign w:val="center"/>
          </w:tcPr>
          <w:p>
            <w:pPr>
              <w:jc w:val="right"/>
            </w:pPr>
            <w:r>
              <w:rPr>
                <w:color w:val="000000"/>
                <w:kern w:val="0"/>
                <w:sz w:val="24"/>
                <w:szCs w:val="24"/>
              </w:rPr>
              <w:t>0.05</w:t>
            </w:r>
          </w:p>
        </w:tc>
        <w:tc>
          <w:tcPr>
            <w:vAlign w:val="center"/>
          </w:tcPr>
          <w:p>
            <w:pPr>
              <w:jc w:val="right"/>
            </w:pPr>
            <w:r>
              <w:rPr>
                <w:color w:val="000000"/>
                <w:kern w:val="0"/>
                <w:sz w:val="24"/>
                <w:szCs w:val="24"/>
              </w:rPr>
              <w:t>转融通流通受限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712,650,562.00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422,000,000.00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327,476,828.00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807,173,734.00</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注：期初基金总份额包含场外份额21,476,828份；总赎回份额包含场外总赎回份额21,476,828份。</w:t>
      </w:r>
    </w:p>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2020年04月24日~2020年06月30日</w:t>
            </w:r>
          </w:p>
        </w:tc>
        <w:tc>
          <w:tcPr>
            <w:vAlign w:val="center"/>
          </w:tcPr>
          <w:p>
            <w:pPr>
              <w:jc w:val="center"/>
            </w:pPr>
            <w:r>
              <w:rPr>
                <w:sz w:val="24"/>
                <w:szCs w:val="24"/>
              </w:rPr>
              <w:t>100,566,559.00</w:t>
            </w:r>
          </w:p>
        </w:tc>
        <w:tc>
          <w:tcPr>
            <w:vAlign w:val="center"/>
          </w:tcPr>
          <w:p>
            <w:pPr>
              <w:jc w:val="center"/>
            </w:pPr>
            <w:r>
              <w:rPr>
                <w:sz w:val="24"/>
                <w:szCs w:val="24"/>
              </w:rPr>
              <w:t>71,071,839.00</w:t>
            </w:r>
          </w:p>
        </w:tc>
        <w:tc>
          <w:tcPr>
            <w:vAlign w:val="center"/>
          </w:tcPr>
          <w:p>
            <w:pPr>
              <w:jc w:val="center"/>
            </w:pPr>
            <w:r>
              <w:rPr>
                <w:sz w:val="24"/>
                <w:szCs w:val="24"/>
              </w:rPr>
              <w:t>-</w:t>
            </w:r>
          </w:p>
        </w:tc>
        <w:tc>
          <w:tcPr>
            <w:vAlign w:val="center"/>
          </w:tcPr>
          <w:p>
            <w:pPr>
              <w:jc w:val="center"/>
            </w:pPr>
            <w:r>
              <w:rPr>
                <w:sz w:val="24"/>
                <w:szCs w:val="24"/>
              </w:rPr>
              <w:t>171,638,398.00</w:t>
            </w:r>
          </w:p>
        </w:tc>
        <w:tc>
          <w:tcPr>
            <w:vAlign w:val="center"/>
          </w:tcPr>
          <w:p>
            <w:pPr>
              <w:jc w:val="center"/>
            </w:pPr>
            <w:r>
              <w:rPr>
                <w:sz w:val="24"/>
                <w:szCs w:val="24"/>
              </w:rPr>
              <w:t>21.26%</w:t>
            </w:r>
          </w:p>
        </w:tc>
      </w:tr>
      <w:tr>
        <w:tc>
          <w:tcPr>
            <w:vMerge/>
          </w:tcPr>
          <w:p/>
        </w:tc>
        <w:tc>
          <w:tcPr>
            <w:vAlign w:val="center"/>
          </w:tcPr>
          <w:p>
            <w:pPr>
              <w:jc w:val="center"/>
            </w:pPr>
            <w:r>
              <w:rPr>
                <w:sz w:val="24"/>
                <w:szCs w:val="24"/>
              </w:rPr>
              <w:t>2</w:t>
            </w:r>
          </w:p>
        </w:tc>
        <w:tc>
          <w:tcPr>
            <w:vAlign w:val="center"/>
          </w:tcPr>
          <w:p>
            <w:pPr>
              <w:jc w:val="center"/>
            </w:pPr>
            <w:r>
              <w:rPr>
                <w:sz w:val="24"/>
                <w:szCs w:val="24"/>
              </w:rPr>
              <w:t>2020年06月18日~2020年06月21日</w:t>
            </w:r>
          </w:p>
        </w:tc>
        <w:tc>
          <w:tcPr>
            <w:vAlign w:val="center"/>
          </w:tcPr>
          <w:p>
            <w:pPr>
              <w:jc w:val="center"/>
            </w:pPr>
            <w:r>
              <w:rPr>
                <w:sz w:val="24"/>
                <w:szCs w:val="24"/>
              </w:rPr>
              <w:t>10,000,000.00</w:t>
            </w:r>
          </w:p>
        </w:tc>
        <w:tc>
          <w:tcPr>
            <w:vAlign w:val="center"/>
          </w:tcPr>
          <w:p>
            <w:pPr>
              <w:jc w:val="center"/>
            </w:pPr>
            <w:r>
              <w:rPr>
                <w:sz w:val="24"/>
                <w:szCs w:val="24"/>
              </w:rPr>
              <w:t>148,000,000.00</w:t>
            </w:r>
          </w:p>
        </w:tc>
        <w:tc>
          <w:tcPr>
            <w:vAlign w:val="center"/>
          </w:tcPr>
          <w:p>
            <w:pPr>
              <w:jc w:val="center"/>
            </w:pPr>
            <w:r>
              <w:rPr>
                <w:sz w:val="24"/>
                <w:szCs w:val="24"/>
              </w:rPr>
              <w:t>-</w:t>
            </w:r>
          </w:p>
        </w:tc>
        <w:tc>
          <w:tcPr>
            <w:vAlign w:val="center"/>
          </w:tcPr>
          <w:p>
            <w:pPr>
              <w:jc w:val="center"/>
            </w:pPr>
            <w:r>
              <w:rPr>
                <w:sz w:val="24"/>
                <w:szCs w:val="24"/>
              </w:rPr>
              <w:t>158,000,000.00</w:t>
            </w:r>
          </w:p>
        </w:tc>
        <w:tc>
          <w:tcPr>
            <w:vAlign w:val="center"/>
          </w:tcPr>
          <w:p>
            <w:pPr>
              <w:jc w:val="center"/>
            </w:pPr>
            <w:r>
              <w:rPr>
                <w:sz w:val="24"/>
                <w:szCs w:val="24"/>
              </w:rPr>
              <w:t>19.57%</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1.中国证监会核准易方达沪深300医药卫生交易型开放式指数证券投资基金募集的文件；</w:t>
      </w:r>
    </w:p>
    <w:p>
      <w:pPr>
        <w:spacing w:line="360" w:lineRule="auto"/>
        <w:ind w:firstLine="480" w:firstLineChars="200"/>
        <w:rPr>
          <w:color w:val="000000"/>
          <w:sz w:val="24"/>
          <w:szCs w:val="24"/>
        </w:rPr>
      </w:pPr>
      <w:r>
        <w:rPr>
          <w:color w:val="000000"/>
          <w:sz w:val="24"/>
          <w:szCs w:val="24"/>
        </w:rPr>
        <w:t>2.《易方达沪深300医药卫生交易型开放式指数证券投资基金基金合同》；</w:t>
      </w:r>
    </w:p>
    <w:p>
      <w:pPr>
        <w:spacing w:line="360" w:lineRule="auto"/>
        <w:ind w:firstLine="480" w:firstLineChars="200"/>
        <w:rPr>
          <w:color w:val="000000"/>
          <w:sz w:val="24"/>
          <w:szCs w:val="24"/>
        </w:rPr>
      </w:pPr>
      <w:r>
        <w:rPr>
          <w:color w:val="000000"/>
          <w:sz w:val="24"/>
          <w:szCs w:val="24"/>
        </w:rPr>
        <w:t>3.《易方达沪深300医药卫生交易型开放式指数证券投资基金托管协议》；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易方达沪深300医药卫生交易型开放式指数证券投资基金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