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F5013F" w:rsidRDefault="00F5013F" w:rsidRPr="002149AE">
      <w:pPr>
        <w:autoSpaceDE w:val="0"/>
        <w:autoSpaceDN w:val="0"/>
        <w:adjustRightInd w:val="0"/>
        <w:spacing w:line="360" w:lineRule="auto"/>
        <w:jc w:val="left"/>
        <w:rPr>
          <w:rFonts w:ascii="宋体" w:cs="Arial"/>
          <w:color w:val="000000"/>
          <w:kern w:val="0"/>
          <w:sz w:val="24"/>
        </w:rPr>
      </w:pPr>
    </w:p>
    <w:p w:rsidP="00397616" w:rsidR="00F5013F" w:rsidRDefault="00F5013F" w:rsidRPr="002149AE">
      <w:pPr>
        <w:autoSpaceDE w:val="0"/>
        <w:autoSpaceDN w:val="0"/>
        <w:adjustRightInd w:val="0"/>
        <w:spacing w:line="360" w:lineRule="auto"/>
        <w:jc w:val="left"/>
        <w:rPr>
          <w:rFonts w:ascii="宋体" w:cs="Arial"/>
          <w:color w:val="000000"/>
          <w:kern w:val="0"/>
          <w:sz w:val="24"/>
        </w:rPr>
      </w:pPr>
    </w:p>
    <w:p w:rsidP="00397616" w:rsidR="00F5013F" w:rsidRDefault="00F5013F" w:rsidRPr="002149AE">
      <w:pPr>
        <w:autoSpaceDE w:val="0"/>
        <w:autoSpaceDN w:val="0"/>
        <w:adjustRightInd w:val="0"/>
        <w:spacing w:line="360" w:lineRule="auto"/>
        <w:jc w:val="left"/>
        <w:rPr>
          <w:rFonts w:ascii="宋体" w:cs="Arial"/>
          <w:color w:val="000000"/>
          <w:kern w:val="0"/>
          <w:sz w:val="24"/>
        </w:rPr>
      </w:pPr>
    </w:p>
    <w:p w:rsidP="00F22F00" w:rsidR="00F5013F" w:rsidRDefault="00F5013F" w:rsidRPr="002149AE">
      <w:pPr>
        <w:autoSpaceDE w:val="0"/>
        <w:autoSpaceDN w:val="0"/>
        <w:adjustRightInd w:val="0"/>
        <w:spacing w:line="360" w:lineRule="auto"/>
        <w:jc w:val="left"/>
        <w:rPr>
          <w:rFonts w:ascii="宋体" w:cs="Arial"/>
          <w:color w:val="000000"/>
          <w:kern w:val="0"/>
          <w:sz w:val="24"/>
        </w:rPr>
      </w:pPr>
    </w:p>
    <w:p w:rsidP="00506D57" w:rsidR="00F5013F" w:rsidRDefault="00F5013F" w:rsidRPr="002149AE">
      <w:pPr>
        <w:spacing w:line="360" w:lineRule="auto"/>
        <w:jc w:val="center"/>
        <w:rPr>
          <w:rFonts w:ascii="宋体" w:hAnsi="宋体"/>
          <w:b/>
          <w:sz w:val="36"/>
          <w:szCs w:val="36"/>
        </w:rPr>
      </w:pPr>
      <w:r w:rsidRPr="002149AE">
        <w:rPr>
          <w:rFonts w:ascii="宋体"/>
          <w:b/>
          <w:sz w:val="36"/>
          <w:szCs w:val="36"/>
        </w:rPr>
        <w:t/>
      </w:r>
      <w:r w:rsidRPr="002149AE">
        <w:rPr>
          <w:rFonts w:ascii="宋体" w:hAnsi="宋体"/>
          <w:b/>
          <w:sz w:val="36"/>
          <w:szCs w:val="36"/>
        </w:rPr>
        <w:t>易方达恒生中国企业交易型开放式指数证券投资基金</w:t>
      </w:r>
    </w:p>
    <w:p w:rsidP="00506D57" w:rsidR="00F5013F" w:rsidRDefault="00F5013F" w:rsidRPr="002149AE">
      <w:pPr>
        <w:spacing w:line="360" w:lineRule="auto"/>
        <w:jc w:val="center"/>
        <w:rPr>
          <w:rFonts w:ascii="宋体" w:hAnsi="宋体"/>
          <w:b/>
          <w:sz w:val="36"/>
          <w:szCs w:val="36"/>
        </w:rPr>
      </w:pPr>
      <w:r w:rsidRPr="002149AE">
        <w:rPr>
          <w:rFonts w:ascii="宋体" w:hAnsi="宋体"/>
          <w:b/>
          <w:sz w:val="36"/>
          <w:szCs w:val="36"/>
        </w:rPr>
        <w:t>2020年第2季度报告</w:t>
      </w:r>
    </w:p>
    <w:p w:rsidP="00506D57" w:rsidR="00F5013F" w:rsidRDefault="00F5013F" w:rsidRPr="00CA4176">
      <w:pPr>
        <w:spacing w:line="360" w:lineRule="auto"/>
        <w:jc w:val="center"/>
        <w:rPr>
          <w:rFonts w:ascii="宋体" w:hAnsi="宋体"/>
          <w:b/>
          <w:sz w:val="24"/>
          <w:szCs w:val="36"/>
        </w:rPr>
      </w:pPr>
      <w:r w:rsidRPr="00CA4176">
        <w:rPr>
          <w:rFonts w:ascii="宋体"/>
          <w:b/>
          <w:sz w:val="24"/>
          <w:szCs w:val="36"/>
        </w:rPr>
        <w:t/>
      </w:r>
      <w:r w:rsidRPr="00CA4176">
        <w:rPr>
          <w:rFonts w:ascii="宋体" w:hAnsi="宋体"/>
          <w:b/>
          <w:sz w:val="24"/>
          <w:szCs w:val="36"/>
        </w:rPr>
        <w:t>2020年6月30日</w:t>
      </w: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0C6EE5">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547F92" w:rsidR="00F5013F" w:rsidRDefault="00F5013F" w:rsidRPr="002149AE">
      <w:pPr>
        <w:spacing w:line="288" w:lineRule="auto"/>
        <w:ind w:firstLine="2168" w:firstLineChars="900"/>
        <w:rPr>
          <w:rFonts w:ascii="宋体"/>
          <w:b/>
          <w:color w:val="000000"/>
          <w:sz w:val="24"/>
        </w:rPr>
      </w:pPr>
    </w:p>
    <w:p w:rsidP="00547F92" w:rsidR="00F5013F" w:rsidRDefault="00F5013F" w:rsidRPr="002149AE">
      <w:pPr>
        <w:spacing w:line="360" w:lineRule="auto"/>
        <w:ind w:firstLine="2168" w:firstLineChars="900"/>
        <w:rPr>
          <w:rFonts w:ascii="宋体" w:hAnsi="宋体"/>
          <w:b/>
          <w:color w:val="000000"/>
          <w:sz w:val="24"/>
        </w:rPr>
      </w:pPr>
      <w:r w:rsidRPr="002149AE">
        <w:rPr>
          <w:rFonts w:ascii="宋体" w:hAnsi="宋体" w:hint="eastAsia"/>
          <w:b/>
          <w:color w:val="000000"/>
          <w:sz w:val="24"/>
        </w:rPr>
        <w:t>基金管理人：</w:t>
      </w:r>
      <w:r w:rsidRPr="002149AE">
        <w:rPr>
          <w:rFonts w:ascii="宋体"/>
          <w:b/>
          <w:color w:val="000000"/>
          <w:sz w:val="24"/>
        </w:rPr>
        <w:t/>
      </w:r>
      <w:r w:rsidRPr="002149AE">
        <w:rPr>
          <w:rFonts w:ascii="宋体" w:hAnsi="宋体"/>
          <w:b/>
          <w:color w:val="000000"/>
          <w:sz w:val="24"/>
        </w:rPr>
        <w:t>易方达基金管理有限公司</w:t>
      </w:r>
    </w:p>
    <w:p w:rsidP="00547F92" w:rsidR="00F5013F" w:rsidRDefault="00F5013F" w:rsidRPr="002149AE">
      <w:pPr>
        <w:spacing w:line="360" w:lineRule="auto"/>
        <w:ind w:firstLine="2168" w:firstLineChars="900"/>
        <w:rPr>
          <w:rFonts w:ascii="宋体" w:hAnsi="宋体"/>
          <w:b/>
          <w:color w:val="000000"/>
          <w:sz w:val="24"/>
        </w:rPr>
      </w:pPr>
      <w:r w:rsidRPr="002149AE">
        <w:rPr>
          <w:rFonts w:ascii="宋体" w:hAnsi="宋体" w:hint="eastAsia"/>
          <w:b/>
          <w:color w:val="000000"/>
          <w:sz w:val="24"/>
        </w:rPr>
        <w:t>基金托管人：</w:t>
      </w:r>
      <w:r w:rsidRPr="002149AE">
        <w:rPr>
          <w:rFonts w:ascii="宋体"/>
          <w:b/>
          <w:color w:val="000000"/>
          <w:sz w:val="24"/>
        </w:rPr>
        <w:t/>
      </w:r>
      <w:r w:rsidRPr="002149AE">
        <w:rPr>
          <w:rFonts w:ascii="宋体" w:hAnsi="宋体"/>
          <w:b/>
          <w:color w:val="000000"/>
          <w:sz w:val="24"/>
        </w:rPr>
        <w:t>交通银行股份有限公司</w:t>
      </w:r>
    </w:p>
    <w:p w:rsidP="00547F92" w:rsidR="00F5013F" w:rsidRDefault="00F5013F" w:rsidRPr="002149AE">
      <w:pPr>
        <w:spacing w:line="360" w:lineRule="auto"/>
        <w:ind w:firstLine="2168" w:firstLineChars="900"/>
        <w:rPr>
          <w:rFonts w:ascii="宋体" w:hAnsi="宋体"/>
          <w:b/>
          <w:color w:val="000000"/>
          <w:sz w:val="24"/>
        </w:rPr>
        <w:sectPr w:rsidR="00F5013F" w:rsidRPr="002149AE" w:rsidSect="00B918B8">
          <w:headerReference r:id="rId8" w:type="default"/>
          <w:footerReference r:id="rId9" w:type="default"/>
          <w:pgSz w:h="15840" w:w="11926"/>
          <w:pgMar w:bottom="851" w:footer="992" w:gutter="0" w:header="851" w:left="1418" w:right="1418" w:top="1418"/>
          <w:cols w:space="720"/>
          <w:noEndnote/>
        </w:sectPr>
      </w:pPr>
      <w:r w:rsidRPr="002149AE">
        <w:rPr>
          <w:rFonts w:ascii="宋体" w:hAnsi="宋体" w:hint="eastAsia"/>
          <w:b/>
          <w:color w:val="000000"/>
          <w:sz w:val="24"/>
        </w:rPr>
        <w:t>报告送出日期：</w:t>
      </w:r>
      <w:r w:rsidRPr="002149AE">
        <w:rPr>
          <w:rFonts w:ascii="宋体"/>
          <w:b/>
          <w:color w:val="000000"/>
          <w:sz w:val="24"/>
        </w:rPr>
        <w:t/>
      </w:r>
      <w:r w:rsidRPr="002149AE">
        <w:rPr>
          <w:rFonts w:ascii="宋体" w:hAnsi="宋体"/>
          <w:b/>
          <w:color w:val="000000"/>
          <w:sz w:val="24"/>
        </w:rPr>
        <w:t>二〇二〇年七月二十一日</w:t>
      </w:r>
    </w:p>
    <w:p w:rsidP="00543B38" w:rsidR="00F5013F" w:rsidRDefault="00F5013F" w:rsidRPr="006506EF">
      <w:pPr>
        <w:pStyle w:val="1"/>
        <w:spacing w:after="312" w:afterLines="100" w:before="312" w:beforeLines="100" w:line="360" w:lineRule="auto"/>
        <w:jc w:val="center"/>
        <w:rPr>
          <w:b w:val="0"/>
          <w:color w:val="000000"/>
          <w:kern w:val="0"/>
          <w:sz w:val="24"/>
          <w:szCs w:val="24"/>
        </w:rPr>
      </w:pPr>
      <w:r w:rsidRPr="006506EF">
        <w:rPr>
          <w:color w:val="000000"/>
          <w:kern w:val="0"/>
          <w:sz w:val="24"/>
          <w:szCs w:val="24"/>
        </w:rPr>
        <w:lastRenderedPageBreak/>
        <w:t xml:space="preserve">§1  </w:t>
      </w:r>
      <w:r w:rsidRPr="006506EF">
        <w:rPr>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基金托管人交通银行股份有限公司根据本基金合同规定，于2020年7月17日复核了本报告中的财务指标、净值表现和投资组合报告等内容，保证复核内容不存在虚假记载、误导性陈述或者重大遗漏。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547F92" w:rsidR="00F5013F" w:rsidRDefault="00F5013F" w:rsidRPr="006506EF">
      <w:pPr>
        <w:spacing w:line="360" w:lineRule="auto"/>
        <w:ind w:firstLine="480" w:firstLineChars="200"/>
        <w:rPr>
          <w:color w:val="000000"/>
          <w:sz w:val="24"/>
        </w:rPr>
      </w:pPr>
      <w:r w:rsidRPr="006506EF">
        <w:rPr>
          <w:color w:val="000000"/>
          <w:sz w:val="24"/>
        </w:rPr>
        <w:t>本报告期自2020年4月1日起至6月30日止。</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§2  </w:t>
      </w:r>
      <w:r w:rsidRPr="006506EF">
        <w:rPr>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77"/>
        <w:gridCol w:w="2721"/>
        <w:gridCol w:w="2722"/>
      </w:tblGrid>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基金简称</w:t>
            </w: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color w:val="000000"/>
                <w:kern w:val="0"/>
                <w:sz w:val="24"/>
              </w:rPr>
              <w:t>易方达恒生国企（QDII-ETF）</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场内简称</w:t>
            </w:r>
          </w:p>
        </w:tc>
        <w:tc>
          <w:tcPr>
            <w:tcW w:type="dxa" w:w="5443"/>
            <w:gridSpan w:val="2"/>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H股ETF</w:t>
            </w:r>
          </w:p>
        </w:tc>
      </w:tr>
      <w:tr w:rsidR="002E6FB9" w:rsidRPr="006506EF" w:rsidTr="0063648A">
        <w:tc>
          <w:tcPr>
            <w:tcW w:type="dxa" w:w="2977"/>
          </w:tcPr>
          <w:p w:rsidP="0063648A" w:rsidR="002E6FB9" w:rsidRDefault="002E6FB9" w:rsidRPr="006506EF">
            <w:pPr>
              <w:adjustRightInd w:val="0"/>
              <w:spacing w:before="29" w:line="360" w:lineRule="auto"/>
              <w:ind w:left="17"/>
              <w:jc w:val="left"/>
              <w:rPr>
                <w:kern w:val="0"/>
                <w:sz w:val="24"/>
              </w:rPr>
            </w:pPr>
            <w:r w:rsidRPr="006506EF">
              <w:rPr>
                <w:kern w:val="0"/>
                <w:sz w:val="24"/>
              </w:rPr>
              <w:t>基金主代码</w:t>
            </w:r>
          </w:p>
        </w:tc>
        <w:tc>
          <w:tcPr>
            <w:tcW w:type="dxa" w:w="5443"/>
            <w:gridSpan w:val="2"/>
          </w:tcPr>
          <w:p w:rsidP="0063648A" w:rsidR="002E6FB9" w:rsidRDefault="002E6FB9" w:rsidRPr="006506EF">
            <w:pPr>
              <w:adjustRightInd w:val="0"/>
              <w:spacing w:before="29" w:line="360" w:lineRule="auto"/>
              <w:ind w:left="17"/>
              <w:jc w:val="left"/>
              <w:rPr>
                <w:color w:val="000000"/>
                <w:kern w:val="0"/>
                <w:sz w:val="24"/>
              </w:rPr>
            </w:pPr>
            <w:r w:rsidRPr="006506EF">
              <w:rPr>
                <w:color w:val="000000"/>
                <w:kern w:val="0"/>
                <w:sz w:val="24"/>
              </w:rPr>
              <w:t>510900</w:t>
            </w:r>
          </w:p>
        </w:tc>
      </w:tr>
      <w:tr w:rsidR="002E6FB9" w:rsidRPr="006506EF" w:rsidTr="0063648A">
        <w:tc>
          <w:tcPr>
            <w:tcW w:type="dxa" w:w="2977"/>
          </w:tcPr>
          <w:p w:rsidP="0063648A" w:rsidR="002E6FB9" w:rsidRDefault="002E6FB9" w:rsidRPr="006506EF">
            <w:pPr>
              <w:adjustRightInd w:val="0"/>
              <w:spacing w:before="29" w:line="360" w:lineRule="auto"/>
              <w:ind w:left="17"/>
              <w:jc w:val="left"/>
              <w:rPr>
                <w:kern w:val="0"/>
                <w:sz w:val="24"/>
              </w:rPr>
            </w:pPr>
            <w:r w:rsidRPr="006506EF">
              <w:rPr>
                <w:kern w:val="0"/>
                <w:sz w:val="24"/>
              </w:rPr>
              <w:t>交易代码</w:t>
            </w:r>
          </w:p>
        </w:tc>
        <w:tc>
          <w:tcPr>
            <w:tcW w:type="dxa" w:w="5443"/>
            <w:gridSpan w:val="2"/>
          </w:tcPr>
          <w:p w:rsidP="0063648A" w:rsidR="002E6FB9" w:rsidRDefault="002E6FB9" w:rsidRPr="006506EF">
            <w:pPr>
              <w:adjustRightInd w:val="0"/>
              <w:spacing w:before="29" w:line="360" w:lineRule="auto"/>
              <w:ind w:left="17"/>
              <w:jc w:val="left"/>
              <w:rPr>
                <w:color w:val="000000"/>
                <w:kern w:val="0"/>
                <w:sz w:val="24"/>
              </w:rPr>
            </w:pPr>
            <w:r w:rsidRPr="006506EF">
              <w:rPr>
                <w:kern w:val="0"/>
                <w:sz w:val="24"/>
              </w:rPr>
              <w:t>510900</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基金运作方式</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交易型开放式（ETF）</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基金合同生效日</w:t>
            </w: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color w:val="000000"/>
                <w:kern w:val="0"/>
                <w:sz w:val="24"/>
              </w:rPr>
              <w:t>2012年8月9日</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报告期末基金份额总额</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8,057,021,934.00</w:t>
            </w:r>
            <w:r w:rsidRPr="006506EF">
              <w:rPr>
                <w:color w:val="000000"/>
                <w:kern w:val="0"/>
                <w:sz w:val="24"/>
              </w:rPr>
              <w:t>份</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投资目标</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紧密跟踪标的指数，追求跟踪偏离度及跟踪误差的最小化。</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投资策略</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本基金主要采取组合复制策略和适当的替代性策略实现对标的指数的紧密跟踪。同时，本基金可适当借出证券，以更好实现本基金的投资目标。本基金主要采取完全复制法进行投资，即参考恒生中国企业指数的成份股组成及权重构建股票投资组合，并根据恒生中国企业指数的成份股组成及权重变动对股票投资组合进行相应调整。当市场流动性不足、法规规定本基金不能投资关联方股票等情况导致本基金无法按照指数构成及权重进行组合构建时，基金管理人将通过投资其他成份股、非成份股、成份股个股衍生品进行替代。为进行流动性管理、应付赎回、降低跟踪误差以及提高投资效率，本基金可投资恒生H股指数期货或期权等金融衍生工具。本基金力争将年化跟踪误差控制在3%以内。</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业绩比较基准</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恒生中国企业指数（使用估值汇率折算）</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风险收益特征</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本基金属股票指数基金，预期风险与收益水平高于混合基金、债券基金与货币市场基金。本基金主要采用完全复制法跟踪标的指数的表现，具有与标的指数相似的风险收益特征。本基金主要投资香港证券市场上市的中国企业，需承担汇率风险以及境外市场的风险。</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基金管理人</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易方达基金管理有限公司</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基金托管人</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交通银行股份有限公司</w:t>
            </w:r>
          </w:p>
        </w:tc>
      </w:tr>
      <w:tr w:rsidR="002E6FB9" w:rsidRPr="006506EF" w:rsidTr="0063648A">
        <w:tc>
          <w:tcPr>
            <w:tcW w:type="dxa" w:w="2977"/>
            <w:vMerge w:val="restart"/>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境外投资顾问</w:t>
            </w: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kern w:val="0"/>
                <w:sz w:val="24"/>
              </w:rPr>
              <w:t>英文名称</w:t>
            </w:r>
            <w:r>
              <w:rPr>
                <w:kern w:val="0"/>
                <w:sz w:val="24"/>
              </w:rPr>
              <w:t>：</w:t>
            </w:r>
            <w:r w:rsidRPr="006506EF">
              <w:rPr>
                <w:color w:val="000000"/>
                <w:kern w:val="0"/>
                <w:sz w:val="24"/>
              </w:rPr>
              <w:t>无</w:t>
            </w:r>
          </w:p>
        </w:tc>
      </w:tr>
      <w:tr w:rsidR="002E6FB9" w:rsidRPr="006506EF" w:rsidTr="0063648A">
        <w:tc>
          <w:tcPr>
            <w:tcW w:type="dxa" w:w="2977"/>
            <w:vMerge/>
            <w:vAlign w:val="center"/>
          </w:tcPr>
          <w:p w:rsidP="0063648A" w:rsidR="002E6FB9" w:rsidRDefault="002E6FB9" w:rsidRPr="006506EF">
            <w:pPr>
              <w:adjustRightInd w:val="0"/>
              <w:spacing w:before="29" w:line="360" w:lineRule="auto"/>
              <w:jc w:val="left"/>
              <w:rPr>
                <w:kern w:val="0"/>
                <w:sz w:val="24"/>
              </w:rPr>
            </w:pP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kern w:val="0"/>
                <w:sz w:val="24"/>
              </w:rPr>
              <w:t>中文名称</w:t>
            </w:r>
            <w:r>
              <w:rPr>
                <w:kern w:val="0"/>
                <w:sz w:val="24"/>
              </w:rPr>
              <w:t>：</w:t>
            </w:r>
            <w:r w:rsidRPr="006506EF">
              <w:rPr>
                <w:color w:val="000000"/>
                <w:kern w:val="0"/>
                <w:sz w:val="24"/>
              </w:rPr>
              <w:t>无</w:t>
            </w:r>
          </w:p>
        </w:tc>
      </w:tr>
      <w:tr w:rsidR="002E6FB9" w:rsidRPr="006506EF" w:rsidTr="0063648A">
        <w:tc>
          <w:tcPr>
            <w:tcW w:type="dxa" w:w="2977"/>
            <w:vMerge w:val="restart"/>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境外资产托管人</w:t>
            </w:r>
          </w:p>
        </w:tc>
        <w:tc>
          <w:tcPr>
            <w:tcW w:type="dxa" w:w="5443"/>
            <w:gridSpan w:val="2"/>
            <w:vAlign w:val="center"/>
          </w:tcPr>
          <w:p w:rsidP="00A53DD8" w:rsidR="002E6FB9" w:rsidRDefault="002E6FB9" w:rsidRPr="006506EF">
            <w:pPr>
              <w:adjustRightInd w:val="0"/>
              <w:spacing w:before="29" w:line="360" w:lineRule="auto"/>
              <w:ind w:left="17"/>
              <w:jc w:val="left"/>
              <w:rPr>
                <w:color w:val="000000"/>
                <w:kern w:val="0"/>
                <w:sz w:val="24"/>
              </w:rPr>
            </w:pPr>
            <w:r w:rsidRPr="006506EF">
              <w:rPr>
                <w:kern w:val="0"/>
                <w:sz w:val="24"/>
              </w:rPr>
              <w:t>英文名称</w:t>
            </w:r>
            <w:r>
              <w:rPr>
                <w:kern w:val="0"/>
                <w:sz w:val="24"/>
              </w:rPr>
              <w:t>：</w:t>
            </w:r>
            <w:r w:rsidRPr="006506EF">
              <w:rPr>
                <w:color w:val="000000"/>
                <w:kern w:val="0"/>
                <w:sz w:val="24"/>
              </w:rPr>
              <w:t>The Hongkong and Shanghai Banking Corporation Limited</w:t>
            </w:r>
          </w:p>
        </w:tc>
      </w:tr>
      <w:tr w:rsidR="002E6FB9" w:rsidRPr="006506EF" w:rsidTr="0063648A">
        <w:tc>
          <w:tcPr>
            <w:tcW w:type="dxa" w:w="2977"/>
            <w:vMerge/>
            <w:vAlign w:val="center"/>
          </w:tcPr>
          <w:p w:rsidP="0063648A" w:rsidR="002E6FB9" w:rsidRDefault="002E6FB9" w:rsidRPr="006506EF">
            <w:pPr>
              <w:adjustRightInd w:val="0"/>
              <w:spacing w:before="29" w:line="360" w:lineRule="auto"/>
              <w:ind w:left="17"/>
              <w:jc w:val="left"/>
              <w:rPr>
                <w:kern w:val="0"/>
                <w:sz w:val="24"/>
              </w:rPr>
            </w:pPr>
          </w:p>
        </w:tc>
        <w:tc>
          <w:tcPr>
            <w:tcW w:type="dxa" w:w="5443"/>
            <w:gridSpan w:val="2"/>
            <w:vAlign w:val="center"/>
          </w:tcPr>
          <w:p w:rsidP="00F23F0E" w:rsidR="002E6FB9" w:rsidRDefault="002E6FB9" w:rsidRPr="006506EF">
            <w:pPr>
              <w:adjustRightInd w:val="0"/>
              <w:spacing w:before="29" w:line="360" w:lineRule="auto"/>
              <w:ind w:left="17"/>
              <w:jc w:val="left"/>
              <w:rPr>
                <w:color w:val="000000"/>
                <w:kern w:val="0"/>
                <w:sz w:val="24"/>
              </w:rPr>
            </w:pPr>
            <w:r w:rsidRPr="006506EF">
              <w:rPr>
                <w:kern w:val="0"/>
                <w:sz w:val="24"/>
              </w:rPr>
              <w:t>中文名称</w:t>
            </w:r>
            <w:r>
              <w:rPr>
                <w:kern w:val="0"/>
                <w:sz w:val="24"/>
              </w:rPr>
              <w:t>：</w:t>
            </w:r>
            <w:r w:rsidR="00A53DD8" w:rsidRPr="006506EF">
              <w:rPr>
                <w:color w:val="000000"/>
                <w:kern w:val="0"/>
                <w:sz w:val="24"/>
              </w:rPr>
              <w:t xml:space="preserve"> </w:t>
            </w:r>
            <w:r w:rsidRPr="006506EF">
              <w:rPr>
                <w:color w:val="000000"/>
                <w:kern w:val="0"/>
                <w:sz w:val="24"/>
              </w:rPr>
              <w:t>香港上海汇丰银行有限公司</w:t>
            </w:r>
          </w:p>
        </w:tc>
      </w:tr>
    </w:tbl>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§3  </w:t>
      </w:r>
      <w:r w:rsidRPr="006506EF">
        <w:rPr>
          <w:color w:val="000000"/>
          <w:kern w:val="0"/>
          <w:sz w:val="24"/>
          <w:szCs w:val="24"/>
        </w:rPr>
        <w:t>主要财务指标和基金净值表现</w:t>
      </w:r>
    </w:p>
    <w:p w:rsidP="00506D57"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3.1 </w:t>
      </w:r>
      <w:r w:rsidRPr="006506EF">
        <w:rPr>
          <w:b/>
          <w:color w:val="000000"/>
          <w:kern w:val="0"/>
          <w:sz w:val="24"/>
        </w:rPr>
        <w:t>主要财务指标</w:t>
      </w:r>
    </w:p>
    <w:p w:rsidP="008B6A4A"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F5013F" w:rsidRPr="006506EF" w:rsidTr="00B918B8">
        <w:tc>
          <w:tcPr>
            <w:tcW w:type="dxa" w:w="3402"/>
            <w:vAlign w:val="center"/>
          </w:tcPr>
          <w:p w:rsidP="00B918B8" w:rsidR="00F5013F" w:rsidRDefault="00F5013F"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
        </w:tc>
        <w:tc>
          <w:tcPr>
            <w:tcW w:type="dxa" w:w="4962"/>
            <w:hMerge w:val="restart"/>
            <w:vAlign w:val="center"/>
          </w:tcPr>
          <w:p w:rsidP="000306F0" w:rsidR="00F5013F" w:rsidRDefault="00F5013F" w:rsidRPr="006506EF">
            <w:pPr>
              <w:adjustRightInd w:val="0"/>
              <w:spacing w:before="29" w:line="360" w:lineRule="auto"/>
              <w:ind w:left="17"/>
              <w:jc w:val="center"/>
              <w:rPr>
                <w:color w:val="000000"/>
                <w:sz w:val="24"/>
              </w:rPr>
            </w:pPr>
            <w:r w:rsidRPr="006506EF">
              <w:rPr>
                <w:color w:val="000000"/>
                <w:sz w:val="24"/>
              </w:rPr>
              <w:t>报告期</w:t>
            </w:r>
          </w:p>
          <w:p w:rsidP="000306F0" w:rsidR="00F5013F" w:rsidRDefault="00F5013F" w:rsidRPr="006506EF">
            <w:pPr>
              <w:adjustRightInd w:val="0"/>
              <w:spacing w:before="29" w:line="360" w:lineRule="auto"/>
              <w:ind w:left="17"/>
              <w:jc w:val="center"/>
              <w:rPr>
                <w:color w:val="000000"/>
                <w:sz w:val="24"/>
              </w:rPr>
            </w:pPr>
            <w:r w:rsidRPr="006506EF">
              <w:rPr>
                <w:color w:val="000000"/>
                <w:sz w:val="24"/>
              </w:rPr>
              <w:t>(2020年4月1日-2020年6月30日)</w:t>
            </w:r>
          </w:p>
        </w:tc>
        <w:tc>
          <w:tcPr>
            <w:tcW w:type="dxa" w:w="2410"/>
            <w:hMerge/>
          </w:tcPr>
          <w:p w:rsidP="00B918B8" w:rsidR="00F5013F" w:rsidRDefault="00F5013F"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98,680,516.72</w:t>
            </w:r>
          </w:p>
        </w:tc>
        <w:tc>
          <w:tcPr>
            <w:tcW w:type="dxa" w:w="2410"/>
            <w:hMerge/>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318,610,088.79</w:t>
            </w:r>
          </w:p>
        </w:tc>
        <w:tc>
          <w:tcPr>
            <w:tcW w:type="dxa" w:w="2410"/>
            <w:hMerge/>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0.0358</w:t>
            </w:r>
          </w:p>
        </w:tc>
        <w:tc>
          <w:tcPr>
            <w:tcW w:type="dxa" w:w="2410"/>
            <w:hMerge/>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
            </w:r>
            <w:r w:rsidRPr="006506EF">
              <w:rPr>
                <w:color w:val="000000"/>
                <w:sz w:val="24"/>
              </w:rPr>
              <w:lastRenderedPageBreak/>
              <w:t>9,236,112,621.14</w:t>
            </w:r>
          </w:p>
        </w:tc>
        <w:tc>
          <w:tcPr>
            <w:tcW w:type="dxa" w:w="2410"/>
            <w:hMerge/>
          </w:tcPr>
          <w:p w:rsidP="00B918B8" w:rsidR="00F5013F" w:rsidRDefault="00F5013F"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r w:rsidR="00F5013F" w:rsidRPr="006506EF" w:rsidTr="00B918B8">
        <w:trPr>
          <w:trHeight w:val="158"/>
        </w:trPr>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lastRenderedPageBreak/>
              <w:t>5.</w:t>
            </w:r>
            <w:r w:rsidRPr="006506EF">
              <w:rPr>
                <w:kern w:val="0"/>
                <w:sz w:val="24"/>
              </w:rPr>
              <w:t>期末基金份额净值</w:t>
            </w:r>
          </w:p>
        </w:tc>
        <w:tc>
          <w:tcPr>
            <w:tcW w:type="dxa" w:w="4962"/>
            <w:hMerge w:val="restart"/>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1.1463</w:t>
            </w:r>
          </w:p>
        </w:tc>
        <w:tc>
          <w:tcPr>
            <w:tcW w:type="dxa" w:w="2410"/>
            <w:hMerge/>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A70EAB" w:rsidR="00F5013F" w:rsidRDefault="00F5013F" w:rsidRPr="006506EF">
      <w:pPr>
        <w:spacing w:line="360" w:lineRule="auto"/>
        <w:ind w:firstLine="480" w:firstLineChars="200"/>
        <w:rPr>
          <w:color w:val="000000"/>
          <w:sz w:val="24"/>
        </w:rPr>
      </w:pPr>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3.2 </w:t>
      </w:r>
      <w:r w:rsidRPr="006506EF">
        <w:rPr>
          <w:b/>
          <w:color w:val="000000"/>
          <w:kern w:val="0"/>
          <w:sz w:val="24"/>
        </w:rPr>
        <w:t>基金净值表现</w:t>
      </w:r>
    </w:p>
    <w:p w:rsidP="00EC4BA3" w:rsidR="00F5013F" w:rsidRDefault="00F5013F" w:rsidRPr="006506EF">
      <w:pPr>
        <w:autoSpaceDE w:val="0"/>
        <w:autoSpaceDN w:val="0"/>
        <w:adjustRightInd w:val="0"/>
        <w:spacing w:line="360" w:lineRule="auto"/>
        <w:jc w:val="left"/>
        <w:rPr>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6506EF">
          <w:rPr>
            <w:b/>
            <w:color w:val="000000"/>
            <w:kern w:val="0"/>
            <w:sz w:val="24"/>
          </w:rPr>
          <w:t>3.2.1</w:t>
        </w:r>
      </w:smartTag>
      <w:r w:rsidRPr="006506EF">
        <w:rPr>
          <w:b/>
          <w:color w:val="000000"/>
          <w:kern w:val="0"/>
          <w:sz w:val="24"/>
        </w:rPr>
        <w:t>本报告期基金份额净值增长率及其与同期业绩比较基准收益率的比较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F5013F" w:rsidRPr="006506EF" w:rsidTr="00B918B8">
        <w:tc>
          <w:tcPr>
            <w:tcW w:type="dxa" w:w="1395"/>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阶段</w:t>
            </w:r>
            <w:r w:rsidRPr="006506EF">
              <w:rPr>
                <w:color w:val="000000"/>
                <w:sz w:val="24"/>
              </w:rPr>
              <w:t/>
            </w:r>
          </w:p>
        </w:tc>
        <w:tc>
          <w:tcPr>
            <w:tcW w:type="dxa" w:w="1092"/>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净值增长率</w:t>
            </w:r>
            <w:r w:rsidRPr="006506EF">
              <w:rPr>
                <w:rFonts w:ascii="宋体" w:cs="宋体" w:hAnsi="宋体" w:hint="eastAsia"/>
                <w:color w:val="000000"/>
                <w:sz w:val="24"/>
              </w:rPr>
              <w:t>①</w:t>
            </w:r>
          </w:p>
        </w:tc>
        <w:tc>
          <w:tcPr>
            <w:tcW w:type="dxa" w:w="1161"/>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净值增长率标准差</w:t>
            </w:r>
            <w:r w:rsidRPr="006506EF">
              <w:rPr>
                <w:rFonts w:ascii="宋体" w:cs="宋体" w:hAnsi="宋体" w:hint="eastAsia"/>
                <w:color w:val="000000"/>
                <w:sz w:val="24"/>
              </w:rPr>
              <w:t>②</w:t>
            </w:r>
          </w:p>
        </w:tc>
        <w:tc>
          <w:tcPr>
            <w:tcW w:type="dxa" w:w="1181"/>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业绩比较基准收益率</w:t>
            </w:r>
            <w:r w:rsidRPr="006506EF">
              <w:rPr>
                <w:rFonts w:ascii="宋体" w:cs="宋体" w:hAnsi="宋体" w:hint="eastAsia"/>
                <w:color w:val="000000"/>
                <w:sz w:val="24"/>
              </w:rPr>
              <w:t>③</w:t>
            </w:r>
          </w:p>
        </w:tc>
        <w:tc>
          <w:tcPr>
            <w:tcW w:type="dxa" w:w="1188"/>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业绩比较基准收益率标准差</w:t>
            </w:r>
            <w:r w:rsidRPr="006506EF">
              <w:rPr>
                <w:rFonts w:ascii="宋体" w:cs="宋体" w:hAnsi="宋体" w:hint="eastAsia"/>
                <w:color w:val="000000"/>
                <w:sz w:val="24"/>
              </w:rPr>
              <w:t>④</w:t>
            </w:r>
          </w:p>
        </w:tc>
        <w:tc>
          <w:tcPr>
            <w:tcW w:type="dxa" w:w="1199"/>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rFonts w:ascii="宋体" w:cs="宋体" w:hAnsi="宋体" w:hint="eastAsia"/>
                <w:color w:val="000000"/>
                <w:sz w:val="24"/>
              </w:rPr>
              <w:t>①</w:t>
            </w:r>
            <w:r w:rsidRPr="006506EF">
              <w:rPr>
                <w:color w:val="000000"/>
                <w:sz w:val="24"/>
              </w:rPr>
              <w:t>-</w:t>
            </w:r>
            <w:r w:rsidRPr="006506EF">
              <w:rPr>
                <w:rFonts w:ascii="宋体" w:cs="宋体" w:hAnsi="宋体" w:hint="eastAsia"/>
                <w:color w:val="000000"/>
                <w:sz w:val="24"/>
              </w:rPr>
              <w:t>③</w:t>
            </w:r>
          </w:p>
        </w:tc>
        <w:tc>
          <w:tcPr>
            <w:tcW w:type="dxa" w:w="1204"/>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rFonts w:ascii="宋体" w:cs="宋体" w:hAnsi="宋体" w:hint="eastAsia"/>
                <w:color w:val="000000"/>
                <w:sz w:val="24"/>
              </w:rPr>
              <w:t>②</w:t>
            </w:r>
            <w:r w:rsidRPr="006506EF">
              <w:rPr>
                <w:color w:val="000000"/>
                <w:sz w:val="24"/>
              </w:rPr>
              <w:t>-</w:t>
            </w:r>
            <w:r w:rsidRPr="006506EF">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right"/>
            </w:pPr>
            <w:r>
              <w:rPr>
                <w:color w:val="000000"/>
                <w:sz w:val="24"/>
              </w:rPr>
              <w:t>3.06%</w:t>
            </w:r>
          </w:p>
        </w:tc>
        <w:tc>
          <w:tcPr>
            <w:vAlign w:val="center"/>
          </w:tcPr>
          <w:p>
            <w:pPr>
              <w:jc w:val="right"/>
            </w:pPr>
            <w:r>
              <w:rPr>
                <w:color w:val="000000"/>
                <w:sz w:val="24"/>
              </w:rPr>
              <w:t>1.34%</w:t>
            </w:r>
          </w:p>
        </w:tc>
        <w:tc>
          <w:tcPr>
            <w:vAlign w:val="center"/>
          </w:tcPr>
          <w:p>
            <w:pPr>
              <w:jc w:val="right"/>
            </w:pPr>
            <w:r>
              <w:rPr>
                <w:color w:val="000000"/>
                <w:sz w:val="24"/>
              </w:rPr>
              <w:t>1.68%</w:t>
            </w:r>
          </w:p>
        </w:tc>
        <w:tc>
          <w:tcPr>
            <w:vAlign w:val="center"/>
          </w:tcPr>
          <w:p>
            <w:pPr>
              <w:jc w:val="right"/>
            </w:pPr>
            <w:r>
              <w:rPr>
                <w:color w:val="000000"/>
                <w:sz w:val="24"/>
              </w:rPr>
              <w:t>1.35%</w:t>
            </w:r>
          </w:p>
        </w:tc>
        <w:tc>
          <w:tcPr>
            <w:vAlign w:val="center"/>
          </w:tcPr>
          <w:p>
            <w:pPr>
              <w:jc w:val="right"/>
            </w:pPr>
            <w:r>
              <w:rPr>
                <w:color w:val="000000"/>
                <w:sz w:val="24"/>
              </w:rPr>
              <w:t>1.38%</w:t>
            </w:r>
          </w:p>
        </w:tc>
        <w:tc>
          <w:tcPr>
            <w:vAlign w:val="center"/>
          </w:tcPr>
          <w:p>
            <w:pPr>
              <w:jc w:val="right"/>
            </w:pPr>
            <w:r>
              <w:rPr>
                <w:color w:val="000000"/>
                <w:sz w:val="24"/>
              </w:rPr>
              <w:t>-0.01%</w:t>
            </w:r>
          </w:p>
        </w:tc>
      </w:tr>
      <w:tr>
        <w:tc>
          <w:tcPr>
            <w:vAlign w:val="center"/>
          </w:tcPr>
          <w:p>
            <w:pPr>
              <w:jc w:val="left"/>
            </w:pPr>
            <w:r>
              <w:rPr>
                <w:color w:val="000000"/>
                <w:sz w:val="24"/>
              </w:rPr>
              <w:t>过去六个月</w:t>
            </w:r>
          </w:p>
        </w:tc>
        <w:tc>
          <w:tcPr>
            <w:vAlign w:val="center"/>
          </w:tcPr>
          <w:p>
            <w:pPr>
              <w:jc w:val="right"/>
            </w:pPr>
            <w:r>
              <w:rPr>
                <w:color w:val="000000"/>
                <w:sz w:val="24"/>
              </w:rPr>
              <w:t>-9.88%</w:t>
            </w:r>
          </w:p>
        </w:tc>
        <w:tc>
          <w:tcPr>
            <w:vAlign w:val="center"/>
          </w:tcPr>
          <w:p>
            <w:pPr>
              <w:jc w:val="right"/>
            </w:pPr>
            <w:r>
              <w:rPr>
                <w:color w:val="000000"/>
                <w:sz w:val="24"/>
              </w:rPr>
              <w:t>1.88%</w:t>
            </w:r>
          </w:p>
        </w:tc>
        <w:tc>
          <w:tcPr>
            <w:vAlign w:val="center"/>
          </w:tcPr>
          <w:p>
            <w:pPr>
              <w:jc w:val="right"/>
            </w:pPr>
            <w:r>
              <w:rPr>
                <w:color w:val="000000"/>
                <w:sz w:val="24"/>
              </w:rPr>
              <w:t>-10.90%</w:t>
            </w:r>
          </w:p>
        </w:tc>
        <w:tc>
          <w:tcPr>
            <w:vAlign w:val="center"/>
          </w:tcPr>
          <w:p>
            <w:pPr>
              <w:jc w:val="right"/>
            </w:pPr>
            <w:r>
              <w:rPr>
                <w:color w:val="000000"/>
                <w:sz w:val="24"/>
              </w:rPr>
              <w:t>1.89%</w:t>
            </w:r>
          </w:p>
        </w:tc>
        <w:tc>
          <w:tcPr>
            <w:vAlign w:val="center"/>
          </w:tcPr>
          <w:p>
            <w:pPr>
              <w:jc w:val="right"/>
            </w:pPr>
            <w:r>
              <w:rPr>
                <w:color w:val="000000"/>
                <w:sz w:val="24"/>
              </w:rPr>
              <w:t>1.02%</w:t>
            </w:r>
          </w:p>
        </w:tc>
        <w:tc>
          <w:tcPr>
            <w:vAlign w:val="center"/>
          </w:tcPr>
          <w:p>
            <w:pPr>
              <w:jc w:val="right"/>
            </w:pPr>
            <w:r>
              <w:rPr>
                <w:color w:val="000000"/>
                <w:sz w:val="24"/>
              </w:rPr>
              <w:t>-0.01%</w:t>
            </w:r>
          </w:p>
        </w:tc>
      </w:tr>
      <w:tr>
        <w:tc>
          <w:tcPr>
            <w:vAlign w:val="center"/>
          </w:tcPr>
          <w:p>
            <w:pPr>
              <w:jc w:val="left"/>
            </w:pPr>
            <w:r>
              <w:rPr>
                <w:color w:val="000000"/>
                <w:sz w:val="24"/>
              </w:rPr>
              <w:t>过去一年</w:t>
            </w:r>
          </w:p>
        </w:tc>
        <w:tc>
          <w:tcPr>
            <w:vAlign w:val="center"/>
          </w:tcPr>
          <w:p>
            <w:pPr>
              <w:jc w:val="right"/>
            </w:pPr>
            <w:r>
              <w:rPr>
                <w:color w:val="000000"/>
                <w:sz w:val="24"/>
              </w:rPr>
              <w:t>-5.41%</w:t>
            </w:r>
          </w:p>
        </w:tc>
        <w:tc>
          <w:tcPr>
            <w:vAlign w:val="center"/>
          </w:tcPr>
          <w:p>
            <w:pPr>
              <w:jc w:val="right"/>
            </w:pPr>
            <w:r>
              <w:rPr>
                <w:color w:val="000000"/>
                <w:sz w:val="24"/>
              </w:rPr>
              <w:t>1.46%</w:t>
            </w:r>
          </w:p>
        </w:tc>
        <w:tc>
          <w:tcPr>
            <w:vAlign w:val="center"/>
          </w:tcPr>
          <w:p>
            <w:pPr>
              <w:jc w:val="right"/>
            </w:pPr>
            <w:r>
              <w:rPr>
                <w:color w:val="000000"/>
                <w:sz w:val="24"/>
              </w:rPr>
              <w:t>-6.88%</w:t>
            </w:r>
          </w:p>
        </w:tc>
        <w:tc>
          <w:tcPr>
            <w:vAlign w:val="center"/>
          </w:tcPr>
          <w:p>
            <w:pPr>
              <w:jc w:val="right"/>
            </w:pPr>
            <w:r>
              <w:rPr>
                <w:color w:val="000000"/>
                <w:sz w:val="24"/>
              </w:rPr>
              <w:t>1.46%</w:t>
            </w:r>
          </w:p>
        </w:tc>
        <w:tc>
          <w:tcPr>
            <w:vAlign w:val="center"/>
          </w:tcPr>
          <w:p>
            <w:pPr>
              <w:jc w:val="right"/>
            </w:pPr>
            <w:r>
              <w:rPr>
                <w:color w:val="000000"/>
                <w:sz w:val="24"/>
              </w:rPr>
              <w:t>1.47%</w:t>
            </w:r>
          </w:p>
        </w:tc>
        <w:tc>
          <w:tcPr>
            <w:vAlign w:val="center"/>
          </w:tcPr>
          <w:p>
            <w:pPr>
              <w:jc w:val="right"/>
            </w:pPr>
            <w:r>
              <w:rPr>
                <w:color w:val="000000"/>
                <w:sz w:val="24"/>
              </w:rPr>
              <w:t>0.00%</w:t>
            </w:r>
          </w:p>
        </w:tc>
      </w:tr>
      <w:tr>
        <w:tc>
          <w:tcPr>
            <w:vAlign w:val="center"/>
          </w:tcPr>
          <w:p>
            <w:pPr>
              <w:jc w:val="left"/>
            </w:pPr>
            <w:r>
              <w:rPr>
                <w:color w:val="000000"/>
                <w:sz w:val="24"/>
              </w:rPr>
              <w:t>过去三年</w:t>
            </w:r>
          </w:p>
        </w:tc>
        <w:tc>
          <w:tcPr>
            <w:vAlign w:val="center"/>
          </w:tcPr>
          <w:p>
            <w:pPr>
              <w:jc w:val="right"/>
            </w:pPr>
            <w:r>
              <w:rPr>
                <w:color w:val="000000"/>
                <w:sz w:val="24"/>
              </w:rPr>
              <w:t>5.55%</w:t>
            </w:r>
          </w:p>
        </w:tc>
        <w:tc>
          <w:tcPr>
            <w:vAlign w:val="center"/>
          </w:tcPr>
          <w:p>
            <w:pPr>
              <w:jc w:val="right"/>
            </w:pPr>
            <w:r>
              <w:rPr>
                <w:color w:val="000000"/>
                <w:sz w:val="24"/>
              </w:rPr>
              <w:t>1.30%</w:t>
            </w:r>
          </w:p>
        </w:tc>
        <w:tc>
          <w:tcPr>
            <w:vAlign w:val="center"/>
          </w:tcPr>
          <w:p>
            <w:pPr>
              <w:jc w:val="right"/>
            </w:pPr>
            <w:r>
              <w:rPr>
                <w:color w:val="000000"/>
                <w:sz w:val="24"/>
              </w:rPr>
              <w:t>-0.91%</w:t>
            </w:r>
          </w:p>
        </w:tc>
        <w:tc>
          <w:tcPr>
            <w:vAlign w:val="center"/>
          </w:tcPr>
          <w:p>
            <w:pPr>
              <w:jc w:val="right"/>
            </w:pPr>
            <w:r>
              <w:rPr>
                <w:color w:val="000000"/>
                <w:sz w:val="24"/>
              </w:rPr>
              <w:t>1.32%</w:t>
            </w:r>
          </w:p>
        </w:tc>
        <w:tc>
          <w:tcPr>
            <w:vAlign w:val="center"/>
          </w:tcPr>
          <w:p>
            <w:pPr>
              <w:jc w:val="right"/>
            </w:pPr>
            <w:r>
              <w:rPr>
                <w:color w:val="000000"/>
                <w:sz w:val="24"/>
              </w:rPr>
              <w:t>6.46%</w:t>
            </w:r>
          </w:p>
        </w:tc>
        <w:tc>
          <w:tcPr>
            <w:vAlign w:val="center"/>
          </w:tcPr>
          <w:p>
            <w:pPr>
              <w:jc w:val="right"/>
            </w:pPr>
            <w:r>
              <w:rPr>
                <w:color w:val="000000"/>
                <w:sz w:val="24"/>
              </w:rPr>
              <w:t>-0.02%</w:t>
            </w:r>
          </w:p>
        </w:tc>
      </w:tr>
      <w:tr>
        <w:tc>
          <w:tcPr>
            <w:vAlign w:val="center"/>
          </w:tcPr>
          <w:p>
            <w:pPr>
              <w:jc w:val="left"/>
            </w:pPr>
            <w:r>
              <w:rPr>
                <w:color w:val="000000"/>
                <w:sz w:val="24"/>
              </w:rPr>
              <w:t>过去五年</w:t>
            </w:r>
          </w:p>
        </w:tc>
        <w:tc>
          <w:tcPr>
            <w:vAlign w:val="center"/>
          </w:tcPr>
          <w:p>
            <w:pPr>
              <w:jc w:val="right"/>
            </w:pPr>
            <w:r>
              <w:rPr>
                <w:color w:val="000000"/>
                <w:sz w:val="24"/>
              </w:rPr>
              <w:t>-3.15%</w:t>
            </w:r>
          </w:p>
        </w:tc>
        <w:tc>
          <w:tcPr>
            <w:vAlign w:val="center"/>
          </w:tcPr>
          <w:p>
            <w:pPr>
              <w:jc w:val="right"/>
            </w:pPr>
            <w:r>
              <w:rPr>
                <w:color w:val="000000"/>
                <w:sz w:val="24"/>
              </w:rPr>
              <w:t>1.35%</w:t>
            </w:r>
          </w:p>
        </w:tc>
        <w:tc>
          <w:tcPr>
            <w:vAlign w:val="center"/>
          </w:tcPr>
          <w:p>
            <w:pPr>
              <w:jc w:val="right"/>
            </w:pPr>
            <w:r>
              <w:rPr>
                <w:color w:val="000000"/>
                <w:sz w:val="24"/>
              </w:rPr>
              <w:t>-12.93%</w:t>
            </w:r>
          </w:p>
        </w:tc>
        <w:tc>
          <w:tcPr>
            <w:vAlign w:val="center"/>
          </w:tcPr>
          <w:p>
            <w:pPr>
              <w:jc w:val="right"/>
            </w:pPr>
            <w:r>
              <w:rPr>
                <w:color w:val="000000"/>
                <w:sz w:val="24"/>
              </w:rPr>
              <w:t>1.38%</w:t>
            </w:r>
          </w:p>
        </w:tc>
        <w:tc>
          <w:tcPr>
            <w:vAlign w:val="center"/>
          </w:tcPr>
          <w:p>
            <w:pPr>
              <w:jc w:val="right"/>
            </w:pPr>
            <w:r>
              <w:rPr>
                <w:color w:val="000000"/>
                <w:sz w:val="24"/>
              </w:rPr>
              <w:t>9.78%</w:t>
            </w:r>
          </w:p>
        </w:tc>
        <w:tc>
          <w:tcPr>
            <w:vAlign w:val="center"/>
          </w:tcPr>
          <w:p>
            <w:pPr>
              <w:jc w:val="right"/>
            </w:pPr>
            <w:r>
              <w:rPr>
                <w:color w:val="000000"/>
                <w:sz w:val="24"/>
              </w:rPr>
              <w:t>-0.03%</w:t>
            </w:r>
          </w:p>
        </w:tc>
      </w:tr>
      <w:tr>
        <w:tc>
          <w:tcPr>
            <w:vAlign w:val="center"/>
          </w:tcPr>
          <w:p>
            <w:pPr>
              <w:jc w:val="left"/>
            </w:pPr>
            <w:r>
              <w:rPr>
                <w:color w:val="000000"/>
                <w:sz w:val="24"/>
              </w:rPr>
              <w:t>自基金合同生效起至今</w:t>
            </w:r>
          </w:p>
        </w:tc>
        <w:tc>
          <w:tcPr>
            <w:vAlign w:val="center"/>
          </w:tcPr>
          <w:p>
            <w:pPr>
              <w:jc w:val="right"/>
            </w:pPr>
            <w:r>
              <w:rPr>
                <w:color w:val="000000"/>
                <w:sz w:val="24"/>
              </w:rPr>
              <w:t>19.73%</w:t>
            </w:r>
          </w:p>
        </w:tc>
        <w:tc>
          <w:tcPr>
            <w:vAlign w:val="center"/>
          </w:tcPr>
          <w:p>
            <w:pPr>
              <w:jc w:val="right"/>
            </w:pPr>
            <w:r>
              <w:rPr>
                <w:color w:val="000000"/>
                <w:sz w:val="24"/>
              </w:rPr>
              <w:t>1.33%</w:t>
            </w:r>
          </w:p>
        </w:tc>
        <w:tc>
          <w:tcPr>
            <w:vAlign w:val="center"/>
          </w:tcPr>
          <w:p>
            <w:pPr>
              <w:jc w:val="right"/>
            </w:pPr>
            <w:r>
              <w:rPr>
                <w:color w:val="000000"/>
                <w:sz w:val="24"/>
              </w:rPr>
              <w:t>10.53%</w:t>
            </w:r>
          </w:p>
        </w:tc>
        <w:tc>
          <w:tcPr>
            <w:vAlign w:val="center"/>
          </w:tcPr>
          <w:p>
            <w:pPr>
              <w:jc w:val="right"/>
            </w:pPr>
            <w:r>
              <w:rPr>
                <w:color w:val="000000"/>
                <w:sz w:val="24"/>
              </w:rPr>
              <w:t>1.37%</w:t>
            </w:r>
          </w:p>
        </w:tc>
        <w:tc>
          <w:tcPr>
            <w:vAlign w:val="center"/>
          </w:tcPr>
          <w:p>
            <w:pPr>
              <w:jc w:val="right"/>
            </w:pPr>
            <w:r>
              <w:rPr>
                <w:color w:val="000000"/>
                <w:sz w:val="24"/>
              </w:rPr>
              <w:t>9.20%</w:t>
            </w:r>
          </w:p>
        </w:tc>
        <w:tc>
          <w:tcPr>
            <w:vAlign w:val="center"/>
          </w:tcPr>
          <w:p>
            <w:pPr>
              <w:jc w:val="right"/>
            </w:pPr>
            <w:r>
              <w:rPr>
                <w:color w:val="000000"/>
                <w:sz w:val="24"/>
              </w:rPr>
              <w:t>-0.04%</w:t>
            </w:r>
          </w:p>
        </w:tc>
      </w:tr>
    </w:tbl>
    <w:p w:rsidP="00EC4BA3" w:rsidR="00F5013F" w:rsidRDefault="00F5013F" w:rsidRPr="006506EF">
      <w:pPr>
        <w:autoSpaceDE w:val="0"/>
        <w:autoSpaceDN w:val="0"/>
        <w:adjustRightInd w:val="0"/>
        <w:spacing w:line="360" w:lineRule="auto"/>
        <w:jc w:val="left"/>
        <w:rPr>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6506EF">
          <w:rPr>
            <w:b/>
            <w:color w:val="000000"/>
            <w:kern w:val="0"/>
            <w:sz w:val="24"/>
          </w:rPr>
          <w:t>3.2.2</w:t>
        </w:r>
        <w:r w:rsidRPr="006506EF">
          <w:rPr>
            <w:b/>
            <w:color w:val="000000"/>
            <w:kern w:val="0"/>
            <w:sz w:val="24"/>
          </w:rPr>
          <w:t xml:space="preserve">　</w:t>
        </w:r>
        <w:r w:rsidR="00DF4456" w:rsidRPr="006506EF">
          <w:rPr>
            <w:rStyle w:val="af8"/>
            <w:color w:val="000000"/>
            <w:sz w:val="24"/>
            <w:shd w:color="auto" w:fill="FFFFFF" w:val="clear"/>
          </w:rPr>
          <w:t>自基金合同生效以来</w:t>
        </w:r>
      </w:smartTag>
      <w:r w:rsidRPr="006506EF">
        <w:rPr>
          <w:b/>
          <w:color w:val="000000"/>
          <w:kern w:val="0"/>
          <w:sz w:val="24"/>
        </w:rPr>
        <w:t>基金累计</w:t>
      </w:r>
      <w:r w:rsidR="000C6EE5" w:rsidRPr="006506EF">
        <w:rPr>
          <w:b/>
          <w:color w:val="000000"/>
          <w:kern w:val="0"/>
          <w:sz w:val="24"/>
        </w:rPr>
        <w:t>份额</w:t>
      </w:r>
      <w:r w:rsidRPr="006506EF">
        <w:rPr>
          <w:b/>
          <w:color w:val="000000"/>
          <w:kern w:val="0"/>
          <w:sz w:val="24"/>
        </w:rPr>
        <w:t>净值增长率变动及其与同期业绩比较基准收益率变动的比较</w:t>
      </w:r>
    </w:p>
    <w:p w:rsidP="00EC4BA3" w:rsidR="00F5013F" w:rsidRDefault="00F5013F" w:rsidRPr="006506EF">
      <w:pPr>
        <w:spacing w:line="360" w:lineRule="auto"/>
        <w:jc w:val="center"/>
        <w:rPr>
          <w:sz w:val="24"/>
        </w:rPr>
      </w:pPr>
      <w:r w:rsidRPr="006506EF">
        <w:rPr>
          <w:sz w:val="24"/>
        </w:rPr>
        <w:t>易方达恒生中国企业交易型开放式指数证券投资基金</w:t>
      </w:r>
    </w:p>
    <w:p w:rsidP="00EC4BA3" w:rsidR="00F5013F" w:rsidRDefault="00F5013F" w:rsidRPr="006506EF">
      <w:pPr>
        <w:pStyle w:val="a5"/>
        <w:snapToGrid w:val="0"/>
        <w:spacing w:line="360" w:lineRule="auto"/>
        <w:ind w:firstLine="480"/>
        <w:jc w:val="center"/>
        <w:rPr>
          <w:rFonts w:ascii="Times New Roman" w:hAnsi="Times New Roman"/>
          <w:color w:val="000000"/>
          <w:sz w:val="24"/>
          <w:szCs w:val="24"/>
        </w:rPr>
      </w:pPr>
      <w:r w:rsidRPr="006506EF">
        <w:rPr>
          <w:rFonts w:ascii="Times New Roman" w:hAnsi="Times New Roman"/>
          <w:color w:val="000000"/>
          <w:sz w:val="24"/>
          <w:szCs w:val="24"/>
        </w:rPr>
        <w:t>累计净值增长率与业绩比较基准收益率的历史走势对比图</w:t>
      </w:r>
    </w:p>
    <w:p w:rsidP="00EC4BA3" w:rsidR="00F5013F" w:rsidRDefault="00F5013F" w:rsidRPr="006506EF">
      <w:pPr>
        <w:spacing w:line="360" w:lineRule="auto"/>
        <w:jc w:val="center"/>
        <w:rPr>
          <w:sz w:val="24"/>
        </w:rPr>
      </w:pPr>
      <w:r w:rsidRPr="006506EF">
        <w:rPr>
          <w:color w:val="000000"/>
          <w:kern w:val="0"/>
          <w:sz w:val="24"/>
        </w:rPr>
        <w:t>（</w:t>
      </w:r>
      <w:r w:rsidRPr="006506EF">
        <w:rPr>
          <w:color w:val="000000"/>
          <w:kern w:val="0"/>
          <w:sz w:val="24"/>
        </w:rPr>
        <w:t>2012年8月9日</w:t>
      </w:r>
      <w:r w:rsidRPr="006506EF">
        <w:rPr>
          <w:color w:val="000000"/>
          <w:kern w:val="0"/>
          <w:sz w:val="24"/>
        </w:rPr>
        <w:t>至</w:t>
      </w:r>
      <w:r w:rsidRPr="006506EF">
        <w:rPr>
          <w:color w:val="000000"/>
          <w:kern w:val="0"/>
          <w:sz w:val="24"/>
        </w:rPr>
        <w:t>2020年6月30日</w:t>
      </w:r>
      <w:r w:rsidRPr="006506EF">
        <w:rPr>
          <w:color w:val="000000"/>
          <w:kern w:val="0"/>
          <w:sz w:val="24"/>
        </w:rPr>
        <w:t>）</w:t>
      </w:r>
    </w:p>
    <w:p w:rsidP="00A96FD9" w:rsidR="00F5013F" w:rsidRDefault="00536368" w:rsidRPr="006506EF">
      <w:pPr>
        <w:tabs>
          <w:tab w:pos="1800" w:val="left"/>
        </w:tabs>
        <w:spacing w:line="360" w:lineRule="auto"/>
        <w:jc w:val="center"/>
        <w:rPr>
          <w:color w:val="000000"/>
          <w:sz w:val="24"/>
        </w:rPr>
      </w:pPr>
      <w:r>
        <w:rPr>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0"/>
          </v:shape>
        </w:pict>
      </w:r>
    </w:p>
    <w:p>
      <w:pPr>
        <w:spacing w:line="360" w:lineRule="auto"/>
        <w:ind w:firstLine="480" w:firstLineChars="200"/>
        <w:rPr>
          <w:color w:val="000000"/>
          <w:sz w:val="24"/>
        </w:rPr>
      </w:pPr>
      <w:r>
        <w:rPr>
          <w:color w:val="000000"/>
          <w:sz w:val="24"/>
        </w:rPr>
        <w:t>注：1.本基金的业绩比较基准已经转换为以人民币计价。</w:t>
      </w:r>
    </w:p>
    <w:p w:rsidP="00DB3360" w:rsidR="00F5013F" w:rsidRDefault="00F5013F" w:rsidRPr="006506EF">
      <w:pPr>
        <w:spacing w:line="360" w:lineRule="auto"/>
        <w:ind w:firstLine="480" w:firstLineChars="200"/>
        <w:rPr>
          <w:color w:val="000000"/>
          <w:sz w:val="24"/>
        </w:rPr>
      </w:pPr>
      <w:r w:rsidRPr="006506EF">
        <w:rPr>
          <w:color w:val="000000"/>
          <w:sz w:val="24"/>
        </w:rPr>
        <w:t>2.自基金合同生效至报告期末，基金份额净值增长率为19.73%，同期业绩比较基准收益率为10.53％。</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§4  </w:t>
      </w:r>
      <w:r w:rsidRPr="006506EF">
        <w:rPr>
          <w:color w:val="000000"/>
          <w:kern w:val="0"/>
          <w:sz w:val="24"/>
          <w:szCs w:val="24"/>
        </w:rPr>
        <w:t>管理人报告</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4.1 </w:t>
      </w:r>
      <w:r w:rsidRPr="006506EF">
        <w:rPr>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F5013F" w:rsidRPr="006506EF" w:rsidTr="00A22642">
        <w:trPr>
          <w:cantSplit/>
          <w:trHeight w:val="292"/>
        </w:trPr>
        <w:tc>
          <w:tcPr>
            <w:tcW w:type="dxa" w:w="851"/>
            <w:vMerge w:val="restart"/>
            <w:vAlign w:val="center"/>
          </w:tcPr>
          <w:p w:rsidP="00B918B8" w:rsidR="00F5013F" w:rsidRDefault="00F5013F" w:rsidRPr="006506EF">
            <w:pPr>
              <w:widowControl/>
              <w:spacing w:before="29" w:line="360" w:lineRule="auto"/>
              <w:ind w:left="17"/>
              <w:jc w:val="center"/>
              <w:rPr>
                <w:color w:val="000000"/>
                <w:kern w:val="0"/>
                <w:sz w:val="24"/>
              </w:rPr>
            </w:pPr>
            <w:r w:rsidRPr="006506EF">
              <w:rPr>
                <w:color w:val="000000"/>
                <w:kern w:val="0"/>
                <w:sz w:val="24"/>
              </w:rPr>
              <w:t>姓名</w:t>
            </w:r>
          </w:p>
        </w:tc>
        <w:tc>
          <w:tcPr>
            <w:tcW w:type="dxa" w:w="3260"/>
            <w:vMerge w:val="restart"/>
            <w:vAlign w:val="center"/>
          </w:tcPr>
          <w:p w:rsidP="00B918B8" w:rsidR="00F5013F" w:rsidRDefault="00F5013F" w:rsidRPr="006506EF">
            <w:pPr>
              <w:widowControl/>
              <w:spacing w:before="29" w:line="360" w:lineRule="auto"/>
              <w:ind w:left="17"/>
              <w:jc w:val="center"/>
              <w:rPr>
                <w:color w:val="000000"/>
                <w:kern w:val="0"/>
                <w:sz w:val="24"/>
              </w:rPr>
            </w:pPr>
            <w:r w:rsidRPr="006506EF">
              <w:rPr>
                <w:color w:val="000000"/>
                <w:kern w:val="0"/>
                <w:sz w:val="24"/>
              </w:rPr>
              <w:t>职务</w:t>
            </w:r>
          </w:p>
        </w:tc>
        <w:tc>
          <w:tcPr>
            <w:tcW w:type="dxa" w:w="2552"/>
            <w:gridSpan w:val="2"/>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任本基金的基金经理期限</w:t>
            </w:r>
          </w:p>
        </w:tc>
        <w:tc>
          <w:tcPr>
            <w:tcW w:type="dxa" w:w="850"/>
            <w:vMerge w:val="restart"/>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证券从业年限</w:t>
            </w:r>
          </w:p>
        </w:tc>
        <w:tc>
          <w:tcPr>
            <w:tcW w:type="dxa" w:w="1418"/>
            <w:vMerge w:val="restart"/>
            <w:vAlign w:val="center"/>
          </w:tcPr>
          <w:p w:rsidP="00B918B8" w:rsidR="00F5013F" w:rsidRDefault="00F5013F" w:rsidRPr="006506EF">
            <w:pPr>
              <w:widowControl/>
              <w:spacing w:before="29" w:line="360" w:lineRule="auto"/>
              <w:ind w:left="17"/>
              <w:jc w:val="center"/>
              <w:rPr>
                <w:color w:val="000000"/>
                <w:kern w:val="0"/>
                <w:sz w:val="24"/>
              </w:rPr>
            </w:pPr>
            <w:r w:rsidRPr="006506EF">
              <w:rPr>
                <w:color w:val="000000"/>
                <w:kern w:val="0"/>
                <w:sz w:val="24"/>
              </w:rPr>
              <w:t>说明</w:t>
            </w:r>
          </w:p>
        </w:tc>
      </w:tr>
      <w:tr w:rsidR="00F5013F" w:rsidRPr="006506EF" w:rsidTr="00A22642">
        <w:trPr>
          <w:cantSplit/>
        </w:trPr>
        <w:tc>
          <w:tcPr>
            <w:tcW w:type="dxa" w:w="851"/>
            <w:vMerge/>
            <w:vAlign w:val="center"/>
          </w:tcPr>
          <w:p w:rsidP="00B918B8" w:rsidR="00F5013F" w:rsidRDefault="00F5013F" w:rsidRPr="006506EF">
            <w:pPr>
              <w:widowControl/>
              <w:spacing w:line="360" w:lineRule="auto"/>
              <w:jc w:val="left"/>
              <w:rPr>
                <w:color w:val="000000"/>
                <w:kern w:val="0"/>
                <w:sz w:val="24"/>
              </w:rPr>
            </w:pPr>
          </w:p>
        </w:tc>
        <w:tc>
          <w:tcPr>
            <w:tcW w:type="dxa" w:w="3260"/>
            <w:vMerge/>
            <w:vAlign w:val="center"/>
          </w:tcPr>
          <w:p w:rsidP="00B918B8" w:rsidR="00F5013F" w:rsidRDefault="00F5013F" w:rsidRPr="006506EF">
            <w:pPr>
              <w:widowControl/>
              <w:spacing w:line="360" w:lineRule="auto"/>
              <w:jc w:val="left"/>
              <w:rPr>
                <w:color w:val="000000"/>
                <w:kern w:val="0"/>
                <w:sz w:val="24"/>
              </w:rPr>
            </w:pPr>
          </w:p>
        </w:tc>
        <w:tc>
          <w:tcPr>
            <w:tcW w:type="dxa" w:w="1276"/>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任职日期</w:t>
            </w:r>
          </w:p>
        </w:tc>
        <w:tc>
          <w:tcPr>
            <w:tcW w:type="dxa" w:w="1276"/>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离任日期</w:t>
            </w:r>
          </w:p>
        </w:tc>
        <w:tc>
          <w:tcPr>
            <w:tcW w:type="dxa" w:w="850"/>
            <w:vMerge/>
            <w:vAlign w:val="center"/>
          </w:tcPr>
          <w:p w:rsidP="00B918B8" w:rsidR="00F5013F" w:rsidRDefault="00F5013F" w:rsidRPr="006506EF">
            <w:pPr>
              <w:widowControl/>
              <w:spacing w:line="360" w:lineRule="auto"/>
              <w:jc w:val="left"/>
              <w:rPr>
                <w:color w:val="000000"/>
                <w:kern w:val="0"/>
                <w:sz w:val="24"/>
              </w:rPr>
            </w:pPr>
          </w:p>
        </w:tc>
        <w:tc>
          <w:tcPr>
            <w:tcW w:type="dxa" w:w="1418"/>
            <w:vMerge/>
            <w:vAlign w:val="center"/>
          </w:tcPr>
          <w:p w:rsidP="00B918B8" w:rsidR="00F5013F" w:rsidRDefault="00F5013F" w:rsidRPr="006506EF">
            <w:pPr>
              <w:widowControl/>
              <w:spacing w:line="360" w:lineRule="auto"/>
              <w:jc w:val="left"/>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军工指数分级证券投资基金的基金经理、易方达证券公司指数分级证券投资基金的基金经理、易方达沪深300交易型开放式指数发起式证券投资基金的基金经理、易方达中证500交易型开放式指数证券投资基金的基金经理、易方达沪深300交易型开放式指数发起式证券投资基金联接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恒生中国企业交易型开放式指数证券投资基金联接基金的基金经理、易方达黄金交易型开放式证券投资基金联接基金的基金经理、易方达黄金交易型开放式证券投资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2018-08-11</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left"/>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创业板交易型开放式指数证券投资基金的基金经理、易方达并购重组指数分级证券投资基金的基金经理（自2016年05月07日至2020年04月22日）、易方达生物科技指数分级证券投资基金的基金经理（自2016年05月07日至2020年04月22日）、易方达银行指数分级证券投资基金的基金经理（自2016年05月07日至2020年04月22日）、易方达中小板指数证券投资基金（LOF）的基金经理（自2016年05月07日至2020年04月22日）、易方达深证100交易型开放式指数证券投资基金联接基金的基金经理、易方达创业板交易型开放式指数证券投资基金联接基金的基金经理、易方达深证100交易型开放式指数基金的基金经理、易方达MSCI中国A股国际通交易型开放式指数证券投资基金的基金经理（自2018年05月17日至2020年04月22日）、易方达纳斯达克100指数证券投资基金（LOF）的基金经理（自2018年08月11日至2020年04月22日）、易方达原油证券投资基金（QDII）的基金经理、易方达恒生中国企业交易型开放式指数证券投资基金联接基金的基金经理、易方达MSCI中国A股国际通交易型开放式指数证券投资基金发起式联接基金的基金经理（自2019年03月13日至2020年04月22日）、易方达上证50交易型开放式指数证券投资基金的基金经理、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2018-08-11</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left"/>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A70EAB" w:rsidR="00F5013F" w:rsidRDefault="00F5013F" w:rsidRPr="006506EF">
      <w:pPr>
        <w:spacing w:line="360" w:lineRule="auto"/>
        <w:ind w:firstLine="480" w:firstLineChars="200"/>
        <w:rPr>
          <w:color w:val="000000"/>
          <w:sz w:val="24"/>
        </w:rPr>
      </w:pPr>
      <w:r w:rsidRPr="006506EF">
        <w:rPr>
          <w:color w:val="000000"/>
          <w:sz w:val="24"/>
        </w:rPr>
        <w:t>2.证券从业的含义遵从《证券业从业人员资格管理办法》的相关规定。</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4.2 </w:t>
      </w:r>
      <w:r w:rsidRPr="006506EF">
        <w:rPr>
          <w:b/>
          <w:color w:val="000000"/>
          <w:kern w:val="0"/>
          <w:sz w:val="24"/>
        </w:rPr>
        <w:t>境外投资顾问为本基金提供投资建议的主要成员简介</w:t>
      </w:r>
    </w:p>
    <w:p w:rsidP="00A70EAB" w:rsidR="00F5013F" w:rsidRDefault="00F5013F" w:rsidRPr="006506EF">
      <w:pPr>
        <w:spacing w:line="360" w:lineRule="auto"/>
        <w:ind w:firstLine="480" w:firstLineChars="200"/>
        <w:rPr>
          <w:color w:val="000000"/>
          <w:sz w:val="24"/>
        </w:rPr>
      </w:pPr>
      <w:r w:rsidRPr="006506EF">
        <w:rPr>
          <w:color w:val="000000"/>
          <w:sz w:val="24"/>
        </w:rPr>
        <w:t>本基金未聘请境外投资顾问。</w:t>
      </w:r>
    </w:p>
    <w:p w:rsidP="00A70E2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4.3 </w:t>
      </w:r>
      <w:r w:rsidRPr="006506EF">
        <w:rPr>
          <w:b/>
          <w:color w:val="000000"/>
          <w:kern w:val="0"/>
          <w:sz w:val="24"/>
        </w:rPr>
        <w:t>报告期内本基金运作遵规守信情况说明</w:t>
      </w:r>
    </w:p>
    <w:p w:rsidP="00A70EAB" w:rsidR="00F5013F" w:rsidRDefault="00F5013F" w:rsidRPr="006506EF">
      <w:pPr>
        <w:spacing w:line="360" w:lineRule="auto"/>
        <w:ind w:firstLine="480" w:firstLineChars="200"/>
        <w:rPr>
          <w:color w:val="000000"/>
          <w:sz w:val="24"/>
        </w:rPr>
      </w:pPr>
      <w:r w:rsidRPr="006506EF">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A70E2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4.4 </w:t>
      </w:r>
      <w:r w:rsidRPr="006506EF">
        <w:rPr>
          <w:b/>
          <w:color w:val="000000"/>
          <w:kern w:val="0"/>
          <w:sz w:val="24"/>
        </w:rPr>
        <w:t>公平交易专项说明</w:t>
      </w:r>
    </w:p>
    <w:p w:rsidP="00A70E23" w:rsidR="00F5013F" w:rsidRDefault="00F5013F" w:rsidRPr="006506EF">
      <w:pPr>
        <w:spacing w:line="360" w:lineRule="auto"/>
        <w:rPr>
          <w:sz w:val="24"/>
        </w:rPr>
      </w:pPr>
      <w:r w:rsidRPr="006506EF">
        <w:rPr>
          <w:sz w:val="24"/>
        </w:rPr>
        <w:t xml:space="preserve">4.4.1 </w:t>
      </w:r>
      <w:r w:rsidRPr="006506EF">
        <w:rPr>
          <w:sz w:val="24"/>
        </w:rPr>
        <w:t>公平交易制度的执行情况</w:t>
      </w:r>
    </w:p>
    <w:p w:rsidP="00547F92" w:rsidR="00F5013F" w:rsidRDefault="00F5013F" w:rsidRPr="006506EF">
      <w:pPr>
        <w:spacing w:line="360" w:lineRule="auto"/>
        <w:ind w:firstLine="480" w:firstLineChars="200"/>
        <w:rPr>
          <w:color w:val="000000"/>
          <w:sz w:val="24"/>
        </w:rPr>
      </w:pPr>
      <w:r w:rsidRPr="006506EF">
        <w:rPr>
          <w:color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A70E23" w:rsidR="00F5013F" w:rsidRDefault="00F5013F" w:rsidRPr="006506EF">
      <w:pPr>
        <w:spacing w:line="360" w:lineRule="auto"/>
        <w:rPr>
          <w:sz w:val="24"/>
        </w:rPr>
      </w:pPr>
      <w:r w:rsidRPr="006506EF">
        <w:rPr>
          <w:sz w:val="24"/>
        </w:rPr>
        <w:t>4.4.2</w:t>
      </w:r>
      <w:r w:rsidRPr="006506EF">
        <w:rPr>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A70EAB" w:rsidR="00F5013F" w:rsidRDefault="00F5013F" w:rsidRPr="006506EF">
      <w:pPr>
        <w:spacing w:line="360" w:lineRule="auto"/>
        <w:ind w:firstLine="480" w:firstLineChars="200"/>
        <w:rPr>
          <w:color w:val="000000"/>
          <w:sz w:val="24"/>
        </w:rPr>
      </w:pPr>
      <w:r w:rsidRPr="006506EF">
        <w:rPr>
          <w:color w:val="000000"/>
          <w:sz w:val="24"/>
        </w:rPr>
        <w:t>本报告期内，未发现本基金有可能导致不公平交易和利益输送的异常交易。</w:t>
      </w:r>
    </w:p>
    <w:p w:rsidP="00E13203" w:rsidR="00F5013F" w:rsidRDefault="00F5013F" w:rsidRPr="006506EF">
      <w:pPr>
        <w:autoSpaceDE w:val="0"/>
        <w:autoSpaceDN w:val="0"/>
        <w:adjustRightInd w:val="0"/>
        <w:spacing w:line="360" w:lineRule="auto"/>
        <w:jc w:val="left"/>
        <w:rPr>
          <w:sz w:val="24"/>
        </w:rPr>
      </w:pPr>
      <w:r w:rsidRPr="006506EF">
        <w:rPr>
          <w:b/>
          <w:color w:val="000000"/>
          <w:kern w:val="0"/>
          <w:sz w:val="24"/>
        </w:rPr>
        <w:t>4.5</w:t>
      </w:r>
      <w:r w:rsidR="006F7291">
        <w:rPr>
          <w:rFonts w:hint="eastAsia"/>
          <w:b/>
          <w:color w:val="000000"/>
          <w:kern w:val="0"/>
          <w:sz w:val="24"/>
        </w:rPr>
        <w:t xml:space="preserve"> </w:t>
      </w:r>
      <w:r w:rsidR="00E13203" w:rsidRPr="00E13203">
        <w:rPr>
          <w:rFonts w:hint="eastAsia"/>
          <w:b/>
          <w:color w:val="000000"/>
          <w:kern w:val="0"/>
          <w:sz w:val="24"/>
        </w:rPr>
        <w:t>报告期内基金的投资策略和业绩表现说明</w:t>
      </w:r>
    </w:p>
    <w:p>
      <w:pPr>
        <w:spacing w:line="360" w:lineRule="auto"/>
        <w:ind w:firstLine="480" w:firstLineChars="200"/>
        <w:rPr>
          <w:color w:val="000000"/>
          <w:sz w:val="24"/>
        </w:rPr>
      </w:pPr>
      <w:r>
        <w:rPr>
          <w:color w:val="000000"/>
          <w:sz w:val="24"/>
        </w:rPr>
        <w:t>本基金跟踪的标的指数为恒生中国企业指数，恒生中国企业指数的成份股为在香港上市交易的内地公司，涵盖了H股、红筹股及民营企业。上市公司的基本面变化取决于国内经济的增长前景，但市场交易主体包括欧美等海外资金，流动性受欧美等发达经济体的直接影响。该指数是香港市场最具影响力的基准指数之一。本基金主要采取组合复制策略和适当的替代性策略实现对标的指数的紧密跟踪。</w:t>
      </w:r>
    </w:p>
    <w:p>
      <w:pPr>
        <w:spacing w:line="360" w:lineRule="auto"/>
        <w:ind w:firstLine="480" w:firstLineChars="200"/>
        <w:rPr>
          <w:color w:val="000000"/>
          <w:sz w:val="24"/>
        </w:rPr>
      </w:pPr>
      <w:r>
        <w:rPr>
          <w:color w:val="000000"/>
          <w:sz w:val="24"/>
        </w:rPr>
        <w:t>2020年二季度，随着“新冠疫情”在海外的加剧，海外市场的复工复产低于预期，经济下滑态势明显。但是资本市场受益于流动性极度宽松，反而走势较好。恒生中国企业指数在3月下旬跌至历史估值底部之后迅速反弹，但二季度受全球疫情和中美争端影响，以及投资者对香港市场不确定的担忧，指数上涨也受到了抑制。</w:t>
      </w:r>
    </w:p>
    <w:p>
      <w:pPr>
        <w:spacing w:line="360" w:lineRule="auto"/>
        <w:ind w:firstLine="480" w:firstLineChars="200"/>
        <w:rPr>
          <w:color w:val="000000"/>
          <w:sz w:val="24"/>
        </w:rPr>
      </w:pPr>
      <w:r>
        <w:rPr>
          <w:color w:val="000000"/>
          <w:sz w:val="24"/>
        </w:rPr>
        <w:t>从中长期角度来看，随着疫苗和针对性疗法的发展，海外疫情下降是大概率事件，海外需求预计在下半年有所恢复。对香港市场来说，随着各项措施的落地，不确定性逐步下降。首先，随着中概公司陆续选择港交所二次上市回归，香港市场作为中国海外融资中心的市场地位进一步稳固，香港市场在中国资本市场中的定位愈加明确。其次，随着国安法的推出及实施，香港社会环境的不确定性也在下降。此外，港股相对A股的高性价比也使得南下资金不断加码，2020年以来，南下资金累计流入超2000亿元.</w:t>
      </w:r>
    </w:p>
    <w:p>
      <w:pPr>
        <w:spacing w:line="360" w:lineRule="auto"/>
        <w:ind w:firstLine="480" w:firstLineChars="200"/>
        <w:rPr>
          <w:color w:val="000000"/>
          <w:sz w:val="24"/>
        </w:rPr>
      </w:pPr>
      <w:r>
        <w:rPr>
          <w:color w:val="000000"/>
          <w:sz w:val="24"/>
        </w:rPr>
        <w:t>整体来看，资金对香港市场关注度也在慢慢回升，加之港股估值的高性价比，香港市场有望成为下一阶段资金追逐的热点。</w:t>
      </w:r>
    </w:p>
    <w:p>
      <w:pPr>
        <w:spacing w:line="360" w:lineRule="auto"/>
        <w:ind w:firstLine="480" w:firstLineChars="200"/>
        <w:rPr>
          <w:color w:val="000000"/>
          <w:sz w:val="24"/>
        </w:rPr>
      </w:pPr>
      <w:r>
        <w:rPr>
          <w:color w:val="000000"/>
          <w:sz w:val="24"/>
        </w:rPr>
        <w:t>恒生中国企业指数于2018年3月开始扩容优化，在原有40只成份股的基础上，新增10只红筹股和民营企业股，优化过程已于2019年3月完成。从2019年6月之后，指数不再对红筹股和民营企业数量设置上限。截至2020年2季度末，恒生中国企业指数中红筹股和民营企业数量为27只，权重接近50%。并且，预计在2020年9月初，指数将纳入阿里巴巴、小米、美团等部分中概股。优化后的指数更全面地代表了香港上市的中国企业整体表现，成长性也较之前显著提升。</w:t>
      </w:r>
    </w:p>
    <w:p>
      <w:pPr>
        <w:spacing w:line="360" w:lineRule="auto"/>
        <w:ind w:firstLine="480" w:firstLineChars="200"/>
        <w:rPr>
          <w:color w:val="000000"/>
          <w:sz w:val="24"/>
        </w:rPr>
      </w:pPr>
      <w:r>
        <w:rPr>
          <w:color w:val="000000"/>
          <w:sz w:val="24"/>
        </w:rPr>
        <w:t>基金运作层面，报告期内，本基金严守基金合同认真对待投资者申购、赎回以及成分股调整事项，保障基金的正常运作。</w:t>
      </w:r>
    </w:p>
    <w:p>
      <w:pPr>
        <w:spacing w:line="360" w:lineRule="auto"/>
        <w:ind w:firstLine="480" w:firstLineChars="200"/>
        <w:rPr>
          <w:color w:val="000000"/>
          <w:sz w:val="24"/>
        </w:rPr>
      </w:pPr>
      <w:r>
        <w:rPr>
          <w:color w:val="000000"/>
          <w:sz w:val="24"/>
        </w:rPr>
        <w:t>截至报告期末，本基金份额净值为1.1463元，本报告期份额净值增长率为3.06%，同期业绩比较基准收益率为1.68%。</w:t>
      </w:r>
    </w:p>
    <w:p w:rsidP="00A70EAB" w:rsidR="00F5013F" w:rsidRDefault="00F5013F" w:rsidRPr="006506EF">
      <w:pPr>
        <w:spacing w:line="360" w:lineRule="auto"/>
        <w:ind w:firstLine="480" w:firstLineChars="200"/>
        <w:rPr>
          <w:color w:val="000000"/>
          <w:sz w:val="24"/>
        </w:rPr>
      </w:pPr>
      <w:r w:rsidRPr="006506EF">
        <w:rPr>
          <w:color w:val="000000"/>
          <w:sz w:val="24"/>
        </w:rPr>
        <w:t/>
      </w:r>
      <w:r w:rsidR="00E13203" w:rsidRPr="00E13203">
        <w:rPr>
          <w:color w:val="000000"/>
          <w:sz w:val="24"/>
        </w:rPr>
        <w:t/>
      </w:r>
      <w:r w:rsidRPr="006506EF">
        <w:rPr>
          <w:color w:val="000000"/>
          <w:sz w:val="24"/>
        </w:rPr>
        <w:t>本报告期，本基金日跟踪偏离度的均值为0.03%，年化跟踪误差1.01%，在合同规定的目标控制范围之内。</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§5  </w:t>
      </w:r>
      <w:r w:rsidRPr="006506EF">
        <w:rPr>
          <w:color w:val="000000"/>
          <w:kern w:val="0"/>
          <w:sz w:val="24"/>
          <w:szCs w:val="24"/>
        </w:rPr>
        <w:t>投资组合报告</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5.1 </w:t>
      </w:r>
      <w:r w:rsidRPr="006506EF">
        <w:rPr>
          <w:b/>
          <w:color w:val="000000"/>
          <w:kern w:val="0"/>
          <w:sz w:val="24"/>
        </w:rPr>
        <w:t>报告期末基金资产组合情况</w:t>
      </w:r>
    </w:p>
    <w:tbl>
      <w:tblPr>
        <w:tblW w:type="dxa" w:w="9498"/>
        <w:jc w:val="center"/>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4253"/>
        <w:gridCol w:w="2835"/>
        <w:gridCol w:w="1559"/>
      </w:tblGrid>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序号</w:t>
            </w:r>
          </w:p>
        </w:tc>
        <w:tc>
          <w:tcPr>
            <w:tcW w:type="dxa" w:w="4253"/>
            <w:vAlign w:val="center"/>
          </w:tcPr>
          <w:p w:rsidP="00B918B8" w:rsidR="00F5013F" w:rsidRDefault="00F5013F" w:rsidRPr="006506EF">
            <w:pPr>
              <w:spacing w:before="29" w:line="360" w:lineRule="auto"/>
              <w:ind w:left="17"/>
              <w:jc w:val="center"/>
              <w:rPr>
                <w:color w:val="000000"/>
                <w:sz w:val="24"/>
              </w:rPr>
            </w:pPr>
            <w:r w:rsidRPr="006506EF">
              <w:rPr>
                <w:color w:val="000000"/>
                <w:sz w:val="24"/>
              </w:rPr>
              <w:t>项目</w:t>
            </w:r>
            <w:r w:rsidRPr="006506EF">
              <w:rPr>
                <w:color w:val="000000"/>
                <w:sz w:val="24"/>
              </w:rPr>
              <w:t/>
            </w:r>
          </w:p>
        </w:tc>
        <w:tc>
          <w:tcPr>
            <w:tcW w:type="dxa" w:w="2835"/>
            <w:vAlign w:val="center"/>
          </w:tcPr>
          <w:p w:rsidP="00B918B8" w:rsidR="00F5013F" w:rsidRDefault="00F5013F" w:rsidRPr="006506EF">
            <w:pPr>
              <w:spacing w:before="29" w:line="360" w:lineRule="auto"/>
              <w:ind w:left="17"/>
              <w:jc w:val="center"/>
              <w:rPr>
                <w:color w:val="000000"/>
                <w:sz w:val="24"/>
              </w:rPr>
            </w:pPr>
            <w:r w:rsidRPr="006506EF">
              <w:rPr>
                <w:color w:val="000000"/>
                <w:sz w:val="24"/>
              </w:rPr>
              <w:t>金额</w:t>
            </w:r>
            <w:r w:rsidRPr="006506EF">
              <w:rPr>
                <w:color w:val="000000"/>
                <w:sz w:val="24"/>
              </w:rPr>
              <w:t>(</w:t>
            </w:r>
            <w:r w:rsidRPr="006506EF">
              <w:rPr>
                <w:color w:val="000000"/>
                <w:sz w:val="24"/>
              </w:rPr>
              <w:t>人民币元</w:t>
            </w:r>
            <w:r w:rsidRPr="006506EF">
              <w:rPr>
                <w:color w:val="000000"/>
                <w:sz w:val="24"/>
              </w:rPr>
              <w:t>)</w:t>
            </w:r>
          </w:p>
        </w:tc>
        <w:tc>
          <w:tcPr>
            <w:tcW w:type="dxa" w:w="1559"/>
            <w:vAlign w:val="center"/>
          </w:tcPr>
          <w:p w:rsidP="00B918B8" w:rsidR="00F5013F" w:rsidRDefault="00F5013F" w:rsidRPr="006506EF">
            <w:pPr>
              <w:spacing w:before="29" w:line="360" w:lineRule="auto"/>
              <w:ind w:left="17"/>
              <w:jc w:val="center"/>
              <w:rPr>
                <w:color w:val="000000"/>
                <w:sz w:val="24"/>
              </w:rPr>
            </w:pPr>
            <w:r w:rsidRPr="006506EF">
              <w:rPr>
                <w:color w:val="000000"/>
                <w:sz w:val="24"/>
              </w:rPr>
              <w:t>占基金总资产的比例</w:t>
            </w: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1</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权益投资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9,054,307,061.54</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95.93</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其中：普通股</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9,054,307,061.54</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95.93</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spacing w:before="29" w:line="360" w:lineRule="auto"/>
              <w:ind w:firstLine="720" w:firstLineChars="300" w:left="17"/>
              <w:jc w:val="left"/>
              <w:rPr>
                <w:color w:val="000000"/>
                <w:sz w:val="24"/>
              </w:rPr>
            </w:pPr>
            <w:r w:rsidRPr="006506EF">
              <w:rPr>
                <w:color w:val="000000"/>
                <w:sz w:val="24"/>
              </w:rPr>
              <w:t>存托凭证</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spacing w:before="29" w:line="360" w:lineRule="auto"/>
              <w:ind w:firstLine="720" w:firstLineChars="300" w:left="17"/>
              <w:jc w:val="left"/>
              <w:rPr>
                <w:color w:val="000000"/>
                <w:sz w:val="24"/>
              </w:rPr>
            </w:pPr>
            <w:r w:rsidRPr="006506EF">
              <w:rPr>
                <w:color w:val="000000"/>
                <w:sz w:val="24"/>
              </w:rPr>
              <w:t>优先股</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spacing w:before="29" w:line="360" w:lineRule="auto"/>
              <w:ind w:firstLine="720" w:firstLineChars="300" w:left="17"/>
              <w:jc w:val="left"/>
              <w:rPr>
                <w:color w:val="000000"/>
                <w:sz w:val="24"/>
              </w:rPr>
            </w:pPr>
            <w:r w:rsidRPr="006506EF">
              <w:rPr>
                <w:color w:val="000000"/>
                <w:sz w:val="24"/>
              </w:rPr>
              <w:t>房地产信托</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tcPr>
          <w:p w:rsidP="00B25BE8" w:rsidR="00F5013F" w:rsidRDefault="00F5013F" w:rsidRPr="006506EF">
            <w:pPr>
              <w:adjustRightInd w:val="0"/>
              <w:snapToGrid w:val="0"/>
              <w:spacing w:line="400" w:lineRule="exact"/>
              <w:jc w:val="center"/>
              <w:rPr>
                <w:color w:val="000000"/>
                <w:sz w:val="24"/>
              </w:rPr>
            </w:pPr>
            <w:r w:rsidRPr="006506EF">
              <w:rPr>
                <w:color w:val="000000"/>
                <w:sz w:val="24"/>
              </w:rPr>
              <w:t>2</w:t>
            </w:r>
          </w:p>
        </w:tc>
        <w:tc>
          <w:tcPr>
            <w:tcW w:type="dxa" w:w="4253"/>
          </w:tcPr>
          <w:p w:rsidP="00B25BE8" w:rsidR="00F5013F" w:rsidRDefault="00F5013F" w:rsidRPr="006506EF">
            <w:pPr>
              <w:adjustRightInd w:val="0"/>
              <w:snapToGrid w:val="0"/>
              <w:spacing w:line="400" w:lineRule="exact"/>
              <w:rPr>
                <w:color w:val="000000"/>
                <w:sz w:val="24"/>
              </w:rPr>
            </w:pPr>
            <w:r w:rsidRPr="006506EF">
              <w:rPr>
                <w:color w:val="000000"/>
                <w:sz w:val="24"/>
              </w:rPr>
              <w:t>基金投资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lastRenderedPageBreak/>
              <w:t>3</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固定收益投资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其中：债券</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autoSpaceDE w:val="0"/>
              <w:autoSpaceDN w:val="0"/>
              <w:adjustRightInd w:val="0"/>
              <w:spacing w:before="29" w:line="360" w:lineRule="auto"/>
              <w:ind w:firstLine="720" w:firstLineChars="300" w:left="17"/>
              <w:jc w:val="left"/>
              <w:rPr>
                <w:color w:val="000000"/>
                <w:sz w:val="24"/>
              </w:rPr>
            </w:pPr>
            <w:r w:rsidRPr="006506EF">
              <w:rPr>
                <w:color w:val="000000"/>
                <w:sz w:val="24"/>
              </w:rPr>
              <w:t>资产支持证券</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4</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金融衍生品投资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P="00B25BE8" w:rsidR="00F5013F" w:rsidRDefault="00F5013F" w:rsidRPr="006506EF">
            <w:pPr>
              <w:adjustRightInd w:val="0"/>
              <w:snapToGrid w:val="0"/>
              <w:spacing w:line="400" w:lineRule="exact"/>
              <w:rPr>
                <w:color w:val="000000"/>
                <w:sz w:val="24"/>
              </w:rPr>
            </w:pPr>
            <w:r w:rsidRPr="006506EF">
              <w:rPr>
                <w:color w:val="000000"/>
                <w:sz w:val="24"/>
              </w:rPr>
              <w:t>其中：远期</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Del="00455464" w:rsidP="00547F92" w:rsidR="00F5013F" w:rsidRDefault="00F5013F" w:rsidRPr="006506EF">
            <w:pPr>
              <w:adjustRightInd w:val="0"/>
              <w:snapToGrid w:val="0"/>
              <w:spacing w:line="400" w:lineRule="exact"/>
              <w:ind w:firstLine="720" w:firstLineChars="300"/>
              <w:rPr>
                <w:color w:val="000000"/>
                <w:sz w:val="24"/>
              </w:rPr>
            </w:pPr>
            <w:r w:rsidRPr="006506EF">
              <w:rPr>
                <w:color w:val="000000"/>
                <w:sz w:val="24"/>
              </w:rPr>
              <w:t>期货</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P="00547F92" w:rsidR="00F5013F" w:rsidRDefault="00F5013F" w:rsidRPr="006506EF">
            <w:pPr>
              <w:adjustRightInd w:val="0"/>
              <w:snapToGrid w:val="0"/>
              <w:spacing w:line="400" w:lineRule="exact"/>
              <w:ind w:firstLine="720" w:firstLineChars="300"/>
              <w:rPr>
                <w:color w:val="000000"/>
                <w:sz w:val="24"/>
              </w:rPr>
            </w:pPr>
            <w:r w:rsidRPr="006506EF">
              <w:rPr>
                <w:color w:val="000000"/>
                <w:sz w:val="24"/>
              </w:rPr>
              <w:t>期权</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P="00547F92" w:rsidR="00F5013F" w:rsidRDefault="00F5013F" w:rsidRPr="006506EF">
            <w:pPr>
              <w:adjustRightInd w:val="0"/>
              <w:snapToGrid w:val="0"/>
              <w:spacing w:line="400" w:lineRule="exact"/>
              <w:ind w:firstLine="715" w:firstLineChars="298"/>
              <w:rPr>
                <w:color w:val="000000"/>
                <w:sz w:val="24"/>
              </w:rPr>
            </w:pPr>
            <w:r w:rsidRPr="006506EF">
              <w:rPr>
                <w:color w:val="000000"/>
                <w:sz w:val="24"/>
              </w:rPr>
              <w:t>权证</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5</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买入返售金融资产</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其中：买断式回购的买入返售金融资产</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tcPr>
          <w:p w:rsidP="00B25BE8" w:rsidR="00F5013F" w:rsidRDefault="00F5013F" w:rsidRPr="006506EF">
            <w:pPr>
              <w:adjustRightInd w:val="0"/>
              <w:snapToGrid w:val="0"/>
              <w:spacing w:line="400" w:lineRule="exact"/>
              <w:jc w:val="center"/>
              <w:rPr>
                <w:color w:val="000000"/>
                <w:sz w:val="24"/>
              </w:rPr>
            </w:pPr>
            <w:r w:rsidRPr="006506EF">
              <w:rPr>
                <w:color w:val="000000"/>
                <w:sz w:val="24"/>
              </w:rPr>
              <w:t>6</w:t>
            </w:r>
          </w:p>
        </w:tc>
        <w:tc>
          <w:tcPr>
            <w:tcW w:type="dxa" w:w="4253"/>
          </w:tcPr>
          <w:p w:rsidP="00B25BE8" w:rsidR="00F5013F" w:rsidRDefault="00F5013F" w:rsidRPr="006506EF">
            <w:pPr>
              <w:adjustRightInd w:val="0"/>
              <w:snapToGrid w:val="0"/>
              <w:spacing w:line="400" w:lineRule="exact"/>
              <w:rPr>
                <w:color w:val="000000"/>
                <w:sz w:val="24"/>
              </w:rPr>
            </w:pPr>
            <w:r w:rsidRPr="006506EF">
              <w:rPr>
                <w:color w:val="000000"/>
                <w:sz w:val="24"/>
              </w:rPr>
              <w:t>货币市场工具</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7</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银行存款和结算备付金合计</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139,760,251.85</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1.48</w:t>
            </w:r>
          </w:p>
        </w:tc>
      </w:tr>
      <w:tr w:rsidR="00F5013F" w:rsidRPr="006506EF" w:rsidTr="0078767E">
        <w:trPr>
          <w:jc w:val="center"/>
        </w:trPr>
        <w:tc>
          <w:tcPr>
            <w:tcW w:type="dxa" w:w="851"/>
            <w:vAlign w:val="center"/>
          </w:tcPr>
          <w:p w:rsidP="00466B17" w:rsidR="00F5013F" w:rsidRDefault="00F5013F" w:rsidRPr="006506EF">
            <w:pPr>
              <w:spacing w:before="29" w:line="360" w:lineRule="auto"/>
              <w:ind w:left="17"/>
              <w:jc w:val="center"/>
              <w:rPr>
                <w:color w:val="000000"/>
                <w:sz w:val="24"/>
              </w:rPr>
            </w:pPr>
            <w:r w:rsidRPr="006506EF">
              <w:rPr>
                <w:color w:val="000000"/>
                <w:sz w:val="24"/>
              </w:rPr>
              <w:t>8</w:t>
            </w:r>
          </w:p>
        </w:tc>
        <w:tc>
          <w:tcPr>
            <w:tcW w:type="dxa" w:w="4253"/>
            <w:vAlign w:val="center"/>
          </w:tcPr>
          <w:p w:rsidP="00B918B8" w:rsidR="00F5013F" w:rsidRDefault="00F5013F" w:rsidRPr="006506EF">
            <w:pPr>
              <w:jc w:val="left"/>
              <w:rPr>
                <w:sz w:val="24"/>
              </w:rPr>
            </w:pPr>
            <w:r w:rsidRPr="006506EF">
              <w:rPr>
                <w:color w:val="000000"/>
                <w:sz w:val="24"/>
              </w:rPr>
              <w:t>其他资产</w:t>
            </w:r>
          </w:p>
        </w:tc>
        <w:tc>
          <w:tcPr>
            <w:tcW w:type="dxa" w:w="2835"/>
            <w:vAlign w:val="center"/>
          </w:tcPr>
          <w:p w:rsidP="00BF1DD5" w:rsidR="00F5013F" w:rsidRDefault="00F5013F" w:rsidRPr="006506EF">
            <w:pPr>
              <w:jc w:val="right"/>
              <w:rPr>
                <w:color w:val="000000"/>
                <w:sz w:val="24"/>
              </w:rPr>
            </w:pPr>
            <w:r w:rsidRPr="006506EF">
              <w:rPr>
                <w:color w:val="000000"/>
                <w:sz w:val="24"/>
              </w:rPr>
              <w:t>244,784,582.77</w:t>
            </w:r>
          </w:p>
        </w:tc>
        <w:tc>
          <w:tcPr>
            <w:tcW w:type="dxa" w:w="1559"/>
            <w:vAlign w:val="center"/>
          </w:tcPr>
          <w:p w:rsidP="00BF1DD5" w:rsidR="00F5013F" w:rsidRDefault="00F5013F" w:rsidRPr="006506EF">
            <w:pPr>
              <w:jc w:val="right"/>
              <w:rPr>
                <w:color w:val="000000"/>
                <w:sz w:val="24"/>
              </w:rPr>
            </w:pPr>
            <w:r w:rsidRPr="006506EF">
              <w:rPr>
                <w:color w:val="000000"/>
                <w:sz w:val="24"/>
              </w:rPr>
              <w:t>2.59</w:t>
            </w:r>
          </w:p>
        </w:tc>
      </w:tr>
      <w:tr w:rsidR="00F5013F" w:rsidRPr="006506EF" w:rsidTr="0078767E">
        <w:trPr>
          <w:jc w:val="center"/>
        </w:trPr>
        <w:tc>
          <w:tcPr>
            <w:tcW w:type="dxa" w:w="851"/>
            <w:vAlign w:val="center"/>
          </w:tcPr>
          <w:p w:rsidP="00466B17" w:rsidR="00F5013F" w:rsidRDefault="00F5013F" w:rsidRPr="006506EF">
            <w:pPr>
              <w:spacing w:before="29" w:line="360" w:lineRule="auto"/>
              <w:ind w:left="17"/>
              <w:jc w:val="center"/>
              <w:rPr>
                <w:color w:val="000000"/>
                <w:sz w:val="24"/>
              </w:rPr>
            </w:pPr>
            <w:r w:rsidRPr="006506EF">
              <w:rPr>
                <w:color w:val="000000"/>
                <w:sz w:val="24"/>
              </w:rPr>
              <w:t>9</w:t>
            </w:r>
          </w:p>
        </w:tc>
        <w:tc>
          <w:tcPr>
            <w:tcW w:type="dxa" w:w="4253"/>
            <w:vAlign w:val="center"/>
          </w:tcPr>
          <w:p w:rsidP="00B918B8" w:rsidR="00F5013F" w:rsidRDefault="00F5013F" w:rsidRPr="006506EF">
            <w:pPr>
              <w:jc w:val="left"/>
              <w:rPr>
                <w:sz w:val="24"/>
              </w:rPr>
            </w:pPr>
            <w:r w:rsidRPr="006506EF">
              <w:rPr>
                <w:color w:val="000000"/>
                <w:sz w:val="24"/>
              </w:rPr>
              <w:t>合计</w:t>
            </w:r>
          </w:p>
        </w:tc>
        <w:tc>
          <w:tcPr>
            <w:tcW w:type="dxa" w:w="2835"/>
            <w:vAlign w:val="center"/>
          </w:tcPr>
          <w:p w:rsidP="00BF1DD5" w:rsidR="00F5013F" w:rsidRDefault="00F5013F" w:rsidRPr="006506EF">
            <w:pPr>
              <w:jc w:val="right"/>
              <w:rPr>
                <w:color w:val="000000"/>
                <w:sz w:val="24"/>
              </w:rPr>
            </w:pPr>
            <w:r w:rsidRPr="006506EF">
              <w:rPr>
                <w:color w:val="000000"/>
                <w:sz w:val="24"/>
              </w:rPr>
              <w:t>9,438,851,896.16</w:t>
            </w:r>
          </w:p>
        </w:tc>
        <w:tc>
          <w:tcPr>
            <w:tcW w:type="dxa" w:w="1559"/>
            <w:vAlign w:val="center"/>
          </w:tcPr>
          <w:p w:rsidP="00BF1DD5" w:rsidR="00F5013F" w:rsidRDefault="00F5013F" w:rsidRPr="006506EF">
            <w:pPr>
              <w:jc w:val="right"/>
              <w:rPr>
                <w:color w:val="000000"/>
                <w:sz w:val="24"/>
              </w:rPr>
            </w:pPr>
            <w:r w:rsidRPr="006506EF">
              <w:rPr>
                <w:color w:val="000000"/>
                <w:sz w:val="24"/>
              </w:rPr>
              <w:t>100.00</w:t>
            </w:r>
          </w:p>
        </w:tc>
      </w:tr>
    </w:tbl>
    <w:p>
      <w:pPr>
        <w:spacing w:line="360" w:lineRule="auto"/>
        <w:ind w:firstLine="480" w:firstLineChars="200"/>
        <w:rPr>
          <w:color w:val="000000"/>
          <w:sz w:val="24"/>
        </w:rPr>
      </w:pPr>
      <w:r>
        <w:rPr>
          <w:color w:val="000000"/>
          <w:sz w:val="24"/>
        </w:rPr>
        <w:t>注：1.上表中的权益投资项含可退替代款估值增值，而5.2和5.3的合计项不含可退替代款估值增值。</w:t>
      </w:r>
    </w:p>
    <w:p w:rsidP="00A70EAB" w:rsidR="00F5013F" w:rsidRDefault="00F5013F" w:rsidRPr="006506EF">
      <w:pPr>
        <w:spacing w:line="360" w:lineRule="auto"/>
        <w:ind w:firstLine="480" w:firstLineChars="200"/>
        <w:rPr>
          <w:color w:val="000000"/>
          <w:sz w:val="24"/>
        </w:rPr>
      </w:pPr>
      <w:r w:rsidRPr="006506EF">
        <w:rPr>
          <w:color w:val="000000"/>
          <w:sz w:val="24"/>
        </w:rPr>
        <w:t>2.本基金本报告期末通过港股通交易机制投资的港股市值为6,934,308,757.41元，占净值比例75.08%。</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5.2 </w:t>
      </w:r>
      <w:r w:rsidRPr="006506EF">
        <w:rPr>
          <w:b/>
          <w:color w:val="000000"/>
          <w:kern w:val="0"/>
          <w:sz w:val="24"/>
        </w:rPr>
        <w:t>报告期末在各个国家（地区）证券市场的股票及存托凭证投资分布</w:t>
      </w:r>
    </w:p>
    <w:tbl>
      <w:tblPr>
        <w:tblW w:type="dxa" w:w="860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410"/>
        <w:gridCol w:w="3118"/>
        <w:gridCol w:w="3076"/>
      </w:tblGrid>
      <w:tr w:rsidR="00F5013F" w:rsidRPr="006506EF" w:rsidTr="0007178B">
        <w:trPr>
          <w:jc w:val="center"/>
        </w:trPr>
        <w:tc>
          <w:tcPr>
            <w:tcW w:type="dxa" w:w="2410"/>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国家（地区）</w:t>
            </w:r>
            <w:r w:rsidR="00FC55D1" w:rsidRPr="006506EF">
              <w:rPr>
                <w:color w:val="000000"/>
                <w:kern w:val="0"/>
                <w:sz w:val="24"/>
              </w:rPr>
              <w:t/>
            </w:r>
          </w:p>
        </w:tc>
        <w:tc>
          <w:tcPr>
            <w:tcW w:type="dxa" w:w="3118"/>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公允价值</w:t>
            </w:r>
            <w:r w:rsidRPr="006506EF">
              <w:rPr>
                <w:color w:val="000000"/>
                <w:kern w:val="0"/>
                <w:sz w:val="24"/>
              </w:rPr>
              <w:t>(</w:t>
            </w:r>
            <w:r w:rsidRPr="006506EF">
              <w:rPr>
                <w:color w:val="000000"/>
                <w:kern w:val="0"/>
                <w:sz w:val="24"/>
              </w:rPr>
              <w:t>人民币元</w:t>
            </w:r>
            <w:r w:rsidRPr="006506EF">
              <w:rPr>
                <w:color w:val="000000"/>
                <w:kern w:val="0"/>
                <w:sz w:val="24"/>
              </w:rPr>
              <w:t>)</w:t>
            </w:r>
          </w:p>
        </w:tc>
        <w:tc>
          <w:tcPr>
            <w:tcW w:type="dxa" w:w="3076"/>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占基金资产净值比例（％）</w:t>
            </w:r>
          </w:p>
        </w:tc>
      </w:tr>
      <w:tr>
        <w:tc>
          <w:tcPr>
            <w:vAlign w:val="center"/>
          </w:tcPr>
          <w:p>
            <w:pPr>
              <w:jc w:val="left"/>
            </w:pPr>
            <w:r>
              <w:rPr>
                <w:color w:val="000000"/>
                <w:sz w:val="24"/>
              </w:rPr>
              <w:t>中国香港</w:t>
            </w:r>
          </w:p>
        </w:tc>
        <w:tc>
          <w:tcPr>
            <w:vAlign w:val="center"/>
          </w:tcPr>
          <w:p>
            <w:pPr>
              <w:jc w:val="right"/>
            </w:pPr>
            <w:r>
              <w:rPr>
                <w:color w:val="000000"/>
                <w:sz w:val="24"/>
              </w:rPr>
              <w:t>9,054,303,711.23</w:t>
            </w:r>
          </w:p>
        </w:tc>
        <w:tc>
          <w:tcPr>
            <w:vAlign w:val="center"/>
          </w:tcPr>
          <w:p>
            <w:pPr>
              <w:jc w:val="right"/>
            </w:pPr>
            <w:r>
              <w:rPr>
                <w:color w:val="000000"/>
                <w:sz w:val="24"/>
              </w:rPr>
              <w:t>98.03</w:t>
            </w:r>
          </w:p>
        </w:tc>
      </w:tr>
      <w:tr w:rsidR="00F5013F" w:rsidRPr="006506EF" w:rsidTr="0007178B">
        <w:trPr>
          <w:jc w:val="center"/>
        </w:trPr>
        <w:tc>
          <w:tcPr>
            <w:tcW w:type="dxa" w:w="2410"/>
          </w:tcPr>
          <w:p w:rsidP="0007178B" w:rsidR="00F5013F" w:rsidRDefault="00F5013F" w:rsidRPr="006506EF">
            <w:pPr>
              <w:autoSpaceDE w:val="0"/>
              <w:autoSpaceDN w:val="0"/>
              <w:adjustRightInd w:val="0"/>
              <w:spacing w:before="29" w:line="360" w:lineRule="auto"/>
              <w:jc w:val="center"/>
              <w:rPr>
                <w:color w:val="000000"/>
                <w:sz w:val="24"/>
              </w:rPr>
            </w:pPr>
            <w:r w:rsidRPr="006506EF">
              <w:rPr>
                <w:color w:val="000000"/>
                <w:sz w:val="24"/>
              </w:rPr>
              <w:t>合计</w:t>
            </w:r>
          </w:p>
        </w:tc>
        <w:tc>
          <w:tcPr>
            <w:tcW w:type="dxa" w:w="3118"/>
          </w:tcPr>
          <w:p w:rsidP="0007178B" w:rsidR="00F5013F" w:rsidRDefault="00F5013F" w:rsidRPr="006506EF">
            <w:pPr>
              <w:autoSpaceDE w:val="0"/>
              <w:autoSpaceDN w:val="0"/>
              <w:adjustRightInd w:val="0"/>
              <w:spacing w:before="29" w:line="360" w:lineRule="auto"/>
              <w:jc w:val="right"/>
              <w:rPr>
                <w:color w:val="000000"/>
                <w:sz w:val="24"/>
              </w:rPr>
            </w:pPr>
            <w:r w:rsidRPr="006506EF">
              <w:rPr>
                <w:color w:val="000000"/>
                <w:sz w:val="24"/>
              </w:rPr>
              <w:t>9,054,303,711.23</w:t>
            </w:r>
          </w:p>
        </w:tc>
        <w:tc>
          <w:tcPr>
            <w:tcW w:type="dxa" w:w="3076"/>
          </w:tcPr>
          <w:p w:rsidP="0007178B" w:rsidR="00F5013F" w:rsidRDefault="00F5013F" w:rsidRPr="006506EF">
            <w:pPr>
              <w:autoSpaceDE w:val="0"/>
              <w:autoSpaceDN w:val="0"/>
              <w:adjustRightInd w:val="0"/>
              <w:spacing w:before="29" w:line="360" w:lineRule="auto"/>
              <w:jc w:val="right"/>
              <w:rPr>
                <w:color w:val="000000"/>
                <w:sz w:val="24"/>
              </w:rPr>
            </w:pPr>
            <w:r w:rsidRPr="006506EF">
              <w:rPr>
                <w:color w:val="000000"/>
                <w:sz w:val="24"/>
              </w:rPr>
              <w:t>98.03</w:t>
            </w:r>
          </w:p>
        </w:tc>
      </w:tr>
    </w:tbl>
    <w:p>
      <w:pPr>
        <w:spacing w:line="360" w:lineRule="auto"/>
        <w:ind w:firstLine="480" w:firstLineChars="200"/>
        <w:rPr>
          <w:color w:val="000000"/>
          <w:sz w:val="24"/>
        </w:rPr>
      </w:pPr>
      <w:r>
        <w:rPr>
          <w:color w:val="000000"/>
          <w:sz w:val="24"/>
        </w:rPr>
        <w:t>注：1.国家（地区）类别根据其所在的证券交易所确定。</w:t>
      </w:r>
    </w:p>
    <w:p w:rsidP="00A70EAB" w:rsidR="00F5013F" w:rsidRDefault="00F5013F" w:rsidRPr="006506EF">
      <w:pPr>
        <w:spacing w:line="360" w:lineRule="auto"/>
        <w:ind w:firstLine="480" w:firstLineChars="200"/>
        <w:rPr>
          <w:color w:val="000000"/>
          <w:sz w:val="24"/>
        </w:rPr>
      </w:pPr>
      <w:r w:rsidRPr="006506EF">
        <w:rPr>
          <w:color w:val="000000"/>
          <w:sz w:val="24"/>
        </w:rPr>
        <w:t>2.ADR、GDR按照存托凭证本身挂牌的证券交易所确定。</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5.3 </w:t>
      </w:r>
      <w:r w:rsidRPr="006506EF">
        <w:rPr>
          <w:b/>
          <w:color w:val="000000"/>
          <w:kern w:val="0"/>
          <w:sz w:val="24"/>
        </w:rPr>
        <w:t>报告期末按行业分类的股票及存托凭证投资组合</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787"/>
        <w:gridCol w:w="2551"/>
        <w:gridCol w:w="3175"/>
      </w:tblGrid>
      <w:tr w:rsidR="00F5013F" w:rsidRPr="006506EF" w:rsidTr="0007178B">
        <w:tc>
          <w:tcPr>
            <w:tcW w:type="dxa" w:w="2787"/>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行业类别</w:t>
            </w:r>
            <w:r w:rsidRPr="006506EF">
              <w:rPr>
                <w:color w:val="000000"/>
                <w:kern w:val="0"/>
                <w:sz w:val="24"/>
              </w:rPr>
              <w:t/>
            </w:r>
          </w:p>
        </w:tc>
        <w:tc>
          <w:tcPr>
            <w:tcW w:type="dxa" w:w="2551"/>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公允价值（人民币元）</w:t>
            </w:r>
          </w:p>
        </w:tc>
        <w:tc>
          <w:tcPr>
            <w:tcW w:type="dxa" w:w="3175"/>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占基金资产净值比例（％）</w:t>
            </w:r>
          </w:p>
        </w:tc>
      </w:tr>
      <w:tr>
        <w:tc>
          <w:tcPr>
            <w:vAlign w:val="center"/>
          </w:tcPr>
          <w:p>
            <w:pPr>
              <w:jc w:val="left"/>
            </w:pPr>
            <w:r>
              <w:rPr>
                <w:color w:val="000000"/>
                <w:sz w:val="24"/>
              </w:rPr>
              <w:t>能源</w:t>
            </w:r>
          </w:p>
        </w:tc>
        <w:tc>
          <w:tcPr>
            <w:vAlign w:val="center"/>
          </w:tcPr>
          <w:p>
            <w:pPr>
              <w:jc w:val="right"/>
            </w:pPr>
            <w:r>
              <w:rPr>
                <w:color w:val="000000"/>
                <w:sz w:val="24"/>
              </w:rPr>
              <w:t>577,560,282.00</w:t>
            </w:r>
          </w:p>
        </w:tc>
        <w:tc>
          <w:tcPr>
            <w:vAlign w:val="center"/>
          </w:tcPr>
          <w:p>
            <w:pPr>
              <w:jc w:val="right"/>
            </w:pPr>
            <w:r>
              <w:rPr>
                <w:color w:val="000000"/>
                <w:sz w:val="24"/>
              </w:rPr>
              <w:t>6.25</w:t>
            </w:r>
          </w:p>
        </w:tc>
      </w:tr>
      <w:tr>
        <w:tc>
          <w:tcPr>
            <w:vAlign w:val="center"/>
          </w:tcPr>
          <w:p>
            <w:pPr>
              <w:jc w:val="left"/>
            </w:pPr>
            <w:r>
              <w:rPr>
                <w:color w:val="000000"/>
                <w:sz w:val="24"/>
              </w:rPr>
              <w:t>材料</w:t>
            </w:r>
          </w:p>
        </w:tc>
        <w:tc>
          <w:tcPr>
            <w:vAlign w:val="center"/>
          </w:tcPr>
          <w:p>
            <w:pPr>
              <w:jc w:val="right"/>
            </w:pPr>
            <w:r>
              <w:rPr>
                <w:color w:val="000000"/>
                <w:sz w:val="24"/>
              </w:rPr>
              <w:t>113,815,902.82</w:t>
            </w:r>
          </w:p>
        </w:tc>
        <w:tc>
          <w:tcPr>
            <w:vAlign w:val="center"/>
          </w:tcPr>
          <w:p>
            <w:pPr>
              <w:jc w:val="right"/>
            </w:pPr>
            <w:r>
              <w:rPr>
                <w:color w:val="000000"/>
                <w:sz w:val="24"/>
              </w:rPr>
              <w:t>1.23</w:t>
            </w:r>
          </w:p>
        </w:tc>
      </w:tr>
      <w:tr>
        <w:tc>
          <w:tcPr>
            <w:vAlign w:val="center"/>
          </w:tcPr>
          <w:p>
            <w:pPr>
              <w:jc w:val="left"/>
            </w:pPr>
            <w:r>
              <w:rPr>
                <w:color w:val="000000"/>
                <w:sz w:val="24"/>
              </w:rPr>
              <w:t>工业</w:t>
            </w:r>
          </w:p>
        </w:tc>
        <w:tc>
          <w:tcPr>
            <w:vAlign w:val="center"/>
          </w:tcPr>
          <w:p>
            <w:pPr>
              <w:jc w:val="right"/>
            </w:pPr>
            <w:r>
              <w:rPr>
                <w:color w:val="000000"/>
                <w:sz w:val="24"/>
              </w:rPr>
              <w:t>236,097,516.40</w:t>
            </w:r>
          </w:p>
        </w:tc>
        <w:tc>
          <w:tcPr>
            <w:vAlign w:val="center"/>
          </w:tcPr>
          <w:p>
            <w:pPr>
              <w:jc w:val="right"/>
            </w:pPr>
            <w:r>
              <w:rPr>
                <w:color w:val="000000"/>
                <w:sz w:val="24"/>
              </w:rPr>
              <w:t>2.56</w:t>
            </w:r>
          </w:p>
        </w:tc>
      </w:tr>
      <w:tr>
        <w:tc>
          <w:tcPr>
            <w:vAlign w:val="center"/>
          </w:tcPr>
          <w:p>
            <w:pPr>
              <w:jc w:val="left"/>
            </w:pPr>
            <w:r>
              <w:rPr>
                <w:color w:val="000000"/>
                <w:sz w:val="24"/>
              </w:rPr>
              <w:t>非必需消费品</w:t>
            </w:r>
          </w:p>
        </w:tc>
        <w:tc>
          <w:tcPr>
            <w:vAlign w:val="center"/>
          </w:tcPr>
          <w:p>
            <w:pPr>
              <w:jc w:val="right"/>
            </w:pPr>
            <w:r>
              <w:rPr>
                <w:color w:val="000000"/>
                <w:sz w:val="24"/>
              </w:rPr>
              <w:t>452,705,867.82</w:t>
            </w:r>
          </w:p>
        </w:tc>
        <w:tc>
          <w:tcPr>
            <w:vAlign w:val="center"/>
          </w:tcPr>
          <w:p>
            <w:pPr>
              <w:jc w:val="right"/>
            </w:pPr>
            <w:r>
              <w:rPr>
                <w:color w:val="000000"/>
                <w:sz w:val="24"/>
              </w:rPr>
              <w:t>4.90</w:t>
            </w:r>
          </w:p>
        </w:tc>
      </w:tr>
      <w:tr>
        <w:tc>
          <w:tcPr>
            <w:vAlign w:val="center"/>
          </w:tcPr>
          <w:p>
            <w:pPr>
              <w:jc w:val="left"/>
            </w:pPr>
            <w:r>
              <w:rPr>
                <w:color w:val="000000"/>
                <w:sz w:val="24"/>
              </w:rPr>
              <w:t>必需消费品</w:t>
            </w:r>
          </w:p>
        </w:tc>
        <w:tc>
          <w:tcPr>
            <w:vAlign w:val="center"/>
          </w:tcPr>
          <w:p>
            <w:pPr>
              <w:jc w:val="right"/>
            </w:pPr>
            <w:r>
              <w:rPr>
                <w:color w:val="000000"/>
                <w:sz w:val="24"/>
              </w:rPr>
              <w:t>400,717,651.27</w:t>
            </w:r>
          </w:p>
        </w:tc>
        <w:tc>
          <w:tcPr>
            <w:vAlign w:val="center"/>
          </w:tcPr>
          <w:p>
            <w:pPr>
              <w:jc w:val="right"/>
            </w:pPr>
            <w:r>
              <w:rPr>
                <w:color w:val="000000"/>
                <w:sz w:val="24"/>
              </w:rPr>
              <w:t>4.34</w:t>
            </w:r>
          </w:p>
        </w:tc>
      </w:tr>
      <w:tr>
        <w:tc>
          <w:tcPr>
            <w:vAlign w:val="center"/>
          </w:tcPr>
          <w:p>
            <w:pPr>
              <w:jc w:val="left"/>
            </w:pPr>
            <w:r>
              <w:rPr>
                <w:color w:val="000000"/>
                <w:sz w:val="24"/>
              </w:rPr>
              <w:t>保健</w:t>
            </w:r>
          </w:p>
        </w:tc>
        <w:tc>
          <w:tcPr>
            <w:vAlign w:val="center"/>
          </w:tcPr>
          <w:p>
            <w:pPr>
              <w:jc w:val="right"/>
            </w:pPr>
            <w:r>
              <w:rPr>
                <w:color w:val="000000"/>
                <w:sz w:val="24"/>
              </w:rPr>
              <w:t>385,276,624.03</w:t>
            </w:r>
          </w:p>
        </w:tc>
        <w:tc>
          <w:tcPr>
            <w:vAlign w:val="center"/>
          </w:tcPr>
          <w:p>
            <w:pPr>
              <w:jc w:val="right"/>
            </w:pPr>
            <w:r>
              <w:rPr>
                <w:color w:val="000000"/>
                <w:sz w:val="24"/>
              </w:rPr>
              <w:t>4.17</w:t>
            </w:r>
          </w:p>
        </w:tc>
      </w:tr>
      <w:tr>
        <w:tc>
          <w:tcPr>
            <w:vAlign w:val="center"/>
          </w:tcPr>
          <w:p>
            <w:pPr>
              <w:jc w:val="left"/>
            </w:pPr>
            <w:r>
              <w:rPr>
                <w:color w:val="000000"/>
                <w:sz w:val="24"/>
              </w:rPr>
              <w:t>金融</w:t>
            </w:r>
          </w:p>
        </w:tc>
        <w:tc>
          <w:tcPr>
            <w:vAlign w:val="center"/>
          </w:tcPr>
          <w:p>
            <w:pPr>
              <w:jc w:val="right"/>
            </w:pPr>
            <w:r>
              <w:rPr>
                <w:color w:val="000000"/>
                <w:sz w:val="24"/>
              </w:rPr>
              <w:t>3,878,044,167.90</w:t>
            </w:r>
          </w:p>
        </w:tc>
        <w:tc>
          <w:tcPr>
            <w:vAlign w:val="center"/>
          </w:tcPr>
          <w:p>
            <w:pPr>
              <w:jc w:val="right"/>
            </w:pPr>
            <w:r>
              <w:rPr>
                <w:color w:val="000000"/>
                <w:sz w:val="24"/>
              </w:rPr>
              <w:t>41.99</w:t>
            </w:r>
          </w:p>
        </w:tc>
      </w:tr>
      <w:tr>
        <w:tc>
          <w:tcPr>
            <w:vAlign w:val="center"/>
          </w:tcPr>
          <w:p>
            <w:pPr>
              <w:jc w:val="left"/>
            </w:pPr>
            <w:r>
              <w:rPr>
                <w:color w:val="000000"/>
                <w:sz w:val="24"/>
              </w:rPr>
              <w:t>信息技术</w:t>
            </w:r>
          </w:p>
        </w:tc>
        <w:tc>
          <w:tcPr>
            <w:vAlign w:val="center"/>
          </w:tcPr>
          <w:p>
            <w:pPr>
              <w:jc w:val="right"/>
            </w:pPr>
            <w:r>
              <w:rPr>
                <w:color w:val="000000"/>
                <w:sz w:val="24"/>
              </w:rPr>
              <w:t>155,490,068.24</w:t>
            </w:r>
          </w:p>
        </w:tc>
        <w:tc>
          <w:tcPr>
            <w:vAlign w:val="center"/>
          </w:tcPr>
          <w:p>
            <w:pPr>
              <w:jc w:val="right"/>
            </w:pPr>
            <w:r>
              <w:rPr>
                <w:color w:val="000000"/>
                <w:sz w:val="24"/>
              </w:rPr>
              <w:t>1.68</w:t>
            </w:r>
          </w:p>
        </w:tc>
      </w:tr>
      <w:tr>
        <w:tc>
          <w:tcPr>
            <w:vAlign w:val="center"/>
          </w:tcPr>
          <w:p>
            <w:pPr>
              <w:jc w:val="left"/>
            </w:pPr>
            <w:r>
              <w:rPr>
                <w:color w:val="000000"/>
                <w:sz w:val="24"/>
              </w:rPr>
              <w:t>电信服务</w:t>
            </w:r>
          </w:p>
        </w:tc>
        <w:tc>
          <w:tcPr>
            <w:vAlign w:val="center"/>
          </w:tcPr>
          <w:p>
            <w:pPr>
              <w:jc w:val="right"/>
            </w:pPr>
            <w:r>
              <w:rPr>
                <w:color w:val="000000"/>
                <w:sz w:val="24"/>
              </w:rPr>
              <w:t>1,827,355,082.88</w:t>
            </w:r>
          </w:p>
        </w:tc>
        <w:tc>
          <w:tcPr>
            <w:vAlign w:val="center"/>
          </w:tcPr>
          <w:p>
            <w:pPr>
              <w:jc w:val="right"/>
            </w:pPr>
            <w:r>
              <w:rPr>
                <w:color w:val="000000"/>
                <w:sz w:val="24"/>
              </w:rPr>
              <w:t>19.78</w:t>
            </w:r>
          </w:p>
        </w:tc>
      </w:tr>
      <w:tr>
        <w:tc>
          <w:tcPr>
            <w:vAlign w:val="center"/>
          </w:tcPr>
          <w:p>
            <w:pPr>
              <w:jc w:val="left"/>
            </w:pPr>
            <w:r>
              <w:rPr>
                <w:color w:val="000000"/>
                <w:sz w:val="24"/>
              </w:rPr>
              <w:t>公用事业</w:t>
            </w:r>
          </w:p>
        </w:tc>
        <w:tc>
          <w:tcPr>
            <w:vAlign w:val="center"/>
          </w:tcPr>
          <w:p>
            <w:pPr>
              <w:jc w:val="right"/>
            </w:pPr>
            <w:r>
              <w:rPr>
                <w:color w:val="000000"/>
                <w:sz w:val="24"/>
              </w:rPr>
              <w:t>336,334,298.73</w:t>
            </w:r>
          </w:p>
        </w:tc>
        <w:tc>
          <w:tcPr>
            <w:vAlign w:val="center"/>
          </w:tcPr>
          <w:p>
            <w:pPr>
              <w:jc w:val="right"/>
            </w:pPr>
            <w:r>
              <w:rPr>
                <w:color w:val="000000"/>
                <w:sz w:val="24"/>
              </w:rPr>
              <w:t>3.64</w:t>
            </w:r>
          </w:p>
        </w:tc>
      </w:tr>
      <w:tr>
        <w:tc>
          <w:tcPr>
            <w:vAlign w:val="center"/>
          </w:tcPr>
          <w:p>
            <w:pPr>
              <w:jc w:val="left"/>
            </w:pPr>
            <w:r>
              <w:rPr>
                <w:color w:val="000000"/>
                <w:sz w:val="24"/>
              </w:rPr>
              <w:t>房地产</w:t>
            </w:r>
          </w:p>
        </w:tc>
        <w:tc>
          <w:tcPr>
            <w:vAlign w:val="center"/>
          </w:tcPr>
          <w:p>
            <w:pPr>
              <w:jc w:val="right"/>
            </w:pPr>
            <w:r>
              <w:rPr>
                <w:color w:val="000000"/>
                <w:sz w:val="24"/>
              </w:rPr>
              <w:t>690,906,249.14</w:t>
            </w:r>
          </w:p>
        </w:tc>
        <w:tc>
          <w:tcPr>
            <w:vAlign w:val="center"/>
          </w:tcPr>
          <w:p>
            <w:pPr>
              <w:jc w:val="right"/>
            </w:pPr>
            <w:r>
              <w:rPr>
                <w:color w:val="000000"/>
                <w:sz w:val="24"/>
              </w:rPr>
              <w:t>7.48</w:t>
            </w:r>
          </w:p>
        </w:tc>
      </w:tr>
      <w:tr w:rsidR="00F5013F" w:rsidRPr="006506EF" w:rsidTr="0007178B">
        <w:tc>
          <w:tcPr>
            <w:tcW w:type="dxa" w:w="2787"/>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合计</w:t>
            </w:r>
          </w:p>
        </w:tc>
        <w:tc>
          <w:tcPr>
            <w:tcW w:type="dxa" w:w="2551"/>
            <w:vAlign w:val="center"/>
          </w:tcPr>
          <w:p w:rsidP="0007178B" w:rsidR="00F5013F" w:rsidRDefault="00F5013F" w:rsidRPr="006506EF">
            <w:pPr>
              <w:autoSpaceDE w:val="0"/>
              <w:autoSpaceDN w:val="0"/>
              <w:adjustRightInd w:val="0"/>
              <w:spacing w:before="29" w:line="360" w:lineRule="auto"/>
              <w:ind w:left="15"/>
              <w:jc w:val="right"/>
              <w:rPr>
                <w:color w:val="000000"/>
                <w:sz w:val="24"/>
              </w:rPr>
            </w:pPr>
            <w:r w:rsidRPr="006506EF">
              <w:rPr>
                <w:color w:val="000000"/>
                <w:sz w:val="24"/>
              </w:rPr>
              <w:t>9,054,303,711.23</w:t>
            </w:r>
          </w:p>
        </w:tc>
        <w:tc>
          <w:tcPr>
            <w:tcW w:type="dxa" w:w="3175"/>
            <w:vAlign w:val="center"/>
          </w:tcPr>
          <w:p w:rsidP="0007178B" w:rsidR="00F5013F" w:rsidRDefault="00F5013F" w:rsidRPr="006506EF">
            <w:pPr>
              <w:autoSpaceDE w:val="0"/>
              <w:autoSpaceDN w:val="0"/>
              <w:adjustRightInd w:val="0"/>
              <w:spacing w:before="29" w:line="360" w:lineRule="auto"/>
              <w:ind w:left="15"/>
              <w:jc w:val="right"/>
              <w:rPr>
                <w:color w:val="000000"/>
                <w:sz w:val="24"/>
              </w:rPr>
            </w:pPr>
            <w:r w:rsidRPr="006506EF">
              <w:rPr>
                <w:color w:val="000000"/>
                <w:sz w:val="24"/>
              </w:rPr>
              <w:t>98.03</w:t>
            </w:r>
          </w:p>
        </w:tc>
      </w:tr>
    </w:tbl>
    <w:p w:rsidP="00A70EAB" w:rsidR="00F5013F" w:rsidRDefault="00F5013F" w:rsidRPr="006506EF">
      <w:pPr>
        <w:spacing w:line="360" w:lineRule="auto"/>
        <w:ind w:firstLine="480" w:firstLineChars="200"/>
        <w:rPr>
          <w:color w:val="000000"/>
          <w:sz w:val="24"/>
        </w:rPr>
      </w:pPr>
      <w:r w:rsidRPr="006506EF">
        <w:rPr>
          <w:color w:val="000000"/>
          <w:sz w:val="24"/>
        </w:rPr>
        <w:t>注：以上分类采用全球行业分类标准（GICS）。</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5.4 </w:t>
      </w:r>
      <w:r w:rsidRPr="006506EF">
        <w:rPr>
          <w:b/>
          <w:color w:val="000000"/>
          <w:kern w:val="0"/>
          <w:sz w:val="24"/>
        </w:rPr>
        <w:t>报告期末按公允价值占基金资产净值比例大小排序的前十名股票及存托凭证投资明细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761"/>
        <w:gridCol w:w="967"/>
        <w:gridCol w:w="984"/>
        <w:gridCol w:w="716"/>
        <w:gridCol w:w="760"/>
        <w:gridCol w:w="974"/>
        <w:gridCol w:w="1188"/>
        <w:gridCol w:w="974"/>
        <w:gridCol w:w="1189"/>
      </w:tblGrid>
      <w:tr w:rsidR="00F5013F" w:rsidRPr="006506EF" w:rsidTr="0007178B">
        <w:tc>
          <w:tcPr>
            <w:tcW w:type="dxa" w:w="794"/>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序号</w:t>
            </w:r>
          </w:p>
        </w:tc>
        <w:tc>
          <w:tcPr>
            <w:tcW w:type="dxa" w:w="974"/>
            <w:vAlign w:val="center"/>
          </w:tcPr>
          <w:p w:rsidP="0007178B" w:rsidR="00F5013F" w:rsidRDefault="00F5013F" w:rsidRPr="006506EF">
            <w:pPr>
              <w:adjustRightInd w:val="0"/>
              <w:snapToGrid w:val="0"/>
              <w:spacing w:line="400" w:lineRule="exact"/>
              <w:jc w:val="center"/>
              <w:rPr>
                <w:color w:val="000000"/>
                <w:kern w:val="0"/>
                <w:sz w:val="24"/>
              </w:rPr>
            </w:pPr>
            <w:r w:rsidRPr="006506EF">
              <w:rPr>
                <w:color w:val="000000"/>
                <w:kern w:val="0"/>
                <w:sz w:val="24"/>
              </w:rPr>
              <w:t>公司名称（英文）</w:t>
            </w:r>
          </w:p>
        </w:tc>
        <w:tc>
          <w:tcPr>
            <w:tcW w:type="dxa" w:w="1019"/>
            <w:vAlign w:val="center"/>
          </w:tcPr>
          <w:p w:rsidP="0007178B" w:rsidR="00F5013F" w:rsidRDefault="00F5013F" w:rsidRPr="006506EF">
            <w:pPr>
              <w:adjustRightInd w:val="0"/>
              <w:snapToGrid w:val="0"/>
              <w:spacing w:line="400" w:lineRule="exact"/>
              <w:jc w:val="center"/>
              <w:rPr>
                <w:color w:val="000000"/>
                <w:kern w:val="0"/>
                <w:sz w:val="24"/>
              </w:rPr>
            </w:pPr>
            <w:r w:rsidRPr="006506EF">
              <w:rPr>
                <w:color w:val="000000"/>
                <w:kern w:val="0"/>
                <w:sz w:val="24"/>
              </w:rPr>
              <w:t>公司名称（中文）</w:t>
            </w:r>
          </w:p>
        </w:tc>
        <w:tc>
          <w:tcPr>
            <w:tcW w:type="dxa" w:w="703"/>
            <w:vAlign w:val="center"/>
          </w:tcPr>
          <w:p w:rsidP="0007178B" w:rsidR="00F5013F" w:rsidRDefault="00F5013F" w:rsidRPr="006506EF">
            <w:pPr>
              <w:adjustRightInd w:val="0"/>
              <w:snapToGrid w:val="0"/>
              <w:spacing w:line="400" w:lineRule="exact"/>
              <w:jc w:val="center"/>
              <w:rPr>
                <w:color w:val="000000"/>
                <w:kern w:val="0"/>
                <w:sz w:val="24"/>
              </w:rPr>
            </w:pPr>
            <w:r w:rsidRPr="006506EF">
              <w:rPr>
                <w:color w:val="000000"/>
                <w:kern w:val="0"/>
                <w:sz w:val="24"/>
              </w:rPr>
              <w:t>证券代码</w:t>
            </w:r>
          </w:p>
        </w:tc>
        <w:tc>
          <w:tcPr>
            <w:tcW w:type="dxa" w:w="793"/>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所在证</w:t>
            </w:r>
          </w:p>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券市场</w:t>
            </w:r>
          </w:p>
        </w:tc>
        <w:tc>
          <w:tcPr>
            <w:tcW w:type="dxa" w:w="969"/>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所属国家</w:t>
            </w:r>
          </w:p>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（地区</w:t>
            </w:r>
            <w:r w:rsidRPr="006506EF">
              <w:rPr>
                <w:color w:val="000000"/>
                <w:kern w:val="0"/>
                <w:sz w:val="24"/>
              </w:rPr>
              <w:t>)</w:t>
            </w:r>
          </w:p>
        </w:tc>
        <w:tc>
          <w:tcPr>
            <w:tcW w:type="dxa" w:w="1146"/>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数量</w:t>
            </w:r>
          </w:p>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（股）</w:t>
            </w:r>
          </w:p>
        </w:tc>
        <w:tc>
          <w:tcPr>
            <w:tcW w:type="dxa" w:w="969"/>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公允价值（人民币元）</w:t>
            </w:r>
          </w:p>
        </w:tc>
        <w:tc>
          <w:tcPr>
            <w:tcW w:type="dxa" w:w="1146"/>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Tencent Holdings Ltd</w:t>
            </w:r>
          </w:p>
        </w:tc>
        <w:tc>
          <w:tcPr>
            <w:vAlign w:val="center"/>
          </w:tcPr>
          <w:p>
            <w:pPr>
              <w:jc w:val="center"/>
            </w:pPr>
            <w:r>
              <w:rPr>
                <w:color w:val="000000"/>
                <w:sz w:val="24"/>
              </w:rPr>
              <w:t>腾讯控股有限公司</w:t>
            </w:r>
          </w:p>
        </w:tc>
        <w:tc>
          <w:tcPr>
            <w:vAlign w:val="center"/>
          </w:tcPr>
          <w:p>
            <w:pPr>
              <w:jc w:val="center"/>
            </w:pPr>
            <w:r>
              <w:rPr>
                <w:color w:val="000000"/>
                <w:sz w:val="24"/>
              </w:rPr>
              <w:t>700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2,327,040</w:t>
            </w:r>
          </w:p>
        </w:tc>
        <w:tc>
          <w:tcPr>
            <w:vAlign w:val="center"/>
          </w:tcPr>
          <w:p>
            <w:pPr>
              <w:jc w:val="right"/>
            </w:pPr>
            <w:r>
              <w:rPr>
                <w:color w:val="000000"/>
                <w:sz w:val="24"/>
              </w:rPr>
              <w:t>1,059,829,852.81</w:t>
            </w:r>
          </w:p>
        </w:tc>
        <w:tc>
          <w:tcPr>
            <w:vAlign w:val="center"/>
          </w:tcPr>
          <w:p>
            <w:pPr>
              <w:jc w:val="right"/>
            </w:pPr>
            <w:r>
              <w:rPr>
                <w:color w:val="000000"/>
                <w:sz w:val="24"/>
              </w:rPr>
              <w:t>11.47</w:t>
            </w:r>
          </w:p>
        </w:tc>
      </w:tr>
      <w:tr>
        <w:tc>
          <w:tcPr>
            <w:vAlign w:val="center"/>
          </w:tcPr>
          <w:p>
            <w:pPr>
              <w:jc w:val="center"/>
            </w:pPr>
            <w:r>
              <w:rPr>
                <w:color w:val="000000"/>
                <w:sz w:val="24"/>
              </w:rPr>
              <w:t>2</w:t>
            </w:r>
          </w:p>
        </w:tc>
        <w:tc>
          <w:tcPr>
            <w:vAlign w:val="center"/>
          </w:tcPr>
          <w:p>
            <w:pPr>
              <w:jc w:val="center"/>
            </w:pPr>
            <w:r>
              <w:rPr>
                <w:color w:val="000000"/>
                <w:sz w:val="24"/>
              </w:rPr>
              <w:t>China Construction Bank Corporation</w:t>
            </w:r>
          </w:p>
        </w:tc>
        <w:tc>
          <w:tcPr>
            <w:vAlign w:val="center"/>
          </w:tcPr>
          <w:p>
            <w:pPr>
              <w:jc w:val="center"/>
            </w:pPr>
            <w:r>
              <w:rPr>
                <w:color w:val="000000"/>
                <w:sz w:val="24"/>
              </w:rPr>
              <w:t>中国建设银行股份有限公司</w:t>
            </w:r>
          </w:p>
        </w:tc>
        <w:tc>
          <w:tcPr>
            <w:vAlign w:val="center"/>
          </w:tcPr>
          <w:p>
            <w:pPr>
              <w:jc w:val="center"/>
            </w:pPr>
            <w:r>
              <w:rPr>
                <w:color w:val="000000"/>
                <w:sz w:val="24"/>
              </w:rPr>
              <w:t>939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158,733,900</w:t>
            </w:r>
          </w:p>
        </w:tc>
        <w:tc>
          <w:tcPr>
            <w:vAlign w:val="center"/>
          </w:tcPr>
          <w:p>
            <w:pPr>
              <w:jc w:val="right"/>
            </w:pPr>
            <w:r>
              <w:rPr>
                <w:color w:val="000000"/>
                <w:sz w:val="24"/>
              </w:rPr>
              <w:t>909,111,712.98</w:t>
            </w:r>
          </w:p>
        </w:tc>
        <w:tc>
          <w:tcPr>
            <w:vAlign w:val="center"/>
          </w:tcPr>
          <w:p>
            <w:pPr>
              <w:jc w:val="right"/>
            </w:pPr>
            <w:r>
              <w:rPr>
                <w:color w:val="000000"/>
                <w:sz w:val="24"/>
              </w:rPr>
              <w:t>9.84</w:t>
            </w:r>
          </w:p>
        </w:tc>
      </w:tr>
      <w:tr>
        <w:tc>
          <w:tcPr>
            <w:vAlign w:val="center"/>
          </w:tcPr>
          <w:p>
            <w:pPr>
              <w:jc w:val="center"/>
            </w:pPr>
            <w:r>
              <w:rPr>
                <w:color w:val="000000"/>
                <w:sz w:val="24"/>
              </w:rPr>
              <w:t>3</w:t>
            </w:r>
          </w:p>
        </w:tc>
        <w:tc>
          <w:tcPr>
            <w:vAlign w:val="center"/>
          </w:tcPr>
          <w:p>
            <w:pPr>
              <w:jc w:val="center"/>
            </w:pPr>
            <w:r>
              <w:rPr>
                <w:color w:val="000000"/>
                <w:sz w:val="24"/>
              </w:rPr>
              <w:t>Ping An Insurance (Group) Company of China, Ltd.</w:t>
            </w:r>
          </w:p>
        </w:tc>
        <w:tc>
          <w:tcPr>
            <w:vAlign w:val="center"/>
          </w:tcPr>
          <w:p>
            <w:pPr>
              <w:jc w:val="center"/>
            </w:pPr>
            <w:r>
              <w:rPr>
                <w:color w:val="000000"/>
                <w:sz w:val="24"/>
              </w:rPr>
              <w:t>中国平安保险(集团)股份有限公司</w:t>
            </w:r>
          </w:p>
        </w:tc>
        <w:tc>
          <w:tcPr>
            <w:vAlign w:val="center"/>
          </w:tcPr>
          <w:p>
            <w:pPr>
              <w:jc w:val="center"/>
            </w:pPr>
            <w:r>
              <w:rPr>
                <w:color w:val="000000"/>
                <w:sz w:val="24"/>
              </w:rPr>
              <w:t>2318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11,473,200</w:t>
            </w:r>
          </w:p>
        </w:tc>
        <w:tc>
          <w:tcPr>
            <w:vAlign w:val="center"/>
          </w:tcPr>
          <w:p>
            <w:pPr>
              <w:jc w:val="right"/>
            </w:pPr>
            <w:r>
              <w:rPr>
                <w:color w:val="000000"/>
                <w:sz w:val="24"/>
              </w:rPr>
              <w:t>812,206,185.12</w:t>
            </w:r>
          </w:p>
        </w:tc>
        <w:tc>
          <w:tcPr>
            <w:vAlign w:val="center"/>
          </w:tcPr>
          <w:p>
            <w:pPr>
              <w:jc w:val="right"/>
            </w:pPr>
            <w:r>
              <w:rPr>
                <w:color w:val="000000"/>
                <w:sz w:val="24"/>
              </w:rPr>
              <w:t>8.79</w:t>
            </w:r>
          </w:p>
        </w:tc>
      </w:tr>
      <w:tr>
        <w:tc>
          <w:tcPr>
            <w:vAlign w:val="center"/>
          </w:tcPr>
          <w:p>
            <w:pPr>
              <w:jc w:val="center"/>
            </w:pPr>
            <w:r>
              <w:rPr>
                <w:color w:val="000000"/>
                <w:sz w:val="24"/>
              </w:rPr>
              <w:t>4</w:t>
            </w:r>
          </w:p>
        </w:tc>
        <w:tc>
          <w:tcPr>
            <w:vAlign w:val="center"/>
          </w:tcPr>
          <w:p>
            <w:pPr>
              <w:jc w:val="center"/>
            </w:pPr>
            <w:r>
              <w:rPr>
                <w:color w:val="000000"/>
                <w:sz w:val="24"/>
              </w:rPr>
              <w:t>Industrial and Commercial Bank of China Limited</w:t>
            </w:r>
          </w:p>
        </w:tc>
        <w:tc>
          <w:tcPr>
            <w:vAlign w:val="center"/>
          </w:tcPr>
          <w:p>
            <w:pPr>
              <w:jc w:val="center"/>
            </w:pPr>
            <w:r>
              <w:rPr>
                <w:color w:val="000000"/>
                <w:sz w:val="24"/>
              </w:rPr>
              <w:t>中国工商银行股份有限公司</w:t>
            </w:r>
          </w:p>
        </w:tc>
        <w:tc>
          <w:tcPr>
            <w:vAlign w:val="center"/>
          </w:tcPr>
          <w:p>
            <w:pPr>
              <w:jc w:val="center"/>
            </w:pPr>
            <w:r>
              <w:rPr>
                <w:color w:val="000000"/>
                <w:sz w:val="24"/>
              </w:rPr>
              <w:t>1398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142,066,800</w:t>
            </w:r>
          </w:p>
        </w:tc>
        <w:tc>
          <w:tcPr>
            <w:vAlign w:val="center"/>
          </w:tcPr>
          <w:p>
            <w:pPr>
              <w:jc w:val="right"/>
            </w:pPr>
            <w:r>
              <w:rPr>
                <w:color w:val="000000"/>
                <w:sz w:val="24"/>
              </w:rPr>
              <w:t>609,916,639.62</w:t>
            </w:r>
          </w:p>
        </w:tc>
        <w:tc>
          <w:tcPr>
            <w:vAlign w:val="center"/>
          </w:tcPr>
          <w:p>
            <w:pPr>
              <w:jc w:val="right"/>
            </w:pPr>
            <w:r>
              <w:rPr>
                <w:color w:val="000000"/>
                <w:sz w:val="24"/>
              </w:rPr>
              <w:t>6.60</w:t>
            </w:r>
          </w:p>
        </w:tc>
      </w:tr>
      <w:tr>
        <w:tc>
          <w:tcPr>
            <w:vAlign w:val="center"/>
          </w:tcPr>
          <w:p>
            <w:pPr>
              <w:jc w:val="center"/>
            </w:pPr>
            <w:r>
              <w:rPr>
                <w:color w:val="000000"/>
                <w:sz w:val="24"/>
              </w:rPr>
              <w:t>5</w:t>
            </w:r>
          </w:p>
        </w:tc>
        <w:tc>
          <w:tcPr>
            <w:vAlign w:val="center"/>
          </w:tcPr>
          <w:p>
            <w:pPr>
              <w:jc w:val="center"/>
            </w:pPr>
            <w:r>
              <w:rPr>
                <w:color w:val="000000"/>
                <w:sz w:val="24"/>
              </w:rPr>
              <w:t>China Mobile Limited</w:t>
            </w:r>
          </w:p>
        </w:tc>
        <w:tc>
          <w:tcPr>
            <w:vAlign w:val="center"/>
          </w:tcPr>
          <w:p>
            <w:pPr>
              <w:jc w:val="center"/>
            </w:pPr>
            <w:r>
              <w:rPr>
                <w:color w:val="000000"/>
                <w:sz w:val="24"/>
              </w:rPr>
              <w:t>中国移动有限公司</w:t>
            </w:r>
          </w:p>
        </w:tc>
        <w:tc>
          <w:tcPr>
            <w:vAlign w:val="center"/>
          </w:tcPr>
          <w:p>
            <w:pPr>
              <w:jc w:val="center"/>
            </w:pPr>
            <w:r>
              <w:rPr>
                <w:color w:val="000000"/>
                <w:sz w:val="24"/>
              </w:rPr>
              <w:t>941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11,828,550</w:t>
            </w:r>
          </w:p>
        </w:tc>
        <w:tc>
          <w:tcPr>
            <w:vAlign w:val="center"/>
          </w:tcPr>
          <w:p>
            <w:pPr>
              <w:jc w:val="right"/>
            </w:pPr>
            <w:r>
              <w:rPr>
                <w:color w:val="000000"/>
                <w:sz w:val="24"/>
              </w:rPr>
              <w:t>565,084,278.24</w:t>
            </w:r>
          </w:p>
        </w:tc>
        <w:tc>
          <w:tcPr>
            <w:vAlign w:val="center"/>
          </w:tcPr>
          <w:p>
            <w:pPr>
              <w:jc w:val="right"/>
            </w:pPr>
            <w:r>
              <w:rPr>
                <w:color w:val="000000"/>
                <w:sz w:val="24"/>
              </w:rPr>
              <w:t>6.12</w:t>
            </w:r>
          </w:p>
        </w:tc>
      </w:tr>
      <w:tr>
        <w:tc>
          <w:tcPr>
            <w:vAlign w:val="center"/>
          </w:tcPr>
          <w:p>
            <w:pPr>
              <w:jc w:val="center"/>
            </w:pPr>
            <w:r>
              <w:rPr>
                <w:color w:val="000000"/>
                <w:sz w:val="24"/>
              </w:rPr>
              <w:t>6</w:t>
            </w:r>
          </w:p>
        </w:tc>
        <w:tc>
          <w:tcPr>
            <w:vAlign w:val="center"/>
          </w:tcPr>
          <w:p>
            <w:pPr>
              <w:jc w:val="center"/>
            </w:pPr>
            <w:r>
              <w:rPr>
                <w:color w:val="000000"/>
                <w:sz w:val="24"/>
              </w:rPr>
              <w:t>Bank of China Limited</w:t>
            </w:r>
          </w:p>
        </w:tc>
        <w:tc>
          <w:tcPr>
            <w:vAlign w:val="center"/>
          </w:tcPr>
          <w:p>
            <w:pPr>
              <w:jc w:val="center"/>
            </w:pPr>
            <w:r>
              <w:rPr>
                <w:color w:val="000000"/>
                <w:sz w:val="24"/>
              </w:rPr>
              <w:t>中国银行股份有限公司</w:t>
            </w:r>
          </w:p>
        </w:tc>
        <w:tc>
          <w:tcPr>
            <w:vAlign w:val="center"/>
          </w:tcPr>
          <w:p>
            <w:pPr>
              <w:jc w:val="center"/>
            </w:pPr>
            <w:r>
              <w:rPr>
                <w:color w:val="000000"/>
                <w:sz w:val="24"/>
              </w:rPr>
              <w:t>3988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152,976,800</w:t>
            </w:r>
          </w:p>
        </w:tc>
        <w:tc>
          <w:tcPr>
            <w:vAlign w:val="center"/>
          </w:tcPr>
          <w:p>
            <w:pPr>
              <w:jc w:val="right"/>
            </w:pPr>
            <w:r>
              <w:rPr>
                <w:color w:val="000000"/>
                <w:sz w:val="24"/>
              </w:rPr>
              <w:t>401,039,817.92</w:t>
            </w:r>
          </w:p>
        </w:tc>
        <w:tc>
          <w:tcPr>
            <w:vAlign w:val="center"/>
          </w:tcPr>
          <w:p>
            <w:pPr>
              <w:jc w:val="right"/>
            </w:pPr>
            <w:r>
              <w:rPr>
                <w:color w:val="000000"/>
                <w:sz w:val="24"/>
              </w:rPr>
              <w:t>4.34</w:t>
            </w:r>
          </w:p>
        </w:tc>
      </w:tr>
      <w:tr>
        <w:tc>
          <w:tcPr>
            <w:vAlign w:val="center"/>
          </w:tcPr>
          <w:p>
            <w:pPr>
              <w:jc w:val="center"/>
            </w:pPr>
            <w:r>
              <w:rPr>
                <w:color w:val="000000"/>
                <w:sz w:val="24"/>
              </w:rPr>
              <w:t>7</w:t>
            </w:r>
          </w:p>
        </w:tc>
        <w:tc>
          <w:tcPr>
            <w:vAlign w:val="center"/>
          </w:tcPr>
          <w:p>
            <w:pPr>
              <w:jc w:val="center"/>
            </w:pPr>
            <w:r>
              <w:rPr>
                <w:color w:val="000000"/>
                <w:sz w:val="24"/>
              </w:rPr>
              <w:t>CNOOC Limited</w:t>
            </w:r>
          </w:p>
        </w:tc>
        <w:tc>
          <w:tcPr>
            <w:vAlign w:val="center"/>
          </w:tcPr>
          <w:p>
            <w:pPr>
              <w:jc w:val="center"/>
            </w:pPr>
            <w:r>
              <w:rPr>
                <w:color w:val="000000"/>
                <w:sz w:val="24"/>
              </w:rPr>
              <w:t>中国海洋石油有限公司</w:t>
            </w:r>
          </w:p>
        </w:tc>
        <w:tc>
          <w:tcPr>
            <w:vAlign w:val="center"/>
          </w:tcPr>
          <w:p>
            <w:pPr>
              <w:jc w:val="center"/>
            </w:pPr>
            <w:r>
              <w:rPr>
                <w:color w:val="000000"/>
                <w:sz w:val="24"/>
              </w:rPr>
              <w:t>883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34,388,400</w:t>
            </w:r>
          </w:p>
        </w:tc>
        <w:tc>
          <w:tcPr>
            <w:vAlign w:val="center"/>
          </w:tcPr>
          <w:p>
            <w:pPr>
              <w:jc w:val="right"/>
            </w:pPr>
            <w:r>
              <w:rPr>
                <w:color w:val="000000"/>
                <w:sz w:val="24"/>
              </w:rPr>
              <w:t>270,769,199.63</w:t>
            </w:r>
          </w:p>
        </w:tc>
        <w:tc>
          <w:tcPr>
            <w:vAlign w:val="center"/>
          </w:tcPr>
          <w:p>
            <w:pPr>
              <w:jc w:val="right"/>
            </w:pPr>
            <w:r>
              <w:rPr>
                <w:color w:val="000000"/>
                <w:sz w:val="24"/>
              </w:rPr>
              <w:t>2.93</w:t>
            </w:r>
          </w:p>
        </w:tc>
      </w:tr>
      <w:tr>
        <w:tc>
          <w:tcPr>
            <w:vAlign w:val="center"/>
          </w:tcPr>
          <w:p>
            <w:pPr>
              <w:jc w:val="center"/>
            </w:pPr>
            <w:r>
              <w:rPr>
                <w:color w:val="000000"/>
                <w:sz w:val="24"/>
              </w:rPr>
              <w:t>8</w:t>
            </w:r>
          </w:p>
        </w:tc>
        <w:tc>
          <w:tcPr>
            <w:vAlign w:val="center"/>
          </w:tcPr>
          <w:p>
            <w:pPr>
              <w:jc w:val="center"/>
            </w:pPr>
            <w:r>
              <w:rPr>
                <w:color w:val="000000"/>
                <w:sz w:val="24"/>
              </w:rPr>
              <w:t>China Merchants Bank Co., Ltd.</w:t>
            </w:r>
          </w:p>
        </w:tc>
        <w:tc>
          <w:tcPr>
            <w:vAlign w:val="center"/>
          </w:tcPr>
          <w:p>
            <w:pPr>
              <w:jc w:val="center"/>
            </w:pPr>
            <w:r>
              <w:rPr>
                <w:color w:val="000000"/>
                <w:sz w:val="24"/>
              </w:rPr>
              <w:t>招商银行股份有限公司</w:t>
            </w:r>
          </w:p>
        </w:tc>
        <w:tc>
          <w:tcPr>
            <w:vAlign w:val="center"/>
          </w:tcPr>
          <w:p>
            <w:pPr>
              <w:jc w:val="center"/>
            </w:pPr>
            <w:r>
              <w:rPr>
                <w:color w:val="000000"/>
                <w:sz w:val="24"/>
              </w:rPr>
              <w:t>3968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7,545,000</w:t>
            </w:r>
          </w:p>
        </w:tc>
        <w:tc>
          <w:tcPr>
            <w:vAlign w:val="center"/>
          </w:tcPr>
          <w:p>
            <w:pPr>
              <w:jc w:val="right"/>
            </w:pPr>
            <w:r>
              <w:rPr>
                <w:color w:val="000000"/>
                <w:sz w:val="24"/>
              </w:rPr>
              <w:t>245,696,406.12</w:t>
            </w:r>
          </w:p>
        </w:tc>
        <w:tc>
          <w:tcPr>
            <w:vAlign w:val="center"/>
          </w:tcPr>
          <w:p>
            <w:pPr>
              <w:jc w:val="right"/>
            </w:pPr>
            <w:r>
              <w:rPr>
                <w:color w:val="000000"/>
                <w:sz w:val="24"/>
              </w:rPr>
              <w:t>2.66</w:t>
            </w:r>
          </w:p>
        </w:tc>
      </w:tr>
      <w:tr>
        <w:tc>
          <w:tcPr>
            <w:vAlign w:val="center"/>
          </w:tcPr>
          <w:p>
            <w:pPr>
              <w:jc w:val="center"/>
            </w:pPr>
            <w:r>
              <w:rPr>
                <w:color w:val="000000"/>
                <w:sz w:val="24"/>
              </w:rPr>
              <w:t>9</w:t>
            </w:r>
          </w:p>
        </w:tc>
        <w:tc>
          <w:tcPr>
            <w:vAlign w:val="center"/>
          </w:tcPr>
          <w:p>
            <w:pPr>
              <w:jc w:val="center"/>
            </w:pPr>
            <w:r>
              <w:rPr>
                <w:color w:val="000000"/>
                <w:sz w:val="24"/>
              </w:rPr>
              <w:t>China Life Insurance Company Limited</w:t>
            </w:r>
          </w:p>
        </w:tc>
        <w:tc>
          <w:tcPr>
            <w:vAlign w:val="center"/>
          </w:tcPr>
          <w:p>
            <w:pPr>
              <w:jc w:val="center"/>
            </w:pPr>
            <w:r>
              <w:rPr>
                <w:color w:val="000000"/>
                <w:sz w:val="24"/>
              </w:rPr>
              <w:t>中国人寿保险股份有限公司</w:t>
            </w:r>
          </w:p>
        </w:tc>
        <w:tc>
          <w:tcPr>
            <w:vAlign w:val="center"/>
          </w:tcPr>
          <w:p>
            <w:pPr>
              <w:jc w:val="center"/>
            </w:pPr>
            <w:r>
              <w:rPr>
                <w:color w:val="000000"/>
                <w:sz w:val="24"/>
              </w:rPr>
              <w:t>2628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14,388,000</w:t>
            </w:r>
          </w:p>
        </w:tc>
        <w:tc>
          <w:tcPr>
            <w:vAlign w:val="center"/>
          </w:tcPr>
          <w:p>
            <w:pPr>
              <w:jc w:val="right"/>
            </w:pPr>
            <w:r>
              <w:rPr>
                <w:color w:val="000000"/>
                <w:sz w:val="24"/>
              </w:rPr>
              <w:t>205,024,165.63</w:t>
            </w:r>
          </w:p>
        </w:tc>
        <w:tc>
          <w:tcPr>
            <w:vAlign w:val="center"/>
          </w:tcPr>
          <w:p>
            <w:pPr>
              <w:jc w:val="right"/>
            </w:pPr>
            <w:r>
              <w:rPr>
                <w:color w:val="000000"/>
                <w:sz w:val="24"/>
              </w:rPr>
              <w:t>2.22</w:t>
            </w:r>
          </w:p>
        </w:tc>
      </w:tr>
      <w:tr>
        <w:tc>
          <w:tcPr>
            <w:vAlign w:val="center"/>
          </w:tcPr>
          <w:p>
            <w:pPr>
              <w:jc w:val="center"/>
            </w:pPr>
            <w:r>
              <w:rPr>
                <w:color w:val="000000"/>
                <w:sz w:val="24"/>
              </w:rPr>
              <w:t>10</w:t>
            </w:r>
          </w:p>
        </w:tc>
        <w:tc>
          <w:tcPr>
            <w:vAlign w:val="center"/>
          </w:tcPr>
          <w:p>
            <w:pPr>
              <w:jc w:val="center"/>
            </w:pPr>
            <w:r>
              <w:rPr>
                <w:color w:val="000000"/>
                <w:sz w:val="24"/>
              </w:rPr>
              <w:t>Sino Biopharmaceutical Limited</w:t>
            </w:r>
          </w:p>
        </w:tc>
        <w:tc>
          <w:tcPr>
            <w:vAlign w:val="center"/>
          </w:tcPr>
          <w:p>
            <w:pPr>
              <w:jc w:val="center"/>
            </w:pPr>
            <w:r>
              <w:rPr>
                <w:color w:val="000000"/>
                <w:sz w:val="24"/>
              </w:rPr>
              <w:t>中国生物制药有限公司</w:t>
            </w:r>
          </w:p>
        </w:tc>
        <w:tc>
          <w:tcPr>
            <w:vAlign w:val="center"/>
          </w:tcPr>
          <w:p>
            <w:pPr>
              <w:jc w:val="center"/>
            </w:pPr>
            <w:r>
              <w:rPr>
                <w:color w:val="000000"/>
                <w:sz w:val="24"/>
              </w:rPr>
              <w:t>1177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14,543,500</w:t>
            </w:r>
          </w:p>
        </w:tc>
        <w:tc>
          <w:tcPr>
            <w:vAlign w:val="center"/>
          </w:tcPr>
          <w:p>
            <w:pPr>
              <w:jc w:val="right"/>
            </w:pPr>
            <w:r>
              <w:rPr>
                <w:color w:val="000000"/>
                <w:sz w:val="24"/>
              </w:rPr>
              <w:t>193,955,373.75</w:t>
            </w:r>
          </w:p>
        </w:tc>
        <w:tc>
          <w:tcPr>
            <w:vAlign w:val="center"/>
          </w:tcPr>
          <w:p>
            <w:pPr>
              <w:jc w:val="right"/>
            </w:pPr>
            <w:r>
              <w:rPr>
                <w:color w:val="000000"/>
                <w:sz w:val="24"/>
              </w:rPr>
              <w:t>2.10</w:t>
            </w:r>
          </w:p>
        </w:tc>
      </w:tr>
    </w:tbl>
    <w:p w:rsidP="00A70EAB" w:rsidR="00F5013F" w:rsidRDefault="00F5013F" w:rsidRPr="006506EF">
      <w:pPr>
        <w:spacing w:line="360" w:lineRule="auto"/>
        <w:ind w:firstLine="480" w:firstLineChars="200"/>
        <w:rPr>
          <w:color w:val="000000"/>
          <w:sz w:val="24"/>
        </w:rPr>
      </w:pPr>
      <w:r w:rsidRPr="006506EF">
        <w:rPr>
          <w:color w:val="000000"/>
          <w:sz w:val="24"/>
        </w:rPr>
        <w:t>注：此处所用证券代码的类别是当地市场代码。</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5.5 </w:t>
      </w:r>
      <w:r w:rsidRPr="006506EF">
        <w:rPr>
          <w:b/>
          <w:color w:val="000000"/>
          <w:kern w:val="0"/>
          <w:sz w:val="24"/>
        </w:rPr>
        <w:t>报告期末按债券信用等级分类的债券投资组合</w:t>
      </w:r>
    </w:p>
    <w:p w:rsidP="00A70EAB" w:rsidR="00F5013F" w:rsidRDefault="00F5013F" w:rsidRPr="006506EF">
      <w:pPr>
        <w:spacing w:line="360" w:lineRule="auto"/>
        <w:ind w:firstLine="480" w:firstLineChars="200"/>
        <w:rPr>
          <w:color w:val="000000"/>
          <w:sz w:val="24"/>
        </w:rPr>
      </w:pPr>
      <w:r w:rsidRPr="006506EF">
        <w:rPr>
          <w:color w:val="000000"/>
          <w:sz w:val="24"/>
        </w:rPr>
        <w:lastRenderedPageBreak/>
        <w:t>本基金本报告期末未持有债券。</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5.6</w:t>
      </w:r>
      <w:r w:rsidR="00547F92" w:rsidRPr="006506EF">
        <w:rPr>
          <w:b/>
          <w:color w:val="000000"/>
          <w:kern w:val="0"/>
          <w:sz w:val="24"/>
        </w:rPr>
        <w:t>报告期末按公允价值占基金资产净值比例大小排序</w:t>
      </w:r>
      <w:r w:rsidRPr="006506EF">
        <w:rPr>
          <w:b/>
          <w:color w:val="000000"/>
          <w:kern w:val="0"/>
          <w:sz w:val="24"/>
        </w:rPr>
        <w:t>的前五名债券投资明细</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本基金本报告期末未持有债券。</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5.7</w:t>
      </w:r>
      <w:r w:rsidR="00547F92" w:rsidRPr="006506EF">
        <w:rPr>
          <w:b/>
          <w:color w:val="000000"/>
          <w:kern w:val="0"/>
          <w:sz w:val="24"/>
        </w:rPr>
        <w:t>报告期末按公允价值占基金资产净值比例大小排序</w:t>
      </w:r>
      <w:r w:rsidRPr="006506EF">
        <w:rPr>
          <w:b/>
          <w:color w:val="000000"/>
          <w:kern w:val="0"/>
          <w:sz w:val="24"/>
        </w:rPr>
        <w:t>的前十名资产支持证券投资明细</w:t>
      </w:r>
    </w:p>
    <w:p w:rsidP="00A70EAB" w:rsidR="00F5013F" w:rsidRDefault="00F5013F" w:rsidRPr="006506EF">
      <w:pPr>
        <w:spacing w:line="360" w:lineRule="auto"/>
        <w:ind w:firstLine="480" w:firstLineChars="200"/>
        <w:rPr>
          <w:color w:val="000000"/>
          <w:sz w:val="24"/>
        </w:rPr>
      </w:pPr>
      <w:r w:rsidRPr="006506EF">
        <w:rPr>
          <w:color w:val="000000"/>
          <w:sz w:val="24"/>
        </w:rPr>
        <w:lastRenderedPageBreak/>
        <w:t>本基金本报告期末未持有资产支持证券。</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5.8 </w:t>
      </w:r>
      <w:r w:rsidR="00547F92" w:rsidRPr="006506EF">
        <w:rPr>
          <w:b/>
          <w:color w:val="000000"/>
          <w:kern w:val="0"/>
          <w:sz w:val="24"/>
        </w:rPr>
        <w:t>报告期末按公允价值占基金资产净值比例大小排序</w:t>
      </w:r>
      <w:r w:rsidRPr="006506EF">
        <w:rPr>
          <w:b/>
          <w:color w:val="000000"/>
          <w:kern w:val="0"/>
          <w:sz w:val="24"/>
        </w:rPr>
        <w:t>的前五名金融衍生品投资明细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648"/>
        <w:gridCol w:w="1647"/>
        <w:gridCol w:w="1648"/>
        <w:gridCol w:w="1690"/>
        <w:gridCol w:w="1880"/>
      </w:tblGrid>
      <w:tr w:rsidR="00F5013F" w:rsidRPr="006506EF" w:rsidTr="0007178B">
        <w:tc>
          <w:tcPr>
            <w:tcW w:type="dxa" w:w="1702"/>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序号</w:t>
            </w:r>
          </w:p>
        </w:tc>
        <w:tc>
          <w:tcPr>
            <w:tcW w:type="dxa" w:w="1702"/>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衍生品类别</w:t>
            </w:r>
          </w:p>
        </w:tc>
        <w:tc>
          <w:tcPr>
            <w:tcW w:type="dxa" w:w="1703"/>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衍生品名称</w:t>
            </w:r>
          </w:p>
        </w:tc>
        <w:tc>
          <w:tcPr>
            <w:tcW w:type="dxa" w:w="1703"/>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公允价值</w:t>
            </w:r>
          </w:p>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w:t>
            </w:r>
            <w:r w:rsidRPr="006506EF">
              <w:rPr>
                <w:color w:val="000000"/>
                <w:kern w:val="0"/>
                <w:sz w:val="24"/>
              </w:rPr>
              <w:t>人民币元</w:t>
            </w:r>
            <w:r w:rsidRPr="006506EF">
              <w:rPr>
                <w:color w:val="000000"/>
                <w:kern w:val="0"/>
                <w:sz w:val="24"/>
              </w:rPr>
              <w:t>)</w:t>
            </w:r>
          </w:p>
        </w:tc>
        <w:tc>
          <w:tcPr>
            <w:tcW w:type="dxa" w:w="1703"/>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占基金资产</w:t>
            </w:r>
          </w:p>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净值比例（</w:t>
            </w:r>
            <w:r w:rsidRPr="006506EF">
              <w:rPr>
                <w:color w:val="000000"/>
                <w:kern w:val="0"/>
                <w:sz w:val="24"/>
              </w:rPr>
              <w:t>%</w:t>
            </w:r>
            <w:r w:rsidRPr="006506EF">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股指期货</w:t>
            </w:r>
          </w:p>
        </w:tc>
        <w:tc>
          <w:tcPr>
            <w:vAlign w:val="center"/>
          </w:tcPr>
          <w:p>
            <w:pPr>
              <w:jc w:val="center"/>
            </w:pPr>
            <w:r>
              <w:rPr>
                <w:color w:val="000000"/>
                <w:sz w:val="24"/>
              </w:rPr>
              <w:t>HSCEI Futures     Jul20</w:t>
            </w:r>
          </w:p>
        </w:tc>
        <w:tc>
          <w:tcPr>
            <w:vAlign w:val="center"/>
          </w:tcPr>
          <w:p>
            <w:pPr>
              <w:jc w:val="right"/>
            </w:pPr>
            <w:r>
              <w:rPr>
                <w:color w:val="000000"/>
                <w:sz w:val="24"/>
              </w:rPr>
              <w:t>-</w:t>
            </w:r>
          </w:p>
        </w:tc>
        <w:tc>
          <w:tcPr>
            <w:vAlign w:val="center"/>
          </w:tcPr>
          <w:p>
            <w:pPr>
              <w:jc w:val="right"/>
            </w:pPr>
            <w:r>
              <w:rPr>
                <w:color w:val="000000"/>
                <w:sz w:val="24"/>
              </w:rPr>
              <w:t>-</w:t>
            </w:r>
          </w:p>
        </w:tc>
      </w:tr>
    </w:tbl>
    <w:p w:rsidP="00A70EAB" w:rsidR="00F5013F" w:rsidRDefault="00F5013F" w:rsidRPr="006506EF">
      <w:pPr>
        <w:spacing w:line="360" w:lineRule="auto"/>
        <w:ind w:firstLine="480" w:firstLineChars="200"/>
        <w:rPr>
          <w:color w:val="000000"/>
          <w:sz w:val="24"/>
        </w:rPr>
      </w:pPr>
      <w:r w:rsidRPr="006506EF">
        <w:rPr>
          <w:color w:val="000000"/>
          <w:sz w:val="24"/>
        </w:rPr>
        <w:t>注：按照期货每日无负债结算的结算规则，根据《基金股指期货投资会计业务核算细则(试行)》及《企业会计准则-金融工具列报》的相关规定，“其他衍生工具-期货投资”与“证券清算款-期货每日无负债结算暂收暂付款”，符合金融资产与金融负债相抵销的条件，故将“其他衍生工具-期货投资”的期末公允价值以抵销后的净额列报，净额为零。期货投资的公允价值变动金额为-3,037,216.17元，已包含在结算备付金中。</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5.9</w:t>
      </w:r>
      <w:r w:rsidR="00547F92" w:rsidRPr="006506EF">
        <w:rPr>
          <w:b/>
          <w:color w:val="000000"/>
          <w:kern w:val="0"/>
          <w:sz w:val="24"/>
        </w:rPr>
        <w:t>报告期末按公允价值占基金资产净值比例大小排序</w:t>
      </w:r>
      <w:r w:rsidRPr="006506EF">
        <w:rPr>
          <w:b/>
          <w:color w:val="000000"/>
          <w:kern w:val="0"/>
          <w:sz w:val="24"/>
        </w:rPr>
        <w:t>的前十名基金投资明细</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本基金本报告期末未持有基金。</w:t>
      </w:r>
    </w:p>
    <w:p w:rsidP="0049659A"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lastRenderedPageBreak/>
        <w:t xml:space="preserve">5.10 </w:t>
      </w:r>
      <w:r w:rsidRPr="006506EF">
        <w:rPr>
          <w:b/>
          <w:color w:val="000000"/>
          <w:kern w:val="0"/>
          <w:sz w:val="24"/>
        </w:rPr>
        <w:t>投资组合报告附注</w:t>
      </w:r>
    </w:p>
    <w:p w:rsidP="00B55EA7" w:rsidR="00F5013F" w:rsidRDefault="00E202B6" w:rsidRPr="006506EF">
      <w:pPr>
        <w:widowControl/>
        <w:spacing w:line="360" w:lineRule="auto"/>
        <w:rPr>
          <w:color w:val="000000"/>
          <w:sz w:val="24"/>
        </w:rPr>
      </w:pPr>
      <w:r w:rsidRPr="006506EF">
        <w:rPr>
          <w:color w:val="000000"/>
          <w:sz w:val="24"/>
        </w:rPr>
        <w:t/>
      </w:r>
      <w:r w:rsidR="00F5013F" w:rsidRPr="006506EF">
        <w:rPr>
          <w:color w:val="000000"/>
          <w:sz w:val="24"/>
        </w:rPr>
        <w:t>5.10.1</w:t>
      </w:r>
      <w:r w:rsidR="00212961">
        <w:rPr>
          <w:rFonts w:hint="eastAsia"/>
          <w:color w:val="000000"/>
          <w:sz w:val="24"/>
        </w:rPr>
        <w:t xml:space="preserve"> </w:t>
      </w:r>
      <w:r w:rsidR="00F5013F" w:rsidRPr="006506EF">
        <w:rPr>
          <w:color w:val="000000"/>
          <w:sz w:val="24"/>
        </w:rPr>
        <w:t>2019年7月8日，中国银行保险监督管理委员会上海监管局对招商银行股份有限公司信用卡中心2016年9月至2018年6月在为部分客户办理信用卡业务时，未遵守总授信额度管理制度的违法违规事实，责令改正，并处罚款20万元。</w:t>
      </w:r>
    </w:p>
    <w:p>
      <w:pPr>
        <w:widowControl/>
        <w:spacing w:line="360" w:lineRule="auto"/>
        <w:rPr>
          <w:color w:val="000000"/>
          <w:sz w:val="24"/>
        </w:rPr>
      </w:pPr>
      <w:r>
        <w:rPr>
          <w:color w:val="000000"/>
          <w:sz w:val="24"/>
        </w:rPr>
        <w:t>2019年7月8日，中国银行保险监督管理委员会上海监管局针对中国建设银行股份有限公司信用卡中心的如下违法违规行为作出“责令改正，并处罚款30万元”的行政处罚决定：1、2017年5月在为部分客户办理信用卡业务时，未遵守总授信额度管理制度；2、2017年9月、10月对部分信用卡申请人资信水平调查严重不尽职。</w:t>
      </w:r>
    </w:p>
    <w:p>
      <w:pPr>
        <w:widowControl/>
        <w:spacing w:line="360" w:lineRule="auto"/>
        <w:rPr>
          <w:color w:val="000000"/>
          <w:sz w:val="24"/>
        </w:rPr>
      </w:pPr>
      <w:r>
        <w:rPr>
          <w:color w:val="000000"/>
          <w:sz w:val="24"/>
        </w:rPr>
        <w:t>2019年12月27日，中国银行保险监督管理委员会对中国建设银行股份有限公司的如下违法违规行为作出“罚款80万元”的行政处罚决定：1、用于风险缓释的保证金管理存在漏洞；2、国别风险管理不完善。</w:t>
      </w:r>
    </w:p>
    <w:p>
      <w:pPr>
        <w:widowControl/>
        <w:spacing w:line="360" w:lineRule="auto"/>
        <w:rPr>
          <w:color w:val="000000"/>
          <w:sz w:val="24"/>
        </w:rPr>
      </w:pPr>
      <w:r>
        <w:rPr>
          <w:color w:val="000000"/>
          <w:sz w:val="24"/>
        </w:rPr>
        <w:t>2020年4月20日，中国银行保险监督管理委员会针对中国建设银行股份有限公司监管标准化数据（EAST）系统数据质量及数据报送存在以下违法违规行为：1、资金交易信息漏报严重；2、信贷资产转让业务漏报；3、银行承兑汇票业务漏报；4、贸易融资业务漏报和错报；5、分户账明细记录应报未报；6、分户账账户数据应报未报；7、关键且应报字段漏报或填报错误，处以责令改正，并处罚款230万元的行政处罚。</w:t>
      </w:r>
    </w:p>
    <w:p>
      <w:pPr>
        <w:widowControl/>
        <w:spacing w:line="360" w:lineRule="auto"/>
        <w:rPr>
          <w:color w:val="000000"/>
          <w:sz w:val="24"/>
        </w:rPr>
      </w:pPr>
      <w:r>
        <w:rPr>
          <w:color w:val="000000"/>
          <w:sz w:val="24"/>
        </w:rPr>
        <w:t>2020年4月20日，中国银行保险监督管理委员会针对中国工商银行股份有限公司监管标准化数据（EAST）系统数据质量及数据报送存在以下违法违规行为：1、理财产品数量漏报；2、资金交易信息漏报严重；3、信贷资产转让业务漏报；4、贷款核销业务漏报；5、分户账明细记录应报未报；6、分户账账户数据应报未报；7、委托贷款业务应报未报；8、关键且应报字段漏报或填报错误，处以责令改正，并处罚款270万元的行政处罚。</w:t>
      </w:r>
    </w:p>
    <w:p>
      <w:pPr>
        <w:widowControl/>
        <w:spacing w:line="360" w:lineRule="auto"/>
        <w:rPr>
          <w:color w:val="000000"/>
          <w:sz w:val="24"/>
        </w:rPr>
      </w:pPr>
      <w:r>
        <w:rPr>
          <w:color w:val="000000"/>
          <w:sz w:val="24"/>
        </w:rPr>
        <w:t>2020年4月20日，中国银行保险监督管理委员会针对中国银行股份有限公司监管标准化数据（EAST）系统数据质量及数据报送存在以下违法违规行为：1、理财产品数量漏报；2、资金交易信息漏报严重；3、贸易融资业务漏报；4、分户账明细记录应报未报；5、分户账账户数据应报未报；6、关键且应报字段漏报或填报错误，处以责令改正，并处罚款270万元的行政处罚。</w:t>
      </w:r>
    </w:p>
    <w:p>
      <w:pPr>
        <w:widowControl/>
        <w:spacing w:line="360" w:lineRule="auto"/>
        <w:rPr>
          <w:color w:val="000000"/>
          <w:sz w:val="24"/>
        </w:rPr>
      </w:pPr>
      <w:r>
        <w:rPr>
          <w:color w:val="000000"/>
          <w:sz w:val="24"/>
        </w:rPr>
        <w:t>本基金为指数型基金，上述股票系标的指数成份股，上述股票的投资决策程序符合公司投资制度的规定。除招商银行、建设银行、工商银行、中国银行外，本基金投资的前十名证券的发行主体本期没有出现被监管部门立案调查，或在报告编制日前一年内受到公开谴责、处罚的情形。</w:t>
      </w:r>
    </w:p>
    <w:p w:rsidP="00B55EA7" w:rsidR="00F5013F" w:rsidRDefault="00E202B6" w:rsidRPr="006506EF">
      <w:pPr>
        <w:widowControl/>
        <w:spacing w:line="360" w:lineRule="auto"/>
        <w:rPr>
          <w:color w:val="000000"/>
          <w:sz w:val="24"/>
        </w:rPr>
      </w:pPr>
      <w:r w:rsidRPr="006506EF">
        <w:rPr>
          <w:color w:val="000000"/>
          <w:sz w:val="24"/>
        </w:rPr>
        <w:t/>
      </w:r>
      <w:r w:rsidR="00F5013F" w:rsidRPr="006506EF">
        <w:rPr>
          <w:color w:val="000000"/>
          <w:sz w:val="24"/>
        </w:rPr>
        <w:t>5.10.2</w:t>
      </w:r>
      <w:r w:rsidR="00212961">
        <w:rPr>
          <w:rFonts w:hint="eastAsia"/>
          <w:color w:val="000000"/>
          <w:sz w:val="24"/>
        </w:rPr>
        <w:t xml:space="preserve"> </w:t>
      </w:r>
      <w:r w:rsidR="00F5013F" w:rsidRPr="006506EF">
        <w:rPr>
          <w:color w:val="000000"/>
          <w:sz w:val="24"/>
        </w:rPr>
        <w:t>本基金投资的前十名股票没有超出基金合同规定的备选股票库。</w:t>
      </w:r>
    </w:p>
    <w:p w:rsidP="0049659A" w:rsidR="00F5013F" w:rsidRDefault="00287063" w:rsidRPr="006506EF">
      <w:pPr>
        <w:autoSpaceDE w:val="0"/>
        <w:autoSpaceDN w:val="0"/>
        <w:adjustRightInd w:val="0"/>
        <w:spacing w:line="360" w:lineRule="auto"/>
        <w:jc w:val="left"/>
        <w:rPr>
          <w:color w:val="000000"/>
          <w:kern w:val="0"/>
          <w:sz w:val="24"/>
        </w:rPr>
      </w:pPr>
      <w:r w:rsidRPr="006506EF">
        <w:rPr>
          <w:color w:val="000000"/>
          <w:sz w:val="24"/>
        </w:rPr>
        <w:t xml:space="preserve">5.10.3 </w:t>
      </w:r>
      <w:r w:rsidR="00536368">
        <w:rPr>
          <w:color w:val="000000"/>
          <w:kern w:val="0"/>
          <w:sz w:val="24"/>
        </w:rPr>
        <w:t>其他</w:t>
      </w:r>
      <w:bookmarkStart w:id="2" w:name="_GoBack"/>
      <w:bookmarkEnd w:id="2"/>
      <w:r w:rsidR="00F5013F" w:rsidRPr="006506EF">
        <w:rPr>
          <w:color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2903"/>
        <w:gridCol w:w="4808"/>
      </w:tblGrid>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序号</w:t>
            </w:r>
          </w:p>
        </w:tc>
        <w:tc>
          <w:tcPr>
            <w:tcW w:type="dxa" w:w="2903"/>
            <w:vAlign w:val="center"/>
          </w:tcPr>
          <w:p w:rsidP="0007178B"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名称</w:t>
            </w:r>
          </w:p>
        </w:tc>
        <w:tc>
          <w:tcPr>
            <w:tcW w:type="dxa" w:w="4808"/>
            <w:vAlign w:val="center"/>
          </w:tcPr>
          <w:p w:rsidP="0007178B"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金额</w:t>
            </w:r>
            <w:r w:rsidRPr="006506EF">
              <w:rPr>
                <w:color w:val="000000"/>
                <w:kern w:val="0"/>
                <w:sz w:val="24"/>
              </w:rPr>
              <w:t>(</w:t>
            </w:r>
            <w:r w:rsidRPr="006506EF">
              <w:rPr>
                <w:color w:val="000000"/>
                <w:kern w:val="0"/>
                <w:sz w:val="24"/>
              </w:rPr>
              <w:t>人民币元</w:t>
            </w: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sz w:val="24"/>
              </w:rPr>
              <w:t>1</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存出保证金</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18,763,115.02</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2</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应收证券清算款</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118,614,553.91</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3</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应收股利</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107,386,554.90</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4</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应收利息</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20,358.94</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5</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应收申购款</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6</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其他应收款</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7</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sz w:val="24"/>
              </w:rPr>
            </w:pPr>
            <w:r w:rsidRPr="006506EF">
              <w:rPr>
                <w:color w:val="000000"/>
                <w:sz w:val="24"/>
              </w:rPr>
              <w:t>待摊费用</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sz w:val="24"/>
              </w:rPr>
            </w:pPr>
            <w:r w:rsidRPr="006506EF">
              <w:rPr>
                <w:color w:val="00000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8</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其他</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9</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合计</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244,784,582.77</w:t>
            </w:r>
          </w:p>
        </w:tc>
      </w:tr>
    </w:tbl>
    <w:p w:rsidP="00EC4BA3" w:rsidR="00F5013F" w:rsidRDefault="00287063" w:rsidRPr="006506EF">
      <w:pPr>
        <w:autoSpaceDE w:val="0"/>
        <w:autoSpaceDN w:val="0"/>
        <w:adjustRightInd w:val="0"/>
        <w:spacing w:line="360" w:lineRule="auto"/>
        <w:jc w:val="left"/>
        <w:rPr>
          <w:color w:val="000000"/>
          <w:kern w:val="0"/>
          <w:sz w:val="24"/>
        </w:rPr>
      </w:pPr>
      <w:r w:rsidRPr="006506EF">
        <w:rPr>
          <w:kern w:val="0"/>
          <w:sz w:val="24"/>
        </w:rPr>
        <w:t xml:space="preserve">5.10.4 </w:t>
      </w:r>
      <w:r w:rsidR="00F5013F" w:rsidRPr="006506EF">
        <w:rPr>
          <w:color w:val="000000"/>
          <w:kern w:val="0"/>
          <w:sz w:val="24"/>
        </w:rPr>
        <w:t>报告期末持有的处于转股期的可转换债券明细</w:t>
      </w:r>
    </w:p>
    <w:p w:rsidP="00DB3360" w:rsidR="00F5013F" w:rsidRDefault="00F5013F" w:rsidRPr="006506EF">
      <w:pPr>
        <w:spacing w:line="360" w:lineRule="auto"/>
        <w:ind w:firstLine="480" w:firstLineChars="200"/>
        <w:rPr>
          <w:color w:val="000000"/>
          <w:sz w:val="24"/>
        </w:rPr>
      </w:pPr>
      <w:r w:rsidRPr="006506EF">
        <w:rPr>
          <w:color w:val="000000"/>
          <w:sz w:val="24"/>
        </w:rPr>
        <w:lastRenderedPageBreak/>
        <w:t>本基金本报告期末未持有处于转股期的可转换债券。</w:t>
      </w:r>
    </w:p>
    <w:p w:rsidP="00EC4BA3" w:rsidR="00F5013F" w:rsidRDefault="00287063" w:rsidRPr="006506EF">
      <w:pPr>
        <w:autoSpaceDE w:val="0"/>
        <w:autoSpaceDN w:val="0"/>
        <w:adjustRightInd w:val="0"/>
        <w:spacing w:line="360" w:lineRule="auto"/>
        <w:jc w:val="left"/>
        <w:rPr>
          <w:color w:val="000000"/>
          <w:kern w:val="0"/>
          <w:sz w:val="24"/>
        </w:rPr>
      </w:pPr>
      <w:r w:rsidRPr="006506EF">
        <w:rPr>
          <w:kern w:val="0"/>
          <w:sz w:val="24"/>
        </w:rPr>
        <w:t>5.10.5</w:t>
      </w:r>
      <w:r w:rsidR="00F5013F" w:rsidRPr="006506EF">
        <w:rPr>
          <w:color w:val="000000"/>
          <w:kern w:val="0"/>
          <w:sz w:val="24"/>
        </w:rPr>
        <w:t xml:space="preserve"> </w:t>
      </w:r>
      <w:r w:rsidR="00F5013F" w:rsidRPr="006506EF">
        <w:rPr>
          <w:color w:val="000000"/>
          <w:kern w:val="0"/>
          <w:sz w:val="24"/>
        </w:rPr>
        <w:t>报告期末前十名股票中存在流通受限情况的说明</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本基金本报告期末前十名股票中不存在流通受限情况。</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§6  </w:t>
      </w:r>
      <w:r w:rsidRPr="006506EF">
        <w:rPr>
          <w:color w:val="000000"/>
          <w:kern w:val="0"/>
          <w:sz w:val="24"/>
          <w:szCs w:val="24"/>
        </w:rPr>
        <w:t>开放式基金份额变动</w:t>
      </w:r>
    </w:p>
    <w:p w:rsidP="008B6A4A"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单位：份</w:t>
      </w:r>
    </w:p>
    <w:tbl>
      <w:tblPr>
        <w:tblW w:type="dxa" w:w="8861"/>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252"/>
      </w:tblGrid>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报告期期初基金份额总额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9,690,021,934.00</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w:t>
            </w:r>
            <w:r w:rsidRPr="006506EF">
              <w:rPr>
                <w:color w:val="000000"/>
                <w:kern w:val="0"/>
                <w:sz w:val="24"/>
              </w:rPr>
              <w:t>基</w:t>
            </w:r>
            <w:r w:rsidRPr="006506EF">
              <w:rPr>
                <w:color w:val="000000"/>
                <w:kern w:val="0"/>
                <w:sz w:val="24"/>
              </w:rPr>
              <w:lastRenderedPageBreak/>
              <w:t>金总申购份额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15,000,000.00</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lastRenderedPageBreak/>
              <w:t>减：</w:t>
            </w:r>
            <w:r w:rsidRPr="006506EF">
              <w:rPr>
                <w:color w:val="000000"/>
                <w:kern w:val="0"/>
                <w:sz w:val="24"/>
              </w:rPr>
              <w:t>报告期</w:t>
            </w:r>
            <w:r w:rsidRPr="006506EF">
              <w:rPr>
                <w:color w:val="000000"/>
                <w:kern w:val="0"/>
                <w:sz w:val="24"/>
              </w:rPr>
              <w:t>基金总赎回份额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1,648,000,000.00</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w:t>
            </w:r>
            <w:r w:rsidRPr="006506EF">
              <w:rPr>
                <w:color w:val="000000"/>
                <w:kern w:val="0"/>
                <w:sz w:val="24"/>
              </w:rPr>
              <w:t>基金拆分变动份额</w:t>
            </w:r>
            <w:r w:rsidR="003729CF">
              <w:rPr>
                <w:rFonts w:hint="eastAsia"/>
                <w:color w:val="000000"/>
                <w:kern w:val="0"/>
                <w:sz w:val="24"/>
              </w:rPr>
              <w:t>（份额减少以“</w:t>
            </w:r>
            <w:r w:rsidR="003729CF">
              <w:rPr>
                <w:color w:val="000000"/>
                <w:kern w:val="0"/>
                <w:sz w:val="24"/>
              </w:rPr>
              <w:t>-</w:t>
            </w:r>
            <w:r w:rsidR="003729CF">
              <w:rPr>
                <w:rFonts w:hint="eastAsia"/>
                <w:color w:val="000000"/>
                <w:kern w:val="0"/>
                <w:sz w:val="24"/>
              </w:rPr>
              <w:t>”填列）</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报告期期末基金份额总额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8,057,021,934.00</w:t>
            </w:r>
          </w:p>
        </w:tc>
      </w:tr>
    </w:tbl>
    <w:p w:rsidP="00543B38" w:rsidR="007362E0"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§7  </w:t>
      </w:r>
      <w:r w:rsidRPr="006506EF">
        <w:rPr>
          <w:color w:val="000000"/>
          <w:kern w:val="0"/>
          <w:sz w:val="24"/>
          <w:szCs w:val="24"/>
        </w:rPr>
        <w:t>基金管理人运用固有资金投资本基金交易明细</w:t>
      </w:r>
    </w:p>
    <w:p w:rsidP="00D7728B" w:rsidR="00F5013F" w:rsidRDefault="007362E0" w:rsidRPr="006506EF">
      <w:pPr>
        <w:spacing w:line="360" w:lineRule="auto"/>
        <w:ind w:firstLine="480" w:firstLineChars="200"/>
        <w:rPr>
          <w:color w:val="000000"/>
          <w:sz w:val="24"/>
        </w:rPr>
      </w:pPr>
      <w:r w:rsidRPr="006506EF">
        <w:rPr>
          <w:color w:val="000000"/>
          <w:sz w:val="24"/>
        </w:rPr>
        <w:t>本报告期内基金管理人未运用固有资金申购、赎回、买卖本基金份额。</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§8</w:t>
      </w:r>
      <w:r w:rsidR="002A4064" w:rsidRPr="006506EF">
        <w:rPr>
          <w:color w:val="000000"/>
          <w:kern w:val="0"/>
          <w:sz w:val="24"/>
          <w:szCs w:val="24"/>
        </w:rPr>
        <w:t xml:space="preserve">  </w:t>
      </w:r>
      <w:r w:rsidRPr="006506EF">
        <w:rPr>
          <w:color w:val="000000"/>
          <w:kern w:val="0"/>
          <w:sz w:val="24"/>
          <w:szCs w:val="24"/>
        </w:rPr>
        <w:t>备查文件目录</w:t>
      </w:r>
    </w:p>
    <w:p w:rsidP="002C065A" w:rsidR="00F5013F" w:rsidRDefault="00F5013F" w:rsidRPr="006506EF">
      <w:pPr>
        <w:spacing w:line="360" w:lineRule="auto"/>
        <w:rPr>
          <w:sz w:val="24"/>
        </w:rPr>
      </w:pPr>
      <w:r w:rsidRPr="006506EF">
        <w:rPr>
          <w:sz w:val="24"/>
        </w:rPr>
        <w:t xml:space="preserve">8.1 </w:t>
      </w:r>
      <w:r w:rsidRPr="006506EF">
        <w:rPr>
          <w:sz w:val="24"/>
        </w:rPr>
        <w:t>备查文件目录</w:t>
      </w:r>
    </w:p>
    <w:p>
      <w:pPr>
        <w:spacing w:line="360" w:lineRule="auto"/>
        <w:ind w:firstLine="480" w:firstLineChars="200"/>
        <w:rPr>
          <w:color w:val="000000"/>
          <w:sz w:val="24"/>
        </w:rPr>
      </w:pPr>
      <w:r>
        <w:rPr>
          <w:color w:val="000000"/>
          <w:sz w:val="24"/>
        </w:rPr>
        <w:t>1.中国证监会核准易方达恒生中国企业交易型开放式指数证券投资基金募集的文件；</w:t>
      </w:r>
    </w:p>
    <w:p>
      <w:pPr>
        <w:spacing w:line="360" w:lineRule="auto"/>
        <w:ind w:firstLine="480" w:firstLineChars="200"/>
        <w:rPr>
          <w:color w:val="000000"/>
          <w:sz w:val="24"/>
        </w:rPr>
      </w:pPr>
      <w:r>
        <w:rPr>
          <w:color w:val="000000"/>
          <w:sz w:val="24"/>
        </w:rPr>
        <w:t xml:space="preserve">2.《易方达恒生中国企业交易型开放式指数证券投资基金基金合同》； </w:t>
      </w:r>
    </w:p>
    <w:p>
      <w:pPr>
        <w:spacing w:line="360" w:lineRule="auto"/>
        <w:ind w:firstLine="480" w:firstLineChars="200"/>
        <w:rPr>
          <w:color w:val="000000"/>
          <w:sz w:val="24"/>
        </w:rPr>
      </w:pPr>
      <w:r>
        <w:rPr>
          <w:color w:val="000000"/>
          <w:sz w:val="24"/>
        </w:rPr>
        <w:t>3.《易方达恒生中国企业交易型开放式指数证券投资基金托管协议》；</w:t>
      </w:r>
    </w:p>
    <w:p w:rsidP="00A70EAB" w:rsidR="00F5013F" w:rsidRDefault="00F5013F" w:rsidRPr="006506EF">
      <w:pPr>
        <w:spacing w:line="360" w:lineRule="auto"/>
        <w:ind w:firstLine="480" w:firstLineChars="200"/>
        <w:rPr>
          <w:color w:val="000000"/>
          <w:sz w:val="24"/>
        </w:rPr>
      </w:pPr>
      <w:r w:rsidRPr="006506EF">
        <w:rPr>
          <w:color w:val="000000"/>
          <w:sz w:val="24"/>
        </w:rPr>
        <w:t>4.基金管理人业务资格批件和营业执照。</w:t>
      </w:r>
    </w:p>
    <w:p w:rsidP="002C065A" w:rsidR="00F5013F" w:rsidRDefault="00F5013F" w:rsidRPr="006506EF">
      <w:pPr>
        <w:spacing w:line="360" w:lineRule="auto"/>
        <w:rPr>
          <w:sz w:val="24"/>
        </w:rPr>
      </w:pPr>
      <w:r w:rsidRPr="006506EF">
        <w:rPr>
          <w:sz w:val="24"/>
        </w:rPr>
        <w:t xml:space="preserve">8.2 </w:t>
      </w:r>
      <w:r w:rsidRPr="006506EF">
        <w:rPr>
          <w:sz w:val="24"/>
        </w:rPr>
        <w:t>存放地点</w:t>
      </w:r>
    </w:p>
    <w:p w:rsidP="00A70EAB" w:rsidR="00F5013F" w:rsidRDefault="00F5013F" w:rsidRPr="006506EF">
      <w:pPr>
        <w:spacing w:line="360" w:lineRule="auto"/>
        <w:ind w:firstLine="480" w:firstLineChars="200"/>
        <w:rPr>
          <w:color w:val="000000"/>
          <w:sz w:val="24"/>
        </w:rPr>
      </w:pPr>
      <w:r w:rsidRPr="006506EF">
        <w:rPr>
          <w:color w:val="000000"/>
          <w:sz w:val="24"/>
        </w:rPr>
        <w:t>广州市天河区珠江新城珠江东路30号广州银行大厦40-43楼。</w:t>
      </w:r>
    </w:p>
    <w:p w:rsidP="002C065A" w:rsidR="00F5013F" w:rsidRDefault="00F5013F" w:rsidRPr="006506EF">
      <w:pPr>
        <w:spacing w:line="360" w:lineRule="auto"/>
        <w:rPr>
          <w:sz w:val="24"/>
        </w:rPr>
      </w:pPr>
      <w:r w:rsidRPr="006506EF">
        <w:rPr>
          <w:sz w:val="24"/>
        </w:rPr>
        <w:t xml:space="preserve">8.3 </w:t>
      </w:r>
      <w:r w:rsidRPr="006506EF">
        <w:rPr>
          <w:sz w:val="24"/>
        </w:rPr>
        <w:t>查阅方式</w:t>
      </w:r>
    </w:p>
    <w:p w:rsidP="00547F92" w:rsidR="00F5013F" w:rsidRDefault="00F5013F" w:rsidRPr="006506EF">
      <w:pPr>
        <w:spacing w:line="360" w:lineRule="auto"/>
        <w:ind w:firstLine="480" w:firstLineChars="200"/>
        <w:rPr>
          <w:color w:val="000000"/>
          <w:sz w:val="24"/>
        </w:rPr>
      </w:pPr>
      <w:r w:rsidRPr="006506EF">
        <w:rPr>
          <w:color w:val="000000"/>
          <w:sz w:val="24"/>
        </w:rPr>
        <w:t>投资者可在营业时间免费查阅，也可按工本费购买复印件。</w:t>
      </w: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0C7596" w:rsidR="00F5013F" w:rsidRDefault="00F5013F" w:rsidRPr="006506EF">
      <w:pPr>
        <w:spacing w:line="360" w:lineRule="auto"/>
        <w:jc w:val="right"/>
        <w:rPr>
          <w:b/>
          <w:bCs/>
          <w:sz w:val="24"/>
        </w:rPr>
      </w:pPr>
      <w:r w:rsidRPr="006506EF">
        <w:rPr>
          <w:b/>
          <w:bCs/>
          <w:sz w:val="24"/>
        </w:rPr>
        <w:t>易方达基金管理有限公司</w:t>
      </w:r>
    </w:p>
    <w:p w:rsidP="000C7596" w:rsidR="00F5013F" w:rsidRDefault="00F5013F" w:rsidRPr="006506EF">
      <w:pPr>
        <w:spacing w:line="360" w:lineRule="auto"/>
        <w:jc w:val="right"/>
        <w:rPr>
          <w:b/>
          <w:bCs/>
          <w:sz w:val="24"/>
        </w:rPr>
      </w:pPr>
      <w:r w:rsidRPr="006506EF">
        <w:rPr>
          <w:b/>
          <w:bCs/>
          <w:sz w:val="24"/>
        </w:rPr>
        <w:t>二〇二〇年七月二十一日</w:t>
      </w:r>
    </w:p>
    <w:sectPr w:rsidR="00F5013F" w:rsidRPr="006506EF" w:rsidSect="00DB4450">
      <w:headerReference r:id="rId11" w:type="even"/>
      <w:footerReference r:id="rId12" w:type="even"/>
      <w:footerReference r:id="rId13" w:type="default"/>
      <w:headerReference r:id="rId14" w:type="first"/>
      <w:footerReference r:id="rId15"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E24" w:rsidRDefault="008F6E24">
      <w:r>
        <w:separator/>
      </w:r>
    </w:p>
  </w:endnote>
  <w:endnote w:type="continuationSeparator" w:id="0">
    <w:p w:rsidR="008F6E24" w:rsidRDefault="008F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B918B8" w:rsidR="00F5013F" w:rsidRDefault="00F5013F" w:rsidRPr="001D0DB0">
    <w:pPr>
      <w:pStyle w:val="a6"/>
      <w:jc w:val="center"/>
    </w:pPr>
    <w:r>
      <w:rPr>
        <w:rFonts w:hint="eastAsia"/>
        <w:szCs w:val="21"/>
      </w:rPr>
      <w:t>第</w:t>
    </w:r>
    <w:r w:rsidR="005558C4">
      <w:rPr>
        <w:szCs w:val="21"/>
      </w:rPr>
      <w:fldChar w:fldCharType="begin"/>
    </w:r>
    <w:r>
      <w:rPr>
        <w:szCs w:val="21"/>
      </w:rPr>
      <w:instrText xml:space="preserve"> PAGE </w:instrText>
    </w:r>
    <w:r w:rsidR="005558C4">
      <w:rPr>
        <w:szCs w:val="21"/>
      </w:rPr>
      <w:fldChar w:fldCharType="separate"/>
    </w:r>
    <w:r w:rsidR="00536368">
      <w:rPr>
        <w:noProof/>
        <w:szCs w:val="21"/>
      </w:rPr>
      <w:t>1</w:t>
    </w:r>
    <w:r w:rsidR="005558C4">
      <w:rPr>
        <w:szCs w:val="21"/>
      </w:rPr>
      <w:fldChar w:fldCharType="end"/>
    </w:r>
    <w:r>
      <w:rPr>
        <w:rFonts w:hint="eastAsia"/>
        <w:szCs w:val="21"/>
      </w:rPr>
      <w:t>页共</w:t>
    </w:r>
    <w:r w:rsidR="005558C4">
      <w:rPr>
        <w:szCs w:val="21"/>
      </w:rPr>
      <w:fldChar w:fldCharType="begin"/>
    </w:r>
    <w:r>
      <w:rPr>
        <w:szCs w:val="21"/>
      </w:rPr>
      <w:instrText xml:space="preserve"> NUMPAGES </w:instrText>
    </w:r>
    <w:r w:rsidR="005558C4">
      <w:rPr>
        <w:szCs w:val="21"/>
      </w:rPr>
      <w:fldChar w:fldCharType="separate"/>
    </w:r>
    <w:r w:rsidR="00536368">
      <w:rPr>
        <w:noProof/>
        <w:szCs w:val="21"/>
      </w:rPr>
      <w:t>22</w:t>
    </w:r>
    <w:r w:rsidR="005558C4">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5558C4">
    <w:pPr>
      <w:pStyle w:val="a6"/>
      <w:framePr w:hAnchor="margin" w:vAnchor="text" w:wrap="around" w:xAlign="center" w:y="1"/>
      <w:rPr>
        <w:rStyle w:val="a7"/>
      </w:rPr>
    </w:pPr>
    <w:r>
      <w:rPr>
        <w:rStyle w:val="a7"/>
      </w:rPr>
      <w:fldChar w:fldCharType="begin"/>
    </w:r>
    <w:r w:rsidR="00F5013F">
      <w:rPr>
        <w:rStyle w:val="a7"/>
      </w:rPr>
      <w:instrText xml:space="preserve">PAGE  </w:instrText>
    </w:r>
    <w:r>
      <w:rPr>
        <w:rStyle w:val="a7"/>
      </w:rPr>
      <w:fldChar w:fldCharType="end"/>
    </w:r>
  </w:p>
  <w:p w:rsidR="00F5013F" w:rsidRDefault="00F5013F">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5558C4">
    <w:pPr>
      <w:pStyle w:val="a6"/>
      <w:framePr w:hAnchor="margin" w:vAnchor="text" w:wrap="around" w:xAlign="center" w:y="1"/>
      <w:rPr>
        <w:rStyle w:val="a7"/>
      </w:rPr>
    </w:pPr>
    <w:r>
      <w:rPr>
        <w:rStyle w:val="a7"/>
      </w:rPr>
      <w:fldChar w:fldCharType="begin"/>
    </w:r>
    <w:r w:rsidR="00F5013F">
      <w:rPr>
        <w:rStyle w:val="a7"/>
      </w:rPr>
      <w:instrText xml:space="preserve">PAGE  </w:instrText>
    </w:r>
    <w:r>
      <w:rPr>
        <w:rStyle w:val="a7"/>
      </w:rPr>
      <w:fldChar w:fldCharType="separate"/>
    </w:r>
    <w:r w:rsidR="00536368">
      <w:rPr>
        <w:rStyle w:val="a7"/>
        <w:noProof/>
      </w:rPr>
      <w:t>15</w:t>
    </w:r>
    <w:r>
      <w:rPr>
        <w:rStyle w:val="a7"/>
      </w:rPr>
      <w:fldChar w:fldCharType="end"/>
    </w:r>
  </w:p>
  <w:p w:rsidR="00F5013F" w:rsidRDefault="00F5013F">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F5013F">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8F6E24" w:rsidRDefault="008F6E24">
      <w:r>
        <w:separator/>
      </w:r>
    </w:p>
  </w:footnote>
  <w:footnote w:id="0" w:type="continuationSeparator">
    <w:p w:rsidR="008F6E24" w:rsidRDefault="008F6E24">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1356" w:rsidR="00F5013F" w:rsidRDefault="00F5013F" w:rsidRPr="00CA4176">
    <w:pPr>
      <w:pStyle w:val="a9"/>
      <w:pBdr>
        <w:bottom w:color="auto" w:space="0" w:sz="6" w:val="single"/>
      </w:pBdr>
      <w:jc w:val="right"/>
      <w:rPr>
        <w:sz w:val="15"/>
      </w:rPr>
    </w:pPr>
    <w:r w:rsidRPr="00CA4176">
      <w:rPr>
        <w:szCs w:val="21"/>
      </w:rPr>
      <w:t>易方达恒生中国企业交易型开放式指数证券投资基金2020年第2季度报告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F5013F">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F5013F">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7FB4"/>
    <w:rsid w:val="0000403B"/>
    <w:rsid w:val="00005911"/>
    <w:rsid w:val="00010A83"/>
    <w:rsid w:val="00010A8E"/>
    <w:rsid w:val="00010AC3"/>
    <w:rsid w:val="00011EB5"/>
    <w:rsid w:val="00017581"/>
    <w:rsid w:val="00017739"/>
    <w:rsid w:val="00020583"/>
    <w:rsid w:val="00021DD4"/>
    <w:rsid w:val="00023BE7"/>
    <w:rsid w:val="00026BFF"/>
    <w:rsid w:val="000306F0"/>
    <w:rsid w:val="0003091A"/>
    <w:rsid w:val="00037FCF"/>
    <w:rsid w:val="00041AB5"/>
    <w:rsid w:val="000421B8"/>
    <w:rsid w:val="00043ABF"/>
    <w:rsid w:val="000445E4"/>
    <w:rsid w:val="00045AE7"/>
    <w:rsid w:val="000510AB"/>
    <w:rsid w:val="00055668"/>
    <w:rsid w:val="00055AF1"/>
    <w:rsid w:val="000565DC"/>
    <w:rsid w:val="00063A8D"/>
    <w:rsid w:val="00064AE3"/>
    <w:rsid w:val="00066524"/>
    <w:rsid w:val="00067332"/>
    <w:rsid w:val="00067AC4"/>
    <w:rsid w:val="00070CD1"/>
    <w:rsid w:val="0007171B"/>
    <w:rsid w:val="0007178B"/>
    <w:rsid w:val="00081D05"/>
    <w:rsid w:val="000876A0"/>
    <w:rsid w:val="00087CF7"/>
    <w:rsid w:val="00094876"/>
    <w:rsid w:val="00095912"/>
    <w:rsid w:val="00095CE0"/>
    <w:rsid w:val="000965F7"/>
    <w:rsid w:val="00096933"/>
    <w:rsid w:val="00097230"/>
    <w:rsid w:val="000A09BE"/>
    <w:rsid w:val="000A457E"/>
    <w:rsid w:val="000A521D"/>
    <w:rsid w:val="000A549A"/>
    <w:rsid w:val="000A55BD"/>
    <w:rsid w:val="000A72F2"/>
    <w:rsid w:val="000B0C56"/>
    <w:rsid w:val="000B3274"/>
    <w:rsid w:val="000B3E43"/>
    <w:rsid w:val="000B7DD0"/>
    <w:rsid w:val="000C1723"/>
    <w:rsid w:val="000C1B20"/>
    <w:rsid w:val="000C4107"/>
    <w:rsid w:val="000C41AE"/>
    <w:rsid w:val="000C45E7"/>
    <w:rsid w:val="000C6EE5"/>
    <w:rsid w:val="000C7596"/>
    <w:rsid w:val="000D01F4"/>
    <w:rsid w:val="000D09E5"/>
    <w:rsid w:val="000D121F"/>
    <w:rsid w:val="000D1519"/>
    <w:rsid w:val="000E1F7C"/>
    <w:rsid w:val="000E3B88"/>
    <w:rsid w:val="000E4456"/>
    <w:rsid w:val="000F175F"/>
    <w:rsid w:val="000F17D1"/>
    <w:rsid w:val="000F4D41"/>
    <w:rsid w:val="000F60FF"/>
    <w:rsid w:val="000F635F"/>
    <w:rsid w:val="000F6C61"/>
    <w:rsid w:val="00100A7C"/>
    <w:rsid w:val="00100C12"/>
    <w:rsid w:val="001049B6"/>
    <w:rsid w:val="001051C6"/>
    <w:rsid w:val="0010694D"/>
    <w:rsid w:val="0011177A"/>
    <w:rsid w:val="00112E27"/>
    <w:rsid w:val="0011345C"/>
    <w:rsid w:val="00114B31"/>
    <w:rsid w:val="00116E31"/>
    <w:rsid w:val="00120FAF"/>
    <w:rsid w:val="0012150F"/>
    <w:rsid w:val="00121683"/>
    <w:rsid w:val="0012304E"/>
    <w:rsid w:val="00123B10"/>
    <w:rsid w:val="001248EF"/>
    <w:rsid w:val="001257C7"/>
    <w:rsid w:val="00126DDF"/>
    <w:rsid w:val="001270BF"/>
    <w:rsid w:val="00127BAC"/>
    <w:rsid w:val="00142A56"/>
    <w:rsid w:val="00143B45"/>
    <w:rsid w:val="00144DF5"/>
    <w:rsid w:val="00145A97"/>
    <w:rsid w:val="00146485"/>
    <w:rsid w:val="00150AD6"/>
    <w:rsid w:val="00154ADA"/>
    <w:rsid w:val="0015531A"/>
    <w:rsid w:val="0016041C"/>
    <w:rsid w:val="00163B27"/>
    <w:rsid w:val="00165317"/>
    <w:rsid w:val="00171BAD"/>
    <w:rsid w:val="00172B84"/>
    <w:rsid w:val="0017406E"/>
    <w:rsid w:val="001756A1"/>
    <w:rsid w:val="001761EE"/>
    <w:rsid w:val="00176EAA"/>
    <w:rsid w:val="0017725A"/>
    <w:rsid w:val="00177BE0"/>
    <w:rsid w:val="00177C4B"/>
    <w:rsid w:val="00180FB6"/>
    <w:rsid w:val="00181F3C"/>
    <w:rsid w:val="0018325A"/>
    <w:rsid w:val="00186199"/>
    <w:rsid w:val="0018734E"/>
    <w:rsid w:val="001878B0"/>
    <w:rsid w:val="00190115"/>
    <w:rsid w:val="001928F7"/>
    <w:rsid w:val="00194537"/>
    <w:rsid w:val="00194F40"/>
    <w:rsid w:val="001A21A9"/>
    <w:rsid w:val="001A59D8"/>
    <w:rsid w:val="001A5FA6"/>
    <w:rsid w:val="001B28D0"/>
    <w:rsid w:val="001B2F0C"/>
    <w:rsid w:val="001C37F6"/>
    <w:rsid w:val="001C46E1"/>
    <w:rsid w:val="001C5C03"/>
    <w:rsid w:val="001C6288"/>
    <w:rsid w:val="001C7D5D"/>
    <w:rsid w:val="001D0DB0"/>
    <w:rsid w:val="001D0F6A"/>
    <w:rsid w:val="001D1356"/>
    <w:rsid w:val="001D21BC"/>
    <w:rsid w:val="001D2FA5"/>
    <w:rsid w:val="001D3187"/>
    <w:rsid w:val="001D35E0"/>
    <w:rsid w:val="001D4F52"/>
    <w:rsid w:val="001D5045"/>
    <w:rsid w:val="001D5A44"/>
    <w:rsid w:val="001D724B"/>
    <w:rsid w:val="001E03D6"/>
    <w:rsid w:val="001E11D3"/>
    <w:rsid w:val="001E227F"/>
    <w:rsid w:val="001E2A6A"/>
    <w:rsid w:val="001E3DC2"/>
    <w:rsid w:val="001E4ABC"/>
    <w:rsid w:val="001E56FF"/>
    <w:rsid w:val="001E5C6B"/>
    <w:rsid w:val="001F03E1"/>
    <w:rsid w:val="001F26C1"/>
    <w:rsid w:val="001F3C28"/>
    <w:rsid w:val="001F3CC6"/>
    <w:rsid w:val="001F4530"/>
    <w:rsid w:val="002010DE"/>
    <w:rsid w:val="00202968"/>
    <w:rsid w:val="00202C32"/>
    <w:rsid w:val="00203AEF"/>
    <w:rsid w:val="00206F8C"/>
    <w:rsid w:val="00211A26"/>
    <w:rsid w:val="002125F7"/>
    <w:rsid w:val="00212961"/>
    <w:rsid w:val="00213FE8"/>
    <w:rsid w:val="00214463"/>
    <w:rsid w:val="00214756"/>
    <w:rsid w:val="002149AE"/>
    <w:rsid w:val="00215CF2"/>
    <w:rsid w:val="00221174"/>
    <w:rsid w:val="002224FF"/>
    <w:rsid w:val="002236BC"/>
    <w:rsid w:val="00223DBB"/>
    <w:rsid w:val="00233B7F"/>
    <w:rsid w:val="002359EB"/>
    <w:rsid w:val="002363AB"/>
    <w:rsid w:val="0024260D"/>
    <w:rsid w:val="00245012"/>
    <w:rsid w:val="0024504E"/>
    <w:rsid w:val="0024651F"/>
    <w:rsid w:val="0025158D"/>
    <w:rsid w:val="0025281A"/>
    <w:rsid w:val="00253D3C"/>
    <w:rsid w:val="00254F37"/>
    <w:rsid w:val="00255292"/>
    <w:rsid w:val="00256097"/>
    <w:rsid w:val="00260200"/>
    <w:rsid w:val="00261DB3"/>
    <w:rsid w:val="002648D8"/>
    <w:rsid w:val="00264E55"/>
    <w:rsid w:val="002655D4"/>
    <w:rsid w:val="00265865"/>
    <w:rsid w:val="00267A28"/>
    <w:rsid w:val="00267D54"/>
    <w:rsid w:val="002711AA"/>
    <w:rsid w:val="00273F86"/>
    <w:rsid w:val="0027576B"/>
    <w:rsid w:val="00276834"/>
    <w:rsid w:val="002774F0"/>
    <w:rsid w:val="00280566"/>
    <w:rsid w:val="00281DBD"/>
    <w:rsid w:val="00284519"/>
    <w:rsid w:val="0028459B"/>
    <w:rsid w:val="00284C5F"/>
    <w:rsid w:val="00287063"/>
    <w:rsid w:val="002873F0"/>
    <w:rsid w:val="00287B56"/>
    <w:rsid w:val="002964F9"/>
    <w:rsid w:val="00297B13"/>
    <w:rsid w:val="002A1F14"/>
    <w:rsid w:val="002A2678"/>
    <w:rsid w:val="002A2E01"/>
    <w:rsid w:val="002A398F"/>
    <w:rsid w:val="002A4064"/>
    <w:rsid w:val="002A530F"/>
    <w:rsid w:val="002A5C6B"/>
    <w:rsid w:val="002A5D31"/>
    <w:rsid w:val="002A714F"/>
    <w:rsid w:val="002B14C2"/>
    <w:rsid w:val="002B1851"/>
    <w:rsid w:val="002B2019"/>
    <w:rsid w:val="002B27FF"/>
    <w:rsid w:val="002B3A0A"/>
    <w:rsid w:val="002B4320"/>
    <w:rsid w:val="002B6793"/>
    <w:rsid w:val="002C042C"/>
    <w:rsid w:val="002C065A"/>
    <w:rsid w:val="002C1726"/>
    <w:rsid w:val="002C21A6"/>
    <w:rsid w:val="002C2678"/>
    <w:rsid w:val="002C26D5"/>
    <w:rsid w:val="002C5777"/>
    <w:rsid w:val="002D31BB"/>
    <w:rsid w:val="002D32E3"/>
    <w:rsid w:val="002E0FEB"/>
    <w:rsid w:val="002E5C64"/>
    <w:rsid w:val="002E6899"/>
    <w:rsid w:val="002E6FB9"/>
    <w:rsid w:val="002F0F79"/>
    <w:rsid w:val="002F2234"/>
    <w:rsid w:val="002F2713"/>
    <w:rsid w:val="002F280E"/>
    <w:rsid w:val="002F3709"/>
    <w:rsid w:val="002F3A6C"/>
    <w:rsid w:val="002F4296"/>
    <w:rsid w:val="00300951"/>
    <w:rsid w:val="00302CA8"/>
    <w:rsid w:val="00302DE9"/>
    <w:rsid w:val="003033EE"/>
    <w:rsid w:val="00304106"/>
    <w:rsid w:val="00304E5A"/>
    <w:rsid w:val="00304E97"/>
    <w:rsid w:val="00305084"/>
    <w:rsid w:val="00311094"/>
    <w:rsid w:val="0031598C"/>
    <w:rsid w:val="00316339"/>
    <w:rsid w:val="003204E9"/>
    <w:rsid w:val="00321E8C"/>
    <w:rsid w:val="00322A86"/>
    <w:rsid w:val="00323AE8"/>
    <w:rsid w:val="00324548"/>
    <w:rsid w:val="003251F4"/>
    <w:rsid w:val="003303E3"/>
    <w:rsid w:val="003329EA"/>
    <w:rsid w:val="003407A5"/>
    <w:rsid w:val="00341188"/>
    <w:rsid w:val="0034147B"/>
    <w:rsid w:val="00344A44"/>
    <w:rsid w:val="00344FF1"/>
    <w:rsid w:val="00345F56"/>
    <w:rsid w:val="00346DF0"/>
    <w:rsid w:val="00350238"/>
    <w:rsid w:val="0035109C"/>
    <w:rsid w:val="00351F0A"/>
    <w:rsid w:val="0035432B"/>
    <w:rsid w:val="00361E7E"/>
    <w:rsid w:val="00363E15"/>
    <w:rsid w:val="0037006D"/>
    <w:rsid w:val="00370AA4"/>
    <w:rsid w:val="00371FF4"/>
    <w:rsid w:val="003729CF"/>
    <w:rsid w:val="003745DA"/>
    <w:rsid w:val="0037468D"/>
    <w:rsid w:val="00376A15"/>
    <w:rsid w:val="00376E96"/>
    <w:rsid w:val="00377520"/>
    <w:rsid w:val="00380D36"/>
    <w:rsid w:val="003822D3"/>
    <w:rsid w:val="0038359B"/>
    <w:rsid w:val="00386630"/>
    <w:rsid w:val="00390B25"/>
    <w:rsid w:val="00395BC9"/>
    <w:rsid w:val="00396E32"/>
    <w:rsid w:val="00397156"/>
    <w:rsid w:val="00397616"/>
    <w:rsid w:val="00397960"/>
    <w:rsid w:val="003A30B8"/>
    <w:rsid w:val="003A3BC4"/>
    <w:rsid w:val="003A458A"/>
    <w:rsid w:val="003B2F13"/>
    <w:rsid w:val="003B405E"/>
    <w:rsid w:val="003B57D3"/>
    <w:rsid w:val="003C1F58"/>
    <w:rsid w:val="003C792F"/>
    <w:rsid w:val="003D0053"/>
    <w:rsid w:val="003D124B"/>
    <w:rsid w:val="003D18F3"/>
    <w:rsid w:val="003D78B5"/>
    <w:rsid w:val="003E244F"/>
    <w:rsid w:val="003E6203"/>
    <w:rsid w:val="003E62A6"/>
    <w:rsid w:val="003E695F"/>
    <w:rsid w:val="003E6C9B"/>
    <w:rsid w:val="003E709C"/>
    <w:rsid w:val="003E7B89"/>
    <w:rsid w:val="003F0275"/>
    <w:rsid w:val="003F06B1"/>
    <w:rsid w:val="003F4241"/>
    <w:rsid w:val="003F7C45"/>
    <w:rsid w:val="0040132C"/>
    <w:rsid w:val="00401FEA"/>
    <w:rsid w:val="004027BA"/>
    <w:rsid w:val="0040469F"/>
    <w:rsid w:val="00405085"/>
    <w:rsid w:val="004061D9"/>
    <w:rsid w:val="004066FC"/>
    <w:rsid w:val="00407C10"/>
    <w:rsid w:val="004113B4"/>
    <w:rsid w:val="00414827"/>
    <w:rsid w:val="00416C10"/>
    <w:rsid w:val="00420007"/>
    <w:rsid w:val="00424EF3"/>
    <w:rsid w:val="004261BD"/>
    <w:rsid w:val="004268BB"/>
    <w:rsid w:val="00431047"/>
    <w:rsid w:val="00431B86"/>
    <w:rsid w:val="004339D9"/>
    <w:rsid w:val="004408EC"/>
    <w:rsid w:val="00441E6A"/>
    <w:rsid w:val="00443C8F"/>
    <w:rsid w:val="00452481"/>
    <w:rsid w:val="00455464"/>
    <w:rsid w:val="004567C5"/>
    <w:rsid w:val="00457804"/>
    <w:rsid w:val="00462B61"/>
    <w:rsid w:val="00464283"/>
    <w:rsid w:val="004646BF"/>
    <w:rsid w:val="00464744"/>
    <w:rsid w:val="004665E3"/>
    <w:rsid w:val="00466B17"/>
    <w:rsid w:val="00467F2B"/>
    <w:rsid w:val="004705EB"/>
    <w:rsid w:val="004731F1"/>
    <w:rsid w:val="004745CC"/>
    <w:rsid w:val="00477111"/>
    <w:rsid w:val="0047798A"/>
    <w:rsid w:val="004804B1"/>
    <w:rsid w:val="00480BC8"/>
    <w:rsid w:val="00481265"/>
    <w:rsid w:val="004814BF"/>
    <w:rsid w:val="00482956"/>
    <w:rsid w:val="0048587E"/>
    <w:rsid w:val="00487C2B"/>
    <w:rsid w:val="0049297D"/>
    <w:rsid w:val="004929F2"/>
    <w:rsid w:val="004958BE"/>
    <w:rsid w:val="00495A03"/>
    <w:rsid w:val="0049659A"/>
    <w:rsid w:val="004966FE"/>
    <w:rsid w:val="00497079"/>
    <w:rsid w:val="004A1BBA"/>
    <w:rsid w:val="004A3039"/>
    <w:rsid w:val="004A3251"/>
    <w:rsid w:val="004A3E3C"/>
    <w:rsid w:val="004A5B18"/>
    <w:rsid w:val="004B0E6D"/>
    <w:rsid w:val="004B16E8"/>
    <w:rsid w:val="004B25F8"/>
    <w:rsid w:val="004B38A1"/>
    <w:rsid w:val="004B3F56"/>
    <w:rsid w:val="004B6250"/>
    <w:rsid w:val="004B76B1"/>
    <w:rsid w:val="004C0057"/>
    <w:rsid w:val="004C0541"/>
    <w:rsid w:val="004C05F3"/>
    <w:rsid w:val="004C2C46"/>
    <w:rsid w:val="004C52A1"/>
    <w:rsid w:val="004C7235"/>
    <w:rsid w:val="004C7955"/>
    <w:rsid w:val="004D047F"/>
    <w:rsid w:val="004D3971"/>
    <w:rsid w:val="004D3D96"/>
    <w:rsid w:val="004D650F"/>
    <w:rsid w:val="004E2133"/>
    <w:rsid w:val="004E60FB"/>
    <w:rsid w:val="004F16AD"/>
    <w:rsid w:val="004F6565"/>
    <w:rsid w:val="004F779C"/>
    <w:rsid w:val="004F7846"/>
    <w:rsid w:val="005000D4"/>
    <w:rsid w:val="00501BB1"/>
    <w:rsid w:val="0050335E"/>
    <w:rsid w:val="00505BE7"/>
    <w:rsid w:val="00506786"/>
    <w:rsid w:val="00506D57"/>
    <w:rsid w:val="00510CAF"/>
    <w:rsid w:val="005128C5"/>
    <w:rsid w:val="0051478B"/>
    <w:rsid w:val="0051566A"/>
    <w:rsid w:val="00515D7B"/>
    <w:rsid w:val="005166E9"/>
    <w:rsid w:val="0052009E"/>
    <w:rsid w:val="00521EDE"/>
    <w:rsid w:val="00525E59"/>
    <w:rsid w:val="005318CC"/>
    <w:rsid w:val="005346F1"/>
    <w:rsid w:val="005349B1"/>
    <w:rsid w:val="00536368"/>
    <w:rsid w:val="005374BC"/>
    <w:rsid w:val="00543367"/>
    <w:rsid w:val="00543B38"/>
    <w:rsid w:val="00543BFA"/>
    <w:rsid w:val="00547D9C"/>
    <w:rsid w:val="00547DA1"/>
    <w:rsid w:val="00547F92"/>
    <w:rsid w:val="0055513C"/>
    <w:rsid w:val="005558C4"/>
    <w:rsid w:val="00560C94"/>
    <w:rsid w:val="0056291C"/>
    <w:rsid w:val="00565A63"/>
    <w:rsid w:val="00566588"/>
    <w:rsid w:val="00571BD3"/>
    <w:rsid w:val="00571FA8"/>
    <w:rsid w:val="0057275D"/>
    <w:rsid w:val="005749DF"/>
    <w:rsid w:val="0057608B"/>
    <w:rsid w:val="0057676D"/>
    <w:rsid w:val="005800A9"/>
    <w:rsid w:val="00580488"/>
    <w:rsid w:val="0058074D"/>
    <w:rsid w:val="00582FAD"/>
    <w:rsid w:val="00583489"/>
    <w:rsid w:val="005837E4"/>
    <w:rsid w:val="005838AE"/>
    <w:rsid w:val="00587B92"/>
    <w:rsid w:val="005908C0"/>
    <w:rsid w:val="00590FE4"/>
    <w:rsid w:val="00591D9C"/>
    <w:rsid w:val="00592EFF"/>
    <w:rsid w:val="00597057"/>
    <w:rsid w:val="00597D8B"/>
    <w:rsid w:val="005A128A"/>
    <w:rsid w:val="005A140B"/>
    <w:rsid w:val="005A1C30"/>
    <w:rsid w:val="005A3295"/>
    <w:rsid w:val="005A44E4"/>
    <w:rsid w:val="005A46FF"/>
    <w:rsid w:val="005A5D3B"/>
    <w:rsid w:val="005A6BFC"/>
    <w:rsid w:val="005A704A"/>
    <w:rsid w:val="005B011E"/>
    <w:rsid w:val="005B2E84"/>
    <w:rsid w:val="005B3103"/>
    <w:rsid w:val="005B6AC7"/>
    <w:rsid w:val="005B6CA6"/>
    <w:rsid w:val="005B7B0E"/>
    <w:rsid w:val="005C2541"/>
    <w:rsid w:val="005C28CB"/>
    <w:rsid w:val="005C45E8"/>
    <w:rsid w:val="005C5409"/>
    <w:rsid w:val="005C69AC"/>
    <w:rsid w:val="005C722E"/>
    <w:rsid w:val="005C7FD4"/>
    <w:rsid w:val="005D01A4"/>
    <w:rsid w:val="005D45B3"/>
    <w:rsid w:val="005D4CEB"/>
    <w:rsid w:val="005E0EAB"/>
    <w:rsid w:val="005E2501"/>
    <w:rsid w:val="005E39D4"/>
    <w:rsid w:val="005E64DA"/>
    <w:rsid w:val="005E6CD4"/>
    <w:rsid w:val="005F04E6"/>
    <w:rsid w:val="005F43B9"/>
    <w:rsid w:val="005F68CB"/>
    <w:rsid w:val="005F7085"/>
    <w:rsid w:val="005F79F9"/>
    <w:rsid w:val="006004FE"/>
    <w:rsid w:val="00602ACD"/>
    <w:rsid w:val="006033E3"/>
    <w:rsid w:val="00605748"/>
    <w:rsid w:val="00610C82"/>
    <w:rsid w:val="0061321C"/>
    <w:rsid w:val="0062145B"/>
    <w:rsid w:val="00623556"/>
    <w:rsid w:val="0062386E"/>
    <w:rsid w:val="00623F01"/>
    <w:rsid w:val="00624407"/>
    <w:rsid w:val="00626E2D"/>
    <w:rsid w:val="00627D94"/>
    <w:rsid w:val="00630B42"/>
    <w:rsid w:val="0063181A"/>
    <w:rsid w:val="00633BBA"/>
    <w:rsid w:val="00634585"/>
    <w:rsid w:val="00637258"/>
    <w:rsid w:val="00642072"/>
    <w:rsid w:val="006440ED"/>
    <w:rsid w:val="00645293"/>
    <w:rsid w:val="00646237"/>
    <w:rsid w:val="006506EF"/>
    <w:rsid w:val="00651B78"/>
    <w:rsid w:val="00652263"/>
    <w:rsid w:val="00652881"/>
    <w:rsid w:val="00661974"/>
    <w:rsid w:val="00662D4B"/>
    <w:rsid w:val="00664551"/>
    <w:rsid w:val="00664F49"/>
    <w:rsid w:val="006658FA"/>
    <w:rsid w:val="0066726C"/>
    <w:rsid w:val="006674BD"/>
    <w:rsid w:val="006676A0"/>
    <w:rsid w:val="00670857"/>
    <w:rsid w:val="00671124"/>
    <w:rsid w:val="006727B0"/>
    <w:rsid w:val="0067307E"/>
    <w:rsid w:val="00680BB3"/>
    <w:rsid w:val="00686EC0"/>
    <w:rsid w:val="00687AD5"/>
    <w:rsid w:val="00691153"/>
    <w:rsid w:val="00695251"/>
    <w:rsid w:val="00695ADE"/>
    <w:rsid w:val="00695C0D"/>
    <w:rsid w:val="00696356"/>
    <w:rsid w:val="00696E18"/>
    <w:rsid w:val="006A1DAE"/>
    <w:rsid w:val="006A2C8E"/>
    <w:rsid w:val="006A72C6"/>
    <w:rsid w:val="006B02DA"/>
    <w:rsid w:val="006B077E"/>
    <w:rsid w:val="006B1FD1"/>
    <w:rsid w:val="006B2065"/>
    <w:rsid w:val="006B2F2B"/>
    <w:rsid w:val="006B3940"/>
    <w:rsid w:val="006B47D1"/>
    <w:rsid w:val="006C0411"/>
    <w:rsid w:val="006C168D"/>
    <w:rsid w:val="006C1D52"/>
    <w:rsid w:val="006C4E16"/>
    <w:rsid w:val="006C55C8"/>
    <w:rsid w:val="006C5E36"/>
    <w:rsid w:val="006C642C"/>
    <w:rsid w:val="006C6FC6"/>
    <w:rsid w:val="006D00D5"/>
    <w:rsid w:val="006E34B7"/>
    <w:rsid w:val="006F4CD8"/>
    <w:rsid w:val="006F7291"/>
    <w:rsid w:val="00701F44"/>
    <w:rsid w:val="00703E8A"/>
    <w:rsid w:val="00710335"/>
    <w:rsid w:val="00711522"/>
    <w:rsid w:val="007124FE"/>
    <w:rsid w:val="00713186"/>
    <w:rsid w:val="00713757"/>
    <w:rsid w:val="00717772"/>
    <w:rsid w:val="00721AF1"/>
    <w:rsid w:val="0072280F"/>
    <w:rsid w:val="00722B5E"/>
    <w:rsid w:val="0072708F"/>
    <w:rsid w:val="00730500"/>
    <w:rsid w:val="007328AB"/>
    <w:rsid w:val="00732D1D"/>
    <w:rsid w:val="00734B2B"/>
    <w:rsid w:val="0073600F"/>
    <w:rsid w:val="00736034"/>
    <w:rsid w:val="007362E0"/>
    <w:rsid w:val="00736479"/>
    <w:rsid w:val="0073681C"/>
    <w:rsid w:val="00741EBE"/>
    <w:rsid w:val="00746130"/>
    <w:rsid w:val="00746A40"/>
    <w:rsid w:val="00750358"/>
    <w:rsid w:val="007506E8"/>
    <w:rsid w:val="007513AC"/>
    <w:rsid w:val="00751763"/>
    <w:rsid w:val="00755CDF"/>
    <w:rsid w:val="00757A4C"/>
    <w:rsid w:val="00763925"/>
    <w:rsid w:val="00764A94"/>
    <w:rsid w:val="0076518F"/>
    <w:rsid w:val="007651E5"/>
    <w:rsid w:val="007670DC"/>
    <w:rsid w:val="0077111A"/>
    <w:rsid w:val="00772721"/>
    <w:rsid w:val="007756ED"/>
    <w:rsid w:val="0078105B"/>
    <w:rsid w:val="00783C07"/>
    <w:rsid w:val="007870FC"/>
    <w:rsid w:val="0078767E"/>
    <w:rsid w:val="00787CD0"/>
    <w:rsid w:val="00791053"/>
    <w:rsid w:val="00791A3A"/>
    <w:rsid w:val="00791BB9"/>
    <w:rsid w:val="007936BA"/>
    <w:rsid w:val="00794196"/>
    <w:rsid w:val="00796EC9"/>
    <w:rsid w:val="00797637"/>
    <w:rsid w:val="007A3680"/>
    <w:rsid w:val="007A39AF"/>
    <w:rsid w:val="007A59B8"/>
    <w:rsid w:val="007A75F5"/>
    <w:rsid w:val="007B2862"/>
    <w:rsid w:val="007B662A"/>
    <w:rsid w:val="007C3469"/>
    <w:rsid w:val="007D1292"/>
    <w:rsid w:val="007D28C9"/>
    <w:rsid w:val="007D3AE5"/>
    <w:rsid w:val="007D3CC8"/>
    <w:rsid w:val="007D62F9"/>
    <w:rsid w:val="007D63A4"/>
    <w:rsid w:val="007E1AA2"/>
    <w:rsid w:val="007E2F72"/>
    <w:rsid w:val="007E303C"/>
    <w:rsid w:val="007E4C1F"/>
    <w:rsid w:val="007F0759"/>
    <w:rsid w:val="007F25C0"/>
    <w:rsid w:val="007F26D5"/>
    <w:rsid w:val="007F5F52"/>
    <w:rsid w:val="007F768B"/>
    <w:rsid w:val="007F77C6"/>
    <w:rsid w:val="008003A1"/>
    <w:rsid w:val="008006B7"/>
    <w:rsid w:val="00800FDB"/>
    <w:rsid w:val="00802081"/>
    <w:rsid w:val="0080315C"/>
    <w:rsid w:val="00806461"/>
    <w:rsid w:val="0081096D"/>
    <w:rsid w:val="00810EAD"/>
    <w:rsid w:val="00811833"/>
    <w:rsid w:val="008174D4"/>
    <w:rsid w:val="00820FE6"/>
    <w:rsid w:val="00821A66"/>
    <w:rsid w:val="00822476"/>
    <w:rsid w:val="00822882"/>
    <w:rsid w:val="00825F68"/>
    <w:rsid w:val="00826B12"/>
    <w:rsid w:val="00835408"/>
    <w:rsid w:val="00837CEF"/>
    <w:rsid w:val="00840035"/>
    <w:rsid w:val="008428A9"/>
    <w:rsid w:val="00844112"/>
    <w:rsid w:val="00844929"/>
    <w:rsid w:val="00845614"/>
    <w:rsid w:val="008456C9"/>
    <w:rsid w:val="0084611D"/>
    <w:rsid w:val="00850C62"/>
    <w:rsid w:val="00852E6D"/>
    <w:rsid w:val="00861D07"/>
    <w:rsid w:val="008620ED"/>
    <w:rsid w:val="00863011"/>
    <w:rsid w:val="00865075"/>
    <w:rsid w:val="008673EE"/>
    <w:rsid w:val="0086748F"/>
    <w:rsid w:val="0087034D"/>
    <w:rsid w:val="008712A3"/>
    <w:rsid w:val="00872CE4"/>
    <w:rsid w:val="008740FD"/>
    <w:rsid w:val="0087718C"/>
    <w:rsid w:val="00877B62"/>
    <w:rsid w:val="00881015"/>
    <w:rsid w:val="008810B0"/>
    <w:rsid w:val="008819B6"/>
    <w:rsid w:val="00881AAC"/>
    <w:rsid w:val="0088256A"/>
    <w:rsid w:val="008836B7"/>
    <w:rsid w:val="008841D3"/>
    <w:rsid w:val="00884359"/>
    <w:rsid w:val="00887DE6"/>
    <w:rsid w:val="00890172"/>
    <w:rsid w:val="008911D2"/>
    <w:rsid w:val="00893048"/>
    <w:rsid w:val="00894C2A"/>
    <w:rsid w:val="00896B65"/>
    <w:rsid w:val="008975BC"/>
    <w:rsid w:val="00897708"/>
    <w:rsid w:val="00897D88"/>
    <w:rsid w:val="00897E6F"/>
    <w:rsid w:val="008A2EC6"/>
    <w:rsid w:val="008A2F16"/>
    <w:rsid w:val="008A6D69"/>
    <w:rsid w:val="008B0A73"/>
    <w:rsid w:val="008B1823"/>
    <w:rsid w:val="008B2EAD"/>
    <w:rsid w:val="008B6226"/>
    <w:rsid w:val="008B6A4A"/>
    <w:rsid w:val="008B6E16"/>
    <w:rsid w:val="008B7110"/>
    <w:rsid w:val="008C2029"/>
    <w:rsid w:val="008C503E"/>
    <w:rsid w:val="008C50F5"/>
    <w:rsid w:val="008C61D6"/>
    <w:rsid w:val="008C64F1"/>
    <w:rsid w:val="008C761C"/>
    <w:rsid w:val="008D1BB0"/>
    <w:rsid w:val="008D20FF"/>
    <w:rsid w:val="008D36E4"/>
    <w:rsid w:val="008D3DE6"/>
    <w:rsid w:val="008D4223"/>
    <w:rsid w:val="008D44CC"/>
    <w:rsid w:val="008D46E3"/>
    <w:rsid w:val="008D49A6"/>
    <w:rsid w:val="008D52CA"/>
    <w:rsid w:val="008D6709"/>
    <w:rsid w:val="008D74B6"/>
    <w:rsid w:val="008E083A"/>
    <w:rsid w:val="008E2450"/>
    <w:rsid w:val="008E47DC"/>
    <w:rsid w:val="008E7896"/>
    <w:rsid w:val="008E7D2D"/>
    <w:rsid w:val="008F2477"/>
    <w:rsid w:val="008F623C"/>
    <w:rsid w:val="008F6E24"/>
    <w:rsid w:val="008F7815"/>
    <w:rsid w:val="00900F02"/>
    <w:rsid w:val="009010F0"/>
    <w:rsid w:val="00901162"/>
    <w:rsid w:val="0090223A"/>
    <w:rsid w:val="009028E2"/>
    <w:rsid w:val="00914EAB"/>
    <w:rsid w:val="00916E6C"/>
    <w:rsid w:val="00920F85"/>
    <w:rsid w:val="00922D49"/>
    <w:rsid w:val="0092502E"/>
    <w:rsid w:val="00925E37"/>
    <w:rsid w:val="00925EDD"/>
    <w:rsid w:val="00927D0E"/>
    <w:rsid w:val="009309DA"/>
    <w:rsid w:val="0093260B"/>
    <w:rsid w:val="00936688"/>
    <w:rsid w:val="00937CFA"/>
    <w:rsid w:val="009406B3"/>
    <w:rsid w:val="00943C27"/>
    <w:rsid w:val="00945CF5"/>
    <w:rsid w:val="009500A1"/>
    <w:rsid w:val="0095037E"/>
    <w:rsid w:val="00952AAD"/>
    <w:rsid w:val="00954567"/>
    <w:rsid w:val="00957466"/>
    <w:rsid w:val="0096260B"/>
    <w:rsid w:val="00962748"/>
    <w:rsid w:val="009664D5"/>
    <w:rsid w:val="00970C69"/>
    <w:rsid w:val="00971F1C"/>
    <w:rsid w:val="0097211D"/>
    <w:rsid w:val="00972E10"/>
    <w:rsid w:val="009746CA"/>
    <w:rsid w:val="00981963"/>
    <w:rsid w:val="00983C82"/>
    <w:rsid w:val="00984520"/>
    <w:rsid w:val="0098545C"/>
    <w:rsid w:val="00985BF7"/>
    <w:rsid w:val="00990071"/>
    <w:rsid w:val="00991EA9"/>
    <w:rsid w:val="00992BA2"/>
    <w:rsid w:val="00992F83"/>
    <w:rsid w:val="0099508A"/>
    <w:rsid w:val="009974EB"/>
    <w:rsid w:val="009A1126"/>
    <w:rsid w:val="009A5E42"/>
    <w:rsid w:val="009A781F"/>
    <w:rsid w:val="009B1584"/>
    <w:rsid w:val="009B21CA"/>
    <w:rsid w:val="009B2235"/>
    <w:rsid w:val="009B2648"/>
    <w:rsid w:val="009C03E5"/>
    <w:rsid w:val="009C3730"/>
    <w:rsid w:val="009C37BD"/>
    <w:rsid w:val="009C3AAC"/>
    <w:rsid w:val="009C3D84"/>
    <w:rsid w:val="009C4D19"/>
    <w:rsid w:val="009C5134"/>
    <w:rsid w:val="009C5FDB"/>
    <w:rsid w:val="009C693E"/>
    <w:rsid w:val="009C70CB"/>
    <w:rsid w:val="009D1EA4"/>
    <w:rsid w:val="009D27AA"/>
    <w:rsid w:val="009D4991"/>
    <w:rsid w:val="009D5BB5"/>
    <w:rsid w:val="009D696D"/>
    <w:rsid w:val="009D6DAB"/>
    <w:rsid w:val="009D6ED2"/>
    <w:rsid w:val="009E0F1A"/>
    <w:rsid w:val="009E140D"/>
    <w:rsid w:val="009E1E55"/>
    <w:rsid w:val="009E4465"/>
    <w:rsid w:val="009E6401"/>
    <w:rsid w:val="009E6C54"/>
    <w:rsid w:val="009E6D44"/>
    <w:rsid w:val="009F2A25"/>
    <w:rsid w:val="009F5235"/>
    <w:rsid w:val="009F531A"/>
    <w:rsid w:val="009F6550"/>
    <w:rsid w:val="009F786E"/>
    <w:rsid w:val="00A00902"/>
    <w:rsid w:val="00A039FF"/>
    <w:rsid w:val="00A05ACE"/>
    <w:rsid w:val="00A07117"/>
    <w:rsid w:val="00A14AE3"/>
    <w:rsid w:val="00A16675"/>
    <w:rsid w:val="00A22642"/>
    <w:rsid w:val="00A22CD6"/>
    <w:rsid w:val="00A22D4B"/>
    <w:rsid w:val="00A234EC"/>
    <w:rsid w:val="00A2417A"/>
    <w:rsid w:val="00A27804"/>
    <w:rsid w:val="00A3193E"/>
    <w:rsid w:val="00A32FDA"/>
    <w:rsid w:val="00A36AB5"/>
    <w:rsid w:val="00A37DDA"/>
    <w:rsid w:val="00A411D1"/>
    <w:rsid w:val="00A41566"/>
    <w:rsid w:val="00A43389"/>
    <w:rsid w:val="00A43C40"/>
    <w:rsid w:val="00A43E71"/>
    <w:rsid w:val="00A45753"/>
    <w:rsid w:val="00A47B15"/>
    <w:rsid w:val="00A47E47"/>
    <w:rsid w:val="00A52F84"/>
    <w:rsid w:val="00A53DD8"/>
    <w:rsid w:val="00A56AA4"/>
    <w:rsid w:val="00A56B05"/>
    <w:rsid w:val="00A57678"/>
    <w:rsid w:val="00A60E2F"/>
    <w:rsid w:val="00A63127"/>
    <w:rsid w:val="00A63284"/>
    <w:rsid w:val="00A64CB8"/>
    <w:rsid w:val="00A67018"/>
    <w:rsid w:val="00A672F3"/>
    <w:rsid w:val="00A673DC"/>
    <w:rsid w:val="00A7076E"/>
    <w:rsid w:val="00A709BE"/>
    <w:rsid w:val="00A70E23"/>
    <w:rsid w:val="00A70EAB"/>
    <w:rsid w:val="00A7162E"/>
    <w:rsid w:val="00A72D71"/>
    <w:rsid w:val="00A75705"/>
    <w:rsid w:val="00A7634D"/>
    <w:rsid w:val="00A77C69"/>
    <w:rsid w:val="00A83953"/>
    <w:rsid w:val="00A840C5"/>
    <w:rsid w:val="00A903B6"/>
    <w:rsid w:val="00A90F4F"/>
    <w:rsid w:val="00A947AA"/>
    <w:rsid w:val="00A96748"/>
    <w:rsid w:val="00A96FD9"/>
    <w:rsid w:val="00AA1B53"/>
    <w:rsid w:val="00AA3556"/>
    <w:rsid w:val="00AA35FD"/>
    <w:rsid w:val="00AA3DB7"/>
    <w:rsid w:val="00AA72C6"/>
    <w:rsid w:val="00AB2DFA"/>
    <w:rsid w:val="00AB3012"/>
    <w:rsid w:val="00AB321C"/>
    <w:rsid w:val="00AB3DEF"/>
    <w:rsid w:val="00AB42E2"/>
    <w:rsid w:val="00AB6221"/>
    <w:rsid w:val="00AB67DE"/>
    <w:rsid w:val="00AB688F"/>
    <w:rsid w:val="00AB75EA"/>
    <w:rsid w:val="00AB7AA2"/>
    <w:rsid w:val="00AC05F8"/>
    <w:rsid w:val="00AC4BC1"/>
    <w:rsid w:val="00AC588F"/>
    <w:rsid w:val="00AC5E4B"/>
    <w:rsid w:val="00AD04BD"/>
    <w:rsid w:val="00AD1A03"/>
    <w:rsid w:val="00AD7214"/>
    <w:rsid w:val="00AE1066"/>
    <w:rsid w:val="00AE19D8"/>
    <w:rsid w:val="00AE4518"/>
    <w:rsid w:val="00AE5D7F"/>
    <w:rsid w:val="00AE79F0"/>
    <w:rsid w:val="00AE7D44"/>
    <w:rsid w:val="00AF4FE7"/>
    <w:rsid w:val="00AF6EC1"/>
    <w:rsid w:val="00AF7CF5"/>
    <w:rsid w:val="00B00331"/>
    <w:rsid w:val="00B0116D"/>
    <w:rsid w:val="00B01A80"/>
    <w:rsid w:val="00B05412"/>
    <w:rsid w:val="00B07C27"/>
    <w:rsid w:val="00B10DE1"/>
    <w:rsid w:val="00B10FF8"/>
    <w:rsid w:val="00B111B9"/>
    <w:rsid w:val="00B136E9"/>
    <w:rsid w:val="00B203C4"/>
    <w:rsid w:val="00B22995"/>
    <w:rsid w:val="00B22A61"/>
    <w:rsid w:val="00B22E81"/>
    <w:rsid w:val="00B23996"/>
    <w:rsid w:val="00B23CB2"/>
    <w:rsid w:val="00B2561A"/>
    <w:rsid w:val="00B25A64"/>
    <w:rsid w:val="00B25BE8"/>
    <w:rsid w:val="00B32AB3"/>
    <w:rsid w:val="00B34E7C"/>
    <w:rsid w:val="00B368EA"/>
    <w:rsid w:val="00B37EEF"/>
    <w:rsid w:val="00B43FC2"/>
    <w:rsid w:val="00B47485"/>
    <w:rsid w:val="00B518C3"/>
    <w:rsid w:val="00B55185"/>
    <w:rsid w:val="00B55EA7"/>
    <w:rsid w:val="00B61923"/>
    <w:rsid w:val="00B621D6"/>
    <w:rsid w:val="00B62914"/>
    <w:rsid w:val="00B65D6F"/>
    <w:rsid w:val="00B67552"/>
    <w:rsid w:val="00B67C23"/>
    <w:rsid w:val="00B75735"/>
    <w:rsid w:val="00B76B0F"/>
    <w:rsid w:val="00B76BBB"/>
    <w:rsid w:val="00B77142"/>
    <w:rsid w:val="00B7766E"/>
    <w:rsid w:val="00B80A2C"/>
    <w:rsid w:val="00B81F60"/>
    <w:rsid w:val="00B83F8E"/>
    <w:rsid w:val="00B841AC"/>
    <w:rsid w:val="00B865B0"/>
    <w:rsid w:val="00B8760C"/>
    <w:rsid w:val="00B90780"/>
    <w:rsid w:val="00B918B8"/>
    <w:rsid w:val="00B9240D"/>
    <w:rsid w:val="00B94BB8"/>
    <w:rsid w:val="00B94C15"/>
    <w:rsid w:val="00B95E5A"/>
    <w:rsid w:val="00BA22A8"/>
    <w:rsid w:val="00BA3539"/>
    <w:rsid w:val="00BA3E48"/>
    <w:rsid w:val="00BB1EB3"/>
    <w:rsid w:val="00BB2678"/>
    <w:rsid w:val="00BC2343"/>
    <w:rsid w:val="00BC76D5"/>
    <w:rsid w:val="00BD18B8"/>
    <w:rsid w:val="00BD30C8"/>
    <w:rsid w:val="00BD3EB4"/>
    <w:rsid w:val="00BD5C65"/>
    <w:rsid w:val="00BD77ED"/>
    <w:rsid w:val="00BE01CA"/>
    <w:rsid w:val="00BE6018"/>
    <w:rsid w:val="00BF1DD5"/>
    <w:rsid w:val="00BF1F57"/>
    <w:rsid w:val="00BF3EA0"/>
    <w:rsid w:val="00BF4086"/>
    <w:rsid w:val="00BF426C"/>
    <w:rsid w:val="00BF460D"/>
    <w:rsid w:val="00BF58D0"/>
    <w:rsid w:val="00BF7D6A"/>
    <w:rsid w:val="00C013E1"/>
    <w:rsid w:val="00C01611"/>
    <w:rsid w:val="00C01C01"/>
    <w:rsid w:val="00C02C6D"/>
    <w:rsid w:val="00C02D59"/>
    <w:rsid w:val="00C030B6"/>
    <w:rsid w:val="00C03284"/>
    <w:rsid w:val="00C04855"/>
    <w:rsid w:val="00C050D7"/>
    <w:rsid w:val="00C05B5F"/>
    <w:rsid w:val="00C104CC"/>
    <w:rsid w:val="00C130C1"/>
    <w:rsid w:val="00C152FE"/>
    <w:rsid w:val="00C16739"/>
    <w:rsid w:val="00C17C9B"/>
    <w:rsid w:val="00C22CCE"/>
    <w:rsid w:val="00C23BA2"/>
    <w:rsid w:val="00C25D0C"/>
    <w:rsid w:val="00C32AF2"/>
    <w:rsid w:val="00C33204"/>
    <w:rsid w:val="00C338EB"/>
    <w:rsid w:val="00C33E2E"/>
    <w:rsid w:val="00C3465D"/>
    <w:rsid w:val="00C379E9"/>
    <w:rsid w:val="00C37E98"/>
    <w:rsid w:val="00C42431"/>
    <w:rsid w:val="00C43324"/>
    <w:rsid w:val="00C439FB"/>
    <w:rsid w:val="00C43F23"/>
    <w:rsid w:val="00C4675D"/>
    <w:rsid w:val="00C50011"/>
    <w:rsid w:val="00C503D3"/>
    <w:rsid w:val="00C62509"/>
    <w:rsid w:val="00C645E6"/>
    <w:rsid w:val="00C64D82"/>
    <w:rsid w:val="00C64FBC"/>
    <w:rsid w:val="00C65A83"/>
    <w:rsid w:val="00C67DCB"/>
    <w:rsid w:val="00C736BB"/>
    <w:rsid w:val="00C737E8"/>
    <w:rsid w:val="00C80F23"/>
    <w:rsid w:val="00C81151"/>
    <w:rsid w:val="00C81746"/>
    <w:rsid w:val="00C82A96"/>
    <w:rsid w:val="00C82CC6"/>
    <w:rsid w:val="00C850A3"/>
    <w:rsid w:val="00C85C32"/>
    <w:rsid w:val="00C87568"/>
    <w:rsid w:val="00C87BB7"/>
    <w:rsid w:val="00C90DB6"/>
    <w:rsid w:val="00C9394F"/>
    <w:rsid w:val="00C93B1A"/>
    <w:rsid w:val="00C9504A"/>
    <w:rsid w:val="00C96275"/>
    <w:rsid w:val="00C96F5F"/>
    <w:rsid w:val="00CA178F"/>
    <w:rsid w:val="00CA3977"/>
    <w:rsid w:val="00CA4176"/>
    <w:rsid w:val="00CA5927"/>
    <w:rsid w:val="00CA79EC"/>
    <w:rsid w:val="00CB39C2"/>
    <w:rsid w:val="00CB44DE"/>
    <w:rsid w:val="00CB4C8C"/>
    <w:rsid w:val="00CB6782"/>
    <w:rsid w:val="00CB7629"/>
    <w:rsid w:val="00CC00EC"/>
    <w:rsid w:val="00CC080A"/>
    <w:rsid w:val="00CC3C04"/>
    <w:rsid w:val="00CE3C13"/>
    <w:rsid w:val="00CE4499"/>
    <w:rsid w:val="00CE5277"/>
    <w:rsid w:val="00CE6358"/>
    <w:rsid w:val="00CE7FC6"/>
    <w:rsid w:val="00CF0C6C"/>
    <w:rsid w:val="00CF2D54"/>
    <w:rsid w:val="00CF622A"/>
    <w:rsid w:val="00D01324"/>
    <w:rsid w:val="00D024C6"/>
    <w:rsid w:val="00D02BA5"/>
    <w:rsid w:val="00D03538"/>
    <w:rsid w:val="00D03B67"/>
    <w:rsid w:val="00D049B8"/>
    <w:rsid w:val="00D0516C"/>
    <w:rsid w:val="00D05EE7"/>
    <w:rsid w:val="00D06394"/>
    <w:rsid w:val="00D068D0"/>
    <w:rsid w:val="00D078D1"/>
    <w:rsid w:val="00D129A8"/>
    <w:rsid w:val="00D12FB9"/>
    <w:rsid w:val="00D13987"/>
    <w:rsid w:val="00D17C3A"/>
    <w:rsid w:val="00D200BD"/>
    <w:rsid w:val="00D22399"/>
    <w:rsid w:val="00D33751"/>
    <w:rsid w:val="00D36F6E"/>
    <w:rsid w:val="00D37343"/>
    <w:rsid w:val="00D4205E"/>
    <w:rsid w:val="00D565EC"/>
    <w:rsid w:val="00D61982"/>
    <w:rsid w:val="00D6226F"/>
    <w:rsid w:val="00D6267A"/>
    <w:rsid w:val="00D674CF"/>
    <w:rsid w:val="00D678DF"/>
    <w:rsid w:val="00D67D12"/>
    <w:rsid w:val="00D70923"/>
    <w:rsid w:val="00D74F09"/>
    <w:rsid w:val="00D754C0"/>
    <w:rsid w:val="00D75673"/>
    <w:rsid w:val="00D7585A"/>
    <w:rsid w:val="00D76D01"/>
    <w:rsid w:val="00D7728B"/>
    <w:rsid w:val="00D80618"/>
    <w:rsid w:val="00D82494"/>
    <w:rsid w:val="00D84A4B"/>
    <w:rsid w:val="00D85E13"/>
    <w:rsid w:val="00D863FA"/>
    <w:rsid w:val="00D8669F"/>
    <w:rsid w:val="00D92168"/>
    <w:rsid w:val="00D93CDD"/>
    <w:rsid w:val="00D940B5"/>
    <w:rsid w:val="00D95CB0"/>
    <w:rsid w:val="00D95D81"/>
    <w:rsid w:val="00D977C0"/>
    <w:rsid w:val="00DA00A3"/>
    <w:rsid w:val="00DA13F3"/>
    <w:rsid w:val="00DA27D4"/>
    <w:rsid w:val="00DA2DE3"/>
    <w:rsid w:val="00DA716A"/>
    <w:rsid w:val="00DB1841"/>
    <w:rsid w:val="00DB1F4F"/>
    <w:rsid w:val="00DB3360"/>
    <w:rsid w:val="00DB37EE"/>
    <w:rsid w:val="00DB4450"/>
    <w:rsid w:val="00DB7B69"/>
    <w:rsid w:val="00DC234A"/>
    <w:rsid w:val="00DC34E9"/>
    <w:rsid w:val="00DC41E4"/>
    <w:rsid w:val="00DC6697"/>
    <w:rsid w:val="00DC7C77"/>
    <w:rsid w:val="00DC7F19"/>
    <w:rsid w:val="00DD2809"/>
    <w:rsid w:val="00DD7EA2"/>
    <w:rsid w:val="00DE00F2"/>
    <w:rsid w:val="00DE07B4"/>
    <w:rsid w:val="00DE117F"/>
    <w:rsid w:val="00DE279B"/>
    <w:rsid w:val="00DE2B64"/>
    <w:rsid w:val="00DE401C"/>
    <w:rsid w:val="00DE4304"/>
    <w:rsid w:val="00DE6DF1"/>
    <w:rsid w:val="00DF0726"/>
    <w:rsid w:val="00DF4456"/>
    <w:rsid w:val="00DF63FA"/>
    <w:rsid w:val="00E012CC"/>
    <w:rsid w:val="00E02B71"/>
    <w:rsid w:val="00E02DEB"/>
    <w:rsid w:val="00E042A1"/>
    <w:rsid w:val="00E104FA"/>
    <w:rsid w:val="00E10506"/>
    <w:rsid w:val="00E1082A"/>
    <w:rsid w:val="00E11166"/>
    <w:rsid w:val="00E13182"/>
    <w:rsid w:val="00E13203"/>
    <w:rsid w:val="00E15383"/>
    <w:rsid w:val="00E1738C"/>
    <w:rsid w:val="00E202B6"/>
    <w:rsid w:val="00E22D28"/>
    <w:rsid w:val="00E230E3"/>
    <w:rsid w:val="00E30EDF"/>
    <w:rsid w:val="00E31FBA"/>
    <w:rsid w:val="00E36AAE"/>
    <w:rsid w:val="00E41773"/>
    <w:rsid w:val="00E4392C"/>
    <w:rsid w:val="00E44C57"/>
    <w:rsid w:val="00E45967"/>
    <w:rsid w:val="00E462F4"/>
    <w:rsid w:val="00E46FFD"/>
    <w:rsid w:val="00E513F6"/>
    <w:rsid w:val="00E52AA3"/>
    <w:rsid w:val="00E52F3B"/>
    <w:rsid w:val="00E53D94"/>
    <w:rsid w:val="00E53DEA"/>
    <w:rsid w:val="00E616DB"/>
    <w:rsid w:val="00E618DD"/>
    <w:rsid w:val="00E627A4"/>
    <w:rsid w:val="00E630ED"/>
    <w:rsid w:val="00E73C41"/>
    <w:rsid w:val="00E74EC5"/>
    <w:rsid w:val="00E76B86"/>
    <w:rsid w:val="00E81AFF"/>
    <w:rsid w:val="00E82EB9"/>
    <w:rsid w:val="00E8342F"/>
    <w:rsid w:val="00E847A7"/>
    <w:rsid w:val="00E87C2F"/>
    <w:rsid w:val="00E906B4"/>
    <w:rsid w:val="00E9095B"/>
    <w:rsid w:val="00E90CF1"/>
    <w:rsid w:val="00E9399B"/>
    <w:rsid w:val="00E94008"/>
    <w:rsid w:val="00E94762"/>
    <w:rsid w:val="00E94AA2"/>
    <w:rsid w:val="00E96B52"/>
    <w:rsid w:val="00EA2244"/>
    <w:rsid w:val="00EA411E"/>
    <w:rsid w:val="00EA5FC0"/>
    <w:rsid w:val="00EA6FA7"/>
    <w:rsid w:val="00EB067F"/>
    <w:rsid w:val="00EB16A0"/>
    <w:rsid w:val="00EB1F02"/>
    <w:rsid w:val="00EB51FD"/>
    <w:rsid w:val="00EB5BC5"/>
    <w:rsid w:val="00EB72C1"/>
    <w:rsid w:val="00EC086C"/>
    <w:rsid w:val="00EC42D0"/>
    <w:rsid w:val="00EC4BA3"/>
    <w:rsid w:val="00EC5CE6"/>
    <w:rsid w:val="00EC638F"/>
    <w:rsid w:val="00EE23B1"/>
    <w:rsid w:val="00EE2ACE"/>
    <w:rsid w:val="00EE4874"/>
    <w:rsid w:val="00EE79A6"/>
    <w:rsid w:val="00EE7FB4"/>
    <w:rsid w:val="00EF0D26"/>
    <w:rsid w:val="00EF0D86"/>
    <w:rsid w:val="00EF22FE"/>
    <w:rsid w:val="00EF76AC"/>
    <w:rsid w:val="00EF7C29"/>
    <w:rsid w:val="00F005A0"/>
    <w:rsid w:val="00F01D97"/>
    <w:rsid w:val="00F02435"/>
    <w:rsid w:val="00F0542C"/>
    <w:rsid w:val="00F058BE"/>
    <w:rsid w:val="00F077D2"/>
    <w:rsid w:val="00F11352"/>
    <w:rsid w:val="00F13FCD"/>
    <w:rsid w:val="00F1498D"/>
    <w:rsid w:val="00F14D34"/>
    <w:rsid w:val="00F14DDF"/>
    <w:rsid w:val="00F152AD"/>
    <w:rsid w:val="00F154A8"/>
    <w:rsid w:val="00F158FF"/>
    <w:rsid w:val="00F16CF0"/>
    <w:rsid w:val="00F20BE9"/>
    <w:rsid w:val="00F2285F"/>
    <w:rsid w:val="00F22F00"/>
    <w:rsid w:val="00F23155"/>
    <w:rsid w:val="00F23F0E"/>
    <w:rsid w:val="00F24E0E"/>
    <w:rsid w:val="00F26693"/>
    <w:rsid w:val="00F36130"/>
    <w:rsid w:val="00F40444"/>
    <w:rsid w:val="00F40868"/>
    <w:rsid w:val="00F423BD"/>
    <w:rsid w:val="00F432FF"/>
    <w:rsid w:val="00F4715C"/>
    <w:rsid w:val="00F5013F"/>
    <w:rsid w:val="00F50707"/>
    <w:rsid w:val="00F54869"/>
    <w:rsid w:val="00F556B2"/>
    <w:rsid w:val="00F57187"/>
    <w:rsid w:val="00F574E5"/>
    <w:rsid w:val="00F5754B"/>
    <w:rsid w:val="00F576DE"/>
    <w:rsid w:val="00F63BF7"/>
    <w:rsid w:val="00F65617"/>
    <w:rsid w:val="00F70316"/>
    <w:rsid w:val="00F710BE"/>
    <w:rsid w:val="00F72CEF"/>
    <w:rsid w:val="00F736D2"/>
    <w:rsid w:val="00F7564C"/>
    <w:rsid w:val="00F76220"/>
    <w:rsid w:val="00F769BE"/>
    <w:rsid w:val="00F82E6B"/>
    <w:rsid w:val="00F93C09"/>
    <w:rsid w:val="00F951CF"/>
    <w:rsid w:val="00F97B71"/>
    <w:rsid w:val="00FA1925"/>
    <w:rsid w:val="00FA2DDA"/>
    <w:rsid w:val="00FA34CA"/>
    <w:rsid w:val="00FA3CC8"/>
    <w:rsid w:val="00FA4A55"/>
    <w:rsid w:val="00FA4D4F"/>
    <w:rsid w:val="00FA54E8"/>
    <w:rsid w:val="00FA5CA2"/>
    <w:rsid w:val="00FA6052"/>
    <w:rsid w:val="00FB0D88"/>
    <w:rsid w:val="00FB2D17"/>
    <w:rsid w:val="00FB2F69"/>
    <w:rsid w:val="00FB39F7"/>
    <w:rsid w:val="00FB3BCA"/>
    <w:rsid w:val="00FB45FF"/>
    <w:rsid w:val="00FB47E0"/>
    <w:rsid w:val="00FB56F5"/>
    <w:rsid w:val="00FB5D97"/>
    <w:rsid w:val="00FB7363"/>
    <w:rsid w:val="00FC1CA5"/>
    <w:rsid w:val="00FC2979"/>
    <w:rsid w:val="00FC45F4"/>
    <w:rsid w:val="00FC55D1"/>
    <w:rsid w:val="00FD1C3C"/>
    <w:rsid w:val="00FD3532"/>
    <w:rsid w:val="00FD38A8"/>
    <w:rsid w:val="00FD6AC8"/>
    <w:rsid w:val="00FD7298"/>
    <w:rsid w:val="00FE308B"/>
    <w:rsid w:val="00FE3EA1"/>
    <w:rsid w:val="00FE4818"/>
    <w:rsid w:val="00FE5D80"/>
    <w:rsid w:val="00FF665B"/>
    <w:rsid w:val="00FF6ADB"/>
    <w:rsid w:val="00FF70FD"/>
    <w:rsid w:val="00FF7F4C"/>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name="Date" w:uiPriority="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qFormat/>
    <w:rsid w:val="00A7634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EB72C1"/>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locked/>
    <w:rsid w:val="00A7634D"/>
    <w:rPr>
      <w:rFonts w:cs="Times New Roman"/>
      <w:b/>
      <w:bCs/>
      <w:kern w:val="44"/>
      <w:sz w:val="44"/>
      <w:szCs w:val="44"/>
    </w:rPr>
  </w:style>
  <w:style w:customStyle="1" w:styleId="2Char" w:type="character">
    <w:name w:val="标题 2 Char"/>
    <w:link w:val="2"/>
    <w:uiPriority w:val="9"/>
    <w:semiHidden/>
    <w:rsid w:val="00525D36"/>
    <w:rPr>
      <w:rFonts w:ascii="Cambria" w:cs="Times New Roman" w:eastAsia="宋体" w:hAnsi="Cambria"/>
      <w:b/>
      <w:bCs/>
      <w:sz w:val="32"/>
      <w:szCs w:val="32"/>
    </w:rPr>
  </w:style>
  <w:style w:styleId="a0" w:type="paragraph">
    <w:name w:val="Normal Indent"/>
    <w:basedOn w:val="a"/>
    <w:uiPriority w:val="99"/>
    <w:rsid w:val="00EB72C1"/>
    <w:pPr>
      <w:ind w:firstLine="420" w:firstLineChars="200"/>
    </w:pPr>
  </w:style>
  <w:style w:styleId="a4" w:type="paragraph">
    <w:name w:val="Body Text Indent"/>
    <w:basedOn w:val="a"/>
    <w:link w:val="Char"/>
    <w:uiPriority w:val="99"/>
    <w:rsid w:val="00EB72C1"/>
    <w:pPr>
      <w:widowControl/>
      <w:spacing w:after="100" w:afterAutospacing="1" w:before="100" w:beforeAutospacing="1"/>
      <w:jc w:val="left"/>
    </w:pPr>
    <w:rPr>
      <w:kern w:val="0"/>
      <w:sz w:val="20"/>
    </w:rPr>
  </w:style>
  <w:style w:customStyle="1" w:styleId="Char" w:type="character">
    <w:name w:val="正文文本缩进 Char"/>
    <w:link w:val="a4"/>
    <w:uiPriority w:val="99"/>
    <w:semiHidden/>
    <w:rsid w:val="00525D36"/>
    <w:rPr>
      <w:szCs w:val="24"/>
    </w:rPr>
  </w:style>
  <w:style w:styleId="a5" w:type="paragraph">
    <w:name w:val="Plain Text"/>
    <w:basedOn w:val="a"/>
    <w:link w:val="Char0"/>
    <w:uiPriority w:val="99"/>
    <w:rsid w:val="00EB72C1"/>
    <w:rPr>
      <w:rFonts w:ascii="宋体" w:hAnsi="Courier New"/>
      <w:szCs w:val="20"/>
    </w:rPr>
  </w:style>
  <w:style w:customStyle="1" w:styleId="Char0" w:type="character">
    <w:name w:val="纯文本 Char"/>
    <w:link w:val="a5"/>
    <w:uiPriority w:val="99"/>
    <w:locked/>
    <w:rsid w:val="00A96FD9"/>
    <w:rPr>
      <w:rFonts w:ascii="宋体" w:hAnsi="Courier New"/>
      <w:kern w:val="2"/>
      <w:sz w:val="21"/>
    </w:rPr>
  </w:style>
  <w:style w:styleId="20" w:type="paragraph">
    <w:name w:val="Body Text Indent 2"/>
    <w:basedOn w:val="a"/>
    <w:link w:val="2Char0"/>
    <w:uiPriority w:val="99"/>
    <w:rsid w:val="00EB72C1"/>
    <w:pPr>
      <w:spacing w:line="560" w:lineRule="exact"/>
      <w:ind w:firstLine="480" w:firstLineChars="200"/>
    </w:pPr>
    <w:rPr>
      <w:kern w:val="0"/>
      <w:sz w:val="20"/>
    </w:rPr>
  </w:style>
  <w:style w:customStyle="1" w:styleId="2Char0" w:type="character">
    <w:name w:val="正文文本缩进 2 Char"/>
    <w:link w:val="20"/>
    <w:uiPriority w:val="99"/>
    <w:semiHidden/>
    <w:rsid w:val="00525D36"/>
    <w:rPr>
      <w:szCs w:val="24"/>
    </w:rPr>
  </w:style>
  <w:style w:styleId="a6" w:type="paragraph">
    <w:name w:val="footer"/>
    <w:basedOn w:val="a"/>
    <w:link w:val="Char1"/>
    <w:uiPriority w:val="99"/>
    <w:rsid w:val="00EB72C1"/>
    <w:pPr>
      <w:tabs>
        <w:tab w:pos="4153" w:val="center"/>
        <w:tab w:pos="8306" w:val="right"/>
      </w:tabs>
      <w:snapToGrid w:val="0"/>
      <w:jc w:val="left"/>
    </w:pPr>
    <w:rPr>
      <w:kern w:val="0"/>
      <w:sz w:val="18"/>
      <w:szCs w:val="18"/>
    </w:rPr>
  </w:style>
  <w:style w:customStyle="1" w:styleId="Char1" w:type="character">
    <w:name w:val="页脚 Char"/>
    <w:link w:val="a6"/>
    <w:uiPriority w:val="99"/>
    <w:semiHidden/>
    <w:rsid w:val="00525D36"/>
    <w:rPr>
      <w:sz w:val="18"/>
      <w:szCs w:val="18"/>
    </w:rPr>
  </w:style>
  <w:style w:styleId="a7" w:type="character">
    <w:name w:val="page number"/>
    <w:uiPriority w:val="99"/>
    <w:rsid w:val="00EB72C1"/>
    <w:rPr>
      <w:rFonts w:cs="Times New Roman"/>
    </w:rPr>
  </w:style>
  <w:style w:styleId="a8" w:type="character">
    <w:name w:val="Hyperlink"/>
    <w:uiPriority w:val="99"/>
    <w:rsid w:val="00EB72C1"/>
    <w:rPr>
      <w:rFonts w:cs="Times New Roman"/>
      <w:color w:val="0000FF"/>
      <w:u w:val="single"/>
    </w:rPr>
  </w:style>
  <w:style w:styleId="3" w:type="paragraph">
    <w:name w:val="Body Text Indent 3"/>
    <w:basedOn w:val="a"/>
    <w:link w:val="3Char"/>
    <w:uiPriority w:val="99"/>
    <w:rsid w:val="00EB72C1"/>
    <w:pPr>
      <w:spacing w:line="560" w:lineRule="exact"/>
      <w:ind w:firstLine="420" w:firstLineChars="200"/>
    </w:pPr>
    <w:rPr>
      <w:kern w:val="0"/>
      <w:sz w:val="16"/>
      <w:szCs w:val="16"/>
    </w:rPr>
  </w:style>
  <w:style w:customStyle="1" w:styleId="3Char" w:type="character">
    <w:name w:val="正文文本缩进 3 Char"/>
    <w:link w:val="3"/>
    <w:uiPriority w:val="99"/>
    <w:semiHidden/>
    <w:rsid w:val="00525D36"/>
    <w:rPr>
      <w:sz w:val="16"/>
      <w:szCs w:val="16"/>
    </w:rPr>
  </w:style>
  <w:style w:styleId="a9" w:type="paragraph">
    <w:name w:val="header"/>
    <w:basedOn w:val="a"/>
    <w:link w:val="Char2"/>
    <w:uiPriority w:val="99"/>
    <w:rsid w:val="00EB72C1"/>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D1356"/>
    <w:rPr>
      <w:rFonts w:cs="Times New Roman"/>
      <w:kern w:val="2"/>
      <w:sz w:val="18"/>
      <w:szCs w:val="18"/>
    </w:rPr>
  </w:style>
  <w:style w:styleId="aa" w:type="character">
    <w:name w:val="FollowedHyperlink"/>
    <w:uiPriority w:val="99"/>
    <w:rsid w:val="00EB72C1"/>
    <w:rPr>
      <w:rFonts w:cs="Times New Roman"/>
      <w:color w:val="800080"/>
      <w:u w:val="single"/>
    </w:rPr>
  </w:style>
  <w:style w:styleId="ab" w:type="paragraph">
    <w:name w:val="List"/>
    <w:basedOn w:val="ac"/>
    <w:uiPriority w:val="99"/>
    <w:rsid w:val="00EB72C1"/>
    <w:pPr>
      <w:spacing w:after="220" w:line="220" w:lineRule="atLeast"/>
      <w:ind w:hanging="360" w:left="1440"/>
    </w:pPr>
    <w:rPr>
      <w:szCs w:val="20"/>
    </w:rPr>
  </w:style>
  <w:style w:styleId="ac" w:type="paragraph">
    <w:name w:val="Body Text"/>
    <w:basedOn w:val="a"/>
    <w:link w:val="Char3"/>
    <w:uiPriority w:val="99"/>
    <w:rsid w:val="00EB72C1"/>
    <w:pPr>
      <w:spacing w:after="120"/>
    </w:pPr>
    <w:rPr>
      <w:kern w:val="0"/>
      <w:sz w:val="20"/>
    </w:rPr>
  </w:style>
  <w:style w:customStyle="1" w:styleId="Char3" w:type="character">
    <w:name w:val="正文文本 Char"/>
    <w:link w:val="ac"/>
    <w:uiPriority w:val="99"/>
    <w:semiHidden/>
    <w:rsid w:val="00525D36"/>
    <w:rPr>
      <w:szCs w:val="24"/>
    </w:rPr>
  </w:style>
  <w:style w:styleId="ad" w:type="paragraph">
    <w:name w:val="Date"/>
    <w:basedOn w:val="a"/>
    <w:next w:val="a"/>
    <w:link w:val="Char4"/>
    <w:rsid w:val="00EB72C1"/>
    <w:rPr>
      <w:sz w:val="24"/>
      <w:szCs w:val="20"/>
    </w:rPr>
  </w:style>
  <w:style w:customStyle="1" w:styleId="Char4" w:type="character">
    <w:name w:val="日期 Char"/>
    <w:link w:val="ad"/>
    <w:locked/>
    <w:rsid w:val="00C503D3"/>
    <w:rPr>
      <w:rFonts w:cs="Times New Roman"/>
      <w:kern w:val="2"/>
      <w:sz w:val="24"/>
    </w:rPr>
  </w:style>
  <w:style w:customStyle="1" w:styleId="c1" w:type="character">
    <w:name w:val="c1"/>
    <w:uiPriority w:val="99"/>
    <w:rsid w:val="00EB72C1"/>
    <w:rPr>
      <w:color w:val="000000"/>
      <w:sz w:val="18"/>
    </w:rPr>
  </w:style>
  <w:style w:styleId="10" w:type="paragraph">
    <w:name w:val="index 1"/>
    <w:basedOn w:val="a"/>
    <w:next w:val="a"/>
    <w:autoRedefine/>
    <w:uiPriority w:val="99"/>
    <w:semiHidden/>
    <w:rsid w:val="00EB72C1"/>
    <w:pPr>
      <w:jc w:val="right"/>
    </w:pPr>
    <w:rPr>
      <w:color w:val="008000"/>
    </w:rPr>
  </w:style>
  <w:style w:customStyle="1" w:styleId="font5" w:type="paragraph">
    <w:name w:val="font5"/>
    <w:basedOn w:val="a"/>
    <w:uiPriority w:val="99"/>
    <w:rsid w:val="00EB72C1"/>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EB72C1"/>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EB72C1"/>
    <w:rPr>
      <w:kern w:val="0"/>
      <w:sz w:val="0"/>
      <w:szCs w:val="0"/>
    </w:rPr>
  </w:style>
  <w:style w:customStyle="1" w:styleId="Char5" w:type="character">
    <w:name w:val="批注框文本 Char"/>
    <w:link w:val="ae"/>
    <w:uiPriority w:val="99"/>
    <w:semiHidden/>
    <w:rsid w:val="00525D36"/>
    <w:rPr>
      <w:sz w:val="0"/>
      <w:szCs w:val="0"/>
    </w:rPr>
  </w:style>
  <w:style w:styleId="af" w:type="character">
    <w:name w:val="annotation reference"/>
    <w:uiPriority w:val="99"/>
    <w:semiHidden/>
    <w:rsid w:val="00EB72C1"/>
    <w:rPr>
      <w:rFonts w:cs="Times New Roman"/>
      <w:sz w:val="21"/>
    </w:rPr>
  </w:style>
  <w:style w:styleId="af0" w:type="paragraph">
    <w:name w:val="annotation text"/>
    <w:basedOn w:val="a"/>
    <w:link w:val="Char6"/>
    <w:uiPriority w:val="99"/>
    <w:semiHidden/>
    <w:rsid w:val="00EB72C1"/>
    <w:pPr>
      <w:jc w:val="left"/>
    </w:pPr>
    <w:rPr>
      <w:kern w:val="0"/>
      <w:sz w:val="20"/>
    </w:rPr>
  </w:style>
  <w:style w:customStyle="1" w:styleId="Char6" w:type="character">
    <w:name w:val="批注文字 Char"/>
    <w:link w:val="af0"/>
    <w:uiPriority w:val="99"/>
    <w:semiHidden/>
    <w:rsid w:val="00525D36"/>
    <w:rPr>
      <w:szCs w:val="24"/>
    </w:rPr>
  </w:style>
  <w:style w:styleId="af1" w:type="paragraph">
    <w:name w:val="annotation subject"/>
    <w:basedOn w:val="af0"/>
    <w:next w:val="af0"/>
    <w:link w:val="Char7"/>
    <w:uiPriority w:val="99"/>
    <w:semiHidden/>
    <w:rsid w:val="00EB72C1"/>
    <w:rPr>
      <w:b/>
      <w:bCs/>
    </w:rPr>
  </w:style>
  <w:style w:customStyle="1" w:styleId="Char7" w:type="character">
    <w:name w:val="批注主题 Char"/>
    <w:link w:val="af1"/>
    <w:uiPriority w:val="99"/>
    <w:semiHidden/>
    <w:rsid w:val="00525D36"/>
    <w:rPr>
      <w:b/>
      <w:bCs/>
      <w:szCs w:val="24"/>
    </w:rPr>
  </w:style>
  <w:style w:customStyle="1" w:styleId="Char8" w:type="paragraph">
    <w:name w:val="Char"/>
    <w:basedOn w:val="a"/>
    <w:uiPriority w:val="99"/>
    <w:rsid w:val="00EB72C1"/>
  </w:style>
  <w:style w:styleId="af2" w:type="paragraph">
    <w:name w:val="Document Map"/>
    <w:basedOn w:val="a"/>
    <w:link w:val="Char9"/>
    <w:uiPriority w:val="99"/>
    <w:semiHidden/>
    <w:rsid w:val="000A549A"/>
    <w:pPr>
      <w:shd w:color="auto" w:fill="000080" w:val="clear"/>
    </w:pPr>
    <w:rPr>
      <w:kern w:val="0"/>
      <w:sz w:val="0"/>
      <w:szCs w:val="0"/>
    </w:rPr>
  </w:style>
  <w:style w:customStyle="1" w:styleId="Char9" w:type="character">
    <w:name w:val="文档结构图 Char"/>
    <w:link w:val="af2"/>
    <w:uiPriority w:val="99"/>
    <w:semiHidden/>
    <w:rsid w:val="00525D36"/>
    <w:rPr>
      <w:sz w:val="0"/>
      <w:szCs w:val="0"/>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kern w:val="0"/>
      <w:sz w:val="18"/>
      <w:szCs w:val="18"/>
    </w:rPr>
  </w:style>
  <w:style w:customStyle="1" w:styleId="Chara" w:type="character">
    <w:name w:val="脚注文本 Char"/>
    <w:link w:val="af4"/>
    <w:uiPriority w:val="99"/>
    <w:semiHidden/>
    <w:rsid w:val="00525D36"/>
    <w:rPr>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styleId="af8" w:type="character">
    <w:name w:val="Strong"/>
    <w:uiPriority w:val="22"/>
    <w:qFormat/>
    <w:locked/>
    <w:rsid w:val="00DF44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796064">
      <w:marLeft w:val="0"/>
      <w:marRight w:val="0"/>
      <w:marTop w:val="0"/>
      <w:marBottom w:val="0"/>
      <w:divBdr>
        <w:top w:val="none" w:sz="0" w:space="0" w:color="auto"/>
        <w:left w:val="none" w:sz="0" w:space="0" w:color="auto"/>
        <w:bottom w:val="none" w:sz="0" w:space="0" w:color="auto"/>
        <w:right w:val="none" w:sz="0" w:space="0" w:color="auto"/>
      </w:divBdr>
    </w:div>
    <w:div w:id="886796065">
      <w:marLeft w:val="0"/>
      <w:marRight w:val="0"/>
      <w:marTop w:val="0"/>
      <w:marBottom w:val="0"/>
      <w:divBdr>
        <w:top w:val="none" w:sz="0" w:space="0" w:color="auto"/>
        <w:left w:val="none" w:sz="0" w:space="0" w:color="auto"/>
        <w:bottom w:val="none" w:sz="0" w:space="0" w:color="auto"/>
        <w:right w:val="none" w:sz="0" w:space="0" w:color="auto"/>
      </w:divBdr>
    </w:div>
    <w:div w:id="886796066">
      <w:marLeft w:val="0"/>
      <w:marRight w:val="0"/>
      <w:marTop w:val="0"/>
      <w:marBottom w:val="0"/>
      <w:divBdr>
        <w:top w:val="none" w:sz="0" w:space="0" w:color="auto"/>
        <w:left w:val="none" w:sz="0" w:space="0" w:color="auto"/>
        <w:bottom w:val="none" w:sz="0" w:space="0" w:color="auto"/>
        <w:right w:val="none" w:sz="0" w:space="0" w:color="auto"/>
      </w:divBdr>
    </w:div>
    <w:div w:id="886796067">
      <w:marLeft w:val="0"/>
      <w:marRight w:val="0"/>
      <w:marTop w:val="0"/>
      <w:marBottom w:val="0"/>
      <w:divBdr>
        <w:top w:val="none" w:sz="0" w:space="0" w:color="auto"/>
        <w:left w:val="none" w:sz="0" w:space="0" w:color="auto"/>
        <w:bottom w:val="none" w:sz="0" w:space="0" w:color="auto"/>
        <w:right w:val="none" w:sz="0" w:space="0" w:color="auto"/>
      </w:divBdr>
    </w:div>
    <w:div w:id="886796068">
      <w:marLeft w:val="0"/>
      <w:marRight w:val="0"/>
      <w:marTop w:val="0"/>
      <w:marBottom w:val="0"/>
      <w:divBdr>
        <w:top w:val="none" w:sz="0" w:space="0" w:color="auto"/>
        <w:left w:val="none" w:sz="0" w:space="0" w:color="auto"/>
        <w:bottom w:val="none" w:sz="0" w:space="0" w:color="auto"/>
        <w:right w:val="none" w:sz="0" w:space="0" w:color="auto"/>
      </w:divBdr>
    </w:div>
    <w:div w:id="886796069">
      <w:marLeft w:val="0"/>
      <w:marRight w:val="0"/>
      <w:marTop w:val="0"/>
      <w:marBottom w:val="0"/>
      <w:divBdr>
        <w:top w:val="none" w:sz="0" w:space="0" w:color="auto"/>
        <w:left w:val="none" w:sz="0" w:space="0" w:color="auto"/>
        <w:bottom w:val="none" w:sz="0" w:space="0" w:color="auto"/>
        <w:right w:val="none" w:sz="0" w:space="0" w:color="auto"/>
      </w:divBdr>
    </w:div>
    <w:div w:id="886796070">
      <w:marLeft w:val="0"/>
      <w:marRight w:val="0"/>
      <w:marTop w:val="0"/>
      <w:marBottom w:val="0"/>
      <w:divBdr>
        <w:top w:val="none" w:sz="0" w:space="0" w:color="auto"/>
        <w:left w:val="none" w:sz="0" w:space="0" w:color="auto"/>
        <w:bottom w:val="none" w:sz="0" w:space="0" w:color="auto"/>
        <w:right w:val="none" w:sz="0" w:space="0" w:color="auto"/>
      </w:divBdr>
    </w:div>
    <w:div w:id="886796072">
      <w:marLeft w:val="0"/>
      <w:marRight w:val="0"/>
      <w:marTop w:val="0"/>
      <w:marBottom w:val="0"/>
      <w:divBdr>
        <w:top w:val="none" w:sz="0" w:space="0" w:color="auto"/>
        <w:left w:val="none" w:sz="0" w:space="0" w:color="auto"/>
        <w:bottom w:val="none" w:sz="0" w:space="0" w:color="auto"/>
        <w:right w:val="none" w:sz="0" w:space="0" w:color="auto"/>
      </w:divBdr>
    </w:div>
    <w:div w:id="886796073">
      <w:marLeft w:val="0"/>
      <w:marRight w:val="0"/>
      <w:marTop w:val="0"/>
      <w:marBottom w:val="0"/>
      <w:divBdr>
        <w:top w:val="none" w:sz="0" w:space="0" w:color="auto"/>
        <w:left w:val="none" w:sz="0" w:space="0" w:color="auto"/>
        <w:bottom w:val="none" w:sz="0" w:space="0" w:color="auto"/>
        <w:right w:val="none" w:sz="0" w:space="0" w:color="auto"/>
      </w:divBdr>
      <w:divsChild>
        <w:div w:id="886796071">
          <w:marLeft w:val="0"/>
          <w:marRight w:val="0"/>
          <w:marTop w:val="0"/>
          <w:marBottom w:val="0"/>
          <w:divBdr>
            <w:top w:val="none" w:sz="0" w:space="0" w:color="auto"/>
            <w:left w:val="none" w:sz="0" w:space="0" w:color="auto"/>
            <w:bottom w:val="none" w:sz="0" w:space="0" w:color="auto"/>
            <w:right w:val="none" w:sz="0" w:space="0" w:color="auto"/>
          </w:divBdr>
        </w:div>
      </w:divsChild>
    </w:div>
    <w:div w:id="8867960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header2.xml" Type="http://schemas.openxmlformats.org/officeDocument/2006/relationships/header"/>
<Relationship Id="rId12" Target="footer2.xml" Type="http://schemas.openxmlformats.org/officeDocument/2006/relationships/footer"/>
<Relationship Id="rId13" Target="footer3.xml" Type="http://schemas.openxmlformats.org/officeDocument/2006/relationships/footer"/>
<Relationship Id="rId14" Target="header3.xml" Type="http://schemas.openxmlformats.org/officeDocument/2006/relationships/header"/>
<Relationship Id="rId15" Target="footer4.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Documents%20and%20Settings/Administrator/&#26700;&#38754;/qdii.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qdii.dot</Template>
  <TotalTime>87</TotalTime>
  <Pages>22</Pages>
  <Words>3091</Words>
  <Characters>17622</Characters>
  <Application>Microsoft Office Word</Application>
  <DocSecurity>0</DocSecurity>
  <Lines>146</Lines>
  <Paragraphs>41</Paragraphs>
  <ScaleCrop>false</ScaleCrop>
  <Company>TRT. Ltd. Co.</Company>
  <LinksUpToDate>false</LinksUpToDate>
  <CharactersWithSpaces>20672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2013-08-01T05:26:00Z</dcterms:created>
  <dc:creator>bonnieliu</dc:creator>
  <cp:lastModifiedBy>sirong han</cp:lastModifiedBy>
  <cp:lastPrinted>2007-07-19T00:46:00Z</cp:lastPrinted>
  <dcterms:modified xsi:type="dcterms:W3CDTF">2020-07-09T02:50:00Z</dcterms:modified>
  <cp:revision>118</cp:revision>
</cp:coreProperties>
</file>