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易方达中证500交易型开放式指数证券投资基金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中国工商银行股份有限公司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易方达中证500ETF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ZZ500ETF、中证500ETF易方达</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510580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510580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交易型开放式（ETF）</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2015年8月27日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116,896,515.00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紧密跟踪标的指数，追求跟踪偏离度和跟踪误差的最小化。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其他指数投资技术适当调整基金投资组合，以达到紧密跟踪标的指数的目的。本基金可投资股指期货和其他经中国证监会允许的衍生金融产品。本基金投资股指期货将根据风险管理的原则，以套期保值为目的，主要选择流动性好、交易活跃的股指期货合约。在正常市场情况下，本基金力争日均跟踪偏离度的绝对值不超过0.2%，年化跟踪误差不超过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中证500指数</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本基金属股票型基金，预期风险与预期收益水平高于混合型基金、债券型基金与货币市场基金。本基金为指数型基金，主要采用完全复制法跟踪标的指数的表现，具有与标的指数相似的风险收益特征。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中国工商银行股份有限公司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45,678,839.87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135,401,847.01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0.9751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723,040,955.36</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6.1853</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pPr>
        <w:spacing w:line="360" w:lineRule="auto"/>
        <w:ind w:firstLine="480" w:firstLineChars="200"/>
        <w:rPr>
          <w:color w:val="000000"/>
          <w:sz w:val="24"/>
          <w:szCs w:val="24"/>
        </w:rPr>
      </w:pPr>
      <w:r>
        <w:rPr>
          <w:color w:val="000000"/>
          <w:sz w:val="24"/>
        </w:rPr>
        <w:t>2.本期已实现收益指基金本期利息收入、投资收益、其他收入（不含公允价值变动收益）扣除相关费用后的余额，本期利润为本期已实现收益加上本期公允价值变动收益。</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3.本基金已于2015年9月9日进行了基金份额折算，折算比例为0.15409267。</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18.51%</w:t>
            </w:r>
          </w:p>
        </w:tc>
        <w:tc>
          <w:tcPr>
            <w:vAlign w:val="center"/>
          </w:tcPr>
          <w:p>
            <w:pPr>
              <w:jc w:val="center"/>
            </w:pPr>
            <w:r>
              <w:rPr>
                <w:color w:val="000000"/>
                <w:kern w:val="0"/>
                <w:sz w:val="24"/>
                <w:szCs w:val="24"/>
              </w:rPr>
              <w:t>1.13%</w:t>
            </w:r>
          </w:p>
        </w:tc>
        <w:tc>
          <w:tcPr>
            <w:vAlign w:val="center"/>
          </w:tcPr>
          <w:p>
            <w:pPr>
              <w:jc w:val="center"/>
            </w:pPr>
            <w:r>
              <w:rPr>
                <w:color w:val="000000"/>
                <w:kern w:val="0"/>
                <w:sz w:val="24"/>
                <w:szCs w:val="24"/>
              </w:rPr>
              <w:t>16.32%</w:t>
            </w:r>
          </w:p>
        </w:tc>
        <w:tc>
          <w:tcPr>
            <w:vAlign w:val="center"/>
          </w:tcPr>
          <w:p>
            <w:pPr>
              <w:jc w:val="center"/>
            </w:pPr>
            <w:r>
              <w:rPr>
                <w:color w:val="000000"/>
                <w:kern w:val="0"/>
                <w:sz w:val="24"/>
                <w:szCs w:val="24"/>
              </w:rPr>
              <w:t>1.13%</w:t>
            </w:r>
          </w:p>
        </w:tc>
        <w:tc>
          <w:tcPr>
            <w:vAlign w:val="center"/>
          </w:tcPr>
          <w:p>
            <w:pPr>
              <w:jc w:val="center"/>
            </w:pPr>
            <w:r>
              <w:rPr>
                <w:color w:val="000000"/>
                <w:kern w:val="0"/>
                <w:sz w:val="24"/>
                <w:szCs w:val="24"/>
              </w:rPr>
              <w:t>2.19%</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14.97%</w:t>
            </w:r>
          </w:p>
        </w:tc>
        <w:tc>
          <w:tcPr>
            <w:vAlign w:val="center"/>
          </w:tcPr>
          <w:p>
            <w:pPr>
              <w:jc w:val="center"/>
            </w:pPr>
            <w:r>
              <w:rPr>
                <w:color w:val="000000"/>
                <w:kern w:val="0"/>
                <w:sz w:val="24"/>
                <w:szCs w:val="24"/>
              </w:rPr>
              <w:t>1.78%</w:t>
            </w:r>
          </w:p>
        </w:tc>
        <w:tc>
          <w:tcPr>
            <w:vAlign w:val="center"/>
          </w:tcPr>
          <w:p>
            <w:pPr>
              <w:jc w:val="center"/>
            </w:pPr>
            <w:r>
              <w:rPr>
                <w:color w:val="000000"/>
                <w:kern w:val="0"/>
                <w:sz w:val="24"/>
                <w:szCs w:val="24"/>
              </w:rPr>
              <w:t>11.33%</w:t>
            </w:r>
          </w:p>
        </w:tc>
        <w:tc>
          <w:tcPr>
            <w:vAlign w:val="center"/>
          </w:tcPr>
          <w:p>
            <w:pPr>
              <w:jc w:val="center"/>
            </w:pPr>
            <w:r>
              <w:rPr>
                <w:color w:val="000000"/>
                <w:kern w:val="0"/>
                <w:sz w:val="24"/>
                <w:szCs w:val="24"/>
              </w:rPr>
              <w:t>1.79%</w:t>
            </w:r>
          </w:p>
        </w:tc>
        <w:tc>
          <w:tcPr>
            <w:vAlign w:val="center"/>
          </w:tcPr>
          <w:p>
            <w:pPr>
              <w:jc w:val="center"/>
            </w:pPr>
            <w:r>
              <w:rPr>
                <w:color w:val="000000"/>
                <w:kern w:val="0"/>
                <w:sz w:val="24"/>
                <w:szCs w:val="24"/>
              </w:rPr>
              <w:t>3.64%</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24.13%</w:t>
            </w:r>
          </w:p>
        </w:tc>
        <w:tc>
          <w:tcPr>
            <w:vAlign w:val="center"/>
          </w:tcPr>
          <w:p>
            <w:pPr>
              <w:jc w:val="center"/>
            </w:pPr>
            <w:r>
              <w:rPr>
                <w:color w:val="000000"/>
                <w:kern w:val="0"/>
                <w:sz w:val="24"/>
                <w:szCs w:val="24"/>
              </w:rPr>
              <w:t>1.45%</w:t>
            </w:r>
          </w:p>
        </w:tc>
        <w:tc>
          <w:tcPr>
            <w:vAlign w:val="center"/>
          </w:tcPr>
          <w:p>
            <w:pPr>
              <w:jc w:val="center"/>
            </w:pPr>
            <w:r>
              <w:rPr>
                <w:color w:val="000000"/>
                <w:kern w:val="0"/>
                <w:sz w:val="24"/>
                <w:szCs w:val="24"/>
              </w:rPr>
              <w:t>18.46%</w:t>
            </w:r>
          </w:p>
        </w:tc>
        <w:tc>
          <w:tcPr>
            <w:vAlign w:val="center"/>
          </w:tcPr>
          <w:p>
            <w:pPr>
              <w:jc w:val="center"/>
            </w:pPr>
            <w:r>
              <w:rPr>
                <w:color w:val="000000"/>
                <w:kern w:val="0"/>
                <w:sz w:val="24"/>
                <w:szCs w:val="24"/>
              </w:rPr>
              <w:t>1.46%</w:t>
            </w:r>
          </w:p>
        </w:tc>
        <w:tc>
          <w:tcPr>
            <w:vAlign w:val="center"/>
          </w:tcPr>
          <w:p>
            <w:pPr>
              <w:jc w:val="center"/>
            </w:pPr>
            <w:r>
              <w:rPr>
                <w:color w:val="000000"/>
                <w:kern w:val="0"/>
                <w:sz w:val="24"/>
                <w:szCs w:val="24"/>
              </w:rPr>
              <w:t>5.67%</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0.10%</w:t>
            </w:r>
          </w:p>
        </w:tc>
        <w:tc>
          <w:tcPr>
            <w:vAlign w:val="center"/>
          </w:tcPr>
          <w:p>
            <w:pPr>
              <w:jc w:val="center"/>
            </w:pPr>
            <w:r>
              <w:rPr>
                <w:color w:val="000000"/>
                <w:kern w:val="0"/>
                <w:sz w:val="24"/>
                <w:szCs w:val="24"/>
              </w:rPr>
              <w:t>1.42%</w:t>
            </w:r>
          </w:p>
        </w:tc>
        <w:tc>
          <w:tcPr>
            <w:vAlign w:val="center"/>
          </w:tcPr>
          <w:p>
            <w:pPr>
              <w:jc w:val="center"/>
            </w:pPr>
            <w:r>
              <w:rPr>
                <w:color w:val="000000"/>
                <w:kern w:val="0"/>
                <w:sz w:val="24"/>
                <w:szCs w:val="24"/>
              </w:rPr>
              <w:t>-4.46%</w:t>
            </w:r>
          </w:p>
        </w:tc>
        <w:tc>
          <w:tcPr>
            <w:vAlign w:val="center"/>
          </w:tcPr>
          <w:p>
            <w:pPr>
              <w:jc w:val="center"/>
            </w:pPr>
            <w:r>
              <w:rPr>
                <w:color w:val="000000"/>
                <w:kern w:val="0"/>
                <w:sz w:val="24"/>
                <w:szCs w:val="24"/>
              </w:rPr>
              <w:t>1.47%</w:t>
            </w:r>
          </w:p>
        </w:tc>
        <w:tc>
          <w:tcPr>
            <w:vAlign w:val="center"/>
          </w:tcPr>
          <w:p>
            <w:pPr>
              <w:jc w:val="center"/>
            </w:pPr>
            <w:r>
              <w:rPr>
                <w:color w:val="000000"/>
                <w:kern w:val="0"/>
                <w:sz w:val="24"/>
                <w:szCs w:val="24"/>
              </w:rPr>
              <w:t>4.56%</w:t>
            </w:r>
          </w:p>
        </w:tc>
        <w:tc>
          <w:tcPr>
            <w:vAlign w:val="center"/>
          </w:tcPr>
          <w:p>
            <w:pPr>
              <w:jc w:val="center"/>
            </w:pPr>
            <w:r>
              <w:rPr>
                <w:color w:val="000000"/>
                <w:kern w:val="0"/>
                <w:sz w:val="24"/>
                <w:szCs w:val="24"/>
              </w:rPr>
              <w:t>-0.05%</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-4.69%</w:t>
            </w:r>
          </w:p>
        </w:tc>
        <w:tc>
          <w:tcPr>
            <w:vAlign w:val="center"/>
          </w:tcPr>
          <w:p>
            <w:pPr>
              <w:jc w:val="center"/>
            </w:pPr>
            <w:r>
              <w:rPr>
                <w:color w:val="000000"/>
                <w:kern w:val="0"/>
                <w:sz w:val="24"/>
                <w:szCs w:val="24"/>
              </w:rPr>
              <w:t>1.49%</w:t>
            </w:r>
          </w:p>
        </w:tc>
        <w:tc>
          <w:tcPr>
            <w:vAlign w:val="center"/>
          </w:tcPr>
          <w:p>
            <w:pPr>
              <w:jc w:val="center"/>
            </w:pPr>
            <w:r>
              <w:rPr>
                <w:color w:val="000000"/>
                <w:kern w:val="0"/>
                <w:sz w:val="24"/>
                <w:szCs w:val="24"/>
              </w:rPr>
              <w:t>-6.00%</w:t>
            </w:r>
          </w:p>
        </w:tc>
        <w:tc>
          <w:tcPr>
            <w:vAlign w:val="center"/>
          </w:tcPr>
          <w:p>
            <w:pPr>
              <w:jc w:val="center"/>
            </w:pPr>
            <w:r>
              <w:rPr>
                <w:color w:val="000000"/>
                <w:kern w:val="0"/>
                <w:sz w:val="24"/>
                <w:szCs w:val="24"/>
              </w:rPr>
              <w:t>1.62%</w:t>
            </w:r>
          </w:p>
        </w:tc>
        <w:tc>
          <w:tcPr>
            <w:vAlign w:val="center"/>
          </w:tcPr>
          <w:p>
            <w:pPr>
              <w:jc w:val="center"/>
            </w:pPr>
            <w:r>
              <w:rPr>
                <w:color w:val="000000"/>
                <w:kern w:val="0"/>
                <w:sz w:val="24"/>
                <w:szCs w:val="24"/>
              </w:rPr>
              <w:t>1.31%</w:t>
            </w:r>
          </w:p>
        </w:tc>
        <w:tc>
          <w:tcPr>
            <w:vAlign w:val="center"/>
          </w:tcPr>
          <w:p>
            <w:pPr>
              <w:jc w:val="center"/>
            </w:pPr>
            <w:r>
              <w:rPr>
                <w:color w:val="000000"/>
                <w:kern w:val="0"/>
                <w:sz w:val="24"/>
                <w:szCs w:val="24"/>
              </w:rPr>
              <w:t>-0.13%</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易方达中证500交易型开放式指数证券投资基金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2015年8月27日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注：自基金合同生效至报告期末，基金份额净值增长率为-4.69%，同期业绩比较基准收益率为-6.00%。</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军工指数分级证券投资基金的基金经理、易方达证券公司指数分级证券投资基金的基金经理、易方达沪深300交易型开放式指数发起式证券投资基金联接基金的基金经理、易方达沪深300交易型开放式指数发起式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恒生中国企业交易型开放式指数证券投资基金的基金经理、易方达黄金交易型开放式证券投资基金联接基金的基金经理、易方达恒生中国企业交易型开放式指数证券投资基金联接基金的基金经理、易方达黄金交易型开放式证券投资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2016-04-16</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国内宏观经济复苏态势向好，随着复工复产的深入推进，生产需求继续回暖，企业的经营压力有所减轻。5月份规模以上工业企业利润增速实现了自2019年11月以来的首次由负转正，释放了市场需求回暖、经济社会运行加速回归正轨的积极信号。6月份PMI为50.9%，比上月提升0.3个百分点，已连续4个月处于荣枯分界线以上。在宏观政策方面，央行二季度货币政策坚持总量政策适度，促进金融和实体经济的良性循环，强调政策对冲疫情的有效性和直达性。资本市场方面，在海外疫情或呈现见顶趋势、国内政策力度渐强等因素主导下，A股市场延续了3月底以来的反弹趋势，二季度上证综指以上涨8.52%收官。风格主题方面，以创业板指为代表的成长风格表现更为强劲，创业板表现优于主板，创业板指大幅上涨30.25%，上证50指数、沪深300指数分别上涨9.40%、12.96%；行业方面，休闲服务、电子、医药生物、食品饮料、传媒等板块表现强势，建筑装饰、纺织服装、采掘、银行等板块表现落后。报告期内中证500指数上涨16.32%。</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报告期内本基金为正常运作期，在操作中，我们严格遵守基金合同，坚持既定的指数化投资策略，在指数权重调整和基金申赎变动时，应用指数复制和数量化技术降低冲击成本和减少跟踪误差。</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截至报告期末，本基金份额净值为6.1853元，本报告期份额净值增长率为18.51%，同期业绩比较基准收益率为16.32%，日跟踪偏离度的均值为0.04%，年化跟踪误差为0.743%，各项指标均在合同规定的目标控制范围之内。</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660,675,121.75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90.96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660,675,121.75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90.96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65,500.00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0.01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65,500.00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0.01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55,323,326.15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7.62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10,309,978.56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726,373,926.46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注：上表中的股票投资项含可退替代款估值增值，而5.2的合计项不含可退替代款估值增值。</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5,899,519.00</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0.82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12,946,031.92</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1.79</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385,419,041.10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53.31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14,972,110.46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2.07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8,499,489.43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36,632,805.64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5.07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16,122,618.78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2.23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2,208,502.50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0.31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74,052,681.35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10.24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33,595,401.53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4.65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23,116,001.02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3.20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13,365,549.00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4,754,640.50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0.66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6,288,188.60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0.87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651,172.32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0.09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4,789,277.00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0.66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10,234,901.00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7,127,144.60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0.99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660,675,075.75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91.37</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300253</w:t>
            </w:r>
          </w:p>
        </w:tc>
        <w:tc>
          <w:tcPr>
            <w:vAlign w:val="center"/>
          </w:tcPr>
          <w:p>
            <w:pPr>
              <w:jc w:val="center"/>
            </w:pPr>
            <w:r>
              <w:rPr>
                <w:color w:val="000000"/>
                <w:kern w:val="0"/>
                <w:sz w:val="24"/>
                <w:szCs w:val="24"/>
              </w:rPr>
              <w:t>卫宁健康</w:t>
            </w:r>
          </w:p>
        </w:tc>
        <w:tc>
          <w:tcPr>
            <w:vAlign w:val="center"/>
          </w:tcPr>
          <w:p>
            <w:pPr>
              <w:jc w:val="right"/>
            </w:pPr>
            <w:r>
              <w:rPr>
                <w:color w:val="000000"/>
                <w:kern w:val="0"/>
                <w:sz w:val="24"/>
                <w:szCs w:val="24"/>
              </w:rPr>
              <w:t>227,240</w:t>
            </w:r>
          </w:p>
        </w:tc>
        <w:tc>
          <w:tcPr>
            <w:vAlign w:val="center"/>
          </w:tcPr>
          <w:p>
            <w:pPr>
              <w:jc w:val="right"/>
            </w:pPr>
            <w:r>
              <w:rPr>
                <w:color w:val="000000"/>
                <w:kern w:val="0"/>
                <w:sz w:val="24"/>
                <w:szCs w:val="24"/>
              </w:rPr>
              <w:t>5,212,885.60</w:t>
            </w:r>
          </w:p>
        </w:tc>
        <w:tc>
          <w:tcPr>
            <w:vAlign w:val="center"/>
          </w:tcPr>
          <w:p>
            <w:pPr>
              <w:jc w:val="right"/>
            </w:pPr>
            <w:r>
              <w:rPr>
                <w:color w:val="000000"/>
                <w:kern w:val="0"/>
                <w:sz w:val="24"/>
                <w:szCs w:val="24"/>
              </w:rPr>
              <w:t>0.72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002127</w:t>
            </w:r>
          </w:p>
        </w:tc>
        <w:tc>
          <w:tcPr>
            <w:vAlign w:val="center"/>
          </w:tcPr>
          <w:p>
            <w:pPr>
              <w:jc w:val="center"/>
            </w:pPr>
            <w:r>
              <w:rPr>
                <w:color w:val="000000"/>
                <w:kern w:val="0"/>
                <w:sz w:val="24"/>
                <w:szCs w:val="24"/>
              </w:rPr>
              <w:t>南极电商</w:t>
            </w:r>
          </w:p>
        </w:tc>
        <w:tc>
          <w:tcPr>
            <w:vAlign w:val="center"/>
          </w:tcPr>
          <w:p>
            <w:pPr>
              <w:jc w:val="right"/>
            </w:pPr>
            <w:r>
              <w:rPr>
                <w:color w:val="000000"/>
                <w:kern w:val="0"/>
                <w:sz w:val="24"/>
                <w:szCs w:val="24"/>
              </w:rPr>
              <w:t>228,860</w:t>
            </w:r>
          </w:p>
        </w:tc>
        <w:tc>
          <w:tcPr>
            <w:vAlign w:val="center"/>
          </w:tcPr>
          <w:p>
            <w:pPr>
              <w:jc w:val="right"/>
            </w:pPr>
            <w:r>
              <w:rPr>
                <w:color w:val="000000"/>
                <w:kern w:val="0"/>
                <w:sz w:val="24"/>
                <w:szCs w:val="24"/>
              </w:rPr>
              <w:t>4,844,966.20</w:t>
            </w:r>
          </w:p>
        </w:tc>
        <w:tc>
          <w:tcPr>
            <w:vAlign w:val="center"/>
          </w:tcPr>
          <w:p>
            <w:pPr>
              <w:jc w:val="right"/>
            </w:pPr>
            <w:r>
              <w:rPr>
                <w:color w:val="000000"/>
                <w:kern w:val="0"/>
                <w:sz w:val="24"/>
                <w:szCs w:val="24"/>
              </w:rPr>
              <w:t>0.67</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002821</w:t>
            </w:r>
          </w:p>
        </w:tc>
        <w:tc>
          <w:tcPr>
            <w:vAlign w:val="center"/>
          </w:tcPr>
          <w:p>
            <w:pPr>
              <w:jc w:val="center"/>
            </w:pPr>
            <w:r>
              <w:rPr>
                <w:color w:val="000000"/>
                <w:kern w:val="0"/>
                <w:sz w:val="24"/>
                <w:szCs w:val="24"/>
              </w:rPr>
              <w:t>凯莱英</w:t>
            </w:r>
          </w:p>
        </w:tc>
        <w:tc>
          <w:tcPr>
            <w:vAlign w:val="center"/>
          </w:tcPr>
          <w:p>
            <w:pPr>
              <w:jc w:val="right"/>
            </w:pPr>
            <w:r>
              <w:rPr>
                <w:color w:val="000000"/>
                <w:kern w:val="0"/>
                <w:sz w:val="24"/>
                <w:szCs w:val="24"/>
              </w:rPr>
              <w:t>18,600</w:t>
            </w:r>
          </w:p>
        </w:tc>
        <w:tc>
          <w:tcPr>
            <w:vAlign w:val="center"/>
          </w:tcPr>
          <w:p>
            <w:pPr>
              <w:jc w:val="right"/>
            </w:pPr>
            <w:r>
              <w:rPr>
                <w:color w:val="000000"/>
                <w:kern w:val="0"/>
                <w:sz w:val="24"/>
                <w:szCs w:val="24"/>
              </w:rPr>
              <w:t>4,519,800.00</w:t>
            </w:r>
          </w:p>
        </w:tc>
        <w:tc>
          <w:tcPr>
            <w:vAlign w:val="center"/>
          </w:tcPr>
          <w:p>
            <w:pPr>
              <w:jc w:val="right"/>
            </w:pPr>
            <w:r>
              <w:rPr>
                <w:color w:val="000000"/>
                <w:kern w:val="0"/>
                <w:sz w:val="24"/>
                <w:szCs w:val="24"/>
              </w:rPr>
              <w:t>0.63</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600201</w:t>
            </w:r>
          </w:p>
        </w:tc>
        <w:tc>
          <w:tcPr>
            <w:vAlign w:val="center"/>
          </w:tcPr>
          <w:p>
            <w:pPr>
              <w:jc w:val="center"/>
            </w:pPr>
            <w:r>
              <w:rPr>
                <w:color w:val="000000"/>
                <w:kern w:val="0"/>
                <w:sz w:val="24"/>
                <w:szCs w:val="24"/>
              </w:rPr>
              <w:t>生物股份</w:t>
            </w:r>
          </w:p>
        </w:tc>
        <w:tc>
          <w:tcPr>
            <w:vAlign w:val="center"/>
          </w:tcPr>
          <w:p>
            <w:pPr>
              <w:jc w:val="right"/>
            </w:pPr>
            <w:r>
              <w:rPr>
                <w:color w:val="000000"/>
                <w:kern w:val="0"/>
                <w:sz w:val="24"/>
                <w:szCs w:val="24"/>
              </w:rPr>
              <w:t>150,019</w:t>
            </w:r>
          </w:p>
        </w:tc>
        <w:tc>
          <w:tcPr>
            <w:vAlign w:val="center"/>
          </w:tcPr>
          <w:p>
            <w:pPr>
              <w:jc w:val="right"/>
            </w:pPr>
            <w:r>
              <w:rPr>
                <w:color w:val="000000"/>
                <w:kern w:val="0"/>
                <w:sz w:val="24"/>
                <w:szCs w:val="24"/>
              </w:rPr>
              <w:t>4,176,528.96</w:t>
            </w:r>
          </w:p>
        </w:tc>
        <w:tc>
          <w:tcPr>
            <w:vAlign w:val="center"/>
          </w:tcPr>
          <w:p>
            <w:pPr>
              <w:jc w:val="right"/>
            </w:pPr>
            <w:r>
              <w:rPr>
                <w:color w:val="000000"/>
                <w:kern w:val="0"/>
                <w:sz w:val="24"/>
                <w:szCs w:val="24"/>
              </w:rPr>
              <w:t>0.58</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002185</w:t>
            </w:r>
          </w:p>
        </w:tc>
        <w:tc>
          <w:tcPr>
            <w:vAlign w:val="center"/>
          </w:tcPr>
          <w:p>
            <w:pPr>
              <w:jc w:val="center"/>
            </w:pPr>
            <w:r>
              <w:rPr>
                <w:color w:val="000000"/>
                <w:kern w:val="0"/>
                <w:sz w:val="24"/>
                <w:szCs w:val="24"/>
              </w:rPr>
              <w:t>华天科技</w:t>
            </w:r>
          </w:p>
        </w:tc>
        <w:tc>
          <w:tcPr>
            <w:vAlign w:val="center"/>
          </w:tcPr>
          <w:p>
            <w:pPr>
              <w:jc w:val="right"/>
            </w:pPr>
            <w:r>
              <w:rPr>
                <w:color w:val="000000"/>
                <w:kern w:val="0"/>
                <w:sz w:val="24"/>
                <w:szCs w:val="24"/>
              </w:rPr>
              <w:t>294,300</w:t>
            </w:r>
          </w:p>
        </w:tc>
        <w:tc>
          <w:tcPr>
            <w:vAlign w:val="center"/>
          </w:tcPr>
          <w:p>
            <w:pPr>
              <w:jc w:val="right"/>
            </w:pPr>
            <w:r>
              <w:rPr>
                <w:color w:val="000000"/>
                <w:kern w:val="0"/>
                <w:sz w:val="24"/>
                <w:szCs w:val="24"/>
              </w:rPr>
              <w:t>3,981,879.00</w:t>
            </w:r>
          </w:p>
        </w:tc>
        <w:tc>
          <w:tcPr>
            <w:vAlign w:val="center"/>
          </w:tcPr>
          <w:p>
            <w:pPr>
              <w:jc w:val="right"/>
            </w:pPr>
            <w:r>
              <w:rPr>
                <w:color w:val="000000"/>
                <w:kern w:val="0"/>
                <w:sz w:val="24"/>
                <w:szCs w:val="24"/>
              </w:rPr>
              <w:t>0.55</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603444</w:t>
            </w:r>
          </w:p>
        </w:tc>
        <w:tc>
          <w:tcPr>
            <w:vAlign w:val="center"/>
          </w:tcPr>
          <w:p>
            <w:pPr>
              <w:jc w:val="center"/>
            </w:pPr>
            <w:r>
              <w:rPr>
                <w:color w:val="000000"/>
                <w:kern w:val="0"/>
                <w:sz w:val="24"/>
                <w:szCs w:val="24"/>
              </w:rPr>
              <w:t>吉比特</w:t>
            </w:r>
          </w:p>
        </w:tc>
        <w:tc>
          <w:tcPr>
            <w:vAlign w:val="center"/>
          </w:tcPr>
          <w:p>
            <w:pPr>
              <w:jc w:val="right"/>
            </w:pPr>
            <w:r>
              <w:rPr>
                <w:color w:val="000000"/>
                <w:kern w:val="0"/>
                <w:sz w:val="24"/>
                <w:szCs w:val="24"/>
              </w:rPr>
              <w:t>7,222</w:t>
            </w:r>
          </w:p>
        </w:tc>
        <w:tc>
          <w:tcPr>
            <w:vAlign w:val="center"/>
          </w:tcPr>
          <w:p>
            <w:pPr>
              <w:jc w:val="right"/>
            </w:pPr>
            <w:r>
              <w:rPr>
                <w:color w:val="000000"/>
                <w:kern w:val="0"/>
                <w:sz w:val="24"/>
                <w:szCs w:val="24"/>
              </w:rPr>
              <w:t>3,964,950.22</w:t>
            </w:r>
          </w:p>
        </w:tc>
        <w:tc>
          <w:tcPr>
            <w:vAlign w:val="center"/>
          </w:tcPr>
          <w:p>
            <w:pPr>
              <w:jc w:val="right"/>
            </w:pPr>
            <w:r>
              <w:rPr>
                <w:color w:val="000000"/>
                <w:kern w:val="0"/>
                <w:sz w:val="24"/>
                <w:szCs w:val="24"/>
              </w:rPr>
              <w:t>0.55</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600739</w:t>
            </w:r>
          </w:p>
        </w:tc>
        <w:tc>
          <w:tcPr>
            <w:vAlign w:val="center"/>
          </w:tcPr>
          <w:p>
            <w:pPr>
              <w:jc w:val="center"/>
            </w:pPr>
            <w:r>
              <w:rPr>
                <w:color w:val="000000"/>
                <w:kern w:val="0"/>
                <w:sz w:val="24"/>
                <w:szCs w:val="24"/>
              </w:rPr>
              <w:t>辽宁成大</w:t>
            </w:r>
          </w:p>
        </w:tc>
        <w:tc>
          <w:tcPr>
            <w:vAlign w:val="center"/>
          </w:tcPr>
          <w:p>
            <w:pPr>
              <w:jc w:val="right"/>
            </w:pPr>
            <w:r>
              <w:rPr>
                <w:color w:val="000000"/>
                <w:kern w:val="0"/>
                <w:sz w:val="24"/>
                <w:szCs w:val="24"/>
              </w:rPr>
              <w:t>203,800</w:t>
            </w:r>
          </w:p>
        </w:tc>
        <w:tc>
          <w:tcPr>
            <w:vAlign w:val="center"/>
          </w:tcPr>
          <w:p>
            <w:pPr>
              <w:jc w:val="right"/>
            </w:pPr>
            <w:r>
              <w:rPr>
                <w:color w:val="000000"/>
                <w:kern w:val="0"/>
                <w:sz w:val="24"/>
                <w:szCs w:val="24"/>
              </w:rPr>
              <w:t>3,857,934.00</w:t>
            </w:r>
          </w:p>
        </w:tc>
        <w:tc>
          <w:tcPr>
            <w:vAlign w:val="center"/>
          </w:tcPr>
          <w:p>
            <w:pPr>
              <w:jc w:val="right"/>
            </w:pPr>
            <w:r>
              <w:rPr>
                <w:color w:val="000000"/>
                <w:kern w:val="0"/>
                <w:sz w:val="24"/>
                <w:szCs w:val="24"/>
              </w:rPr>
              <w:t>0.53</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300558</w:t>
            </w:r>
          </w:p>
        </w:tc>
        <w:tc>
          <w:tcPr>
            <w:vAlign w:val="center"/>
          </w:tcPr>
          <w:p>
            <w:pPr>
              <w:jc w:val="center"/>
            </w:pPr>
            <w:r>
              <w:rPr>
                <w:color w:val="000000"/>
                <w:kern w:val="0"/>
                <w:sz w:val="24"/>
                <w:szCs w:val="24"/>
              </w:rPr>
              <w:t>贝达药业</w:t>
            </w:r>
          </w:p>
        </w:tc>
        <w:tc>
          <w:tcPr>
            <w:vAlign w:val="center"/>
          </w:tcPr>
          <w:p>
            <w:pPr>
              <w:jc w:val="right"/>
            </w:pPr>
            <w:r>
              <w:rPr>
                <w:color w:val="000000"/>
                <w:kern w:val="0"/>
                <w:sz w:val="24"/>
                <w:szCs w:val="24"/>
              </w:rPr>
              <w:t>26,600</w:t>
            </w:r>
          </w:p>
        </w:tc>
        <w:tc>
          <w:tcPr>
            <w:vAlign w:val="center"/>
          </w:tcPr>
          <w:p>
            <w:pPr>
              <w:jc w:val="right"/>
            </w:pPr>
            <w:r>
              <w:rPr>
                <w:color w:val="000000"/>
                <w:kern w:val="0"/>
                <w:sz w:val="24"/>
                <w:szCs w:val="24"/>
              </w:rPr>
              <w:t>3,723,468.00</w:t>
            </w:r>
          </w:p>
        </w:tc>
        <w:tc>
          <w:tcPr>
            <w:vAlign w:val="center"/>
          </w:tcPr>
          <w:p>
            <w:pPr>
              <w:jc w:val="right"/>
            </w:pPr>
            <w:r>
              <w:rPr>
                <w:color w:val="000000"/>
                <w:kern w:val="0"/>
                <w:sz w:val="24"/>
                <w:szCs w:val="24"/>
              </w:rPr>
              <w:t>0.51</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600529</w:t>
            </w:r>
          </w:p>
        </w:tc>
        <w:tc>
          <w:tcPr>
            <w:vAlign w:val="center"/>
          </w:tcPr>
          <w:p>
            <w:pPr>
              <w:jc w:val="center"/>
            </w:pPr>
            <w:r>
              <w:rPr>
                <w:color w:val="000000"/>
                <w:kern w:val="0"/>
                <w:sz w:val="24"/>
                <w:szCs w:val="24"/>
              </w:rPr>
              <w:t>山东药玻</w:t>
            </w:r>
          </w:p>
        </w:tc>
        <w:tc>
          <w:tcPr>
            <w:vAlign w:val="center"/>
          </w:tcPr>
          <w:p>
            <w:pPr>
              <w:jc w:val="right"/>
            </w:pPr>
            <w:r>
              <w:rPr>
                <w:color w:val="000000"/>
                <w:kern w:val="0"/>
                <w:sz w:val="24"/>
                <w:szCs w:val="24"/>
              </w:rPr>
              <w:t>63,700</w:t>
            </w:r>
          </w:p>
        </w:tc>
        <w:tc>
          <w:tcPr>
            <w:vAlign w:val="center"/>
          </w:tcPr>
          <w:p>
            <w:pPr>
              <w:jc w:val="right"/>
            </w:pPr>
            <w:r>
              <w:rPr>
                <w:color w:val="000000"/>
                <w:kern w:val="0"/>
                <w:sz w:val="24"/>
                <w:szCs w:val="24"/>
              </w:rPr>
              <w:t>3,694,600.00</w:t>
            </w:r>
          </w:p>
        </w:tc>
        <w:tc>
          <w:tcPr>
            <w:vAlign w:val="center"/>
          </w:tcPr>
          <w:p>
            <w:pPr>
              <w:jc w:val="right"/>
            </w:pPr>
            <w:r>
              <w:rPr>
                <w:color w:val="000000"/>
                <w:kern w:val="0"/>
                <w:sz w:val="24"/>
                <w:szCs w:val="24"/>
              </w:rPr>
              <w:t>0.51</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002439</w:t>
            </w:r>
          </w:p>
        </w:tc>
        <w:tc>
          <w:tcPr>
            <w:vAlign w:val="center"/>
          </w:tcPr>
          <w:p>
            <w:pPr>
              <w:jc w:val="center"/>
            </w:pPr>
            <w:r>
              <w:rPr>
                <w:color w:val="000000"/>
                <w:kern w:val="0"/>
                <w:sz w:val="24"/>
                <w:szCs w:val="24"/>
              </w:rPr>
              <w:t>启明星辰</w:t>
            </w:r>
          </w:p>
        </w:tc>
        <w:tc>
          <w:tcPr>
            <w:vAlign w:val="center"/>
          </w:tcPr>
          <w:p>
            <w:pPr>
              <w:jc w:val="right"/>
            </w:pPr>
            <w:r>
              <w:rPr>
                <w:color w:val="000000"/>
                <w:kern w:val="0"/>
                <w:sz w:val="24"/>
                <w:szCs w:val="24"/>
              </w:rPr>
              <w:t>87,050</w:t>
            </w:r>
          </w:p>
        </w:tc>
        <w:tc>
          <w:tcPr>
            <w:vAlign w:val="center"/>
          </w:tcPr>
          <w:p>
            <w:pPr>
              <w:jc w:val="right"/>
            </w:pPr>
            <w:r>
              <w:rPr>
                <w:color w:val="000000"/>
                <w:kern w:val="0"/>
                <w:sz w:val="24"/>
                <w:szCs w:val="24"/>
              </w:rPr>
              <w:t>3,662,193.50</w:t>
            </w:r>
          </w:p>
        </w:tc>
        <w:tc>
          <w:tcPr>
            <w:vAlign w:val="center"/>
          </w:tcPr>
          <w:p>
            <w:pPr>
              <w:jc w:val="right"/>
            </w:pPr>
            <w:r>
              <w:rPr>
                <w:color w:val="000000"/>
                <w:kern w:val="0"/>
                <w:sz w:val="24"/>
                <w:szCs w:val="24"/>
              </w:rPr>
              <w:t>0.51</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65,500.00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0.01</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65,500.00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0.01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128115</w:t>
            </w:r>
          </w:p>
        </w:tc>
        <w:tc>
          <w:tcPr>
            <w:vAlign w:val="center"/>
          </w:tcPr>
          <w:p>
            <w:pPr>
              <w:jc w:val="center"/>
            </w:pPr>
            <w:r>
              <w:rPr>
                <w:color w:val="000000"/>
                <w:kern w:val="0"/>
                <w:sz w:val="24"/>
                <w:szCs w:val="24"/>
              </w:rPr>
              <w:t>巨星转债</w:t>
            </w:r>
          </w:p>
        </w:tc>
        <w:tc>
          <w:tcPr>
            <w:vAlign w:val="center"/>
          </w:tcPr>
          <w:p>
            <w:pPr>
              <w:jc w:val="right"/>
            </w:pPr>
            <w:r>
              <w:rPr>
                <w:color w:val="000000"/>
                <w:kern w:val="0"/>
                <w:sz w:val="24"/>
                <w:szCs w:val="24"/>
              </w:rPr>
              <w:t>655</w:t>
            </w:r>
          </w:p>
        </w:tc>
        <w:tc>
          <w:tcPr>
            <w:vAlign w:val="center"/>
          </w:tcPr>
          <w:p>
            <w:pPr>
              <w:jc w:val="right"/>
            </w:pPr>
            <w:r>
              <w:rPr>
                <w:color w:val="000000"/>
                <w:kern w:val="0"/>
                <w:sz w:val="24"/>
                <w:szCs w:val="24"/>
              </w:rPr>
              <w:t>65,500.00</w:t>
            </w:r>
          </w:p>
        </w:tc>
        <w:tc>
          <w:tcPr>
            <w:vAlign w:val="center"/>
          </w:tcPr>
          <w:p>
            <w:pPr>
              <w:jc w:val="right"/>
            </w:pPr>
            <w:r>
              <w:rPr>
                <w:color w:val="000000"/>
                <w:kern w:val="0"/>
                <w:sz w:val="24"/>
                <w:szCs w:val="24"/>
              </w:rPr>
              <w:t>0.01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750D48">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 xml:space="preserve">5.9.1 </w:t>
      </w:r>
      <w:r w:rsidRPr="001B0A62">
        <w:rPr>
          <w:rFonts w:ascii="宋体" w:hAnsi="宋体" w:hint="eastAsia"/>
          <w:b/>
          <w:bCs/>
          <w:color w:val="000000"/>
          <w:kern w:val="0"/>
          <w:sz w:val="24"/>
          <w:szCs w:val="24"/>
        </w:rPr>
        <w:t>报告期末本基金投资的股指期货持仓和损益明</w:t>
      </w:r>
      <w:r w:rsidRPr="001B0A62">
        <w:rPr>
          <w:rFonts w:ascii="宋体" w:hAnsi="宋体" w:hint="eastAsia"/>
          <w:b/>
          <w:bCs/>
          <w:color w:val="000000"/>
          <w:kern w:val="0"/>
          <w:sz w:val="24"/>
          <w:szCs w:val="24"/>
        </w:rPr>
        <w:lastRenderedPageBreak/>
        <w:t>细</w:t>
      </w:r>
      <w:r w:rsidRPr="00D92F47">
        <w:rPr>
          <w:rFonts w:ascii="宋体"/>
          <w:b/>
          <w:bCs/>
          <w:color w:val="000000"/>
          <w:kern w:val="0"/>
          <w:sz w:val="24"/>
          <w:szCs w:val="24"/>
        </w:rPr>
        <w:t/>
      </w:r>
      <w:proofErr w:type="spellStart"/>
      <w:r w:rsidRPr="00D92F47">
        <w:rPr>
          <w:rFonts w:ascii="宋体" w:hAnsi="宋体"/>
          <w:b/>
          <w:bCs/>
          <w:color w:val="000000"/>
          <w:kern w:val="0"/>
          <w:sz w:val="24"/>
          <w:szCs w:val="24"/>
        </w:rPr>
        <w:t/>
      </w:r>
      <w:proofErr w:type="spellEnd"/>
      <w:r w:rsidRPr="00D92F47">
        <w:rPr>
          <w:rFonts w:ascii="宋体" w:hAnsi="宋体"/>
          <w:b/>
          <w:bCs/>
          <w:color w:val="000000"/>
          <w:kern w:val="0"/>
          <w:sz w:val="24"/>
          <w:szCs w:val="24"/>
        </w:rPr>
        <w:t/>
      </w:r>
    </w:p>
    <w:tbl>
      <w:tblPr>
        <w:tblW w:type="dxa" w:w="8843"/>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1133"/>
        <w:gridCol w:w="1302"/>
        <w:gridCol w:w="993"/>
        <w:gridCol w:w="1700"/>
        <w:gridCol w:w="1641"/>
        <w:gridCol w:w="2074"/>
      </w:tblGrid>
      <w:tr w:rsidR="00277FAE" w:rsidTr="003B5535">
        <w:trPr>
          <w:trHeight w:val="105"/>
          <w:jc w:val="center"/>
        </w:trPr>
        <w:tc>
          <w:tcPr>
            <w:tcW w:type="dxa" w:w="1134"/>
            <w:hideMark/>
          </w:tcPr>
          <w:p w:rsidR="00277FAE" w:rsidRDefault="00277FAE">
            <w:pPr>
              <w:pStyle w:val="Default"/>
              <w:rPr>
                <w:rFonts w:ascii="Times New Roman" w:cs="Times New Roman" w:hAnsi="Times New Roman"/>
              </w:rPr>
            </w:pPr>
            <w:r>
              <w:rPr>
                <w:rFonts w:ascii="Times New Roman" w:cs="Times New Roman" w:hAnsi="Times New Roman" w:hint="eastAsia"/>
              </w:rPr>
              <w:t>代码</w:t>
            </w:r>
            <w:r>
              <w:rPr>
                <w:rFonts w:ascii="Times New Roman" w:cs="Times New Roman" w:hAnsi="Times New Roman"/>
                <w:b/>
              </w:rPr>
              <w:t/>
            </w:r>
            <w:proofErr w:type="spellStart"/>
            <w:r>
              <w:rPr>
                <w:rFonts w:ascii="Times New Roman" w:cs="Times New Roman" w:hAnsi="Times New Roman"/>
                <w:b/>
              </w:rPr>
              <w:t/>
            </w:r>
            <w:proofErr w:type="spellEnd"/>
            <w:r>
              <w:rPr>
                <w:rFonts w:ascii="Times New Roman" w:cs="Times New Roman" w:hAnsi="Times New Roman"/>
              </w:rPr>
              <w:t/>
            </w:r>
            <w:r>
              <w:rPr>
                <w:rFonts w:ascii="Times New Roman" w:cs="Times New Roman" w:eastAsiaTheme="minorEastAsia" w:hAnsi="Times New Roman"/>
                <w:b/>
              </w:rPr>
              <w:t/>
            </w:r>
            <w:proofErr w:type="spellStart"/>
            <w:r>
              <w:rPr>
                <w:rFonts w:ascii="Times New Roman" w:cs="Times New Roman" w:eastAsiaTheme="minorEastAsia" w:hAnsi="Times New Roman"/>
                <w:b/>
              </w:rPr>
              <w:t/>
            </w:r>
            <w:proofErr w:type="spellEnd"/>
            <w:r>
              <w:rPr>
                <w:rFonts w:ascii="Times New Roman" w:cs="Times New Roman" w:eastAsiaTheme="minorEastAsia" w:hAnsi="Times New Roman"/>
                <w:b/>
              </w:rPr>
              <w:t/>
            </w:r>
          </w:p>
        </w:tc>
        <w:tc>
          <w:tcPr>
            <w:tcW w:type="dxa" w:w="1303"/>
            <w:hideMark/>
          </w:tcPr>
          <w:p w:rsidR="00277FAE" w:rsidRDefault="00277FAE">
            <w:pPr>
              <w:pStyle w:val="Default"/>
              <w:rPr>
                <w:rFonts w:ascii="Times New Roman" w:cs="Times New Roman" w:hAnsi="Times New Roman"/>
              </w:rPr>
            </w:pPr>
            <w:r>
              <w:rPr>
                <w:rFonts w:ascii="Times New Roman" w:cs="Times New Roman" w:hAnsi="Times New Roman" w:hint="eastAsia"/>
              </w:rPr>
              <w:t>名称</w:t>
            </w:r>
          </w:p>
        </w:tc>
        <w:tc>
          <w:tcPr>
            <w:tcW w:type="dxa" w:w="993"/>
            <w:hideMark/>
          </w:tcPr>
          <w:p w:rsidR="00277FAE" w:rsidRDefault="00277FAE">
            <w:pPr>
              <w:pStyle w:val="Default"/>
              <w:rPr>
                <w:rFonts w:ascii="Times New Roman" w:cs="Times New Roman" w:hAnsi="Times New Roman"/>
              </w:rPr>
            </w:pPr>
            <w:r>
              <w:rPr>
                <w:rFonts w:ascii="Times New Roman" w:cs="Times New Roman" w:hAnsi="Times New Roman" w:hint="eastAsia"/>
              </w:rPr>
              <w:t>持仓量</w:t>
            </w:r>
          </w:p>
        </w:tc>
        <w:tc>
          <w:tcPr>
            <w:tcW w:type="dxa" w:w="1700"/>
            <w:hideMark/>
          </w:tcPr>
          <w:p w:rsidR="00277FAE" w:rsidRDefault="00277FAE">
            <w:pPr>
              <w:pStyle w:val="Default"/>
              <w:rPr>
                <w:rFonts w:ascii="Times New Roman" w:cs="Times New Roman" w:hAnsi="Times New Roman"/>
              </w:rPr>
            </w:pPr>
            <w:r>
              <w:rPr>
                <w:rFonts w:ascii="Times New Roman" w:cs="Times New Roman" w:hAnsi="Times New Roman" w:hint="eastAsia"/>
              </w:rPr>
              <w:t>合约市值（元）</w:t>
            </w:r>
          </w:p>
        </w:tc>
        <w:tc>
          <w:tcPr>
            <w:tcW w:type="dxa" w:w="1641"/>
            <w:hideMark/>
          </w:tcPr>
          <w:p w:rsidR="00277FAE" w:rsidRDefault="00277FAE">
            <w:pPr>
              <w:pStyle w:val="Default"/>
              <w:rPr>
                <w:rFonts w:ascii="Times New Roman" w:cs="Times New Roman" w:hAnsi="Times New Roman"/>
              </w:rPr>
            </w:pPr>
            <w:r>
              <w:rPr>
                <w:rFonts w:ascii="Times New Roman" w:cs="Times New Roman" w:hAnsi="Times New Roman" w:hint="eastAsia"/>
              </w:rPr>
              <w:t>公允价值变动（元）</w:t>
            </w:r>
          </w:p>
        </w:tc>
        <w:tc>
          <w:tcPr>
            <w:tcW w:type="dxa" w:w="2074"/>
            <w:hideMark/>
          </w:tcPr>
          <w:p w:rsidR="00277FAE" w:rsidRDefault="00277FAE">
            <w:pPr>
              <w:pStyle w:val="Default"/>
              <w:jc w:val="center"/>
              <w:rPr>
                <w:rFonts w:ascii="Times New Roman" w:cs="Times New Roman" w:hAnsi="Times New Roman"/>
                <w:color w:val="auto"/>
              </w:rPr>
            </w:pPr>
            <w:r>
              <w:rPr>
                <w:rFonts w:ascii="Times New Roman" w:cs="Times New Roman" w:hAnsi="Times New Roman" w:hint="eastAsia"/>
                <w:color w:val="auto"/>
              </w:rPr>
              <w:t>风险说明</w:t>
            </w:r>
          </w:p>
        </w:tc>
      </w:tr>
      <w:tr>
        <w:tc>
          <w:tcPr>
            <w:vAlign w:val="center"/>
          </w:tcPr>
          <w:p>
            <w:pPr>
              <w:jc w:val="center"/>
            </w:pPr>
            <w:r>
              <w:rPr>
                <w:rFonts w:ascii="Times New Roman" w:cs="Times New Roman" w:hAnsi="Times New Roman"/>
              </w:rPr>
              <w:t>IC2007</w:t>
            </w:r>
          </w:p>
        </w:tc>
        <w:tc>
          <w:tcPr>
            <w:vAlign w:val="center"/>
          </w:tcPr>
          <w:p>
            <w:pPr>
              <w:jc w:val="left"/>
            </w:pPr>
            <w:r>
              <w:rPr>
                <w:rFonts w:ascii="Times New Roman" w:cs="Times New Roman" w:hAnsi="Times New Roman"/>
              </w:rPr>
              <w:t>IC2007</w:t>
            </w:r>
          </w:p>
        </w:tc>
        <w:tc>
          <w:tcPr>
            <w:vAlign w:val="center"/>
          </w:tcPr>
          <w:p>
            <w:pPr>
              <w:jc w:val="right"/>
            </w:pPr>
            <w:r>
              <w:rPr>
                <w:rFonts w:ascii="Times New Roman" w:cs="Times New Roman" w:hAnsi="Times New Roman"/>
              </w:rPr>
              <w:t>21</w:t>
            </w:r>
          </w:p>
        </w:tc>
        <w:tc>
          <w:tcPr>
            <w:vAlign w:val="center"/>
          </w:tcPr>
          <w:p>
            <w:pPr>
              <w:jc w:val="right"/>
            </w:pPr>
            <w:r>
              <w:rPr>
                <w:rFonts w:ascii="Times New Roman" w:cs="Times New Roman" w:hAnsi="Times New Roman"/>
              </w:rPr>
              <w:t>24,357,480.00</w:t>
            </w:r>
          </w:p>
        </w:tc>
        <w:tc>
          <w:tcPr>
            <w:vAlign w:val="center"/>
          </w:tcPr>
          <w:p>
            <w:pPr>
              <w:jc w:val="right"/>
            </w:pPr>
            <w:r>
              <w:rPr>
                <w:rFonts w:ascii="Times New Roman" w:cs="Times New Roman" w:hAnsi="Times New Roman"/>
              </w:rPr>
              <w:t>742,903.64</w:t>
            </w:r>
          </w:p>
        </w:tc>
        <w:tc>
          <w:tcPr>
            <w:vAlign w:val="center"/>
          </w:tcPr>
          <w:p>
            <w:pPr>
              <w:jc w:val="left"/>
            </w:pPr>
            <w:r>
              <w:rPr>
                <w:rFonts w:ascii="Times New Roman" w:cs="Times New Roman" w:hAnsi="Times New Roman"/>
              </w:rPr>
              <w:t>买入股指期货多头合约的目的是进行更有效的流动性管理，以更好地跟踪标的指数，实现投资目标。</w:t>
            </w:r>
          </w:p>
        </w:tc>
      </w:tr>
      <w:tr>
        <w:tc>
          <w:tcPr>
            <w:vAlign w:val="center"/>
          </w:tcPr>
          <w:p>
            <w:pPr>
              <w:jc w:val="center"/>
            </w:pPr>
            <w:r>
              <w:rPr>
                <w:rFonts w:ascii="Times New Roman" w:cs="Times New Roman" w:hAnsi="Times New Roman"/>
              </w:rPr>
              <w:t>IC2008</w:t>
            </w:r>
          </w:p>
        </w:tc>
        <w:tc>
          <w:tcPr>
            <w:vAlign w:val="center"/>
          </w:tcPr>
          <w:p>
            <w:pPr>
              <w:jc w:val="left"/>
            </w:pPr>
            <w:r>
              <w:rPr>
                <w:rFonts w:ascii="Times New Roman" w:cs="Times New Roman" w:hAnsi="Times New Roman"/>
              </w:rPr>
              <w:t>IC2008</w:t>
            </w:r>
          </w:p>
        </w:tc>
        <w:tc>
          <w:tcPr>
            <w:vAlign w:val="center"/>
          </w:tcPr>
          <w:p>
            <w:pPr>
              <w:jc w:val="right"/>
            </w:pPr>
            <w:r>
              <w:rPr>
                <w:rFonts w:ascii="Times New Roman" w:cs="Times New Roman" w:hAnsi="Times New Roman"/>
              </w:rPr>
              <w:t>3</w:t>
            </w:r>
          </w:p>
        </w:tc>
        <w:tc>
          <w:tcPr>
            <w:vAlign w:val="center"/>
          </w:tcPr>
          <w:p>
            <w:pPr>
              <w:jc w:val="right"/>
            </w:pPr>
            <w:r>
              <w:rPr>
                <w:rFonts w:ascii="Times New Roman" w:cs="Times New Roman" w:hAnsi="Times New Roman"/>
              </w:rPr>
              <w:t>3,438,000.00</w:t>
            </w:r>
          </w:p>
        </w:tc>
        <w:tc>
          <w:tcPr>
            <w:vAlign w:val="center"/>
          </w:tcPr>
          <w:p>
            <w:pPr>
              <w:jc w:val="right"/>
            </w:pPr>
            <w:r>
              <w:rPr>
                <w:rFonts w:ascii="Times New Roman" w:cs="Times New Roman" w:hAnsi="Times New Roman"/>
              </w:rPr>
              <w:t>30,440.00</w:t>
            </w:r>
          </w:p>
        </w:tc>
        <w:tc>
          <w:tcPr>
            <w:vAlign w:val="center"/>
          </w:tcPr>
          <w:p>
            <w:pPr>
              <w:jc w:val="left"/>
            </w:pPr>
            <w:r>
              <w:rPr>
                <w:rFonts w:ascii="Times New Roman" w:cs="Times New Roman" w:hAnsi="Times New Roman"/>
              </w:rPr>
              <w:t>买入股指期货多头合约的目的是进行更有效的流动性管理，以更好地跟踪标的指数，实现投资目标。</w:t>
            </w:r>
          </w:p>
        </w:tc>
      </w:tr>
      <w:tr>
        <w:tc>
          <w:tcPr>
            <w:vAlign w:val="center"/>
          </w:tcPr>
          <w:p>
            <w:pPr>
              <w:jc w:val="center"/>
            </w:pPr>
            <w:r>
              <w:rPr>
                <w:rFonts w:ascii="Times New Roman" w:cs="Times New Roman" w:hAnsi="Times New Roman"/>
              </w:rPr>
              <w:t>IC2009</w:t>
            </w:r>
          </w:p>
        </w:tc>
        <w:tc>
          <w:tcPr>
            <w:vAlign w:val="center"/>
          </w:tcPr>
          <w:p>
            <w:pPr>
              <w:jc w:val="left"/>
            </w:pPr>
            <w:r>
              <w:rPr>
                <w:rFonts w:ascii="Times New Roman" w:cs="Times New Roman" w:hAnsi="Times New Roman"/>
              </w:rPr>
              <w:t>IC2009</w:t>
            </w:r>
          </w:p>
        </w:tc>
        <w:tc>
          <w:tcPr>
            <w:vAlign w:val="center"/>
          </w:tcPr>
          <w:p>
            <w:pPr>
              <w:jc w:val="right"/>
            </w:pPr>
            <w:r>
              <w:rPr>
                <w:rFonts w:ascii="Times New Roman" w:cs="Times New Roman" w:hAnsi="Times New Roman"/>
              </w:rPr>
              <w:t>19</w:t>
            </w:r>
          </w:p>
        </w:tc>
        <w:tc>
          <w:tcPr>
            <w:vAlign w:val="center"/>
          </w:tcPr>
          <w:p>
            <w:pPr>
              <w:jc w:val="right"/>
            </w:pPr>
            <w:r>
              <w:rPr>
                <w:rFonts w:ascii="Times New Roman" w:cs="Times New Roman" w:hAnsi="Times New Roman"/>
              </w:rPr>
              <w:t>21,524,720.00</w:t>
            </w:r>
          </w:p>
        </w:tc>
        <w:tc>
          <w:tcPr>
            <w:vAlign w:val="center"/>
          </w:tcPr>
          <w:p>
            <w:pPr>
              <w:jc w:val="right"/>
            </w:pPr>
            <w:r>
              <w:rPr>
                <w:rFonts w:ascii="Times New Roman" w:cs="Times New Roman" w:hAnsi="Times New Roman"/>
              </w:rPr>
              <w:t>3,221,080.00</w:t>
            </w:r>
          </w:p>
        </w:tc>
        <w:tc>
          <w:tcPr>
            <w:vAlign w:val="center"/>
          </w:tcPr>
          <w:p>
            <w:pPr>
              <w:jc w:val="left"/>
            </w:pPr>
            <w:r>
              <w:rPr>
                <w:rFonts w:ascii="Times New Roman" w:cs="Times New Roman" w:hAnsi="Times New Roman"/>
              </w:rPr>
              <w:t>买入股指期货多头合约的目的是进行更有效的流动性管理，以更好地跟踪标的指数，实现投资目标。</w:t>
            </w:r>
          </w:p>
        </w:tc>
      </w:tr>
      <w:tr>
        <w:tc>
          <w:tcPr>
            <w:vAlign w:val="center"/>
          </w:tcPr>
          <w:p>
            <w:pPr>
              <w:jc w:val="center"/>
            </w:pPr>
            <w:r>
              <w:rPr>
                <w:rFonts w:ascii="Times New Roman" w:cs="Times New Roman" w:hAnsi="Times New Roman"/>
              </w:rPr>
              <w:t>IC2012</w:t>
            </w:r>
          </w:p>
        </w:tc>
        <w:tc>
          <w:tcPr>
            <w:vAlign w:val="center"/>
          </w:tcPr>
          <w:p>
            <w:pPr>
              <w:jc w:val="left"/>
            </w:pPr>
            <w:r>
              <w:rPr>
                <w:rFonts w:ascii="Times New Roman" w:cs="Times New Roman" w:hAnsi="Times New Roman"/>
              </w:rPr>
              <w:t>IC2012</w:t>
            </w:r>
          </w:p>
        </w:tc>
        <w:tc>
          <w:tcPr>
            <w:vAlign w:val="center"/>
          </w:tcPr>
          <w:p>
            <w:pPr>
              <w:jc w:val="right"/>
            </w:pPr>
            <w:r>
              <w:rPr>
                <w:rFonts w:ascii="Times New Roman" w:cs="Times New Roman" w:hAnsi="Times New Roman"/>
              </w:rPr>
              <w:t>10</w:t>
            </w:r>
          </w:p>
        </w:tc>
        <w:tc>
          <w:tcPr>
            <w:vAlign w:val="center"/>
          </w:tcPr>
          <w:p>
            <w:pPr>
              <w:jc w:val="right"/>
            </w:pPr>
            <w:r>
              <w:rPr>
                <w:rFonts w:ascii="Times New Roman" w:cs="Times New Roman" w:hAnsi="Times New Roman"/>
              </w:rPr>
              <w:t>10,993,200.00</w:t>
            </w:r>
          </w:p>
        </w:tc>
        <w:tc>
          <w:tcPr>
            <w:vAlign w:val="center"/>
          </w:tcPr>
          <w:p>
            <w:pPr>
              <w:jc w:val="right"/>
            </w:pPr>
            <w:r>
              <w:rPr>
                <w:rFonts w:ascii="Times New Roman" w:cs="Times New Roman" w:hAnsi="Times New Roman"/>
              </w:rPr>
              <w:t>848,880.00</w:t>
            </w:r>
          </w:p>
        </w:tc>
        <w:tc>
          <w:tcPr>
            <w:vAlign w:val="center"/>
          </w:tcPr>
          <w:p>
            <w:pPr>
              <w:jc w:val="left"/>
            </w:pPr>
            <w:r>
              <w:rPr>
                <w:rFonts w:ascii="Times New Roman" w:cs="Times New Roman" w:hAnsi="Times New Roman"/>
              </w:rPr>
              <w:t>买入股指期货多头合约的目的是进行更有效的流动性管理，以更好地跟踪标的指数，实现投资目标。</w:t>
            </w:r>
          </w:p>
        </w:tc>
      </w:tr>
      <w:tr w:rsidR="00277FAE" w:rsidTr="003B5535">
        <w:trPr>
          <w:trHeight w:val="105"/>
          <w:jc w:val="center"/>
        </w:trPr>
        <w:tc>
          <w:tcPr>
            <w:tcW w:type="dxa" w:w="6771"/>
            <w:gridSpan w:val="5"/>
            <w:hideMark/>
          </w:tcPr>
          <w:p w:rsidR="00277FAE" w:rsidRDefault="00277FAE">
            <w:pPr>
              <w:pStyle w:val="Default"/>
              <w:rPr>
                <w:rFonts w:ascii="Times New Roman" w:cs="Times New Roman" w:hAnsi="Times New Roman"/>
              </w:rPr>
            </w:pPr>
            <w:r>
              <w:rPr>
                <w:rFonts w:ascii="Times New Roman" w:cs="Times New Roman" w:hAnsi="Times New Roman" w:hint="eastAsia"/>
              </w:rPr>
              <w:t>公允价值变动总额合计</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277FAE" w:rsidRDefault="00277FAE">
            <w:pPr>
              <w:pStyle w:val="Default"/>
              <w:jc w:val="right"/>
              <w:rPr>
                <w:rFonts w:ascii="Times New Roman" w:cs="Times New Roman" w:hAnsi="Times New Roman"/>
                <w:color w:val="auto"/>
              </w:rPr>
            </w:pPr>
            <w:r>
              <w:rPr>
                <w:rFonts w:ascii="Times New Roman" w:cs="Times New Roman" w:hAnsi="Times New Roman"/>
                <w:color w:val="auto"/>
              </w:rPr>
              <w:t/>
            </w:r>
            <w:proofErr w:type="spellStart"/>
            <w:r>
              <w:rPr>
                <w:rFonts w:ascii="Times New Roman" w:cs="Times New Roman" w:hAnsi="Times New Roman"/>
                <w:color w:val="auto"/>
              </w:rPr>
              <w:t/>
            </w:r>
            <w:proofErr w:type="spellEnd"/>
            <w:r>
              <w:rPr>
                <w:rFonts w:ascii="Times New Roman" w:cs="Times New Roman" w:hAnsi="Times New Roman"/>
                <w:color w:val="auto"/>
              </w:rPr>
              <w:t>4,843,303.64</w:t>
            </w:r>
          </w:p>
        </w:tc>
      </w:tr>
      <w:tr w:rsidR="00277FAE" w:rsidTr="003B5535">
        <w:trPr>
          <w:trHeight w:val="105"/>
          <w:jc w:val="center"/>
        </w:trPr>
        <w:tc>
          <w:tcPr>
            <w:tcW w:type="dxa" w:w="6771"/>
            <w:gridSpan w:val="5"/>
            <w:hideMark/>
          </w:tcPr>
          <w:p w:rsidR="00277FAE" w:rsidRDefault="00277FAE">
            <w:pPr>
              <w:pStyle w:val="Default"/>
              <w:rPr>
                <w:rFonts w:ascii="Times New Roman" w:cs="Times New Roman" w:hAnsi="Times New Roman"/>
                <w:color w:val="auto"/>
              </w:rPr>
            </w:pPr>
            <w:r>
              <w:rPr>
                <w:rFonts w:ascii="Times New Roman" w:cs="Times New Roman" w:hAnsi="Times New Roman" w:hint="eastAsia"/>
                <w:color w:val="auto"/>
              </w:rPr>
              <w:t>股指期货投资本期收益</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277FAE" w:rsidRDefault="00277FAE">
            <w:pPr>
              <w:pStyle w:val="Default"/>
              <w:jc w:val="right"/>
              <w:rPr>
                <w:rFonts w:ascii="Times New Roman" w:cs="Times New Roman" w:hAnsi="Times New Roman"/>
                <w:color w:val="auto"/>
              </w:rPr>
            </w:pPr>
            <w:r>
              <w:rPr>
                <w:rFonts w:ascii="Times New Roman" w:cs="Times New Roman" w:hAnsi="Times New Roman"/>
                <w:color w:val="auto"/>
              </w:rPr>
              <w:t/>
            </w:r>
            <w:proofErr w:type="spellStart"/>
            <w:r>
              <w:rPr>
                <w:rFonts w:ascii="Times New Roman" w:cs="Times New Roman" w:hAnsi="Times New Roman"/>
                <w:color w:val="auto"/>
              </w:rPr>
              <w:t/>
            </w:r>
            <w:proofErr w:type="spellEnd"/>
            <w:r>
              <w:rPr>
                <w:rFonts w:ascii="Times New Roman" w:cs="Times New Roman" w:hAnsi="Times New Roman"/>
                <w:color w:val="auto"/>
              </w:rPr>
              <w:t>3,730,360.91</w:t>
            </w:r>
          </w:p>
        </w:tc>
      </w:tr>
      <w:tr w:rsidR="00277FAE" w:rsidTr="003B5535">
        <w:trPr>
          <w:trHeight w:val="105"/>
          <w:jc w:val="center"/>
        </w:trPr>
        <w:tc>
          <w:tcPr>
            <w:tcW w:type="dxa" w:w="6771"/>
            <w:gridSpan w:val="5"/>
            <w:hideMark/>
          </w:tcPr>
          <w:p w:rsidR="00277FAE" w:rsidRDefault="00277FAE">
            <w:pPr>
              <w:pStyle w:val="Default"/>
              <w:rPr>
                <w:rFonts w:ascii="Times New Roman" w:cs="Times New Roman" w:hAnsi="Times New Roman"/>
                <w:color w:val="auto"/>
              </w:rPr>
            </w:pPr>
            <w:r>
              <w:rPr>
                <w:rFonts w:ascii="Times New Roman" w:cs="Times New Roman" w:hAnsi="Times New Roman" w:hint="eastAsia"/>
                <w:color w:val="auto"/>
              </w:rPr>
              <w:t>股指期货投资本期公允价值变动</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277FAE" w:rsidRDefault="00277FAE">
            <w:pPr>
              <w:pStyle w:val="Default"/>
              <w:jc w:val="right"/>
              <w:rPr>
                <w:rFonts w:ascii="Times New Roman" w:cs="Times New Roman" w:hAnsi="Times New Roman"/>
                <w:color w:val="auto"/>
              </w:rPr>
            </w:pPr>
            <w:r>
              <w:rPr>
                <w:rFonts w:ascii="Times New Roman" w:cs="Times New Roman" w:hAnsi="Times New Roman"/>
                <w:color w:val="auto"/>
              </w:rPr>
              <w:t>6,777,168.26</w:t>
            </w:r>
          </w:p>
        </w:tc>
      </w:tr>
    </w:tbl>
    <w:p w:rsidP="00277FAE"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 xml:space="preserve">5.9.2 </w:t>
      </w:r>
      <w:r w:rsidRPr="001B0A62">
        <w:rPr>
          <w:rFonts w:ascii="宋体" w:hAnsi="宋体" w:hint="eastAsia"/>
          <w:b/>
          <w:bCs/>
          <w:color w:val="000000"/>
          <w:kern w:val="0"/>
          <w:sz w:val="24"/>
          <w:szCs w:val="24"/>
        </w:rPr>
        <w:t>本基金投资股指期货的投资政策</w:t>
      </w:r>
      <w:r w:rsidRPr="00D92F47">
        <w:rPr>
          <w:rFonts w:ascii="宋体"/>
          <w:b/>
          <w:bCs/>
          <w:color w:val="000000"/>
          <w:kern w:val="0"/>
          <w:sz w:val="24"/>
          <w:szCs w:val="24"/>
        </w:rPr>
        <w:t/>
      </w:r>
      <w:proofErr w:type="spellStart"/>
      <w:r w:rsidRPr="00D92F47">
        <w:rPr>
          <w:rFonts w:ascii="宋体" w:hAnsi="宋体"/>
          <w:b/>
          <w:bCs/>
          <w:color w:val="000000"/>
          <w:kern w:val="0"/>
          <w:sz w:val="24"/>
          <w:szCs w:val="24"/>
        </w:rPr>
        <w:t/>
      </w:r>
      <w:proofErr w:type="spellEnd"/>
      <w:r w:rsidRPr="00D92F47">
        <w:rPr>
          <w:rFonts w:ascii="宋体" w:hAnsi="宋体"/>
          <w:b/>
          <w:bCs/>
          <w:color w:val="000000"/>
          <w:kern w:val="0"/>
          <w:sz w:val="24"/>
          <w:szCs w:val="24"/>
        </w:rPr>
        <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可投资股指期货和其他经中国证监会允许的衍生金融产品。本基金将根据风险管理的原则，以套期保值为目的，按照相关法律法规的有关规定，主要选择流动性好、交易活跃的股指期货合约来进行投资。为更有效地进行流动性管理，本基金在出现需要及时调整组合市场暴露情况时，通过股指期货套保交易满足基金的投资替代需求和风险管理需求。本基金力争利用股指期货的杠杆作用，降低股票仓位频繁调整的交易成本和跟踪误差，达到有效跟踪标的指数的目的。本报告期内，本基金投资股指期货符合既定的投资政策和投资目的。</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8,001,440.82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2,293,684.10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14,853.64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10,309,978.56</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154,096,515.00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28,200,000.00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65,400,000.00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116,896,515.00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xml:space="preserve">本报告期内基金管理人未持有本基金份额。 </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本报告期内基金管理人未运用固有资金申购、赎回、买卖本基金份额。 </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sz w:val="24"/>
                <w:szCs w:val="24"/>
              </w:rPr>
              <w:t/>
            </w:r>
            <w:r>
              <w:rPr>
                <w:sz w:val="24"/>
                <w:szCs w:val="24"/>
              </w:rPr>
              <w:t>中国工商银行股份有限公司－易方达中证500交易型开放式指数证券投资基金发起式联接基金</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117,170,500.00</w:t>
            </w:r>
          </w:p>
        </w:tc>
        <w:tc>
          <w:tcPr>
            <w:vAlign w:val="center"/>
          </w:tcPr>
          <w:p>
            <w:pPr>
              <w:jc w:val="center"/>
            </w:pPr>
            <w:r>
              <w:rPr>
                <w:sz w:val="24"/>
                <w:szCs w:val="24"/>
              </w:rPr>
              <w:t>4,500,800.00</w:t>
            </w:r>
          </w:p>
        </w:tc>
        <w:tc>
          <w:tcPr>
            <w:vAlign w:val="center"/>
          </w:tcPr>
          <w:p>
            <w:pPr>
              <w:jc w:val="center"/>
            </w:pPr>
            <w:r>
              <w:rPr>
                <w:sz w:val="24"/>
                <w:szCs w:val="24"/>
              </w:rPr>
              <w:t>33,543,900.00</w:t>
            </w:r>
          </w:p>
        </w:tc>
        <w:tc>
          <w:tcPr>
            <w:vAlign w:val="center"/>
          </w:tcPr>
          <w:p>
            <w:pPr>
              <w:jc w:val="center"/>
            </w:pPr>
            <w:r>
              <w:rPr>
                <w:sz w:val="24"/>
                <w:szCs w:val="24"/>
              </w:rPr>
              <w:t>88,127,400.00</w:t>
            </w:r>
          </w:p>
        </w:tc>
        <w:tc>
          <w:tcPr>
            <w:vAlign w:val="center"/>
          </w:tcPr>
          <w:p>
            <w:pPr>
              <w:jc w:val="center"/>
            </w:pPr>
            <w:r>
              <w:rPr>
                <w:sz w:val="24"/>
                <w:szCs w:val="24"/>
              </w:rPr>
              <w:t>75.39%</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FC0759">
      <w:pPr>
        <w:autoSpaceDE w:val="0"/>
        <w:autoSpaceDN w:val="0"/>
        <w:adjustRightInd w:val="0"/>
        <w:spacing w:line="360" w:lineRule="auto"/>
        <w:ind w:firstLine="480" w:firstLineChars="200"/>
        <w:jc w:val="left"/>
        <w:rPr>
          <w:rFonts w:eastAsiaTheme="minorEastAsia"/>
          <w:bCs/>
          <w:color w:themeColor="text1" w:val="000000"/>
          <w:kern w:val="0"/>
          <w:sz w:val="24"/>
          <w:szCs w:val="24"/>
        </w:rPr>
      </w:pPr>
      <w:r w:rsidRPr="00FC0759">
        <w:rPr>
          <w:bCs/>
          <w:color w:themeColor="text1" w:val="000000"/>
          <w:kern w:val="0"/>
          <w:sz w:val="24"/>
          <w:szCs w:val="24"/>
        </w:rPr>
        <w:t>注：申购份额包括申购或者买入基金份额，赎回份额包括赎回或者卖出基金份额。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1.中国证监会注册易方达中证500交易型开放式指数证券投资基金募集的文件；</w:t>
      </w:r>
    </w:p>
    <w:p>
      <w:pPr>
        <w:spacing w:line="360" w:lineRule="auto"/>
        <w:ind w:firstLine="480" w:firstLineChars="200"/>
        <w:rPr>
          <w:color w:val="000000"/>
          <w:sz w:val="24"/>
          <w:szCs w:val="24"/>
        </w:rPr>
      </w:pPr>
      <w:r>
        <w:rPr>
          <w:color w:val="000000"/>
          <w:sz w:val="24"/>
          <w:szCs w:val="24"/>
        </w:rPr>
        <w:t>2.《易方达中证500交易型开放式指数证券投资基金基金合同》；</w:t>
      </w:r>
    </w:p>
    <w:p>
      <w:pPr>
        <w:spacing w:line="360" w:lineRule="auto"/>
        <w:ind w:firstLine="480" w:firstLineChars="200"/>
        <w:rPr>
          <w:color w:val="000000"/>
          <w:sz w:val="24"/>
          <w:szCs w:val="24"/>
        </w:rPr>
      </w:pPr>
      <w:r>
        <w:rPr>
          <w:color w:val="000000"/>
          <w:sz w:val="24"/>
          <w:szCs w:val="24"/>
        </w:rPr>
        <w:t>3.《易方达中证500交易型开放式指数证券投资基金托管协议》；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易方达中证500交易型开放式指数证券投资基金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