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易方达沪深300交易型开放式指数发起式证券投资基金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易方达沪深300ETF发起式</w:t>
            </w:r>
          </w:p>
        </w:tc>
      </w:tr>
      <w:tr w:rsidR="00815999" w:rsidRPr="00264E55" w:rsidTr="003328D9">
        <w:tc>
          <w:tcPr>
            <w:tcW w:type="dxa" w:w="2835"/>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场内简称</w:t>
            </w:r>
          </w:p>
        </w:tc>
        <w:tc>
          <w:tcPr>
            <w:tcW w:type="dxa" w:w="5479"/>
            <w:gridSpan w:val="2"/>
            <w:vAlign w:val="center"/>
          </w:tcPr>
          <w:p w:rsidP="00815999" w:rsidR="00815999" w:rsidRDefault="00815999" w:rsidRPr="00232B03">
            <w:pPr>
              <w:adjustRightInd w:val="0"/>
              <w:spacing w:before="29" w:line="360" w:lineRule="auto"/>
              <w:ind w:left="17"/>
              <w:jc w:val="left"/>
              <w:rPr>
                <w:kern w:val="0"/>
                <w:sz w:val="24"/>
                <w:szCs w:val="24"/>
              </w:rPr>
            </w:pPr>
            <w:r w:rsidRPr="00232B03">
              <w:rPr>
                <w:kern w:val="0"/>
                <w:sz w:val="24"/>
                <w:szCs w:val="24"/>
              </w:rPr>
              <w:t/>
            </w:r>
            <w:proofErr w:type="spellStart"/>
            <w:r w:rsidRPr="00232B03">
              <w:rPr>
                <w:kern w:val="0"/>
                <w:sz w:val="24"/>
                <w:szCs w:val="24"/>
              </w:rPr>
              <w:t/>
            </w:r>
            <w:proofErr w:type="spellEnd"/>
            <w:r w:rsidRPr="00232B03">
              <w:rPr>
                <w:kern w:val="0"/>
                <w:sz w:val="24"/>
                <w:szCs w:val="24"/>
              </w:rPr>
              <w:t/>
            </w:r>
            <w:proofErr w:type="spellStart"/>
            <w:r w:rsidRPr="00232B03">
              <w:rPr>
                <w:kern w:val="0"/>
                <w:sz w:val="24"/>
                <w:szCs w:val="24"/>
              </w:rPr>
              <w:t/>
            </w:r>
            <w:proofErr w:type="spellEnd"/>
            <w:r w:rsidRPr="00232B03">
              <w:rPr>
                <w:kern w:val="0"/>
                <w:sz w:val="24"/>
                <w:szCs w:val="24"/>
              </w:rPr>
              <w:t>HS300ETF、沪深300ETF易方达</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510310</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510310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交易型开放式（ETF）、发起式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2013年3月6日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4,201,856,498.00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紧密跟踪标的指数，追求跟踪偏离度和跟踪误差的最小化。</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本基金可投资股指期货和其他经中国证监会允许的衍生金融产品。本基金投资股指期货将根据风险管理的原则，以套期保值为目的，主要选择流动性好、交易活跃的股指期货合约。在正常市场情况下，本基金日均跟踪偏离度的绝对值不超过0.2%，年化跟踪误差不超过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321,890,898.61</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1,130,489,867.93</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0.2252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7,838,259,491.20</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1.8654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14.10%</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12.96%</w:t>
            </w:r>
          </w:p>
        </w:tc>
        <w:tc>
          <w:tcPr>
            <w:vAlign w:val="center"/>
          </w:tcPr>
          <w:p>
            <w:pPr>
              <w:jc w:val="center"/>
            </w:pPr>
            <w:r>
              <w:rPr>
                <w:color w:val="000000"/>
                <w:kern w:val="0"/>
                <w:sz w:val="24"/>
                <w:szCs w:val="24"/>
              </w:rPr>
              <w:t>0.90%</w:t>
            </w:r>
          </w:p>
        </w:tc>
        <w:tc>
          <w:tcPr>
            <w:vAlign w:val="center"/>
          </w:tcPr>
          <w:p>
            <w:pPr>
              <w:jc w:val="center"/>
            </w:pPr>
            <w:r>
              <w:rPr>
                <w:color w:val="000000"/>
                <w:kern w:val="0"/>
                <w:sz w:val="24"/>
                <w:szCs w:val="24"/>
              </w:rPr>
              <w:t>1.14%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2.82%</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1.18%</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11.19%</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8.85%</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2.34%</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20.72%</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13.56%</w:t>
            </w:r>
          </w:p>
        </w:tc>
        <w:tc>
          <w:tcPr>
            <w:vAlign w:val="center"/>
          </w:tcPr>
          <w:p>
            <w:pPr>
              <w:jc w:val="center"/>
            </w:pPr>
            <w:r>
              <w:rPr>
                <w:color w:val="000000"/>
                <w:kern w:val="0"/>
                <w:sz w:val="24"/>
                <w:szCs w:val="24"/>
              </w:rPr>
              <w:t>1.25%</w:t>
            </w:r>
          </w:p>
        </w:tc>
        <w:tc>
          <w:tcPr>
            <w:vAlign w:val="center"/>
          </w:tcPr>
          <w:p>
            <w:pPr>
              <w:jc w:val="center"/>
            </w:pPr>
            <w:r>
              <w:rPr>
                <w:color w:val="000000"/>
                <w:kern w:val="0"/>
                <w:sz w:val="24"/>
                <w:szCs w:val="24"/>
              </w:rPr>
              <w:t>7.16%</w:t>
            </w:r>
          </w:p>
        </w:tc>
        <w:tc>
          <w:tcPr>
            <w:vAlign w:val="center"/>
          </w:tcPr>
          <w:p>
            <w:pPr>
              <w:jc w:val="center"/>
            </w:pPr>
            <w:r>
              <w:rPr>
                <w:color w:val="000000"/>
                <w:kern w:val="0"/>
                <w:sz w:val="24"/>
                <w:szCs w:val="24"/>
              </w:rPr>
              <w:t>0.00%</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2.81%</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-6.91%</w:t>
            </w:r>
          </w:p>
        </w:tc>
        <w:tc>
          <w:tcPr>
            <w:vAlign w:val="center"/>
          </w:tcPr>
          <w:p>
            <w:pPr>
              <w:jc w:val="center"/>
            </w:pPr>
            <w:r>
              <w:rPr>
                <w:color w:val="000000"/>
                <w:kern w:val="0"/>
                <w:sz w:val="24"/>
                <w:szCs w:val="24"/>
              </w:rPr>
              <w:t>1.45%</w:t>
            </w:r>
          </w:p>
        </w:tc>
        <w:tc>
          <w:tcPr>
            <w:vAlign w:val="center"/>
          </w:tcPr>
          <w:p>
            <w:pPr>
              <w:jc w:val="center"/>
            </w:pPr>
            <w:r>
              <w:rPr>
                <w:color w:val="000000"/>
                <w:kern w:val="0"/>
                <w:sz w:val="24"/>
                <w:szCs w:val="24"/>
              </w:rPr>
              <w:t>9.72%</w:t>
            </w:r>
          </w:p>
        </w:tc>
        <w:tc>
          <w:tcPr>
            <w:vAlign w:val="center"/>
          </w:tcPr>
          <w:p>
            <w:pPr>
              <w:jc w:val="center"/>
            </w:pPr>
            <w:r>
              <w:rPr>
                <w:color w:val="000000"/>
                <w:kern w:val="0"/>
                <w:sz w:val="24"/>
                <w:szCs w:val="24"/>
              </w:rPr>
              <w:t>-0.01%</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86.54%</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58.76%</w:t>
            </w:r>
          </w:p>
        </w:tc>
        <w:tc>
          <w:tcPr>
            <w:vAlign w:val="center"/>
          </w:tcPr>
          <w:p>
            <w:pPr>
              <w:jc w:val="center"/>
            </w:pPr>
            <w:r>
              <w:rPr>
                <w:color w:val="000000"/>
                <w:kern w:val="0"/>
                <w:sz w:val="24"/>
                <w:szCs w:val="24"/>
              </w:rPr>
              <w:t>1.48%</w:t>
            </w:r>
          </w:p>
        </w:tc>
        <w:tc>
          <w:tcPr>
            <w:vAlign w:val="center"/>
          </w:tcPr>
          <w:p>
            <w:pPr>
              <w:jc w:val="center"/>
            </w:pPr>
            <w:r>
              <w:rPr>
                <w:color w:val="000000"/>
                <w:kern w:val="0"/>
                <w:sz w:val="24"/>
                <w:szCs w:val="24"/>
              </w:rPr>
              <w:t>27.78%</w:t>
            </w:r>
          </w:p>
        </w:tc>
        <w:tc>
          <w:tcPr>
            <w:vAlign w:val="center"/>
          </w:tcPr>
          <w:p>
            <w:pPr>
              <w:jc w:val="center"/>
            </w:pPr>
            <w:r>
              <w:rPr>
                <w:color w:val="000000"/>
                <w:kern w:val="0"/>
                <w:sz w:val="24"/>
                <w:szCs w:val="24"/>
              </w:rPr>
              <w:t>-0.02%</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易方达沪深300交易型开放式指数发起式证券投资基金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2013年3月6日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注：自基金合同生效至报告期末，基金份额净值增长率为86.54%，同期业绩比较基准收益率为58.76%。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余海燕</w:t>
            </w:r>
          </w:p>
        </w:tc>
        <w:tc>
          <w:tcPr>
            <w:vAlign w:val="center"/>
          </w:tcPr>
          <w:p>
            <w:pPr>
              <w:jc w:val="left"/>
            </w:pPr>
            <w:r>
              <w:rPr>
                <w:color w:val="000000"/>
                <w:sz w:val="24"/>
              </w:rPr>
              <w:t>本基金的基金经理、易方达沪深300医药卫生交易型开放式指数证券投资基金的基金经理、易方达沪深300非银行金融交易型开放式指数证券投资基金的基金经理、易方达沪深300非银行金融交易型开放式指数证券投资基金联接基金的基金经理、易方达上证50指数分级证券投资基金的基金经理、易方达国企改革指数分级证券投资基金的基金经理、易方达军工指数分级证券投资基金的基金经理、易方达证券公司指数分级证券投资基金的基金经理、易方达沪深300交易型开放式指数发起式证券投资基金联接基金的基金经理、易方达中证500交易型开放式指数证券投资基金的基金经理、易方达中证海外中国互联网50交易型开放式指数证券投资基金的基金经理、易方达中证军工交易型开放式指数证券投资基金的基金经理、易方达中证全指证券公司交易型开放式指数证券投资基金的基金经理、易方达沪深300医药卫生交易型开放式指数证券投资基金联接基金的基金经理、易方达恒生中国企业交易型开放式指数证券投资基金的基金经理、易方达黄金交易型开放式证券投资基金联接基金的基金经理、易方达恒生中国企业交易型开放式指数证券投资基金联接基金的基金经理、易方达黄金交易型开放式证券投资基金的基金经理、易方达中证海外中国互联网50交易型开放式指数证券投资基金联接基金的基金经理、易方达中证500交易型开放式指数证券投资基金发起式联接基金的基金经理、易方达日兴资管日经225交易型开放式指数证券投资基金（QDII）的基金经理、易方达上证50交易型开放式指数证券投资基金的基金经理、易方达上证50交易型开放式指数证券投资基金发起式联接基金的基金经理、指数投资部副总经理</w:t>
            </w:r>
          </w:p>
        </w:tc>
        <w:tc>
          <w:tcPr>
            <w:vAlign w:val="center"/>
          </w:tcPr>
          <w:p>
            <w:pPr>
              <w:jc w:val="center"/>
            </w:pPr>
            <w:r>
              <w:rPr>
                <w:color w:val="000000"/>
                <w:sz w:val="24"/>
              </w:rPr>
              <w:t>2016-04-16</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硕士研究生，具有基金从业资格。曾任汇丰银行Consumer Credit Risk信用风险分析师，华宝兴业基金管理有限公司分析师、基金经理助理、基金经理，易方达基金管理有限公司投资发展部产品经理。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国内宏观经济复苏态势向好，随着复工复产的深入推进，生产需求继续回暖，企业的经营压力有所减轻。5月份规模以上工业企业利润增速实现了自2019年11月以来的首次由负转正，释放了市场需求回暖、经济社会运行加速回归正轨的积极信号。6月份PMI为50.9%，比上月提升0.3个百分点，已连续4个月处于荣枯分界线以上。在宏观政策方面，央行二季度货币政策坚持总量政策适度，促进金融和实体经济的良性循环，强调政策对冲疫情的有效性和直达性。资本市场方面，在海外疫情或呈现见顶趋势、国内政策力度渐强等因素主导下，A股市场延续了3月底以来的反弹趋势，二季度上证综指以上涨8.52%收官。风格主题方面，以创业板指为代表的成长风格表现更为强劲，创业板表现优于主板，创业板指大幅上涨30.25%，上证50指数、沪深300指数分别上涨9.40%、12.96%；行业方面，休闲服务、电子、医药生物、食品饮料、传媒等板块表现强势，建筑装饰、纺织服装、采掘、银行等板块表现落后。作为被动型指数基金，报告期内本基金按照完全复制法紧密跟踪沪深300指数，取得与标的指数基本一致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报告期内本基金为正常运作期，在操作中，我们严格遵守基金合同，坚持既定的指数化投资策略，在指数权重调整和基金申赎变动时，应用指数复制和数量化技术降低冲击成本和减少跟踪误差。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截至报告期末，本基金份额净值为1.8654元，本报告期份额净值增长率为14.10%，同期业绩比较基准收益率为12.96%，日跟踪偏离度的均值为0.02%，年化跟踪误差为0.572%，各项指标均在合同规定的目标控制范围之内。</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7,637,111,043.36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7,637,111,043.36</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97.07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1,927,800.00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1,927,800.00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183,794,411.94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2.34</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44,715,526.42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0.57</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7,867,548,781.72</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pPr>
        <w:spacing w:line="360" w:lineRule="auto"/>
        <w:ind w:firstLine="480" w:firstLineChars="200"/>
        <w:rPr>
          <w:color w:val="000000"/>
          <w:sz w:val="24"/>
          <w:szCs w:val="24"/>
        </w:rPr>
      </w:pPr>
      <w:r>
        <w:rPr>
          <w:color w:val="000000"/>
          <w:sz w:val="24"/>
          <w:szCs w:val="24"/>
        </w:rPr>
        <w:t>注：1.上表中的股票投资项含可退替代款估值增值，而5.2的合计项不含可退替代款估值增值。</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2.本基金本报告期末融出证券市值为89,487,879.00元，占净值比例1.14%。</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113,612,662.00</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1.45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184,391,732.52</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2.35</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3,665,514,600.50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46.76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155,568,059.63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1.98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151,277,526.37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78,731,883.12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214,412,209.97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2.74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312,680,589.89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3.99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2,162,037,444.50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27.58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285,807,262.42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108,993,554.75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51,677,425.80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9,718,938.00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0.12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93,109,845.64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49,577,308.25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0.63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7,637,111,043.36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97.43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601318</w:t>
            </w:r>
          </w:p>
        </w:tc>
        <w:tc>
          <w:tcPr>
            <w:vAlign w:val="center"/>
          </w:tcPr>
          <w:p>
            <w:pPr>
              <w:jc w:val="center"/>
            </w:pPr>
            <w:r>
              <w:rPr>
                <w:color w:val="000000"/>
                <w:kern w:val="0"/>
                <w:sz w:val="24"/>
                <w:szCs w:val="24"/>
              </w:rPr>
              <w:t>中国平安</w:t>
            </w:r>
          </w:p>
        </w:tc>
        <w:tc>
          <w:tcPr>
            <w:vAlign w:val="center"/>
          </w:tcPr>
          <w:p>
            <w:pPr>
              <w:jc w:val="right"/>
            </w:pPr>
            <w:r>
              <w:rPr>
                <w:color w:val="000000"/>
                <w:kern w:val="0"/>
                <w:sz w:val="24"/>
                <w:szCs w:val="24"/>
              </w:rPr>
              <w:t>5,588,825</w:t>
            </w:r>
          </w:p>
        </w:tc>
        <w:tc>
          <w:tcPr>
            <w:vAlign w:val="center"/>
          </w:tcPr>
          <w:p>
            <w:pPr>
              <w:jc w:val="right"/>
            </w:pPr>
            <w:r>
              <w:rPr>
                <w:color w:val="000000"/>
                <w:kern w:val="0"/>
                <w:sz w:val="24"/>
                <w:szCs w:val="24"/>
              </w:rPr>
              <w:t>399,042,105.00</w:t>
            </w:r>
          </w:p>
        </w:tc>
        <w:tc>
          <w:tcPr>
            <w:vAlign w:val="center"/>
          </w:tcPr>
          <w:p>
            <w:pPr>
              <w:jc w:val="right"/>
            </w:pPr>
            <w:r>
              <w:rPr>
                <w:color w:val="000000"/>
                <w:kern w:val="0"/>
                <w:sz w:val="24"/>
                <w:szCs w:val="24"/>
              </w:rPr>
              <w:t>5.09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259,126</w:t>
            </w:r>
          </w:p>
        </w:tc>
        <w:tc>
          <w:tcPr>
            <w:vAlign w:val="center"/>
          </w:tcPr>
          <w:p>
            <w:pPr>
              <w:jc w:val="right"/>
            </w:pPr>
            <w:r>
              <w:rPr>
                <w:color w:val="000000"/>
                <w:kern w:val="0"/>
                <w:sz w:val="24"/>
                <w:szCs w:val="24"/>
              </w:rPr>
              <w:t>379,070,242.88</w:t>
            </w:r>
          </w:p>
        </w:tc>
        <w:tc>
          <w:tcPr>
            <w:vAlign w:val="center"/>
          </w:tcPr>
          <w:p>
            <w:pPr>
              <w:jc w:val="right"/>
            </w:pPr>
            <w:r>
              <w:rPr>
                <w:color w:val="000000"/>
                <w:kern w:val="0"/>
                <w:sz w:val="24"/>
                <w:szCs w:val="24"/>
              </w:rPr>
              <w:t>4.84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600036</w:t>
            </w:r>
          </w:p>
        </w:tc>
        <w:tc>
          <w:tcPr>
            <w:vAlign w:val="center"/>
          </w:tcPr>
          <w:p>
            <w:pPr>
              <w:jc w:val="center"/>
            </w:pPr>
            <w:r>
              <w:rPr>
                <w:color w:val="000000"/>
                <w:kern w:val="0"/>
                <w:sz w:val="24"/>
                <w:szCs w:val="24"/>
              </w:rPr>
              <w:t>招商银行</w:t>
            </w:r>
          </w:p>
        </w:tc>
        <w:tc>
          <w:tcPr>
            <w:vAlign w:val="center"/>
          </w:tcPr>
          <w:p>
            <w:pPr>
              <w:jc w:val="right"/>
            </w:pPr>
            <w:r>
              <w:rPr>
                <w:color w:val="000000"/>
                <w:kern w:val="0"/>
                <w:sz w:val="24"/>
                <w:szCs w:val="24"/>
              </w:rPr>
              <w:t>5,321,672</w:t>
            </w:r>
          </w:p>
        </w:tc>
        <w:tc>
          <w:tcPr>
            <w:vAlign w:val="center"/>
          </w:tcPr>
          <w:p>
            <w:pPr>
              <w:jc w:val="right"/>
            </w:pPr>
            <w:r>
              <w:rPr>
                <w:color w:val="000000"/>
                <w:kern w:val="0"/>
                <w:sz w:val="24"/>
                <w:szCs w:val="24"/>
              </w:rPr>
              <w:t>179,446,779.84</w:t>
            </w:r>
          </w:p>
        </w:tc>
        <w:tc>
          <w:tcPr>
            <w:vAlign w:val="center"/>
          </w:tcPr>
          <w:p>
            <w:pPr>
              <w:jc w:val="right"/>
            </w:pPr>
            <w:r>
              <w:rPr>
                <w:color w:val="000000"/>
                <w:kern w:val="0"/>
                <w:sz w:val="24"/>
                <w:szCs w:val="24"/>
              </w:rPr>
              <w:t>2.29</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600276</w:t>
            </w:r>
          </w:p>
        </w:tc>
        <w:tc>
          <w:tcPr>
            <w:vAlign w:val="center"/>
          </w:tcPr>
          <w:p>
            <w:pPr>
              <w:jc w:val="center"/>
            </w:pPr>
            <w:r>
              <w:rPr>
                <w:color w:val="000000"/>
                <w:kern w:val="0"/>
                <w:sz w:val="24"/>
                <w:szCs w:val="24"/>
              </w:rPr>
              <w:t>恒瑞医药</w:t>
            </w:r>
          </w:p>
        </w:tc>
        <w:tc>
          <w:tcPr>
            <w:vAlign w:val="center"/>
          </w:tcPr>
          <w:p>
            <w:pPr>
              <w:jc w:val="right"/>
            </w:pPr>
            <w:r>
              <w:rPr>
                <w:color w:val="000000"/>
                <w:kern w:val="0"/>
                <w:sz w:val="24"/>
                <w:szCs w:val="24"/>
              </w:rPr>
              <w:t>1,916,397</w:t>
            </w:r>
          </w:p>
        </w:tc>
        <w:tc>
          <w:tcPr>
            <w:vAlign w:val="center"/>
          </w:tcPr>
          <w:p>
            <w:pPr>
              <w:jc w:val="right"/>
            </w:pPr>
            <w:r>
              <w:rPr>
                <w:color w:val="000000"/>
                <w:kern w:val="0"/>
                <w:sz w:val="24"/>
                <w:szCs w:val="24"/>
              </w:rPr>
              <w:t>176,883,443.10</w:t>
            </w:r>
          </w:p>
        </w:tc>
        <w:tc>
          <w:tcPr>
            <w:vAlign w:val="center"/>
          </w:tcPr>
          <w:p>
            <w:pPr>
              <w:jc w:val="right"/>
            </w:pPr>
            <w:r>
              <w:rPr>
                <w:color w:val="000000"/>
                <w:kern w:val="0"/>
                <w:sz w:val="24"/>
                <w:szCs w:val="24"/>
              </w:rPr>
              <w:t>2.26</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1,001,419</w:t>
            </w:r>
          </w:p>
        </w:tc>
        <w:tc>
          <w:tcPr>
            <w:vAlign w:val="center"/>
          </w:tcPr>
          <w:p>
            <w:pPr>
              <w:jc w:val="right"/>
            </w:pPr>
            <w:r>
              <w:rPr>
                <w:color w:val="000000"/>
                <w:kern w:val="0"/>
                <w:sz w:val="24"/>
                <w:szCs w:val="24"/>
              </w:rPr>
              <w:t>171,362,819.28</w:t>
            </w:r>
          </w:p>
        </w:tc>
        <w:tc>
          <w:tcPr>
            <w:vAlign w:val="center"/>
          </w:tcPr>
          <w:p>
            <w:pPr>
              <w:jc w:val="right"/>
            </w:pPr>
            <w:r>
              <w:rPr>
                <w:color w:val="000000"/>
                <w:kern w:val="0"/>
                <w:sz w:val="24"/>
                <w:szCs w:val="24"/>
              </w:rPr>
              <w:t>2.19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000333</w:t>
            </w:r>
          </w:p>
        </w:tc>
        <w:tc>
          <w:tcPr>
            <w:vAlign w:val="center"/>
          </w:tcPr>
          <w:p>
            <w:pPr>
              <w:jc w:val="center"/>
            </w:pPr>
            <w:r>
              <w:rPr>
                <w:color w:val="000000"/>
                <w:kern w:val="0"/>
                <w:sz w:val="24"/>
                <w:szCs w:val="24"/>
              </w:rPr>
              <w:t>美的集团</w:t>
            </w:r>
          </w:p>
        </w:tc>
        <w:tc>
          <w:tcPr>
            <w:vAlign w:val="center"/>
          </w:tcPr>
          <w:p>
            <w:pPr>
              <w:jc w:val="right"/>
            </w:pPr>
            <w:r>
              <w:rPr>
                <w:color w:val="000000"/>
                <w:kern w:val="0"/>
                <w:sz w:val="24"/>
                <w:szCs w:val="24"/>
              </w:rPr>
              <w:t>2,527,746</w:t>
            </w:r>
          </w:p>
        </w:tc>
        <w:tc>
          <w:tcPr>
            <w:vAlign w:val="center"/>
          </w:tcPr>
          <w:p>
            <w:pPr>
              <w:jc w:val="right"/>
            </w:pPr>
            <w:r>
              <w:rPr>
                <w:color w:val="000000"/>
                <w:kern w:val="0"/>
                <w:sz w:val="24"/>
                <w:szCs w:val="24"/>
              </w:rPr>
              <w:t>151,133,933.34</w:t>
            </w:r>
          </w:p>
        </w:tc>
        <w:tc>
          <w:tcPr>
            <w:vAlign w:val="center"/>
          </w:tcPr>
          <w:p>
            <w:pPr>
              <w:jc w:val="right"/>
            </w:pPr>
            <w:r>
              <w:rPr>
                <w:color w:val="000000"/>
                <w:kern w:val="0"/>
                <w:sz w:val="24"/>
                <w:szCs w:val="24"/>
              </w:rPr>
              <w:t>1.93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000651</w:t>
            </w:r>
          </w:p>
        </w:tc>
        <w:tc>
          <w:tcPr>
            <w:vAlign w:val="center"/>
          </w:tcPr>
          <w:p>
            <w:pPr>
              <w:jc w:val="center"/>
            </w:pPr>
            <w:r>
              <w:rPr>
                <w:color w:val="000000"/>
                <w:kern w:val="0"/>
                <w:sz w:val="24"/>
                <w:szCs w:val="24"/>
              </w:rPr>
              <w:t>格力电器</w:t>
            </w:r>
          </w:p>
        </w:tc>
        <w:tc>
          <w:tcPr>
            <w:vAlign w:val="center"/>
          </w:tcPr>
          <w:p>
            <w:pPr>
              <w:jc w:val="right"/>
            </w:pPr>
            <w:r>
              <w:rPr>
                <w:color w:val="000000"/>
                <w:kern w:val="0"/>
                <w:sz w:val="24"/>
                <w:szCs w:val="24"/>
              </w:rPr>
              <w:t>2,482,969</w:t>
            </w:r>
          </w:p>
        </w:tc>
        <w:tc>
          <w:tcPr>
            <w:vAlign w:val="center"/>
          </w:tcPr>
          <w:p>
            <w:pPr>
              <w:jc w:val="right"/>
            </w:pPr>
            <w:r>
              <w:rPr>
                <w:color w:val="000000"/>
                <w:kern w:val="0"/>
                <w:sz w:val="24"/>
                <w:szCs w:val="24"/>
              </w:rPr>
              <w:t>140,461,556.33</w:t>
            </w:r>
          </w:p>
        </w:tc>
        <w:tc>
          <w:tcPr>
            <w:vAlign w:val="center"/>
          </w:tcPr>
          <w:p>
            <w:pPr>
              <w:jc w:val="right"/>
            </w:pPr>
            <w:r>
              <w:rPr>
                <w:color w:val="000000"/>
                <w:kern w:val="0"/>
                <w:sz w:val="24"/>
                <w:szCs w:val="24"/>
              </w:rPr>
              <w:t>1.79</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2,162,173</w:t>
            </w:r>
          </w:p>
        </w:tc>
        <w:tc>
          <w:tcPr>
            <w:vAlign w:val="center"/>
          </w:tcPr>
          <w:p>
            <w:pPr>
              <w:jc w:val="right"/>
            </w:pPr>
            <w:r>
              <w:rPr>
                <w:color w:val="000000"/>
                <w:kern w:val="0"/>
                <w:sz w:val="24"/>
                <w:szCs w:val="24"/>
              </w:rPr>
              <w:t>111,027,583.55</w:t>
            </w:r>
          </w:p>
        </w:tc>
        <w:tc>
          <w:tcPr>
            <w:vAlign w:val="center"/>
          </w:tcPr>
          <w:p>
            <w:pPr>
              <w:jc w:val="right"/>
            </w:pPr>
            <w:r>
              <w:rPr>
                <w:color w:val="000000"/>
                <w:kern w:val="0"/>
                <w:sz w:val="24"/>
                <w:szCs w:val="24"/>
              </w:rPr>
              <w:t>1.42</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600030</w:t>
            </w:r>
          </w:p>
        </w:tc>
        <w:tc>
          <w:tcPr>
            <w:vAlign w:val="center"/>
          </w:tcPr>
          <w:p>
            <w:pPr>
              <w:jc w:val="center"/>
            </w:pPr>
            <w:r>
              <w:rPr>
                <w:color w:val="000000"/>
                <w:kern w:val="0"/>
                <w:sz w:val="24"/>
                <w:szCs w:val="24"/>
              </w:rPr>
              <w:t>中信证券</w:t>
            </w:r>
          </w:p>
        </w:tc>
        <w:tc>
          <w:tcPr>
            <w:vAlign w:val="center"/>
          </w:tcPr>
          <w:p>
            <w:pPr>
              <w:jc w:val="right"/>
            </w:pPr>
            <w:r>
              <w:rPr>
                <w:color w:val="000000"/>
                <w:kern w:val="0"/>
                <w:sz w:val="24"/>
                <w:szCs w:val="24"/>
              </w:rPr>
              <w:t>4,394,993</w:t>
            </w:r>
          </w:p>
        </w:tc>
        <w:tc>
          <w:tcPr>
            <w:vAlign w:val="center"/>
          </w:tcPr>
          <w:p>
            <w:pPr>
              <w:jc w:val="right"/>
            </w:pPr>
            <w:r>
              <w:rPr>
                <w:color w:val="000000"/>
                <w:kern w:val="0"/>
                <w:sz w:val="24"/>
                <w:szCs w:val="24"/>
              </w:rPr>
              <w:t>105,963,281.23</w:t>
            </w:r>
          </w:p>
        </w:tc>
        <w:tc>
          <w:tcPr>
            <w:vAlign w:val="center"/>
          </w:tcPr>
          <w:p>
            <w:pPr>
              <w:jc w:val="right"/>
            </w:pPr>
            <w:r>
              <w:rPr>
                <w:color w:val="000000"/>
                <w:kern w:val="0"/>
                <w:sz w:val="24"/>
                <w:szCs w:val="24"/>
              </w:rPr>
              <w:t>1.35</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601166</w:t>
            </w:r>
          </w:p>
        </w:tc>
        <w:tc>
          <w:tcPr>
            <w:vAlign w:val="center"/>
          </w:tcPr>
          <w:p>
            <w:pPr>
              <w:jc w:val="center"/>
            </w:pPr>
            <w:r>
              <w:rPr>
                <w:color w:val="000000"/>
                <w:kern w:val="0"/>
                <w:sz w:val="24"/>
                <w:szCs w:val="24"/>
              </w:rPr>
              <w:t>兴业银行</w:t>
            </w:r>
          </w:p>
        </w:tc>
        <w:tc>
          <w:tcPr>
            <w:vAlign w:val="center"/>
          </w:tcPr>
          <w:p>
            <w:pPr>
              <w:jc w:val="right"/>
            </w:pPr>
            <w:r>
              <w:rPr>
                <w:color w:val="000000"/>
                <w:kern w:val="0"/>
                <w:sz w:val="24"/>
                <w:szCs w:val="24"/>
              </w:rPr>
              <w:t>6,430,741</w:t>
            </w:r>
          </w:p>
        </w:tc>
        <w:tc>
          <w:tcPr>
            <w:vAlign w:val="center"/>
          </w:tcPr>
          <w:p>
            <w:pPr>
              <w:jc w:val="right"/>
            </w:pPr>
            <w:r>
              <w:rPr>
                <w:color w:val="000000"/>
                <w:kern w:val="0"/>
                <w:sz w:val="24"/>
                <w:szCs w:val="24"/>
              </w:rPr>
              <w:t>101,477,092.98</w:t>
            </w:r>
          </w:p>
        </w:tc>
        <w:tc>
          <w:tcPr>
            <w:vAlign w:val="center"/>
          </w:tcPr>
          <w:p>
            <w:pPr>
              <w:jc w:val="right"/>
            </w:pPr>
            <w:r>
              <w:rPr>
                <w:color w:val="000000"/>
                <w:kern w:val="0"/>
                <w:sz w:val="24"/>
                <w:szCs w:val="24"/>
              </w:rPr>
              <w:t>1.29</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1,927,800.00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1,927,800.00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0.02</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128112</w:t>
            </w:r>
          </w:p>
        </w:tc>
        <w:tc>
          <w:tcPr>
            <w:vAlign w:val="center"/>
          </w:tcPr>
          <w:p>
            <w:pPr>
              <w:jc w:val="center"/>
            </w:pPr>
            <w:r>
              <w:rPr>
                <w:color w:val="000000"/>
                <w:kern w:val="0"/>
                <w:sz w:val="24"/>
                <w:szCs w:val="24"/>
              </w:rPr>
              <w:t>歌尔转2</w:t>
            </w:r>
          </w:p>
        </w:tc>
        <w:tc>
          <w:tcPr>
            <w:vAlign w:val="center"/>
          </w:tcPr>
          <w:p>
            <w:pPr>
              <w:jc w:val="right"/>
            </w:pPr>
            <w:r>
              <w:rPr>
                <w:color w:val="000000"/>
                <w:kern w:val="0"/>
                <w:sz w:val="24"/>
                <w:szCs w:val="24"/>
              </w:rPr>
              <w:t>15,720</w:t>
            </w:r>
          </w:p>
        </w:tc>
        <w:tc>
          <w:tcPr>
            <w:vAlign w:val="center"/>
          </w:tcPr>
          <w:p>
            <w:pPr>
              <w:jc w:val="right"/>
            </w:pPr>
            <w:r>
              <w:rPr>
                <w:color w:val="000000"/>
                <w:kern w:val="0"/>
                <w:sz w:val="24"/>
                <w:szCs w:val="24"/>
              </w:rPr>
              <w:t>1,572,000.00</w:t>
            </w:r>
          </w:p>
        </w:tc>
        <w:tc>
          <w:tcPr>
            <w:vAlign w:val="center"/>
          </w:tcPr>
          <w:p>
            <w:pPr>
              <w:jc w:val="right"/>
            </w:pPr>
            <w:r>
              <w:rPr>
                <w:color w:val="000000"/>
                <w:kern w:val="0"/>
                <w:sz w:val="24"/>
                <w:szCs w:val="24"/>
              </w:rPr>
              <w:t>0.02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128114</w:t>
            </w:r>
          </w:p>
        </w:tc>
        <w:tc>
          <w:tcPr>
            <w:vAlign w:val="center"/>
          </w:tcPr>
          <w:p>
            <w:pPr>
              <w:jc w:val="center"/>
            </w:pPr>
            <w:r>
              <w:rPr>
                <w:color w:val="000000"/>
                <w:kern w:val="0"/>
                <w:sz w:val="24"/>
                <w:szCs w:val="24"/>
              </w:rPr>
              <w:t>正邦转债</w:t>
            </w:r>
          </w:p>
        </w:tc>
        <w:tc>
          <w:tcPr>
            <w:vAlign w:val="center"/>
          </w:tcPr>
          <w:p>
            <w:pPr>
              <w:jc w:val="right"/>
            </w:pPr>
            <w:r>
              <w:rPr>
                <w:color w:val="000000"/>
                <w:kern w:val="0"/>
                <w:sz w:val="24"/>
                <w:szCs w:val="24"/>
              </w:rPr>
              <w:t>3,558</w:t>
            </w:r>
          </w:p>
        </w:tc>
        <w:tc>
          <w:tcPr>
            <w:vAlign w:val="center"/>
          </w:tcPr>
          <w:p>
            <w:pPr>
              <w:jc w:val="right"/>
            </w:pPr>
            <w:r>
              <w:rPr>
                <w:color w:val="000000"/>
                <w:kern w:val="0"/>
                <w:sz w:val="24"/>
                <w:szCs w:val="24"/>
              </w:rPr>
              <w:t>355,800.00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750D48">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5.9.1 </w:t>
      </w:r>
      <w:r w:rsidRPr="001B0A62">
        <w:rPr>
          <w:rFonts w:ascii="宋体" w:hAnsi="宋体" w:hint="eastAsia"/>
          <w:b/>
          <w:bCs/>
          <w:color w:val="000000"/>
          <w:kern w:val="0"/>
          <w:sz w:val="24"/>
          <w:szCs w:val="24"/>
        </w:rPr>
        <w:t>报告期末本基金投资的股指期货持仓和损益明</w:t>
      </w:r>
      <w:r w:rsidRPr="001B0A62">
        <w:rPr>
          <w:rFonts w:ascii="宋体" w:hAnsi="宋体" w:hint="eastAsia"/>
          <w:b/>
          <w:bCs/>
          <w:color w:val="000000"/>
          <w:kern w:val="0"/>
          <w:sz w:val="24"/>
          <w:szCs w:val="24"/>
        </w:rPr>
        <w:lastRenderedPageBreak/>
        <w:t>细</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277FAE" w:rsidTr="003B5535">
        <w:trPr>
          <w:trHeight w:val="105"/>
          <w:jc w:val="center"/>
        </w:trPr>
        <w:tc>
          <w:tcPr>
            <w:tcW w:type="dxa" w:w="1134"/>
            <w:hideMark/>
          </w:tcPr>
          <w:p w:rsidR="00277FAE" w:rsidRDefault="00277FAE">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277FAE" w:rsidRDefault="00277FAE">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277FAE" w:rsidRDefault="00277FAE">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277FAE" w:rsidRDefault="00277FAE">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277FAE" w:rsidRDefault="00277FAE">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IF2007</w:t>
            </w:r>
          </w:p>
        </w:tc>
        <w:tc>
          <w:tcPr>
            <w:vAlign w:val="center"/>
          </w:tcPr>
          <w:p>
            <w:pPr>
              <w:jc w:val="left"/>
            </w:pPr>
            <w:r>
              <w:rPr>
                <w:rFonts w:ascii="Times New Roman" w:cs="Times New Roman" w:hAnsi="Times New Roman"/>
              </w:rPr>
              <w:t>IF2007</w:t>
            </w:r>
          </w:p>
        </w:tc>
        <w:tc>
          <w:tcPr>
            <w:vAlign w:val="center"/>
          </w:tcPr>
          <w:p>
            <w:pPr>
              <w:jc w:val="right"/>
            </w:pPr>
            <w:r>
              <w:rPr>
                <w:rFonts w:ascii="Times New Roman" w:cs="Times New Roman" w:hAnsi="Times New Roman"/>
              </w:rPr>
              <w:t>58</w:t>
            </w:r>
          </w:p>
        </w:tc>
        <w:tc>
          <w:tcPr>
            <w:vAlign w:val="center"/>
          </w:tcPr>
          <w:p>
            <w:pPr>
              <w:jc w:val="right"/>
            </w:pPr>
            <w:r>
              <w:rPr>
                <w:rFonts w:ascii="Times New Roman" w:cs="Times New Roman" w:hAnsi="Times New Roman"/>
              </w:rPr>
              <w:t>71,653,200.00</w:t>
            </w:r>
          </w:p>
        </w:tc>
        <w:tc>
          <w:tcPr>
            <w:vAlign w:val="center"/>
          </w:tcPr>
          <w:p>
            <w:pPr>
              <w:jc w:val="right"/>
            </w:pPr>
            <w:r>
              <w:rPr>
                <w:rFonts w:ascii="Times New Roman" w:cs="Times New Roman" w:hAnsi="Times New Roman"/>
              </w:rPr>
              <w:t>2,471,940.00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IF2008</w:t>
            </w:r>
          </w:p>
        </w:tc>
        <w:tc>
          <w:tcPr>
            <w:vAlign w:val="center"/>
          </w:tcPr>
          <w:p>
            <w:pPr>
              <w:jc w:val="left"/>
            </w:pPr>
            <w:r>
              <w:rPr>
                <w:rFonts w:ascii="Times New Roman" w:cs="Times New Roman" w:hAnsi="Times New Roman"/>
              </w:rPr>
              <w:t>IF2008</w:t>
            </w:r>
          </w:p>
        </w:tc>
        <w:tc>
          <w:tcPr>
            <w:vAlign w:val="center"/>
          </w:tcPr>
          <w:p>
            <w:pPr>
              <w:jc w:val="right"/>
            </w:pPr>
            <w:r>
              <w:rPr>
                <w:rFonts w:ascii="Times New Roman" w:cs="Times New Roman" w:hAnsi="Times New Roman"/>
              </w:rPr>
              <w:t>7</w:t>
            </w:r>
          </w:p>
        </w:tc>
        <w:tc>
          <w:tcPr>
            <w:vAlign w:val="center"/>
          </w:tcPr>
          <w:p>
            <w:pPr>
              <w:jc w:val="right"/>
            </w:pPr>
            <w:r>
              <w:rPr>
                <w:rFonts w:ascii="Times New Roman" w:cs="Times New Roman" w:hAnsi="Times New Roman"/>
              </w:rPr>
              <w:t>8,571,780.00</w:t>
            </w:r>
          </w:p>
        </w:tc>
        <w:tc>
          <w:tcPr>
            <w:vAlign w:val="center"/>
          </w:tcPr>
          <w:p>
            <w:pPr>
              <w:jc w:val="right"/>
            </w:pPr>
            <w:r>
              <w:rPr>
                <w:rFonts w:ascii="Times New Roman" w:cs="Times New Roman" w:hAnsi="Times New Roman"/>
              </w:rPr>
              <w:t>103,200.00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IF2009</w:t>
            </w:r>
          </w:p>
        </w:tc>
        <w:tc>
          <w:tcPr>
            <w:vAlign w:val="center"/>
          </w:tcPr>
          <w:p>
            <w:pPr>
              <w:jc w:val="left"/>
            </w:pPr>
            <w:r>
              <w:rPr>
                <w:rFonts w:ascii="Times New Roman" w:cs="Times New Roman" w:hAnsi="Times New Roman"/>
              </w:rPr>
              <w:t>IF2009</w:t>
            </w:r>
          </w:p>
        </w:tc>
        <w:tc>
          <w:tcPr>
            <w:vAlign w:val="center"/>
          </w:tcPr>
          <w:p>
            <w:pPr>
              <w:jc w:val="right"/>
            </w:pPr>
            <w:r>
              <w:rPr>
                <w:rFonts w:ascii="Times New Roman" w:cs="Times New Roman" w:hAnsi="Times New Roman"/>
              </w:rPr>
              <w:t>44</w:t>
            </w:r>
          </w:p>
        </w:tc>
        <w:tc>
          <w:tcPr>
            <w:vAlign w:val="center"/>
          </w:tcPr>
          <w:p>
            <w:pPr>
              <w:jc w:val="right"/>
            </w:pPr>
            <w:r>
              <w:rPr>
                <w:rFonts w:ascii="Times New Roman" w:cs="Times New Roman" w:hAnsi="Times New Roman"/>
              </w:rPr>
              <w:t>53,692,320.00</w:t>
            </w:r>
          </w:p>
        </w:tc>
        <w:tc>
          <w:tcPr>
            <w:vAlign w:val="center"/>
          </w:tcPr>
          <w:p>
            <w:pPr>
              <w:jc w:val="right"/>
            </w:pPr>
            <w:r>
              <w:rPr>
                <w:rFonts w:ascii="Times New Roman" w:cs="Times New Roman" w:hAnsi="Times New Roman"/>
              </w:rPr>
              <w:t>3,678,600.00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tc>
          <w:tcPr>
            <w:vAlign w:val="center"/>
          </w:tcPr>
          <w:p>
            <w:pPr>
              <w:jc w:val="center"/>
            </w:pPr>
            <w:r>
              <w:rPr>
                <w:rFonts w:ascii="Times New Roman" w:cs="Times New Roman" w:hAnsi="Times New Roman"/>
              </w:rPr>
              <w:t>IF2012</w:t>
            </w:r>
          </w:p>
        </w:tc>
        <w:tc>
          <w:tcPr>
            <w:vAlign w:val="center"/>
          </w:tcPr>
          <w:p>
            <w:pPr>
              <w:jc w:val="left"/>
            </w:pPr>
            <w:r>
              <w:rPr>
                <w:rFonts w:ascii="Times New Roman" w:cs="Times New Roman" w:hAnsi="Times New Roman"/>
              </w:rPr>
              <w:t>IF2012</w:t>
            </w:r>
          </w:p>
        </w:tc>
        <w:tc>
          <w:tcPr>
            <w:vAlign w:val="center"/>
          </w:tcPr>
          <w:p>
            <w:pPr>
              <w:jc w:val="right"/>
            </w:pPr>
            <w:r>
              <w:rPr>
                <w:rFonts w:ascii="Times New Roman" w:cs="Times New Roman" w:hAnsi="Times New Roman"/>
              </w:rPr>
              <w:t>33</w:t>
            </w:r>
          </w:p>
        </w:tc>
        <w:tc>
          <w:tcPr>
            <w:vAlign w:val="center"/>
          </w:tcPr>
          <w:p>
            <w:pPr>
              <w:jc w:val="right"/>
            </w:pPr>
            <w:r>
              <w:rPr>
                <w:rFonts w:ascii="Times New Roman" w:cs="Times New Roman" w:hAnsi="Times New Roman"/>
              </w:rPr>
              <w:t>39,887,100.00</w:t>
            </w:r>
          </w:p>
        </w:tc>
        <w:tc>
          <w:tcPr>
            <w:vAlign w:val="center"/>
          </w:tcPr>
          <w:p>
            <w:pPr>
              <w:jc w:val="right"/>
            </w:pPr>
            <w:r>
              <w:rPr>
                <w:rFonts w:ascii="Times New Roman" w:cs="Times New Roman" w:hAnsi="Times New Roman"/>
              </w:rPr>
              <w:t>2,180,040.00</w:t>
            </w:r>
          </w:p>
        </w:tc>
        <w:tc>
          <w:tcPr>
            <w:vAlign w:val="center"/>
          </w:tcPr>
          <w:p>
            <w:pPr>
              <w:jc w:val="left"/>
            </w:pPr>
            <w:r>
              <w:rPr>
                <w:rFonts w:ascii="Times New Roman" w:cs="Times New Roman" w:hAnsi="Times New Roman"/>
              </w:rPr>
              <w:t>买入股指期货多头合约的目的是进行更有效的流动性管理，以更好地跟踪标的指数，实现投资目标。</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8,433,780.00</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11,539,579.22</w:t>
            </w:r>
          </w:p>
        </w:tc>
      </w:tr>
      <w:tr w:rsidR="00277FAE" w:rsidTr="003B5535">
        <w:trPr>
          <w:trHeight w:val="105"/>
          <w:jc w:val="center"/>
        </w:trPr>
        <w:tc>
          <w:tcPr>
            <w:tcW w:type="dxa" w:w="6771"/>
            <w:gridSpan w:val="5"/>
            <w:hideMark/>
          </w:tcPr>
          <w:p w:rsidR="00277FAE" w:rsidRDefault="00277FAE">
            <w:pPr>
              <w:pStyle w:val="Default"/>
              <w:rPr>
                <w:rFonts w:ascii="Times New Roman" w:cs="Times New Roman" w:hAnsi="Times New Roman"/>
                <w:color w:val="auto"/>
              </w:rPr>
            </w:pPr>
            <w:r>
              <w:rPr>
                <w:rFonts w:ascii="Times New Roman" w:cs="Times New Roman" w:hAnsi="Times New Roman" w:hint="eastAsia"/>
                <w:color w:val="auto"/>
              </w:rPr>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277FAE" w:rsidRDefault="00277FAE">
            <w:pPr>
              <w:pStyle w:val="Default"/>
              <w:jc w:val="right"/>
              <w:rPr>
                <w:rFonts w:ascii="Times New Roman" w:cs="Times New Roman" w:hAnsi="Times New Roman"/>
                <w:color w:val="auto"/>
              </w:rPr>
            </w:pPr>
            <w:r>
              <w:rPr>
                <w:rFonts w:ascii="Times New Roman" w:cs="Times New Roman" w:hAnsi="Times New Roman"/>
                <w:color w:val="auto"/>
              </w:rPr>
              <w:t>9,165,900.00</w:t>
            </w:r>
          </w:p>
        </w:tc>
      </w:tr>
    </w:tbl>
    <w:p w:rsidP="00277FAE"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 xml:space="preserve">5.9.2 </w:t>
      </w:r>
      <w:r w:rsidRPr="001B0A62">
        <w:rPr>
          <w:rFonts w:ascii="宋体" w:hAnsi="宋体" w:hint="eastAsia"/>
          <w:b/>
          <w:bCs/>
          <w:color w:val="000000"/>
          <w:kern w:val="0"/>
          <w:sz w:val="24"/>
          <w:szCs w:val="24"/>
        </w:rPr>
        <w:t>本基金投资股指期货的投资政策</w:t>
      </w:r>
      <w:r w:rsidRPr="00D92F47">
        <w:rPr>
          <w:rFonts w:ascii="宋体"/>
          <w:b/>
          <w:bCs/>
          <w:color w:val="000000"/>
          <w:kern w:val="0"/>
          <w:sz w:val="24"/>
          <w:szCs w:val="24"/>
        </w:rPr>
        <w:t/>
      </w:r>
      <w:proofErr w:type="spellStart"/>
      <w:r w:rsidRPr="00D92F47">
        <w:rPr>
          <w:rFonts w:ascii="宋体" w:hAnsi="宋体"/>
          <w:b/>
          <w:bCs/>
          <w:color w:val="000000"/>
          <w:kern w:val="0"/>
          <w:sz w:val="24"/>
          <w:szCs w:val="24"/>
        </w:rPr>
        <w:t/>
      </w:r>
      <w:proofErr w:type="spellEnd"/>
      <w:r w:rsidRPr="00D92F47">
        <w:rPr>
          <w:rFonts w:ascii="宋体" w:hAnsi="宋体"/>
          <w:b/>
          <w:bCs/>
          <w:color w:val="000000"/>
          <w:kern w:val="0"/>
          <w:sz w:val="24"/>
          <w:szCs w:val="24"/>
        </w:rPr>
        <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基金可投资股指期货和其他经中国证监会允许的衍生金融产品。本基金将根据风险管理的原则，以套期保值为目的，按照相关法律法规的有关规定，主要选择流动性好、交易活跃的股指期货合约来进行投资。为更有效地进行流动性管理，本基金在出现需要及时调整组合市场暴露情况时，通过股指期货套保交易满足基金的投资替代需求和风险对冲需求。本基金力争利用股指期货的杠杆作用，降低股票仓位频繁调整的交易成本和跟踪误差，达到有效跟踪标的指数的目的。本报告期内，本基金投资股指期货符合既定的投资政策和投资目的。 </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pPr>
        <w:spacing w:line="360" w:lineRule="auto"/>
        <w:rPr>
          <w:rFonts w:ascii="宋体" w:hAnsi="宋体"/>
          <w:color w:val="000000"/>
          <w:sz w:val="24"/>
          <w:szCs w:val="24"/>
        </w:rPr>
      </w:pPr>
      <w:r>
        <w:rPr>
          <w:rFonts w:ascii="宋体" w:hAnsi="宋体"/>
          <w:color w:val="000000"/>
          <w:sz w:val="24"/>
          <w:szCs w:val="24"/>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pPr>
        <w:spacing w:line="360" w:lineRule="auto"/>
        <w:rPr>
          <w:rFonts w:ascii="宋体" w:hAnsi="宋体"/>
          <w:color w:val="000000"/>
          <w:sz w:val="24"/>
          <w:szCs w:val="24"/>
        </w:rPr>
      </w:pPr>
      <w:r>
        <w:rPr>
          <w:rFonts w:ascii="宋体" w:hAnsi="宋体"/>
          <w:color w:val="000000"/>
          <w:sz w:val="24"/>
          <w:szCs w:val="24"/>
        </w:rPr>
        <w:t>2019年11月18日，珠海市交通运输局对珠海格力电器股份有限公司违反《超限运输车辆行驶公路管理规定》第四十三条的行为作出“罚款4000元”的行政处罚决定。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2019年12月4日，珠海市交通运输局对珠海格力电器股份有限公司违反《超限运输车辆行驶公路管理规定》第四十三条的行为作出“罚款4000元”的行政处罚决定。</w:t>
      </w:r>
    </w:p>
    <w:p>
      <w:pPr>
        <w:spacing w:line="360" w:lineRule="auto"/>
        <w:rPr>
          <w:rFonts w:ascii="宋体" w:hAnsi="宋体"/>
          <w:color w:val="000000"/>
          <w:sz w:val="24"/>
          <w:szCs w:val="24"/>
        </w:rPr>
      </w:pPr>
      <w:r>
        <w:rPr>
          <w:rFonts w:ascii="宋体" w:hAnsi="宋体"/>
          <w:color w:val="000000"/>
          <w:sz w:val="24"/>
          <w:szCs w:val="24"/>
        </w:rPr>
        <w:t>本基金为指数型基金，上述股票系标的指数成份股，上述股票的投资决策程序符合公司投资制度的规定。除招商银行、兴业银行、格力电器外，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18,566,152.68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26,001,612.36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86,870.85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60,890.53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44,715,526.42</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5,122,213,434.00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1,484,000,000.00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2,404,356,936.00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4,201,856,498.00</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注：期初基金总份额包含场外份额467,906,019份；期末基金总份额包含场外份额181,549,083份；总赎回份额包含场外总赎回份额286,356,936份。</w:t>
      </w:r>
    </w:p>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Pr>
          <w:rFonts w:ascii="宋体" w:hAnsi="宋体" w:hint="eastAsia"/>
          <w:color w:val="000000"/>
          <w:kern w:val="0"/>
          <w:sz w:val="24"/>
          <w:szCs w:val="24"/>
        </w:rPr>
        <w:t>报告期末</w:t>
      </w:r>
      <w:r w:rsidRPr="00264E55">
        <w:rPr>
          <w:rFonts w:ascii="宋体" w:hAnsi="宋体" w:hint="eastAsia"/>
          <w:color w:val="000000"/>
          <w:kern w:val="0"/>
          <w:sz w:val="24"/>
          <w:szCs w:val="24"/>
        </w:rPr>
        <w:t>发起式基金发起资金持有份额情况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560"/>
        <w:gridCol w:w="1843"/>
        <w:gridCol w:w="1276"/>
        <w:gridCol w:w="1984"/>
        <w:gridCol w:w="1276"/>
        <w:gridCol w:w="941"/>
      </w:tblGrid>
      <w:tr w:rsidR="00750D48" w:rsidRPr="00264E55" w:rsidTr="00507F99">
        <w:trPr>
          <w:trHeight w:val="543"/>
          <w:jc w:val="center"/>
        </w:trPr>
        <w:tc>
          <w:tcPr>
            <w:tcW w:type="dxa" w:w="1560"/>
            <w:vAlign w:val="center"/>
          </w:tcPr>
          <w:p w:rsidP="00597E49" w:rsidR="00750D48" w:rsidRDefault="00750D48" w:rsidRPr="00B227EA">
            <w:pPr>
              <w:widowControl/>
              <w:jc w:val="left"/>
              <w:rPr>
                <w:color w:val="000000"/>
                <w:sz w:val="24"/>
                <w:szCs w:val="24"/>
              </w:rPr>
            </w:pPr>
            <w:r w:rsidRPr="00B227EA">
              <w:rPr>
                <w:color w:val="000000"/>
                <w:sz w:val="24"/>
                <w:szCs w:val="24"/>
              </w:rPr>
              <w:t>项目</w:t>
            </w: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
            </w:r>
          </w:p>
        </w:tc>
        <w:tc>
          <w:tcPr>
            <w:tcW w:type="dxa" w:w="1843"/>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持有份额占基金总份额比例</w:t>
            </w:r>
          </w:p>
        </w:tc>
        <w:tc>
          <w:tcPr>
            <w:tcW w:type="dxa" w:w="1984"/>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发起份额总数</w:t>
            </w:r>
          </w:p>
        </w:tc>
        <w:tc>
          <w:tcPr>
            <w:tcW w:type="dxa" w:w="1276"/>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发起份额占基金总份额比例</w:t>
            </w:r>
          </w:p>
        </w:tc>
        <w:tc>
          <w:tcPr>
            <w:tcW w:type="dxa" w:w="941"/>
          </w:tcPr>
          <w:p w:rsidP="00597E49" w:rsidR="00750D48" w:rsidRDefault="00750D48" w:rsidRPr="00B227EA">
            <w:pPr>
              <w:widowControl/>
              <w:jc w:val="left"/>
              <w:rPr>
                <w:color w:val="000000"/>
                <w:sz w:val="24"/>
                <w:szCs w:val="24"/>
              </w:rPr>
            </w:pPr>
            <w:r w:rsidRPr="00B227EA">
              <w:rPr>
                <w:color w:val="000000"/>
                <w:sz w:val="24"/>
                <w:szCs w:val="24"/>
              </w:rPr>
              <w:t>发起份额承诺持有期限</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基金管理人固有资金</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trHeight w:val="790"/>
          <w:jc w:val="center"/>
        </w:trPr>
        <w:tc>
          <w:tcPr>
            <w:tcW w:type="dxa" w:w="1560"/>
          </w:tcPr>
          <w:p w:rsidP="00597E49" w:rsidR="00750D48" w:rsidRDefault="00750D48" w:rsidRPr="00B227EA">
            <w:pPr>
              <w:adjustRightInd w:val="0"/>
              <w:snapToGrid w:val="0"/>
              <w:spacing w:line="360" w:lineRule="exact"/>
              <w:rPr>
                <w:color w:val="000000"/>
                <w:sz w:val="24"/>
                <w:szCs w:val="24"/>
              </w:rPr>
            </w:pPr>
            <w:r w:rsidRPr="00B227EA">
              <w:rPr>
                <w:color w:val="000000"/>
                <w:sz w:val="24"/>
                <w:szCs w:val="24"/>
              </w:rPr>
              <w:t>基金管理人高级管理人员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基金经理等人员</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基金管理人股东</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10,002,600.00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r w:rsidRPr="00B227EA">
              <w:rPr>
                <w:kern w:val="0"/>
                <w:sz w:val="24"/>
                <w:szCs w:val="24"/>
              </w:rPr>
              <w:lastRenderedPageBreak/>
              <w:t>0.2381%</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lastRenderedPageBreak/>
              <w:t/>
            </w:r>
            <w:r w:rsidRPr="00B227EA">
              <w:rPr>
                <w:kern w:val="0"/>
                <w:sz w:val="24"/>
                <w:szCs w:val="24"/>
              </w:rPr>
              <w:lastRenderedPageBreak/>
              <w:t>3年</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lastRenderedPageBreak/>
              <w:t>其他</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r w:rsidR="00750D48" w:rsidRPr="00264E55" w:rsidTr="00507F99">
        <w:trPr>
          <w:jc w:val="center"/>
        </w:trPr>
        <w:tc>
          <w:tcPr>
            <w:tcW w:type="dxa" w:w="1560"/>
          </w:tcPr>
          <w:p w:rsidP="00597E49" w:rsidR="00750D48" w:rsidRDefault="00750D48" w:rsidRPr="00B227EA">
            <w:pPr>
              <w:adjustRightInd w:val="0"/>
              <w:snapToGrid w:val="0"/>
              <w:spacing w:line="360" w:lineRule="exact"/>
              <w:jc w:val="left"/>
              <w:rPr>
                <w:color w:val="000000"/>
                <w:sz w:val="24"/>
                <w:szCs w:val="24"/>
              </w:rPr>
            </w:pPr>
            <w:r w:rsidRPr="00B227EA">
              <w:rPr>
                <w:color w:val="000000"/>
                <w:sz w:val="24"/>
                <w:szCs w:val="24"/>
              </w:rPr>
              <w:t>合计</w:t>
            </w:r>
          </w:p>
        </w:tc>
        <w:tc>
          <w:tcPr>
            <w:tcW w:type="dxa" w:w="1843"/>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c>
          <w:tcPr>
            <w:tcW w:type="dxa" w:w="1984"/>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
            </w:r>
            <w:proofErr w:type="spellStart"/>
            <w:r w:rsidRPr="00B227EA">
              <w:rPr>
                <w:kern w:val="0"/>
                <w:sz w:val="24"/>
                <w:szCs w:val="24"/>
              </w:rPr>
              <w:t/>
            </w:r>
            <w:proofErr w:type="spellEnd"/>
            <w:r w:rsidRPr="00B227EA">
              <w:rPr>
                <w:kern w:val="0"/>
                <w:sz w:val="24"/>
                <w:szCs w:val="24"/>
              </w:rPr>
              <w:t>10,002,600.00</w:t>
            </w:r>
          </w:p>
        </w:tc>
        <w:tc>
          <w:tcPr>
            <w:tcW w:type="dxa" w:w="1276"/>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0.2381%</w:t>
            </w:r>
          </w:p>
        </w:tc>
        <w:tc>
          <w:tcPr>
            <w:tcW w:type="dxa" w:w="941"/>
          </w:tcPr>
          <w:p w:rsidP="00722509" w:rsidR="00750D48" w:rsidRDefault="00750D48" w:rsidRPr="00B227EA">
            <w:pPr>
              <w:adjustRightInd w:val="0"/>
              <w:snapToGrid w:val="0"/>
              <w:spacing w:line="360" w:lineRule="exact"/>
              <w:jc w:val="right"/>
              <w:rPr>
                <w:kern w:val="0"/>
                <w:sz w:val="24"/>
                <w:szCs w:val="24"/>
              </w:rPr>
            </w:pPr>
            <w:r w:rsidRPr="00B227EA">
              <w:rPr>
                <w:kern w:val="0"/>
                <w:sz w:val="24"/>
                <w:szCs w:val="24"/>
              </w:rPr>
              <w:t>-</w:t>
            </w:r>
          </w:p>
        </w:tc>
      </w:tr>
    </w:tbl>
    <w:p w:rsidP="006C56AA" w:rsidR="00750D48" w:rsidRDefault="00750D48" w:rsidRPr="006C56AA">
      <w:pPr>
        <w:spacing w:line="360" w:lineRule="auto"/>
        <w:ind w:firstLine="480" w:firstLineChars="200"/>
        <w:rPr>
          <w:color w:val="000000"/>
          <w:sz w:val="24"/>
          <w:szCs w:val="24"/>
        </w:rPr>
      </w:pPr>
      <w:r w:rsidRPr="006C56AA">
        <w:rPr>
          <w:color w:val="000000"/>
          <w:sz w:val="24"/>
          <w:szCs w:val="24"/>
        </w:rPr>
        <w:t>注：该基金的发起份额承诺持有期限已满3年，发起份额已全部赎回。</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lastRenderedPageBreak/>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报告期内单一投资者持有基金份额比例达到或超过20%的情况</w:t>
      </w:r>
    </w:p>
    <w:tbl>
      <w:tblPr>
        <w:tblStyle w:val="af7"/>
        <w:tblW w:type="dxa" w:w="9640"/>
        <w:jc w:val="center"/>
        <w:tblLayout w:type="fixed"/>
        <w:tblLook w:firstColumn="1" w:firstRow="1" w:lastColumn="0" w:lastRow="0" w:noHBand="0" w:noVBand="1" w:val="04A0"/>
      </w:tblPr>
      <w:tblGrid>
        <w:gridCol w:w="1798"/>
        <w:gridCol w:w="709"/>
        <w:gridCol w:w="1985"/>
        <w:gridCol w:w="1134"/>
        <w:gridCol w:w="992"/>
        <w:gridCol w:w="1134"/>
        <w:gridCol w:w="1037"/>
        <w:gridCol w:w="851"/>
      </w:tblGrid>
      <w:tr w:rsidR="001F5F5D" w:rsidRPr="00FC0759" w:rsidTr="007125DB">
        <w:trPr>
          <w:jc w:val="center"/>
        </w:trPr>
        <w:tc>
          <w:tcPr>
            <w:tcW w:type="dxa" w:w="1798"/>
            <w:vMerge w:val="restart"/>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投资者类别</w:t>
            </w:r>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roofErr w:type="spellStart"/>
            <w:r w:rsidRPr="00FC0759">
              <w:rPr>
                <w:rFonts w:eastAsia="仿宋"/>
                <w:color w:themeColor="text1" w:val="000000"/>
                <w:sz w:val="24"/>
                <w:szCs w:val="24"/>
              </w:rPr>
              <w:t/>
            </w:r>
            <w:proofErr w:type="spellEnd"/>
            <w:r w:rsidRPr="00FC0759">
              <w:rPr>
                <w:rFonts w:eastAsia="仿宋"/>
                <w:color w:themeColor="text1" w:val="000000"/>
                <w:sz w:val="24"/>
                <w:szCs w:val="24"/>
              </w:rPr>
              <w:t/>
            </w:r>
          </w:p>
        </w:tc>
        <w:tc>
          <w:tcPr>
            <w:tcW w:type="dxa" w:w="5954"/>
            <w:gridSpan w:val="5"/>
            <w:vAlign w:val="center"/>
          </w:tcPr>
          <w:p w:rsidP="00D9482C" w:rsidR="001F5F5D" w:rsidRDefault="001F5F5D" w:rsidRPr="00FC0759">
            <w:pPr>
              <w:autoSpaceDE w:val="0"/>
              <w:autoSpaceDN w:val="0"/>
              <w:adjustRightInd w:val="0"/>
              <w:ind w:firstLine="1126"/>
              <w:jc w:val="center"/>
              <w:rPr>
                <w:rFonts w:eastAsiaTheme="minorEastAsia"/>
                <w:b/>
                <w:bCs/>
                <w:color w:themeColor="text1" w:val="000000"/>
                <w:sz w:val="24"/>
                <w:szCs w:val="24"/>
              </w:rPr>
            </w:pPr>
            <w:r w:rsidRPr="00FC0759">
              <w:rPr>
                <w:color w:val="000000"/>
                <w:sz w:val="24"/>
                <w:szCs w:val="24"/>
              </w:rPr>
              <w:t>报告期内持有基金份额变化情况</w:t>
            </w:r>
          </w:p>
        </w:tc>
        <w:tc>
          <w:tcPr>
            <w:tcW w:type="dxa" w:w="1888"/>
            <w:gridSpan w:val="2"/>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报告期末持有基金情况</w:t>
            </w:r>
          </w:p>
        </w:tc>
      </w:tr>
      <w:tr w:rsidR="001F5F5D" w:rsidRPr="00FC0759" w:rsidTr="007125DB">
        <w:trPr>
          <w:jc w:val="center"/>
        </w:trPr>
        <w:tc>
          <w:tcPr>
            <w:tcW w:type="dxa" w:w="1798"/>
            <w:vMerge/>
            <w:vAlign w:val="center"/>
          </w:tcPr>
          <w:p w:rsidP="00D9482C" w:rsidR="001F5F5D" w:rsidRDefault="001F5F5D" w:rsidRPr="00FC0759">
            <w:pPr>
              <w:autoSpaceDE w:val="0"/>
              <w:autoSpaceDN w:val="0"/>
              <w:adjustRightInd w:val="0"/>
              <w:ind w:firstLine="1234"/>
              <w:jc w:val="center"/>
              <w:rPr>
                <w:rFonts w:eastAsiaTheme="minorEastAsia"/>
                <w:b/>
                <w:bCs/>
                <w:color w:themeColor="text1" w:val="000000"/>
                <w:sz w:val="24"/>
                <w:szCs w:val="24"/>
              </w:rPr>
            </w:pPr>
          </w:p>
        </w:tc>
        <w:tc>
          <w:tcPr>
            <w:tcW w:type="dxa" w:w="709"/>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序号</w:t>
            </w:r>
          </w:p>
        </w:tc>
        <w:tc>
          <w:tcPr>
            <w:tcW w:type="dxa" w:w="1985"/>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持有基金份额比例达到或者超过</w:t>
            </w:r>
            <w:r w:rsidRPr="00FC0759">
              <w:rPr>
                <w:color w:val="000000"/>
                <w:sz w:val="24"/>
                <w:szCs w:val="24"/>
              </w:rPr>
              <w:t>20%</w:t>
            </w:r>
            <w:r w:rsidRPr="00FC0759">
              <w:rPr>
                <w:color w:val="000000"/>
                <w:sz w:val="24"/>
                <w:szCs w:val="24"/>
              </w:rPr>
              <w:t>的时间区间</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期初份额</w:t>
            </w:r>
          </w:p>
        </w:tc>
        <w:tc>
          <w:tcPr>
            <w:tcW w:type="dxa" w:w="992"/>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申购份额</w:t>
            </w:r>
          </w:p>
        </w:tc>
        <w:tc>
          <w:tcPr>
            <w:tcW w:type="dxa" w:w="1134"/>
            <w:vAlign w:val="center"/>
          </w:tcPr>
          <w:p w:rsidP="00D9482C" w:rsidR="001F5F5D" w:rsidRDefault="001F5F5D" w:rsidRPr="00FC0759">
            <w:pPr>
              <w:widowControl/>
              <w:rPr>
                <w:rFonts w:eastAsiaTheme="minorEastAsia"/>
                <w:b/>
                <w:bCs/>
                <w:color w:themeColor="text1" w:val="000000"/>
                <w:sz w:val="24"/>
                <w:szCs w:val="24"/>
              </w:rPr>
            </w:pPr>
            <w:r w:rsidRPr="00FC0759">
              <w:rPr>
                <w:color w:val="000000"/>
                <w:sz w:val="24"/>
                <w:szCs w:val="24"/>
              </w:rPr>
              <w:t>赎回份额</w:t>
            </w:r>
          </w:p>
        </w:tc>
        <w:tc>
          <w:tcPr>
            <w:tcW w:type="dxa" w:w="1037"/>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持有份额</w:t>
            </w:r>
          </w:p>
        </w:tc>
        <w:tc>
          <w:tcPr>
            <w:tcW w:type="dxa" w:w="851"/>
            <w:vAlign w:val="center"/>
          </w:tcPr>
          <w:p w:rsidP="00D9482C" w:rsidR="001F5F5D" w:rsidRDefault="001F5F5D" w:rsidRPr="00FC0759">
            <w:pPr>
              <w:autoSpaceDE w:val="0"/>
              <w:autoSpaceDN w:val="0"/>
              <w:adjustRightInd w:val="0"/>
              <w:jc w:val="center"/>
              <w:rPr>
                <w:rFonts w:eastAsiaTheme="minorEastAsia"/>
                <w:b/>
                <w:bCs/>
                <w:color w:themeColor="text1" w:val="000000"/>
                <w:sz w:val="24"/>
                <w:szCs w:val="24"/>
              </w:rPr>
            </w:pPr>
            <w:r w:rsidRPr="00FC0759">
              <w:rPr>
                <w:color w:val="000000"/>
                <w:sz w:val="24"/>
                <w:szCs w:val="24"/>
              </w:rPr>
              <w:t>份额占比</w:t>
            </w:r>
          </w:p>
        </w:tc>
      </w:tr>
      <w:tr>
        <w:tc>
          <w:tcPr>
            <w:vMerge w:val="restart"/>
            <w:vAlign w:val="center"/>
          </w:tcPr>
          <w:p>
            <w:r>
              <w:rPr>
                <w:sz w:val="24"/>
                <w:szCs w:val="24"/>
              </w:rPr>
              <w:t/>
            </w:r>
            <w:r>
              <w:rPr>
                <w:sz w:val="24"/>
                <w:szCs w:val="24"/>
              </w:rPr>
              <w:t>中国建设银行－易方达沪深300交易型开放式指数发起式证券投资基金联接基金</w:t>
            </w:r>
          </w:p>
        </w:tc>
        <w:tc>
          <w:tcPr>
            <w:vAlign w:val="center"/>
          </w:tcPr>
          <w:p>
            <w:pPr>
              <w:jc w:val="center"/>
            </w:pPr>
            <w:r>
              <w:rPr>
                <w:sz w:val="24"/>
                <w:szCs w:val="24"/>
              </w:rPr>
              <w:t>1</w:t>
            </w:r>
          </w:p>
        </w:tc>
        <w:tc>
          <w:tcPr>
            <w:vAlign w:val="center"/>
          </w:tcPr>
          <w:p>
            <w:pPr>
              <w:jc w:val="center"/>
            </w:pPr>
            <w:r>
              <w:rPr>
                <w:sz w:val="24"/>
                <w:szCs w:val="24"/>
              </w:rPr>
              <w:t>2020年04月01日~2020年06月30日</w:t>
            </w:r>
          </w:p>
        </w:tc>
        <w:tc>
          <w:tcPr>
            <w:vAlign w:val="center"/>
          </w:tcPr>
          <w:p>
            <w:pPr>
              <w:jc w:val="center"/>
            </w:pPr>
            <w:r>
              <w:rPr>
                <w:sz w:val="24"/>
                <w:szCs w:val="24"/>
              </w:rPr>
              <w:t>3,412,698,531.00</w:t>
            </w:r>
          </w:p>
        </w:tc>
        <w:tc>
          <w:tcPr>
            <w:vAlign w:val="center"/>
          </w:tcPr>
          <w:p>
            <w:pPr>
              <w:jc w:val="center"/>
            </w:pPr>
            <w:r>
              <w:rPr>
                <w:sz w:val="24"/>
                <w:szCs w:val="24"/>
              </w:rPr>
              <w:t>1,458,375,500.00</w:t>
            </w:r>
          </w:p>
        </w:tc>
        <w:tc>
          <w:tcPr>
            <w:vAlign w:val="center"/>
          </w:tcPr>
          <w:p>
            <w:pPr>
              <w:jc w:val="center"/>
            </w:pPr>
            <w:r>
              <w:rPr>
                <w:sz w:val="24"/>
                <w:szCs w:val="24"/>
              </w:rPr>
              <w:t>2,088,853,300.00</w:t>
            </w:r>
          </w:p>
        </w:tc>
        <w:tc>
          <w:tcPr>
            <w:vAlign w:val="center"/>
          </w:tcPr>
          <w:p>
            <w:pPr>
              <w:jc w:val="center"/>
            </w:pPr>
            <w:r>
              <w:rPr>
                <w:sz w:val="24"/>
                <w:szCs w:val="24"/>
              </w:rPr>
              <w:t>2,782,220,731.00</w:t>
            </w:r>
          </w:p>
        </w:tc>
        <w:tc>
          <w:tcPr>
            <w:vAlign w:val="center"/>
          </w:tcPr>
          <w:p>
            <w:pPr>
              <w:jc w:val="center"/>
            </w:pPr>
            <w:r>
              <w:rPr>
                <w:sz w:val="24"/>
                <w:szCs w:val="24"/>
              </w:rPr>
              <w:t>66.21%</w:t>
            </w:r>
          </w:p>
        </w:tc>
      </w:tr>
    </w:tbl>
    <w:tbl>
      <w:tblPr>
        <w:tblStyle w:val="af7"/>
        <w:tblW w:type="dxa" w:w="9637"/>
        <w:jc w:val="center"/>
        <w:tblLayout w:type="fixed"/>
        <w:tblLook w:firstColumn="1" w:firstRow="1" w:lastColumn="0" w:lastRow="0" w:noHBand="0" w:noVBand="1" w:val="04A0"/>
      </w:tblPr>
      <w:tblGrid>
        <w:gridCol w:w="9637"/>
      </w:tblGrid>
      <w:tr w:rsidR="001F5F5D" w:rsidRPr="00FC0759" w:rsidTr="00D9482C">
        <w:trPr>
          <w:jc w:val="center"/>
        </w:trPr>
        <w:tc>
          <w:tcPr>
            <w:tcW w:type="dxa" w:w="9637"/>
            <w:vAlign w:val="center"/>
          </w:tcPr>
          <w:p w:rsidP="003350A8" w:rsidR="001F5F5D" w:rsidRDefault="001F5F5D" w:rsidRPr="00FC0759">
            <w:pPr>
              <w:autoSpaceDE w:val="0"/>
              <w:autoSpaceDN w:val="0"/>
              <w:adjustRightInd w:val="0"/>
              <w:jc w:val="center"/>
              <w:rPr>
                <w:sz w:val="24"/>
                <w:szCs w:val="24"/>
              </w:rPr>
            </w:pPr>
            <w:r w:rsidRPr="00FC0759">
              <w:rPr>
                <w:color w:val="000000"/>
                <w:sz w:val="24"/>
                <w:szCs w:val="24"/>
              </w:rPr>
              <w:t>产品特有风险</w:t>
            </w:r>
            <w:r w:rsidRPr="00FC0759">
              <w:rPr>
                <w:sz w:val="24"/>
                <w:szCs w:val="24"/>
              </w:rPr>
              <w:t/>
            </w:r>
            <w:proofErr w:type="spellStart"/>
            <w:r w:rsidRPr="00FC0759">
              <w:rPr>
                <w:sz w:val="24"/>
                <w:szCs w:val="24"/>
              </w:rPr>
              <w:t/>
            </w:r>
            <w:proofErr w:type="spellEnd"/>
            <w:r w:rsidRPr="00FC0759">
              <w:rPr>
                <w:sz w:val="24"/>
                <w:szCs w:val="24"/>
              </w:rPr>
              <w:t/>
            </w:r>
          </w:p>
        </w:tc>
      </w:tr>
      <w:tr w:rsidR="001F5F5D" w:rsidRPr="00FC0759" w:rsidTr="00D9482C">
        <w:trPr>
          <w:jc w:val="center"/>
        </w:trPr>
        <w:tc>
          <w:tcPr>
            <w:tcW w:type="dxa" w:w="9637"/>
            <w:vAlign w:val="center"/>
          </w:tcPr>
          <w:p w:rsidP="00D9482C" w:rsidR="001F5F5D" w:rsidRDefault="001F5F5D" w:rsidRPr="00FC0759">
            <w:pPr>
              <w:autoSpaceDE w:val="0"/>
              <w:autoSpaceDN w:val="0"/>
              <w:adjustRightInd w:val="0"/>
              <w:jc w:val="left"/>
              <w:rPr>
                <w:sz w:val="24"/>
                <w:szCs w:val="24"/>
              </w:rPr>
            </w:pPr>
            <w:r w:rsidRPr="00FC0759">
              <w:rPr>
                <w:sz w:val="24"/>
                <w:szCs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p w:rsidP="001F5F5D" w:rsidR="001F5F5D" w:rsidRDefault="001F5F5D" w:rsidRPr="00FC0759">
      <w:pPr>
        <w:autoSpaceDE w:val="0"/>
        <w:autoSpaceDN w:val="0"/>
        <w:adjustRightInd w:val="0"/>
        <w:spacing w:line="360" w:lineRule="auto"/>
        <w:ind w:firstLine="480" w:firstLineChars="200"/>
        <w:jc w:val="left"/>
        <w:rPr>
          <w:rFonts w:eastAsiaTheme="minorEastAsia"/>
          <w:bCs/>
          <w:color w:themeColor="text1" w:val="000000"/>
          <w:kern w:val="0"/>
          <w:sz w:val="24"/>
          <w:szCs w:val="24"/>
        </w:rPr>
      </w:pPr>
      <w:r w:rsidRPr="00FC0759">
        <w:rPr>
          <w:bCs/>
          <w:color w:themeColor="text1" w:val="000000"/>
          <w:kern w:val="0"/>
          <w:sz w:val="24"/>
          <w:szCs w:val="24"/>
        </w:rPr>
        <w:t>注：申购份额包括申购或者买入基金份额，赎回份额包括赎回或者卖出基金份额。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1.中国证监会核准易方达沪深300交易型开放式指数发起式证券投资基金募集的文件；</w:t>
      </w:r>
    </w:p>
    <w:p>
      <w:pPr>
        <w:spacing w:line="360" w:lineRule="auto"/>
        <w:ind w:firstLine="480" w:firstLineChars="200"/>
        <w:rPr>
          <w:color w:val="000000"/>
          <w:sz w:val="24"/>
          <w:szCs w:val="24"/>
        </w:rPr>
      </w:pPr>
      <w:r>
        <w:rPr>
          <w:color w:val="000000"/>
          <w:sz w:val="24"/>
          <w:szCs w:val="24"/>
        </w:rPr>
        <w:t>2.《易方达沪深300交易型开放式指数发起式证券投资基金基金合同》；</w:t>
      </w:r>
    </w:p>
    <w:p>
      <w:pPr>
        <w:spacing w:line="360" w:lineRule="auto"/>
        <w:ind w:firstLine="480" w:firstLineChars="200"/>
        <w:rPr>
          <w:color w:val="000000"/>
          <w:sz w:val="24"/>
          <w:szCs w:val="24"/>
        </w:rPr>
      </w:pPr>
      <w:r>
        <w:rPr>
          <w:color w:val="000000"/>
          <w:sz w:val="24"/>
          <w:szCs w:val="24"/>
        </w:rPr>
        <w:t>3.《易方达沪深300交易型开放式指数发起式证券投资基金托管协议》；</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4.基金管理人业务资格批件和营业执照；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易方达沪深300交易型开放式指数发起式证券投资基金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