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542546" w:rsidR="00750D48" w:rsidRDefault="00750D48" w:rsidRPr="00264E55">
      <w:pPr>
        <w:spacing w:line="360" w:lineRule="auto"/>
        <w:jc w:val="center"/>
        <w:rPr>
          <w:rFonts w:ascii="宋体" w:hAnsi="宋体"/>
          <w:b/>
          <w:sz w:val="36"/>
          <w:szCs w:val="36"/>
        </w:rPr>
      </w:pPr>
      <w:r w:rsidRPr="00264E55">
        <w:rPr>
          <w:rFonts w:ascii="宋体"/>
          <w:b/>
          <w:sz w:val="36"/>
          <w:szCs w:val="36"/>
        </w:rPr>
        <w:t/>
      </w:r>
      <w:proofErr w:type="spellStart"/>
      <w:proofErr w:type="gramStart"/>
      <w:r w:rsidRPr="00264E55">
        <w:rPr>
          <w:rFonts w:ascii="宋体" w:hAnsi="宋体"/>
          <w:b/>
          <w:sz w:val="36"/>
          <w:szCs w:val="36"/>
        </w:rPr>
        <w:t/>
      </w:r>
      <w:proofErr w:type="spellEnd"/>
      <w:proofErr w:type="gramEnd"/>
      <w:r w:rsidRPr="00264E55">
        <w:rPr>
          <w:rFonts w:ascii="宋体" w:hAnsi="宋体"/>
          <w:b/>
          <w:sz w:val="36"/>
          <w:szCs w:val="36"/>
        </w:rPr>
        <w:t>易方达上证中盘交易型开放式指数证券投资基金</w:t>
      </w:r>
    </w:p>
    <w:p w:rsidP="00542546" w:rsidR="00750D48" w:rsidRDefault="00750D48" w:rsidRPr="00264E55">
      <w:pPr>
        <w:spacing w:line="360" w:lineRule="auto"/>
        <w:jc w:val="center"/>
        <w:rPr>
          <w:rFonts w:ascii="宋体" w:hAnsi="宋体"/>
          <w:b/>
          <w:sz w:val="36"/>
          <w:szCs w:val="36"/>
        </w:rPr>
      </w:pPr>
      <w:r w:rsidRPr="00264E55">
        <w:rPr>
          <w:rFonts w:ascii="宋体" w:hAnsi="宋体"/>
          <w:b/>
          <w:sz w:val="36"/>
          <w:szCs w:val="36"/>
        </w:rPr>
        <w:t/>
      </w:r>
      <w:proofErr w:type="spellStart"/>
      <w:r w:rsidRPr="00264E55">
        <w:rPr>
          <w:rFonts w:ascii="宋体" w:hAnsi="宋体"/>
          <w:b/>
          <w:sz w:val="36"/>
          <w:szCs w:val="36"/>
        </w:rPr>
        <w:t/>
      </w:r>
      <w:proofErr w:type="spellEnd"/>
      <w:r w:rsidRPr="00264E55">
        <w:rPr>
          <w:rFonts w:ascii="宋体" w:hAnsi="宋体"/>
          <w:b/>
          <w:sz w:val="36"/>
          <w:szCs w:val="36"/>
        </w:rPr>
        <w:t>2020年第2季度报告</w:t>
      </w:r>
    </w:p>
    <w:p w:rsidP="00542546" w:rsidR="00750D48" w:rsidRDefault="00750D48" w:rsidRPr="00093704">
      <w:pPr>
        <w:spacing w:line="360" w:lineRule="auto"/>
        <w:jc w:val="center"/>
        <w:rPr>
          <w:rFonts w:ascii="宋体" w:hAnsi="宋体"/>
          <w:b/>
          <w:sz w:val="24"/>
          <w:szCs w:val="24"/>
        </w:rPr>
      </w:pPr>
      <w:r w:rsidRPr="00093704">
        <w:rPr>
          <w:rFonts w:ascii="宋体"/>
          <w:b/>
          <w:sz w:val="24"/>
          <w:szCs w:val="24"/>
        </w:rPr>
        <w:t/>
      </w:r>
      <w:proofErr w:type="spellStart"/>
      <w:proofErr w:type="gramStart"/>
      <w:r w:rsidRPr="00093704">
        <w:rPr>
          <w:rFonts w:ascii="宋体" w:hAnsi="宋体"/>
          <w:b/>
          <w:sz w:val="24"/>
          <w:szCs w:val="24"/>
        </w:rPr>
        <w:t/>
      </w:r>
      <w:proofErr w:type="spellEnd"/>
      <w:proofErr w:type="gramEnd"/>
      <w:r w:rsidRPr="00093704">
        <w:rPr>
          <w:rFonts w:ascii="宋体" w:hAnsi="宋体"/>
          <w:b/>
          <w:sz w:val="24"/>
          <w:szCs w:val="24"/>
        </w:rPr>
        <w:t>2020年6月30日</w:t>
      </w: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rPr>
          <w:rFonts w:ascii="宋体"/>
          <w:b/>
          <w:bCs/>
          <w:color w:val="000000"/>
          <w:sz w:val="24"/>
          <w:szCs w:val="24"/>
        </w:rPr>
      </w:pP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基金管理人：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易方达基金管理有限公司</w:t>
      </w: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基金托管人：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中国工商银行股份有限公司</w:t>
      </w:r>
    </w:p>
    <w:p w:rsidP="00EB572F" w:rsidR="00750D48" w:rsidRDefault="00750D48" w:rsidRPr="00264E55">
      <w:pPr>
        <w:spacing w:line="360" w:lineRule="auto"/>
        <w:ind w:firstLine="2168" w:firstLineChars="900"/>
        <w:rPr>
          <w:rFonts w:ascii="宋体" w:hAnsi="宋体"/>
          <w:b/>
          <w:color w:val="000000"/>
          <w:sz w:val="24"/>
          <w:szCs w:val="24"/>
        </w:rPr>
        <w:sectPr w:rsidR="00750D48" w:rsidRPr="00264E55" w:rsidSect="00304A12">
          <w:headerReference r:id="rId9" w:type="default"/>
          <w:footerReference r:id="rId10" w:type="default"/>
          <w:pgSz w:h="15840" w:w="11926"/>
          <w:pgMar w:bottom="851" w:footer="992" w:gutter="0" w:header="851" w:left="1418" w:right="1418" w:top="1418"/>
          <w:cols w:space="720"/>
          <w:noEndnote/>
        </w:sectPr>
      </w:pPr>
      <w:r w:rsidRPr="00264E55">
        <w:rPr>
          <w:rFonts w:ascii="宋体" w:hAnsi="宋体" w:hint="eastAsia"/>
          <w:b/>
          <w:color w:val="000000"/>
          <w:sz w:val="24"/>
          <w:szCs w:val="24"/>
        </w:rPr>
        <w:t>报告送出日期：</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二〇二〇年七月二十一日</w:t>
      </w:r>
    </w:p>
    <w:p w:rsidP="004D28A3" w:rsidR="00750D48" w:rsidRDefault="00750D48" w:rsidRPr="00264E55">
      <w:pPr>
        <w:pStyle w:val="1"/>
        <w:spacing w:after="312" w:afterLines="100" w:before="312" w:beforeLines="100" w:line="360" w:lineRule="auto"/>
        <w:jc w:val="center"/>
        <w:rPr>
          <w:rFonts w:ascii="宋体"/>
          <w:b w:val="0"/>
          <w:bCs w:val="0"/>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1  </w:t>
      </w:r>
      <w:r w:rsidRPr="00264E55">
        <w:rPr>
          <w:rFonts w:ascii="宋体" w:hAnsi="宋体" w:hint="eastAsia"/>
          <w:color w:val="000000"/>
          <w:kern w:val="0"/>
          <w:sz w:val="24"/>
          <w:szCs w:val="24"/>
        </w:rPr>
        <w:t>重要提示</w:t>
      </w:r>
    </w:p>
    <w:p>
      <w:pPr>
        <w:spacing w:line="360" w:lineRule="auto"/>
        <w:ind w:firstLine="480" w:firstLineChars="200"/>
        <w:rPr>
          <w:color w:val="000000"/>
          <w:sz w:val="24"/>
          <w:szCs w:val="24"/>
        </w:rPr>
      </w:pPr>
      <w:r>
        <w:rPr>
          <w:color w:val="000000"/>
          <w:sz w:val="24"/>
          <w:szCs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szCs w:val="24"/>
        </w:rPr>
      </w:pPr>
      <w:r>
        <w:rPr>
          <w:color w:val="000000"/>
          <w:sz w:val="24"/>
          <w:szCs w:val="24"/>
        </w:rPr>
        <w:t xml:space="preserve">基金托管人中国工商银行股份有限公司根据本基金合同规定，于2020年7月17日复核了本报告中的财务指标、净值表现和投资组合报告等内容，保证复核内容不存在虚假记载、误导性陈述或者重大遗漏。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szCs w:val="24"/>
        </w:rPr>
      </w:pPr>
      <w:r>
        <w:rPr>
          <w:color w:val="000000"/>
          <w:sz w:val="24"/>
          <w:szCs w:val="24"/>
        </w:rPr>
        <w:t xml:space="preserve">基金管理人承诺以诚实信用、勤勉尽责的原则管理和运用基金资产，但不保证基金一定盈利。 </w:t>
      </w:r>
    </w:p>
    <w:p>
      <w:pPr>
        <w:spacing w:line="360" w:lineRule="auto"/>
        <w:ind w:firstLine="480" w:firstLineChars="200"/>
        <w:rPr>
          <w:color w:val="000000"/>
          <w:sz w:val="24"/>
          <w:szCs w:val="24"/>
        </w:rPr>
      </w:pPr>
      <w:r>
        <w:rPr>
          <w:color w:val="000000"/>
          <w:sz w:val="24"/>
          <w:szCs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szCs w:val="24"/>
        </w:rPr>
      </w:pPr>
      <w:r>
        <w:rPr>
          <w:color w:val="000000"/>
          <w:sz w:val="24"/>
          <w:szCs w:val="24"/>
        </w:rPr>
        <w:t>本报告中财务资料未经审计。</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proofErr w:type="gramStart"/>
      <w:r w:rsidRPr="006C56AA">
        <w:rPr>
          <w:color w:val="000000"/>
          <w:sz w:val="24"/>
          <w:szCs w:val="24"/>
        </w:rPr>
        <w:t/>
      </w:r>
      <w:proofErr w:type="spellEnd"/>
      <w:proofErr w:type="gramEnd"/>
      <w:r w:rsidRPr="006C56AA">
        <w:rPr>
          <w:color w:val="000000"/>
          <w:sz w:val="24"/>
          <w:szCs w:val="24"/>
        </w:rPr>
        <w:t>本报告期自2020年4月1日起至6月30日止。</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2  </w:t>
      </w:r>
      <w:r w:rsidRPr="00264E55">
        <w:rPr>
          <w:rFonts w:ascii="宋体"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750D48" w:rsidRPr="00264E55" w:rsidTr="00500A03">
        <w:tc>
          <w:tcPr>
            <w:tcW w:type="dxa" w:w="2835"/>
          </w:tcPr>
          <w:p w:rsidP="007B5AFB" w:rsidR="00750D48" w:rsidRDefault="00750D48" w:rsidRPr="00232B03">
            <w:pPr>
              <w:adjustRightInd w:val="0"/>
              <w:spacing w:before="29" w:line="360" w:lineRule="auto"/>
              <w:ind w:left="17"/>
              <w:jc w:val="left"/>
              <w:rPr>
                <w:kern w:val="0"/>
                <w:sz w:val="24"/>
                <w:szCs w:val="24"/>
              </w:rPr>
            </w:pPr>
            <w:r w:rsidRPr="00232B03">
              <w:rPr>
                <w:kern w:val="0"/>
                <w:sz w:val="24"/>
                <w:szCs w:val="24"/>
              </w:rPr>
              <w:t>基金简称</w:t>
            </w:r>
          </w:p>
        </w:tc>
        <w:tc>
          <w:tcPr>
            <w:tcW w:type="dxa" w:w="5479"/>
            <w:gridSpan w:val="2"/>
          </w:tcPr>
          <w:p w:rsidP="007B5AFB"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易方达上证中盘ETF</w:t>
            </w:r>
          </w:p>
        </w:tc>
      </w:tr>
      <w:tr w:rsidR="00815999" w:rsidRPr="00264E55" w:rsidTr="003328D9">
        <w:tc>
          <w:tcPr>
            <w:tcW w:type="dxa" w:w="2835"/>
            <w:vAlign w:val="center"/>
          </w:tcPr>
          <w:p w:rsidP="00815999" w:rsidR="00815999" w:rsidRDefault="00815999" w:rsidRPr="00232B03">
            <w:pPr>
              <w:adjustRightInd w:val="0"/>
              <w:spacing w:before="29" w:line="360" w:lineRule="auto"/>
              <w:ind w:left="17"/>
              <w:jc w:val="left"/>
              <w:rPr>
                <w:kern w:val="0"/>
                <w:sz w:val="24"/>
                <w:szCs w:val="24"/>
              </w:rPr>
            </w:pPr>
            <w:r w:rsidRPr="00232B03">
              <w:rPr>
                <w:kern w:val="0"/>
                <w:sz w:val="24"/>
                <w:szCs w:val="24"/>
              </w:rPr>
              <w:t>场内简称</w:t>
            </w:r>
          </w:p>
        </w:tc>
        <w:tc>
          <w:tcPr>
            <w:tcW w:type="dxa" w:w="5479"/>
            <w:gridSpan w:val="2"/>
            <w:vAlign w:val="center"/>
          </w:tcPr>
          <w:p w:rsidP="00815999" w:rsidR="00815999" w:rsidRDefault="00815999" w:rsidRPr="00232B03">
            <w:pPr>
              <w:adjustRightInd w:val="0"/>
              <w:spacing w:before="29" w:line="360" w:lineRule="auto"/>
              <w:ind w:left="17"/>
              <w:jc w:val="left"/>
              <w:rPr>
                <w:kern w:val="0"/>
                <w:sz w:val="24"/>
                <w:szCs w:val="24"/>
              </w:rPr>
            </w:pPr>
            <w:r w:rsidRPr="00232B03">
              <w:rPr>
                <w:kern w:val="0"/>
                <w:sz w:val="24"/>
                <w:szCs w:val="24"/>
              </w:rPr>
              <w:t/>
            </w:r>
            <w:proofErr w:type="spellStart"/>
            <w:r w:rsidRPr="00232B03">
              <w:rPr>
                <w:kern w:val="0"/>
                <w:sz w:val="24"/>
                <w:szCs w:val="24"/>
              </w:rPr>
              <w:t/>
            </w:r>
            <w:proofErr w:type="spellEnd"/>
            <w:r w:rsidRPr="00232B03">
              <w:rPr>
                <w:kern w:val="0"/>
                <w:sz w:val="24"/>
                <w:szCs w:val="24"/>
              </w:rPr>
              <w:t/>
            </w:r>
            <w:proofErr w:type="spellStart"/>
            <w:r w:rsidRPr="00232B03">
              <w:rPr>
                <w:kern w:val="0"/>
                <w:sz w:val="24"/>
                <w:szCs w:val="24"/>
              </w:rPr>
              <w:t/>
            </w:r>
            <w:proofErr w:type="spellEnd"/>
            <w:r w:rsidRPr="00232B03">
              <w:rPr>
                <w:kern w:val="0"/>
                <w:sz w:val="24"/>
                <w:szCs w:val="24"/>
              </w:rPr>
              <w:t>中盘ETF</w:t>
            </w:r>
          </w:p>
        </w:tc>
      </w:tr>
      <w:tr w:rsidR="00750D48" w:rsidRPr="00264E55" w:rsidTr="00D94B8D">
        <w:tc>
          <w:tcPr>
            <w:tcW w:type="dxa" w:w="2835"/>
          </w:tcPr>
          <w:p w:rsidR="00750D48" w:rsidRDefault="00750D48" w:rsidRPr="00232B03">
            <w:pPr>
              <w:adjustRightInd w:val="0"/>
              <w:spacing w:before="29" w:line="360" w:lineRule="auto"/>
              <w:ind w:left="17"/>
              <w:jc w:val="left"/>
              <w:rPr>
                <w:kern w:val="0"/>
                <w:sz w:val="24"/>
                <w:szCs w:val="24"/>
              </w:rPr>
            </w:pPr>
            <w:r w:rsidRPr="00232B03">
              <w:rPr>
                <w:kern w:val="0"/>
                <w:sz w:val="24"/>
                <w:szCs w:val="24"/>
              </w:rPr>
              <w:t>基金主代码</w:t>
            </w:r>
          </w:p>
        </w:tc>
        <w:tc>
          <w:tcPr>
            <w:tcW w:type="dxa" w:w="5479"/>
            <w:gridSpan w:val="2"/>
          </w:tcPr>
          <w:p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510130</w:t>
            </w:r>
          </w:p>
        </w:tc>
      </w:tr>
      <w:tr w:rsidR="00750D48" w:rsidRPr="00264E55" w:rsidTr="00D94B8D">
        <w:tc>
          <w:tcPr>
            <w:tcW w:type="dxa" w:w="2835"/>
          </w:tcPr>
          <w:p w:rsidP="00895A8A" w:rsidR="00750D48" w:rsidRDefault="00750D48" w:rsidRPr="00232B03">
            <w:pPr>
              <w:adjustRightInd w:val="0"/>
              <w:spacing w:before="29" w:line="360" w:lineRule="auto"/>
              <w:ind w:left="17"/>
              <w:jc w:val="left"/>
              <w:rPr>
                <w:kern w:val="0"/>
                <w:sz w:val="24"/>
                <w:szCs w:val="24"/>
              </w:rPr>
            </w:pPr>
            <w:r w:rsidRPr="00232B03">
              <w:rPr>
                <w:kern w:val="0"/>
                <w:sz w:val="24"/>
                <w:szCs w:val="24"/>
              </w:rPr>
              <w:t>交易代码</w:t>
            </w:r>
          </w:p>
        </w:tc>
        <w:tc>
          <w:tcPr>
            <w:tcW w:type="dxa" w:w="5479"/>
            <w:gridSpan w:val="2"/>
          </w:tcPr>
          <w:p w:rsidP="00895A8A" w:rsidR="00750D48" w:rsidRDefault="00750D48" w:rsidRPr="00232B03">
            <w:pPr>
              <w:adjustRightInd w:val="0"/>
              <w:spacing w:before="29" w:line="360" w:lineRule="auto"/>
              <w:ind w:left="17"/>
              <w:jc w:val="left"/>
              <w:rPr>
                <w:color w:val="000000"/>
                <w:kern w:val="0"/>
                <w:sz w:val="24"/>
                <w:szCs w:val="24"/>
              </w:rPr>
            </w:pPr>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510130</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基金运作方式</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交易型开放式（ETF）</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基金合同生效日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2010年3月29日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报告期末基金份额总额</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51,485,089.00</w:t>
            </w:r>
            <w:r w:rsidRPr="00232B03">
              <w:rPr>
                <w:color w:val="000000"/>
                <w:kern w:val="0"/>
                <w:sz w:val="24"/>
                <w:szCs w:val="24"/>
              </w:rPr>
              <w:t>份</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投资目标</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紧密跟踪标的指数，追求跟踪偏离度及跟踪误差的最小化。</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投资策略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采取完全复制法进行投资，即按照上证中盘指数的成份股组成及权重构建股票投资组合。但是当指数编制方法变更、成份股发生变更、成份股权重由于自由流通量发生变化、成份股派发现金股息、配股及增发、股票长期停牌、市场流动性不足等情况发生，基金管理人无法按照指数构成及权重进行同步调整时，基金管理人将对投资组合进行优化，尽量降低跟踪误差。</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业绩比较基准</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上证中盘指数</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风险收益特征</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本基金属股票型基金，预期风险与收益水平高于混合基金、债券基金与货币市场基金。本基金为指数型基金，采用完全复制法跟踪标的指数的表现，具有与标的指数相似的风险收益特征。</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基金管理人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易方达基金管理有限公司</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基金托管人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中国工商银行股份有限公司</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3  </w:t>
      </w:r>
      <w:r w:rsidRPr="00264E55">
        <w:rPr>
          <w:rFonts w:ascii="宋体" w:hAnsi="宋体" w:hint="eastAsia"/>
          <w:color w:val="000000"/>
          <w:kern w:val="0"/>
          <w:sz w:val="24"/>
          <w:szCs w:val="24"/>
        </w:rPr>
        <w:t>主要财务指标和基金净值表现</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3.1 </w:t>
      </w:r>
      <w:r w:rsidRPr="00264E55">
        <w:rPr>
          <w:rFonts w:ascii="宋体" w:hAnsi="宋体" w:hint="eastAsia"/>
          <w:b/>
          <w:bCs/>
          <w:color w:val="000000"/>
          <w:kern w:val="0"/>
          <w:sz w:val="24"/>
          <w:szCs w:val="24"/>
        </w:rPr>
        <w:t>主要财务指标</w:t>
      </w:r>
    </w:p>
    <w:p w:rsidP="00392044" w:rsidR="00392044" w:rsidRDefault="00392044"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392044" w:rsidRPr="006506EF" w:rsidTr="00C3442A">
        <w:tc>
          <w:tcPr>
            <w:tcW w:type="dxa" w:w="3402"/>
            <w:vAlign w:val="center"/>
          </w:tcPr>
          <w:p w:rsidP="00C3442A" w:rsidR="00392044" w:rsidRDefault="00392044"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roofErr w:type="spellStart"/>
            <w:r w:rsidRPr="006506EF">
              <w:rPr>
                <w:kern w:val="0"/>
                <w:sz w:val="24"/>
              </w:rPr>
              <w:t/>
            </w:r>
            <w:proofErr w:type="spellEnd"/>
            <w:r w:rsidRPr="006506EF">
              <w:rPr>
                <w:kern w:val="0"/>
                <w:sz w:val="24"/>
              </w:rPr>
              <w:t/>
            </w:r>
          </w:p>
        </w:tc>
        <w:tc>
          <w:tcPr>
            <w:tcW w:type="dxa" w:w="4962"/>
            <w:hMerge w:val="restart"/>
            <w:vAlign w:val="center"/>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报告期</w:t>
            </w:r>
          </w:p>
          <w:p w:rsidP="00C3442A" w:rsidR="00392044" w:rsidRDefault="00392044" w:rsidRPr="006506EF">
            <w:pPr>
              <w:adjustRightInd w:val="0"/>
              <w:spacing w:before="29" w:line="360" w:lineRule="auto"/>
              <w:ind w:left="17"/>
              <w:jc w:val="center"/>
              <w:rPr>
                <w:color w:val="000000"/>
                <w:sz w:val="24"/>
              </w:rPr>
            </w:pPr>
            <w:r w:rsidRPr="006506EF">
              <w:rPr>
                <w:color w:val="000000"/>
                <w:sz w:val="24"/>
              </w:rPr>
              <w:t>(</w:t>
            </w:r>
            <w:proofErr w:type="spellStart"/>
            <w:r w:rsidRPr="006506EF">
              <w:rPr>
                <w:color w:val="000000"/>
                <w:sz w:val="24"/>
              </w:rPr>
              <w:t/>
            </w:r>
            <w:proofErr w:type="spellEnd"/>
            <w:r w:rsidRPr="006506EF">
              <w:rPr>
                <w:color w:val="000000"/>
                <w:sz w:val="24"/>
              </w:rPr>
              <w:t>2020年4月1日-</w:t>
            </w:r>
            <w:proofErr w:type="spellStart"/>
            <w:r w:rsidRPr="006506EF">
              <w:rPr>
                <w:color w:val="000000"/>
                <w:sz w:val="24"/>
              </w:rPr>
              <w:t/>
            </w:r>
            <w:proofErr w:type="spellEnd"/>
            <w:r w:rsidRPr="006506EF">
              <w:rPr>
                <w:color w:val="000000"/>
                <w:sz w:val="24"/>
              </w:rPr>
              <w:t>2020年6月30日)</w:t>
            </w:r>
          </w:p>
        </w:tc>
        <w:tc>
          <w:tcPr>
            <w:tcW w:type="dxa" w:w="2410"/>
            <w:hMerge/>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roofErr w:type="spellStart"/>
            <w:r w:rsidRPr="006506EF">
              <w:rPr>
                <w:color w:val="000000"/>
                <w:sz w:val="24"/>
              </w:rPr>
              <w:t/>
            </w:r>
            <w:proofErr w:type="spellEnd"/>
            <w:r w:rsidRPr="006506EF">
              <w:rPr>
                <w:color w:val="000000"/>
                <w:sz w:val="24"/>
              </w:rPr>
              <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2,410,173.33</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23,211,636.47</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0.4273</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217,133,761.77</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rPr>
          <w:trHeight w:val="158"/>
        </w:trPr>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4.2174</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bl>
    <w:p>
      <w:pPr>
        <w:spacing w:line="360" w:lineRule="auto"/>
        <w:ind w:firstLine="480" w:firstLineChars="200"/>
        <w:rPr>
          <w:color w:val="000000"/>
          <w:sz w:val="24"/>
          <w:szCs w:val="24"/>
        </w:rPr>
      </w:pPr>
      <w:r>
        <w:rPr>
          <w:color w:val="000000"/>
          <w:sz w:val="24"/>
        </w:rPr>
        <w:t>注：1.所述基金业绩指标不包括持有人认购或交易基金的各项费用，计入费用后实际收益水平要低于所列数字。</w:t>
      </w:r>
    </w:p>
    <w:p>
      <w:pPr>
        <w:spacing w:line="360" w:lineRule="auto"/>
        <w:ind w:firstLine="480" w:firstLineChars="200"/>
        <w:rPr>
          <w:color w:val="000000"/>
          <w:sz w:val="24"/>
          <w:szCs w:val="24"/>
        </w:rPr>
      </w:pPr>
      <w:r>
        <w:rPr>
          <w:color w:val="000000"/>
          <w:sz w:val="24"/>
        </w:rPr>
        <w:t>2.本期已实现收益指基金本期利息收入、投资收益、其他收入（不含公允价值变动收益）扣除相关费用后的余额，本期利润为本期已实现收益加上本期公允价值变动收益。</w:t>
      </w:r>
    </w:p>
    <w:p w:rsidP="00232B03" w:rsidR="00750D48" w:rsidRDefault="00392044" w:rsidRPr="00232B03">
      <w:pPr>
        <w:spacing w:line="360" w:lineRule="auto"/>
        <w:ind w:firstLine="480" w:firstLineChars="200"/>
        <w:rPr>
          <w:color w:val="000000"/>
          <w:sz w:val="24"/>
          <w:szCs w:val="24"/>
        </w:rPr>
      </w:pPr>
      <w:r w:rsidRPr="006506EF">
        <w:rPr>
          <w:color w:val="000000"/>
          <w:sz w:val="24"/>
        </w:rPr>
        <w:t/>
      </w:r>
      <w:proofErr w:type="spellStart"/>
      <w:r w:rsidRPr="006506EF">
        <w:rPr>
          <w:color w:val="000000"/>
          <w:sz w:val="24"/>
        </w:rPr>
        <w:t/>
      </w:r>
      <w:proofErr w:type="spellEnd"/>
      <w:r w:rsidRPr="006506EF">
        <w:rPr>
          <w:color w:val="000000"/>
          <w:sz w:val="24"/>
        </w:rPr>
        <w:t/>
      </w:r>
      <w:proofErr w:type="spellStart"/>
      <w:proofErr w:type="gramStart"/>
      <w:r w:rsidRPr="006506EF">
        <w:rPr>
          <w:color w:val="000000"/>
          <w:sz w:val="24"/>
        </w:rPr>
        <w:t/>
      </w:r>
      <w:proofErr w:type="spellEnd"/>
      <w:proofErr w:type="gramEnd"/>
      <w:r w:rsidRPr="006506EF">
        <w:rPr>
          <w:color w:val="000000"/>
          <w:sz w:val="24"/>
        </w:rPr>
        <w:t>3.本基金已于2010年5月28日进行了基金份额折算，折算比例为0.34394741。</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3.2 </w:t>
      </w:r>
      <w:r w:rsidRPr="00264E55">
        <w:rPr>
          <w:rFonts w:ascii="宋体" w:hAnsi="宋体" w:hint="eastAsia"/>
          <w:b/>
          <w:bCs/>
          <w:color w:val="000000"/>
          <w:kern w:val="0"/>
          <w:sz w:val="24"/>
          <w:szCs w:val="24"/>
        </w:rPr>
        <w:t>基金净值表现</w:t>
      </w:r>
    </w:p>
    <w:p w:rsidP="009E7C6A" w:rsidR="00750D48" w:rsidRDefault="00750D48" w:rsidRPr="00264E55">
      <w:pPr>
        <w:autoSpaceDE w:val="0"/>
        <w:autoSpaceDN w:val="0"/>
        <w:adjustRightInd w:val="0"/>
        <w:spacing w:line="360" w:lineRule="auto"/>
        <w:jc w:val="left"/>
        <w:rPr>
          <w:rFonts w:ascii="宋体" w:cs="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3.2.1</w:t>
        </w:r>
      </w:smartTag>
      <w:r w:rsidRPr="00264E55">
        <w:rPr>
          <w:rFonts w:ascii="宋体" w:cs="宋体" w:hAnsi="宋体" w:hint="eastAsia"/>
          <w:b/>
          <w:bCs/>
          <w:color w:val="000000"/>
          <w:kern w:val="0"/>
          <w:sz w:val="24"/>
          <w:szCs w:val="24"/>
        </w:rPr>
        <w:t>本报告</w:t>
      </w:r>
      <w:proofErr w:type="gramStart"/>
      <w:r w:rsidRPr="00264E55">
        <w:rPr>
          <w:rFonts w:ascii="宋体" w:cs="宋体" w:hAnsi="宋体" w:hint="eastAsia"/>
          <w:b/>
          <w:bCs/>
          <w:color w:val="000000"/>
          <w:kern w:val="0"/>
          <w:sz w:val="24"/>
          <w:szCs w:val="24"/>
        </w:rPr>
        <w:t>期基金</w:t>
      </w:r>
      <w:proofErr w:type="gramEnd"/>
      <w:r w:rsidRPr="00264E55">
        <w:rPr>
          <w:rFonts w:ascii="宋体" w:cs="宋体" w:hAnsi="宋体" w:hint="eastAsia"/>
          <w:b/>
          <w:bCs/>
          <w:color w:val="000000"/>
          <w:kern w:val="0"/>
          <w:sz w:val="24"/>
          <w:szCs w:val="24"/>
        </w:rPr>
        <w:t>份额净值增长率及其与同期业绩比较基准收益率的比较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395"/>
        <w:gridCol w:w="1092"/>
        <w:gridCol w:w="1161"/>
        <w:gridCol w:w="1181"/>
        <w:gridCol w:w="1188"/>
        <w:gridCol w:w="1199"/>
        <w:gridCol w:w="1204"/>
      </w:tblGrid>
      <w:tr w:rsidR="00750D48" w:rsidRPr="00264E55" w:rsidTr="00B05049">
        <w:tc>
          <w:tcPr>
            <w:tcW w:type="dxa" w:w="1395"/>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阶段</w:t>
            </w: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w:r>
          </w:p>
        </w:tc>
        <w:tc>
          <w:tcPr>
            <w:tcW w:type="dxa" w:w="1092"/>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w:t>
            </w:r>
            <w:r w:rsidRPr="00232B03">
              <w:rPr>
                <w:rFonts w:ascii="宋体" w:cs="宋体" w:hAnsi="宋体" w:hint="eastAsia"/>
                <w:color w:val="000000"/>
                <w:kern w:val="0"/>
                <w:sz w:val="24"/>
                <w:szCs w:val="24"/>
              </w:rPr>
              <w:t>①</w:t>
            </w:r>
          </w:p>
        </w:tc>
        <w:tc>
          <w:tcPr>
            <w:tcW w:type="dxa" w:w="116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净值增长率标准差</w:t>
            </w:r>
            <w:r w:rsidRPr="00232B03">
              <w:rPr>
                <w:rFonts w:ascii="宋体" w:cs="宋体" w:hAnsi="宋体" w:hint="eastAsia"/>
                <w:color w:val="000000"/>
                <w:kern w:val="0"/>
                <w:sz w:val="24"/>
                <w:szCs w:val="24"/>
              </w:rPr>
              <w:t>②</w:t>
            </w:r>
          </w:p>
        </w:tc>
        <w:tc>
          <w:tcPr>
            <w:tcW w:type="dxa" w:w="118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w:t>
            </w:r>
            <w:r w:rsidRPr="00232B03">
              <w:rPr>
                <w:rFonts w:ascii="宋体" w:cs="宋体" w:hAnsi="宋体" w:hint="eastAsia"/>
                <w:color w:val="000000"/>
                <w:kern w:val="0"/>
                <w:sz w:val="24"/>
                <w:szCs w:val="24"/>
              </w:rPr>
              <w:lastRenderedPageBreak/>
              <w:t>③</w:t>
            </w:r>
          </w:p>
        </w:tc>
        <w:tc>
          <w:tcPr>
            <w:tcW w:type="dxa" w:w="1188"/>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lastRenderedPageBreak/>
              <w:t>业绩比较基准收益率</w:t>
            </w:r>
            <w:r w:rsidRPr="00232B03">
              <w:rPr>
                <w:color w:val="000000"/>
                <w:kern w:val="0"/>
                <w:sz w:val="24"/>
                <w:szCs w:val="24"/>
              </w:rPr>
              <w:lastRenderedPageBreak/>
              <w:t>标准差</w:t>
            </w:r>
            <w:r w:rsidRPr="00232B03">
              <w:rPr>
                <w:rFonts w:ascii="宋体" w:cs="宋体" w:hAnsi="宋体" w:hint="eastAsia"/>
                <w:color w:val="000000"/>
                <w:kern w:val="0"/>
                <w:sz w:val="24"/>
                <w:szCs w:val="24"/>
              </w:rPr>
              <w:t>④</w:t>
            </w:r>
          </w:p>
        </w:tc>
        <w:tc>
          <w:tcPr>
            <w:tcW w:type="dxa" w:w="1199"/>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lastRenderedPageBreak/>
              <w:t>①</w:t>
            </w:r>
            <w:r w:rsidRPr="00232B03">
              <w:rPr>
                <w:color w:val="000000"/>
                <w:kern w:val="0"/>
                <w:sz w:val="24"/>
                <w:szCs w:val="24"/>
              </w:rPr>
              <w:t>-</w:t>
            </w:r>
            <w:r w:rsidRPr="00232B03">
              <w:rPr>
                <w:rFonts w:ascii="宋体" w:cs="宋体" w:hAnsi="宋体" w:hint="eastAsia"/>
                <w:color w:val="000000"/>
                <w:kern w:val="0"/>
                <w:sz w:val="24"/>
                <w:szCs w:val="24"/>
              </w:rPr>
              <w:t>③</w:t>
            </w:r>
          </w:p>
        </w:tc>
        <w:tc>
          <w:tcPr>
            <w:tcW w:type="dxa" w:w="1204"/>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t>②</w:t>
            </w:r>
            <w:r w:rsidRPr="00232B03">
              <w:rPr>
                <w:color w:val="000000"/>
                <w:kern w:val="0"/>
                <w:sz w:val="24"/>
                <w:szCs w:val="24"/>
              </w:rPr>
              <w:t>-</w:t>
            </w:r>
            <w:r w:rsidRPr="00232B03">
              <w:rPr>
                <w:rFonts w:ascii="宋体" w:cs="宋体" w:hAnsi="宋体" w:hint="eastAsia"/>
                <w:color w:val="000000"/>
                <w:kern w:val="0"/>
                <w:sz w:val="24"/>
                <w:szCs w:val="24"/>
              </w:rPr>
              <w:t>④</w:t>
            </w:r>
          </w:p>
        </w:tc>
      </w:tr>
      <w:tr>
        <w:tc>
          <w:tcPr>
            <w:vAlign w:val="center"/>
          </w:tcPr>
          <w:p>
            <w:pPr>
              <w:jc w:val="left"/>
            </w:pPr>
            <w:r>
              <w:rPr>
                <w:color w:val="000000"/>
                <w:kern w:val="0"/>
                <w:sz w:val="24"/>
                <w:szCs w:val="24"/>
              </w:rPr>
              <w:t>过去三个月</w:t>
            </w:r>
          </w:p>
        </w:tc>
        <w:tc>
          <w:tcPr>
            <w:vAlign w:val="center"/>
          </w:tcPr>
          <w:p>
            <w:pPr>
              <w:jc w:val="center"/>
            </w:pPr>
            <w:r>
              <w:rPr>
                <w:color w:val="000000"/>
                <w:kern w:val="0"/>
                <w:sz w:val="24"/>
                <w:szCs w:val="24"/>
              </w:rPr>
              <w:t>11.37%</w:t>
            </w:r>
          </w:p>
        </w:tc>
        <w:tc>
          <w:tcPr>
            <w:vAlign w:val="center"/>
          </w:tcPr>
          <w:p>
            <w:pPr>
              <w:jc w:val="center"/>
            </w:pPr>
            <w:r>
              <w:rPr>
                <w:color w:val="000000"/>
                <w:kern w:val="0"/>
                <w:sz w:val="24"/>
                <w:szCs w:val="24"/>
              </w:rPr>
              <w:t>0.90%</w:t>
            </w:r>
          </w:p>
        </w:tc>
        <w:tc>
          <w:tcPr>
            <w:vAlign w:val="center"/>
          </w:tcPr>
          <w:p>
            <w:pPr>
              <w:jc w:val="center"/>
            </w:pPr>
            <w:r>
              <w:rPr>
                <w:color w:val="000000"/>
                <w:kern w:val="0"/>
                <w:sz w:val="24"/>
                <w:szCs w:val="24"/>
              </w:rPr>
              <w:t>8.74%</w:t>
            </w:r>
          </w:p>
        </w:tc>
        <w:tc>
          <w:tcPr>
            <w:vAlign w:val="center"/>
          </w:tcPr>
          <w:p>
            <w:pPr>
              <w:jc w:val="center"/>
            </w:pPr>
            <w:r>
              <w:rPr>
                <w:color w:val="000000"/>
                <w:kern w:val="0"/>
                <w:sz w:val="24"/>
                <w:szCs w:val="24"/>
              </w:rPr>
              <w:t>0.90%</w:t>
            </w:r>
          </w:p>
        </w:tc>
        <w:tc>
          <w:tcPr>
            <w:vAlign w:val="center"/>
          </w:tcPr>
          <w:p>
            <w:pPr>
              <w:jc w:val="center"/>
            </w:pPr>
            <w:r>
              <w:rPr>
                <w:color w:val="000000"/>
                <w:kern w:val="0"/>
                <w:sz w:val="24"/>
                <w:szCs w:val="24"/>
              </w:rPr>
              <w:t>2.63%</w:t>
            </w:r>
          </w:p>
        </w:tc>
        <w:tc>
          <w:tcPr>
            <w:vAlign w:val="center"/>
          </w:tcPr>
          <w:p>
            <w:pPr>
              <w:jc w:val="center"/>
            </w:pPr>
            <w:r>
              <w:rPr>
                <w:color w:val="000000"/>
                <w:kern w:val="0"/>
                <w:sz w:val="24"/>
                <w:szCs w:val="24"/>
              </w:rPr>
              <w:t>0.00%</w:t>
            </w:r>
          </w:p>
        </w:tc>
      </w:tr>
      <w:tr>
        <w:tc>
          <w:tcPr>
            <w:vAlign w:val="center"/>
          </w:tcPr>
          <w:p>
            <w:pPr>
              <w:jc w:val="left"/>
            </w:pPr>
            <w:r>
              <w:rPr>
                <w:color w:val="000000"/>
                <w:kern w:val="0"/>
                <w:sz w:val="24"/>
                <w:szCs w:val="24"/>
              </w:rPr>
              <w:t>过去六个月</w:t>
            </w:r>
          </w:p>
        </w:tc>
        <w:tc>
          <w:tcPr>
            <w:vAlign w:val="center"/>
          </w:tcPr>
          <w:p>
            <w:pPr>
              <w:jc w:val="center"/>
            </w:pPr>
            <w:r>
              <w:rPr>
                <w:color w:val="000000"/>
                <w:kern w:val="0"/>
                <w:sz w:val="24"/>
                <w:szCs w:val="24"/>
              </w:rPr>
              <w:t>3.59%</w:t>
            </w:r>
          </w:p>
        </w:tc>
        <w:tc>
          <w:tcPr>
            <w:vAlign w:val="center"/>
          </w:tcPr>
          <w:p>
            <w:pPr>
              <w:jc w:val="center"/>
            </w:pPr>
            <w:r>
              <w:rPr>
                <w:color w:val="000000"/>
                <w:kern w:val="0"/>
                <w:sz w:val="24"/>
                <w:szCs w:val="24"/>
              </w:rPr>
              <w:t>1.47%</w:t>
            </w:r>
          </w:p>
        </w:tc>
        <w:tc>
          <w:tcPr>
            <w:vAlign w:val="center"/>
          </w:tcPr>
          <w:p>
            <w:pPr>
              <w:jc w:val="center"/>
            </w:pPr>
            <w:r>
              <w:rPr>
                <w:color w:val="000000"/>
                <w:kern w:val="0"/>
                <w:sz w:val="24"/>
                <w:szCs w:val="24"/>
              </w:rPr>
              <w:t>-0.32%</w:t>
            </w:r>
          </w:p>
        </w:tc>
        <w:tc>
          <w:tcPr>
            <w:vAlign w:val="center"/>
          </w:tcPr>
          <w:p>
            <w:pPr>
              <w:jc w:val="center"/>
            </w:pPr>
            <w:r>
              <w:rPr>
                <w:color w:val="000000"/>
                <w:kern w:val="0"/>
                <w:sz w:val="24"/>
                <w:szCs w:val="24"/>
              </w:rPr>
              <w:t>1.49%</w:t>
            </w:r>
          </w:p>
        </w:tc>
        <w:tc>
          <w:tcPr>
            <w:vAlign w:val="center"/>
          </w:tcPr>
          <w:p>
            <w:pPr>
              <w:jc w:val="center"/>
            </w:pPr>
            <w:r>
              <w:rPr>
                <w:color w:val="000000"/>
                <w:kern w:val="0"/>
                <w:sz w:val="24"/>
                <w:szCs w:val="24"/>
              </w:rPr>
              <w:t>3.91%</w:t>
            </w:r>
          </w:p>
        </w:tc>
        <w:tc>
          <w:tcPr>
            <w:vAlign w:val="center"/>
          </w:tcPr>
          <w:p>
            <w:pPr>
              <w:jc w:val="center"/>
            </w:pPr>
            <w:r>
              <w:rPr>
                <w:color w:val="000000"/>
                <w:kern w:val="0"/>
                <w:sz w:val="24"/>
                <w:szCs w:val="24"/>
              </w:rPr>
              <w:t>-0.02%</w:t>
            </w:r>
          </w:p>
        </w:tc>
      </w:tr>
      <w:tr>
        <w:tc>
          <w:tcPr>
            <w:vAlign w:val="center"/>
          </w:tcPr>
          <w:p>
            <w:pPr>
              <w:jc w:val="left"/>
            </w:pPr>
            <w:r>
              <w:rPr>
                <w:color w:val="000000"/>
                <w:kern w:val="0"/>
                <w:sz w:val="24"/>
                <w:szCs w:val="24"/>
              </w:rPr>
              <w:t>过去一年</w:t>
            </w:r>
          </w:p>
        </w:tc>
        <w:tc>
          <w:tcPr>
            <w:vAlign w:val="center"/>
          </w:tcPr>
          <w:p>
            <w:pPr>
              <w:jc w:val="center"/>
            </w:pPr>
            <w:r>
              <w:rPr>
                <w:color w:val="000000"/>
                <w:kern w:val="0"/>
                <w:sz w:val="24"/>
                <w:szCs w:val="24"/>
              </w:rPr>
              <w:t>8.19%</w:t>
            </w:r>
          </w:p>
        </w:tc>
        <w:tc>
          <w:tcPr>
            <w:vAlign w:val="center"/>
          </w:tcPr>
          <w:p>
            <w:pPr>
              <w:jc w:val="center"/>
            </w:pPr>
            <w:r>
              <w:rPr>
                <w:color w:val="000000"/>
                <w:kern w:val="0"/>
                <w:sz w:val="24"/>
                <w:szCs w:val="24"/>
              </w:rPr>
              <w:t>1.19%</w:t>
            </w:r>
          </w:p>
        </w:tc>
        <w:tc>
          <w:tcPr>
            <w:vAlign w:val="center"/>
          </w:tcPr>
          <w:p>
            <w:pPr>
              <w:jc w:val="center"/>
            </w:pPr>
            <w:r>
              <w:rPr>
                <w:color w:val="000000"/>
                <w:kern w:val="0"/>
                <w:sz w:val="24"/>
                <w:szCs w:val="24"/>
              </w:rPr>
              <w:t>1.03%</w:t>
            </w:r>
          </w:p>
        </w:tc>
        <w:tc>
          <w:tcPr>
            <w:vAlign w:val="center"/>
          </w:tcPr>
          <w:p>
            <w:pPr>
              <w:jc w:val="center"/>
            </w:pPr>
            <w:r>
              <w:rPr>
                <w:color w:val="000000"/>
                <w:kern w:val="0"/>
                <w:sz w:val="24"/>
                <w:szCs w:val="24"/>
              </w:rPr>
              <w:t>1.20%</w:t>
            </w:r>
          </w:p>
        </w:tc>
        <w:tc>
          <w:tcPr>
            <w:vAlign w:val="center"/>
          </w:tcPr>
          <w:p>
            <w:pPr>
              <w:jc w:val="center"/>
            </w:pPr>
            <w:r>
              <w:rPr>
                <w:color w:val="000000"/>
                <w:kern w:val="0"/>
                <w:sz w:val="24"/>
                <w:szCs w:val="24"/>
              </w:rPr>
              <w:t>7.16%</w:t>
            </w:r>
          </w:p>
        </w:tc>
        <w:tc>
          <w:tcPr>
            <w:vAlign w:val="center"/>
          </w:tcPr>
          <w:p>
            <w:pPr>
              <w:jc w:val="center"/>
            </w:pPr>
            <w:r>
              <w:rPr>
                <w:color w:val="000000"/>
                <w:kern w:val="0"/>
                <w:sz w:val="24"/>
                <w:szCs w:val="24"/>
              </w:rPr>
              <w:t>-0.01%</w:t>
            </w:r>
          </w:p>
        </w:tc>
      </w:tr>
      <w:tr>
        <w:tc>
          <w:tcPr>
            <w:vAlign w:val="center"/>
          </w:tcPr>
          <w:p>
            <w:pPr>
              <w:jc w:val="left"/>
            </w:pPr>
            <w:r>
              <w:rPr>
                <w:color w:val="000000"/>
                <w:kern w:val="0"/>
                <w:sz w:val="24"/>
                <w:szCs w:val="24"/>
              </w:rPr>
              <w:t>过去三年</w:t>
            </w:r>
          </w:p>
        </w:tc>
        <w:tc>
          <w:tcPr>
            <w:vAlign w:val="center"/>
          </w:tcPr>
          <w:p>
            <w:pPr>
              <w:jc w:val="center"/>
            </w:pPr>
            <w:r>
              <w:rPr>
                <w:color w:val="000000"/>
                <w:kern w:val="0"/>
                <w:sz w:val="24"/>
                <w:szCs w:val="24"/>
              </w:rPr>
              <w:t>11.45%</w:t>
            </w:r>
          </w:p>
        </w:tc>
        <w:tc>
          <w:tcPr>
            <w:vAlign w:val="center"/>
          </w:tcPr>
          <w:p>
            <w:pPr>
              <w:jc w:val="center"/>
            </w:pPr>
            <w:r>
              <w:rPr>
                <w:color w:val="000000"/>
                <w:kern w:val="0"/>
                <w:sz w:val="24"/>
                <w:szCs w:val="24"/>
              </w:rPr>
              <w:t>1.21%</w:t>
            </w:r>
          </w:p>
        </w:tc>
        <w:tc>
          <w:tcPr>
            <w:vAlign w:val="center"/>
          </w:tcPr>
          <w:p>
            <w:pPr>
              <w:jc w:val="center"/>
            </w:pPr>
            <w:r>
              <w:rPr>
                <w:color w:val="000000"/>
                <w:kern w:val="0"/>
                <w:sz w:val="24"/>
                <w:szCs w:val="24"/>
              </w:rPr>
              <w:t>-0.96%</w:t>
            </w:r>
          </w:p>
        </w:tc>
        <w:tc>
          <w:tcPr>
            <w:vAlign w:val="center"/>
          </w:tcPr>
          <w:p>
            <w:pPr>
              <w:jc w:val="center"/>
            </w:pPr>
            <w:r>
              <w:rPr>
                <w:color w:val="000000"/>
                <w:kern w:val="0"/>
                <w:sz w:val="24"/>
                <w:szCs w:val="24"/>
              </w:rPr>
              <w:t>1.23%</w:t>
            </w:r>
          </w:p>
        </w:tc>
        <w:tc>
          <w:tcPr>
            <w:vAlign w:val="center"/>
          </w:tcPr>
          <w:p>
            <w:pPr>
              <w:jc w:val="center"/>
            </w:pPr>
            <w:r>
              <w:rPr>
                <w:color w:val="000000"/>
                <w:kern w:val="0"/>
                <w:sz w:val="24"/>
                <w:szCs w:val="24"/>
              </w:rPr>
              <w:t>12.41%</w:t>
            </w:r>
          </w:p>
        </w:tc>
        <w:tc>
          <w:tcPr>
            <w:vAlign w:val="center"/>
          </w:tcPr>
          <w:p>
            <w:pPr>
              <w:jc w:val="center"/>
            </w:pPr>
            <w:r>
              <w:rPr>
                <w:color w:val="000000"/>
                <w:kern w:val="0"/>
                <w:sz w:val="24"/>
                <w:szCs w:val="24"/>
              </w:rPr>
              <w:t>-0.02%</w:t>
            </w:r>
          </w:p>
        </w:tc>
      </w:tr>
      <w:tr>
        <w:tc>
          <w:tcPr>
            <w:vAlign w:val="center"/>
          </w:tcPr>
          <w:p>
            <w:pPr>
              <w:jc w:val="left"/>
            </w:pPr>
            <w:r>
              <w:rPr>
                <w:color w:val="000000"/>
                <w:kern w:val="0"/>
                <w:sz w:val="24"/>
                <w:szCs w:val="24"/>
              </w:rPr>
              <w:t>过去五年</w:t>
            </w:r>
          </w:p>
        </w:tc>
        <w:tc>
          <w:tcPr>
            <w:vAlign w:val="center"/>
          </w:tcPr>
          <w:p>
            <w:pPr>
              <w:jc w:val="center"/>
            </w:pPr>
            <w:r>
              <w:rPr>
                <w:color w:val="000000"/>
                <w:kern w:val="0"/>
                <w:sz w:val="24"/>
                <w:szCs w:val="24"/>
              </w:rPr>
              <w:t>-15.90%</w:t>
            </w:r>
          </w:p>
        </w:tc>
        <w:tc>
          <w:tcPr>
            <w:vAlign w:val="center"/>
          </w:tcPr>
          <w:p>
            <w:pPr>
              <w:jc w:val="center"/>
            </w:pPr>
            <w:r>
              <w:rPr>
                <w:color w:val="000000"/>
                <w:kern w:val="0"/>
                <w:sz w:val="24"/>
                <w:szCs w:val="24"/>
              </w:rPr>
              <w:t>1.53%</w:t>
            </w:r>
          </w:p>
        </w:tc>
        <w:tc>
          <w:tcPr>
            <w:vAlign w:val="center"/>
          </w:tcPr>
          <w:p>
            <w:pPr>
              <w:jc w:val="center"/>
            </w:pPr>
            <w:r>
              <w:rPr>
                <w:color w:val="000000"/>
                <w:kern w:val="0"/>
                <w:sz w:val="24"/>
                <w:szCs w:val="24"/>
              </w:rPr>
              <w:t>-30.27%</w:t>
            </w:r>
          </w:p>
        </w:tc>
        <w:tc>
          <w:tcPr>
            <w:vAlign w:val="center"/>
          </w:tcPr>
          <w:p>
            <w:pPr>
              <w:jc w:val="center"/>
            </w:pPr>
            <w:r>
              <w:rPr>
                <w:color w:val="000000"/>
                <w:kern w:val="0"/>
                <w:sz w:val="24"/>
                <w:szCs w:val="24"/>
              </w:rPr>
              <w:t>1.56%</w:t>
            </w:r>
          </w:p>
        </w:tc>
        <w:tc>
          <w:tcPr>
            <w:vAlign w:val="center"/>
          </w:tcPr>
          <w:p>
            <w:pPr>
              <w:jc w:val="center"/>
            </w:pPr>
            <w:r>
              <w:rPr>
                <w:color w:val="000000"/>
                <w:kern w:val="0"/>
                <w:sz w:val="24"/>
                <w:szCs w:val="24"/>
              </w:rPr>
              <w:t>14.37%</w:t>
            </w:r>
          </w:p>
        </w:tc>
        <w:tc>
          <w:tcPr>
            <w:vAlign w:val="center"/>
          </w:tcPr>
          <w:p>
            <w:pPr>
              <w:jc w:val="center"/>
            </w:pPr>
            <w:r>
              <w:rPr>
                <w:color w:val="000000"/>
                <w:kern w:val="0"/>
                <w:sz w:val="24"/>
                <w:szCs w:val="24"/>
              </w:rPr>
              <w:t>-0.03%</w:t>
            </w:r>
          </w:p>
        </w:tc>
      </w:tr>
      <w:tr>
        <w:tc>
          <w:tcPr>
            <w:vAlign w:val="center"/>
          </w:tcPr>
          <w:p>
            <w:pPr>
              <w:jc w:val="left"/>
            </w:pPr>
            <w:r>
              <w:rPr>
                <w:color w:val="000000"/>
                <w:kern w:val="0"/>
                <w:sz w:val="24"/>
                <w:szCs w:val="24"/>
              </w:rPr>
              <w:t>自基金合同生效起至今</w:t>
            </w:r>
          </w:p>
        </w:tc>
        <w:tc>
          <w:tcPr>
            <w:vAlign w:val="center"/>
          </w:tcPr>
          <w:p>
            <w:pPr>
              <w:jc w:val="center"/>
            </w:pPr>
            <w:r>
              <w:rPr>
                <w:color w:val="000000"/>
                <w:kern w:val="0"/>
                <w:sz w:val="24"/>
                <w:szCs w:val="24"/>
              </w:rPr>
              <w:t>45.06%</w:t>
            </w:r>
          </w:p>
        </w:tc>
        <w:tc>
          <w:tcPr>
            <w:vAlign w:val="center"/>
          </w:tcPr>
          <w:p>
            <w:pPr>
              <w:jc w:val="center"/>
            </w:pPr>
            <w:r>
              <w:rPr>
                <w:color w:val="000000"/>
                <w:kern w:val="0"/>
                <w:sz w:val="24"/>
                <w:szCs w:val="24"/>
              </w:rPr>
              <w:t>1.50%</w:t>
            </w:r>
          </w:p>
        </w:tc>
        <w:tc>
          <w:tcPr>
            <w:vAlign w:val="center"/>
          </w:tcPr>
          <w:p>
            <w:pPr>
              <w:jc w:val="center"/>
            </w:pPr>
            <w:r>
              <w:rPr>
                <w:color w:val="000000"/>
                <w:kern w:val="0"/>
                <w:sz w:val="24"/>
                <w:szCs w:val="24"/>
              </w:rPr>
              <w:t>10.30%</w:t>
            </w:r>
          </w:p>
        </w:tc>
        <w:tc>
          <w:tcPr>
            <w:vAlign w:val="center"/>
          </w:tcPr>
          <w:p>
            <w:pPr>
              <w:jc w:val="center"/>
            </w:pPr>
            <w:r>
              <w:rPr>
                <w:color w:val="000000"/>
                <w:kern w:val="0"/>
                <w:sz w:val="24"/>
                <w:szCs w:val="24"/>
              </w:rPr>
              <w:t>1.54%</w:t>
            </w:r>
          </w:p>
        </w:tc>
        <w:tc>
          <w:tcPr>
            <w:vAlign w:val="center"/>
          </w:tcPr>
          <w:p>
            <w:pPr>
              <w:jc w:val="center"/>
            </w:pPr>
            <w:r>
              <w:rPr>
                <w:color w:val="000000"/>
                <w:kern w:val="0"/>
                <w:sz w:val="24"/>
                <w:szCs w:val="24"/>
              </w:rPr>
              <w:t>34.76%</w:t>
            </w:r>
          </w:p>
        </w:tc>
        <w:tc>
          <w:tcPr>
            <w:vAlign w:val="center"/>
          </w:tcPr>
          <w:p>
            <w:pPr>
              <w:jc w:val="center"/>
            </w:pPr>
            <w:r>
              <w:rPr>
                <w:color w:val="000000"/>
                <w:kern w:val="0"/>
                <w:sz w:val="24"/>
                <w:szCs w:val="24"/>
              </w:rPr>
              <w:t>-0.04%</w:t>
            </w:r>
          </w:p>
        </w:tc>
      </w:tr>
    </w:tbl>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3.2.2</w:t>
        </w:r>
        <w:r w:rsidR="00D87469" w:rsidRPr="00370BEA">
          <w:rPr>
            <w:rStyle w:val="afb"/>
            <w:rFonts w:hint="eastAsia"/>
            <w:color w:val="000000"/>
            <w:sz w:val="24"/>
            <w:shd w:color="auto" w:fill="FFFFFF" w:val="clear"/>
          </w:rPr>
          <w:t/>
        </w:r>
        <w:proofErr w:type="spellStart"/>
        <w:r w:rsidR="00D87469" w:rsidRPr="00370BEA">
          <w:rPr>
            <w:rStyle w:val="afb"/>
            <w:rFonts w:hint="eastAsia"/>
            <w:color w:val="000000"/>
            <w:sz w:val="24"/>
            <w:shd w:color="auto" w:fill="FFFFFF" w:val="clear"/>
          </w:rPr>
          <w:t/>
        </w:r>
        <w:proofErr w:type="spellEnd"/>
        <w:r w:rsidR="00D87469" w:rsidRPr="00370BEA">
          <w:rPr>
            <w:rStyle w:val="afb"/>
            <w:rFonts w:hint="eastAsia"/>
            <w:color w:val="000000"/>
            <w:sz w:val="24"/>
            <w:shd w:color="auto" w:fill="FFFFFF" w:val="clear"/>
          </w:rPr>
          <w:t>自基金合同生效以来</w:t>
        </w:r>
      </w:smartTag>
      <w:r w:rsidRPr="00264E55">
        <w:rPr>
          <w:rFonts w:ascii="宋体" w:hAnsi="宋体" w:hint="eastAsia"/>
          <w:b/>
          <w:bCs/>
          <w:color w:val="000000"/>
          <w:kern w:val="0"/>
          <w:sz w:val="24"/>
          <w:szCs w:val="24"/>
        </w:rPr>
        <w:t>基金累计净值增长率变动及其与同期业绩比较基准收益率变动的比较</w:t>
      </w:r>
    </w:p>
    <w:p w:rsidP="009E7C6A" w:rsidR="00750D48" w:rsidRDefault="00750D48" w:rsidRPr="0074694E">
      <w:pPr>
        <w:spacing w:line="360" w:lineRule="auto"/>
        <w:jc w:val="center"/>
        <w:rPr>
          <w:color w:val="000000"/>
          <w:sz w:val="24"/>
          <w:szCs w:val="24"/>
        </w:rPr>
      </w:pPr>
      <w:r w:rsidRPr="0074694E">
        <w:rPr>
          <w:color w:val="000000"/>
          <w:sz w:val="24"/>
          <w:szCs w:val="24"/>
        </w:rPr>
        <w:t/>
      </w:r>
      <w:proofErr w:type="spellStart"/>
      <w:r w:rsidRPr="0074694E">
        <w:rPr>
          <w:color w:val="000000"/>
          <w:sz w:val="24"/>
          <w:szCs w:val="24"/>
        </w:rPr>
        <w:t/>
      </w:r>
      <w:proofErr w:type="spellEnd"/>
      <w:r w:rsidRPr="0074694E">
        <w:rPr>
          <w:color w:val="000000"/>
          <w:sz w:val="24"/>
          <w:szCs w:val="24"/>
        </w:rPr>
        <w:t>易方达上证中盘交易型开放式指数证券投资基金</w:t>
      </w:r>
    </w:p>
    <w:p w:rsidP="009E7C6A" w:rsidR="00750D48" w:rsidRDefault="00750D48" w:rsidRPr="0074694E">
      <w:pPr>
        <w:pStyle w:val="a5"/>
        <w:snapToGrid w:val="0"/>
        <w:spacing w:line="360" w:lineRule="auto"/>
        <w:jc w:val="center"/>
        <w:rPr>
          <w:rFonts w:ascii="Times New Roman" w:hAnsi="Times New Roman"/>
          <w:color w:val="000000"/>
          <w:sz w:val="24"/>
          <w:szCs w:val="24"/>
        </w:rPr>
      </w:pPr>
      <w:r w:rsidRPr="0074694E">
        <w:rPr>
          <w:rFonts w:ascii="Times New Roman" w:hAnsi="Times New Roman"/>
          <w:color w:val="000000"/>
          <w:sz w:val="24"/>
          <w:szCs w:val="24"/>
        </w:rPr>
        <w:t>累计净值增长率与业绩比较基准收益率的历史走势对比图</w:t>
      </w:r>
    </w:p>
    <w:p w:rsidP="009E7C6A" w:rsidR="00750D48" w:rsidRDefault="005F7917" w:rsidRPr="0074694E">
      <w:pPr>
        <w:pStyle w:val="a5"/>
        <w:snapToGrid w:val="0"/>
        <w:spacing w:line="360" w:lineRule="auto"/>
        <w:ind w:firstLine="480"/>
        <w:jc w:val="center"/>
        <w:rPr>
          <w:rFonts w:ascii="Times New Roman" w:hAnsi="Times New Roman"/>
          <w:sz w:val="24"/>
          <w:szCs w:val="24"/>
        </w:rPr>
      </w:pPr>
      <w:r w:rsidRPr="0074694E">
        <w:rPr>
          <w:rFonts w:ascii="Times New Roman" w:hAnsi="Times New Roman"/>
          <w:sz w:val="24"/>
          <w:szCs w:val="24"/>
        </w:rPr>
        <w:t>（</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2010年3月29日</w:t>
      </w:r>
      <w:r w:rsidRPr="0074694E">
        <w:rPr>
          <w:rFonts w:ascii="Times New Roman" w:hAnsi="Times New Roman"/>
          <w:sz w:val="24"/>
          <w:szCs w:val="24"/>
        </w:rPr>
        <w:t>至</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2020年6月30日</w:t>
      </w:r>
      <w:r w:rsidRPr="0074694E">
        <w:rPr>
          <w:rFonts w:ascii="Times New Roman" w:hAnsi="Times New Roman"/>
          <w:sz w:val="24"/>
          <w:szCs w:val="24"/>
        </w:rPr>
        <w:t>）</w:t>
      </w:r>
    </w:p>
    <w:p w:rsidP="004061AC" w:rsidR="00750D48" w:rsidRDefault="00B371D4" w:rsidRPr="00264E55">
      <w:pPr>
        <w:pStyle w:val="a5"/>
        <w:snapToGrid w:val="0"/>
        <w:spacing w:before="120" w:line="360" w:lineRule="auto"/>
        <w:jc w:val="center"/>
        <w:rPr>
          <w:rFonts w:hAnsi="宋体"/>
          <w:color w:val="000000"/>
          <w:sz w:val="24"/>
          <w:szCs w:val="24"/>
        </w:rPr>
      </w:pPr>
      <w:r>
        <w:rPr>
          <w:rFonts w:hAnsi="宋体"/>
          <w:noProof/>
          <w:color w:val="000000"/>
          <w:sz w:val="24"/>
          <w:szCs w:val="24"/>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12.5pt;height:241.5pt;visibility:visible" type="#_x0000_t75">
            <v:imagedata o:title="" r:id="rId11"/>
          </v:shape>
        </w:pic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注：自基金合同生效至报告期末，基金份额净值增长率为45.06%，同期业绩比较基准收益率为10.30%。</w:t>
      </w:r>
    </w:p>
    <w:p w:rsidP="00693843" w:rsidR="00750D48" w:rsidRDefault="00750D48" w:rsidRPr="00232B03">
      <w:pPr>
        <w:tabs>
          <w:tab w:pos="1800" w:val="left"/>
        </w:tabs>
        <w:spacing w:line="288" w:lineRule="auto"/>
        <w:rPr>
          <w:color w:val="000000"/>
          <w:sz w:val="24"/>
          <w:szCs w:val="24"/>
        </w:rPr>
      </w:pP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4  </w:t>
      </w:r>
      <w:r w:rsidRPr="00264E55">
        <w:rPr>
          <w:rFonts w:ascii="宋体" w:hAnsi="宋体" w:hint="eastAsia"/>
          <w:color w:val="000000"/>
          <w:kern w:val="0"/>
          <w:sz w:val="24"/>
          <w:szCs w:val="24"/>
        </w:rPr>
        <w:t>管理人报告</w:t>
      </w:r>
    </w:p>
    <w:p w:rsidP="004D28A3" w:rsidR="004D28A3" w:rsidRDefault="00750D48" w:rsidRPr="0078105B">
      <w:pPr>
        <w:autoSpaceDE w:val="0"/>
        <w:autoSpaceDN w:val="0"/>
        <w:adjustRightInd w:val="0"/>
        <w:spacing w:line="360" w:lineRule="auto"/>
        <w:jc w:val="left"/>
        <w:rPr>
          <w:rFonts w:ascii="宋体" w:cs="Arial"/>
          <w:b/>
          <w:color w:val="000000"/>
          <w:kern w:val="0"/>
          <w:sz w:val="24"/>
        </w:rPr>
      </w:pPr>
      <w:r w:rsidRPr="00264E55">
        <w:rPr>
          <w:rFonts w:ascii="宋体" w:hAnsi="宋体"/>
          <w:b/>
          <w:bCs/>
          <w:color w:val="000000"/>
          <w:kern w:val="0"/>
          <w:sz w:val="24"/>
          <w:szCs w:val="24"/>
        </w:rPr>
        <w:t xml:space="preserve">4.1 </w:t>
      </w:r>
      <w:r w:rsidRPr="00264E55">
        <w:rPr>
          <w:rFonts w:ascii="宋体" w:hAnsi="宋体" w:hint="eastAsia"/>
          <w:b/>
          <w:bCs/>
          <w:color w:val="000000"/>
          <w:kern w:val="0"/>
          <w:sz w:val="24"/>
          <w:szCs w:val="24"/>
        </w:rPr>
        <w:t>基金经理</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或基金经理小组</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4D28A3" w:rsidRPr="0078105B" w:rsidTr="003328D9">
        <w:trPr>
          <w:cantSplit/>
        </w:trPr>
        <w:tc>
          <w:tcPr>
            <w:tcW w:type="dxa" w:w="56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4D28A3" w:rsidRPr="0078105B" w:rsidTr="003328D9">
        <w:trPr>
          <w:cantSplit/>
        </w:trPr>
        <w:tc>
          <w:tcPr>
            <w:tcW w:type="dxa" w:w="56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835"/>
            <w:vMerge/>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刘树荣</w:t>
            </w:r>
          </w:p>
        </w:tc>
        <w:tc>
          <w:tcPr>
            <w:vAlign w:val="center"/>
          </w:tcPr>
          <w:p>
            <w:pPr>
              <w:jc w:val="left"/>
            </w:pPr>
            <w:r>
              <w:rPr>
                <w:color w:val="000000"/>
                <w:sz w:val="24"/>
              </w:rPr>
              <w:t>本基金的基金经理、易方达深证100交易型开放式指数基金的基金经理、易方达创业板交易型开放式指数证券投资基金的基金经理、易方达并购重组指数分级证券投资基金的基金经理、易方达深证100交易型开放式指数证券投资基金联接基金的基金经理、易方达创业板交易型开放式指数证券投资基金联接基金的基金经理、易方达生物科技指数分级证券投资基金的基金经理、易方达银行指数分级证券投资基金的基金经理、易方达中小板指数证券投资基金（LOF）的基金经理、易方达标普信息科技指数证券投资基金（LOF）的基金经理（自2018年08月11日至2020年04月22日）、易方达标普生物科技指数证券投资基金（LOF）的基金经理（自2018年08月11日至2020年04月22日）、易方达标普医疗保健指数证券投资基金（LOF）的基金经理（自2018年08月11日至2020年04月22日）、易方达上证中盘交易型开放式指数证券投资基金联接基金的基金经理、易方达香港恒生综合小型股指数证券投资基金（LOF）的基金经理、易方达标普500指数证券投资基金（LOF）的基金经理、易方达中证800交易型开放式指数证券投资基金的基金经理、易方达中证800交易型开放式指数证券投资基金发起式联接基金的基金经理、易方达中证国企一带一路交易型开放式指数证券投资基金的基金经理、易方达中证国企一带一路交易型开放式指数证券投资基金联接基金的基金经理、易方达中证浙江新动能交易型开放式指数证券投资基金联接基金的基金经理、易方达中证浙江新动能交易型开放式指数证券投资基金的基金经理</w:t>
            </w:r>
          </w:p>
        </w:tc>
        <w:tc>
          <w:tcPr>
            <w:vAlign w:val="center"/>
          </w:tcPr>
          <w:p>
            <w:pPr>
              <w:jc w:val="center"/>
            </w:pPr>
            <w:r>
              <w:rPr>
                <w:color w:val="000000"/>
                <w:sz w:val="24"/>
              </w:rPr>
              <w:t>2018-08-11</w:t>
            </w:r>
          </w:p>
        </w:tc>
        <w:tc>
          <w:tcPr>
            <w:vAlign w:val="center"/>
          </w:tcPr>
          <w:p>
            <w:pPr>
              <w:jc w:val="center"/>
            </w:pPr>
            <w:r>
              <w:rPr>
                <w:color w:val="000000"/>
                <w:sz w:val="24"/>
              </w:rPr>
              <w:t>-</w:t>
            </w:r>
          </w:p>
        </w:tc>
        <w:tc>
          <w:tcPr>
            <w:vAlign w:val="center"/>
          </w:tcPr>
          <w:p>
            <w:pPr>
              <w:jc w:val="center"/>
            </w:pPr>
            <w:r>
              <w:rPr>
                <w:color w:val="000000"/>
                <w:sz w:val="24"/>
              </w:rPr>
              <w:t>13年</w:t>
            </w:r>
          </w:p>
        </w:tc>
        <w:tc>
          <w:tcPr>
            <w:vAlign w:val="center"/>
          </w:tcPr>
          <w:p>
            <w:pPr>
              <w:jc w:val="both"/>
            </w:pPr>
            <w:r>
              <w:rPr>
                <w:color w:val="000000"/>
                <w:sz w:val="24"/>
              </w:rPr>
              <w:t>硕士研究生，具有基金从业资格。曾任招商银行资产托管部基金会计，易方达基金管理有限公司核算部基金核算专员、指数与量化投资部运作支持专员、基金经理助理、易方达深证成指交易型开放式指数证券投资基金基金经理、易方达深证成指交易型开放式指数证券投资基金联接基金基金经理。</w:t>
            </w:r>
          </w:p>
        </w:tc>
      </w:tr>
    </w:tbl>
    <w:p>
      <w:pPr>
        <w:spacing w:line="360" w:lineRule="auto"/>
        <w:ind w:firstLine="480" w:firstLineChars="200"/>
        <w:rPr>
          <w:color w:val="000000"/>
          <w:sz w:val="24"/>
          <w:szCs w:val="24"/>
        </w:rPr>
      </w:pPr>
      <w:r>
        <w:rPr>
          <w:color w:val="000000"/>
          <w:sz w:val="24"/>
          <w:szCs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4D28A3" w:rsidR="00750D48" w:rsidRDefault="004D28A3" w:rsidRPr="00232B03">
      <w:pPr>
        <w:spacing w:line="360" w:lineRule="auto"/>
        <w:ind w:firstLine="480" w:firstLineChars="200"/>
        <w:rPr>
          <w:color w:val="000000"/>
          <w:sz w:val="24"/>
          <w:szCs w:val="24"/>
        </w:rPr>
      </w:pPr>
      <w:r w:rsidRPr="004D28A3">
        <w:rPr>
          <w:color w:val="000000"/>
          <w:sz w:val="24"/>
          <w:szCs w:val="24"/>
        </w:rPr>
        <w:t>2.证券从业的含义遵从《证券业从业人员资格管理办法》的相关规定。</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4.2 </w:t>
      </w:r>
      <w:r w:rsidRPr="00264E55">
        <w:rPr>
          <w:rFonts w:ascii="宋体" w:hAnsi="宋体" w:hint="eastAsia"/>
          <w:b/>
          <w:bCs/>
          <w:color w:val="000000"/>
          <w:kern w:val="0"/>
          <w:sz w:val="24"/>
          <w:szCs w:val="24"/>
        </w:rPr>
        <w:t>管理人对报告期内本基金运作遵规守信情况的说明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4.3 </w:t>
      </w:r>
      <w:r w:rsidRPr="00264E55">
        <w:rPr>
          <w:rFonts w:ascii="宋体" w:hAnsi="宋体" w:hint="eastAsia"/>
          <w:b/>
          <w:bCs/>
          <w:color w:val="000000"/>
          <w:kern w:val="0"/>
          <w:sz w:val="24"/>
          <w:szCs w:val="24"/>
        </w:rPr>
        <w:t>公平交易专项说明</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4.3.1</w:t>
        </w:r>
      </w:smartTag>
      <w:r w:rsidRPr="00264E55">
        <w:rPr>
          <w:rFonts w:ascii="宋体" w:hAnsi="宋体" w:hint="eastAsia"/>
          <w:color w:val="000000"/>
          <w:sz w:val="24"/>
          <w:szCs w:val="24"/>
        </w:rPr>
        <w:t>公平交易制度的执行情况</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4.3.2</w:t>
        </w:r>
      </w:smartTag>
      <w:r w:rsidRPr="00264E55">
        <w:rPr>
          <w:rFonts w:ascii="宋体" w:hAnsi="宋体" w:hint="eastAsia"/>
          <w:color w:val="000000"/>
          <w:sz w:val="24"/>
          <w:szCs w:val="24"/>
        </w:rPr>
        <w:t>异常交易行为的专项说明</w:t>
      </w:r>
    </w:p>
    <w:p>
      <w:pPr>
        <w:spacing w:line="360" w:lineRule="auto"/>
        <w:ind w:firstLine="480" w:firstLineChars="200"/>
        <w:rPr>
          <w:color w:val="000000"/>
          <w:sz w:val="24"/>
          <w:szCs w:val="24"/>
        </w:rPr>
      </w:pPr>
      <w:r>
        <w:rPr>
          <w:color w:val="000000"/>
          <w:sz w:val="24"/>
          <w:szCs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lastRenderedPageBreak/>
        <w:t/>
      </w:r>
      <w:proofErr w:type="spellStart"/>
      <w:r w:rsidRPr="006C56AA">
        <w:rPr>
          <w:color w:val="000000"/>
          <w:sz w:val="24"/>
          <w:szCs w:val="24"/>
        </w:rPr>
        <w:t/>
      </w:r>
      <w:proofErr w:type="spellEnd"/>
      <w:r w:rsidRPr="006C56AA">
        <w:rPr>
          <w:color w:val="000000"/>
          <w:sz w:val="24"/>
          <w:szCs w:val="24"/>
        </w:rPr>
        <w:t>本报告期内，未发现本基金有可能导致不公平交易和利益输送的异常交易。</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4.4 </w:t>
      </w:r>
      <w:r w:rsidRPr="00264E55">
        <w:rPr>
          <w:rFonts w:ascii="宋体" w:hAnsi="宋体" w:hint="eastAsia"/>
          <w:b/>
          <w:bCs/>
          <w:color w:val="000000"/>
          <w:kern w:val="0"/>
          <w:sz w:val="24"/>
          <w:szCs w:val="24"/>
        </w:rPr>
        <w:t>报告期内基金的投资策略和业绩表现说明</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4.4.1</w:t>
        </w:r>
      </w:smartTag>
      <w:r w:rsidRPr="00264E55">
        <w:rPr>
          <w:rFonts w:ascii="宋体" w:cs="宋体" w:hAnsi="宋体" w:hint="eastAsia"/>
          <w:sz w:val="24"/>
          <w:szCs w:val="24"/>
        </w:rPr>
        <w:t>报告期内基金投资策略和运作分析</w:t>
      </w:r>
    </w:p>
    <w:p>
      <w:pPr>
        <w:spacing w:line="360" w:lineRule="auto"/>
        <w:ind w:firstLine="480" w:firstLineChars="200"/>
        <w:rPr>
          <w:color w:val="000000"/>
          <w:sz w:val="24"/>
          <w:szCs w:val="24"/>
        </w:rPr>
      </w:pPr>
      <w:r>
        <w:rPr>
          <w:color w:val="000000"/>
          <w:sz w:val="24"/>
          <w:szCs w:val="24"/>
        </w:rPr>
        <w:t>本基金跟踪的标的指数为上证中盘指数，上证中盘指数由上证180指数成份股中剔除50只上证50指数成份股后剩余的130家成份股构成，以综合反映沪市中盘公司的整体状况。报告期内，本基金主要采取完全复制法的投资策略，即完全按照标的指数的成份股组成及其权重构建基金股票投资组合，并根据标的指数成份股及其权重的变动而进行相应调整。</w:t>
      </w:r>
    </w:p>
    <w:p>
      <w:pPr>
        <w:spacing w:line="360" w:lineRule="auto"/>
        <w:ind w:firstLine="480" w:firstLineChars="200"/>
        <w:rPr>
          <w:color w:val="000000"/>
          <w:sz w:val="24"/>
          <w:szCs w:val="24"/>
        </w:rPr>
      </w:pPr>
      <w:r>
        <w:rPr>
          <w:color w:val="000000"/>
          <w:sz w:val="24"/>
          <w:szCs w:val="24"/>
        </w:rPr>
        <w:t>年初爆发的新冠疫情给全球经济发展和人们日常生活带来了巨大的影响，股票市场也因此大幅波动。二季度，国内新冠疫情得到有效的控制和缓解，随着各行业陆续复工、复产，国内经济在系列政策的刺激和支持下逐步走向复苏，5月份全国规模以上工业企业利润总额同比增速回升转正至6.0%，6月制造业PMI升至50.9%好于市场预期。A股市场在医药生物、食品饮料、科技等板块的带动下开启了一波反弹行情。本报告期，上证中盘指数上涨8.74%。</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基金运作层面，报告期内，本基金严守基金合同认真对待投资者申购、赎回以及成份股调整事项，保障基金的正常运作，基金跟踪误差以及日均偏离度等指标控制在合同规定范围之内。</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4.4.2</w:t>
        </w:r>
      </w:smartTag>
      <w:r w:rsidRPr="00264E55">
        <w:rPr>
          <w:rFonts w:ascii="宋体" w:cs="宋体" w:hAnsi="宋体" w:hint="eastAsia"/>
          <w:sz w:val="24"/>
          <w:szCs w:val="24"/>
        </w:rPr>
        <w:t>报告期内基金的业绩表现</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截至报告期末，本基金份额净值为4.2174元，本报告期份额净值增长率为11.37%，同期业绩比较基准收益率为8.74%，年化跟踪误差0.97%，在合同规定的目标控制范围之内。</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5  </w:t>
      </w:r>
      <w:r w:rsidRPr="00264E55">
        <w:rPr>
          <w:rFonts w:ascii="宋体" w:hAnsi="宋体" w:hint="eastAsia"/>
          <w:color w:val="000000"/>
          <w:kern w:val="0"/>
          <w:sz w:val="24"/>
          <w:szCs w:val="24"/>
        </w:rPr>
        <w:t>投资组合报告</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 </w:t>
      </w:r>
      <w:r w:rsidRPr="00264E55">
        <w:rPr>
          <w:rFonts w:ascii="宋体" w:hAnsi="宋体" w:hint="eastAsia"/>
          <w:b/>
          <w:bCs/>
          <w:color w:val="000000"/>
          <w:kern w:val="0"/>
          <w:sz w:val="24"/>
          <w:szCs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3357"/>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项目</w:t>
            </w:r>
          </w:p>
        </w:tc>
        <w:tc>
          <w:tcPr>
            <w:tcW w:type="dxa" w:w="2977"/>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金额</w:t>
            </w:r>
            <w:r w:rsidR="005F7917" w:rsidRPr="00232B03">
              <w:rPr>
                <w:color w:val="000000"/>
                <w:kern w:val="0"/>
                <w:sz w:val="24"/>
                <w:szCs w:val="24"/>
              </w:rPr>
              <w:t>（元）</w:t>
            </w:r>
          </w:p>
        </w:tc>
        <w:tc>
          <w:tcPr>
            <w:tcW w:type="dxa" w:w="1843"/>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占基金总资产的比例</w:t>
            </w:r>
            <w:r w:rsidR="005F7917" w:rsidRPr="00232B03">
              <w:rPr>
                <w:color w:val="000000"/>
                <w:kern w:val="0"/>
                <w:sz w:val="24"/>
                <w:szCs w:val="24"/>
              </w:rPr>
              <w:t>（</w:t>
            </w:r>
            <w:r w:rsidR="005F7917" w:rsidRPr="00232B03">
              <w:rPr>
                <w:color w:val="000000"/>
                <w:kern w:val="0"/>
                <w:sz w:val="24"/>
                <w:szCs w:val="24"/>
              </w:rPr>
              <w:t>%</w:t>
            </w:r>
            <w:r w:rsidR="005F7917"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1</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权益投资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213,414,978.31</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98.12</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其中：股票</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213,414,978.31</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98.12</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2</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固定收益投资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其中：债券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autoSpaceDE w:val="0"/>
              <w:autoSpaceDN w:val="0"/>
              <w:adjustRightInd w:val="0"/>
              <w:spacing w:before="29" w:line="360" w:lineRule="auto"/>
              <w:ind w:left="17"/>
              <w:jc w:val="left"/>
              <w:rPr>
                <w:color w:val="000000"/>
                <w:kern w:val="0"/>
                <w:sz w:val="24"/>
                <w:szCs w:val="24"/>
              </w:rPr>
            </w:pPr>
            <w:r w:rsidRPr="00232B03">
              <w:rPr>
                <w:color w:val="000000"/>
                <w:kern w:val="0"/>
                <w:sz w:val="24"/>
                <w:szCs w:val="24"/>
              </w:rPr>
              <w:t>资产支持证券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3</w:t>
            </w:r>
          </w:p>
        </w:tc>
        <w:tc>
          <w:tcPr>
            <w:tcW w:type="dxa" w:w="3357"/>
          </w:tcPr>
          <w:p w:rsidP="00EB572F" w:rsidR="00750D48" w:rsidRDefault="00750D48" w:rsidRPr="00232B03">
            <w:pPr>
              <w:spacing w:before="29" w:line="360" w:lineRule="auto"/>
              <w:ind w:left="105" w:leftChars="50"/>
              <w:rPr>
                <w:color w:val="000000"/>
                <w:kern w:val="0"/>
                <w:sz w:val="24"/>
                <w:szCs w:val="24"/>
              </w:rPr>
            </w:pPr>
            <w:r w:rsidRPr="00232B03">
              <w:rPr>
                <w:color w:val="000000"/>
                <w:kern w:val="0"/>
                <w:sz w:val="24"/>
                <w:szCs w:val="24"/>
              </w:rPr>
              <w:t>贵金属投资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4</w:t>
            </w:r>
          </w:p>
        </w:tc>
        <w:tc>
          <w:tcPr>
            <w:tcW w:type="dxa" w:w="3357"/>
            <w:vAlign w:val="center"/>
          </w:tcPr>
          <w:p w:rsidP="00B05049" w:rsidR="00750D48" w:rsidRDefault="00750D48" w:rsidRPr="00232B03">
            <w:pPr>
              <w:spacing w:before="29" w:line="360" w:lineRule="auto"/>
              <w:ind w:left="17"/>
              <w:jc w:val="left"/>
              <w:rPr>
                <w:color w:val="000000"/>
                <w:kern w:val="0"/>
                <w:sz w:val="24"/>
                <w:szCs w:val="24"/>
              </w:rPr>
            </w:pPr>
            <w:r w:rsidRPr="00232B03">
              <w:rPr>
                <w:color w:val="000000"/>
                <w:kern w:val="0"/>
                <w:sz w:val="24"/>
                <w:szCs w:val="24"/>
              </w:rPr>
              <w:t>金融衍生品投资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5</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其中：买断式回购的买入返售金融资产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6</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银行存款和结算备付金合计</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4,077,544.75</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1.87</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7</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其他资产</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17,790.69</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0.01</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8</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合计</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217,510,313.75</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100.00</w:t>
            </w:r>
          </w:p>
        </w:tc>
      </w:tr>
    </w:tbl>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注：上表中的股票投资项含可退替代款估值增值，而5.2的合计项不含可退替代款估值增值。</w:t>
      </w:r>
    </w:p>
    <w:p w:rsidP="008C2A4F" w:rsidR="008C2A4F" w:rsidRDefault="008C2A4F" w:rsidRPr="00220C32">
      <w:pPr>
        <w:autoSpaceDE w:val="0"/>
        <w:autoSpaceDN w:val="0"/>
        <w:adjustRightInd w:val="0"/>
        <w:spacing w:line="360" w:lineRule="auto"/>
        <w:jc w:val="left"/>
        <w:rPr>
          <w:rFonts w:asciiTheme="minorEastAsia" w:eastAsiaTheme="minorEastAsia" w:hAnsiTheme="minorEastAsia"/>
          <w:b/>
          <w:bCs/>
          <w:color w:themeColor="text1" w:val="000000"/>
          <w:kern w:val="0"/>
          <w:sz w:val="24"/>
          <w:szCs w:val="24"/>
        </w:rPr>
      </w:pPr>
      <w:r w:rsidRPr="00220C32">
        <w:rPr>
          <w:rFonts w:asciiTheme="minorEastAsia" w:eastAsiaTheme="minorEastAsia" w:hAnsiTheme="minorEastAsia"/>
          <w:b/>
          <w:bCs/>
          <w:color w:themeColor="text1" w:val="000000"/>
          <w:kern w:val="0"/>
          <w:sz w:val="24"/>
          <w:szCs w:val="24"/>
        </w:rPr>
        <w:lastRenderedPageBreak/>
        <w:t xml:space="preserve">5.2 </w:t>
      </w:r>
      <w:r w:rsidRPr="00220C32">
        <w:rPr>
          <w:rFonts w:asciiTheme="minorEastAsia" w:eastAsiaTheme="minorEastAsia" w:hAnsiTheme="minorEastAsia" w:hint="eastAsia"/>
          <w:b/>
          <w:bCs/>
          <w:color w:themeColor="text1" w:val="000000"/>
          <w:kern w:val="0"/>
          <w:sz w:val="24"/>
          <w:szCs w:val="24"/>
        </w:rPr>
        <w:t>报告期末按行业分类的股票投资组合</w:t>
      </w:r>
    </w:p>
    <w:p w:rsidP="008C2A4F" w:rsidR="008C2A4F" w:rsidRDefault="008C2A4F" w:rsidRPr="000D7474">
      <w:pPr>
        <w:rPr>
          <w:rFonts w:asciiTheme="minorEastAsia" w:eastAsiaTheme="minorEastAsia" w:hAnsiTheme="minorEastAsia"/>
          <w:b/>
          <w:bCs/>
          <w:color w:themeColor="text1" w:val="000000"/>
          <w:kern w:val="0"/>
          <w:sz w:val="24"/>
          <w:szCs w:val="24"/>
        </w:rPr>
      </w:pPr>
      <w:r w:rsidRPr="000D7474">
        <w:rPr>
          <w:rFonts w:asciiTheme="minorEastAsia" w:eastAsiaTheme="minorEastAsia" w:hAnsiTheme="minorEastAsia"/>
          <w:b/>
          <w:bCs/>
          <w:color w:themeColor="text1" w:val="000000"/>
          <w:kern w:val="0"/>
          <w:sz w:val="24"/>
          <w:szCs w:val="24"/>
        </w:rPr>
        <w:t/>
      </w:r>
      <w:proofErr w:type="spellStart"/>
      <w:r w:rsidRPr="000D7474">
        <w:rPr>
          <w:rFonts w:asciiTheme="minorEastAsia" w:eastAsiaTheme="minorEastAsia" w:hAnsiTheme="minorEastAsia"/>
          <w:b/>
          <w:bCs/>
          <w:color w:themeColor="text1" w:val="000000"/>
          <w:kern w:val="0"/>
          <w:sz w:val="24"/>
          <w:szCs w:val="24"/>
        </w:rPr>
        <w:t/>
      </w:r>
      <w:proofErr w:type="spellEnd"/>
      <w:r w:rsidRPr="000D7474">
        <w:rPr>
          <w:rFonts w:asciiTheme="minorEastAsia" w:eastAsiaTheme="minorEastAsia" w:hAnsiTheme="minorEastAsia"/>
          <w:b/>
          <w:bCs/>
          <w:color w:themeColor="text1" w:val="000000"/>
          <w:kern w:val="0"/>
          <w:sz w:val="24"/>
          <w:szCs w:val="24"/>
        </w:rPr>
        <w:t/>
      </w:r>
      <w:r w:rsidRPr="000D7474">
        <w:rPr>
          <w:rFonts w:asciiTheme="minorEastAsia" w:eastAsiaTheme="minorEastAsia" w:hAnsiTheme="minorEastAsia" w:hint="eastAsia"/>
          <w:b/>
          <w:bCs/>
          <w:color w:themeColor="text1" w:val="000000"/>
          <w:kern w:val="0"/>
          <w:sz w:val="24"/>
          <w:szCs w:val="24"/>
        </w:rPr>
        <w:t>5.2.1报告期末按行业分类的境内股票投资组合</w:t>
      </w:r>
    </w:p>
    <w:tbl>
      <w:tblPr>
        <w:tblW w:type="dxa" w:w="8789"/>
        <w:tblInd w:type="dxa" w:w="-137"/>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709"/>
        <w:gridCol w:w="3544"/>
        <w:gridCol w:w="2977"/>
        <w:gridCol w:w="1559"/>
      </w:tblGrid>
      <w:tr w:rsidR="008C2A4F" w:rsidRPr="008C2A4F" w:rsidTr="003B5535">
        <w:trPr>
          <w:trHeight w:val="390"/>
        </w:trPr>
        <w:tc>
          <w:tcPr>
            <w:tcW w:type="dxa" w:w="709"/>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代码</w:t>
            </w: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行业类别</w:t>
            </w:r>
          </w:p>
        </w:tc>
        <w:tc>
          <w:tcPr>
            <w:tcW w:type="dxa" w:w="2977"/>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公允价值（元）</w:t>
            </w:r>
          </w:p>
        </w:tc>
        <w:tc>
          <w:tcPr>
            <w:tcW w:type="dxa" w:w="155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占基金资产净值比例（％）</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A</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农、林、牧、渔业</w:t>
            </w:r>
          </w:p>
        </w:tc>
        <w:tc>
          <w:tcPr>
            <w:tcW w:type="dxa" w:w="2977"/>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705,180.00</w:t>
            </w:r>
          </w:p>
        </w:tc>
        <w:tc>
          <w:tcPr>
            <w:tcW w:type="dxa" w:w="1559"/>
            <w:tcMar>
              <w:top w:type="dxa" w:w="15"/>
              <w:left w:type="dxa" w:w="15"/>
              <w:bottom w:type="dxa" w:w="0"/>
              <w:right w:type="dxa" w:w="15"/>
            </w:tcMar>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0.32</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B</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采矿业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6,842,661.00</w:t>
            </w:r>
          </w:p>
          <w:p w:rsidP="003328D9" w:rsidR="008C2A4F" w:rsidRDefault="008C2A4F" w:rsidRPr="008C2A4F">
            <w:pPr>
              <w:jc w:val="right"/>
              <w:rPr>
                <w:rFonts w:eastAsiaTheme="minorEastAsia"/>
                <w:color w:themeColor="text1" w:val="000000"/>
                <w:kern w:val="0"/>
                <w:sz w:val="24"/>
                <w:szCs w:val="24"/>
              </w:rPr>
            </w:pP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3.15</w:t>
            </w:r>
          </w:p>
          <w:p w:rsidP="003328D9" w:rsidR="008C2A4F" w:rsidRDefault="008C2A4F" w:rsidRPr="008C2A4F">
            <w:pPr>
              <w:jc w:val="right"/>
              <w:rPr>
                <w:rFonts w:eastAsiaTheme="minorEastAsia"/>
                <w:color w:themeColor="text1" w:val="000000"/>
                <w:kern w:val="0"/>
                <w:sz w:val="24"/>
                <w:szCs w:val="24"/>
              </w:rPr>
            </w:pP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C</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制造业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91,728,089.11</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42.24</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D</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电力、热力、燃气及水生产和供应业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16,076,203.70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7.40</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E</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建筑业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7,861,964.65</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3.62</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F</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批发和零售业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3,518,802.36</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1.62</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G</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交通运输、仓储和邮政业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9,765,499.20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4.50</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H</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住宿和餐饮业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I</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信息传输、软件和信息技术服务业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12,152,895.89</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5.60</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J</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金融业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52,476,774.54</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24.17</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K</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房地产业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9,698,364.86</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4.47</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L</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租赁和商务服务业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M</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科学研究和技术服务业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N</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水利、环境和公共设施管理业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O</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居民服务、修理和其他服务业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P</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教育</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lastRenderedPageBreak/>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Q</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卫生和社会工作</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1,984,563.00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0.91</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R</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文化、体育和娱乐业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603,980.00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0.28</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S</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综合</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合计</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213,414,978.31</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98.29</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5.3 </w:t>
      </w:r>
      <w:r w:rsidRPr="00264E55">
        <w:rPr>
          <w:rFonts w:ascii="宋体" w:hAnsi="宋体" w:hint="eastAsia"/>
          <w:b/>
          <w:bCs/>
          <w:color w:val="000000"/>
          <w:kern w:val="0"/>
          <w:sz w:val="24"/>
          <w:szCs w:val="24"/>
        </w:rPr>
        <w:t>报告期末按公允价值占基金资产净值比例大小排序的前十名股票投资明细</w:t>
      </w:r>
    </w:p>
    <w:tbl>
      <w:tblPr>
        <w:tblW w:type="dxa" w:w="8789"/>
        <w:tblInd w:type="dxa" w:w="-176"/>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1276"/>
        <w:gridCol w:w="1418"/>
        <w:gridCol w:w="1701"/>
        <w:gridCol w:w="1984"/>
        <w:gridCol w:w="1559"/>
      </w:tblGrid>
      <w:tr w:rsidR="00750D48" w:rsidRPr="00264E55" w:rsidTr="00191BDE">
        <w:tc>
          <w:tcPr>
            <w:tcW w:type="dxa" w:w="851"/>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股票代码</w:t>
            </w:r>
          </w:p>
        </w:tc>
        <w:tc>
          <w:tcPr>
            <w:tcW w:type="dxa" w:w="1418"/>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股票名称</w:t>
            </w:r>
          </w:p>
        </w:tc>
        <w:tc>
          <w:tcPr>
            <w:tcW w:type="dxa" w:w="1701"/>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（股）</w:t>
            </w:r>
          </w:p>
        </w:tc>
        <w:tc>
          <w:tcPr>
            <w:tcW w:type="dxa" w:w="1984"/>
            <w:vAlign w:val="center"/>
          </w:tcPr>
          <w:p w:rsidP="005F7917"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559"/>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600900</w:t>
            </w:r>
          </w:p>
        </w:tc>
        <w:tc>
          <w:tcPr>
            <w:vAlign w:val="center"/>
          </w:tcPr>
          <w:p>
            <w:pPr>
              <w:jc w:val="center"/>
            </w:pPr>
            <w:r>
              <w:rPr>
                <w:color w:val="000000"/>
                <w:kern w:val="0"/>
                <w:sz w:val="24"/>
                <w:szCs w:val="24"/>
              </w:rPr>
              <w:t>长江电力</w:t>
            </w:r>
          </w:p>
        </w:tc>
        <w:tc>
          <w:tcPr>
            <w:vAlign w:val="center"/>
          </w:tcPr>
          <w:p>
            <w:pPr>
              <w:jc w:val="right"/>
            </w:pPr>
            <w:r>
              <w:rPr>
                <w:color w:val="000000"/>
                <w:kern w:val="0"/>
                <w:sz w:val="24"/>
                <w:szCs w:val="24"/>
              </w:rPr>
              <w:t>542,326</w:t>
            </w:r>
          </w:p>
        </w:tc>
        <w:tc>
          <w:tcPr>
            <w:vAlign w:val="center"/>
          </w:tcPr>
          <w:p>
            <w:pPr>
              <w:jc w:val="right"/>
            </w:pPr>
            <w:r>
              <w:rPr>
                <w:color w:val="000000"/>
                <w:kern w:val="0"/>
                <w:sz w:val="24"/>
                <w:szCs w:val="24"/>
              </w:rPr>
              <w:t>10,271,654.44</w:t>
            </w:r>
          </w:p>
        </w:tc>
        <w:tc>
          <w:tcPr>
            <w:vAlign w:val="center"/>
          </w:tcPr>
          <w:p>
            <w:pPr>
              <w:jc w:val="right"/>
            </w:pPr>
            <w:r>
              <w:rPr>
                <w:color w:val="000000"/>
                <w:kern w:val="0"/>
                <w:sz w:val="24"/>
                <w:szCs w:val="24"/>
              </w:rPr>
              <w:t>4.73</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603288</w:t>
            </w:r>
          </w:p>
        </w:tc>
        <w:tc>
          <w:tcPr>
            <w:vAlign w:val="center"/>
          </w:tcPr>
          <w:p>
            <w:pPr>
              <w:jc w:val="center"/>
            </w:pPr>
            <w:r>
              <w:rPr>
                <w:color w:val="000000"/>
                <w:kern w:val="0"/>
                <w:sz w:val="24"/>
                <w:szCs w:val="24"/>
              </w:rPr>
              <w:t>海天味业</w:t>
            </w:r>
          </w:p>
        </w:tc>
        <w:tc>
          <w:tcPr>
            <w:vAlign w:val="center"/>
          </w:tcPr>
          <w:p>
            <w:pPr>
              <w:jc w:val="right"/>
            </w:pPr>
            <w:r>
              <w:rPr>
                <w:color w:val="000000"/>
                <w:kern w:val="0"/>
                <w:sz w:val="24"/>
                <w:szCs w:val="24"/>
              </w:rPr>
              <w:t>59,909</w:t>
            </w:r>
          </w:p>
        </w:tc>
        <w:tc>
          <w:tcPr>
            <w:vAlign w:val="center"/>
          </w:tcPr>
          <w:p>
            <w:pPr>
              <w:jc w:val="right"/>
            </w:pPr>
            <w:r>
              <w:rPr>
                <w:color w:val="000000"/>
                <w:kern w:val="0"/>
                <w:sz w:val="24"/>
                <w:szCs w:val="24"/>
              </w:rPr>
              <w:t>7,452,679.60</w:t>
            </w:r>
          </w:p>
        </w:tc>
        <w:tc>
          <w:tcPr>
            <w:vAlign w:val="center"/>
          </w:tcPr>
          <w:p>
            <w:pPr>
              <w:jc w:val="right"/>
            </w:pPr>
            <w:r>
              <w:rPr>
                <w:color w:val="000000"/>
                <w:kern w:val="0"/>
                <w:sz w:val="24"/>
                <w:szCs w:val="24"/>
              </w:rPr>
              <w:t>3.43</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600570</w:t>
            </w:r>
          </w:p>
        </w:tc>
        <w:tc>
          <w:tcPr>
            <w:vAlign w:val="center"/>
          </w:tcPr>
          <w:p>
            <w:pPr>
              <w:jc w:val="center"/>
            </w:pPr>
            <w:r>
              <w:rPr>
                <w:color w:val="000000"/>
                <w:kern w:val="0"/>
                <w:sz w:val="24"/>
                <w:szCs w:val="24"/>
              </w:rPr>
              <w:t>恒生电子</w:t>
            </w:r>
          </w:p>
        </w:tc>
        <w:tc>
          <w:tcPr>
            <w:vAlign w:val="center"/>
          </w:tcPr>
          <w:p>
            <w:pPr>
              <w:jc w:val="right"/>
            </w:pPr>
            <w:r>
              <w:rPr>
                <w:color w:val="000000"/>
                <w:kern w:val="0"/>
                <w:sz w:val="24"/>
                <w:szCs w:val="24"/>
              </w:rPr>
              <w:t>51,488</w:t>
            </w:r>
          </w:p>
        </w:tc>
        <w:tc>
          <w:tcPr>
            <w:vAlign w:val="center"/>
          </w:tcPr>
          <w:p>
            <w:pPr>
              <w:jc w:val="right"/>
            </w:pPr>
            <w:r>
              <w:rPr>
                <w:color w:val="000000"/>
                <w:kern w:val="0"/>
                <w:sz w:val="24"/>
                <w:szCs w:val="24"/>
              </w:rPr>
              <w:t>5,545,257.60</w:t>
            </w:r>
          </w:p>
        </w:tc>
        <w:tc>
          <w:tcPr>
            <w:vAlign w:val="center"/>
          </w:tcPr>
          <w:p>
            <w:pPr>
              <w:jc w:val="right"/>
            </w:pPr>
            <w:r>
              <w:rPr>
                <w:color w:val="000000"/>
                <w:kern w:val="0"/>
                <w:sz w:val="24"/>
                <w:szCs w:val="24"/>
              </w:rPr>
              <w:t>2.55</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601229</w:t>
            </w:r>
          </w:p>
        </w:tc>
        <w:tc>
          <w:tcPr>
            <w:vAlign w:val="center"/>
          </w:tcPr>
          <w:p>
            <w:pPr>
              <w:jc w:val="center"/>
            </w:pPr>
            <w:r>
              <w:rPr>
                <w:color w:val="000000"/>
                <w:kern w:val="0"/>
                <w:sz w:val="24"/>
                <w:szCs w:val="24"/>
              </w:rPr>
              <w:t>上海银行</w:t>
            </w:r>
          </w:p>
        </w:tc>
        <w:tc>
          <w:tcPr>
            <w:vAlign w:val="center"/>
          </w:tcPr>
          <w:p>
            <w:pPr>
              <w:jc w:val="right"/>
            </w:pPr>
            <w:r>
              <w:rPr>
                <w:color w:val="000000"/>
                <w:kern w:val="0"/>
                <w:sz w:val="24"/>
                <w:szCs w:val="24"/>
              </w:rPr>
              <w:t>612,800</w:t>
            </w:r>
          </w:p>
        </w:tc>
        <w:tc>
          <w:tcPr>
            <w:vAlign w:val="center"/>
          </w:tcPr>
          <w:p>
            <w:pPr>
              <w:jc w:val="right"/>
            </w:pPr>
            <w:r>
              <w:rPr>
                <w:color w:val="000000"/>
                <w:kern w:val="0"/>
                <w:sz w:val="24"/>
                <w:szCs w:val="24"/>
              </w:rPr>
              <w:t>5,086,240.00</w:t>
            </w:r>
          </w:p>
        </w:tc>
        <w:tc>
          <w:tcPr>
            <w:vAlign w:val="center"/>
          </w:tcPr>
          <w:p>
            <w:pPr>
              <w:jc w:val="right"/>
            </w:pPr>
            <w:r>
              <w:rPr>
                <w:color w:val="000000"/>
                <w:kern w:val="0"/>
                <w:sz w:val="24"/>
                <w:szCs w:val="24"/>
              </w:rPr>
              <w:t>2.34</w:t>
            </w:r>
          </w:p>
        </w:tc>
      </w:tr>
      <w:tr>
        <w:tc>
          <w:tcPr>
            <w:vAlign w:val="center"/>
          </w:tcPr>
          <w:p>
            <w:pPr>
              <w:jc w:val="center"/>
            </w:pPr>
            <w:r>
              <w:rPr>
                <w:color w:val="000000"/>
                <w:kern w:val="0"/>
                <w:sz w:val="24"/>
                <w:szCs w:val="24"/>
              </w:rPr>
              <w:t>5</w:t>
            </w:r>
          </w:p>
        </w:tc>
        <w:tc>
          <w:tcPr>
            <w:vAlign w:val="center"/>
          </w:tcPr>
          <w:p>
            <w:pPr>
              <w:jc w:val="center"/>
            </w:pPr>
            <w:r>
              <w:rPr>
                <w:color w:val="000000"/>
                <w:kern w:val="0"/>
                <w:sz w:val="24"/>
                <w:szCs w:val="24"/>
              </w:rPr>
              <w:t>603986</w:t>
            </w:r>
          </w:p>
        </w:tc>
        <w:tc>
          <w:tcPr>
            <w:vAlign w:val="center"/>
          </w:tcPr>
          <w:p>
            <w:pPr>
              <w:jc w:val="center"/>
            </w:pPr>
            <w:r>
              <w:rPr>
                <w:color w:val="000000"/>
                <w:kern w:val="0"/>
                <w:sz w:val="24"/>
                <w:szCs w:val="24"/>
              </w:rPr>
              <w:t>兆易创新</w:t>
            </w:r>
          </w:p>
        </w:tc>
        <w:tc>
          <w:tcPr>
            <w:vAlign w:val="center"/>
          </w:tcPr>
          <w:p>
            <w:pPr>
              <w:jc w:val="right"/>
            </w:pPr>
            <w:r>
              <w:rPr>
                <w:color w:val="000000"/>
                <w:kern w:val="0"/>
                <w:sz w:val="24"/>
                <w:szCs w:val="24"/>
              </w:rPr>
              <w:t>20,300</w:t>
            </w:r>
          </w:p>
        </w:tc>
        <w:tc>
          <w:tcPr>
            <w:vAlign w:val="center"/>
          </w:tcPr>
          <w:p>
            <w:pPr>
              <w:jc w:val="right"/>
            </w:pPr>
            <w:r>
              <w:rPr>
                <w:color w:val="000000"/>
                <w:kern w:val="0"/>
                <w:sz w:val="24"/>
                <w:szCs w:val="24"/>
              </w:rPr>
              <w:t>4,788,973.00</w:t>
            </w:r>
          </w:p>
        </w:tc>
        <w:tc>
          <w:tcPr>
            <w:vAlign w:val="center"/>
          </w:tcPr>
          <w:p>
            <w:pPr>
              <w:jc w:val="right"/>
            </w:pPr>
            <w:r>
              <w:rPr>
                <w:color w:val="000000"/>
                <w:kern w:val="0"/>
                <w:sz w:val="24"/>
                <w:szCs w:val="24"/>
              </w:rPr>
              <w:t>2.21</w:t>
            </w:r>
          </w:p>
        </w:tc>
      </w:tr>
      <w:tr>
        <w:tc>
          <w:tcPr>
            <w:vAlign w:val="center"/>
          </w:tcPr>
          <w:p>
            <w:pPr>
              <w:jc w:val="center"/>
            </w:pPr>
            <w:r>
              <w:rPr>
                <w:color w:val="000000"/>
                <w:kern w:val="0"/>
                <w:sz w:val="24"/>
                <w:szCs w:val="24"/>
              </w:rPr>
              <w:t>6</w:t>
            </w:r>
          </w:p>
        </w:tc>
        <w:tc>
          <w:tcPr>
            <w:vAlign w:val="center"/>
          </w:tcPr>
          <w:p>
            <w:pPr>
              <w:jc w:val="center"/>
            </w:pPr>
            <w:r>
              <w:rPr>
                <w:color w:val="000000"/>
                <w:kern w:val="0"/>
                <w:sz w:val="24"/>
                <w:szCs w:val="24"/>
              </w:rPr>
              <w:t>601169</w:t>
            </w:r>
          </w:p>
        </w:tc>
        <w:tc>
          <w:tcPr>
            <w:vAlign w:val="center"/>
          </w:tcPr>
          <w:p>
            <w:pPr>
              <w:jc w:val="center"/>
            </w:pPr>
            <w:r>
              <w:rPr>
                <w:color w:val="000000"/>
                <w:kern w:val="0"/>
                <w:sz w:val="24"/>
                <w:szCs w:val="24"/>
              </w:rPr>
              <w:t>北京银行</w:t>
            </w:r>
          </w:p>
        </w:tc>
        <w:tc>
          <w:tcPr>
            <w:vAlign w:val="center"/>
          </w:tcPr>
          <w:p>
            <w:pPr>
              <w:jc w:val="right"/>
            </w:pPr>
            <w:r>
              <w:rPr>
                <w:color w:val="000000"/>
                <w:kern w:val="0"/>
                <w:sz w:val="24"/>
                <w:szCs w:val="24"/>
              </w:rPr>
              <w:t>912,000</w:t>
            </w:r>
          </w:p>
        </w:tc>
        <w:tc>
          <w:tcPr>
            <w:vAlign w:val="center"/>
          </w:tcPr>
          <w:p>
            <w:pPr>
              <w:jc w:val="right"/>
            </w:pPr>
            <w:r>
              <w:rPr>
                <w:color w:val="000000"/>
                <w:kern w:val="0"/>
                <w:sz w:val="24"/>
                <w:szCs w:val="24"/>
              </w:rPr>
              <w:t>4,468,800.00</w:t>
            </w:r>
          </w:p>
        </w:tc>
        <w:tc>
          <w:tcPr>
            <w:vAlign w:val="center"/>
          </w:tcPr>
          <w:p>
            <w:pPr>
              <w:jc w:val="right"/>
            </w:pPr>
            <w:r>
              <w:rPr>
                <w:color w:val="000000"/>
                <w:kern w:val="0"/>
                <w:sz w:val="24"/>
                <w:szCs w:val="24"/>
              </w:rPr>
              <w:t>2.06</w:t>
            </w:r>
          </w:p>
        </w:tc>
      </w:tr>
      <w:tr>
        <w:tc>
          <w:tcPr>
            <w:vAlign w:val="center"/>
          </w:tcPr>
          <w:p>
            <w:pPr>
              <w:jc w:val="center"/>
            </w:pPr>
            <w:r>
              <w:rPr>
                <w:color w:val="000000"/>
                <w:kern w:val="0"/>
                <w:sz w:val="24"/>
                <w:szCs w:val="24"/>
              </w:rPr>
              <w:t>7</w:t>
            </w:r>
          </w:p>
        </w:tc>
        <w:tc>
          <w:tcPr>
            <w:vAlign w:val="center"/>
          </w:tcPr>
          <w:p>
            <w:pPr>
              <w:jc w:val="center"/>
            </w:pPr>
            <w:r>
              <w:rPr>
                <w:color w:val="000000"/>
                <w:kern w:val="0"/>
                <w:sz w:val="24"/>
                <w:szCs w:val="24"/>
              </w:rPr>
              <w:t>601766</w:t>
            </w:r>
          </w:p>
        </w:tc>
        <w:tc>
          <w:tcPr>
            <w:vAlign w:val="center"/>
          </w:tcPr>
          <w:p>
            <w:pPr>
              <w:jc w:val="center"/>
            </w:pPr>
            <w:r>
              <w:rPr>
                <w:color w:val="000000"/>
                <w:kern w:val="0"/>
                <w:sz w:val="24"/>
                <w:szCs w:val="24"/>
              </w:rPr>
              <w:t>中国中车</w:t>
            </w:r>
          </w:p>
        </w:tc>
        <w:tc>
          <w:tcPr>
            <w:vAlign w:val="center"/>
          </w:tcPr>
          <w:p>
            <w:pPr>
              <w:jc w:val="right"/>
            </w:pPr>
            <w:r>
              <w:rPr>
                <w:color w:val="000000"/>
                <w:kern w:val="0"/>
                <w:sz w:val="24"/>
                <w:szCs w:val="24"/>
              </w:rPr>
              <w:t>749,500</w:t>
            </w:r>
          </w:p>
        </w:tc>
        <w:tc>
          <w:tcPr>
            <w:vAlign w:val="center"/>
          </w:tcPr>
          <w:p>
            <w:pPr>
              <w:jc w:val="right"/>
            </w:pPr>
            <w:r>
              <w:rPr>
                <w:color w:val="000000"/>
                <w:kern w:val="0"/>
                <w:sz w:val="24"/>
                <w:szCs w:val="24"/>
              </w:rPr>
              <w:t>4,174,715.00</w:t>
            </w:r>
          </w:p>
        </w:tc>
        <w:tc>
          <w:tcPr>
            <w:vAlign w:val="center"/>
          </w:tcPr>
          <w:p>
            <w:pPr>
              <w:jc w:val="right"/>
            </w:pPr>
            <w:r>
              <w:rPr>
                <w:color w:val="000000"/>
                <w:kern w:val="0"/>
                <w:sz w:val="24"/>
                <w:szCs w:val="24"/>
              </w:rPr>
              <w:t>1.92</w:t>
            </w:r>
          </w:p>
        </w:tc>
      </w:tr>
      <w:tr>
        <w:tc>
          <w:tcPr>
            <w:vAlign w:val="center"/>
          </w:tcPr>
          <w:p>
            <w:pPr>
              <w:jc w:val="center"/>
            </w:pPr>
            <w:r>
              <w:rPr>
                <w:color w:val="000000"/>
                <w:kern w:val="0"/>
                <w:sz w:val="24"/>
                <w:szCs w:val="24"/>
              </w:rPr>
              <w:t>8</w:t>
            </w:r>
          </w:p>
        </w:tc>
        <w:tc>
          <w:tcPr>
            <w:vAlign w:val="center"/>
          </w:tcPr>
          <w:p>
            <w:pPr>
              <w:jc w:val="center"/>
            </w:pPr>
            <w:r>
              <w:rPr>
                <w:color w:val="000000"/>
                <w:kern w:val="0"/>
                <w:sz w:val="24"/>
                <w:szCs w:val="24"/>
              </w:rPr>
              <w:t>600999</w:t>
            </w:r>
          </w:p>
        </w:tc>
        <w:tc>
          <w:tcPr>
            <w:vAlign w:val="center"/>
          </w:tcPr>
          <w:p>
            <w:pPr>
              <w:jc w:val="center"/>
            </w:pPr>
            <w:r>
              <w:rPr>
                <w:color w:val="000000"/>
                <w:kern w:val="0"/>
                <w:sz w:val="24"/>
                <w:szCs w:val="24"/>
              </w:rPr>
              <w:t>招商证券</w:t>
            </w:r>
          </w:p>
        </w:tc>
        <w:tc>
          <w:tcPr>
            <w:vAlign w:val="center"/>
          </w:tcPr>
          <w:p>
            <w:pPr>
              <w:jc w:val="right"/>
            </w:pPr>
            <w:r>
              <w:rPr>
                <w:color w:val="000000"/>
                <w:kern w:val="0"/>
                <w:sz w:val="24"/>
                <w:szCs w:val="24"/>
              </w:rPr>
              <w:t>176,200</w:t>
            </w:r>
          </w:p>
        </w:tc>
        <w:tc>
          <w:tcPr>
            <w:vAlign w:val="center"/>
          </w:tcPr>
          <w:p>
            <w:pPr>
              <w:jc w:val="right"/>
            </w:pPr>
            <w:r>
              <w:rPr>
                <w:color w:val="000000"/>
                <w:kern w:val="0"/>
                <w:sz w:val="24"/>
                <w:szCs w:val="24"/>
              </w:rPr>
              <w:t>3,867,590.00</w:t>
            </w:r>
          </w:p>
        </w:tc>
        <w:tc>
          <w:tcPr>
            <w:vAlign w:val="center"/>
          </w:tcPr>
          <w:p>
            <w:pPr>
              <w:jc w:val="right"/>
            </w:pPr>
            <w:r>
              <w:rPr>
                <w:color w:val="000000"/>
                <w:kern w:val="0"/>
                <w:sz w:val="24"/>
                <w:szCs w:val="24"/>
              </w:rPr>
              <w:t>1.78</w:t>
            </w:r>
          </w:p>
        </w:tc>
      </w:tr>
      <w:tr>
        <w:tc>
          <w:tcPr>
            <w:vAlign w:val="center"/>
          </w:tcPr>
          <w:p>
            <w:pPr>
              <w:jc w:val="center"/>
            </w:pPr>
            <w:r>
              <w:rPr>
                <w:color w:val="000000"/>
                <w:kern w:val="0"/>
                <w:sz w:val="24"/>
                <w:szCs w:val="24"/>
              </w:rPr>
              <w:t>9</w:t>
            </w:r>
          </w:p>
        </w:tc>
        <w:tc>
          <w:tcPr>
            <w:vAlign w:val="center"/>
          </w:tcPr>
          <w:p>
            <w:pPr>
              <w:jc w:val="center"/>
            </w:pPr>
            <w:r>
              <w:rPr>
                <w:color w:val="000000"/>
                <w:kern w:val="0"/>
                <w:sz w:val="24"/>
                <w:szCs w:val="24"/>
              </w:rPr>
              <w:t>601899</w:t>
            </w:r>
          </w:p>
        </w:tc>
        <w:tc>
          <w:tcPr>
            <w:vAlign w:val="center"/>
          </w:tcPr>
          <w:p>
            <w:pPr>
              <w:jc w:val="center"/>
            </w:pPr>
            <w:r>
              <w:rPr>
                <w:color w:val="000000"/>
                <w:kern w:val="0"/>
                <w:sz w:val="24"/>
                <w:szCs w:val="24"/>
              </w:rPr>
              <w:t>紫金矿业</w:t>
            </w:r>
          </w:p>
        </w:tc>
        <w:tc>
          <w:tcPr>
            <w:vAlign w:val="center"/>
          </w:tcPr>
          <w:p>
            <w:pPr>
              <w:jc w:val="right"/>
            </w:pPr>
            <w:r>
              <w:rPr>
                <w:color w:val="000000"/>
                <w:kern w:val="0"/>
                <w:sz w:val="24"/>
                <w:szCs w:val="24"/>
              </w:rPr>
              <w:t>847,172</w:t>
            </w:r>
          </w:p>
        </w:tc>
        <w:tc>
          <w:tcPr>
            <w:vAlign w:val="center"/>
          </w:tcPr>
          <w:p>
            <w:pPr>
              <w:jc w:val="right"/>
            </w:pPr>
            <w:r>
              <w:rPr>
                <w:color w:val="000000"/>
                <w:kern w:val="0"/>
                <w:sz w:val="24"/>
                <w:szCs w:val="24"/>
              </w:rPr>
              <w:t>3,727,556.80</w:t>
            </w:r>
          </w:p>
        </w:tc>
        <w:tc>
          <w:tcPr>
            <w:vAlign w:val="center"/>
          </w:tcPr>
          <w:p>
            <w:pPr>
              <w:jc w:val="right"/>
            </w:pPr>
            <w:r>
              <w:rPr>
                <w:color w:val="000000"/>
                <w:kern w:val="0"/>
                <w:sz w:val="24"/>
                <w:szCs w:val="24"/>
              </w:rPr>
              <w:t>1.72</w:t>
            </w:r>
          </w:p>
        </w:tc>
      </w:tr>
      <w:tr>
        <w:tc>
          <w:tcPr>
            <w:vAlign w:val="center"/>
          </w:tcPr>
          <w:p>
            <w:pPr>
              <w:jc w:val="center"/>
            </w:pPr>
            <w:r>
              <w:rPr>
                <w:color w:val="000000"/>
                <w:kern w:val="0"/>
                <w:sz w:val="24"/>
                <w:szCs w:val="24"/>
              </w:rPr>
              <w:t>10</w:t>
            </w:r>
          </w:p>
        </w:tc>
        <w:tc>
          <w:tcPr>
            <w:vAlign w:val="center"/>
          </w:tcPr>
          <w:p>
            <w:pPr>
              <w:jc w:val="center"/>
            </w:pPr>
            <w:r>
              <w:rPr>
                <w:color w:val="000000"/>
                <w:kern w:val="0"/>
                <w:sz w:val="24"/>
                <w:szCs w:val="24"/>
              </w:rPr>
              <w:t>600919</w:t>
            </w:r>
          </w:p>
        </w:tc>
        <w:tc>
          <w:tcPr>
            <w:vAlign w:val="center"/>
          </w:tcPr>
          <w:p>
            <w:pPr>
              <w:jc w:val="center"/>
            </w:pPr>
            <w:r>
              <w:rPr>
                <w:color w:val="000000"/>
                <w:kern w:val="0"/>
                <w:sz w:val="24"/>
                <w:szCs w:val="24"/>
              </w:rPr>
              <w:t>江苏银行</w:t>
            </w:r>
          </w:p>
        </w:tc>
        <w:tc>
          <w:tcPr>
            <w:vAlign w:val="center"/>
          </w:tcPr>
          <w:p>
            <w:pPr>
              <w:jc w:val="right"/>
            </w:pPr>
            <w:r>
              <w:rPr>
                <w:color w:val="000000"/>
                <w:kern w:val="0"/>
                <w:sz w:val="24"/>
                <w:szCs w:val="24"/>
              </w:rPr>
              <w:t>569,200</w:t>
            </w:r>
          </w:p>
        </w:tc>
        <w:tc>
          <w:tcPr>
            <w:vAlign w:val="center"/>
          </w:tcPr>
          <w:p>
            <w:pPr>
              <w:jc w:val="right"/>
            </w:pPr>
            <w:r>
              <w:rPr>
                <w:color w:val="000000"/>
                <w:kern w:val="0"/>
                <w:sz w:val="24"/>
                <w:szCs w:val="24"/>
              </w:rPr>
              <w:t>3,227,364.00</w:t>
            </w:r>
          </w:p>
        </w:tc>
        <w:tc>
          <w:tcPr>
            <w:vAlign w:val="center"/>
          </w:tcPr>
          <w:p>
            <w:pPr>
              <w:jc w:val="right"/>
            </w:pPr>
            <w:r>
              <w:rPr>
                <w:color w:val="000000"/>
                <w:kern w:val="0"/>
                <w:sz w:val="24"/>
                <w:szCs w:val="24"/>
              </w:rPr>
              <w:t>1.49</w:t>
            </w:r>
          </w:p>
        </w:tc>
      </w:tr>
    </w:tbl>
    <w:p w:rsidP="00CA4677" w:rsidR="00CA4677" w:rsidRDefault="00750D48" w:rsidRPr="00283CAD">
      <w:pPr>
        <w:autoSpaceDE w:val="0"/>
        <w:autoSpaceDN w:val="0"/>
        <w:adjustRightInd w:val="0"/>
        <w:spacing w:line="360" w:lineRule="auto"/>
        <w:jc w:val="left"/>
        <w:rPr>
          <w:rFonts w:eastAsiaTheme="minorEastAsia"/>
          <w:b/>
          <w:bCs/>
          <w:color w:themeColor="text1" w:val="000000"/>
          <w:kern w:val="0"/>
          <w:sz w:val="24"/>
          <w:szCs w:val="24"/>
        </w:rPr>
      </w:pPr>
      <w:r w:rsidRPr="00264E55">
        <w:rPr>
          <w:rFonts w:ascii="宋体" w:hAnsi="宋体"/>
          <w:b/>
          <w:bCs/>
          <w:color w:val="000000"/>
          <w:kern w:val="0"/>
          <w:sz w:val="24"/>
          <w:szCs w:val="24"/>
        </w:rPr>
        <w:t xml:space="preserve">5.4 </w:t>
      </w:r>
      <w:r w:rsidRPr="00264E55">
        <w:rPr>
          <w:rFonts w:ascii="宋体" w:hAnsi="宋体" w:hint="eastAsia"/>
          <w:b/>
          <w:bCs/>
          <w:color w:val="000000"/>
          <w:kern w:val="0"/>
          <w:sz w:val="24"/>
          <w:szCs w:val="24"/>
        </w:rPr>
        <w:t>报告期末按债券品种分类的债券投资组合</w:t>
      </w:r>
    </w:p>
    <w:p w:rsidP="00403A06" w:rsidR="00750D48" w:rsidRDefault="00CA4677" w:rsidRPr="00232B03">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本基金本报告期末未持有债券。</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5.5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的前五名债券投资明细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本基金本报告期末未持有债券。</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5.6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的前十名资产支持证券投资明细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本基金本报告期末未持有资产支持证券。</w:t>
      </w:r>
    </w:p>
    <w:p w:rsidP="001D63BB" w:rsidR="00750D48" w:rsidRDefault="00750D48" w:rsidRPr="001D63BB">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r w:rsidRPr="001B0A62">
        <w:rPr>
          <w:rFonts w:ascii="宋体" w:hAnsi="宋体"/>
          <w:b/>
          <w:bCs/>
          <w:color w:val="000000"/>
          <w:kern w:val="0"/>
          <w:sz w:val="24"/>
          <w:szCs w:val="24"/>
        </w:rPr>
        <w:t>5.</w:t>
      </w:r>
      <w:r>
        <w:rPr>
          <w:rFonts w:ascii="宋体" w:hAnsi="宋体"/>
          <w:b/>
          <w:bCs/>
          <w:color w:val="000000"/>
          <w:kern w:val="0"/>
          <w:sz w:val="24"/>
          <w:szCs w:val="24"/>
        </w:rPr>
        <w:t/>
      </w:r>
      <w:r w:rsidRPr="001B0A62">
        <w:rPr>
          <w:rFonts w:ascii="宋体"/>
          <w:b/>
          <w:bCs/>
          <w:color w:val="000000"/>
          <w:kern w:val="0"/>
          <w:sz w:val="24"/>
          <w:szCs w:val="24"/>
        </w:rPr>
        <w:t>7</w:t>
      </w:r>
      <w:r w:rsidRPr="001D63BB">
        <w:rPr>
          <w:rFonts w:ascii="宋体" w:hAnsi="宋体" w:hint="eastAsia"/>
          <w:b/>
          <w:bCs/>
          <w:color w:val="000000"/>
          <w:kern w:val="0"/>
          <w:sz w:val="24"/>
          <w:szCs w:val="24"/>
        </w:rPr>
        <w:t>报告期末按公允价值占基金资产净值比例大小排序的前五名贵金属投资明细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本基金本报告期末未持有贵金属。</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Pr>
          <w:rFonts w:asci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5.</w:t>
      </w:r>
      <w:r w:rsidRPr="001B0A62">
        <w:rPr>
          <w:rFonts w:ascii="宋体" w:hAns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8</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的前五名权证投资明细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本基金本报告期末未持有权证。</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w:t>
      </w:r>
      <w:r>
        <w:rPr>
          <w:rFonts w:ascii="宋体"/>
          <w:b/>
          <w:bCs/>
          <w:color w:val="000000"/>
          <w:kern w:val="0"/>
          <w:sz w:val="24"/>
          <w:szCs w:val="24"/>
        </w:rPr>
        <w:t>.</w:t>
      </w:r>
      <w:r>
        <w:rPr>
          <w:rFonts w:ascii="宋体" w:hAnsi="宋体"/>
          <w:b/>
          <w:bCs/>
          <w:color w:val="000000"/>
          <w:kern w:val="0"/>
          <w:sz w:val="24"/>
          <w:szCs w:val="24"/>
        </w:rPr>
        <w:t/>
      </w:r>
      <w:r w:rsidRPr="001B0A62">
        <w:rPr>
          <w:rFonts w:ascii="宋体"/>
          <w:b/>
          <w:bCs/>
          <w:color w:val="000000"/>
          <w:kern w:val="0"/>
          <w:sz w:val="24"/>
          <w:szCs w:val="24"/>
        </w:rPr>
        <w:t>9</w:t>
      </w:r>
      <w:r w:rsidRPr="001B0A62">
        <w:rPr>
          <w:rFonts w:ascii="宋体" w:hAnsi="宋体" w:hint="eastAsia"/>
          <w:b/>
          <w:bCs/>
          <w:color w:val="000000"/>
          <w:kern w:val="0"/>
          <w:sz w:val="24"/>
          <w:szCs w:val="24"/>
        </w:rPr>
        <w:t>报告期末本基金投资的股指期货交易情况说明</w:t>
      </w:r>
    </w:p>
    <w:p w:rsidP="00277FAE" w:rsidR="00277FAE" w:rsidRDefault="00277FAE">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r>
        <w:rPr>
          <w:color w:val="000000"/>
          <w:sz w:val="24"/>
        </w:rPr>
        <w:t/>
      </w:r>
      <w:r>
        <w:rPr>
          <w:rFonts w:eastAsiaTheme="minorEastAsia"/>
          <w:color w:themeColor="text1" w:val="000000"/>
          <w:sz w:val="24"/>
        </w:rPr>
        <w:t/>
      </w:r>
      <w:proofErr w:type="spellEnd"/>
      <w:r>
        <w:rPr>
          <w:rFonts w:eastAsiaTheme="minorEastAsia"/>
          <w:color w:themeColor="text1" w:val="000000"/>
          <w:sz w:val="24"/>
        </w:rPr>
        <w:t>本基金本报告期末未投资股指期货。</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5.10</w:t>
      </w:r>
      <w:r w:rsidRPr="001B0A62">
        <w:rPr>
          <w:rFonts w:ascii="宋体" w:hAnsi="宋体" w:hint="eastAsia"/>
          <w:b/>
          <w:bCs/>
          <w:color w:val="000000"/>
          <w:kern w:val="0"/>
          <w:sz w:val="24"/>
          <w:szCs w:val="24"/>
        </w:rPr>
        <w:t>报告期末本基金投资的国债期货交易情况说明</w:t>
      </w:r>
    </w:p>
    <w:p w:rsidP="00277FAE" w:rsidR="00277FAE" w:rsidRDefault="00277FAE">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r>
        <w:rPr>
          <w:color w:val="000000"/>
          <w:sz w:val="24"/>
        </w:rPr>
        <w:t/>
      </w:r>
      <w:proofErr w:type="spellEnd"/>
      <w:r>
        <w:rPr>
          <w:color w:val="000000"/>
          <w:sz w:val="24"/>
        </w:rPr>
        <w:t>本基金本报告期末未投资国债期货。</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5.11 </w:t>
      </w:r>
      <w:r w:rsidRPr="00264E55">
        <w:rPr>
          <w:rFonts w:ascii="宋体" w:hAnsi="宋体" w:hint="eastAsia"/>
          <w:b/>
          <w:bCs/>
          <w:color w:val="000000"/>
          <w:kern w:val="0"/>
          <w:sz w:val="24"/>
          <w:szCs w:val="24"/>
        </w:rPr>
        <w:t>投资组合报告附注</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r w:rsidR="00750D48" w:rsidRPr="00264E55">
        <w:rPr>
          <w:rFonts w:ascii="宋体"/>
          <w:color w:val="000000"/>
          <w:sz w:val="24"/>
          <w:szCs w:val="24"/>
        </w:rPr>
        <w:t/>
      </w:r>
      <w:r w:rsidR="00750D48" w:rsidRPr="00264E55">
        <w:rPr>
          <w:rFonts w:ascii="宋体" w:hAnsi="宋体"/>
          <w:color w:val="000000"/>
          <w:sz w:val="24"/>
          <w:szCs w:val="24"/>
        </w:rPr>
        <w:t>5.11.1</w:t>
      </w:r>
      <w:r w:rsidR="00065E3C">
        <w:rPr>
          <w:rFonts w:ascii="宋体" w:hAnsi="宋体" w:hint="eastAsia"/>
          <w:color w:val="000000"/>
          <w:sz w:val="24"/>
          <w:szCs w:val="24"/>
        </w:rPr>
        <w:t xml:space="preserve"> </w:t>
      </w:r>
      <w:r w:rsidR="00750D48" w:rsidRPr="00264E55">
        <w:rPr>
          <w:rFonts w:ascii="宋体" w:hAnsi="宋体"/>
          <w:color w:val="000000"/>
          <w:sz w:val="24"/>
          <w:szCs w:val="24"/>
        </w:rPr>
        <w:t>2019年9月3日，北京银保监局对北京银行股份有限公司个人消费贷款被挪用于支付购房首付款或投资股权、个别个人商办用房贷款违反房地产调控政策、同业投资通过信托通道违规发放土地储备贷款的行为的违法违规事实，责令改正，并处罚款110万元人民币。</w:t>
      </w:r>
    </w:p>
    <w:p>
      <w:pPr>
        <w:spacing w:line="360" w:lineRule="auto"/>
        <w:rPr>
          <w:rFonts w:ascii="宋体" w:hAnsi="宋体"/>
          <w:color w:val="000000"/>
          <w:sz w:val="24"/>
          <w:szCs w:val="24"/>
        </w:rPr>
      </w:pPr>
      <w:r>
        <w:rPr>
          <w:rFonts w:ascii="宋体" w:hAnsi="宋体"/>
          <w:color w:val="000000"/>
          <w:sz w:val="24"/>
          <w:szCs w:val="24"/>
        </w:rPr>
        <w:t>2019年9月25日，北京银保监局对北京银行股份有限公司员工大额消费贷款违规行为长期未有效整改、同业业务专营部门制改革不到位、同业投资违规接受第三方金融机构信用担保的违法违规事实，责令改正，并给予合计100万元罚款的行政处罚。</w:t>
      </w:r>
    </w:p>
    <w:p>
      <w:pPr>
        <w:spacing w:line="360" w:lineRule="auto"/>
        <w:rPr>
          <w:rFonts w:ascii="宋体" w:hAnsi="宋体"/>
          <w:color w:val="000000"/>
          <w:sz w:val="24"/>
          <w:szCs w:val="24"/>
        </w:rPr>
      </w:pPr>
      <w:r>
        <w:rPr>
          <w:rFonts w:ascii="宋体" w:hAnsi="宋体"/>
          <w:color w:val="000000"/>
          <w:sz w:val="24"/>
          <w:szCs w:val="24"/>
        </w:rPr>
        <w:t>2020年5月14日，国家外汇管理局北京外汇管理部对北京银行作出“责令改正，给予警告，处14万元人民币罚款”的行政处罚，违法违规事由：未按照规定进行国际收支统计申报；未按照规定报送财务会计报告、统计报表等资料。</w:t>
      </w:r>
    </w:p>
    <w:p>
      <w:pPr>
        <w:spacing w:line="360" w:lineRule="auto"/>
        <w:rPr>
          <w:rFonts w:ascii="宋体" w:hAnsi="宋体"/>
          <w:color w:val="000000"/>
          <w:sz w:val="24"/>
          <w:szCs w:val="24"/>
        </w:rPr>
      </w:pPr>
      <w:r>
        <w:rPr>
          <w:rFonts w:ascii="宋体" w:hAnsi="宋体"/>
          <w:color w:val="000000"/>
          <w:sz w:val="24"/>
          <w:szCs w:val="24"/>
        </w:rPr>
        <w:t>2019年7月8日，中国银行保险监督管理委员会上海监管局对上海银行股份有限公司信用卡中心的如下违法违规行为作出“责令改正，并处罚款40万元”的行政处罚决定：2017年12月，该中心在为部分客户办理信用卡业务时，未遵守总授信额度管理制度。</w:t>
      </w:r>
    </w:p>
    <w:p>
      <w:pPr>
        <w:spacing w:line="360" w:lineRule="auto"/>
        <w:rPr>
          <w:rFonts w:ascii="宋体" w:hAnsi="宋体"/>
          <w:color w:val="000000"/>
          <w:sz w:val="24"/>
          <w:szCs w:val="24"/>
        </w:rPr>
      </w:pPr>
      <w:r>
        <w:rPr>
          <w:rFonts w:ascii="宋体" w:hAnsi="宋体"/>
          <w:color w:val="000000"/>
          <w:sz w:val="24"/>
          <w:szCs w:val="24"/>
        </w:rPr>
        <w:t>2019年11月2日，中国人民银行上海分行对上海银行股份有限公司违反支付业务规定的行为，没收违法所得1,762,787.61元，并处以1,762,787.61元罚款，共计3,525,575.22元，同时对相关高级管理人员作出处罚。</w:t>
      </w:r>
    </w:p>
    <w:p>
      <w:pPr>
        <w:spacing w:line="360" w:lineRule="auto"/>
        <w:rPr>
          <w:rFonts w:ascii="宋体" w:hAnsi="宋体"/>
          <w:color w:val="000000"/>
          <w:sz w:val="24"/>
          <w:szCs w:val="24"/>
        </w:rPr>
      </w:pPr>
      <w:r>
        <w:rPr>
          <w:rFonts w:ascii="宋体" w:hAnsi="宋体"/>
          <w:color w:val="000000"/>
          <w:sz w:val="24"/>
          <w:szCs w:val="24"/>
        </w:rPr>
        <w:t>2020年4月8日，中国人民银行长春中心支行对招商证券股份有限公司长春人民大街证券营业部未按照规定履行客户身份识别义务的违法违规事实，责令整改并处罚款22万元的行政处罚。</w:t>
      </w:r>
    </w:p>
    <w:p>
      <w:pPr>
        <w:spacing w:line="360" w:lineRule="auto"/>
        <w:rPr>
          <w:rFonts w:ascii="宋体" w:hAnsi="宋体"/>
          <w:color w:val="000000"/>
          <w:sz w:val="24"/>
          <w:szCs w:val="24"/>
        </w:rPr>
      </w:pPr>
      <w:r>
        <w:rPr>
          <w:rFonts w:ascii="宋体" w:hAnsi="宋体"/>
          <w:color w:val="000000"/>
          <w:sz w:val="24"/>
          <w:szCs w:val="24"/>
        </w:rPr>
        <w:t>本基金为指数型基金，上述股票系标的指数成份股，上述股票的投资决策程序符合公司投资制度的规定。除上海银行、北京银行、招商证券外，本基金投资的其他前十名证券的发行主体本期没有出现被监管部门立案调查，或在报告编制日前一年内受到公开谴责、处罚的情形。</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750D48" w:rsidRPr="00264E55">
        <w:rPr>
          <w:rFonts w:ascii="宋体" w:hAnsi="宋体"/>
          <w:color w:val="000000"/>
          <w:sz w:val="24"/>
          <w:szCs w:val="24"/>
        </w:rPr>
        <w:t/>
      </w:r>
      <w:proofErr w:type="gramStart"/>
      <w:r w:rsidR="00750D48" w:rsidRPr="00264E55">
        <w:rPr>
          <w:rFonts w:ascii="宋体" w:hAnsi="宋体"/>
          <w:color w:val="000000"/>
          <w:sz w:val="24"/>
          <w:szCs w:val="24"/>
        </w:rPr>
        <w:t/>
      </w:r>
      <w:proofErr w:type="gramEnd"/>
      <w:r w:rsidR="00750D48" w:rsidRPr="00264E55">
        <w:rPr>
          <w:rFonts w:ascii="宋体" w:hAnsi="宋体"/>
          <w:color w:val="000000"/>
          <w:sz w:val="24"/>
          <w:szCs w:val="24"/>
        </w:rPr>
        <w:t>5.11.2</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本基金投资的前十名股票没有超出基金合同规定的备选股票库。</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 xml:space="preserve">5.11.3 </w:t>
      </w:r>
      <w:r w:rsidR="00B371D4">
        <w:rPr>
          <w:rFonts w:ascii="宋体" w:hAnsi="宋体" w:hint="eastAsia"/>
          <w:bCs/>
          <w:color w:val="000000"/>
          <w:kern w:val="0"/>
          <w:sz w:val="24"/>
          <w:szCs w:val="24"/>
        </w:rPr>
        <w:t>其他</w:t>
      </w:r>
      <w:bookmarkStart w:id="2" w:name="_GoBack"/>
      <w:bookmarkEnd w:id="2"/>
      <w:r w:rsidRPr="001C7E00">
        <w:rPr>
          <w:rFonts w:ascii="宋体" w:hAnsi="宋体" w:hint="eastAsia"/>
          <w:bCs/>
          <w:color w:val="000000"/>
          <w:kern w:val="0"/>
          <w:sz w:val="24"/>
          <w:szCs w:val="24"/>
        </w:rPr>
        <w:t>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470"/>
        <w:gridCol w:w="4808"/>
      </w:tblGrid>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序号</w:t>
            </w:r>
          </w:p>
        </w:tc>
        <w:tc>
          <w:tcPr>
            <w:tcW w:type="dxa" w:w="2470"/>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名称</w:t>
            </w:r>
          </w:p>
        </w:tc>
        <w:tc>
          <w:tcPr>
            <w:tcW w:type="dxa" w:w="4808"/>
            <w:vAlign w:val="center"/>
          </w:tcPr>
          <w:p w:rsidP="005F7917"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金额</w:t>
            </w:r>
            <w:r w:rsidR="005F7917" w:rsidRPr="00B227EA">
              <w:rPr>
                <w:color w:val="000000"/>
                <w:kern w:val="0"/>
                <w:sz w:val="24"/>
                <w:szCs w:val="24"/>
              </w:rPr>
              <w:t>（元）</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lastRenderedPageBreak/>
              <w:t>1</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存出保证金</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2,621.97</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2</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应收证券清算款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14,763.75</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3</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应收股利</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4</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应收利息</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404.97</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5</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应收申购款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6</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其他应收款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7</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待摊费用</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8</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9</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合计</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17,790.69</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5.11.4</w:t>
      </w:r>
      <w:r w:rsidRPr="001C7E00">
        <w:rPr>
          <w:rFonts w:ascii="宋体" w:hAnsi="宋体" w:hint="eastAsia"/>
          <w:bCs/>
          <w:color w:val="000000"/>
          <w:kern w:val="0"/>
          <w:sz w:val="24"/>
          <w:szCs w:val="24"/>
        </w:rPr>
        <w:t>报告期末持有的处于转股期的可转换债券明细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本基金本报告期末未持有处于转股期的可转换债券。</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5.11.5</w:t>
      </w:r>
      <w:r w:rsidRPr="001C7E00">
        <w:rPr>
          <w:rFonts w:ascii="宋体" w:hAnsi="宋体" w:hint="eastAsia"/>
          <w:bCs/>
          <w:color w:val="000000"/>
          <w:kern w:val="0"/>
          <w:sz w:val="24"/>
          <w:szCs w:val="24"/>
        </w:rPr>
        <w:t>报告期末前十名股票中存在流通受限情况的说明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本基金本报告期末前十名股票中不存在流通受限情况。</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6  </w:t>
      </w:r>
      <w:r w:rsidRPr="00264E55">
        <w:rPr>
          <w:rFonts w:ascii="宋体" w:hAnsi="宋体" w:hint="eastAsia"/>
          <w:color w:val="000000"/>
          <w:kern w:val="0"/>
          <w:sz w:val="24"/>
          <w:szCs w:val="24"/>
        </w:rPr>
        <w:t>开放式基金份额变动</w:t>
      </w:r>
    </w:p>
    <w:p w:rsidP="004061AC" w:rsidR="00750D48" w:rsidRDefault="00750D48" w:rsidRPr="00264E55">
      <w:pPr>
        <w:autoSpaceDE w:val="0"/>
        <w:autoSpaceDN w:val="0"/>
        <w:adjustRightInd w:val="0"/>
        <w:spacing w:before="29" w:line="360" w:lineRule="auto"/>
        <w:ind w:left="15"/>
        <w:jc w:val="right"/>
        <w:rPr>
          <w:rFonts w:ascii="宋体"/>
          <w:color w:val="000000"/>
          <w:kern w:val="0"/>
          <w:sz w:val="24"/>
          <w:szCs w:val="24"/>
        </w:rPr>
      </w:pPr>
      <w:r w:rsidRPr="00264E55">
        <w:rPr>
          <w:rFonts w:ascii="宋体" w:cs="宋体" w:hAnsi="宋体" w:hint="eastAsia"/>
          <w:color w:val="000000"/>
          <w:kern w:val="0"/>
          <w:sz w:val="24"/>
          <w:szCs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609"/>
        <w:gridCol w:w="4025"/>
      </w:tblGrid>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报告期期初基金份额总额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55,485,089.00</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基金总申购份额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800,000.00</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减：</w:t>
            </w: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基金总赎回份额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4,800,000.00</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基金拆分变动份额</w:t>
            </w:r>
            <w:r w:rsidR="00921BFA" w:rsidRPr="00921BFA">
              <w:rPr>
                <w:rFonts w:hint="eastAsia"/>
                <w:color w:val="000000"/>
                <w:kern w:val="0"/>
                <w:sz w:val="24"/>
                <w:szCs w:val="24"/>
              </w:rPr>
              <w:t>（份额减少以“</w:t>
            </w:r>
            <w:r w:rsidR="00921BFA" w:rsidRPr="00921BFA">
              <w:rPr>
                <w:rFonts w:hint="eastAsia"/>
                <w:color w:val="000000"/>
                <w:kern w:val="0"/>
                <w:sz w:val="24"/>
                <w:szCs w:val="24"/>
              </w:rPr>
              <w:t>-</w:t>
            </w:r>
            <w:r w:rsidR="00921BFA" w:rsidRPr="00921BFA">
              <w:rPr>
                <w:rFonts w:hint="eastAsia"/>
                <w:color w:val="000000"/>
                <w:kern w:val="0"/>
                <w:sz w:val="24"/>
                <w:szCs w:val="24"/>
              </w:rPr>
              <w:t>”填列）</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报告期期末基金份额总额</w:t>
            </w:r>
          </w:p>
        </w:tc>
        <w:tc>
          <w:tcPr>
            <w:tcW w:type="dxa" w:w="4025"/>
            <w:vAlign w:val="center"/>
          </w:tcPr>
          <w:p w:rsidP="000A2B53"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51,485,089.00</w:t>
            </w:r>
          </w:p>
        </w:tc>
      </w:tr>
    </w:tbl>
    <w:p w:rsidP="004D28A3" w:rsidR="00750D48" w:rsidRDefault="00750D48">
      <w:pPr>
        <w:pStyle w:val="1"/>
        <w:tabs>
          <w:tab w:pos="4156" w:val="center"/>
          <w:tab w:pos="8312" w:val="right"/>
        </w:tabs>
        <w:spacing w:after="312" w:afterLines="100" w:before="312" w:beforeLines="100" w:line="360" w:lineRule="auto"/>
        <w:jc w:val="center"/>
        <w:rPr>
          <w:rFonts w:ascii="方正仿宋简体"/>
          <w:sz w:val="24"/>
          <w:szCs w:val="24"/>
        </w:rPr>
      </w:pPr>
      <w:r>
        <w:rPr>
          <w:rFonts w:ascii="宋体" w:cs="Arial" w:hAnsi="宋体" w:hint="eastAsia"/>
          <w:color w:val="000000"/>
          <w:kern w:val="0"/>
          <w:sz w:val="24"/>
          <w:szCs w:val="24"/>
        </w:rPr>
        <w:lastRenderedPageBreak/>
        <w:t>§</w:t>
      </w:r>
      <w:r>
        <w:rPr>
          <w:rFonts w:ascii="宋体" w:cs="Arial"/>
          <w:color w:val="000000"/>
          <w:kern w:val="0"/>
          <w:sz w:val="24"/>
          <w:szCs w:val="24"/>
        </w:rPr>
        <w:t/>
      </w:r>
      <w:r>
        <w:rPr>
          <w:rFonts w:ascii="宋体" w:cs="Arial" w:hAnsi="宋体"/>
          <w:color w:val="000000"/>
          <w:kern w:val="0"/>
          <w:sz w:val="24"/>
          <w:szCs w:val="24"/>
        </w:rPr>
        <w:t xml:space="preserve">7  </w:t>
      </w:r>
      <w:r>
        <w:rPr>
          <w:rFonts w:ascii="方正仿宋简体" w:hint="eastAsia"/>
          <w:sz w:val="24"/>
          <w:szCs w:val="24"/>
        </w:rPr>
        <w:t>基金管理人运用固有资金投资本基金情况</w:t>
      </w:r>
    </w:p>
    <w:p w:rsidP="00EB374A" w:rsidR="00750D48" w:rsidRDefault="00750D48">
      <w:pPr>
        <w:spacing w:line="360" w:lineRule="auto"/>
        <w:jc w:val="left"/>
        <w:rPr>
          <w:sz w:val="24"/>
          <w:szCs w:val="24"/>
        </w:rPr>
      </w:pPr>
      <w:r>
        <w:rPr>
          <w:b/>
          <w:sz w:val="24"/>
        </w:rPr>
        <w:t/>
      </w:r>
      <w:proofErr w:type="spellStart"/>
      <w:r>
        <w:rPr>
          <w:b/>
          <w:sz w:val="24"/>
        </w:rPr>
        <w:t/>
      </w:r>
      <w:proofErr w:type="spellEnd"/>
      <w:r>
        <w:rPr>
          <w:b/>
          <w:sz w:val="24"/>
        </w:rPr>
        <w:t xml:space="preserve">7.1 </w:t>
      </w:r>
      <w:r>
        <w:rPr>
          <w:rFonts w:hint="eastAsia"/>
          <w:b/>
          <w:sz w:val="24"/>
        </w:rPr>
        <w:t>基金管理人持有本基金份额变动情况</w:t>
      </w:r>
    </w:p>
    <w:p w:rsidP="00232B03" w:rsidR="00750D48" w:rsidRDefault="00AC11B0" w:rsidRPr="00232B03">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本报告期内基金管理人未持有本基金份额。</w:t>
      </w:r>
    </w:p>
    <w:p w:rsidP="00EB374A" w:rsidR="00750D48" w:rsidRDefault="00750D48">
      <w:pPr>
        <w:spacing w:line="360" w:lineRule="auto"/>
        <w:jc w:val="left"/>
        <w:rPr>
          <w:sz w:val="24"/>
        </w:rPr>
      </w:pPr>
      <w:r>
        <w:rPr>
          <w:b/>
          <w:sz w:val="24"/>
        </w:rPr>
        <w:t/>
      </w:r>
      <w:proofErr w:type="spellStart"/>
      <w:r>
        <w:rPr>
          <w:b/>
          <w:sz w:val="24"/>
        </w:rPr>
        <w:t/>
      </w:r>
      <w:proofErr w:type="spellEnd"/>
      <w:r>
        <w:rPr>
          <w:b/>
          <w:sz w:val="24"/>
        </w:rPr>
        <w:t xml:space="preserve">7.2 </w:t>
      </w:r>
      <w:r>
        <w:rPr>
          <w:rFonts w:hint="eastAsia"/>
          <w:b/>
          <w:sz w:val="24"/>
        </w:rPr>
        <w:t>基金管理人运用固有资金投资本基金交易明细</w:t>
      </w:r>
    </w:p>
    <w:p w:rsidP="006C56AA"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本报告期内基金管理人未运用固有资金申购、赎回、买卖本基金份额。</w:t>
      </w:r>
    </w:p>
    <w:p w:rsidP="004B7A92" w:rsidR="004B7A92" w:rsidRDefault="004B7A92" w:rsidRPr="004B7A92">
      <w:pPr>
        <w:pStyle w:val="1"/>
        <w:spacing w:after="312" w:afterLines="100" w:before="312" w:beforeLines="100" w:line="360" w:lineRule="auto"/>
        <w:jc w:val="center"/>
        <w:rPr>
          <w:rFonts w:ascii="宋体" w:hAnsi="宋体"/>
          <w:color w:val="000000"/>
          <w:kern w:val="0"/>
          <w:sz w:val="24"/>
          <w:szCs w:val="24"/>
        </w:rPr>
      </w:pPr>
      <w:r w:rsidRPr="004B7A92">
        <w:rPr>
          <w:rFonts w:ascii="宋体" w:hAnsi="宋体"/>
          <w:color w:val="000000"/>
          <w:kern w:val="0"/>
          <w:sz w:val="24"/>
          <w:szCs w:val="24"/>
        </w:rPr>
        <w:lastRenderedPageBreak/>
        <w:t/>
      </w:r>
      <w:proofErr w:type="spellStart"/>
      <w:r w:rsidRPr="004B7A92">
        <w:rPr>
          <w:rFonts w:ascii="宋体" w:hAnsi="宋体"/>
          <w:color w:val="000000"/>
          <w:kern w:val="0"/>
          <w:sz w:val="24"/>
          <w:szCs w:val="24"/>
        </w:rPr>
        <w:t/>
      </w:r>
      <w:proofErr w:type="spellEnd"/>
      <w:r w:rsidRPr="004B7A92">
        <w:rPr>
          <w:rFonts w:ascii="宋体" w:hAnsi="宋体"/>
          <w:color w:val="000000"/>
          <w:kern w:val="0"/>
          <w:sz w:val="24"/>
          <w:szCs w:val="24"/>
        </w:rPr>
        <w:t/>
      </w:r>
      <w:r w:rsidR="00013E6E" w:rsidRPr="00264E55">
        <w:rPr>
          <w:rFonts w:ascii="宋体" w:hAnsi="宋体" w:hint="eastAsia"/>
          <w:color w:val="000000"/>
          <w:kern w:val="0"/>
          <w:sz w:val="24"/>
          <w:szCs w:val="24"/>
        </w:rPr>
        <w:t>§</w:t>
      </w:r>
      <w:r w:rsidRPr="004B7A92">
        <w:rPr>
          <w:rFonts w:ascii="宋体" w:hAnsi="宋体"/>
          <w:color w:val="000000"/>
          <w:kern w:val="0"/>
          <w:sz w:val="24"/>
          <w:szCs w:val="24"/>
        </w:rPr>
        <w:t>8</w:t>
      </w:r>
      <w:r w:rsidR="0043199A" w:rsidRPr="00264E55">
        <w:rPr>
          <w:rFonts w:ascii="宋体" w:hAnsi="宋体"/>
          <w:color w:val="000000"/>
          <w:kern w:val="0"/>
          <w:sz w:val="24"/>
          <w:szCs w:val="24"/>
        </w:rPr>
        <w:t xml:space="preserve">  </w:t>
      </w:r>
      <w:r w:rsidRPr="004B7A92">
        <w:rPr>
          <w:rFonts w:ascii="宋体" w:hAnsi="宋体"/>
          <w:color w:val="000000"/>
          <w:kern w:val="0"/>
          <w:sz w:val="24"/>
          <w:szCs w:val="24"/>
        </w:rPr>
        <w:t>影响投资者决策的其他重要信息</w:t>
      </w:r>
    </w:p>
    <w:p w:rsidP="001F5F5D" w:rsidR="001F5F5D" w:rsidRDefault="001F5F5D" w:rsidRPr="001F5F5D">
      <w:pPr>
        <w:autoSpaceDE w:val="0"/>
        <w:autoSpaceDN w:val="0"/>
        <w:adjustRightInd w:val="0"/>
        <w:spacing w:line="360" w:lineRule="auto"/>
        <w:jc w:val="left"/>
        <w:rPr>
          <w:rFonts w:ascii="宋体"/>
          <w:b/>
          <w:bCs/>
          <w:color w:val="000000"/>
          <w:kern w:val="0"/>
          <w:sz w:val="24"/>
          <w:szCs w:val="24"/>
        </w:rPr>
      </w:pPr>
      <w:r w:rsidRPr="001F5F5D">
        <w:rPr>
          <w:rFonts w:ascii="宋体"/>
          <w:b/>
          <w:bCs/>
          <w:color w:val="000000"/>
          <w:kern w:val="0"/>
          <w:sz w:val="24"/>
          <w:szCs w:val="24"/>
        </w:rPr>
        <w:t/>
      </w:r>
      <w:proofErr w:type="spellStart"/>
      <w:r w:rsidRPr="001F5F5D">
        <w:rPr>
          <w:rFonts w:ascii="宋体"/>
          <w:b/>
          <w:bCs/>
          <w:color w:val="000000"/>
          <w:kern w:val="0"/>
          <w:sz w:val="24"/>
          <w:szCs w:val="24"/>
        </w:rPr>
        <w:t/>
      </w:r>
      <w:proofErr w:type="spellEnd"/>
      <w:r w:rsidRPr="001F5F5D">
        <w:rPr>
          <w:rFonts w:ascii="宋体"/>
          <w:b/>
          <w:bCs/>
          <w:color w:val="000000"/>
          <w:kern w:val="0"/>
          <w:sz w:val="24"/>
          <w:szCs w:val="24"/>
        </w:rPr>
        <w:t>8.1 报告期内单一投资者持有基金份额比例达到或超过20%的情况</w:t>
      </w:r>
    </w:p>
    <w:tbl>
      <w:tblPr>
        <w:tblStyle w:val="af7"/>
        <w:tblW w:type="dxa" w:w="9640"/>
        <w:jc w:val="center"/>
        <w:tblLayout w:type="fixed"/>
        <w:tblLook w:firstColumn="1" w:firstRow="1" w:lastColumn="0" w:lastRow="0" w:noHBand="0" w:noVBand="1" w:val="04A0"/>
      </w:tblPr>
      <w:tblGrid>
        <w:gridCol w:w="1798"/>
        <w:gridCol w:w="709"/>
        <w:gridCol w:w="1985"/>
        <w:gridCol w:w="1134"/>
        <w:gridCol w:w="992"/>
        <w:gridCol w:w="1134"/>
        <w:gridCol w:w="1037"/>
        <w:gridCol w:w="851"/>
      </w:tblGrid>
      <w:tr w:rsidR="001F5F5D" w:rsidRPr="00FC0759" w:rsidTr="007125DB">
        <w:trPr>
          <w:jc w:val="center"/>
        </w:trPr>
        <w:tc>
          <w:tcPr>
            <w:tcW w:type="dxa" w:w="1798"/>
            <w:vMerge w:val="restart"/>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投资者类别</w:t>
            </w:r>
            <w:r w:rsidRPr="00FC0759">
              <w:rPr>
                <w:rFonts w:eastAsia="仿宋"/>
                <w:color w:themeColor="text1" w:val="000000"/>
                <w:sz w:val="24"/>
                <w:szCs w:val="24"/>
              </w:rPr>
              <w:t/>
            </w:r>
            <w:proofErr w:type="spellStart"/>
            <w:r w:rsidRPr="00FC0759">
              <w:rPr>
                <w:rFonts w:eastAsia="仿宋"/>
                <w:color w:themeColor="text1" w:val="000000"/>
                <w:sz w:val="24"/>
                <w:szCs w:val="24"/>
              </w:rPr>
              <w:t/>
            </w:r>
            <w:proofErr w:type="spellEnd"/>
            <w:r w:rsidRPr="00FC0759">
              <w:rPr>
                <w:rFonts w:eastAsia="仿宋"/>
                <w:color w:themeColor="text1" w:val="000000"/>
                <w:sz w:val="24"/>
                <w:szCs w:val="24"/>
              </w:rPr>
              <w:t/>
            </w:r>
            <w:proofErr w:type="spellStart"/>
            <w:r w:rsidRPr="00FC0759">
              <w:rPr>
                <w:rFonts w:eastAsia="仿宋"/>
                <w:color w:themeColor="text1" w:val="000000"/>
                <w:sz w:val="24"/>
                <w:szCs w:val="24"/>
              </w:rPr>
              <w:t/>
            </w:r>
            <w:proofErr w:type="spellEnd"/>
            <w:r w:rsidRPr="00FC0759">
              <w:rPr>
                <w:rFonts w:eastAsia="仿宋"/>
                <w:color w:themeColor="text1" w:val="000000"/>
                <w:sz w:val="24"/>
                <w:szCs w:val="24"/>
              </w:rPr>
              <w:t/>
            </w:r>
          </w:p>
        </w:tc>
        <w:tc>
          <w:tcPr>
            <w:tcW w:type="dxa" w:w="5954"/>
            <w:gridSpan w:val="5"/>
            <w:vAlign w:val="center"/>
          </w:tcPr>
          <w:p w:rsidP="00D9482C" w:rsidR="001F5F5D" w:rsidRDefault="001F5F5D" w:rsidRPr="00FC0759">
            <w:pPr>
              <w:autoSpaceDE w:val="0"/>
              <w:autoSpaceDN w:val="0"/>
              <w:adjustRightInd w:val="0"/>
              <w:ind w:firstLine="1126"/>
              <w:jc w:val="center"/>
              <w:rPr>
                <w:rFonts w:eastAsiaTheme="minorEastAsia"/>
                <w:b/>
                <w:bCs/>
                <w:color w:themeColor="text1" w:val="000000"/>
                <w:sz w:val="24"/>
                <w:szCs w:val="24"/>
              </w:rPr>
            </w:pPr>
            <w:r w:rsidRPr="00FC0759">
              <w:rPr>
                <w:color w:val="000000"/>
                <w:sz w:val="24"/>
                <w:szCs w:val="24"/>
              </w:rPr>
              <w:t>报告期内持有基金份额变化情况</w:t>
            </w:r>
          </w:p>
        </w:tc>
        <w:tc>
          <w:tcPr>
            <w:tcW w:type="dxa" w:w="1888"/>
            <w:gridSpan w:val="2"/>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报告期末持有基金情况</w:t>
            </w:r>
          </w:p>
        </w:tc>
      </w:tr>
      <w:tr w:rsidR="001F5F5D" w:rsidRPr="00FC0759" w:rsidTr="007125DB">
        <w:trPr>
          <w:jc w:val="center"/>
        </w:trPr>
        <w:tc>
          <w:tcPr>
            <w:tcW w:type="dxa" w:w="1798"/>
            <w:vMerge/>
            <w:vAlign w:val="center"/>
          </w:tcPr>
          <w:p w:rsidP="00D9482C" w:rsidR="001F5F5D" w:rsidRDefault="001F5F5D" w:rsidRPr="00FC0759">
            <w:pPr>
              <w:autoSpaceDE w:val="0"/>
              <w:autoSpaceDN w:val="0"/>
              <w:adjustRightInd w:val="0"/>
              <w:ind w:firstLine="1234"/>
              <w:jc w:val="center"/>
              <w:rPr>
                <w:rFonts w:eastAsiaTheme="minorEastAsia"/>
                <w:b/>
                <w:bCs/>
                <w:color w:themeColor="text1" w:val="000000"/>
                <w:sz w:val="24"/>
                <w:szCs w:val="24"/>
              </w:rPr>
            </w:pPr>
          </w:p>
        </w:tc>
        <w:tc>
          <w:tcPr>
            <w:tcW w:type="dxa" w:w="709"/>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序号</w:t>
            </w:r>
          </w:p>
        </w:tc>
        <w:tc>
          <w:tcPr>
            <w:tcW w:type="dxa" w:w="1985"/>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持有基金份额比例达到或者超过</w:t>
            </w:r>
            <w:r w:rsidRPr="00FC0759">
              <w:rPr>
                <w:color w:val="000000"/>
                <w:sz w:val="24"/>
                <w:szCs w:val="24"/>
              </w:rPr>
              <w:t>20%</w:t>
            </w:r>
            <w:r w:rsidRPr="00FC0759">
              <w:rPr>
                <w:color w:val="000000"/>
                <w:sz w:val="24"/>
                <w:szCs w:val="24"/>
              </w:rPr>
              <w:t>的时间区间</w:t>
            </w:r>
          </w:p>
        </w:tc>
        <w:tc>
          <w:tcPr>
            <w:tcW w:type="dxa" w:w="1134"/>
            <w:vAlign w:val="center"/>
          </w:tcPr>
          <w:p w:rsidP="00D9482C" w:rsidR="001F5F5D" w:rsidRDefault="001F5F5D" w:rsidRPr="00FC0759">
            <w:pPr>
              <w:widowControl/>
              <w:rPr>
                <w:rFonts w:eastAsiaTheme="minorEastAsia"/>
                <w:b/>
                <w:bCs/>
                <w:color w:themeColor="text1" w:val="000000"/>
                <w:sz w:val="24"/>
                <w:szCs w:val="24"/>
              </w:rPr>
            </w:pPr>
            <w:r w:rsidRPr="00FC0759">
              <w:rPr>
                <w:color w:val="000000"/>
                <w:sz w:val="24"/>
                <w:szCs w:val="24"/>
              </w:rPr>
              <w:t>期初份额</w:t>
            </w:r>
          </w:p>
        </w:tc>
        <w:tc>
          <w:tcPr>
            <w:tcW w:type="dxa" w:w="992"/>
            <w:vAlign w:val="center"/>
          </w:tcPr>
          <w:p w:rsidP="00D9482C" w:rsidR="001F5F5D" w:rsidRDefault="001F5F5D" w:rsidRPr="00FC0759">
            <w:pPr>
              <w:widowControl/>
              <w:rPr>
                <w:rFonts w:eastAsiaTheme="minorEastAsia"/>
                <w:b/>
                <w:bCs/>
                <w:color w:themeColor="text1" w:val="000000"/>
                <w:sz w:val="24"/>
                <w:szCs w:val="24"/>
              </w:rPr>
            </w:pPr>
            <w:r w:rsidRPr="00FC0759">
              <w:rPr>
                <w:color w:val="000000"/>
                <w:sz w:val="24"/>
                <w:szCs w:val="24"/>
              </w:rPr>
              <w:t>申购份额</w:t>
            </w:r>
          </w:p>
        </w:tc>
        <w:tc>
          <w:tcPr>
            <w:tcW w:type="dxa" w:w="1134"/>
            <w:vAlign w:val="center"/>
          </w:tcPr>
          <w:p w:rsidP="00D9482C" w:rsidR="001F5F5D" w:rsidRDefault="001F5F5D" w:rsidRPr="00FC0759">
            <w:pPr>
              <w:widowControl/>
              <w:rPr>
                <w:rFonts w:eastAsiaTheme="minorEastAsia"/>
                <w:b/>
                <w:bCs/>
                <w:color w:themeColor="text1" w:val="000000"/>
                <w:sz w:val="24"/>
                <w:szCs w:val="24"/>
              </w:rPr>
            </w:pPr>
            <w:r w:rsidRPr="00FC0759">
              <w:rPr>
                <w:color w:val="000000"/>
                <w:sz w:val="24"/>
                <w:szCs w:val="24"/>
              </w:rPr>
              <w:t>赎回份额</w:t>
            </w:r>
          </w:p>
        </w:tc>
        <w:tc>
          <w:tcPr>
            <w:tcW w:type="dxa" w:w="1037"/>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持有份额</w:t>
            </w:r>
          </w:p>
        </w:tc>
        <w:tc>
          <w:tcPr>
            <w:tcW w:type="dxa" w:w="851"/>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份额占比</w:t>
            </w:r>
          </w:p>
        </w:tc>
      </w:tr>
      <w:tr>
        <w:tc>
          <w:tcPr>
            <w:vMerge w:val="restart"/>
            <w:vAlign w:val="center"/>
          </w:tcPr>
          <w:p>
            <w:r>
              <w:rPr>
                <w:sz w:val="24"/>
                <w:szCs w:val="24"/>
              </w:rPr>
              <w:t/>
            </w:r>
            <w:r>
              <w:rPr>
                <w:sz w:val="24"/>
                <w:szCs w:val="24"/>
              </w:rPr>
              <w:t>中国工商银行股份有限公司－易方达上证中盘交易型开放式指数证券投资基金联接基金</w:t>
            </w:r>
          </w:p>
        </w:tc>
        <w:tc>
          <w:tcPr>
            <w:vAlign w:val="center"/>
          </w:tcPr>
          <w:p>
            <w:pPr>
              <w:jc w:val="center"/>
            </w:pPr>
            <w:r>
              <w:rPr>
                <w:sz w:val="24"/>
                <w:szCs w:val="24"/>
              </w:rPr>
              <w:t>1</w:t>
            </w:r>
          </w:p>
        </w:tc>
        <w:tc>
          <w:tcPr>
            <w:vAlign w:val="center"/>
          </w:tcPr>
          <w:p>
            <w:pPr>
              <w:jc w:val="center"/>
            </w:pPr>
            <w:r>
              <w:rPr>
                <w:sz w:val="24"/>
                <w:szCs w:val="24"/>
              </w:rPr>
              <w:t>2020年04月01日~2020年06月30日</w:t>
            </w:r>
          </w:p>
        </w:tc>
        <w:tc>
          <w:tcPr>
            <w:vAlign w:val="center"/>
          </w:tcPr>
          <w:p>
            <w:pPr>
              <w:jc w:val="center"/>
            </w:pPr>
            <w:r>
              <w:rPr>
                <w:sz w:val="24"/>
                <w:szCs w:val="24"/>
              </w:rPr>
              <w:t>44,461,048.00</w:t>
            </w:r>
          </w:p>
        </w:tc>
        <w:tc>
          <w:tcPr>
            <w:vAlign w:val="center"/>
          </w:tcPr>
          <w:p>
            <w:pPr>
              <w:jc w:val="center"/>
            </w:pPr>
            <w:r>
              <w:rPr>
                <w:sz w:val="24"/>
                <w:szCs w:val="24"/>
              </w:rPr>
              <w:t>-</w:t>
            </w:r>
          </w:p>
        </w:tc>
        <w:tc>
          <w:tcPr>
            <w:vAlign w:val="center"/>
          </w:tcPr>
          <w:p>
            <w:pPr>
              <w:jc w:val="center"/>
            </w:pPr>
            <w:r>
              <w:rPr>
                <w:sz w:val="24"/>
                <w:szCs w:val="24"/>
              </w:rPr>
              <w:t>3,200,000.00</w:t>
            </w:r>
          </w:p>
        </w:tc>
        <w:tc>
          <w:tcPr>
            <w:vAlign w:val="center"/>
          </w:tcPr>
          <w:p>
            <w:pPr>
              <w:jc w:val="center"/>
            </w:pPr>
            <w:r>
              <w:rPr>
                <w:sz w:val="24"/>
                <w:szCs w:val="24"/>
              </w:rPr>
              <w:t>41,261,048.00</w:t>
            </w:r>
          </w:p>
        </w:tc>
        <w:tc>
          <w:tcPr>
            <w:vAlign w:val="center"/>
          </w:tcPr>
          <w:p>
            <w:pPr>
              <w:jc w:val="center"/>
            </w:pPr>
            <w:r>
              <w:rPr>
                <w:sz w:val="24"/>
                <w:szCs w:val="24"/>
              </w:rPr>
              <w:t>80.14%</w:t>
            </w:r>
          </w:p>
        </w:tc>
      </w:tr>
    </w:tbl>
    <w:tbl>
      <w:tblPr>
        <w:tblStyle w:val="af7"/>
        <w:tblW w:type="dxa" w:w="9637"/>
        <w:jc w:val="center"/>
        <w:tblLayout w:type="fixed"/>
        <w:tblLook w:firstColumn="1" w:firstRow="1" w:lastColumn="0" w:lastRow="0" w:noHBand="0" w:noVBand="1" w:val="04A0"/>
      </w:tblPr>
      <w:tblGrid>
        <w:gridCol w:w="9637"/>
      </w:tblGrid>
      <w:tr w:rsidR="001F5F5D" w:rsidRPr="00FC0759" w:rsidTr="00D9482C">
        <w:trPr>
          <w:jc w:val="center"/>
        </w:trPr>
        <w:tc>
          <w:tcPr>
            <w:tcW w:type="dxa" w:w="9637"/>
            <w:vAlign w:val="center"/>
          </w:tcPr>
          <w:p w:rsidP="003350A8" w:rsidR="001F5F5D" w:rsidRDefault="001F5F5D" w:rsidRPr="00FC0759">
            <w:pPr>
              <w:autoSpaceDE w:val="0"/>
              <w:autoSpaceDN w:val="0"/>
              <w:adjustRightInd w:val="0"/>
              <w:jc w:val="center"/>
              <w:rPr>
                <w:sz w:val="24"/>
                <w:szCs w:val="24"/>
              </w:rPr>
            </w:pPr>
            <w:r w:rsidRPr="00FC0759">
              <w:rPr>
                <w:color w:val="000000"/>
                <w:sz w:val="24"/>
                <w:szCs w:val="24"/>
              </w:rPr>
              <w:t>产品特有风险</w:t>
            </w:r>
            <w:r w:rsidRPr="00FC0759">
              <w:rPr>
                <w:sz w:val="24"/>
                <w:szCs w:val="24"/>
              </w:rPr>
              <w:t/>
            </w:r>
            <w:proofErr w:type="spellStart"/>
            <w:r w:rsidRPr="00FC0759">
              <w:rPr>
                <w:sz w:val="24"/>
                <w:szCs w:val="24"/>
              </w:rPr>
              <w:t/>
            </w:r>
            <w:proofErr w:type="spellEnd"/>
            <w:r w:rsidRPr="00FC0759">
              <w:rPr>
                <w:sz w:val="24"/>
                <w:szCs w:val="24"/>
              </w:rPr>
              <w:t/>
            </w:r>
          </w:p>
        </w:tc>
      </w:tr>
      <w:tr w:rsidR="001F5F5D" w:rsidRPr="00FC0759" w:rsidTr="00D9482C">
        <w:trPr>
          <w:jc w:val="center"/>
        </w:trPr>
        <w:tc>
          <w:tcPr>
            <w:tcW w:type="dxa" w:w="9637"/>
            <w:vAlign w:val="center"/>
          </w:tcPr>
          <w:p w:rsidP="00D9482C" w:rsidR="001F5F5D" w:rsidRDefault="001F5F5D" w:rsidRPr="00FC0759">
            <w:pPr>
              <w:autoSpaceDE w:val="0"/>
              <w:autoSpaceDN w:val="0"/>
              <w:adjustRightInd w:val="0"/>
              <w:jc w:val="left"/>
              <w:rPr>
                <w:sz w:val="24"/>
                <w:szCs w:val="24"/>
              </w:rPr>
            </w:pPr>
            <w:r w:rsidRPr="00FC0759">
              <w:rPr>
                <w:sz w:val="24"/>
                <w:szCs w:val="24"/>
              </w:rPr>
              <w:t>报告期内，本基金存在单一投资者持有份额比例达到或超过20%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5000万元，基金还可能面临转换运作方式、与其他基金合并或者终止基金合同等情形；持有基金份额占比较高的投资者在召开持有人大会并对审议事项进行投票表决时可能拥有较大话语权。</w:t>
            </w:r>
          </w:p>
        </w:tc>
      </w:tr>
    </w:tbl>
    <w:p w:rsidP="001F5F5D" w:rsidR="001F5F5D" w:rsidRDefault="001F5F5D" w:rsidRPr="00FC0759">
      <w:pPr>
        <w:autoSpaceDE w:val="0"/>
        <w:autoSpaceDN w:val="0"/>
        <w:adjustRightInd w:val="0"/>
        <w:spacing w:line="360" w:lineRule="auto"/>
        <w:ind w:firstLine="480" w:firstLineChars="200"/>
        <w:jc w:val="left"/>
        <w:rPr>
          <w:rFonts w:eastAsiaTheme="minorEastAsia"/>
          <w:bCs/>
          <w:color w:themeColor="text1" w:val="000000"/>
          <w:kern w:val="0"/>
          <w:sz w:val="24"/>
          <w:szCs w:val="24"/>
        </w:rPr>
      </w:pPr>
      <w:r w:rsidRPr="00FC0759">
        <w:rPr>
          <w:bCs/>
          <w:color w:themeColor="text1" w:val="000000"/>
          <w:kern w:val="0"/>
          <w:sz w:val="24"/>
          <w:szCs w:val="24"/>
        </w:rPr>
        <w:t>注：申购份额包括申购或者买入基金份额，赎回份额包括赎回或者卖出基金份额。</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color w:val="000000"/>
          <w:kern w:val="0"/>
          <w:sz w:val="24"/>
          <w:szCs w:val="24"/>
        </w:rPr>
        <w:t/>
      </w:r>
      <w:r w:rsidRPr="00264E55">
        <w:rPr>
          <w:rFonts w:ascii="宋体" w:hAnsi="宋体"/>
          <w:color w:val="000000"/>
          <w:kern w:val="0"/>
          <w:sz w:val="24"/>
          <w:szCs w:val="24"/>
        </w:rPr>
        <w:t xml:space="preserve">9  </w:t>
      </w:r>
      <w:r w:rsidRPr="00264E55">
        <w:rPr>
          <w:rFonts w:ascii="宋体" w:hAnsi="宋体" w:hint="eastAsia"/>
          <w:color w:val="000000"/>
          <w:kern w:val="0"/>
          <w:sz w:val="24"/>
          <w:szCs w:val="24"/>
        </w:rPr>
        <w:t>备查文件目录</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9.1 </w:t>
      </w:r>
      <w:r w:rsidRPr="00264E55">
        <w:rPr>
          <w:rFonts w:ascii="宋体" w:hAnsi="宋体" w:hint="eastAsia"/>
          <w:b/>
          <w:bCs/>
          <w:color w:val="000000"/>
          <w:kern w:val="0"/>
          <w:sz w:val="24"/>
          <w:szCs w:val="24"/>
        </w:rPr>
        <w:t>备查文件目录</w:t>
      </w:r>
    </w:p>
    <w:p>
      <w:pPr>
        <w:spacing w:line="360" w:lineRule="auto"/>
        <w:ind w:firstLine="480" w:firstLineChars="200"/>
        <w:rPr>
          <w:color w:val="000000"/>
          <w:sz w:val="24"/>
          <w:szCs w:val="24"/>
        </w:rPr>
      </w:pPr>
      <w:r>
        <w:rPr>
          <w:color w:val="000000"/>
          <w:sz w:val="24"/>
          <w:szCs w:val="24"/>
        </w:rPr>
        <w:t>1.中国证监会核准易方达上证中盘交易型开放式指数证券投资基金募集的文件；</w:t>
      </w:r>
    </w:p>
    <w:p>
      <w:pPr>
        <w:spacing w:line="360" w:lineRule="auto"/>
        <w:ind w:firstLine="480" w:firstLineChars="200"/>
        <w:rPr>
          <w:color w:val="000000"/>
          <w:sz w:val="24"/>
          <w:szCs w:val="24"/>
        </w:rPr>
      </w:pPr>
      <w:r>
        <w:rPr>
          <w:color w:val="000000"/>
          <w:sz w:val="24"/>
          <w:szCs w:val="24"/>
        </w:rPr>
        <w:t>2.《易方达上证中盘交易型开放式指数证券投资基金基金合同》；</w:t>
      </w:r>
    </w:p>
    <w:p>
      <w:pPr>
        <w:spacing w:line="360" w:lineRule="auto"/>
        <w:ind w:firstLine="480" w:firstLineChars="200"/>
        <w:rPr>
          <w:color w:val="000000"/>
          <w:sz w:val="24"/>
          <w:szCs w:val="24"/>
        </w:rPr>
      </w:pPr>
      <w:r>
        <w:rPr>
          <w:color w:val="000000"/>
          <w:sz w:val="24"/>
          <w:szCs w:val="24"/>
        </w:rPr>
        <w:t>3.《易方达上证中盘交易型开放式指数证券投资基金托管协议》；</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4.基金管理人业务资格批件和营业执照。</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9.2 </w:t>
      </w:r>
      <w:r w:rsidRPr="00264E55">
        <w:rPr>
          <w:rFonts w:ascii="宋体" w:hAnsi="宋体" w:hint="eastAsia"/>
          <w:b/>
          <w:bCs/>
          <w:color w:val="000000"/>
          <w:kern w:val="0"/>
          <w:sz w:val="24"/>
          <w:szCs w:val="24"/>
        </w:rPr>
        <w:t>存放地点</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广州市天河区珠江新城珠江东路30号广州银行大厦40-43楼。</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9.3 </w:t>
      </w:r>
      <w:r w:rsidRPr="00264E55">
        <w:rPr>
          <w:rFonts w:ascii="宋体" w:hAnsi="宋体" w:hint="eastAsia"/>
          <w:b/>
          <w:bCs/>
          <w:color w:val="000000"/>
          <w:kern w:val="0"/>
          <w:sz w:val="24"/>
          <w:szCs w:val="24"/>
        </w:rPr>
        <w:t>查阅方式</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投资者可在营业时间免费查阅，也可按工本费购买复印件。</w:t>
      </w: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C71497" w:rsidR="00750D48" w:rsidRDefault="00750D48" w:rsidRPr="00264E55">
      <w:pPr>
        <w:spacing w:line="360" w:lineRule="auto"/>
        <w:jc w:val="right"/>
        <w:rPr>
          <w:rFonts w:ascii="宋体" w:hAnsi="宋体"/>
          <w:b/>
          <w:bCs/>
          <w:sz w:val="24"/>
          <w:szCs w:val="24"/>
        </w:rPr>
      </w:pPr>
      <w:r w:rsidRPr="00264E55">
        <w:rPr>
          <w:rFonts w:asci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易方达基金管理有限公司</w:t>
      </w:r>
    </w:p>
    <w:p w:rsidP="00191817" w:rsidR="00750D48" w:rsidRDefault="00750D48" w:rsidRPr="00191817">
      <w:pPr>
        <w:spacing w:line="360" w:lineRule="auto"/>
        <w:jc w:val="right"/>
        <w:rPr>
          <w:rFonts w:ascii="宋体" w:hAnsi="宋体"/>
          <w:b/>
          <w:bCs/>
          <w:sz w:val="24"/>
          <w:szCs w:val="24"/>
        </w:rPr>
      </w:pPr>
      <w:r w:rsidRPr="00264E55">
        <w:rPr>
          <w:rFonts w:ascii="宋体" w:hAns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二〇二〇年七月二十一日</w:t>
      </w:r>
    </w:p>
    <w:sectPr w:rsidR="00750D48" w:rsidRPr="00191817" w:rsidSect="00304A12">
      <w:footerReference r:id="rId12" w:type="defaul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A26" w:rsidRDefault="00BE5A26" w:rsidP="00876D65">
      <w:r>
        <w:separator/>
      </w:r>
    </w:p>
  </w:endnote>
  <w:endnote w:type="continuationSeparator" w:id="0">
    <w:p w:rsidR="00BE5A26" w:rsidRDefault="00BE5A26" w:rsidP="0087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
    <w:altName w:val="Arial"/>
    <w:charset w:val="00"/>
    <w:family w:val="auto"/>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EF56B5"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w:t>
    </w:r>
    <w:r>
      <w:rPr>
        <w:rStyle w:val="a7"/>
      </w:rPr>
      <w:fldChar w:fldCharType="end"/>
    </w:r>
    <w:proofErr w:type="gramStart"/>
    <w:r>
      <w:rPr>
        <w:rStyle w:val="a7"/>
        <w:rFonts w:hint="eastAsia"/>
      </w:rPr>
      <w:t>页共</w:t>
    </w:r>
    <w:proofErr w:type="gramEnd"/>
    <w:r w:rsidR="00764C38">
      <w:fldChar w:fldCharType="begin"/>
    </w:r>
    <w:r w:rsidR="00764C38">
      <w:instrText xml:space="preserve"> NUMPAGES  \* Arabic  \* MERGEFORMAT </w:instrText>
    </w:r>
    <w:r w:rsidR="00764C38">
      <w:fldChar w:fldCharType="separate"/>
    </w:r>
    <w:r w:rsidR="00B371D4" w:rsidRPr="00B371D4">
      <w:rPr>
        <w:rStyle w:val="a7"/>
        <w:noProof/>
      </w:rPr>
      <w:t>27</w:t>
    </w:r>
    <w:r w:rsidR="00764C38">
      <w:rPr>
        <w:rStyle w:val="a7"/>
        <w:noProof/>
      </w:rPr>
      <w:fldChar w:fldCharType="end"/>
    </w:r>
    <w:r>
      <w:rPr>
        <w:rStyle w:val="a7"/>
        <w:rFonts w:hint="eastAsia"/>
      </w:rPr>
      <w:t>页</w:t>
    </w:r>
  </w:p>
  <w:p w:rsidP="00EF56B5" w:rsidR="003328D9" w:rsidRDefault="003328D9" w:rsidRPr="00EF56B5">
    <w:pPr>
      <w:pStyle w:val="a6"/>
    </w:pP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18</w:t>
    </w:r>
    <w:r>
      <w:rPr>
        <w:rStyle w:val="a7"/>
      </w:rPr>
      <w:fldChar w:fldCharType="end"/>
    </w:r>
    <w:proofErr w:type="gramStart"/>
    <w:r>
      <w:rPr>
        <w:rStyle w:val="a7"/>
        <w:rFonts w:hint="eastAsia"/>
      </w:rPr>
      <w:t>页共</w:t>
    </w:r>
    <w:proofErr w:type="gramEnd"/>
    <w:fldSimple w:instr=" NUMPAGES  \* Arabic  \* MERGEFORMAT ">
      <w:r w:rsidR="00B371D4" w:rsidRPr="00B371D4">
        <w:rPr>
          <w:rStyle w:val="a7"/>
          <w:noProof/>
        </w:rPr>
        <w:t>27</w:t>
      </w:r>
    </w:fldSimple>
    <w:r>
      <w:rPr>
        <w:rStyle w:val="a7"/>
        <w:rFonts w:hint="eastAsia"/>
      </w:rPr>
      <w:t>页</w:t>
    </w:r>
  </w:p>
  <w:p w:rsidR="003328D9" w:rsidRDefault="003328D9">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P="00876D65" w:rsidR="00BE5A26" w:rsidRDefault="00BE5A26">
      <w:r>
        <w:separator/>
      </w:r>
    </w:p>
  </w:footnote>
  <w:footnote w:id="0" w:type="continuationSeparator">
    <w:p w:rsidP="00876D65" w:rsidR="00BE5A26" w:rsidRDefault="00BE5A26">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090A26" w:rsidR="003328D9" w:rsidRDefault="003328D9" w:rsidRPr="00093704">
    <w:pPr>
      <w:pStyle w:val="a9"/>
      <w:pBdr>
        <w:bottom w:color="auto" w:space="0" w:sz="6" w:val="single"/>
      </w:pBdr>
      <w:jc w:val="right"/>
    </w:pPr>
    <w:r w:rsidRPr="00093704">
      <w:t/>
    </w:r>
    <w:proofErr w:type="spellStart"/>
    <w:proofErr w:type="gramStart"/>
    <w:r w:rsidRPr="00093704">
      <w:t/>
    </w:r>
    <w:proofErr w:type="spellEnd"/>
    <w:proofErr w:type="gramEnd"/>
    <w:r w:rsidRPr="00093704">
      <w:t>易方达上证中盘交易型开放式指数证券投资基金</w:t>
    </w:r>
    <w:proofErr w:type="spellStart"/>
    <w:r w:rsidRPr="00093704">
      <w:t/>
    </w:r>
    <w:proofErr w:type="spellEnd"/>
    <w:r w:rsidRPr="00093704">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plc="04090003">
      <w:start w:val="1"/>
      <w:numFmt w:val="bullet"/>
      <w:lvlText w:val=""/>
      <w:lvlJc w:val="left"/>
      <w:pPr>
        <w:tabs>
          <w:tab w:pos="1260" w:val="num"/>
        </w:tabs>
        <w:ind w:hanging="420" w:left="1260"/>
      </w:pPr>
      <w:rPr>
        <w:rFonts w:ascii="Wingdings" w:hAnsi="Wingdings" w:hint="default"/>
      </w:rPr>
    </w:lvl>
    <w:lvl w:ilvl="2" w:tplc="04090005">
      <w:start w:val="1"/>
      <w:numFmt w:val="bullet"/>
      <w:lvlText w:val=""/>
      <w:lvlJc w:val="left"/>
      <w:pPr>
        <w:tabs>
          <w:tab w:pos="1680" w:val="num"/>
        </w:tabs>
        <w:ind w:hanging="420" w:left="1680"/>
      </w:pPr>
      <w:rPr>
        <w:rFonts w:ascii="Wingdings" w:hAnsi="Wingdings" w:hint="default"/>
      </w:rPr>
    </w:lvl>
    <w:lvl w:ilvl="3" w:tplc="04090001">
      <w:start w:val="1"/>
      <w:numFmt w:val="bullet"/>
      <w:lvlText w:val=""/>
      <w:lvlJc w:val="left"/>
      <w:pPr>
        <w:tabs>
          <w:tab w:pos="2100" w:val="num"/>
        </w:tabs>
        <w:ind w:hanging="420" w:left="2100"/>
      </w:pPr>
      <w:rPr>
        <w:rFonts w:ascii="Wingdings" w:hAnsi="Wingdings" w:hint="default"/>
      </w:rPr>
    </w:lvl>
    <w:lvl w:ilvl="4" w:tplc="04090003">
      <w:start w:val="1"/>
      <w:numFmt w:val="bullet"/>
      <w:lvlText w:val=""/>
      <w:lvlJc w:val="left"/>
      <w:pPr>
        <w:tabs>
          <w:tab w:pos="2520" w:val="num"/>
        </w:tabs>
        <w:ind w:hanging="420" w:left="2520"/>
      </w:pPr>
      <w:rPr>
        <w:rFonts w:ascii="Wingdings" w:hAnsi="Wingdings" w:hint="default"/>
      </w:rPr>
    </w:lvl>
    <w:lvl w:ilvl="5" w:tplc="04090005">
      <w:start w:val="1"/>
      <w:numFmt w:val="bullet"/>
      <w:lvlText w:val=""/>
      <w:lvlJc w:val="left"/>
      <w:pPr>
        <w:tabs>
          <w:tab w:pos="2940" w:val="num"/>
        </w:tabs>
        <w:ind w:hanging="420" w:left="2940"/>
      </w:pPr>
      <w:rPr>
        <w:rFonts w:ascii="Wingdings" w:hAnsi="Wingdings" w:hint="default"/>
      </w:rPr>
    </w:lvl>
    <w:lvl w:ilvl="6" w:tplc="04090001">
      <w:start w:val="1"/>
      <w:numFmt w:val="bullet"/>
      <w:lvlText w:val=""/>
      <w:lvlJc w:val="left"/>
      <w:pPr>
        <w:tabs>
          <w:tab w:pos="3360" w:val="num"/>
        </w:tabs>
        <w:ind w:hanging="420" w:left="3360"/>
      </w:pPr>
      <w:rPr>
        <w:rFonts w:ascii="Wingdings" w:hAnsi="Wingdings" w:hint="default"/>
      </w:rPr>
    </w:lvl>
    <w:lvl w:ilvl="7" w:tplc="04090003">
      <w:start w:val="1"/>
      <w:numFmt w:val="bullet"/>
      <w:lvlText w:val=""/>
      <w:lvlJc w:val="left"/>
      <w:pPr>
        <w:tabs>
          <w:tab w:pos="3780" w:val="num"/>
        </w:tabs>
        <w:ind w:hanging="420" w:left="3780"/>
      </w:pPr>
      <w:rPr>
        <w:rFonts w:ascii="Wingdings" w:hAnsi="Wingdings" w:hint="default"/>
      </w:rPr>
    </w:lvl>
    <w:lvl w:ilvl="8"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szCs w:val="24"/>
      </w:rPr>
    </w:lvl>
    <w:lvl w:ilvl="1" w:tplc="04090019">
      <w:start w:val="1"/>
      <w:numFmt w:val="lowerLetter"/>
      <w:lvlText w:val="%2)"/>
      <w:lvlJc w:val="left"/>
      <w:pPr>
        <w:tabs>
          <w:tab w:pos="1320" w:val="num"/>
        </w:tabs>
        <w:ind w:hanging="420" w:left="1320"/>
      </w:pPr>
      <w:rPr>
        <w:rFonts w:cs="Times New Roman"/>
      </w:rPr>
    </w:lvl>
    <w:lvl w:ilvl="2" w:tplc="0409001B">
      <w:start w:val="1"/>
      <w:numFmt w:val="lowerRoman"/>
      <w:lvlText w:val="%3."/>
      <w:lvlJc w:val="right"/>
      <w:pPr>
        <w:tabs>
          <w:tab w:pos="1740" w:val="num"/>
        </w:tabs>
        <w:ind w:hanging="420" w:left="1740"/>
      </w:pPr>
      <w:rPr>
        <w:rFonts w:cs="Times New Roman"/>
      </w:rPr>
    </w:lvl>
    <w:lvl w:ilvl="3" w:tplc="0409000F">
      <w:start w:val="1"/>
      <w:numFmt w:val="decimal"/>
      <w:lvlText w:val="%4."/>
      <w:lvlJc w:val="left"/>
      <w:pPr>
        <w:tabs>
          <w:tab w:pos="2160" w:val="num"/>
        </w:tabs>
        <w:ind w:hanging="420" w:left="2160"/>
      </w:pPr>
      <w:rPr>
        <w:rFonts w:cs="Times New Roman"/>
      </w:rPr>
    </w:lvl>
    <w:lvl w:ilvl="4" w:tplc="04090019">
      <w:start w:val="1"/>
      <w:numFmt w:val="lowerLetter"/>
      <w:lvlText w:val="%5)"/>
      <w:lvlJc w:val="left"/>
      <w:pPr>
        <w:tabs>
          <w:tab w:pos="2580" w:val="num"/>
        </w:tabs>
        <w:ind w:hanging="420" w:left="2580"/>
      </w:pPr>
      <w:rPr>
        <w:rFonts w:cs="Times New Roman"/>
      </w:rPr>
    </w:lvl>
    <w:lvl w:ilvl="5" w:tplc="0409001B">
      <w:start w:val="1"/>
      <w:numFmt w:val="lowerRoman"/>
      <w:lvlText w:val="%6."/>
      <w:lvlJc w:val="right"/>
      <w:pPr>
        <w:tabs>
          <w:tab w:pos="3000" w:val="num"/>
        </w:tabs>
        <w:ind w:hanging="420" w:left="3000"/>
      </w:pPr>
      <w:rPr>
        <w:rFonts w:cs="Times New Roman"/>
      </w:rPr>
    </w:lvl>
    <w:lvl w:ilvl="6" w:tplc="0409000F">
      <w:start w:val="1"/>
      <w:numFmt w:val="decimal"/>
      <w:lvlText w:val="%7."/>
      <w:lvlJc w:val="left"/>
      <w:pPr>
        <w:tabs>
          <w:tab w:pos="3420" w:val="num"/>
        </w:tabs>
        <w:ind w:hanging="420" w:left="3420"/>
      </w:pPr>
      <w:rPr>
        <w:rFonts w:cs="Times New Roman"/>
      </w:rPr>
    </w:lvl>
    <w:lvl w:ilvl="7" w:tplc="04090019">
      <w:start w:val="1"/>
      <w:numFmt w:val="lowerLetter"/>
      <w:lvlText w:val="%8)"/>
      <w:lvlJc w:val="left"/>
      <w:pPr>
        <w:tabs>
          <w:tab w:pos="3840" w:val="num"/>
        </w:tabs>
        <w:ind w:hanging="420" w:left="3840"/>
      </w:pPr>
      <w:rPr>
        <w:rFonts w:cs="Times New Roman"/>
      </w:rPr>
    </w:lvl>
    <w:lvl w:ilvl="8"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plc="0409000F">
      <w:start w:val="1"/>
      <w:numFmt w:val="decimal"/>
      <w:lvlText w:val="%4."/>
      <w:lvlJc w:val="left"/>
      <w:pPr>
        <w:tabs>
          <w:tab w:pos="1680" w:val="num"/>
        </w:tabs>
        <w:ind w:hanging="420" w:left="1680"/>
      </w:pPr>
      <w:rPr>
        <w:rFonts w:cs="Times New Roman"/>
      </w:rPr>
    </w:lvl>
    <w:lvl w:ilvl="4" w:tplc="04090019">
      <w:start w:val="1"/>
      <w:numFmt w:val="lowerLetter"/>
      <w:lvlText w:val="%5)"/>
      <w:lvlJc w:val="left"/>
      <w:pPr>
        <w:tabs>
          <w:tab w:pos="2100" w:val="num"/>
        </w:tabs>
        <w:ind w:hanging="420" w:left="2100"/>
      </w:pPr>
      <w:rPr>
        <w:rFonts w:cs="Times New Roman"/>
      </w:rPr>
    </w:lvl>
    <w:lvl w:ilvl="5" w:tplc="0409001B">
      <w:start w:val="1"/>
      <w:numFmt w:val="lowerRoman"/>
      <w:lvlText w:val="%6."/>
      <w:lvlJc w:val="right"/>
      <w:pPr>
        <w:tabs>
          <w:tab w:pos="2520" w:val="num"/>
        </w:tabs>
        <w:ind w:hanging="420" w:left="2520"/>
      </w:pPr>
      <w:rPr>
        <w:rFonts w:cs="Times New Roman"/>
      </w:rPr>
    </w:lvl>
    <w:lvl w:ilvl="6" w:tplc="0409000F">
      <w:start w:val="1"/>
      <w:numFmt w:val="decimal"/>
      <w:lvlText w:val="%7."/>
      <w:lvlJc w:val="left"/>
      <w:pPr>
        <w:tabs>
          <w:tab w:pos="2940" w:val="num"/>
        </w:tabs>
        <w:ind w:hanging="420" w:left="2940"/>
      </w:pPr>
      <w:rPr>
        <w:rFonts w:cs="Times New Roman"/>
      </w:rPr>
    </w:lvl>
    <w:lvl w:ilvl="7" w:tplc="04090019">
      <w:start w:val="1"/>
      <w:numFmt w:val="lowerLetter"/>
      <w:lvlText w:val="%8)"/>
      <w:lvlJc w:val="left"/>
      <w:pPr>
        <w:tabs>
          <w:tab w:pos="3360" w:val="num"/>
        </w:tabs>
        <w:ind w:hanging="420" w:left="3360"/>
      </w:pPr>
      <w:rPr>
        <w:rFonts w:cs="Times New Roman"/>
      </w:rPr>
    </w:lvl>
    <w:lvl w:ilvl="8"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bordersDoNotSurroundHeader/>
  <w:bordersDoNotSurroundFooter/>
  <w:proofState w:grammar="clean"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061AC"/>
    <w:rsid w:val="00013E6E"/>
    <w:rsid w:val="00014099"/>
    <w:rsid w:val="000160C5"/>
    <w:rsid w:val="000210E7"/>
    <w:rsid w:val="000212F7"/>
    <w:rsid w:val="00031EBB"/>
    <w:rsid w:val="00033B8D"/>
    <w:rsid w:val="00043852"/>
    <w:rsid w:val="000450DD"/>
    <w:rsid w:val="000463DE"/>
    <w:rsid w:val="000553BD"/>
    <w:rsid w:val="00065E3C"/>
    <w:rsid w:val="0008313A"/>
    <w:rsid w:val="000875EA"/>
    <w:rsid w:val="000907D2"/>
    <w:rsid w:val="00090A26"/>
    <w:rsid w:val="00093704"/>
    <w:rsid w:val="00095F2A"/>
    <w:rsid w:val="000A2B53"/>
    <w:rsid w:val="000A438A"/>
    <w:rsid w:val="000B5257"/>
    <w:rsid w:val="000B624F"/>
    <w:rsid w:val="000B73C6"/>
    <w:rsid w:val="000C190B"/>
    <w:rsid w:val="000C1E17"/>
    <w:rsid w:val="000C493C"/>
    <w:rsid w:val="000C5216"/>
    <w:rsid w:val="000D0E6C"/>
    <w:rsid w:val="000D3ED4"/>
    <w:rsid w:val="000F2DE1"/>
    <w:rsid w:val="000F6CC8"/>
    <w:rsid w:val="00111261"/>
    <w:rsid w:val="00133843"/>
    <w:rsid w:val="00137452"/>
    <w:rsid w:val="00142CAF"/>
    <w:rsid w:val="00144F93"/>
    <w:rsid w:val="00147376"/>
    <w:rsid w:val="00150E7E"/>
    <w:rsid w:val="00154BE1"/>
    <w:rsid w:val="00154C17"/>
    <w:rsid w:val="00160EDC"/>
    <w:rsid w:val="0016180A"/>
    <w:rsid w:val="001675CD"/>
    <w:rsid w:val="00170435"/>
    <w:rsid w:val="00171EF0"/>
    <w:rsid w:val="001761D2"/>
    <w:rsid w:val="001830D7"/>
    <w:rsid w:val="00185A34"/>
    <w:rsid w:val="001878B0"/>
    <w:rsid w:val="0019049E"/>
    <w:rsid w:val="00191817"/>
    <w:rsid w:val="00191BDE"/>
    <w:rsid w:val="00196E6C"/>
    <w:rsid w:val="001A73E8"/>
    <w:rsid w:val="001B0A62"/>
    <w:rsid w:val="001B2F35"/>
    <w:rsid w:val="001B3C1C"/>
    <w:rsid w:val="001B6E7E"/>
    <w:rsid w:val="001C0993"/>
    <w:rsid w:val="001C79F2"/>
    <w:rsid w:val="001C7E00"/>
    <w:rsid w:val="001D0DB0"/>
    <w:rsid w:val="001D5B8F"/>
    <w:rsid w:val="001D63BB"/>
    <w:rsid w:val="001D6A4B"/>
    <w:rsid w:val="001D74DB"/>
    <w:rsid w:val="001E4630"/>
    <w:rsid w:val="001F0964"/>
    <w:rsid w:val="001F0EB2"/>
    <w:rsid w:val="001F30DA"/>
    <w:rsid w:val="001F5DC5"/>
    <w:rsid w:val="001F5F5D"/>
    <w:rsid w:val="00200FAB"/>
    <w:rsid w:val="00213821"/>
    <w:rsid w:val="00217B92"/>
    <w:rsid w:val="002279D3"/>
    <w:rsid w:val="00232B03"/>
    <w:rsid w:val="00240248"/>
    <w:rsid w:val="0024363B"/>
    <w:rsid w:val="00261111"/>
    <w:rsid w:val="00264E55"/>
    <w:rsid w:val="002661ED"/>
    <w:rsid w:val="00266337"/>
    <w:rsid w:val="00275745"/>
    <w:rsid w:val="0027688F"/>
    <w:rsid w:val="00276E44"/>
    <w:rsid w:val="00277FAE"/>
    <w:rsid w:val="00280C9F"/>
    <w:rsid w:val="00286BEF"/>
    <w:rsid w:val="00286FA2"/>
    <w:rsid w:val="002918E3"/>
    <w:rsid w:val="002973A9"/>
    <w:rsid w:val="002B1D1A"/>
    <w:rsid w:val="002C28F2"/>
    <w:rsid w:val="002C5960"/>
    <w:rsid w:val="002D6FB6"/>
    <w:rsid w:val="002E2255"/>
    <w:rsid w:val="002E3B09"/>
    <w:rsid w:val="002E4594"/>
    <w:rsid w:val="002E52B3"/>
    <w:rsid w:val="00303679"/>
    <w:rsid w:val="00304A12"/>
    <w:rsid w:val="00305636"/>
    <w:rsid w:val="00311662"/>
    <w:rsid w:val="00312A9F"/>
    <w:rsid w:val="00312F1C"/>
    <w:rsid w:val="00312F30"/>
    <w:rsid w:val="00315D5D"/>
    <w:rsid w:val="00316484"/>
    <w:rsid w:val="00316E01"/>
    <w:rsid w:val="00317067"/>
    <w:rsid w:val="00320300"/>
    <w:rsid w:val="00324508"/>
    <w:rsid w:val="003259C8"/>
    <w:rsid w:val="0032741D"/>
    <w:rsid w:val="003307FE"/>
    <w:rsid w:val="003328D9"/>
    <w:rsid w:val="003350A8"/>
    <w:rsid w:val="003376B7"/>
    <w:rsid w:val="00342369"/>
    <w:rsid w:val="003470E2"/>
    <w:rsid w:val="00352719"/>
    <w:rsid w:val="00354432"/>
    <w:rsid w:val="00355364"/>
    <w:rsid w:val="00364A60"/>
    <w:rsid w:val="00364CCB"/>
    <w:rsid w:val="0039085F"/>
    <w:rsid w:val="00392044"/>
    <w:rsid w:val="00394069"/>
    <w:rsid w:val="003A6061"/>
    <w:rsid w:val="003B5535"/>
    <w:rsid w:val="003B6FBC"/>
    <w:rsid w:val="003D7406"/>
    <w:rsid w:val="003D7FAF"/>
    <w:rsid w:val="003E62FB"/>
    <w:rsid w:val="003F39DF"/>
    <w:rsid w:val="003F63BE"/>
    <w:rsid w:val="00403A06"/>
    <w:rsid w:val="004061AC"/>
    <w:rsid w:val="00407DBB"/>
    <w:rsid w:val="004149AC"/>
    <w:rsid w:val="00415AEF"/>
    <w:rsid w:val="0042009D"/>
    <w:rsid w:val="00427F58"/>
    <w:rsid w:val="0043199A"/>
    <w:rsid w:val="00433805"/>
    <w:rsid w:val="0046668C"/>
    <w:rsid w:val="00466850"/>
    <w:rsid w:val="00467048"/>
    <w:rsid w:val="00471408"/>
    <w:rsid w:val="004858E0"/>
    <w:rsid w:val="004934E9"/>
    <w:rsid w:val="004943C2"/>
    <w:rsid w:val="004A11A7"/>
    <w:rsid w:val="004A4D5B"/>
    <w:rsid w:val="004B5343"/>
    <w:rsid w:val="004B7A92"/>
    <w:rsid w:val="004C0259"/>
    <w:rsid w:val="004C702F"/>
    <w:rsid w:val="004D28A3"/>
    <w:rsid w:val="004D495A"/>
    <w:rsid w:val="004D75CD"/>
    <w:rsid w:val="004E5975"/>
    <w:rsid w:val="004E790A"/>
    <w:rsid w:val="004F04C1"/>
    <w:rsid w:val="004F50FD"/>
    <w:rsid w:val="004F6891"/>
    <w:rsid w:val="00500A03"/>
    <w:rsid w:val="00501495"/>
    <w:rsid w:val="00507F99"/>
    <w:rsid w:val="00512200"/>
    <w:rsid w:val="005143CD"/>
    <w:rsid w:val="005144F2"/>
    <w:rsid w:val="005242A5"/>
    <w:rsid w:val="005249DD"/>
    <w:rsid w:val="00531BA5"/>
    <w:rsid w:val="00531F10"/>
    <w:rsid w:val="00532E86"/>
    <w:rsid w:val="00540B13"/>
    <w:rsid w:val="00542434"/>
    <w:rsid w:val="00542470"/>
    <w:rsid w:val="00542546"/>
    <w:rsid w:val="005425BA"/>
    <w:rsid w:val="005454FB"/>
    <w:rsid w:val="005602F3"/>
    <w:rsid w:val="005659E4"/>
    <w:rsid w:val="005761EE"/>
    <w:rsid w:val="00582D99"/>
    <w:rsid w:val="0058551C"/>
    <w:rsid w:val="00590656"/>
    <w:rsid w:val="0059076B"/>
    <w:rsid w:val="005973CB"/>
    <w:rsid w:val="00597E49"/>
    <w:rsid w:val="005A0F1F"/>
    <w:rsid w:val="005A2B83"/>
    <w:rsid w:val="005A478E"/>
    <w:rsid w:val="005A6675"/>
    <w:rsid w:val="005B2E9C"/>
    <w:rsid w:val="005B4F93"/>
    <w:rsid w:val="005B73D2"/>
    <w:rsid w:val="005C5E5B"/>
    <w:rsid w:val="005D2B36"/>
    <w:rsid w:val="005E1093"/>
    <w:rsid w:val="005E475E"/>
    <w:rsid w:val="005E78C0"/>
    <w:rsid w:val="005F3996"/>
    <w:rsid w:val="005F6AF6"/>
    <w:rsid w:val="005F7730"/>
    <w:rsid w:val="005F7917"/>
    <w:rsid w:val="005F7E00"/>
    <w:rsid w:val="00604C26"/>
    <w:rsid w:val="006066D2"/>
    <w:rsid w:val="0061286A"/>
    <w:rsid w:val="00613D7A"/>
    <w:rsid w:val="00614CC4"/>
    <w:rsid w:val="0062025E"/>
    <w:rsid w:val="00626998"/>
    <w:rsid w:val="006269FB"/>
    <w:rsid w:val="00631ED8"/>
    <w:rsid w:val="00635B05"/>
    <w:rsid w:val="00636DB7"/>
    <w:rsid w:val="0063783A"/>
    <w:rsid w:val="006423B9"/>
    <w:rsid w:val="00654B0D"/>
    <w:rsid w:val="00655CD8"/>
    <w:rsid w:val="006571DC"/>
    <w:rsid w:val="00660D4B"/>
    <w:rsid w:val="00664ECC"/>
    <w:rsid w:val="00670989"/>
    <w:rsid w:val="006757DC"/>
    <w:rsid w:val="00676095"/>
    <w:rsid w:val="006926A7"/>
    <w:rsid w:val="00693843"/>
    <w:rsid w:val="0069426C"/>
    <w:rsid w:val="00694DFB"/>
    <w:rsid w:val="006A1C62"/>
    <w:rsid w:val="006A48FD"/>
    <w:rsid w:val="006A67F8"/>
    <w:rsid w:val="006A7AF1"/>
    <w:rsid w:val="006B11BB"/>
    <w:rsid w:val="006B4C11"/>
    <w:rsid w:val="006C12B8"/>
    <w:rsid w:val="006C37FC"/>
    <w:rsid w:val="006C56AA"/>
    <w:rsid w:val="006C7EA3"/>
    <w:rsid w:val="006D07F3"/>
    <w:rsid w:val="006D39E9"/>
    <w:rsid w:val="006D3BE3"/>
    <w:rsid w:val="006D7004"/>
    <w:rsid w:val="006D789D"/>
    <w:rsid w:val="006D7FF8"/>
    <w:rsid w:val="006E042A"/>
    <w:rsid w:val="006E322B"/>
    <w:rsid w:val="006F49EE"/>
    <w:rsid w:val="006F5E68"/>
    <w:rsid w:val="00706D60"/>
    <w:rsid w:val="007075E3"/>
    <w:rsid w:val="00707F66"/>
    <w:rsid w:val="007125DB"/>
    <w:rsid w:val="00720D28"/>
    <w:rsid w:val="00722333"/>
    <w:rsid w:val="00722509"/>
    <w:rsid w:val="00727FCD"/>
    <w:rsid w:val="00733DDD"/>
    <w:rsid w:val="00744628"/>
    <w:rsid w:val="0074694E"/>
    <w:rsid w:val="00750CDF"/>
    <w:rsid w:val="00750D48"/>
    <w:rsid w:val="00752BA5"/>
    <w:rsid w:val="00755D86"/>
    <w:rsid w:val="00764C38"/>
    <w:rsid w:val="00767C98"/>
    <w:rsid w:val="00770971"/>
    <w:rsid w:val="00780186"/>
    <w:rsid w:val="0078089C"/>
    <w:rsid w:val="00787D16"/>
    <w:rsid w:val="00796CA8"/>
    <w:rsid w:val="00797305"/>
    <w:rsid w:val="007B035B"/>
    <w:rsid w:val="007B4C04"/>
    <w:rsid w:val="007B5AFB"/>
    <w:rsid w:val="007C1B9B"/>
    <w:rsid w:val="007C54B1"/>
    <w:rsid w:val="007C5862"/>
    <w:rsid w:val="007F31E6"/>
    <w:rsid w:val="008014F9"/>
    <w:rsid w:val="0080358B"/>
    <w:rsid w:val="008059BD"/>
    <w:rsid w:val="00812D46"/>
    <w:rsid w:val="00815999"/>
    <w:rsid w:val="00815A38"/>
    <w:rsid w:val="0082103F"/>
    <w:rsid w:val="008279FE"/>
    <w:rsid w:val="00831259"/>
    <w:rsid w:val="0083208A"/>
    <w:rsid w:val="0083218A"/>
    <w:rsid w:val="00832A00"/>
    <w:rsid w:val="00837845"/>
    <w:rsid w:val="008442C4"/>
    <w:rsid w:val="00846739"/>
    <w:rsid w:val="00853140"/>
    <w:rsid w:val="00854537"/>
    <w:rsid w:val="008606B6"/>
    <w:rsid w:val="008635E6"/>
    <w:rsid w:val="00866CF2"/>
    <w:rsid w:val="008700EC"/>
    <w:rsid w:val="00876D65"/>
    <w:rsid w:val="00891261"/>
    <w:rsid w:val="00895A8A"/>
    <w:rsid w:val="008A09E5"/>
    <w:rsid w:val="008A21B2"/>
    <w:rsid w:val="008B2FDD"/>
    <w:rsid w:val="008C2A4F"/>
    <w:rsid w:val="008C75E7"/>
    <w:rsid w:val="008C7CA8"/>
    <w:rsid w:val="008D09EC"/>
    <w:rsid w:val="008D799F"/>
    <w:rsid w:val="008E07EB"/>
    <w:rsid w:val="008E2DCB"/>
    <w:rsid w:val="008E326D"/>
    <w:rsid w:val="008F5A8D"/>
    <w:rsid w:val="008F5F67"/>
    <w:rsid w:val="008F60F2"/>
    <w:rsid w:val="0090217D"/>
    <w:rsid w:val="00904749"/>
    <w:rsid w:val="00905C5E"/>
    <w:rsid w:val="009078DC"/>
    <w:rsid w:val="00907B61"/>
    <w:rsid w:val="00910586"/>
    <w:rsid w:val="009161AF"/>
    <w:rsid w:val="00921AC7"/>
    <w:rsid w:val="00921BFA"/>
    <w:rsid w:val="00922880"/>
    <w:rsid w:val="00924582"/>
    <w:rsid w:val="00931291"/>
    <w:rsid w:val="00932DC0"/>
    <w:rsid w:val="0093367D"/>
    <w:rsid w:val="00933B24"/>
    <w:rsid w:val="009431FA"/>
    <w:rsid w:val="00943BB5"/>
    <w:rsid w:val="00945AF6"/>
    <w:rsid w:val="009510DE"/>
    <w:rsid w:val="00951C43"/>
    <w:rsid w:val="0095204B"/>
    <w:rsid w:val="0095280A"/>
    <w:rsid w:val="00954A4B"/>
    <w:rsid w:val="009550BE"/>
    <w:rsid w:val="00955531"/>
    <w:rsid w:val="00955BE8"/>
    <w:rsid w:val="00957594"/>
    <w:rsid w:val="00963F40"/>
    <w:rsid w:val="00965CFB"/>
    <w:rsid w:val="0098122D"/>
    <w:rsid w:val="00986596"/>
    <w:rsid w:val="00990685"/>
    <w:rsid w:val="00991411"/>
    <w:rsid w:val="00992238"/>
    <w:rsid w:val="009A0ABE"/>
    <w:rsid w:val="009B2D4B"/>
    <w:rsid w:val="009B3243"/>
    <w:rsid w:val="009C4E99"/>
    <w:rsid w:val="009C5186"/>
    <w:rsid w:val="009C60F7"/>
    <w:rsid w:val="009D0952"/>
    <w:rsid w:val="009D54EA"/>
    <w:rsid w:val="009E285B"/>
    <w:rsid w:val="009E31DA"/>
    <w:rsid w:val="009E402C"/>
    <w:rsid w:val="009E7C6A"/>
    <w:rsid w:val="009F7ED4"/>
    <w:rsid w:val="00A03AAC"/>
    <w:rsid w:val="00A047D1"/>
    <w:rsid w:val="00A22AD0"/>
    <w:rsid w:val="00A22DA8"/>
    <w:rsid w:val="00A234BE"/>
    <w:rsid w:val="00A31671"/>
    <w:rsid w:val="00A45320"/>
    <w:rsid w:val="00A52C6D"/>
    <w:rsid w:val="00A5612C"/>
    <w:rsid w:val="00A5689C"/>
    <w:rsid w:val="00A57AE4"/>
    <w:rsid w:val="00A63F19"/>
    <w:rsid w:val="00A66F3F"/>
    <w:rsid w:val="00A66F42"/>
    <w:rsid w:val="00A727C1"/>
    <w:rsid w:val="00A746EB"/>
    <w:rsid w:val="00A76625"/>
    <w:rsid w:val="00A82CBA"/>
    <w:rsid w:val="00A83500"/>
    <w:rsid w:val="00A90049"/>
    <w:rsid w:val="00A917BF"/>
    <w:rsid w:val="00A96A94"/>
    <w:rsid w:val="00AA257D"/>
    <w:rsid w:val="00AA3A38"/>
    <w:rsid w:val="00AA4F94"/>
    <w:rsid w:val="00AB047E"/>
    <w:rsid w:val="00AC11B0"/>
    <w:rsid w:val="00AC592E"/>
    <w:rsid w:val="00AC6C10"/>
    <w:rsid w:val="00AC7BC6"/>
    <w:rsid w:val="00AD24AA"/>
    <w:rsid w:val="00AE7962"/>
    <w:rsid w:val="00AF5BA0"/>
    <w:rsid w:val="00B014D7"/>
    <w:rsid w:val="00B05049"/>
    <w:rsid w:val="00B12B7D"/>
    <w:rsid w:val="00B16985"/>
    <w:rsid w:val="00B221B8"/>
    <w:rsid w:val="00B227EA"/>
    <w:rsid w:val="00B27206"/>
    <w:rsid w:val="00B32AA7"/>
    <w:rsid w:val="00B3392B"/>
    <w:rsid w:val="00B371D4"/>
    <w:rsid w:val="00B4012D"/>
    <w:rsid w:val="00B40F64"/>
    <w:rsid w:val="00B42A76"/>
    <w:rsid w:val="00B53067"/>
    <w:rsid w:val="00B66B7D"/>
    <w:rsid w:val="00B7378D"/>
    <w:rsid w:val="00B82413"/>
    <w:rsid w:val="00B85352"/>
    <w:rsid w:val="00B87214"/>
    <w:rsid w:val="00B912D0"/>
    <w:rsid w:val="00B92FF5"/>
    <w:rsid w:val="00B959E6"/>
    <w:rsid w:val="00BA0A6A"/>
    <w:rsid w:val="00BA40BB"/>
    <w:rsid w:val="00BA4338"/>
    <w:rsid w:val="00BA604D"/>
    <w:rsid w:val="00BB6813"/>
    <w:rsid w:val="00BC4585"/>
    <w:rsid w:val="00BC50F1"/>
    <w:rsid w:val="00BC73E5"/>
    <w:rsid w:val="00BD7473"/>
    <w:rsid w:val="00BD7703"/>
    <w:rsid w:val="00BE12B4"/>
    <w:rsid w:val="00BE3D2D"/>
    <w:rsid w:val="00BE420D"/>
    <w:rsid w:val="00BE5A26"/>
    <w:rsid w:val="00C11A5E"/>
    <w:rsid w:val="00C21520"/>
    <w:rsid w:val="00C222B2"/>
    <w:rsid w:val="00C225FB"/>
    <w:rsid w:val="00C41870"/>
    <w:rsid w:val="00C46B88"/>
    <w:rsid w:val="00C5218C"/>
    <w:rsid w:val="00C52191"/>
    <w:rsid w:val="00C5642F"/>
    <w:rsid w:val="00C57A3E"/>
    <w:rsid w:val="00C63554"/>
    <w:rsid w:val="00C71497"/>
    <w:rsid w:val="00C72F5B"/>
    <w:rsid w:val="00C73619"/>
    <w:rsid w:val="00C73BCD"/>
    <w:rsid w:val="00C77AEF"/>
    <w:rsid w:val="00C77E37"/>
    <w:rsid w:val="00C86EB7"/>
    <w:rsid w:val="00C87129"/>
    <w:rsid w:val="00C91E1B"/>
    <w:rsid w:val="00CA2BD3"/>
    <w:rsid w:val="00CA4677"/>
    <w:rsid w:val="00CA5FD5"/>
    <w:rsid w:val="00CA7703"/>
    <w:rsid w:val="00CB0F92"/>
    <w:rsid w:val="00CD4E6D"/>
    <w:rsid w:val="00CD5707"/>
    <w:rsid w:val="00CD7702"/>
    <w:rsid w:val="00CD7FC9"/>
    <w:rsid w:val="00CE0716"/>
    <w:rsid w:val="00CE075A"/>
    <w:rsid w:val="00CE29EA"/>
    <w:rsid w:val="00CF47EB"/>
    <w:rsid w:val="00CF6572"/>
    <w:rsid w:val="00CF7885"/>
    <w:rsid w:val="00D02347"/>
    <w:rsid w:val="00D04755"/>
    <w:rsid w:val="00D13737"/>
    <w:rsid w:val="00D15D27"/>
    <w:rsid w:val="00D1638E"/>
    <w:rsid w:val="00D21D10"/>
    <w:rsid w:val="00D21FFF"/>
    <w:rsid w:val="00D272A5"/>
    <w:rsid w:val="00D43AFB"/>
    <w:rsid w:val="00D5071D"/>
    <w:rsid w:val="00D564C7"/>
    <w:rsid w:val="00D57B7C"/>
    <w:rsid w:val="00D62BEE"/>
    <w:rsid w:val="00D65B44"/>
    <w:rsid w:val="00D8099B"/>
    <w:rsid w:val="00D866A8"/>
    <w:rsid w:val="00D87469"/>
    <w:rsid w:val="00D90B03"/>
    <w:rsid w:val="00D92F47"/>
    <w:rsid w:val="00D94B8D"/>
    <w:rsid w:val="00D96C8D"/>
    <w:rsid w:val="00DA2876"/>
    <w:rsid w:val="00DA718D"/>
    <w:rsid w:val="00DB0A8D"/>
    <w:rsid w:val="00DB348F"/>
    <w:rsid w:val="00DC0B51"/>
    <w:rsid w:val="00DD03DC"/>
    <w:rsid w:val="00DD5919"/>
    <w:rsid w:val="00DE27F7"/>
    <w:rsid w:val="00DE38CC"/>
    <w:rsid w:val="00E06069"/>
    <w:rsid w:val="00E115C0"/>
    <w:rsid w:val="00E44E18"/>
    <w:rsid w:val="00E54301"/>
    <w:rsid w:val="00E5483F"/>
    <w:rsid w:val="00E55ABD"/>
    <w:rsid w:val="00E60817"/>
    <w:rsid w:val="00E6412C"/>
    <w:rsid w:val="00E645C0"/>
    <w:rsid w:val="00E8246B"/>
    <w:rsid w:val="00E90C35"/>
    <w:rsid w:val="00EA70F1"/>
    <w:rsid w:val="00EB2516"/>
    <w:rsid w:val="00EB2C07"/>
    <w:rsid w:val="00EB374A"/>
    <w:rsid w:val="00EB3CE7"/>
    <w:rsid w:val="00EB572F"/>
    <w:rsid w:val="00EC1B4D"/>
    <w:rsid w:val="00ED040B"/>
    <w:rsid w:val="00ED62BE"/>
    <w:rsid w:val="00EF17AB"/>
    <w:rsid w:val="00EF56B5"/>
    <w:rsid w:val="00EF6FA5"/>
    <w:rsid w:val="00F078B5"/>
    <w:rsid w:val="00F11104"/>
    <w:rsid w:val="00F126C4"/>
    <w:rsid w:val="00F13122"/>
    <w:rsid w:val="00F16E3F"/>
    <w:rsid w:val="00F171C5"/>
    <w:rsid w:val="00F22499"/>
    <w:rsid w:val="00F22B0F"/>
    <w:rsid w:val="00F234A0"/>
    <w:rsid w:val="00F24B42"/>
    <w:rsid w:val="00F24F73"/>
    <w:rsid w:val="00F27299"/>
    <w:rsid w:val="00F31F6E"/>
    <w:rsid w:val="00F3389C"/>
    <w:rsid w:val="00F375F2"/>
    <w:rsid w:val="00F40868"/>
    <w:rsid w:val="00F54EAE"/>
    <w:rsid w:val="00F66A51"/>
    <w:rsid w:val="00F71057"/>
    <w:rsid w:val="00F71A4B"/>
    <w:rsid w:val="00F728CF"/>
    <w:rsid w:val="00F743D4"/>
    <w:rsid w:val="00F83B17"/>
    <w:rsid w:val="00F87EDA"/>
    <w:rsid w:val="00F932F8"/>
    <w:rsid w:val="00F970EE"/>
    <w:rsid w:val="00FB0BC9"/>
    <w:rsid w:val="00FB0F9B"/>
    <w:rsid w:val="00FB41D3"/>
    <w:rsid w:val="00FB4F70"/>
    <w:rsid w:val="00FB5EFC"/>
    <w:rsid w:val="00FB77BB"/>
    <w:rsid w:val="00FC15AA"/>
    <w:rsid w:val="00FD1375"/>
    <w:rsid w:val="00FD359E"/>
    <w:rsid w:val="00FD5F37"/>
    <w:rsid w:val="00FE0A17"/>
    <w:rsid w:val="00FE179F"/>
    <w:rsid w:val="00FF213A"/>
    <w:rsid w:val="00FF3C2E"/>
    <w:rsid w:val="00FF6E8F"/>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cs="Times New Roman" w:eastAsia="宋体" w:hAnsi="Calibri"/>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footnote text" w:semiHidden="0" w:uiPriority="0" w:unhideWhenUsed="0"/>
    <w:lsdException w:locked="1" w:name="caption" w:qFormat="1" w:uiPriority="0"/>
    <w:lsdException w:locked="1" w:name="footnote reference" w:semiHidden="0" w:uiPriority="0" w:unhideWhenUsed="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Date" w:semiHidden="0" w:uiPriority="0" w:unhideWhenUsed="0"/>
    <w:lsdException w:locked="1" w:name="Strong" w:qFormat="1" w:semiHidden="0" w:uiPriority="22" w:unhideWhenUsed="0"/>
    <w:lsdException w:locked="1" w:name="Emphasis" w:qFormat="1" w:semiHidden="0" w:uiPriority="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4061AC"/>
    <w:pPr>
      <w:widowControl w:val="0"/>
      <w:jc w:val="both"/>
    </w:pPr>
    <w:rPr>
      <w:rFonts w:ascii="Times New Roman" w:hAnsi="Times New Roman"/>
      <w:kern w:val="2"/>
      <w:sz w:val="21"/>
      <w:szCs w:val="21"/>
    </w:rPr>
  </w:style>
  <w:style w:styleId="1" w:type="paragraph">
    <w:name w:val="heading 1"/>
    <w:basedOn w:val="a"/>
    <w:next w:val="a"/>
    <w:link w:val="1Char"/>
    <w:uiPriority w:val="99"/>
    <w:qFormat/>
    <w:rsid w:val="004061AC"/>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4061AC"/>
    <w:pPr>
      <w:keepNext/>
      <w:keepLines/>
      <w:spacing w:after="260" w:before="260" w:line="360" w:lineRule="auto"/>
      <w:outlineLvl w:val="1"/>
    </w:pPr>
    <w:rPr>
      <w:rFonts w:ascii="Arial" w:hAnsi="Arial"/>
      <w:b/>
      <w:bCs/>
      <w:kern w:val="0"/>
      <w:sz w:val="24"/>
      <w:szCs w:val="24"/>
    </w:rPr>
  </w:style>
  <w:style w:styleId="3" w:type="paragraph">
    <w:name w:val="heading 3"/>
    <w:basedOn w:val="a"/>
    <w:next w:val="a"/>
    <w:link w:val="3Char"/>
    <w:uiPriority w:val="99"/>
    <w:qFormat/>
    <w:rsid w:val="004061AC"/>
    <w:pPr>
      <w:keepNext/>
      <w:keepLines/>
      <w:spacing w:after="260" w:before="260" w:line="416" w:lineRule="auto"/>
      <w:outlineLvl w:val="2"/>
    </w:pPr>
    <w:rPr>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4061AC"/>
    <w:rPr>
      <w:rFonts w:ascii="Times New Roman" w:cs="Times New Roman" w:eastAsia="宋体" w:hAnsi="Times New Roman"/>
      <w:b/>
      <w:bCs/>
      <w:kern w:val="44"/>
      <w:sz w:val="44"/>
      <w:szCs w:val="44"/>
    </w:rPr>
  </w:style>
  <w:style w:customStyle="1" w:styleId="2Char" w:type="character">
    <w:name w:val="标题 2 Char"/>
    <w:link w:val="2"/>
    <w:uiPriority w:val="99"/>
    <w:locked/>
    <w:rsid w:val="004061AC"/>
    <w:rPr>
      <w:rFonts w:ascii="Arial" w:cs="Arial" w:eastAsia="宋体" w:hAnsi="Arial"/>
      <w:b/>
      <w:bCs/>
      <w:sz w:val="24"/>
      <w:szCs w:val="24"/>
    </w:rPr>
  </w:style>
  <w:style w:customStyle="1" w:styleId="3Char" w:type="character">
    <w:name w:val="标题 3 Char"/>
    <w:link w:val="3"/>
    <w:uiPriority w:val="99"/>
    <w:locked/>
    <w:rsid w:val="004061AC"/>
    <w:rPr>
      <w:rFonts w:ascii="Times New Roman" w:cs="Times New Roman" w:eastAsia="宋体" w:hAnsi="Times New Roman"/>
      <w:b/>
      <w:bCs/>
      <w:sz w:val="32"/>
      <w:szCs w:val="32"/>
    </w:rPr>
  </w:style>
  <w:style w:styleId="a0" w:type="paragraph">
    <w:name w:val="Normal Indent"/>
    <w:basedOn w:val="a"/>
    <w:uiPriority w:val="99"/>
    <w:rsid w:val="004061AC"/>
    <w:pPr>
      <w:ind w:firstLine="420" w:firstLineChars="200"/>
    </w:pPr>
  </w:style>
  <w:style w:styleId="a4" w:type="paragraph">
    <w:name w:val="Body Text Indent"/>
    <w:basedOn w:val="a"/>
    <w:link w:val="Char"/>
    <w:uiPriority w:val="99"/>
    <w:rsid w:val="004061AC"/>
    <w:pPr>
      <w:widowControl/>
      <w:spacing w:after="100" w:afterAutospacing="1" w:before="100" w:beforeAutospacing="1"/>
      <w:jc w:val="left"/>
    </w:pPr>
    <w:rPr>
      <w:rFonts w:ascii="Arial Unicode MS" w:eastAsia="Arial Unicode MS" w:hAnsi="Arial Unicode MS"/>
      <w:kern w:val="0"/>
      <w:sz w:val="24"/>
      <w:szCs w:val="24"/>
    </w:rPr>
  </w:style>
  <w:style w:customStyle="1" w:styleId="Char" w:type="character">
    <w:name w:val="正文文本缩进 Char"/>
    <w:link w:val="a4"/>
    <w:uiPriority w:val="99"/>
    <w:locked/>
    <w:rsid w:val="004061AC"/>
    <w:rPr>
      <w:rFonts w:ascii="Arial Unicode MS" w:cs="Arial Unicode MS" w:eastAsia="Arial Unicode MS" w:hAnsi="Arial Unicode MS"/>
      <w:kern w:val="0"/>
      <w:sz w:val="24"/>
      <w:szCs w:val="24"/>
    </w:rPr>
  </w:style>
  <w:style w:styleId="a5" w:type="paragraph">
    <w:name w:val="Plain Text"/>
    <w:basedOn w:val="a"/>
    <w:link w:val="Char0"/>
    <w:uiPriority w:val="99"/>
    <w:rsid w:val="004061AC"/>
    <w:rPr>
      <w:rFonts w:ascii="宋体" w:hAnsi="Courier New"/>
      <w:kern w:val="0"/>
    </w:rPr>
  </w:style>
  <w:style w:customStyle="1" w:styleId="Char0" w:type="character">
    <w:name w:val="纯文本 Char"/>
    <w:link w:val="a5"/>
    <w:uiPriority w:val="99"/>
    <w:locked/>
    <w:rsid w:val="004061AC"/>
    <w:rPr>
      <w:rFonts w:ascii="宋体" w:cs="宋体" w:eastAsia="宋体" w:hAnsi="Courier New"/>
      <w:sz w:val="21"/>
      <w:szCs w:val="21"/>
    </w:rPr>
  </w:style>
  <w:style w:styleId="20" w:type="paragraph">
    <w:name w:val="Body Text Indent 2"/>
    <w:basedOn w:val="a"/>
    <w:link w:val="2Char0"/>
    <w:uiPriority w:val="99"/>
    <w:rsid w:val="004061AC"/>
    <w:pPr>
      <w:spacing w:line="560" w:lineRule="exact"/>
      <w:ind w:firstLine="480" w:firstLineChars="200"/>
    </w:pPr>
    <w:rPr>
      <w:rFonts w:ascii="宋体" w:hAnsi="宋体"/>
      <w:color w:val="FF0000"/>
      <w:kern w:val="0"/>
      <w:sz w:val="24"/>
      <w:szCs w:val="24"/>
    </w:rPr>
  </w:style>
  <w:style w:customStyle="1" w:styleId="2Char0" w:type="character">
    <w:name w:val="正文文本缩进 2 Char"/>
    <w:link w:val="20"/>
    <w:uiPriority w:val="99"/>
    <w:locked/>
    <w:rsid w:val="004061AC"/>
    <w:rPr>
      <w:rFonts w:ascii="宋体" w:cs="宋体" w:eastAsia="宋体" w:hAnsi="宋体"/>
      <w:color w:val="FF0000"/>
      <w:sz w:val="24"/>
      <w:szCs w:val="24"/>
    </w:rPr>
  </w:style>
  <w:style w:styleId="a6" w:type="paragraph">
    <w:name w:val="footer"/>
    <w:basedOn w:val="a"/>
    <w:link w:val="Char1"/>
    <w:uiPriority w:val="99"/>
    <w:rsid w:val="004061AC"/>
    <w:pPr>
      <w:tabs>
        <w:tab w:pos="4153" w:val="center"/>
        <w:tab w:pos="8306" w:val="right"/>
      </w:tabs>
      <w:snapToGrid w:val="0"/>
      <w:jc w:val="left"/>
    </w:pPr>
    <w:rPr>
      <w:kern w:val="0"/>
      <w:sz w:val="18"/>
      <w:szCs w:val="18"/>
    </w:rPr>
  </w:style>
  <w:style w:customStyle="1" w:styleId="Char1" w:type="character">
    <w:name w:val="页脚 Char"/>
    <w:link w:val="a6"/>
    <w:uiPriority w:val="99"/>
    <w:locked/>
    <w:rsid w:val="004061AC"/>
    <w:rPr>
      <w:rFonts w:ascii="Times New Roman" w:cs="Times New Roman" w:eastAsia="宋体" w:hAnsi="Times New Roman"/>
      <w:sz w:val="18"/>
      <w:szCs w:val="18"/>
    </w:rPr>
  </w:style>
  <w:style w:styleId="a7" w:type="character">
    <w:name w:val="page number"/>
    <w:uiPriority w:val="99"/>
    <w:rsid w:val="004061AC"/>
    <w:rPr>
      <w:rFonts w:cs="Times New Roman"/>
    </w:rPr>
  </w:style>
  <w:style w:styleId="a8" w:type="character">
    <w:name w:val="Hyperlink"/>
    <w:uiPriority w:val="99"/>
    <w:rsid w:val="004061AC"/>
    <w:rPr>
      <w:rFonts w:cs="Times New Roman"/>
      <w:color w:val="0000FF"/>
      <w:u w:val="single"/>
    </w:rPr>
  </w:style>
  <w:style w:styleId="30" w:type="paragraph">
    <w:name w:val="Body Text Indent 3"/>
    <w:basedOn w:val="a"/>
    <w:link w:val="3Char0"/>
    <w:uiPriority w:val="99"/>
    <w:rsid w:val="004061AC"/>
    <w:pPr>
      <w:spacing w:line="560" w:lineRule="exact"/>
      <w:ind w:firstLine="420" w:firstLineChars="200"/>
    </w:pPr>
    <w:rPr>
      <w:rFonts w:ascii="Arial" w:hAnsi="Arial"/>
      <w:color w:val="FF0000"/>
      <w:kern w:val="0"/>
    </w:rPr>
  </w:style>
  <w:style w:customStyle="1" w:styleId="3Char0" w:type="character">
    <w:name w:val="正文文本缩进 3 Char"/>
    <w:link w:val="30"/>
    <w:uiPriority w:val="99"/>
    <w:locked/>
    <w:rsid w:val="004061AC"/>
    <w:rPr>
      <w:rFonts w:ascii="Arial" w:cs="Arial" w:eastAsia="宋体" w:hAnsi="Arial"/>
      <w:color w:val="FF0000"/>
      <w:sz w:val="21"/>
      <w:szCs w:val="21"/>
    </w:rPr>
  </w:style>
  <w:style w:styleId="a9" w:type="paragraph">
    <w:name w:val="header"/>
    <w:basedOn w:val="a"/>
    <w:link w:val="Char2"/>
    <w:uiPriority w:val="99"/>
    <w:rsid w:val="004061AC"/>
    <w:pPr>
      <w:pBdr>
        <w:bottom w:color="auto" w:space="1" w:sz="6" w:val="single"/>
      </w:pBdr>
      <w:tabs>
        <w:tab w:pos="4153" w:val="center"/>
        <w:tab w:pos="8306" w:val="right"/>
      </w:tabs>
      <w:snapToGrid w:val="0"/>
      <w:jc w:val="center"/>
    </w:pPr>
    <w:rPr>
      <w:kern w:val="0"/>
      <w:sz w:val="18"/>
      <w:szCs w:val="18"/>
    </w:rPr>
  </w:style>
  <w:style w:customStyle="1" w:styleId="Char2" w:type="character">
    <w:name w:val="页眉 Char"/>
    <w:link w:val="a9"/>
    <w:uiPriority w:val="99"/>
    <w:locked/>
    <w:rsid w:val="004061AC"/>
    <w:rPr>
      <w:rFonts w:ascii="Times New Roman" w:cs="Times New Roman" w:eastAsia="宋体" w:hAnsi="Times New Roman"/>
      <w:sz w:val="18"/>
      <w:szCs w:val="18"/>
    </w:rPr>
  </w:style>
  <w:style w:styleId="aa" w:type="character">
    <w:name w:val="FollowedHyperlink"/>
    <w:uiPriority w:val="99"/>
    <w:rsid w:val="004061AC"/>
    <w:rPr>
      <w:rFonts w:cs="Times New Roman"/>
      <w:color w:val="800080"/>
      <w:u w:val="single"/>
    </w:rPr>
  </w:style>
  <w:style w:styleId="ab" w:type="paragraph">
    <w:name w:val="List"/>
    <w:basedOn w:val="ac"/>
    <w:uiPriority w:val="99"/>
    <w:rsid w:val="004061AC"/>
    <w:pPr>
      <w:spacing w:after="220" w:line="220" w:lineRule="atLeast"/>
      <w:ind w:hanging="360" w:left="1440"/>
    </w:pPr>
  </w:style>
  <w:style w:styleId="ac" w:type="paragraph">
    <w:name w:val="Body Text"/>
    <w:basedOn w:val="a"/>
    <w:link w:val="Char3"/>
    <w:uiPriority w:val="99"/>
    <w:rsid w:val="004061AC"/>
    <w:pPr>
      <w:spacing w:after="120"/>
    </w:pPr>
    <w:rPr>
      <w:kern w:val="0"/>
    </w:rPr>
  </w:style>
  <w:style w:customStyle="1" w:styleId="Char3" w:type="character">
    <w:name w:val="正文文本 Char"/>
    <w:link w:val="ac"/>
    <w:uiPriority w:val="99"/>
    <w:locked/>
    <w:rsid w:val="004061AC"/>
    <w:rPr>
      <w:rFonts w:ascii="Times New Roman" w:cs="Times New Roman" w:eastAsia="宋体" w:hAnsi="Times New Roman"/>
      <w:sz w:val="21"/>
      <w:szCs w:val="21"/>
    </w:rPr>
  </w:style>
  <w:style w:styleId="ad" w:type="paragraph">
    <w:name w:val="Date"/>
    <w:basedOn w:val="a"/>
    <w:next w:val="a"/>
    <w:link w:val="Char4"/>
    <w:uiPriority w:val="99"/>
    <w:rsid w:val="004061AC"/>
    <w:rPr>
      <w:kern w:val="0"/>
      <w:sz w:val="24"/>
      <w:szCs w:val="24"/>
    </w:rPr>
  </w:style>
  <w:style w:customStyle="1" w:styleId="Char4" w:type="character">
    <w:name w:val="日期 Char"/>
    <w:link w:val="ad"/>
    <w:uiPriority w:val="99"/>
    <w:locked/>
    <w:rsid w:val="004061AC"/>
    <w:rPr>
      <w:rFonts w:ascii="Times New Roman" w:cs="Times New Roman" w:eastAsia="宋体" w:hAnsi="Times New Roman"/>
      <w:sz w:val="24"/>
      <w:szCs w:val="24"/>
    </w:rPr>
  </w:style>
  <w:style w:customStyle="1" w:styleId="c1" w:type="character">
    <w:name w:val="c1"/>
    <w:uiPriority w:val="99"/>
    <w:rsid w:val="004061AC"/>
    <w:rPr>
      <w:rFonts w:cs="Times New Roman"/>
      <w:color w:val="000000"/>
      <w:sz w:val="18"/>
      <w:szCs w:val="18"/>
    </w:rPr>
  </w:style>
  <w:style w:styleId="10" w:type="paragraph">
    <w:name w:val="index 1"/>
    <w:basedOn w:val="a"/>
    <w:next w:val="a"/>
    <w:autoRedefine/>
    <w:uiPriority w:val="99"/>
    <w:semiHidden/>
    <w:rsid w:val="004061AC"/>
    <w:pPr>
      <w:jc w:val="right"/>
    </w:pPr>
    <w:rPr>
      <w:color w:val="008000"/>
    </w:rPr>
  </w:style>
  <w:style w:customStyle="1" w:styleId="font5" w:type="paragraph">
    <w:name w:val="font5"/>
    <w:basedOn w:val="a"/>
    <w:uiPriority w:val="99"/>
    <w:rsid w:val="004061AC"/>
    <w:pPr>
      <w:widowControl/>
      <w:spacing w:after="100" w:afterAutospacing="1" w:before="100" w:beforeAutospacing="1"/>
      <w:jc w:val="left"/>
    </w:pPr>
    <w:rPr>
      <w:rFonts w:ascii="宋体" w:cs="宋体" w:hAnsi="宋体"/>
      <w:kern w:val="0"/>
      <w:sz w:val="18"/>
      <w:szCs w:val="18"/>
    </w:rPr>
  </w:style>
  <w:style w:customStyle="1" w:styleId="xl24" w:type="paragraph">
    <w:name w:val="xl24"/>
    <w:basedOn w:val="a"/>
    <w:uiPriority w:val="99"/>
    <w:rsid w:val="004061AC"/>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szCs w:val="24"/>
    </w:rPr>
  </w:style>
  <w:style w:customStyle="1" w:styleId="xl26" w:type="paragraph">
    <w:name w:val="xl2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7" w:type="paragraph">
    <w:name w:val="xl2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9" w:type="paragraph">
    <w:name w:val="xl29"/>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0" w:type="paragraph">
    <w:name w:val="xl30"/>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1" w:type="paragraph">
    <w:name w:val="xl31"/>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4061AC"/>
    <w:rPr>
      <w:kern w:val="0"/>
      <w:sz w:val="18"/>
      <w:szCs w:val="18"/>
    </w:rPr>
  </w:style>
  <w:style w:customStyle="1" w:styleId="Char5" w:type="character">
    <w:name w:val="批注框文本 Char"/>
    <w:link w:val="ae"/>
    <w:uiPriority w:val="99"/>
    <w:semiHidden/>
    <w:locked/>
    <w:rsid w:val="004061AC"/>
    <w:rPr>
      <w:rFonts w:ascii="Times New Roman" w:cs="Times New Roman" w:eastAsia="宋体" w:hAnsi="Times New Roman"/>
      <w:sz w:val="18"/>
      <w:szCs w:val="18"/>
    </w:rPr>
  </w:style>
  <w:style w:styleId="af" w:type="character">
    <w:name w:val="annotation reference"/>
    <w:uiPriority w:val="99"/>
    <w:semiHidden/>
    <w:rsid w:val="004061AC"/>
    <w:rPr>
      <w:rFonts w:cs="Times New Roman"/>
      <w:sz w:val="21"/>
      <w:szCs w:val="21"/>
    </w:rPr>
  </w:style>
  <w:style w:styleId="af0" w:type="paragraph">
    <w:name w:val="annotation text"/>
    <w:basedOn w:val="a"/>
    <w:link w:val="Char6"/>
    <w:uiPriority w:val="99"/>
    <w:semiHidden/>
    <w:rsid w:val="004061AC"/>
    <w:pPr>
      <w:jc w:val="left"/>
    </w:pPr>
    <w:rPr>
      <w:kern w:val="0"/>
    </w:rPr>
  </w:style>
  <w:style w:customStyle="1" w:styleId="Char6" w:type="character">
    <w:name w:val="批注文字 Char"/>
    <w:link w:val="af0"/>
    <w:uiPriority w:val="99"/>
    <w:semiHidden/>
    <w:locked/>
    <w:rsid w:val="004061AC"/>
    <w:rPr>
      <w:rFonts w:ascii="Times New Roman" w:cs="Times New Roman" w:eastAsia="宋体" w:hAnsi="Times New Roman"/>
      <w:sz w:val="21"/>
      <w:szCs w:val="21"/>
    </w:rPr>
  </w:style>
  <w:style w:styleId="af1" w:type="paragraph">
    <w:name w:val="annotation subject"/>
    <w:basedOn w:val="af0"/>
    <w:next w:val="af0"/>
    <w:link w:val="Char7"/>
    <w:uiPriority w:val="99"/>
    <w:semiHidden/>
    <w:rsid w:val="004061AC"/>
    <w:rPr>
      <w:b/>
      <w:bCs/>
    </w:rPr>
  </w:style>
  <w:style w:customStyle="1" w:styleId="Char7" w:type="character">
    <w:name w:val="批注主题 Char"/>
    <w:link w:val="af1"/>
    <w:uiPriority w:val="99"/>
    <w:semiHidden/>
    <w:locked/>
    <w:rsid w:val="004061AC"/>
    <w:rPr>
      <w:rFonts w:ascii="Times New Roman" w:cs="Times New Roman" w:eastAsia="宋体" w:hAnsi="Times New Roman"/>
      <w:b/>
      <w:bCs/>
      <w:sz w:val="21"/>
      <w:szCs w:val="21"/>
    </w:rPr>
  </w:style>
  <w:style w:customStyle="1" w:styleId="Char8" w:type="paragraph">
    <w:name w:val="Char"/>
    <w:basedOn w:val="a"/>
    <w:uiPriority w:val="99"/>
    <w:rsid w:val="004061AC"/>
  </w:style>
  <w:style w:styleId="af2" w:type="paragraph">
    <w:name w:val="Document Map"/>
    <w:basedOn w:val="a"/>
    <w:link w:val="Char9"/>
    <w:uiPriority w:val="99"/>
    <w:semiHidden/>
    <w:rsid w:val="004061AC"/>
    <w:pPr>
      <w:shd w:color="auto" w:fill="000080" w:val="clear"/>
    </w:pPr>
    <w:rPr>
      <w:kern w:val="0"/>
    </w:rPr>
  </w:style>
  <w:style w:customStyle="1" w:styleId="Char9" w:type="character">
    <w:name w:val="文档结构图 Char"/>
    <w:link w:val="af2"/>
    <w:uiPriority w:val="99"/>
    <w:semiHidden/>
    <w:locked/>
    <w:rsid w:val="004061AC"/>
    <w:rPr>
      <w:rFonts w:ascii="Times New Roman" w:cs="Times New Roman" w:eastAsia="宋体" w:hAnsi="Times New Roman"/>
      <w:sz w:val="21"/>
      <w:szCs w:val="21"/>
      <w:shd w:color="auto" w:fill="000080" w:val="clear"/>
    </w:rPr>
  </w:style>
  <w:style w:customStyle="1" w:styleId="af3" w:type="paragraph">
    <w:name w:val="正文 + (符号) 宋体"/>
    <w:aliases w:val="小四,紧缩量  0.2 磅"/>
    <w:basedOn w:val="a"/>
    <w:uiPriority w:val="99"/>
    <w:rsid w:val="004061AC"/>
    <w:pPr>
      <w:autoSpaceDE w:val="0"/>
      <w:autoSpaceDN w:val="0"/>
      <w:adjustRightInd w:val="0"/>
      <w:ind w:firstLine="1229" w:firstLineChars="512" w:right="1409" w:rightChars="671"/>
      <w:jc w:val="distribute"/>
    </w:pPr>
    <w:rPr>
      <w:sz w:val="24"/>
      <w:szCs w:val="24"/>
    </w:rPr>
  </w:style>
  <w:style w:styleId="af4" w:type="paragraph">
    <w:name w:val="footnote text"/>
    <w:basedOn w:val="a"/>
    <w:link w:val="Chara"/>
    <w:uiPriority w:val="99"/>
    <w:rsid w:val="004061AC"/>
    <w:pPr>
      <w:snapToGrid w:val="0"/>
      <w:jc w:val="left"/>
    </w:pPr>
    <w:rPr>
      <w:kern w:val="0"/>
      <w:sz w:val="18"/>
      <w:szCs w:val="18"/>
    </w:rPr>
  </w:style>
  <w:style w:customStyle="1" w:styleId="Chara" w:type="character">
    <w:name w:val="脚注文本 Char"/>
    <w:link w:val="af4"/>
    <w:uiPriority w:val="99"/>
    <w:locked/>
    <w:rsid w:val="004061AC"/>
    <w:rPr>
      <w:rFonts w:ascii="Times New Roman" w:cs="Times New Roman" w:eastAsia="宋体" w:hAnsi="Times New Roman"/>
      <w:sz w:val="18"/>
      <w:szCs w:val="18"/>
    </w:rPr>
  </w:style>
  <w:style w:styleId="af5" w:type="character">
    <w:name w:val="footnote reference"/>
    <w:uiPriority w:val="99"/>
    <w:rsid w:val="004061AC"/>
    <w:rPr>
      <w:rFonts w:cs="Times New Roman"/>
      <w:vertAlign w:val="superscript"/>
    </w:rPr>
  </w:style>
  <w:style w:styleId="af6" w:type="paragraph">
    <w:name w:val="Normal (Web)"/>
    <w:basedOn w:val="a"/>
    <w:uiPriority w:val="99"/>
    <w:rsid w:val="004061AC"/>
    <w:pPr>
      <w:widowControl/>
      <w:spacing w:after="100" w:afterAutospacing="1" w:before="100" w:beforeAutospacing="1"/>
      <w:jc w:val="left"/>
    </w:pPr>
    <w:rPr>
      <w:rFonts w:ascii="宋体" w:cs="宋体" w:hAnsi="宋体"/>
      <w:kern w:val="0"/>
      <w:sz w:val="24"/>
      <w:szCs w:val="24"/>
    </w:rPr>
  </w:style>
  <w:style w:styleId="af7" w:type="table">
    <w:name w:val="Table Grid"/>
    <w:basedOn w:val="a2"/>
    <w:qFormat/>
    <w:rsid w:val="004061AC"/>
    <w:pPr>
      <w:widowControl w:val="0"/>
      <w:jc w:val="both"/>
    </w:pPr>
    <w:rPr>
      <w:rFonts w:ascii="Times New Roman" w:hAnsi="Times New Roman"/>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4061AC"/>
  </w:style>
  <w:style w:customStyle="1" w:styleId="CharCharCharCharCharChar1CharCharChar" w:type="paragraph">
    <w:name w:val="Char Char Char Char Char Char1 Char Char Char"/>
    <w:basedOn w:val="a"/>
    <w:uiPriority w:val="99"/>
    <w:rsid w:val="004061AC"/>
    <w:pPr>
      <w:autoSpaceDE w:val="0"/>
      <w:autoSpaceDN w:val="0"/>
      <w:adjustRightInd w:val="0"/>
      <w:jc w:val="left"/>
      <w:textAlignment w:val="baseline"/>
    </w:pPr>
    <w:rPr>
      <w:rFonts w:ascii="宋体" w:cs="宋体"/>
      <w:kern w:val="0"/>
      <w:sz w:val="34"/>
      <w:szCs w:val="34"/>
    </w:rPr>
  </w:style>
  <w:style w:customStyle="1" w:styleId="CharCharCharCharCharChar1CharCharChar2" w:type="paragraph">
    <w:name w:val="Char Char Char Char Char Char1 Char Char Char2"/>
    <w:basedOn w:val="a"/>
    <w:uiPriority w:val="99"/>
    <w:rsid w:val="004061AC"/>
    <w:pPr>
      <w:autoSpaceDE w:val="0"/>
      <w:autoSpaceDN w:val="0"/>
      <w:adjustRightInd w:val="0"/>
      <w:jc w:val="left"/>
      <w:textAlignment w:val="baseline"/>
    </w:pPr>
    <w:rPr>
      <w:rFonts w:ascii="宋体" w:cs="宋体"/>
      <w:kern w:val="0"/>
      <w:sz w:val="34"/>
      <w:szCs w:val="34"/>
    </w:rPr>
  </w:style>
  <w:style w:styleId="af8" w:type="paragraph">
    <w:name w:val="Title"/>
    <w:basedOn w:val="a"/>
    <w:next w:val="a"/>
    <w:link w:val="Charb"/>
    <w:uiPriority w:val="99"/>
    <w:qFormat/>
    <w:rsid w:val="004061AC"/>
    <w:pPr>
      <w:spacing w:after="60" w:before="240"/>
      <w:jc w:val="center"/>
      <w:outlineLvl w:val="0"/>
    </w:pPr>
    <w:rPr>
      <w:rFonts w:ascii="Cambria" w:hAnsi="Cambria"/>
      <w:b/>
      <w:bCs/>
      <w:kern w:val="0"/>
      <w:sz w:val="32"/>
      <w:szCs w:val="32"/>
    </w:rPr>
  </w:style>
  <w:style w:customStyle="1" w:styleId="Charb" w:type="character">
    <w:name w:val="标题 Char"/>
    <w:link w:val="af8"/>
    <w:uiPriority w:val="99"/>
    <w:locked/>
    <w:rsid w:val="004061AC"/>
    <w:rPr>
      <w:rFonts w:ascii="Cambria" w:cs="Cambria" w:eastAsia="宋体" w:hAnsi="Cambria"/>
      <w:b/>
      <w:bCs/>
      <w:sz w:val="32"/>
      <w:szCs w:val="32"/>
    </w:rPr>
  </w:style>
  <w:style w:customStyle="1" w:styleId="CharCharCharCharCharChar1CharCharChar1" w:type="paragraph">
    <w:name w:val="Char Char Char Char Char Char1 Char Char Char1"/>
    <w:basedOn w:val="a"/>
    <w:uiPriority w:val="99"/>
    <w:rsid w:val="004061AC"/>
    <w:pPr>
      <w:autoSpaceDE w:val="0"/>
      <w:autoSpaceDN w:val="0"/>
      <w:adjustRightInd w:val="0"/>
      <w:jc w:val="left"/>
      <w:textAlignment w:val="baseline"/>
    </w:pPr>
    <w:rPr>
      <w:rFonts w:ascii="宋体" w:cs="宋体"/>
      <w:kern w:val="0"/>
      <w:sz w:val="34"/>
      <w:szCs w:val="34"/>
    </w:rPr>
  </w:style>
  <w:style w:styleId="af9" w:type="paragraph">
    <w:name w:val="No Spacing"/>
    <w:link w:val="Charc"/>
    <w:uiPriority w:val="99"/>
    <w:qFormat/>
    <w:rsid w:val="004061AC"/>
    <w:rPr>
      <w:rFonts w:cs="Calibri"/>
      <w:sz w:val="22"/>
      <w:szCs w:val="22"/>
    </w:rPr>
  </w:style>
  <w:style w:customStyle="1" w:styleId="Charc" w:type="character">
    <w:name w:val="无间隔 Char"/>
    <w:link w:val="af9"/>
    <w:uiPriority w:val="99"/>
    <w:locked/>
    <w:rsid w:val="004061AC"/>
    <w:rPr>
      <w:rFonts w:cs="Calibri"/>
      <w:sz w:val="22"/>
      <w:szCs w:val="22"/>
      <w:lang w:bidi="ar-SA" w:eastAsia="zh-CN" w:val="en-US"/>
    </w:rPr>
  </w:style>
  <w:style w:customStyle="1" w:styleId="t1" w:type="character">
    <w:name w:val="t1"/>
    <w:uiPriority w:val="99"/>
    <w:rsid w:val="004061AC"/>
    <w:rPr>
      <w:rFonts w:cs="Times New Roman"/>
      <w:color w:val="auto"/>
    </w:rPr>
  </w:style>
  <w:style w:styleId="afa" w:type="paragraph">
    <w:name w:val="List Paragraph"/>
    <w:basedOn w:val="a"/>
    <w:uiPriority w:val="99"/>
    <w:qFormat/>
    <w:rsid w:val="00154BE1"/>
    <w:pPr>
      <w:ind w:firstLine="420" w:firstLineChars="200"/>
    </w:pPr>
  </w:style>
  <w:style w:customStyle="1" w:styleId="Default" w:type="paragraph">
    <w:name w:val="Default"/>
    <w:uiPriority w:val="99"/>
    <w:rsid w:val="00275745"/>
    <w:pPr>
      <w:widowControl w:val="0"/>
      <w:autoSpaceDE w:val="0"/>
      <w:autoSpaceDN w:val="0"/>
      <w:adjustRightInd w:val="0"/>
    </w:pPr>
    <w:rPr>
      <w:rFonts w:ascii="FangSong" w:cs="FangSong" w:hAnsi="FangSong"/>
      <w:color w:val="000000"/>
      <w:sz w:val="24"/>
      <w:szCs w:val="24"/>
    </w:rPr>
  </w:style>
  <w:style w:styleId="afb" w:type="character">
    <w:name w:val="Strong"/>
    <w:uiPriority w:val="22"/>
    <w:qFormat/>
    <w:locked/>
    <w:rsid w:val="00D8746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98932">
      <w:bodyDiv w:val="1"/>
      <w:marLeft w:val="0"/>
      <w:marRight w:val="0"/>
      <w:marTop w:val="0"/>
      <w:marBottom w:val="0"/>
      <w:divBdr>
        <w:top w:val="none" w:sz="0" w:space="0" w:color="auto"/>
        <w:left w:val="none" w:sz="0" w:space="0" w:color="auto"/>
        <w:bottom w:val="none" w:sz="0" w:space="0" w:color="auto"/>
        <w:right w:val="none" w:sz="0" w:space="0" w:color="auto"/>
      </w:divBdr>
    </w:div>
    <w:div w:id="105783393">
      <w:bodyDiv w:val="1"/>
      <w:marLeft w:val="0"/>
      <w:marRight w:val="0"/>
      <w:marTop w:val="0"/>
      <w:marBottom w:val="0"/>
      <w:divBdr>
        <w:top w:val="none" w:sz="0" w:space="0" w:color="auto"/>
        <w:left w:val="none" w:sz="0" w:space="0" w:color="auto"/>
        <w:bottom w:val="none" w:sz="0" w:space="0" w:color="auto"/>
        <w:right w:val="none" w:sz="0" w:space="0" w:color="auto"/>
      </w:divBdr>
    </w:div>
    <w:div w:id="1494878767">
      <w:marLeft w:val="0"/>
      <w:marRight w:val="0"/>
      <w:marTop w:val="0"/>
      <w:marBottom w:val="0"/>
      <w:divBdr>
        <w:top w:val="none" w:sz="0" w:space="0" w:color="auto"/>
        <w:left w:val="none" w:sz="0" w:space="0" w:color="auto"/>
        <w:bottom w:val="none" w:sz="0" w:space="0" w:color="auto"/>
        <w:right w:val="none" w:sz="0" w:space="0" w:color="auto"/>
      </w:divBdr>
    </w:div>
    <w:div w:id="1494878768">
      <w:marLeft w:val="0"/>
      <w:marRight w:val="0"/>
      <w:marTop w:val="0"/>
      <w:marBottom w:val="0"/>
      <w:divBdr>
        <w:top w:val="none" w:sz="0" w:space="0" w:color="auto"/>
        <w:left w:val="none" w:sz="0" w:space="0" w:color="auto"/>
        <w:bottom w:val="none" w:sz="0" w:space="0" w:color="auto"/>
        <w:right w:val="none" w:sz="0" w:space="0" w:color="auto"/>
      </w:divBdr>
    </w:div>
    <w:div w:id="1830948889">
      <w:bodyDiv w:val="1"/>
      <w:marLeft w:val="0"/>
      <w:marRight w:val="0"/>
      <w:marTop w:val="0"/>
      <w:marBottom w:val="0"/>
      <w:divBdr>
        <w:top w:val="none" w:sz="0" w:space="0" w:color="auto"/>
        <w:left w:val="none" w:sz="0" w:space="0" w:color="auto"/>
        <w:bottom w:val="none" w:sz="0" w:space="0" w:color="auto"/>
        <w:right w:val="none" w:sz="0" w:space="0" w:color="auto"/>
      </w:divBdr>
    </w:div>
    <w:div w:id="201792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media/image1.jpeg" Type="http://schemas.openxmlformats.org/officeDocument/2006/relationships/image"/>
<Relationship Id="rId12" Target="footer2.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tylesWithEffects.xml" Type="http://schemas.microsoft.com/office/2007/relationships/stylesWithEffect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385AF-767C-48D7-B7B5-A5BAB9648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1799</TotalTime>
  <Pages>27</Pages>
  <Words>3847</Words>
  <Characters>21932</Characters>
  <Application>Microsoft Office Word</Application>
  <DocSecurity>0</DocSecurity>
  <Lines>182</Lines>
  <Paragraphs>51</Paragraphs>
  <ScaleCrop>false</ScaleCrop>
  <Company/>
  <LinksUpToDate>false</LinksUpToDate>
  <CharactersWithSpaces>25728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2012-10-16T06:07:00Z</dcterms:created>
  <cp:lastModifiedBy>sirong han</cp:lastModifiedBy>
  <dcterms:modified xsi:type="dcterms:W3CDTF">2020-07-09T03:00:00Z</dcterms:modified>
  <cp:revision>343</cp:revision>
</cp:coreProperties>
</file>