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易方达上证50交易型开放式指数证券投资基金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招商银行股份有限公司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易方达上证50ETF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SZ50ETF、上证50ETF易方达</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510100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510100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2019年9月6日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229,234,318.00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为更好地实现投资目标，本基金可投资股指期货、股票期权和其他经中国证监会允许的金融衍生产品。本基金将根据风险管理的原则，主要选择流动性好、交易活跃的股指期货合约进行交易，以对冲特殊情况下的流动风险；利用杠杆作用以降低股票仓位调整的交易成本，提高投资效率，从而更好地跟踪标的指数，实现投资目标。在正常市场情况下，本基金力争将日均跟踪偏离度的绝对值控制在0.2%以内，年化跟踪误差控制在2%以内。</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上证50指数收益率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招商银行股份有限公司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6,814,199.92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32,725,197.29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0.1220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246,014,925.72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1.0732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12.71%</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9.40%</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3.31%</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1.03%</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-3.95%</w:t>
            </w:r>
          </w:p>
        </w:tc>
        <w:tc>
          <w:tcPr>
            <w:vAlign w:val="center"/>
          </w:tcPr>
          <w:p>
            <w:pPr>
              <w:jc w:val="center"/>
            </w:pPr>
            <w:r>
              <w:rPr>
                <w:color w:val="000000"/>
                <w:kern w:val="0"/>
                <w:sz w:val="24"/>
                <w:szCs w:val="24"/>
              </w:rPr>
              <w:t>1.41%</w:t>
            </w:r>
          </w:p>
        </w:tc>
        <w:tc>
          <w:tcPr>
            <w:vAlign w:val="center"/>
          </w:tcPr>
          <w:p>
            <w:pPr>
              <w:jc w:val="center"/>
            </w:pPr>
            <w:r>
              <w:rPr>
                <w:color w:val="000000"/>
                <w:kern w:val="0"/>
                <w:sz w:val="24"/>
                <w:szCs w:val="24"/>
              </w:rPr>
              <w:t>4.98%</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7.32%</w:t>
            </w:r>
          </w:p>
        </w:tc>
        <w:tc>
          <w:tcPr>
            <w:vAlign w:val="center"/>
          </w:tcPr>
          <w:p>
            <w:pPr>
              <w:jc w:val="center"/>
            </w:pPr>
            <w:r>
              <w:rPr>
                <w:color w:val="000000"/>
                <w:kern w:val="0"/>
                <w:sz w:val="24"/>
                <w:szCs w:val="24"/>
              </w:rPr>
              <w:t>1.18%</w:t>
            </w:r>
          </w:p>
        </w:tc>
        <w:tc>
          <w:tcPr>
            <w:vAlign w:val="center"/>
          </w:tcPr>
          <w:p>
            <w:pPr>
              <w:jc w:val="center"/>
            </w:pPr>
            <w:r>
              <w:rPr>
                <w:color w:val="000000"/>
                <w:kern w:val="0"/>
                <w:sz w:val="24"/>
                <w:szCs w:val="24"/>
              </w:rPr>
              <w:t>-0.47%</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7.79%</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易方达上证50交易型开放式指数证券投资基金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2019年9月6日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注：1.本基金合同于2019年9月6日生效，截至报告期末本基金合同生效未满一年。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2.按基金合同和招募说明书的约定，本基金的建仓期为六个月，建仓期结束时各项资产配置比例符合基金合同(第十四部分二、投资范围，三、投资策略和四、投资限制)的有关约定。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3.自基金合同生效至报告期末，基金份额净值增长率为7.32%，同期业绩比较基准收益率为-0.47%。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联接基金的基金经理、易方达中证500交易型开放式指数证券投资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联接基金的基金经理、易方达黄金交易型开放式证券投资基金联接基金的基金经理、易方达黄金交易型开放式证券投资基金的基金经理、易方达恒生中国企业交易型开放式指数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发起式联接基金的基金经理、指数投资部副总经理</w:t>
            </w:r>
          </w:p>
        </w:tc>
        <w:tc>
          <w:tcPr>
            <w:vAlign w:val="center"/>
          </w:tcPr>
          <w:p>
            <w:pPr>
              <w:jc w:val="center"/>
            </w:pPr>
            <w:r>
              <w:rPr>
                <w:color w:val="000000"/>
                <w:sz w:val="24"/>
              </w:rPr>
              <w:t>2019-09-06</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深证100交易型开放式指数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深证100交易型开放式指数证券投资基金联接基金的基金经理、易方达创业板交易型开放式指数证券投资基金联接基金的基金经理、易方达创业板交易型开放式指数证券投资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2019-09-06</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截至报告期末，本基金份额净值为1.0732元，本报告期份额净值增长率为12.71%，同期业绩比较基准收益率为9.40%，日跟踪偏离度的均值为0.06%，年化跟踪误差为1.304%，各项指标均在合同规定的目标控制范围之内。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234,760,321.26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95.34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234,760,321.26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95.34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10,225,025.25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4.15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1,238,388.55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0.50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246,223,735.06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8,497,708.00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3.45</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84,898,921.61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34.51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5,479,414.99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3,513,304.00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1.43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5,795,013.81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2.36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112,304,958.88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45.65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4,221,168.00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6,001,162.83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4,032,084.00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234,756,502.44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95.42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432,350</w:t>
            </w:r>
          </w:p>
        </w:tc>
        <w:tc>
          <w:tcPr>
            <w:vAlign w:val="center"/>
          </w:tcPr>
          <w:p>
            <w:pPr>
              <w:jc w:val="right"/>
            </w:pPr>
            <w:r>
              <w:rPr>
                <w:color w:val="000000"/>
                <w:kern w:val="0"/>
                <w:sz w:val="24"/>
                <w:szCs w:val="24"/>
              </w:rPr>
              <w:t>30,869,790.00</w:t>
            </w:r>
          </w:p>
        </w:tc>
        <w:tc>
          <w:tcPr>
            <w:vAlign w:val="center"/>
          </w:tcPr>
          <w:p>
            <w:pPr>
              <w:jc w:val="right"/>
            </w:pPr>
            <w:r>
              <w:rPr>
                <w:color w:val="000000"/>
                <w:kern w:val="0"/>
                <w:sz w:val="24"/>
                <w:szCs w:val="24"/>
              </w:rPr>
              <w:t>12.55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20,249</w:t>
            </w:r>
          </w:p>
        </w:tc>
        <w:tc>
          <w:tcPr>
            <w:vAlign w:val="center"/>
          </w:tcPr>
          <w:p>
            <w:pPr>
              <w:jc w:val="right"/>
            </w:pPr>
            <w:r>
              <w:rPr>
                <w:color w:val="000000"/>
                <w:kern w:val="0"/>
                <w:sz w:val="24"/>
                <w:szCs w:val="24"/>
              </w:rPr>
              <w:t>29,621,857.12</w:t>
            </w:r>
          </w:p>
        </w:tc>
        <w:tc>
          <w:tcPr>
            <w:vAlign w:val="center"/>
          </w:tcPr>
          <w:p>
            <w:pPr>
              <w:jc w:val="right"/>
            </w:pPr>
            <w:r>
              <w:rPr>
                <w:color w:val="000000"/>
                <w:kern w:val="0"/>
                <w:sz w:val="24"/>
                <w:szCs w:val="24"/>
              </w:rPr>
              <w:t>12.04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600036</w:t>
            </w:r>
          </w:p>
        </w:tc>
        <w:tc>
          <w:tcPr>
            <w:vAlign w:val="center"/>
          </w:tcPr>
          <w:p>
            <w:pPr>
              <w:jc w:val="center"/>
            </w:pPr>
            <w:r>
              <w:rPr>
                <w:color w:val="000000"/>
                <w:kern w:val="0"/>
                <w:sz w:val="24"/>
                <w:szCs w:val="24"/>
              </w:rPr>
              <w:t>招商银行</w:t>
            </w:r>
          </w:p>
        </w:tc>
        <w:tc>
          <w:tcPr>
            <w:vAlign w:val="center"/>
          </w:tcPr>
          <w:p>
            <w:pPr>
              <w:jc w:val="right"/>
            </w:pPr>
            <w:r>
              <w:rPr>
                <w:color w:val="000000"/>
                <w:kern w:val="0"/>
                <w:sz w:val="24"/>
                <w:szCs w:val="24"/>
              </w:rPr>
              <w:t>413,479</w:t>
            </w:r>
          </w:p>
        </w:tc>
        <w:tc>
          <w:tcPr>
            <w:vAlign w:val="center"/>
          </w:tcPr>
          <w:p>
            <w:pPr>
              <w:jc w:val="right"/>
            </w:pPr>
            <w:r>
              <w:rPr>
                <w:color w:val="000000"/>
                <w:kern w:val="0"/>
                <w:sz w:val="24"/>
                <w:szCs w:val="24"/>
              </w:rPr>
              <w:t>13,942,511.88</w:t>
            </w:r>
          </w:p>
        </w:tc>
        <w:tc>
          <w:tcPr>
            <w:vAlign w:val="center"/>
          </w:tcPr>
          <w:p>
            <w:pPr>
              <w:jc w:val="right"/>
            </w:pPr>
            <w:r>
              <w:rPr>
                <w:color w:val="000000"/>
                <w:kern w:val="0"/>
                <w:sz w:val="24"/>
                <w:szCs w:val="24"/>
              </w:rPr>
              <w:t>5.67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148,434</w:t>
            </w:r>
          </w:p>
        </w:tc>
        <w:tc>
          <w:tcPr>
            <w:vAlign w:val="center"/>
          </w:tcPr>
          <w:p>
            <w:pPr>
              <w:jc w:val="right"/>
            </w:pPr>
            <w:r>
              <w:rPr>
                <w:color w:val="000000"/>
                <w:kern w:val="0"/>
                <w:sz w:val="24"/>
                <w:szCs w:val="24"/>
              </w:rPr>
              <w:t>13,700,458.20</w:t>
            </w:r>
          </w:p>
        </w:tc>
        <w:tc>
          <w:tcPr>
            <w:vAlign w:val="center"/>
          </w:tcPr>
          <w:p>
            <w:pPr>
              <w:jc w:val="right"/>
            </w:pPr>
            <w:r>
              <w:rPr>
                <w:color w:val="000000"/>
                <w:kern w:val="0"/>
                <w:sz w:val="24"/>
                <w:szCs w:val="24"/>
              </w:rPr>
              <w:t>5.57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600030</w:t>
            </w:r>
          </w:p>
        </w:tc>
        <w:tc>
          <w:tcPr>
            <w:vAlign w:val="center"/>
          </w:tcPr>
          <w:p>
            <w:pPr>
              <w:jc w:val="center"/>
            </w:pPr>
            <w:r>
              <w:rPr>
                <w:color w:val="000000"/>
                <w:kern w:val="0"/>
                <w:sz w:val="24"/>
                <w:szCs w:val="24"/>
              </w:rPr>
              <w:t>中信证券</w:t>
            </w:r>
          </w:p>
        </w:tc>
        <w:tc>
          <w:tcPr>
            <w:vAlign w:val="center"/>
          </w:tcPr>
          <w:p>
            <w:pPr>
              <w:jc w:val="right"/>
            </w:pPr>
            <w:r>
              <w:rPr>
                <w:color w:val="000000"/>
                <w:kern w:val="0"/>
                <w:sz w:val="24"/>
                <w:szCs w:val="24"/>
              </w:rPr>
              <w:t>340,200</w:t>
            </w:r>
          </w:p>
        </w:tc>
        <w:tc>
          <w:tcPr>
            <w:vAlign w:val="center"/>
          </w:tcPr>
          <w:p>
            <w:pPr>
              <w:jc w:val="right"/>
            </w:pPr>
            <w:r>
              <w:rPr>
                <w:color w:val="000000"/>
                <w:kern w:val="0"/>
                <w:sz w:val="24"/>
                <w:szCs w:val="24"/>
              </w:rPr>
              <w:t>8,202,222.00</w:t>
            </w:r>
          </w:p>
        </w:tc>
        <w:tc>
          <w:tcPr>
            <w:vAlign w:val="center"/>
          </w:tcPr>
          <w:p>
            <w:pPr>
              <w:jc w:val="right"/>
            </w:pPr>
            <w:r>
              <w:rPr>
                <w:color w:val="000000"/>
                <w:kern w:val="0"/>
                <w:sz w:val="24"/>
                <w:szCs w:val="24"/>
              </w:rPr>
              <w:t>3.33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601166</w:t>
            </w:r>
          </w:p>
        </w:tc>
        <w:tc>
          <w:tcPr>
            <w:vAlign w:val="center"/>
          </w:tcPr>
          <w:p>
            <w:pPr>
              <w:jc w:val="center"/>
            </w:pPr>
            <w:r>
              <w:rPr>
                <w:color w:val="000000"/>
                <w:kern w:val="0"/>
                <w:sz w:val="24"/>
                <w:szCs w:val="24"/>
              </w:rPr>
              <w:t>兴业银行</w:t>
            </w:r>
          </w:p>
        </w:tc>
        <w:tc>
          <w:tcPr>
            <w:vAlign w:val="center"/>
          </w:tcPr>
          <w:p>
            <w:pPr>
              <w:jc w:val="right"/>
            </w:pPr>
            <w:r>
              <w:rPr>
                <w:color w:val="000000"/>
                <w:kern w:val="0"/>
                <w:sz w:val="24"/>
                <w:szCs w:val="24"/>
              </w:rPr>
              <w:t>497,400</w:t>
            </w:r>
          </w:p>
        </w:tc>
        <w:tc>
          <w:tcPr>
            <w:vAlign w:val="center"/>
          </w:tcPr>
          <w:p>
            <w:pPr>
              <w:jc w:val="right"/>
            </w:pPr>
            <w:r>
              <w:rPr>
                <w:color w:val="000000"/>
                <w:kern w:val="0"/>
                <w:sz w:val="24"/>
                <w:szCs w:val="24"/>
              </w:rPr>
              <w:t>7,848,972.00</w:t>
            </w:r>
          </w:p>
        </w:tc>
        <w:tc>
          <w:tcPr>
            <w:vAlign w:val="center"/>
          </w:tcPr>
          <w:p>
            <w:pPr>
              <w:jc w:val="right"/>
            </w:pPr>
            <w:r>
              <w:rPr>
                <w:color w:val="000000"/>
                <w:kern w:val="0"/>
                <w:sz w:val="24"/>
                <w:szCs w:val="24"/>
              </w:rPr>
              <w:t>3.19</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600887</w:t>
            </w:r>
          </w:p>
        </w:tc>
        <w:tc>
          <w:tcPr>
            <w:vAlign w:val="center"/>
          </w:tcPr>
          <w:p>
            <w:pPr>
              <w:jc w:val="center"/>
            </w:pPr>
            <w:r>
              <w:rPr>
                <w:color w:val="000000"/>
                <w:kern w:val="0"/>
                <w:sz w:val="24"/>
                <w:szCs w:val="24"/>
              </w:rPr>
              <w:t>伊利股份</w:t>
            </w:r>
          </w:p>
        </w:tc>
        <w:tc>
          <w:tcPr>
            <w:vAlign w:val="center"/>
          </w:tcPr>
          <w:p>
            <w:pPr>
              <w:jc w:val="right"/>
            </w:pPr>
            <w:r>
              <w:rPr>
                <w:color w:val="000000"/>
                <w:kern w:val="0"/>
                <w:sz w:val="24"/>
                <w:szCs w:val="24"/>
              </w:rPr>
              <w:t>242,000</w:t>
            </w:r>
          </w:p>
        </w:tc>
        <w:tc>
          <w:tcPr>
            <w:vAlign w:val="center"/>
          </w:tcPr>
          <w:p>
            <w:pPr>
              <w:jc w:val="right"/>
            </w:pPr>
            <w:r>
              <w:rPr>
                <w:color w:val="000000"/>
                <w:kern w:val="0"/>
                <w:sz w:val="24"/>
                <w:szCs w:val="24"/>
              </w:rPr>
              <w:t>7,533,460.00</w:t>
            </w:r>
          </w:p>
        </w:tc>
        <w:tc>
          <w:tcPr>
            <w:vAlign w:val="center"/>
          </w:tcPr>
          <w:p>
            <w:pPr>
              <w:jc w:val="right"/>
            </w:pPr>
            <w:r>
              <w:rPr>
                <w:color w:val="000000"/>
                <w:kern w:val="0"/>
                <w:sz w:val="24"/>
                <w:szCs w:val="24"/>
              </w:rPr>
              <w:t>3.06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601398</w:t>
            </w:r>
          </w:p>
        </w:tc>
        <w:tc>
          <w:tcPr>
            <w:vAlign w:val="center"/>
          </w:tcPr>
          <w:p>
            <w:pPr>
              <w:jc w:val="center"/>
            </w:pPr>
            <w:r>
              <w:rPr>
                <w:color w:val="000000"/>
                <w:kern w:val="0"/>
                <w:sz w:val="24"/>
                <w:szCs w:val="24"/>
              </w:rPr>
              <w:t>工商银行</w:t>
            </w:r>
          </w:p>
        </w:tc>
        <w:tc>
          <w:tcPr>
            <w:vAlign w:val="center"/>
          </w:tcPr>
          <w:p>
            <w:pPr>
              <w:jc w:val="right"/>
            </w:pPr>
            <w:r>
              <w:rPr>
                <w:color w:val="000000"/>
                <w:kern w:val="0"/>
                <w:sz w:val="24"/>
                <w:szCs w:val="24"/>
              </w:rPr>
              <w:t>1,398,900</w:t>
            </w:r>
          </w:p>
        </w:tc>
        <w:tc>
          <w:tcPr>
            <w:vAlign w:val="center"/>
          </w:tcPr>
          <w:p>
            <w:pPr>
              <w:jc w:val="right"/>
            </w:pPr>
            <w:r>
              <w:rPr>
                <w:color w:val="000000"/>
                <w:kern w:val="0"/>
                <w:sz w:val="24"/>
                <w:szCs w:val="24"/>
              </w:rPr>
              <w:t>6,966,522.00</w:t>
            </w:r>
          </w:p>
        </w:tc>
        <w:tc>
          <w:tcPr>
            <w:vAlign w:val="center"/>
          </w:tcPr>
          <w:p>
            <w:pPr>
              <w:jc w:val="right"/>
            </w:pPr>
            <w:r>
              <w:rPr>
                <w:color w:val="000000"/>
                <w:kern w:val="0"/>
                <w:sz w:val="24"/>
                <w:szCs w:val="24"/>
              </w:rPr>
              <w:t>2.83</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601888</w:t>
            </w:r>
          </w:p>
        </w:tc>
        <w:tc>
          <w:tcPr>
            <w:vAlign w:val="center"/>
          </w:tcPr>
          <w:p>
            <w:pPr>
              <w:jc w:val="center"/>
            </w:pPr>
            <w:r>
              <w:rPr>
                <w:color w:val="000000"/>
                <w:kern w:val="0"/>
                <w:sz w:val="24"/>
                <w:szCs w:val="24"/>
              </w:rPr>
              <w:t>中国中免</w:t>
            </w:r>
          </w:p>
        </w:tc>
        <w:tc>
          <w:tcPr>
            <w:vAlign w:val="center"/>
          </w:tcPr>
          <w:p>
            <w:pPr>
              <w:jc w:val="right"/>
            </w:pPr>
            <w:r>
              <w:rPr>
                <w:color w:val="000000"/>
                <w:kern w:val="0"/>
                <w:sz w:val="24"/>
                <w:szCs w:val="24"/>
              </w:rPr>
              <w:t>38,961</w:t>
            </w:r>
          </w:p>
        </w:tc>
        <w:tc>
          <w:tcPr>
            <w:vAlign w:val="center"/>
          </w:tcPr>
          <w:p>
            <w:pPr>
              <w:jc w:val="right"/>
            </w:pPr>
            <w:r>
              <w:rPr>
                <w:color w:val="000000"/>
                <w:kern w:val="0"/>
                <w:sz w:val="24"/>
                <w:szCs w:val="24"/>
              </w:rPr>
              <w:t>6,001,162.83</w:t>
            </w:r>
          </w:p>
        </w:tc>
        <w:tc>
          <w:tcPr>
            <w:vAlign w:val="center"/>
          </w:tcPr>
          <w:p>
            <w:pPr>
              <w:jc w:val="right"/>
            </w:pPr>
            <w:r>
              <w:rPr>
                <w:color w:val="000000"/>
                <w:kern w:val="0"/>
                <w:sz w:val="24"/>
                <w:szCs w:val="24"/>
              </w:rPr>
              <w:t>2.44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601328</w:t>
            </w:r>
          </w:p>
        </w:tc>
        <w:tc>
          <w:tcPr>
            <w:vAlign w:val="center"/>
          </w:tcPr>
          <w:p>
            <w:pPr>
              <w:jc w:val="center"/>
            </w:pPr>
            <w:r>
              <w:rPr>
                <w:color w:val="000000"/>
                <w:kern w:val="0"/>
                <w:sz w:val="24"/>
                <w:szCs w:val="24"/>
              </w:rPr>
              <w:t>交通银行</w:t>
            </w:r>
          </w:p>
        </w:tc>
        <w:tc>
          <w:tcPr>
            <w:vAlign w:val="center"/>
          </w:tcPr>
          <w:p>
            <w:pPr>
              <w:jc w:val="right"/>
            </w:pPr>
            <w:r>
              <w:rPr>
                <w:color w:val="000000"/>
                <w:kern w:val="0"/>
                <w:sz w:val="24"/>
                <w:szCs w:val="24"/>
              </w:rPr>
              <w:t>1,096,600</w:t>
            </w:r>
          </w:p>
        </w:tc>
        <w:tc>
          <w:tcPr>
            <w:vAlign w:val="center"/>
          </w:tcPr>
          <w:p>
            <w:pPr>
              <w:jc w:val="right"/>
            </w:pPr>
            <w:r>
              <w:rPr>
                <w:color w:val="000000"/>
                <w:kern w:val="0"/>
                <w:sz w:val="24"/>
                <w:szCs w:val="24"/>
              </w:rPr>
              <w:t>5,625,558.00</w:t>
            </w:r>
          </w:p>
        </w:tc>
        <w:tc>
          <w:tcPr>
            <w:vAlign w:val="center"/>
          </w:tcPr>
          <w:p>
            <w:pPr>
              <w:jc w:val="right"/>
            </w:pPr>
            <w:r>
              <w:rPr>
                <w:color w:val="000000"/>
                <w:kern w:val="0"/>
                <w:sz w:val="24"/>
                <w:szCs w:val="24"/>
              </w:rPr>
              <w:t>2.29</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750D48">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5.9.1 </w:t>
      </w:r>
      <w:r w:rsidRPr="001B0A62">
        <w:rPr>
          <w:rFonts w:ascii="宋体" w:hAnsi="宋体" w:hint="eastAsia"/>
          <w:b/>
          <w:bCs/>
          <w:color w:val="000000"/>
          <w:kern w:val="0"/>
          <w:sz w:val="24"/>
          <w:szCs w:val="24"/>
        </w:rPr>
        <w:t>报告期末本基金投资的股指期货持仓和损益明</w:t>
      </w:r>
      <w:r w:rsidRPr="001B0A62">
        <w:rPr>
          <w:rFonts w:ascii="宋体" w:hAnsi="宋体" w:hint="eastAsia"/>
          <w:b/>
          <w:bCs/>
          <w:color w:val="000000"/>
          <w:kern w:val="0"/>
          <w:sz w:val="24"/>
          <w:szCs w:val="24"/>
        </w:rPr>
        <w:lastRenderedPageBreak/>
        <w:t>细</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tbl>
      <w:tblPr>
        <w:tblW w:type="dxa" w:w="8843"/>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133"/>
        <w:gridCol w:w="1302"/>
        <w:gridCol w:w="993"/>
        <w:gridCol w:w="1700"/>
        <w:gridCol w:w="1641"/>
        <w:gridCol w:w="2074"/>
      </w:tblGrid>
      <w:tr w:rsidR="00277FAE" w:rsidTr="003B5535">
        <w:trPr>
          <w:trHeight w:val="105"/>
          <w:jc w:val="center"/>
        </w:trPr>
        <w:tc>
          <w:tcPr>
            <w:tcW w:type="dxa" w:w="1134"/>
            <w:hideMark/>
          </w:tcPr>
          <w:p w:rsidR="00277FAE" w:rsidRDefault="00277FAE">
            <w:pPr>
              <w:pStyle w:val="Default"/>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rPr>
                <w:rFonts w:ascii="Times New Roman" w:cs="Times New Roman" w:eastAsiaTheme="minorEastAsia" w:hAnsi="Times New Roman"/>
                <w:b/>
              </w:rPr>
              <w:t/>
            </w:r>
            <w:proofErr w:type="spellStart"/>
            <w:r>
              <w:rPr>
                <w:rFonts w:ascii="Times New Roman" w:cs="Times New Roman" w:eastAsiaTheme="minorEastAsia" w:hAnsi="Times New Roman"/>
                <w:b/>
              </w:rPr>
              <w:t/>
            </w:r>
            <w:proofErr w:type="spellEnd"/>
            <w:r>
              <w:rPr>
                <w:rFonts w:ascii="Times New Roman" w:cs="Times New Roman" w:eastAsiaTheme="minorEastAsia" w:hAnsi="Times New Roman"/>
                <w:b/>
              </w:rPr>
              <w:t/>
            </w:r>
          </w:p>
        </w:tc>
        <w:tc>
          <w:tcPr>
            <w:tcW w:type="dxa" w:w="1303"/>
            <w:hideMark/>
          </w:tcPr>
          <w:p w:rsidR="00277FAE" w:rsidRDefault="00277FAE">
            <w:pPr>
              <w:pStyle w:val="Default"/>
              <w:rPr>
                <w:rFonts w:ascii="Times New Roman" w:cs="Times New Roman" w:hAnsi="Times New Roman"/>
              </w:rPr>
            </w:pPr>
            <w:r>
              <w:rPr>
                <w:rFonts w:ascii="Times New Roman" w:cs="Times New Roman" w:hAnsi="Times New Roman" w:hint="eastAsia"/>
              </w:rPr>
              <w:t>名称</w:t>
            </w:r>
          </w:p>
        </w:tc>
        <w:tc>
          <w:tcPr>
            <w:tcW w:type="dxa" w:w="993"/>
            <w:hideMark/>
          </w:tcPr>
          <w:p w:rsidR="00277FAE" w:rsidRDefault="00277FAE">
            <w:pPr>
              <w:pStyle w:val="Default"/>
              <w:rPr>
                <w:rFonts w:ascii="Times New Roman" w:cs="Times New Roman" w:hAnsi="Times New Roman"/>
              </w:rPr>
            </w:pPr>
            <w:r>
              <w:rPr>
                <w:rFonts w:ascii="Times New Roman" w:cs="Times New Roman" w:hAnsi="Times New Roman" w:hint="eastAsia"/>
              </w:rPr>
              <w:t>持仓量</w:t>
            </w:r>
          </w:p>
        </w:tc>
        <w:tc>
          <w:tcPr>
            <w:tcW w:type="dxa" w:w="1700"/>
            <w:hideMark/>
          </w:tcPr>
          <w:p w:rsidR="00277FAE" w:rsidRDefault="00277FAE">
            <w:pPr>
              <w:pStyle w:val="Default"/>
              <w:rPr>
                <w:rFonts w:ascii="Times New Roman" w:cs="Times New Roman" w:hAnsi="Times New Roman"/>
              </w:rPr>
            </w:pPr>
            <w:r>
              <w:rPr>
                <w:rFonts w:ascii="Times New Roman" w:cs="Times New Roman" w:hAnsi="Times New Roman" w:hint="eastAsia"/>
              </w:rPr>
              <w:t>合约市值（元）</w:t>
            </w:r>
          </w:p>
        </w:tc>
        <w:tc>
          <w:tcPr>
            <w:tcW w:type="dxa" w:w="1641"/>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公允价值变动（元）</w:t>
            </w:r>
          </w:p>
        </w:tc>
        <w:tc>
          <w:tcPr>
            <w:tcW w:type="dxa" w:w="2074"/>
            <w:hideMark/>
          </w:tcPr>
          <w:p w:rsidR="00277FAE" w:rsidRDefault="00277FAE">
            <w:pPr>
              <w:pStyle w:val="Default"/>
              <w:jc w:val="center"/>
              <w:rPr>
                <w:rFonts w:ascii="Times New Roman" w:cs="Times New Roman" w:hAnsi="Times New Roman"/>
                <w:color w:val="auto"/>
              </w:rPr>
            </w:pPr>
            <w:r>
              <w:rPr>
                <w:rFonts w:ascii="Times New Roman" w:cs="Times New Roman" w:hAnsi="Times New Roman" w:hint="eastAsia"/>
                <w:color w:val="auto"/>
              </w:rPr>
              <w:t>风险说明</w:t>
            </w:r>
          </w:p>
        </w:tc>
      </w:tr>
      <w:tr>
        <w:tc>
          <w:tcPr>
            <w:vAlign w:val="center"/>
          </w:tcPr>
          <w:p>
            <w:pPr>
              <w:jc w:val="center"/>
            </w:pPr>
            <w:r>
              <w:rPr>
                <w:rFonts w:ascii="Times New Roman" w:cs="Times New Roman" w:hAnsi="Times New Roman"/>
              </w:rPr>
              <w:t>IH2007</w:t>
            </w:r>
          </w:p>
        </w:tc>
        <w:tc>
          <w:tcPr>
            <w:vAlign w:val="center"/>
          </w:tcPr>
          <w:p>
            <w:pPr>
              <w:jc w:val="left"/>
            </w:pPr>
            <w:r>
              <w:rPr>
                <w:rFonts w:ascii="Times New Roman" w:cs="Times New Roman" w:hAnsi="Times New Roman"/>
              </w:rPr>
              <w:t>IH2007</w:t>
            </w:r>
          </w:p>
        </w:tc>
        <w:tc>
          <w:tcPr>
            <w:vAlign w:val="center"/>
          </w:tcPr>
          <w:p>
            <w:pPr>
              <w:jc w:val="right"/>
            </w:pPr>
            <w:r>
              <w:rPr>
                <w:rFonts w:ascii="Times New Roman" w:cs="Times New Roman" w:hAnsi="Times New Roman"/>
              </w:rPr>
              <w:t>4</w:t>
            </w:r>
          </w:p>
        </w:tc>
        <w:tc>
          <w:tcPr>
            <w:vAlign w:val="center"/>
          </w:tcPr>
          <w:p>
            <w:pPr>
              <w:jc w:val="right"/>
            </w:pPr>
            <w:r>
              <w:rPr>
                <w:rFonts w:ascii="Times New Roman" w:cs="Times New Roman" w:hAnsi="Times New Roman"/>
              </w:rPr>
              <w:t>3,486,720.00</w:t>
            </w:r>
          </w:p>
        </w:tc>
        <w:tc>
          <w:tcPr>
            <w:vAlign w:val="center"/>
          </w:tcPr>
          <w:p>
            <w:pPr>
              <w:jc w:val="right"/>
            </w:pPr>
            <w:r>
              <w:rPr>
                <w:rFonts w:ascii="Times New Roman" w:cs="Times New Roman" w:hAnsi="Times New Roman"/>
              </w:rPr>
              <w:t>62,040.00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IH2008</w:t>
            </w:r>
          </w:p>
        </w:tc>
        <w:tc>
          <w:tcPr>
            <w:vAlign w:val="center"/>
          </w:tcPr>
          <w:p>
            <w:pPr>
              <w:jc w:val="left"/>
            </w:pPr>
            <w:r>
              <w:rPr>
                <w:rFonts w:ascii="Times New Roman" w:cs="Times New Roman" w:hAnsi="Times New Roman"/>
              </w:rPr>
              <w:t>IH2008</w:t>
            </w:r>
          </w:p>
        </w:tc>
        <w:tc>
          <w:tcPr>
            <w:vAlign w:val="center"/>
          </w:tcPr>
          <w:p>
            <w:pPr>
              <w:jc w:val="right"/>
            </w:pPr>
            <w:r>
              <w:rPr>
                <w:rFonts w:ascii="Times New Roman" w:cs="Times New Roman" w:hAnsi="Times New Roman"/>
              </w:rPr>
              <w:t>2</w:t>
            </w:r>
          </w:p>
        </w:tc>
        <w:tc>
          <w:tcPr>
            <w:vAlign w:val="center"/>
          </w:tcPr>
          <w:p>
            <w:pPr>
              <w:jc w:val="right"/>
            </w:pPr>
            <w:r>
              <w:rPr>
                <w:rFonts w:ascii="Times New Roman" w:cs="Times New Roman" w:hAnsi="Times New Roman"/>
              </w:rPr>
              <w:t>1,730,160.00</w:t>
            </w:r>
          </w:p>
        </w:tc>
        <w:tc>
          <w:tcPr>
            <w:vAlign w:val="center"/>
          </w:tcPr>
          <w:p>
            <w:pPr>
              <w:jc w:val="right"/>
            </w:pPr>
            <w:r>
              <w:rPr>
                <w:rFonts w:ascii="Times New Roman" w:cs="Times New Roman" w:hAnsi="Times New Roman"/>
              </w:rPr>
              <w:t>10,980.00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IH2009</w:t>
            </w:r>
          </w:p>
        </w:tc>
        <w:tc>
          <w:tcPr>
            <w:vAlign w:val="center"/>
          </w:tcPr>
          <w:p>
            <w:pPr>
              <w:jc w:val="left"/>
            </w:pPr>
            <w:r>
              <w:rPr>
                <w:rFonts w:ascii="Times New Roman" w:cs="Times New Roman" w:hAnsi="Times New Roman"/>
              </w:rPr>
              <w:t>IH2009</w:t>
            </w:r>
          </w:p>
        </w:tc>
        <w:tc>
          <w:tcPr>
            <w:vAlign w:val="center"/>
          </w:tcPr>
          <w:p>
            <w:pPr>
              <w:jc w:val="right"/>
            </w:pPr>
            <w:r>
              <w:rPr>
                <w:rFonts w:ascii="Times New Roman" w:cs="Times New Roman" w:hAnsi="Times New Roman"/>
              </w:rPr>
              <w:t>5</w:t>
            </w:r>
          </w:p>
        </w:tc>
        <w:tc>
          <w:tcPr>
            <w:vAlign w:val="center"/>
          </w:tcPr>
          <w:p>
            <w:pPr>
              <w:jc w:val="right"/>
            </w:pPr>
            <w:r>
              <w:rPr>
                <w:rFonts w:ascii="Times New Roman" w:cs="Times New Roman" w:hAnsi="Times New Roman"/>
              </w:rPr>
              <w:t>4,308,900.00</w:t>
            </w:r>
          </w:p>
        </w:tc>
        <w:tc>
          <w:tcPr>
            <w:vAlign w:val="center"/>
          </w:tcPr>
          <w:p>
            <w:pPr>
              <w:jc w:val="right"/>
            </w:pPr>
            <w:r>
              <w:rPr>
                <w:rFonts w:ascii="Times New Roman" w:cs="Times New Roman" w:hAnsi="Times New Roman"/>
              </w:rPr>
              <w:t>229,800.00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公允价值变动总额合计</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302,820.00</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股指期货投资本期收益</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983,700.00</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股指期货投资本期公允价值变动</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-61,560.00</w:t>
            </w:r>
          </w:p>
        </w:tc>
      </w:tr>
    </w:tbl>
    <w:p w:rsidP="00277FAE"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5.9.2 </w:t>
      </w:r>
      <w:r w:rsidRPr="001B0A62">
        <w:rPr>
          <w:rFonts w:ascii="宋体" w:hAnsi="宋体" w:hint="eastAsia"/>
          <w:b/>
          <w:bCs/>
          <w:color w:val="000000"/>
          <w:kern w:val="0"/>
          <w:sz w:val="24"/>
          <w:szCs w:val="24"/>
        </w:rPr>
        <w:t>本基金投资股指期货的投资政策</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对冲需求。本基金力争利用股指期货的杠杆作用，降低股票仓位频繁调整的交易成本和跟踪误差，达到有效跟踪标的指数的目的。本报告期内，本基金投资股指期货符合既定的投资政策和投资目的。</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w:t>
      </w:r>
    </w:p>
    <w:p>
      <w:pPr>
        <w:spacing w:line="360" w:lineRule="auto"/>
        <w:rPr>
          <w:rFonts w:ascii="宋体" w:hAnsi="宋体"/>
          <w:color w:val="000000"/>
          <w:sz w:val="24"/>
          <w:szCs w:val="24"/>
        </w:rPr>
      </w:pPr>
      <w:r>
        <w:rPr>
          <w:rFonts w:ascii="宋体" w:hAnsi="宋体"/>
          <w:color w:val="000000"/>
          <w:sz w:val="24"/>
          <w:szCs w:val="24"/>
        </w:rPr>
        <w:t>2019年12月27日，中国银行保险监督管理委员会对交通银行股份有限公司如下违法违规行为作出“罚款150万元”的行政处罚：1、授信审批不审慎；2、总行对分支机构管控不力承担管理责任。</w:t>
      </w:r>
    </w:p>
    <w:p>
      <w:pPr>
        <w:spacing w:line="360" w:lineRule="auto"/>
        <w:rPr>
          <w:rFonts w:ascii="宋体" w:hAnsi="宋体"/>
          <w:color w:val="000000"/>
          <w:sz w:val="24"/>
          <w:szCs w:val="24"/>
        </w:rPr>
      </w:pPr>
      <w:r>
        <w:rPr>
          <w:rFonts w:ascii="宋体" w:hAnsi="宋体"/>
          <w:color w:val="000000"/>
          <w:sz w:val="24"/>
          <w:szCs w:val="24"/>
        </w:rPr>
        <w:t>2020年4月20日，中国银行保险监督管理委员会针对交通银行股份有限公司监管标准化数据（EAST）系统数据质量及数据报送存在以下违法违规行为：1、理财产品数量漏报；2、资金交易信息漏报严重；3、贸易融资业务漏报；4、信贷业务担保合同漏报；5、分户账明细记录应报未报；6、分户账账户数据应报未报；7、关键且应报字段漏报或填报错误，处以责令改正，并处罚款260万元的行政处罚。</w:t>
      </w:r>
    </w:p>
    <w:p>
      <w:pPr>
        <w:spacing w:line="360" w:lineRule="auto"/>
        <w:rPr>
          <w:rFonts w:ascii="宋体" w:hAnsi="宋体"/>
          <w:color w:val="000000"/>
          <w:sz w:val="24"/>
          <w:szCs w:val="24"/>
        </w:rPr>
      </w:pPr>
      <w:r>
        <w:rPr>
          <w:rFonts w:ascii="宋体" w:hAnsi="宋体"/>
          <w:color w:val="000000"/>
          <w:sz w:val="24"/>
          <w:szCs w:val="24"/>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招商银行、交通银行、工商银行、兴业银行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964,848.23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271,626.18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1,914.14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1,238,388.55</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297,234,318.00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86,000,000.00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154,000,000.00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229,234,318.00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招商银行股份有限公司－易方达上证50交易型开放式指数证券投资基金发起式联接基金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137,279,291.00</w:t>
            </w:r>
          </w:p>
        </w:tc>
        <w:tc>
          <w:tcPr>
            <w:vAlign w:val="center"/>
          </w:tcPr>
          <w:p>
            <w:pPr>
              <w:jc w:val="center"/>
            </w:pPr>
            <w:r>
              <w:rPr>
                <w:sz w:val="24"/>
                <w:szCs w:val="24"/>
              </w:rPr>
              <w:t>20,547,500.00</w:t>
            </w:r>
          </w:p>
        </w:tc>
        <w:tc>
          <w:tcPr>
            <w:vAlign w:val="center"/>
          </w:tcPr>
          <w:p>
            <w:pPr>
              <w:jc w:val="center"/>
            </w:pPr>
            <w:r>
              <w:rPr>
                <w:sz w:val="24"/>
                <w:szCs w:val="24"/>
              </w:rPr>
              <w:t>52,526,300.00</w:t>
            </w:r>
          </w:p>
        </w:tc>
        <w:tc>
          <w:tcPr>
            <w:vAlign w:val="center"/>
          </w:tcPr>
          <w:p>
            <w:pPr>
              <w:jc w:val="center"/>
            </w:pPr>
            <w:r>
              <w:rPr>
                <w:sz w:val="24"/>
                <w:szCs w:val="24"/>
              </w:rPr>
              <w:t>105,300,491.00</w:t>
            </w:r>
          </w:p>
        </w:tc>
        <w:tc>
          <w:tcPr>
            <w:vAlign w:val="center"/>
          </w:tcPr>
          <w:p>
            <w:pPr>
              <w:jc w:val="center"/>
            </w:pPr>
            <w:r>
              <w:rPr>
                <w:sz w:val="24"/>
                <w:szCs w:val="24"/>
              </w:rPr>
              <w:t>45.94%</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1.中国证监会准予易方达上证50交易型开放式指数证券投资基金注册的文件；</w:t>
      </w:r>
    </w:p>
    <w:p>
      <w:pPr>
        <w:spacing w:line="360" w:lineRule="auto"/>
        <w:ind w:firstLine="480" w:firstLineChars="200"/>
        <w:rPr>
          <w:color w:val="000000"/>
          <w:sz w:val="24"/>
          <w:szCs w:val="24"/>
        </w:rPr>
      </w:pPr>
      <w:r>
        <w:rPr>
          <w:color w:val="000000"/>
          <w:sz w:val="24"/>
          <w:szCs w:val="24"/>
        </w:rPr>
        <w:t>2.《易方达上证50交易型开放式指数证券投资基金基金合同》；</w:t>
      </w:r>
    </w:p>
    <w:p>
      <w:pPr>
        <w:spacing w:line="360" w:lineRule="auto"/>
        <w:ind w:firstLine="480" w:firstLineChars="200"/>
        <w:rPr>
          <w:color w:val="000000"/>
          <w:sz w:val="24"/>
          <w:szCs w:val="24"/>
        </w:rPr>
      </w:pPr>
      <w:r>
        <w:rPr>
          <w:color w:val="000000"/>
          <w:sz w:val="24"/>
          <w:szCs w:val="24"/>
        </w:rPr>
        <w:t>3.《易方达上证50交易型开放式指数证券投资基金托管协议》；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易方达上证50交易型开放式指数证券投资基金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