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7951F3" w:rsidR="001C36D8" w:rsidRDefault="001C36D8" w:rsidRPr="00272E0C">
      <w:pPr>
        <w:spacing w:line="360" w:lineRule="auto"/>
        <w:jc w:val="center"/>
        <w:rPr>
          <w:rFonts w:ascii="宋体" w:hAnsi="宋体"/>
          <w:b/>
          <w:sz w:val="36"/>
          <w:szCs w:val="36"/>
        </w:rPr>
      </w:pPr>
      <w:r w:rsidRPr="00272E0C">
        <w:rPr>
          <w:rFonts w:ascii="宋体"/>
          <w:b/>
          <w:sz w:val="36"/>
          <w:szCs w:val="36"/>
        </w:rPr>
        <w:t/>
      </w:r>
      <w:proofErr w:type="spellStart"/>
      <w:proofErr w:type="gramStart"/>
      <w:r w:rsidRPr="00272E0C">
        <w:rPr>
          <w:rFonts w:ascii="宋体" w:hAnsi="宋体"/>
          <w:b/>
          <w:sz w:val="36"/>
          <w:szCs w:val="36"/>
        </w:rPr>
        <w:t/>
      </w:r>
      <w:proofErr w:type="spellEnd"/>
      <w:proofErr w:type="gramEnd"/>
      <w:r w:rsidRPr="00272E0C">
        <w:rPr>
          <w:rFonts w:ascii="宋体" w:hAnsi="宋体"/>
          <w:b/>
          <w:sz w:val="36"/>
          <w:szCs w:val="36"/>
        </w:rPr>
        <w:t>易方达上证50指数分级证券投资基金</w:t>
      </w:r>
    </w:p>
    <w:p w:rsidP="007951F3" w:rsidR="001C36D8" w:rsidRDefault="001C36D8" w:rsidRPr="00272E0C">
      <w:pPr>
        <w:spacing w:line="360" w:lineRule="auto"/>
        <w:jc w:val="center"/>
        <w:rPr>
          <w:rFonts w:ascii="宋体" w:hAnsi="宋体"/>
          <w:b/>
          <w:sz w:val="36"/>
          <w:szCs w:val="36"/>
        </w:rPr>
      </w:pPr>
      <w:r w:rsidRPr="00272E0C">
        <w:rPr>
          <w:rFonts w:ascii="宋体" w:hAnsi="宋体"/>
          <w:b/>
          <w:sz w:val="36"/>
          <w:szCs w:val="36"/>
        </w:rPr>
        <w:t/>
      </w:r>
      <w:proofErr w:type="spellStart"/>
      <w:r w:rsidRPr="00272E0C">
        <w:rPr>
          <w:rFonts w:ascii="宋体" w:hAnsi="宋体"/>
          <w:b/>
          <w:sz w:val="36"/>
          <w:szCs w:val="36"/>
        </w:rPr>
        <w:t/>
      </w:r>
      <w:proofErr w:type="spellEnd"/>
      <w:r w:rsidRPr="00272E0C">
        <w:rPr>
          <w:rFonts w:ascii="宋体" w:hAnsi="宋体"/>
          <w:b/>
          <w:sz w:val="36"/>
          <w:szCs w:val="36"/>
        </w:rPr>
        <w:t>2020年第2季度报告</w:t>
      </w:r>
    </w:p>
    <w:p w:rsidP="007951F3" w:rsidR="001C36D8" w:rsidRDefault="001C36D8" w:rsidRPr="00717C29">
      <w:pPr>
        <w:spacing w:line="360" w:lineRule="auto"/>
        <w:jc w:val="center"/>
        <w:rPr>
          <w:rFonts w:ascii="宋体" w:hAnsi="宋体"/>
          <w:b/>
          <w:sz w:val="24"/>
          <w:szCs w:val="36"/>
        </w:rPr>
      </w:pPr>
      <w:r w:rsidRPr="00717C29">
        <w:rPr>
          <w:rFonts w:ascii="宋体"/>
          <w:b/>
          <w:sz w:val="24"/>
          <w:szCs w:val="36"/>
        </w:rPr>
        <w:t/>
      </w:r>
      <w:proofErr w:type="spellStart"/>
      <w:proofErr w:type="gramStart"/>
      <w:r w:rsidRPr="00717C29">
        <w:rPr>
          <w:rFonts w:ascii="宋体" w:hAnsi="宋体"/>
          <w:b/>
          <w:sz w:val="24"/>
          <w:szCs w:val="36"/>
        </w:rPr>
        <w:t/>
      </w:r>
      <w:proofErr w:type="spellEnd"/>
      <w:proofErr w:type="gramEnd"/>
      <w:r w:rsidRPr="00717C29">
        <w:rPr>
          <w:rFonts w:ascii="宋体" w:hAnsi="宋体"/>
          <w:b/>
          <w:sz w:val="24"/>
          <w:szCs w:val="36"/>
        </w:rPr>
        <w:t>2020年6月30日</w:t>
      </w: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rPr>
          <w:rFonts w:ascii="宋体"/>
          <w:b/>
          <w:color w:val="000000"/>
          <w:sz w:val="24"/>
        </w:rPr>
      </w:pP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基金管理人：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易方达基金管理有限公司</w:t>
      </w: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基金托管人：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交通银行股份有限公司</w:t>
      </w:r>
    </w:p>
    <w:p w:rsidP="0015779C" w:rsidR="001C36D8" w:rsidRDefault="001C36D8" w:rsidRPr="00272E0C">
      <w:pPr>
        <w:spacing w:line="360" w:lineRule="auto"/>
        <w:ind w:firstLine="2168" w:firstLineChars="900"/>
        <w:rPr>
          <w:rFonts w:ascii="宋体" w:hAnsi="宋体"/>
          <w:b/>
          <w:color w:val="000000"/>
          <w:sz w:val="24"/>
        </w:rPr>
        <w:sectPr w:rsidR="001C36D8" w:rsidRPr="00272E0C" w:rsidSect="00230A66">
          <w:headerReference r:id="rId8" w:type="default"/>
          <w:footerReference r:id="rId9" w:type="default"/>
          <w:pgSz w:h="15840" w:w="11926"/>
          <w:pgMar w:bottom="851" w:footer="992" w:gutter="0" w:header="851" w:left="1418" w:right="1418" w:top="1418"/>
          <w:cols w:space="720"/>
          <w:noEndnote/>
        </w:sectPr>
      </w:pPr>
      <w:r w:rsidRPr="00272E0C">
        <w:rPr>
          <w:rFonts w:ascii="宋体" w:hAnsi="宋体" w:hint="eastAsia"/>
          <w:b/>
          <w:color w:val="000000"/>
          <w:sz w:val="24"/>
        </w:rPr>
        <w:t>报告送出日期：</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二〇二〇年七月二十一日</w:t>
      </w:r>
    </w:p>
    <w:p w:rsidP="005C6DF3" w:rsidR="001C36D8" w:rsidRDefault="001C36D8" w:rsidRPr="00272E0C">
      <w:pPr>
        <w:pStyle w:val="1"/>
        <w:spacing w:after="312" w:afterLines="100" w:before="312" w:beforeLines="100" w:line="360" w:lineRule="auto"/>
        <w:jc w:val="center"/>
        <w:rPr>
          <w:rFonts w:ascii="宋体" w:cs="Arial"/>
          <w:b w:val="0"/>
          <w:color w:val="000000"/>
          <w:kern w:val="0"/>
          <w:sz w:val="24"/>
          <w:szCs w:val="24"/>
        </w:rPr>
      </w:pPr>
      <w:r w:rsidRPr="00272E0C">
        <w:rPr>
          <w:rFonts w:ascii="宋体" w:cs="Arial" w:hAnsi="宋体" w:hint="eastAsia"/>
          <w:color w:val="000000"/>
          <w:kern w:val="0"/>
          <w:sz w:val="24"/>
          <w:szCs w:val="24"/>
        </w:rPr>
        <w:lastRenderedPageBreak/>
        <w:t>§</w:t>
      </w:r>
      <w:r w:rsidRPr="00272E0C">
        <w:rPr>
          <w:rFonts w:ascii="宋体" w:cs="Arial" w:hAnsi="宋体"/>
          <w:color w:val="000000"/>
          <w:kern w:val="0"/>
          <w:sz w:val="24"/>
          <w:szCs w:val="24"/>
        </w:rPr>
        <w:t xml:space="preserve">1  </w:t>
      </w:r>
      <w:r w:rsidRPr="00272E0C">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基金托管人交通银行股份有限公司根据本基金合同规定，于2020年7月17日复核了本报告中的财务指标、净值表现和投资组合报告等内容，保证复核内容不存在虚假记载、误导性陈述或者重大遗漏。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C0C03" w:rsidR="001C36D8" w:rsidRDefault="001C36D8" w:rsidRPr="00CC0C03">
      <w:pPr>
        <w:spacing w:line="360" w:lineRule="auto"/>
        <w:ind w:firstLine="480" w:firstLineChars="200"/>
        <w:rPr>
          <w:color w:val="000000"/>
          <w:sz w:val="24"/>
        </w:rPr>
      </w:pPr>
      <w:r w:rsidRPr="00CC0C03">
        <w:rPr>
          <w:color w:val="000000"/>
          <w:sz w:val="24"/>
        </w:rPr>
        <w:t/>
      </w:r>
      <w:proofErr w:type="spellStart"/>
      <w:r w:rsidRPr="00CC0C03">
        <w:rPr>
          <w:color w:val="000000"/>
          <w:sz w:val="24"/>
        </w:rPr>
        <w:t/>
      </w:r>
      <w:proofErr w:type="spellEnd"/>
      <w:r w:rsidRPr="00CC0C03">
        <w:rPr>
          <w:color w:val="000000"/>
          <w:sz w:val="24"/>
        </w:rPr>
        <w:t>本报告期自2020年4月1日起至6月30日止。</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2  </w:t>
      </w:r>
      <w:r w:rsidRPr="00272E0C">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1826"/>
        <w:gridCol w:w="1826"/>
        <w:gridCol w:w="1827"/>
      </w:tblGrid>
      <w:tr w:rsidR="001C36D8" w:rsidRPr="00272E0C" w:rsidTr="007A6BEA">
        <w:tc>
          <w:tcPr>
            <w:tcW w:type="dxa" w:w="2835"/>
          </w:tcPr>
          <w:p w:rsidP="007A6BEA"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基金简称</w:t>
            </w:r>
          </w:p>
        </w:tc>
        <w:tc>
          <w:tcPr>
            <w:tcW w:type="dxa" w:w="5479"/>
            <w:gridSpan w:val="3"/>
          </w:tcPr>
          <w:p w:rsidP="007A6BEA"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易方达上证50分级</w:t>
            </w:r>
          </w:p>
        </w:tc>
      </w:tr>
      <w:tr w:rsidR="001C36D8" w:rsidRPr="00272E0C" w:rsidTr="002A44F9">
        <w:tc>
          <w:tcPr>
            <w:tcW w:type="dxa" w:w="2835"/>
          </w:tcPr>
          <w:p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基金主代码</w:t>
            </w:r>
          </w:p>
        </w:tc>
        <w:tc>
          <w:tcPr>
            <w:tcW w:type="dxa" w:w="5479"/>
            <w:gridSpan w:val="3"/>
          </w:tcPr>
          <w:p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502048</w:t>
            </w:r>
          </w:p>
        </w:tc>
      </w:tr>
      <w:tr w:rsidR="003A768B" w:rsidRPr="00272E0C" w:rsidTr="002A44F9">
        <w:tc>
          <w:tcPr>
            <w:tcW w:type="dxa" w:w="2835"/>
          </w:tcPr>
          <w:p w:rsidP="00E43B0B"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kern w:val="0"/>
                <w:sz w:val="24"/>
              </w:rPr>
              <w:t>交易代码</w:t>
            </w:r>
          </w:p>
        </w:tc>
        <w:tc>
          <w:tcPr>
            <w:tcW w:type="dxa" w:w="5479"/>
            <w:gridSpan w:val="3"/>
          </w:tcPr>
          <w:p w:rsidP="00E43B0B"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502048</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基金运作方式</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契约型开放式、分级基金</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基金合同生效日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2015年4月15日</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报告期末基金份额总额</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371,281,054.48</w:t>
            </w:r>
            <w:r w:rsidRPr="004C6E88">
              <w:rPr>
                <w:rFonts w:eastAsiaTheme="minorEastAsia"/>
                <w:color w:val="000000"/>
                <w:kern w:val="0"/>
                <w:sz w:val="24"/>
              </w:rPr>
              <w:t>份</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投资目标</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紧密追踪业绩比较基准，追求跟踪偏离度与跟踪误差的最小化。</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投资策略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主要采取完全复制法进行投资，即完全按照标的指数的成份股组成及权重构建基金投资组合，并根据标的指数成份股及其权重的变动进行相应调整，以达到紧密跟踪标的指数的目的。本基金力争将年化跟踪误差控制在4%以内，日跟踪偏离度绝对值的平均值控制在0.35%以内。</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业绩比较基准</w:t>
            </w:r>
          </w:p>
        </w:tc>
        <w:tc>
          <w:tcPr>
            <w:tcW w:type="dxa" w:w="5479"/>
            <w:gridSpan w:val="3"/>
          </w:tcPr>
          <w:p w:rsidP="00CD0AAD"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上证50指数收益率×95%+活期存款利率（税后）×5%</w:t>
            </w:r>
          </w:p>
        </w:tc>
      </w:tr>
      <w:tr w:rsidR="003A768B" w:rsidRPr="00272E0C" w:rsidTr="00A008DA">
        <w:tc>
          <w:tcPr>
            <w:tcW w:type="dxa" w:w="2835"/>
          </w:tcPr>
          <w:p w:rsidP="00A008D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风险收益特征</w:t>
            </w:r>
          </w:p>
        </w:tc>
        <w:tc>
          <w:tcPr>
            <w:tcW w:type="dxa" w:w="5479"/>
            <w:gridSpan w:val="3"/>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从投资者持有的基金份额来看，基础份额为股票型基金，预期风险与预期收益水平高于混合型基金、债券型基金与货币市场基金；A类份额具有预期风险、收益较低的特征；B类份额具有预期风险、收益较高的特征。</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基金管理人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易方达基金管理有限公司</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基金托管人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交通银行股份有限公司</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级基金的基金简称</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易方达上证50分级</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易方达上证50分级A</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易方达上证50分级B</w:t>
            </w:r>
          </w:p>
        </w:tc>
      </w:tr>
      <w:tr w:rsidR="002C2DE0" w:rsidRPr="00272E0C" w:rsidTr="00EB3E72">
        <w:tc>
          <w:tcPr>
            <w:tcW w:type="dxa" w:w="2835"/>
          </w:tcPr>
          <w:p w:rsidP="004C6E88" w:rsidR="002C2DE0" w:rsidRDefault="002C2DE0"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003168E2">
              <w:rPr>
                <w:rFonts w:eastAsiaTheme="minorEastAsia"/>
                <w:color w:val="000000"/>
                <w:sz w:val="24"/>
              </w:rPr>
              <w:t>级基金</w:t>
            </w:r>
            <w:r w:rsidRPr="004C6E88">
              <w:rPr>
                <w:rFonts w:eastAsiaTheme="minorEastAsia"/>
                <w:color w:val="000000"/>
                <w:sz w:val="24"/>
              </w:rPr>
              <w:t>场内简称</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50分级</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上证50A</w:t>
            </w:r>
          </w:p>
        </w:tc>
        <w:tc>
          <w:tcPr>
            <w:tcW w:type="dxa" w:w="1827"/>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上证50B</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级基金的交易代码</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502048</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502049</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502050</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lastRenderedPageBreak/>
              <w:t>报告期末下属</w:t>
            </w:r>
            <w:r w:rsidR="004C6E88" w:rsidRPr="004C6E88">
              <w:rPr>
                <w:rFonts w:eastAsiaTheme="minorEastAsia"/>
                <w:color w:val="000000"/>
                <w:sz w:val="24"/>
              </w:rPr>
              <w:t>分</w:t>
            </w:r>
            <w:r w:rsidRPr="004C6E88">
              <w:rPr>
                <w:rFonts w:eastAsiaTheme="minorEastAsia"/>
                <w:color w:val="000000"/>
                <w:sz w:val="24"/>
              </w:rPr>
              <w:t>级基金的份额总额</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r w:rsidRPr="004C6E88">
              <w:rPr>
                <w:rFonts w:eastAsiaTheme="minorEastAsia"/>
                <w:sz w:val="24"/>
              </w:rPr>
              <w:t>161,371,796.48</w:t>
            </w:r>
            <w:r w:rsidRPr="004C6E88">
              <w:rPr>
                <w:rFonts w:eastAsiaTheme="minorEastAsia"/>
                <w:color w:val="000000"/>
                <w:kern w:val="0"/>
                <w:sz w:val="24"/>
              </w:rPr>
              <w:t>份</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104,954,629.00</w:t>
            </w:r>
            <w:r w:rsidRPr="004C6E88">
              <w:rPr>
                <w:rFonts w:eastAsiaTheme="minorEastAsia"/>
                <w:color w:val="000000"/>
                <w:kern w:val="0"/>
                <w:sz w:val="24"/>
              </w:rPr>
              <w:t>份</w:t>
            </w:r>
          </w:p>
        </w:tc>
        <w:tc>
          <w:tcPr>
            <w:tcW w:type="dxa" w:w="1827"/>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104,954,629.00</w:t>
            </w:r>
            <w:r w:rsidRPr="004C6E88">
              <w:rPr>
                <w:rFonts w:eastAsiaTheme="minorEastAsia"/>
                <w:color w:val="000000"/>
                <w:kern w:val="0"/>
                <w:sz w:val="24"/>
              </w:rPr>
              <w:t>份</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sz w:val="24"/>
              </w:rPr>
            </w:pPr>
            <w:r w:rsidRPr="004C6E88">
              <w:rPr>
                <w:rFonts w:eastAsiaTheme="minorEastAsia"/>
                <w:color w:val="000000"/>
                <w:kern w:val="0"/>
                <w:sz w:val="24"/>
              </w:rPr>
              <w:t>下属</w:t>
            </w:r>
            <w:r w:rsidR="004C6E88" w:rsidRPr="004C6E88">
              <w:rPr>
                <w:rFonts w:eastAsiaTheme="minorEastAsia"/>
                <w:color w:val="000000"/>
                <w:kern w:val="0"/>
                <w:sz w:val="24"/>
              </w:rPr>
              <w:t>分</w:t>
            </w:r>
            <w:r w:rsidRPr="004C6E88">
              <w:rPr>
                <w:rFonts w:eastAsiaTheme="minorEastAsia"/>
                <w:color w:val="000000"/>
                <w:kern w:val="0"/>
                <w:sz w:val="24"/>
              </w:rPr>
              <w:t>级基金的</w:t>
            </w:r>
            <w:r w:rsidRPr="004C6E88">
              <w:rPr>
                <w:rFonts w:eastAsiaTheme="minorEastAsia"/>
                <w:kern w:val="0"/>
                <w:sz w:val="24"/>
              </w:rPr>
              <w:t>风险收益特征</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基础份额为股票型基金，预期风险与预期收益水平高于混合型基金、债券型基金与货币市场基金。</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A类份额具有预期风险、收益较低的特征。</w:t>
            </w:r>
          </w:p>
        </w:tc>
        <w:tc>
          <w:tcPr>
            <w:tcW w:type="dxa" w:w="1827"/>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B类份额具有预期风险、收益较高的特征。</w:t>
            </w:r>
          </w:p>
        </w:tc>
      </w:tr>
    </w:tbl>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3  </w:t>
      </w:r>
      <w:r w:rsidRPr="00272E0C">
        <w:rPr>
          <w:rFonts w:ascii="宋体" w:cs="Arial" w:hAnsi="宋体" w:hint="eastAsia"/>
          <w:color w:val="000000"/>
          <w:kern w:val="0"/>
          <w:sz w:val="24"/>
          <w:szCs w:val="24"/>
        </w:rPr>
        <w:t>主要财务指标和基金净值表现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3.1 </w:t>
      </w:r>
      <w:r w:rsidRPr="00272E0C">
        <w:rPr>
          <w:rFonts w:ascii="宋体" w:cs="Arial" w:hAnsi="宋体" w:hint="eastAsia"/>
          <w:b/>
          <w:color w:val="000000"/>
          <w:kern w:val="0"/>
          <w:sz w:val="24"/>
        </w:rPr>
        <w:t>主要财务指标</w:t>
      </w:r>
    </w:p>
    <w:p w:rsidP="0008378B" w:rsidR="0008378B" w:rsidRDefault="0008378B"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08378B" w:rsidRPr="006506EF" w:rsidTr="005D3A22">
        <w:tc>
          <w:tcPr>
            <w:tcW w:type="dxa" w:w="3402"/>
            <w:vAlign w:val="center"/>
          </w:tcPr>
          <w:p w:rsidP="005D3A22" w:rsidR="0008378B" w:rsidRDefault="0008378B"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报告期</w:t>
            </w:r>
          </w:p>
          <w:p w:rsidP="005D3A22" w:rsidR="0008378B" w:rsidRDefault="0008378B"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8,939,304.45</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43,822,230.16</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0.1042</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369,777,540.58</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rPr>
          <w:trHeight w:val="158"/>
        </w:trPr>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r w:rsidRPr="006506EF">
              <w:rPr>
                <w:color w:val="000000"/>
                <w:sz w:val="24"/>
              </w:rPr>
              <w:lastRenderedPageBreak/>
              <w:t/>
            </w:r>
            <w:proofErr w:type="spellEnd"/>
            <w:r w:rsidRPr="006506EF">
              <w:rPr>
                <w:color w:val="000000"/>
                <w:sz w:val="24"/>
              </w:rPr>
              <w:t>0.9960</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E43B0B" w:rsidR="001C36D8" w:rsidRDefault="0008378B" w:rsidRPr="00E43B0B">
      <w:pPr>
        <w:spacing w:line="360" w:lineRule="auto"/>
        <w:ind w:firstLine="480" w:firstLineChars="200"/>
        <w:rPr>
          <w:color w:val="000000"/>
          <w:sz w:val="24"/>
        </w:rPr>
      </w:pPr>
      <w:r w:rsidRPr="006506EF">
        <w:rPr>
          <w:color w:val="000000"/>
          <w:sz w:val="24"/>
        </w:rPr>
        <w:lastRenderedPageBreak/>
        <w:t/>
      </w:r>
      <w:proofErr w:type="spellStart"/>
      <w:r w:rsidRPr="006506EF">
        <w:rPr>
          <w:color w:val="000000"/>
          <w:sz w:val="24"/>
        </w:rPr>
        <w:t/>
      </w:r>
      <w:proofErr w:type="spellEnd"/>
      <w:r w:rsidRPr="006506EF">
        <w:rPr>
          <w:color w:val="000000"/>
          <w:sz w:val="24"/>
        </w:rPr>
        <w:t/>
      </w:r>
      <w:proofErr w:type="spellStart"/>
      <w:r w:rsidRPr="006506EF">
        <w:rPr>
          <w:color w:val="000000"/>
          <w:sz w:val="24"/>
        </w:rPr>
        <w:t/>
      </w:r>
      <w:proofErr w:type="spell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3.2 </w:t>
      </w:r>
      <w:r w:rsidRPr="00272E0C">
        <w:rPr>
          <w:rFonts w:ascii="宋体" w:cs="Arial" w:hAnsi="宋体" w:hint="eastAsia"/>
          <w:b/>
          <w:color w:val="000000"/>
          <w:kern w:val="0"/>
          <w:sz w:val="24"/>
        </w:rPr>
        <w:t>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3.2.1</w:t>
        </w:r>
      </w:smartTag>
      <w:r w:rsidRPr="00272E0C">
        <w:rPr>
          <w:rFonts w:ascii="宋体" w:cs="Arial" w:hAnsi="宋体" w:hint="eastAsia"/>
          <w:b/>
          <w:color w:val="000000"/>
          <w:kern w:val="0"/>
          <w:sz w:val="24"/>
        </w:rPr>
        <w:t>本报告期基金份额净值增长率及其与同期业绩比较基准收益率的比较</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15"/>
        <w:gridCol w:w="1216"/>
        <w:gridCol w:w="1216"/>
        <w:gridCol w:w="1216"/>
        <w:gridCol w:w="1216"/>
        <w:gridCol w:w="1217"/>
        <w:gridCol w:w="1217"/>
      </w:tblGrid>
      <w:tr w:rsidR="001C36D8" w:rsidRPr="00272E0C" w:rsidTr="001A09F9">
        <w:tc>
          <w:tcPr>
            <w:tcW w:type="dxa" w:w="1215"/>
            <w:vAlign w:val="center"/>
          </w:tcPr>
          <w:p w:rsidP="001A09F9" w:rsidR="001C36D8" w:rsidRDefault="001C36D8" w:rsidRPr="00E43B0B">
            <w:pPr>
              <w:snapToGrid w:val="0"/>
              <w:spacing w:line="288" w:lineRule="auto"/>
              <w:jc w:val="center"/>
              <w:rPr>
                <w:color w:val="000000"/>
                <w:sz w:val="24"/>
              </w:rPr>
            </w:pPr>
            <w:r w:rsidRPr="00E43B0B">
              <w:rPr>
                <w:color w:val="000000"/>
                <w:sz w:val="24"/>
              </w:rPr>
              <w:t>阶段</w:t>
            </w:r>
            <w:r w:rsidRPr="00E43B0B">
              <w:rPr>
                <w:color w:val="000000"/>
                <w:sz w:val="24"/>
              </w:rPr>
              <w:t/>
            </w:r>
            <w:proofErr w:type="spellStart"/>
            <w:r w:rsidRPr="00E43B0B">
              <w:rPr>
                <w:color w:val="000000"/>
                <w:sz w:val="24"/>
              </w:rPr>
              <w:t/>
            </w:r>
            <w:proofErr w:type="spellEnd"/>
            <w:r w:rsidRPr="00E43B0B">
              <w:rPr>
                <w:color w:val="000000"/>
                <w:sz w:val="24"/>
              </w:rPr>
              <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w:t>
            </w:r>
            <w:r w:rsidRPr="00E43B0B">
              <w:rPr>
                <w:rFonts w:ascii="宋体" w:cs="宋体" w:hAnsi="宋体" w:hint="eastAsia"/>
                <w:color w:val="000000"/>
                <w:sz w:val="24"/>
              </w:rPr>
              <w:t>①</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净值增长率标准差</w:t>
            </w:r>
            <w:r w:rsidRPr="00E43B0B">
              <w:rPr>
                <w:rFonts w:ascii="宋体" w:cs="宋体" w:hAnsi="宋体" w:hint="eastAsia"/>
                <w:color w:val="000000"/>
                <w:sz w:val="24"/>
              </w:rPr>
              <w:t>②</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w:t>
            </w:r>
            <w:r w:rsidRPr="00E43B0B">
              <w:rPr>
                <w:rFonts w:ascii="宋体" w:cs="宋体" w:hAnsi="宋体" w:hint="eastAsia"/>
                <w:color w:val="000000"/>
                <w:sz w:val="24"/>
              </w:rPr>
              <w:t>③</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业绩比较基准收益率标准差</w:t>
            </w:r>
            <w:r w:rsidRPr="00E43B0B">
              <w:rPr>
                <w:rFonts w:ascii="宋体" w:cs="宋体" w:hAnsi="宋体" w:hint="eastAsia"/>
                <w:color w:val="000000"/>
                <w:sz w:val="24"/>
              </w:rPr>
              <w:t>④</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①</w:t>
            </w:r>
            <w:r w:rsidRPr="00E43B0B">
              <w:rPr>
                <w:color w:val="000000"/>
                <w:sz w:val="24"/>
              </w:rPr>
              <w:t>－</w:t>
            </w:r>
            <w:r w:rsidRPr="00E43B0B">
              <w:rPr>
                <w:rFonts w:ascii="宋体" w:cs="宋体" w:hAnsi="宋体" w:hint="eastAsia"/>
                <w:color w:val="000000"/>
                <w:sz w:val="24"/>
              </w:rPr>
              <w:t>③</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②</w:t>
            </w:r>
            <w:r w:rsidRPr="00E43B0B">
              <w:rPr>
                <w:color w:val="000000"/>
                <w:sz w:val="24"/>
              </w:rPr>
              <w:t>－</w:t>
            </w:r>
            <w:r w:rsidRPr="00E43B0B">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11.68%</w:t>
            </w:r>
          </w:p>
        </w:tc>
        <w:tc>
          <w:tcPr>
            <w:vAlign w:val="center"/>
          </w:tcPr>
          <w:p>
            <w:pPr>
              <w:jc w:val="center"/>
            </w:pPr>
            <w:r>
              <w:rPr>
                <w:color w:val="000000"/>
                <w:sz w:val="24"/>
              </w:rPr>
              <w:t>0.81%</w:t>
            </w:r>
          </w:p>
        </w:tc>
        <w:tc>
          <w:tcPr>
            <w:vAlign w:val="center"/>
          </w:tcPr>
          <w:p>
            <w:pPr>
              <w:jc w:val="center"/>
            </w:pPr>
            <w:r>
              <w:rPr>
                <w:color w:val="000000"/>
                <w:sz w:val="24"/>
              </w:rPr>
              <w:t>8.93%</w:t>
            </w:r>
          </w:p>
        </w:tc>
        <w:tc>
          <w:tcPr>
            <w:vAlign w:val="center"/>
          </w:tcPr>
          <w:p>
            <w:pPr>
              <w:jc w:val="center"/>
            </w:pPr>
            <w:r>
              <w:rPr>
                <w:color w:val="000000"/>
                <w:sz w:val="24"/>
              </w:rPr>
              <w:t>0.81%</w:t>
            </w:r>
          </w:p>
        </w:tc>
        <w:tc>
          <w:tcPr>
            <w:vAlign w:val="center"/>
          </w:tcPr>
          <w:p>
            <w:pPr>
              <w:jc w:val="center"/>
            </w:pPr>
            <w:r>
              <w:rPr>
                <w:color w:val="000000"/>
                <w:sz w:val="24"/>
              </w:rPr>
              <w:t>2.75%</w:t>
            </w:r>
          </w:p>
        </w:tc>
        <w:tc>
          <w:tcPr>
            <w:vAlign w:val="center"/>
          </w:tcPr>
          <w:p>
            <w:pPr>
              <w:jc w:val="center"/>
            </w:pPr>
            <w:r>
              <w:rPr>
                <w:color w:val="000000"/>
                <w:sz w:val="24"/>
              </w:rPr>
              <w:t>0.00%</w:t>
            </w:r>
          </w:p>
        </w:tc>
      </w:tr>
      <w:tr>
        <w:tc>
          <w:tcPr>
            <w:vAlign w:val="center"/>
          </w:tcPr>
          <w:p>
            <w:pPr>
              <w:jc w:val="left"/>
            </w:pPr>
            <w:r>
              <w:rPr>
                <w:color w:val="000000"/>
                <w:sz w:val="24"/>
              </w:rPr>
              <w:t>过去六个月</w:t>
            </w:r>
          </w:p>
        </w:tc>
        <w:tc>
          <w:tcPr>
            <w:vAlign w:val="center"/>
          </w:tcPr>
          <w:p>
            <w:pPr>
              <w:jc w:val="center"/>
            </w:pPr>
            <w:r>
              <w:rPr>
                <w:color w:val="000000"/>
                <w:sz w:val="24"/>
              </w:rPr>
              <w:t>0.57%</w:t>
            </w:r>
          </w:p>
        </w:tc>
        <w:tc>
          <w:tcPr>
            <w:vAlign w:val="center"/>
          </w:tcPr>
          <w:p>
            <w:pPr>
              <w:jc w:val="center"/>
            </w:pPr>
            <w:r>
              <w:rPr>
                <w:color w:val="000000"/>
                <w:sz w:val="24"/>
              </w:rPr>
              <w:t>1.34%</w:t>
            </w:r>
          </w:p>
        </w:tc>
        <w:tc>
          <w:tcPr>
            <w:vAlign w:val="center"/>
          </w:tcPr>
          <w:p>
            <w:pPr>
              <w:jc w:val="center"/>
            </w:pPr>
            <w:r>
              <w:rPr>
                <w:color w:val="000000"/>
                <w:sz w:val="24"/>
              </w:rPr>
              <w:t>-3.75%</w:t>
            </w:r>
          </w:p>
        </w:tc>
        <w:tc>
          <w:tcPr>
            <w:vAlign w:val="center"/>
          </w:tcPr>
          <w:p>
            <w:pPr>
              <w:jc w:val="center"/>
            </w:pPr>
            <w:r>
              <w:rPr>
                <w:color w:val="000000"/>
                <w:sz w:val="24"/>
              </w:rPr>
              <w:t>1.34%</w:t>
            </w:r>
          </w:p>
        </w:tc>
        <w:tc>
          <w:tcPr>
            <w:vAlign w:val="center"/>
          </w:tcPr>
          <w:p>
            <w:pPr>
              <w:jc w:val="center"/>
            </w:pPr>
            <w:r>
              <w:rPr>
                <w:color w:val="000000"/>
                <w:sz w:val="24"/>
              </w:rPr>
              <w:t>4.32%</w:t>
            </w:r>
          </w:p>
        </w:tc>
        <w:tc>
          <w:tcPr>
            <w:vAlign w:val="center"/>
          </w:tcPr>
          <w:p>
            <w:pPr>
              <w:jc w:val="center"/>
            </w:pPr>
            <w:r>
              <w:rPr>
                <w:color w:val="000000"/>
                <w:sz w:val="24"/>
              </w:rPr>
              <w:t>0.00%</w:t>
            </w:r>
          </w:p>
        </w:tc>
      </w:tr>
      <w:tr>
        <w:tc>
          <w:tcPr>
            <w:vAlign w:val="center"/>
          </w:tcPr>
          <w:p>
            <w:pPr>
              <w:jc w:val="left"/>
            </w:pPr>
            <w:r>
              <w:rPr>
                <w:color w:val="000000"/>
                <w:sz w:val="24"/>
              </w:rPr>
              <w:t>过去一年</w:t>
            </w:r>
          </w:p>
        </w:tc>
        <w:tc>
          <w:tcPr>
            <w:vAlign w:val="center"/>
          </w:tcPr>
          <w:p>
            <w:pPr>
              <w:jc w:val="center"/>
            </w:pPr>
            <w:r>
              <w:rPr>
                <w:color w:val="000000"/>
                <w:sz w:val="24"/>
              </w:rPr>
              <w:t>6.62%</w:t>
            </w:r>
          </w:p>
        </w:tc>
        <w:tc>
          <w:tcPr>
            <w:vAlign w:val="center"/>
          </w:tcPr>
          <w:p>
            <w:pPr>
              <w:jc w:val="center"/>
            </w:pPr>
            <w:r>
              <w:rPr>
                <w:color w:val="000000"/>
                <w:sz w:val="24"/>
              </w:rPr>
              <w:t>1.09%</w:t>
            </w:r>
          </w:p>
        </w:tc>
        <w:tc>
          <w:tcPr>
            <w:vAlign w:val="center"/>
          </w:tcPr>
          <w:p>
            <w:pPr>
              <w:jc w:val="center"/>
            </w:pPr>
            <w:r>
              <w:rPr>
                <w:color w:val="000000"/>
                <w:sz w:val="24"/>
              </w:rPr>
              <w:t>0.39%</w:t>
            </w:r>
          </w:p>
        </w:tc>
        <w:tc>
          <w:tcPr>
            <w:vAlign w:val="center"/>
          </w:tcPr>
          <w:p>
            <w:pPr>
              <w:jc w:val="center"/>
            </w:pPr>
            <w:r>
              <w:rPr>
                <w:color w:val="000000"/>
                <w:sz w:val="24"/>
              </w:rPr>
              <w:t>1.10%</w:t>
            </w:r>
          </w:p>
        </w:tc>
        <w:tc>
          <w:tcPr>
            <w:vAlign w:val="center"/>
          </w:tcPr>
          <w:p>
            <w:pPr>
              <w:jc w:val="center"/>
            </w:pPr>
            <w:r>
              <w:rPr>
                <w:color w:val="000000"/>
                <w:sz w:val="24"/>
              </w:rPr>
              <w:t>6.23%</w:t>
            </w:r>
          </w:p>
        </w:tc>
        <w:tc>
          <w:tcPr>
            <w:vAlign w:val="center"/>
          </w:tcPr>
          <w:p>
            <w:pPr>
              <w:jc w:val="center"/>
            </w:pPr>
            <w:r>
              <w:rPr>
                <w:color w:val="000000"/>
                <w:sz w:val="24"/>
              </w:rPr>
              <w:t>-0.01%</w:t>
            </w:r>
          </w:p>
        </w:tc>
      </w:tr>
      <w:tr>
        <w:tc>
          <w:tcPr>
            <w:vAlign w:val="center"/>
          </w:tcPr>
          <w:p>
            <w:pPr>
              <w:jc w:val="left"/>
            </w:pPr>
            <w:r>
              <w:rPr>
                <w:color w:val="000000"/>
                <w:sz w:val="24"/>
              </w:rPr>
              <w:t>过去三年</w:t>
            </w:r>
          </w:p>
        </w:tc>
        <w:tc>
          <w:tcPr>
            <w:vAlign w:val="center"/>
          </w:tcPr>
          <w:p>
            <w:pPr>
              <w:jc w:val="center"/>
            </w:pPr>
            <w:r>
              <w:rPr>
                <w:color w:val="000000"/>
                <w:sz w:val="24"/>
              </w:rPr>
              <w:t>27.47%</w:t>
            </w:r>
          </w:p>
        </w:tc>
        <w:tc>
          <w:tcPr>
            <w:vAlign w:val="center"/>
          </w:tcPr>
          <w:p>
            <w:pPr>
              <w:jc w:val="center"/>
            </w:pPr>
            <w:r>
              <w:rPr>
                <w:color w:val="000000"/>
                <w:sz w:val="24"/>
              </w:rPr>
              <w:t>1.17%</w:t>
            </w:r>
          </w:p>
        </w:tc>
        <w:tc>
          <w:tcPr>
            <w:vAlign w:val="center"/>
          </w:tcPr>
          <w:p>
            <w:pPr>
              <w:jc w:val="center"/>
            </w:pPr>
            <w:r>
              <w:rPr>
                <w:color w:val="000000"/>
                <w:sz w:val="24"/>
              </w:rPr>
              <w:t>14.66%</w:t>
            </w:r>
          </w:p>
        </w:tc>
        <w:tc>
          <w:tcPr>
            <w:vAlign w:val="center"/>
          </w:tcPr>
          <w:p>
            <w:pPr>
              <w:jc w:val="center"/>
            </w:pPr>
            <w:r>
              <w:rPr>
                <w:color w:val="000000"/>
                <w:sz w:val="24"/>
              </w:rPr>
              <w:t>1.18%</w:t>
            </w:r>
          </w:p>
        </w:tc>
        <w:tc>
          <w:tcPr>
            <w:vAlign w:val="center"/>
          </w:tcPr>
          <w:p>
            <w:pPr>
              <w:jc w:val="center"/>
            </w:pPr>
            <w:r>
              <w:rPr>
                <w:color w:val="000000"/>
                <w:sz w:val="24"/>
              </w:rPr>
              <w:t>12.81%</w:t>
            </w:r>
          </w:p>
        </w:tc>
        <w:tc>
          <w:tcPr>
            <w:vAlign w:val="center"/>
          </w:tcPr>
          <w:p>
            <w:pPr>
              <w:jc w:val="center"/>
            </w:pPr>
            <w:r>
              <w:rPr>
                <w:color w:val="000000"/>
                <w:sz w:val="24"/>
              </w:rPr>
              <w:t>-0.01%</w:t>
            </w:r>
          </w:p>
        </w:tc>
      </w:tr>
      <w:tr>
        <w:tc>
          <w:tcPr>
            <w:vAlign w:val="center"/>
          </w:tcPr>
          <w:p>
            <w:pPr>
              <w:jc w:val="left"/>
            </w:pPr>
            <w:r>
              <w:rPr>
                <w:color w:val="000000"/>
                <w:sz w:val="24"/>
              </w:rPr>
              <w:t>过去五年</w:t>
            </w:r>
          </w:p>
        </w:tc>
        <w:tc>
          <w:tcPr>
            <w:vAlign w:val="center"/>
          </w:tcPr>
          <w:p>
            <w:pPr>
              <w:jc w:val="center"/>
            </w:pPr>
            <w:r>
              <w:rPr>
                <w:color w:val="000000"/>
                <w:sz w:val="24"/>
              </w:rPr>
              <w:t>14.03%</w:t>
            </w:r>
          </w:p>
        </w:tc>
        <w:tc>
          <w:tcPr>
            <w:vAlign w:val="center"/>
          </w:tcPr>
          <w:p>
            <w:pPr>
              <w:jc w:val="center"/>
            </w:pPr>
            <w:r>
              <w:rPr>
                <w:color w:val="000000"/>
                <w:sz w:val="24"/>
              </w:rPr>
              <w:t>1.32%</w:t>
            </w:r>
          </w:p>
        </w:tc>
        <w:tc>
          <w:tcPr>
            <w:vAlign w:val="center"/>
          </w:tcPr>
          <w:p>
            <w:pPr>
              <w:jc w:val="center"/>
            </w:pPr>
            <w:r>
              <w:rPr>
                <w:color w:val="000000"/>
                <w:sz w:val="24"/>
              </w:rPr>
              <w:t>2.47%</w:t>
            </w:r>
          </w:p>
        </w:tc>
        <w:tc>
          <w:tcPr>
            <w:vAlign w:val="center"/>
          </w:tcPr>
          <w:p>
            <w:pPr>
              <w:jc w:val="center"/>
            </w:pPr>
            <w:r>
              <w:rPr>
                <w:color w:val="000000"/>
                <w:sz w:val="24"/>
              </w:rPr>
              <w:t>1.34%</w:t>
            </w:r>
          </w:p>
        </w:tc>
        <w:tc>
          <w:tcPr>
            <w:vAlign w:val="center"/>
          </w:tcPr>
          <w:p>
            <w:pPr>
              <w:jc w:val="center"/>
            </w:pPr>
            <w:r>
              <w:rPr>
                <w:color w:val="000000"/>
                <w:sz w:val="24"/>
              </w:rPr>
              <w:t>11.56%</w:t>
            </w:r>
          </w:p>
        </w:tc>
        <w:tc>
          <w:tcPr>
            <w:vAlign w:val="center"/>
          </w:tcPr>
          <w:p>
            <w:pPr>
              <w:jc w:val="center"/>
            </w:pPr>
            <w:r>
              <w:rPr>
                <w:color w:val="000000"/>
                <w:sz w:val="24"/>
              </w:rPr>
              <w:t>-0.02%</w:t>
            </w:r>
          </w:p>
        </w:tc>
      </w:tr>
      <w:tr>
        <w:tc>
          <w:tcPr>
            <w:vAlign w:val="center"/>
          </w:tcPr>
          <w:p>
            <w:pPr>
              <w:jc w:val="left"/>
            </w:pPr>
            <w:r>
              <w:rPr>
                <w:color w:val="000000"/>
                <w:sz w:val="24"/>
              </w:rPr>
              <w:t>自基金合同生效起至今</w:t>
            </w:r>
          </w:p>
        </w:tc>
        <w:tc>
          <w:tcPr>
            <w:vAlign w:val="center"/>
          </w:tcPr>
          <w:p>
            <w:pPr>
              <w:jc w:val="center"/>
            </w:pPr>
            <w:r>
              <w:rPr>
                <w:color w:val="000000"/>
                <w:sz w:val="24"/>
              </w:rPr>
              <w:t>3.78%</w:t>
            </w:r>
          </w:p>
        </w:tc>
        <w:tc>
          <w:tcPr>
            <w:vAlign w:val="center"/>
          </w:tcPr>
          <w:p>
            <w:pPr>
              <w:jc w:val="center"/>
            </w:pPr>
            <w:r>
              <w:rPr>
                <w:color w:val="000000"/>
                <w:sz w:val="24"/>
              </w:rPr>
              <w:t>1.38%</w:t>
            </w:r>
          </w:p>
        </w:tc>
        <w:tc>
          <w:tcPr>
            <w:vAlign w:val="center"/>
          </w:tcPr>
          <w:p>
            <w:pPr>
              <w:jc w:val="center"/>
            </w:pPr>
            <w:r>
              <w:rPr>
                <w:color w:val="000000"/>
                <w:sz w:val="24"/>
              </w:rPr>
              <w:t>-3.34%</w:t>
            </w:r>
          </w:p>
        </w:tc>
        <w:tc>
          <w:tcPr>
            <w:vAlign w:val="center"/>
          </w:tcPr>
          <w:p>
            <w:pPr>
              <w:jc w:val="center"/>
            </w:pPr>
            <w:r>
              <w:rPr>
                <w:color w:val="000000"/>
                <w:sz w:val="24"/>
              </w:rPr>
              <w:t>1.42%</w:t>
            </w:r>
          </w:p>
        </w:tc>
        <w:tc>
          <w:tcPr>
            <w:vAlign w:val="center"/>
          </w:tcPr>
          <w:p>
            <w:pPr>
              <w:jc w:val="center"/>
            </w:pPr>
            <w:r>
              <w:rPr>
                <w:color w:val="000000"/>
                <w:sz w:val="24"/>
              </w:rPr>
              <w:t>7.12%</w:t>
            </w:r>
          </w:p>
        </w:tc>
        <w:tc>
          <w:tcPr>
            <w:vAlign w:val="center"/>
          </w:tcPr>
          <w:p>
            <w:pPr>
              <w:jc w:val="center"/>
            </w:pPr>
            <w:r>
              <w:rPr>
                <w:color w:val="000000"/>
                <w:sz w:val="24"/>
              </w:rPr>
              <w:t>-0.04%</w:t>
            </w:r>
          </w:p>
        </w:tc>
      </w:tr>
    </w:tbl>
    <w:p w:rsidP="003A4DA3" w:rsidR="001C36D8" w:rsidRDefault="001C36D8" w:rsidRPr="00272E0C">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3.2.2</w:t>
        </w:r>
        <w:r w:rsidR="00193F07" w:rsidRPr="00370BEA">
          <w:rPr>
            <w:rStyle w:val="af8"/>
            <w:rFonts w:hint="eastAsia"/>
            <w:color w:val="000000"/>
            <w:sz w:val="24"/>
            <w:shd w:color="auto" w:fill="FFFFFF" w:val="clear"/>
          </w:rPr>
          <w:t/>
        </w:r>
        <w:proofErr w:type="spellStart"/>
        <w:r w:rsidR="00193F07" w:rsidRPr="00370BEA">
          <w:rPr>
            <w:rStyle w:val="af8"/>
            <w:rFonts w:hint="eastAsia"/>
            <w:color w:val="000000"/>
            <w:sz w:val="24"/>
            <w:shd w:color="auto" w:fill="FFFFFF" w:val="clear"/>
          </w:rPr>
          <w:t/>
        </w:r>
        <w:proofErr w:type="spellEnd"/>
        <w:r w:rsidR="00193F07" w:rsidRPr="00370BEA">
          <w:rPr>
            <w:rStyle w:val="af8"/>
            <w:rFonts w:hint="eastAsia"/>
            <w:color w:val="000000"/>
            <w:sz w:val="24"/>
            <w:shd w:color="auto" w:fill="FFFFFF" w:val="clear"/>
          </w:rPr>
          <w:t>自基金合同生效以来</w:t>
        </w:r>
      </w:smartTag>
      <w:r w:rsidRPr="00272E0C">
        <w:rPr>
          <w:rFonts w:ascii="宋体" w:hAnsi="宋体" w:hint="eastAsia"/>
          <w:b/>
          <w:bCs/>
          <w:color w:val="000000"/>
          <w:sz w:val="24"/>
        </w:rPr>
        <w:t>基金累计净值增长率变动及其与同期业绩比较基准收益率变动的比较</w:t>
      </w:r>
    </w:p>
    <w:p w:rsidP="003A4DA3" w:rsidR="001C36D8" w:rsidRDefault="001C36D8" w:rsidRPr="00E43B0B">
      <w:pPr>
        <w:spacing w:line="360" w:lineRule="auto"/>
        <w:jc w:val="center"/>
        <w:rPr>
          <w:sz w:val="24"/>
        </w:rPr>
      </w:pPr>
      <w:r w:rsidRPr="00E43B0B">
        <w:rPr>
          <w:sz w:val="24"/>
        </w:rPr>
        <w:t/>
      </w:r>
      <w:proofErr w:type="spellStart"/>
      <w:r w:rsidRPr="00E43B0B">
        <w:rPr>
          <w:sz w:val="24"/>
        </w:rPr>
        <w:t/>
      </w:r>
      <w:proofErr w:type="spellEnd"/>
      <w:r w:rsidRPr="00E43B0B">
        <w:rPr>
          <w:sz w:val="24"/>
        </w:rPr>
        <w:t>易方达上证50指数分级证券投资基金</w:t>
      </w:r>
    </w:p>
    <w:p w:rsidP="003A4DA3" w:rsidR="001C36D8" w:rsidRDefault="006F4C30" w:rsidRPr="00E43B0B">
      <w:pPr>
        <w:pStyle w:val="a5"/>
        <w:snapToGrid w:val="0"/>
        <w:spacing w:line="360" w:lineRule="auto"/>
        <w:jc w:val="center"/>
        <w:rPr>
          <w:rFonts w:ascii="Times New Roman" w:hAnsi="Times New Roman"/>
          <w:color w:val="000000"/>
          <w:sz w:val="24"/>
          <w:szCs w:val="24"/>
        </w:rPr>
      </w:pPr>
      <w:r w:rsidRPr="00E43B0B">
        <w:rPr>
          <w:rFonts w:ascii="Times New Roman" w:hAnsi="Times New Roman"/>
          <w:color w:val="000000"/>
          <w:sz w:val="24"/>
          <w:szCs w:val="24"/>
        </w:rPr>
        <w:t>累计</w:t>
      </w:r>
      <w:r w:rsidR="001C36D8" w:rsidRPr="00E43B0B">
        <w:rPr>
          <w:rFonts w:ascii="Times New Roman" w:hAnsi="Times New Roman"/>
          <w:color w:val="000000"/>
          <w:sz w:val="24"/>
          <w:szCs w:val="24"/>
        </w:rPr>
        <w:t>净值增长率与业绩比较基准收益率历史走势对比图</w:t>
      </w:r>
    </w:p>
    <w:p w:rsidP="003A4DA3" w:rsidR="001C36D8" w:rsidRDefault="001C36D8" w:rsidRPr="00E43B0B">
      <w:pPr>
        <w:spacing w:line="360" w:lineRule="auto"/>
        <w:jc w:val="center"/>
        <w:rPr>
          <w:sz w:val="24"/>
        </w:rPr>
      </w:pPr>
      <w:r w:rsidRPr="00E43B0B">
        <w:rPr>
          <w:color w:val="000000"/>
          <w:kern w:val="0"/>
          <w:sz w:val="24"/>
        </w:rPr>
        <w:t>（</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2015年4月15日</w:t>
      </w:r>
      <w:r w:rsidRPr="00E43B0B">
        <w:rPr>
          <w:color w:val="000000"/>
          <w:kern w:val="0"/>
          <w:sz w:val="24"/>
        </w:rPr>
        <w:t>至</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2020年6月30日</w:t>
      </w:r>
      <w:r w:rsidRPr="00E43B0B">
        <w:rPr>
          <w:color w:val="000000"/>
          <w:kern w:val="0"/>
          <w:sz w:val="24"/>
        </w:rPr>
        <w:t>）</w:t>
      </w:r>
    </w:p>
    <w:p w:rsidP="0042253F" w:rsidR="001C36D8" w:rsidRDefault="00FE4BF2" w:rsidRPr="00272E0C">
      <w:pPr>
        <w:tabs>
          <w:tab w:pos="180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1.4pt;height:241.5pt;visibility:visible" type="#_x0000_t75">
            <v:imagedata o:title="" r:id="rId10"/>
          </v:shape>
        </w:pic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注：自基金合同生效至报告期末，基金份额净值增长率为3.78%，同期业绩比较基准收益率为-3.34%。</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4  </w:t>
      </w:r>
      <w:r w:rsidRPr="00272E0C">
        <w:rPr>
          <w:rFonts w:ascii="宋体" w:cs="Arial" w:hAnsi="宋体" w:hint="eastAsia"/>
          <w:color w:val="000000"/>
          <w:kern w:val="0"/>
          <w:sz w:val="24"/>
          <w:szCs w:val="24"/>
        </w:rPr>
        <w:t>管理人报告</w:t>
      </w:r>
    </w:p>
    <w:p w:rsidP="005C6DF3" w:rsidR="005C6DF3" w:rsidRDefault="001C36D8" w:rsidRPr="0078105B">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4.1 </w:t>
      </w:r>
      <w:r w:rsidRPr="00272E0C">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5C6DF3" w:rsidRPr="0078105B" w:rsidTr="00B7074C">
        <w:trPr>
          <w:cantSplit/>
        </w:trPr>
        <w:tc>
          <w:tcPr>
            <w:tcW w:type="dxa" w:w="56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w:t>
            </w:r>
            <w:r w:rsidRPr="00FA472B">
              <w:rPr>
                <w:color w:val="000000"/>
                <w:kern w:val="0"/>
                <w:sz w:val="24"/>
              </w:rPr>
              <w:lastRenderedPageBreak/>
              <w:t>年限</w:t>
            </w:r>
          </w:p>
        </w:tc>
        <w:tc>
          <w:tcPr>
            <w:tcW w:type="dxa" w:w="297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lastRenderedPageBreak/>
              <w:t>说明</w:t>
            </w:r>
          </w:p>
        </w:tc>
      </w:tr>
      <w:tr w:rsidR="005C6DF3" w:rsidRPr="0078105B" w:rsidTr="00B7074C">
        <w:trPr>
          <w:cantSplit/>
        </w:trPr>
        <w:tc>
          <w:tcPr>
            <w:tcW w:type="dxa" w:w="56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835"/>
            <w:vMerge/>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国企改革指数分级证券投资基金的基金经理、易方达军工指数分级证券投资基金的基金经理、易方达证券公司指数分级证券投资基金的基金经理、易方达沪深300交易型开放式指数发起式证券投资基金联接基金的基金经理、易方达沪深300交易型开放式指数发起式证券投资基金的基金经理、易方达中证500交易型开放式指数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黄金交易型开放式证券投资基金联接基金的基金经理、易方达恒生中国企业交易型开放式指数证券投资基金的基金经理、易方达黄金交易型开放式证券投资基金的基金经理、易方达恒生中国企业交易型开放式指数证券投资基金联接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2015-04-15</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C6DF3" w:rsidR="00CB041A" w:rsidRDefault="005C6DF3" w:rsidRPr="00232B03">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CB041A"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4.2</w:t>
      </w:r>
      <w:r w:rsidRPr="00272E0C">
        <w:rPr>
          <w:rFonts w:ascii="宋体" w:hAnsi="宋体" w:hint="eastAsia"/>
          <w:b/>
          <w:bCs/>
          <w:color w:val="000000"/>
          <w:sz w:val="24"/>
        </w:rPr>
        <w:t>管理人对报告期内本基金运作遵规守信情况的说明</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4.3 </w:t>
      </w:r>
      <w:r w:rsidRPr="00272E0C">
        <w:rPr>
          <w:rFonts w:ascii="宋体" w:cs="Arial" w:hAnsi="宋体" w:hint="eastAsia"/>
          <w:b/>
          <w:color w:val="000000"/>
          <w:kern w:val="0"/>
          <w:sz w:val="24"/>
        </w:rPr>
        <w:t>公平交易专项说明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4.3.1</w:t>
        </w:r>
      </w:smartTag>
      <w:r w:rsidRPr="00272E0C">
        <w:rPr>
          <w:rFonts w:ascii="宋体" w:hAnsi="宋体" w:hint="eastAsia"/>
          <w:sz w:val="24"/>
        </w:rPr>
        <w:t>公平交易制度的执行情况</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4.3.2</w:t>
        </w:r>
      </w:smartTag>
      <w:r w:rsidRPr="00272E0C">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本报告期内，未发现本基金有可能导致不公平交易和利益输送的异常交易。</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4.4 </w:t>
      </w:r>
      <w:r w:rsidRPr="00272E0C">
        <w:rPr>
          <w:rFonts w:ascii="宋体" w:cs="Arial" w:hAnsi="宋体" w:hint="eastAsia"/>
          <w:b/>
          <w:color w:val="000000"/>
          <w:kern w:val="0"/>
          <w:sz w:val="24"/>
        </w:rPr>
        <w:t>报告期内基金的投资策略和业绩表现说明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4.4.1</w:t>
        </w:r>
      </w:smartTag>
      <w:r w:rsidRPr="00272E0C">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报告期内本基金为正常运作期，在操作中，我们严格遵守基金合同，坚持既定的指数化投资策略，在指数权重调整和基金申赎变动时，应用指数复制和数量化技术降低冲击成本和减少跟踪误差。</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4.4.2</w:t>
        </w:r>
      </w:smartTag>
      <w:r w:rsidRPr="00272E0C">
        <w:rPr>
          <w:rFonts w:ascii="宋体" w:hAnsi="宋体" w:hint="eastAsia"/>
          <w:sz w:val="24"/>
        </w:rPr>
        <w:t>报告期内基金的业绩表现</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截至报告期末，本基金份额净值为0.9960元，本报告期份额净值增长率为11.68%，同期业绩比较基准收益率为8.93%，日跟踪偏离度的均值为0.05%，年化跟踪误差为1.245%，各项指标均在合同规定的目标控制范围之内。</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5  </w:t>
      </w:r>
      <w:r w:rsidRPr="00272E0C">
        <w:rPr>
          <w:rFonts w:ascii="宋体" w:cs="Arial" w:hAnsi="宋体" w:hint="eastAsia"/>
          <w:color w:val="000000"/>
          <w:kern w:val="0"/>
          <w:sz w:val="24"/>
          <w:szCs w:val="24"/>
        </w:rPr>
        <w:t>投资组合报告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5.1 </w:t>
      </w:r>
      <w:r w:rsidRPr="00272E0C">
        <w:rPr>
          <w:rFonts w:ascii="宋体" w:cs="Arial" w:hAnsi="宋体" w:hint="eastAsia"/>
          <w:b/>
          <w:color w:val="000000"/>
          <w:kern w:val="0"/>
          <w:sz w:val="24"/>
        </w:rPr>
        <w:t>报告期末基金资产组合情况</w:t>
      </w:r>
    </w:p>
    <w:tbl>
      <w:tblPr>
        <w:tblW w:type="dxa" w:w="874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643"/>
        <w:gridCol w:w="3283"/>
        <w:gridCol w:w="2977"/>
        <w:gridCol w:w="1843"/>
      </w:tblGrid>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序号</w:t>
            </w:r>
          </w:p>
        </w:tc>
        <w:tc>
          <w:tcPr>
            <w:tcW w:type="dxa" w:w="3283"/>
            <w:vAlign w:val="center"/>
          </w:tcPr>
          <w:p w:rsidP="001A09F9" w:rsidR="001C36D8" w:rsidRDefault="001C36D8" w:rsidRPr="005B1E0B">
            <w:pPr>
              <w:spacing w:before="29" w:line="360" w:lineRule="auto"/>
              <w:ind w:left="17"/>
              <w:jc w:val="center"/>
              <w:rPr>
                <w:color w:val="000000"/>
                <w:sz w:val="24"/>
              </w:rPr>
            </w:pPr>
            <w:r w:rsidRPr="005B1E0B">
              <w:rPr>
                <w:color w:val="000000"/>
                <w:sz w:val="24"/>
              </w:rPr>
              <w:t>项目</w:t>
            </w:r>
          </w:p>
        </w:tc>
        <w:tc>
          <w:tcPr>
            <w:tcW w:type="dxa" w:w="2977"/>
            <w:vAlign w:val="center"/>
          </w:tcPr>
          <w:p w:rsidP="0015779C" w:rsidR="001C36D8" w:rsidRDefault="001C36D8" w:rsidRPr="005B1E0B">
            <w:pPr>
              <w:spacing w:before="29" w:line="360" w:lineRule="auto"/>
              <w:ind w:left="17"/>
              <w:jc w:val="center"/>
              <w:rPr>
                <w:color w:val="000000"/>
                <w:sz w:val="24"/>
              </w:rPr>
            </w:pPr>
            <w:r w:rsidRPr="005B1E0B">
              <w:rPr>
                <w:color w:val="000000"/>
                <w:sz w:val="24"/>
              </w:rPr>
              <w:t>金额</w:t>
            </w:r>
            <w:r w:rsidR="0015779C" w:rsidRPr="005B1E0B">
              <w:rPr>
                <w:color w:val="000000"/>
                <w:sz w:val="24"/>
              </w:rPr>
              <w:t>（元）</w:t>
            </w:r>
          </w:p>
        </w:tc>
        <w:tc>
          <w:tcPr>
            <w:tcW w:type="dxa" w:w="1843"/>
            <w:vAlign w:val="center"/>
          </w:tcPr>
          <w:p w:rsidP="0015779C" w:rsidR="001C36D8" w:rsidRDefault="001C36D8" w:rsidRPr="005B1E0B">
            <w:pPr>
              <w:spacing w:before="29" w:line="360" w:lineRule="auto"/>
              <w:ind w:left="17"/>
              <w:jc w:val="center"/>
              <w:rPr>
                <w:color w:val="000000"/>
                <w:sz w:val="24"/>
              </w:rPr>
            </w:pPr>
            <w:r w:rsidRPr="005B1E0B">
              <w:rPr>
                <w:color w:val="000000"/>
                <w:sz w:val="24"/>
              </w:rPr>
              <w:t>占基金总资产的比例</w:t>
            </w:r>
            <w:r w:rsidR="0015779C" w:rsidRPr="005B1E0B">
              <w:rPr>
                <w:color w:val="000000"/>
                <w:sz w:val="24"/>
              </w:rPr>
              <w:t>（</w:t>
            </w:r>
            <w:r w:rsidR="0015779C" w:rsidRPr="005B1E0B">
              <w:rPr>
                <w:color w:val="000000"/>
                <w:sz w:val="24"/>
              </w:rPr>
              <w:t>%</w:t>
            </w:r>
            <w:r w:rsidR="0015779C"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1</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权益投资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350,895,408.13</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92.52</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其中：股票</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350,895,408.13</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92.52</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2</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固定收益投资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其中：债券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autoSpaceDE w:val="0"/>
              <w:autoSpaceDN w:val="0"/>
              <w:adjustRightInd w:val="0"/>
              <w:spacing w:before="29" w:line="360" w:lineRule="auto"/>
              <w:ind w:left="17"/>
              <w:jc w:val="left"/>
              <w:rPr>
                <w:color w:val="000000"/>
                <w:sz w:val="24"/>
              </w:rPr>
            </w:pPr>
            <w:r w:rsidRPr="005B1E0B">
              <w:rPr>
                <w:color w:val="000000"/>
                <w:sz w:val="24"/>
              </w:rPr>
              <w:t>资产支持证券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tcPr>
          <w:p w:rsidP="001A09F9" w:rsidR="001C36D8" w:rsidRDefault="001C36D8" w:rsidRPr="005B1E0B">
            <w:pPr>
              <w:spacing w:before="29" w:line="360" w:lineRule="auto"/>
              <w:ind w:left="17"/>
              <w:jc w:val="center"/>
              <w:rPr>
                <w:color w:val="000000"/>
                <w:sz w:val="24"/>
              </w:rPr>
            </w:pPr>
            <w:r w:rsidRPr="005B1E0B">
              <w:rPr>
                <w:color w:val="000000"/>
                <w:sz w:val="24"/>
              </w:rPr>
              <w:t>3</w:t>
            </w:r>
          </w:p>
        </w:tc>
        <w:tc>
          <w:tcPr>
            <w:tcW w:type="dxa" w:w="3283"/>
          </w:tcPr>
          <w:p w:rsidP="0015779C" w:rsidR="001C36D8" w:rsidRDefault="001C36D8" w:rsidRPr="005B1E0B">
            <w:pPr>
              <w:spacing w:before="29" w:line="360" w:lineRule="auto"/>
              <w:ind w:left="105" w:leftChars="50"/>
              <w:rPr>
                <w:color w:val="000000"/>
                <w:sz w:val="24"/>
              </w:rPr>
            </w:pPr>
            <w:r w:rsidRPr="005B1E0B">
              <w:rPr>
                <w:color w:val="000000"/>
                <w:sz w:val="24"/>
              </w:rPr>
              <w:t>贵金属投资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lastRenderedPageBreak/>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4</w:t>
            </w:r>
          </w:p>
        </w:tc>
        <w:tc>
          <w:tcPr>
            <w:tcW w:type="dxa" w:w="3283"/>
            <w:vAlign w:val="center"/>
          </w:tcPr>
          <w:p w:rsidP="001A09F9" w:rsidR="001C36D8" w:rsidRDefault="001C36D8" w:rsidRPr="005B1E0B">
            <w:pPr>
              <w:spacing w:before="29" w:line="360" w:lineRule="auto"/>
              <w:ind w:left="17"/>
              <w:jc w:val="left"/>
              <w:rPr>
                <w:color w:val="000000"/>
                <w:sz w:val="24"/>
              </w:rPr>
            </w:pPr>
            <w:r w:rsidRPr="005B1E0B">
              <w:rPr>
                <w:color w:val="000000"/>
                <w:sz w:val="24"/>
              </w:rPr>
              <w:t>金融衍生品投资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5</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其中：买断式回购的买入返售金融资产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6</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银行存款和结算备付金合计</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28,099,853.86</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r w:rsidRPr="005B1E0B">
              <w:rPr>
                <w:color w:val="000000"/>
                <w:sz w:val="24"/>
              </w:rPr>
              <w:lastRenderedPageBreak/>
              <w:t>7.41</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7</w:t>
            </w:r>
          </w:p>
        </w:tc>
        <w:tc>
          <w:tcPr>
            <w:tcW w:type="dxa" w:w="3283"/>
            <w:vAlign w:val="center"/>
          </w:tcPr>
          <w:p w:rsidP="001A09F9" w:rsidR="001C36D8" w:rsidRDefault="001C36D8" w:rsidRPr="005B1E0B">
            <w:pPr>
              <w:jc w:val="left"/>
              <w:rPr>
                <w:sz w:val="24"/>
              </w:rPr>
            </w:pPr>
            <w:r w:rsidRPr="005B1E0B">
              <w:rPr>
                <w:color w:val="000000"/>
                <w:sz w:val="24"/>
              </w:rPr>
              <w:t>其他资产</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263,701.25</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0.07</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8</w:t>
            </w:r>
          </w:p>
        </w:tc>
        <w:tc>
          <w:tcPr>
            <w:tcW w:type="dxa" w:w="3283"/>
            <w:vAlign w:val="center"/>
          </w:tcPr>
          <w:p w:rsidP="001A09F9" w:rsidR="001C36D8" w:rsidRDefault="001C36D8" w:rsidRPr="005B1E0B">
            <w:pPr>
              <w:jc w:val="left"/>
              <w:rPr>
                <w:sz w:val="24"/>
              </w:rPr>
            </w:pPr>
            <w:r w:rsidRPr="005B1E0B">
              <w:rPr>
                <w:color w:val="000000"/>
                <w:sz w:val="24"/>
              </w:rPr>
              <w:t>合计</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379,258,963.24</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100.00</w:t>
            </w:r>
          </w:p>
        </w:tc>
      </w:tr>
    </w:tbl>
    <w:p w:rsidP="00737AB0" w:rsidR="00737AB0" w:rsidRDefault="00737AB0"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rPr>
      </w:pPr>
      <w:r w:rsidRPr="00220C32">
        <w:rPr>
          <w:rFonts w:asciiTheme="minorEastAsia" w:eastAsiaTheme="minorEastAsia" w:hAnsiTheme="minorEastAsia"/>
          <w:b/>
          <w:bCs/>
          <w:color w:themeColor="text1" w:val="000000"/>
          <w:kern w:val="0"/>
          <w:sz w:val="24"/>
        </w:rPr>
        <w:t xml:space="preserve">5.2 </w:t>
      </w:r>
      <w:r w:rsidRPr="00220C32">
        <w:rPr>
          <w:rFonts w:asciiTheme="minorEastAsia" w:eastAsiaTheme="minorEastAsia" w:hAnsiTheme="minorEastAsia" w:hint="eastAsia"/>
          <w:b/>
          <w:bCs/>
          <w:color w:themeColor="text1" w:val="000000"/>
          <w:kern w:val="0"/>
          <w:sz w:val="24"/>
        </w:rPr>
        <w:t>报告期末按行业分类的股票投资组合</w:t>
      </w:r>
    </w:p>
    <w:p w:rsidP="00737AB0" w:rsidR="00737AB0" w:rsidRDefault="00737AB0" w:rsidRPr="000D7474">
      <w:pPr>
        <w:rPr>
          <w:rFonts w:asciiTheme="minorEastAsia" w:eastAsiaTheme="minorEastAsia" w:hAnsiTheme="minorEastAsia"/>
          <w:b/>
          <w:bCs/>
          <w:color w:themeColor="text1" w:val="000000"/>
          <w:kern w:val="0"/>
          <w:sz w:val="24"/>
        </w:rPr>
      </w:pPr>
      <w:r w:rsidRPr="000D7474">
        <w:rPr>
          <w:rFonts w:asciiTheme="minorEastAsia" w:eastAsiaTheme="minorEastAsia" w:hAnsiTheme="minorEastAsia"/>
          <w:b/>
          <w:bCs/>
          <w:color w:themeColor="text1" w:val="000000"/>
          <w:kern w:val="0"/>
          <w:sz w:val="24"/>
        </w:rPr>
        <w:t/>
      </w:r>
      <w:proofErr w:type="spellStart"/>
      <w:r w:rsidRPr="000D7474">
        <w:rPr>
          <w:rFonts w:asciiTheme="minorEastAsia" w:eastAsiaTheme="minorEastAsia" w:hAnsiTheme="minorEastAsia"/>
          <w:b/>
          <w:bCs/>
          <w:color w:themeColor="text1" w:val="000000"/>
          <w:kern w:val="0"/>
          <w:sz w:val="24"/>
        </w:rPr>
        <w:t/>
      </w:r>
      <w:proofErr w:type="spellEnd"/>
      <w:r w:rsidRPr="000D7474">
        <w:rPr>
          <w:rFonts w:asciiTheme="minorEastAsia" w:eastAsiaTheme="minorEastAsia" w:hAnsiTheme="minorEastAsia"/>
          <w:b/>
          <w:bCs/>
          <w:color w:themeColor="text1" w:val="000000"/>
          <w:kern w:val="0"/>
          <w:sz w:val="24"/>
        </w:rPr>
        <w:t/>
      </w:r>
      <w:r w:rsidRPr="000D7474">
        <w:rPr>
          <w:rFonts w:asciiTheme="minorEastAsia" w:eastAsiaTheme="minorEastAsia" w:hAnsiTheme="minorEastAsia" w:hint="eastAsia"/>
          <w:b/>
          <w:bCs/>
          <w:color w:themeColor="text1" w:val="000000"/>
          <w:kern w:val="0"/>
          <w:sz w:val="24"/>
        </w:rPr>
        <w:t>5.2.1报告期末按行业分类的境内股票投资组合</w:t>
      </w:r>
    </w:p>
    <w:tbl>
      <w:tblPr>
        <w:tblW w:type="dxa" w:w="8976"/>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85"/>
        <w:gridCol w:w="3691"/>
        <w:gridCol w:w="2852"/>
        <w:gridCol w:w="1648"/>
      </w:tblGrid>
      <w:tr w:rsidR="00737AB0" w:rsidRPr="008C2A4F" w:rsidTr="00EF063B">
        <w:trPr>
          <w:trHeight w:val="390"/>
        </w:trPr>
        <w:tc>
          <w:tcPr>
            <w:tcW w:type="dxa" w:w="785"/>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代码</w:t>
            </w: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行业类别</w:t>
            </w:r>
          </w:p>
        </w:tc>
        <w:tc>
          <w:tcPr>
            <w:tcW w:type="dxa" w:w="2852"/>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公允价值（元）</w:t>
            </w:r>
          </w:p>
        </w:tc>
        <w:tc>
          <w:tcPr>
            <w:tcW w:type="dxa" w:w="1648"/>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占基金资产净值比例（％）</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A</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农、林、牧、渔业</w:t>
            </w:r>
          </w:p>
        </w:tc>
        <w:tc>
          <w:tcPr>
            <w:tcW w:type="dxa" w:w="2852"/>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B</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采矿业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12,763,494.24</w:t>
            </w:r>
          </w:p>
          <w:p w:rsidP="00D94F96" w:rsidR="00737AB0" w:rsidRDefault="00737AB0" w:rsidRPr="008C2A4F">
            <w:pPr>
              <w:jc w:val="right"/>
              <w:rPr>
                <w:rFonts w:eastAsiaTheme="minorEastAsia"/>
                <w:color w:themeColor="text1" w:val="000000"/>
                <w:kern w:val="0"/>
                <w:sz w:val="24"/>
              </w:rPr>
            </w:pP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3.45</w:t>
            </w:r>
          </w:p>
          <w:p w:rsidP="00D94F96" w:rsidR="00737AB0" w:rsidRDefault="00737AB0" w:rsidRPr="008C2A4F">
            <w:pPr>
              <w:jc w:val="right"/>
              <w:rPr>
                <w:rFonts w:eastAsiaTheme="minorEastAsia"/>
                <w:color w:themeColor="text1" w:val="000000"/>
                <w:kern w:val="0"/>
                <w:sz w:val="24"/>
              </w:rPr>
            </w:pP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C</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制造业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127,198,409.13</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34.40</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D</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电力、热力、燃气及水生产和供应</w:t>
            </w:r>
            <w:r w:rsidRPr="008C2A4F">
              <w:rPr>
                <w:rFonts w:eastAsiaTheme="minorEastAsia"/>
                <w:color w:themeColor="text1" w:val="000000"/>
                <w:kern w:val="0"/>
                <w:sz w:val="24"/>
              </w:rPr>
              <w:lastRenderedPageBreak/>
              <w:t>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12,766.32</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0.00</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E</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建筑业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8,270,234.31</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2.24</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F</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批发和零售业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G</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交通运输、仓储和邮政业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6,514,076.25</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1.76</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H</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住宿和餐饮业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I</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信息传输、软件和信息技术服务业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7,139,339.04</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1.93</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J</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金融业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167,731,034.14</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45.36</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K</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房地产业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6,312,168.50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1.71</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L</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租赁和商务服务业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8,979,949.00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2.43</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M</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科学研究和技术服务业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5,973,937.20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1.62</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N</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水利、环境和公共设施管理业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O</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居民服务、修理和其他服务业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P</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教育</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Q</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卫生和社会工作</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R</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文化、体育和娱乐业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S</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综合</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合计</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350,895,408.13</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94.89</w:t>
            </w:r>
          </w:p>
        </w:tc>
      </w:tr>
    </w:tbl>
    <w:p w:rsidP="000F2837" w:rsidR="000F2837" w:rsidRDefault="001C36D8" w:rsidRPr="000F2837">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5.3</w:t>
      </w:r>
      <w:r w:rsidR="00291A74" w:rsidRPr="00291A74">
        <w:rPr>
          <w:rFonts w:ascii="宋体" w:cs="Arial" w:hAnsi="宋体" w:hint="eastAsia"/>
          <w:b/>
          <w:color w:val="000000"/>
          <w:kern w:val="0"/>
          <w:sz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0F2837" w:rsidRPr="00264E55" w:rsidTr="002406DE">
        <w:tc>
          <w:tcPr>
            <w:tcW w:type="dxa" w:w="85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序号</w:t>
            </w:r>
          </w:p>
        </w:tc>
        <w:tc>
          <w:tcPr>
            <w:tcW w:type="dxa" w:w="1276"/>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股票代码</w:t>
            </w:r>
          </w:p>
        </w:tc>
        <w:tc>
          <w:tcPr>
            <w:tcW w:type="dxa" w:w="1418"/>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股票名称</w:t>
            </w:r>
          </w:p>
        </w:tc>
        <w:tc>
          <w:tcPr>
            <w:tcW w:type="dxa" w:w="170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数量（股）</w:t>
            </w:r>
          </w:p>
        </w:tc>
        <w:tc>
          <w:tcPr>
            <w:tcW w:type="dxa" w:w="1984"/>
            <w:vAlign w:val="center"/>
          </w:tcPr>
          <w:p w:rsidP="002406DE" w:rsidR="000F2837" w:rsidRDefault="000F2837" w:rsidRPr="00232B03">
            <w:pPr>
              <w:autoSpaceDE w:val="0"/>
              <w:autoSpaceDN w:val="0"/>
              <w:adjustRightInd w:val="0"/>
              <w:spacing w:before="29" w:line="360" w:lineRule="auto"/>
              <w:ind w:left="17"/>
              <w:jc w:val="center"/>
              <w:rPr>
                <w:color w:val="000000"/>
                <w:kern w:val="0"/>
                <w:sz w:val="24"/>
              </w:rPr>
            </w:pPr>
            <w:r w:rsidRPr="00232B03">
              <w:rPr>
                <w:color w:val="000000"/>
                <w:kern w:val="0"/>
                <w:sz w:val="24"/>
              </w:rPr>
              <w:t>公允价值（元）</w:t>
            </w:r>
          </w:p>
        </w:tc>
        <w:tc>
          <w:tcPr>
            <w:tcW w:type="dxa" w:w="1559"/>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占基金资产净值比例（％）</w:t>
            </w:r>
          </w:p>
        </w:tc>
      </w:tr>
      <w:tr>
        <w:tc>
          <w:tcPr>
            <w:vAlign w:val="center"/>
          </w:tcPr>
          <w:p>
            <w:pPr>
              <w:jc w:val="center"/>
            </w:pPr>
            <w:r>
              <w:rPr>
                <w:color w:val="000000"/>
                <w:kern w:val="0"/>
                <w:sz w:val="24"/>
              </w:rPr>
              <w:t>1</w:t>
            </w:r>
          </w:p>
        </w:tc>
        <w:tc>
          <w:tcPr>
            <w:vAlign w:val="center"/>
          </w:tcPr>
          <w:p>
            <w:pPr>
              <w:jc w:val="center"/>
            </w:pPr>
            <w:r>
              <w:rPr>
                <w:color w:val="000000"/>
                <w:kern w:val="0"/>
                <w:sz w:val="24"/>
              </w:rPr>
              <w:t>601318</w:t>
            </w:r>
          </w:p>
        </w:tc>
        <w:tc>
          <w:tcPr>
            <w:vAlign w:val="center"/>
          </w:tcPr>
          <w:p>
            <w:pPr>
              <w:jc w:val="center"/>
            </w:pPr>
            <w:r>
              <w:rPr>
                <w:color w:val="000000"/>
                <w:kern w:val="0"/>
                <w:sz w:val="24"/>
              </w:rPr>
              <w:t>中国平安</w:t>
            </w:r>
          </w:p>
        </w:tc>
        <w:tc>
          <w:tcPr>
            <w:vAlign w:val="center"/>
          </w:tcPr>
          <w:p>
            <w:pPr>
              <w:jc w:val="right"/>
            </w:pPr>
            <w:r>
              <w:rPr>
                <w:color w:val="000000"/>
                <w:kern w:val="0"/>
                <w:sz w:val="24"/>
              </w:rPr>
              <w:t>646,167</w:t>
            </w:r>
          </w:p>
        </w:tc>
        <w:tc>
          <w:tcPr>
            <w:vAlign w:val="center"/>
          </w:tcPr>
          <w:p>
            <w:pPr>
              <w:jc w:val="right"/>
            </w:pPr>
            <w:r>
              <w:rPr>
                <w:color w:val="000000"/>
                <w:kern w:val="0"/>
                <w:sz w:val="24"/>
              </w:rPr>
              <w:t>46,136,323.80</w:t>
            </w:r>
          </w:p>
        </w:tc>
        <w:tc>
          <w:tcPr>
            <w:vAlign w:val="center"/>
          </w:tcPr>
          <w:p>
            <w:pPr>
              <w:jc w:val="right"/>
            </w:pPr>
            <w:r>
              <w:rPr>
                <w:color w:val="000000"/>
                <w:kern w:val="0"/>
                <w:sz w:val="24"/>
              </w:rPr>
              <w:t>12.48</w:t>
            </w:r>
          </w:p>
        </w:tc>
      </w:tr>
      <w:tr>
        <w:tc>
          <w:tcPr>
            <w:vAlign w:val="center"/>
          </w:tcPr>
          <w:p>
            <w:pPr>
              <w:jc w:val="center"/>
            </w:pPr>
            <w:r>
              <w:rPr>
                <w:color w:val="000000"/>
                <w:kern w:val="0"/>
                <w:sz w:val="24"/>
              </w:rPr>
              <w:t>2</w:t>
            </w:r>
          </w:p>
        </w:tc>
        <w:tc>
          <w:tcPr>
            <w:vAlign w:val="center"/>
          </w:tcPr>
          <w:p>
            <w:pPr>
              <w:jc w:val="center"/>
            </w:pPr>
            <w:r>
              <w:rPr>
                <w:color w:val="000000"/>
                <w:kern w:val="0"/>
                <w:sz w:val="24"/>
              </w:rPr>
              <w:t>600519</w:t>
            </w:r>
          </w:p>
        </w:tc>
        <w:tc>
          <w:tcPr>
            <w:vAlign w:val="center"/>
          </w:tcPr>
          <w:p>
            <w:pPr>
              <w:jc w:val="center"/>
            </w:pPr>
            <w:r>
              <w:rPr>
                <w:color w:val="000000"/>
                <w:kern w:val="0"/>
                <w:sz w:val="24"/>
              </w:rPr>
              <w:t>贵州茅台</w:t>
            </w:r>
          </w:p>
        </w:tc>
        <w:tc>
          <w:tcPr>
            <w:vAlign w:val="center"/>
          </w:tcPr>
          <w:p>
            <w:pPr>
              <w:jc w:val="right"/>
            </w:pPr>
            <w:r>
              <w:rPr>
                <w:color w:val="000000"/>
                <w:kern w:val="0"/>
                <w:sz w:val="24"/>
              </w:rPr>
              <w:t>30,001</w:t>
            </w:r>
          </w:p>
        </w:tc>
        <w:tc>
          <w:tcPr>
            <w:vAlign w:val="center"/>
          </w:tcPr>
          <w:p>
            <w:pPr>
              <w:jc w:val="right"/>
            </w:pPr>
            <w:r>
              <w:rPr>
                <w:color w:val="000000"/>
                <w:kern w:val="0"/>
                <w:sz w:val="24"/>
              </w:rPr>
              <w:t>43,887,862.88</w:t>
            </w:r>
          </w:p>
        </w:tc>
        <w:tc>
          <w:tcPr>
            <w:vAlign w:val="center"/>
          </w:tcPr>
          <w:p>
            <w:pPr>
              <w:jc w:val="right"/>
            </w:pPr>
            <w:r>
              <w:rPr>
                <w:color w:val="000000"/>
                <w:kern w:val="0"/>
                <w:sz w:val="24"/>
              </w:rPr>
              <w:t>11.87</w:t>
            </w:r>
          </w:p>
        </w:tc>
      </w:tr>
      <w:tr>
        <w:tc>
          <w:tcPr>
            <w:vAlign w:val="center"/>
          </w:tcPr>
          <w:p>
            <w:pPr>
              <w:jc w:val="center"/>
            </w:pPr>
            <w:r>
              <w:rPr>
                <w:color w:val="000000"/>
                <w:kern w:val="0"/>
                <w:sz w:val="24"/>
              </w:rPr>
              <w:t>3</w:t>
            </w:r>
          </w:p>
        </w:tc>
        <w:tc>
          <w:tcPr>
            <w:vAlign w:val="center"/>
          </w:tcPr>
          <w:p>
            <w:pPr>
              <w:jc w:val="center"/>
            </w:pPr>
            <w:r>
              <w:rPr>
                <w:color w:val="000000"/>
                <w:kern w:val="0"/>
                <w:sz w:val="24"/>
              </w:rPr>
              <w:t>600036</w:t>
            </w:r>
          </w:p>
        </w:tc>
        <w:tc>
          <w:tcPr>
            <w:vAlign w:val="center"/>
          </w:tcPr>
          <w:p>
            <w:pPr>
              <w:jc w:val="center"/>
            </w:pPr>
            <w:r>
              <w:rPr>
                <w:color w:val="000000"/>
                <w:kern w:val="0"/>
                <w:sz w:val="24"/>
              </w:rPr>
              <w:t>招商银行</w:t>
            </w:r>
          </w:p>
        </w:tc>
        <w:tc>
          <w:tcPr>
            <w:vAlign w:val="center"/>
          </w:tcPr>
          <w:p>
            <w:pPr>
              <w:jc w:val="right"/>
            </w:pPr>
            <w:r>
              <w:rPr>
                <w:color w:val="000000"/>
                <w:kern w:val="0"/>
                <w:sz w:val="24"/>
              </w:rPr>
              <w:t>615,275</w:t>
            </w:r>
          </w:p>
        </w:tc>
        <w:tc>
          <w:tcPr>
            <w:vAlign w:val="center"/>
          </w:tcPr>
          <w:p>
            <w:pPr>
              <w:jc w:val="right"/>
            </w:pPr>
            <w:r>
              <w:rPr>
                <w:color w:val="000000"/>
                <w:kern w:val="0"/>
                <w:sz w:val="24"/>
              </w:rPr>
              <w:t>20,747,073.00</w:t>
            </w:r>
          </w:p>
        </w:tc>
        <w:tc>
          <w:tcPr>
            <w:vAlign w:val="center"/>
          </w:tcPr>
          <w:p>
            <w:pPr>
              <w:jc w:val="right"/>
            </w:pPr>
            <w:r>
              <w:rPr>
                <w:color w:val="000000"/>
                <w:kern w:val="0"/>
                <w:sz w:val="24"/>
              </w:rPr>
              <w:t>5.61</w:t>
            </w:r>
          </w:p>
        </w:tc>
      </w:tr>
      <w:tr>
        <w:tc>
          <w:tcPr>
            <w:vAlign w:val="center"/>
          </w:tcPr>
          <w:p>
            <w:pPr>
              <w:jc w:val="center"/>
            </w:pPr>
            <w:r>
              <w:rPr>
                <w:color w:val="000000"/>
                <w:kern w:val="0"/>
                <w:sz w:val="24"/>
              </w:rPr>
              <w:t>4</w:t>
            </w:r>
          </w:p>
        </w:tc>
        <w:tc>
          <w:tcPr>
            <w:vAlign w:val="center"/>
          </w:tcPr>
          <w:p>
            <w:pPr>
              <w:jc w:val="center"/>
            </w:pPr>
            <w:r>
              <w:rPr>
                <w:color w:val="000000"/>
                <w:kern w:val="0"/>
                <w:sz w:val="24"/>
              </w:rPr>
              <w:t>600276</w:t>
            </w:r>
          </w:p>
        </w:tc>
        <w:tc>
          <w:tcPr>
            <w:vAlign w:val="center"/>
          </w:tcPr>
          <w:p>
            <w:pPr>
              <w:jc w:val="center"/>
            </w:pPr>
            <w:r>
              <w:rPr>
                <w:color w:val="000000"/>
                <w:kern w:val="0"/>
                <w:sz w:val="24"/>
              </w:rPr>
              <w:t>恒瑞医药</w:t>
            </w:r>
          </w:p>
        </w:tc>
        <w:tc>
          <w:tcPr>
            <w:vAlign w:val="center"/>
          </w:tcPr>
          <w:p>
            <w:pPr>
              <w:jc w:val="right"/>
            </w:pPr>
            <w:r>
              <w:rPr>
                <w:color w:val="000000"/>
                <w:kern w:val="0"/>
                <w:sz w:val="24"/>
              </w:rPr>
              <w:t>221,597</w:t>
            </w:r>
          </w:p>
        </w:tc>
        <w:tc>
          <w:tcPr>
            <w:vAlign w:val="center"/>
          </w:tcPr>
          <w:p>
            <w:pPr>
              <w:jc w:val="right"/>
            </w:pPr>
            <w:r>
              <w:rPr>
                <w:color w:val="000000"/>
                <w:kern w:val="0"/>
                <w:sz w:val="24"/>
              </w:rPr>
              <w:t>20,453,403.10</w:t>
            </w:r>
          </w:p>
        </w:tc>
        <w:tc>
          <w:tcPr>
            <w:vAlign w:val="center"/>
          </w:tcPr>
          <w:p>
            <w:pPr>
              <w:jc w:val="right"/>
            </w:pPr>
            <w:r>
              <w:rPr>
                <w:color w:val="000000"/>
                <w:kern w:val="0"/>
                <w:sz w:val="24"/>
              </w:rPr>
              <w:t>5.53</w:t>
            </w:r>
          </w:p>
        </w:tc>
      </w:tr>
      <w:tr>
        <w:tc>
          <w:tcPr>
            <w:vAlign w:val="center"/>
          </w:tcPr>
          <w:p>
            <w:pPr>
              <w:jc w:val="center"/>
            </w:pPr>
            <w:r>
              <w:rPr>
                <w:color w:val="000000"/>
                <w:kern w:val="0"/>
                <w:sz w:val="24"/>
              </w:rPr>
              <w:t>5</w:t>
            </w:r>
          </w:p>
        </w:tc>
        <w:tc>
          <w:tcPr>
            <w:vAlign w:val="center"/>
          </w:tcPr>
          <w:p>
            <w:pPr>
              <w:jc w:val="center"/>
            </w:pPr>
            <w:r>
              <w:rPr>
                <w:color w:val="000000"/>
                <w:kern w:val="0"/>
                <w:sz w:val="24"/>
              </w:rPr>
              <w:t>600030</w:t>
            </w:r>
          </w:p>
        </w:tc>
        <w:tc>
          <w:tcPr>
            <w:vAlign w:val="center"/>
          </w:tcPr>
          <w:p>
            <w:pPr>
              <w:jc w:val="center"/>
            </w:pPr>
            <w:r>
              <w:rPr>
                <w:color w:val="000000"/>
                <w:kern w:val="0"/>
                <w:sz w:val="24"/>
              </w:rPr>
              <w:t>中信证券</w:t>
            </w:r>
          </w:p>
        </w:tc>
        <w:tc>
          <w:tcPr>
            <w:vAlign w:val="center"/>
          </w:tcPr>
          <w:p>
            <w:pPr>
              <w:jc w:val="right"/>
            </w:pPr>
            <w:r>
              <w:rPr>
                <w:color w:val="000000"/>
                <w:kern w:val="0"/>
                <w:sz w:val="24"/>
              </w:rPr>
              <w:t>508,209</w:t>
            </w:r>
          </w:p>
        </w:tc>
        <w:tc>
          <w:tcPr>
            <w:vAlign w:val="center"/>
          </w:tcPr>
          <w:p>
            <w:pPr>
              <w:jc w:val="right"/>
            </w:pPr>
            <w:r>
              <w:rPr>
                <w:color w:val="000000"/>
                <w:kern w:val="0"/>
                <w:sz w:val="24"/>
              </w:rPr>
              <w:t>12,252,918.99</w:t>
            </w:r>
          </w:p>
        </w:tc>
        <w:tc>
          <w:tcPr>
            <w:vAlign w:val="center"/>
          </w:tcPr>
          <w:p>
            <w:pPr>
              <w:jc w:val="right"/>
            </w:pPr>
            <w:r>
              <w:rPr>
                <w:color w:val="000000"/>
                <w:kern w:val="0"/>
                <w:sz w:val="24"/>
              </w:rPr>
              <w:t>3.31</w:t>
            </w:r>
          </w:p>
        </w:tc>
      </w:tr>
      <w:tr>
        <w:tc>
          <w:tcPr>
            <w:vAlign w:val="center"/>
          </w:tcPr>
          <w:p>
            <w:pPr>
              <w:jc w:val="center"/>
            </w:pPr>
            <w:r>
              <w:rPr>
                <w:color w:val="000000"/>
                <w:kern w:val="0"/>
                <w:sz w:val="24"/>
              </w:rPr>
              <w:t>6</w:t>
            </w:r>
          </w:p>
        </w:tc>
        <w:tc>
          <w:tcPr>
            <w:vAlign w:val="center"/>
          </w:tcPr>
          <w:p>
            <w:pPr>
              <w:jc w:val="center"/>
            </w:pPr>
            <w:r>
              <w:rPr>
                <w:color w:val="000000"/>
                <w:kern w:val="0"/>
                <w:sz w:val="24"/>
              </w:rPr>
              <w:t>601166</w:t>
            </w:r>
          </w:p>
        </w:tc>
        <w:tc>
          <w:tcPr>
            <w:vAlign w:val="center"/>
          </w:tcPr>
          <w:p>
            <w:pPr>
              <w:jc w:val="center"/>
            </w:pPr>
            <w:r>
              <w:rPr>
                <w:color w:val="000000"/>
                <w:kern w:val="0"/>
                <w:sz w:val="24"/>
              </w:rPr>
              <w:t>兴业银行</w:t>
            </w:r>
          </w:p>
        </w:tc>
        <w:tc>
          <w:tcPr>
            <w:vAlign w:val="center"/>
          </w:tcPr>
          <w:p>
            <w:pPr>
              <w:jc w:val="right"/>
            </w:pPr>
            <w:r>
              <w:rPr>
                <w:color w:val="000000"/>
                <w:kern w:val="0"/>
                <w:sz w:val="24"/>
              </w:rPr>
              <w:t>743,514</w:t>
            </w:r>
          </w:p>
        </w:tc>
        <w:tc>
          <w:tcPr>
            <w:vAlign w:val="center"/>
          </w:tcPr>
          <w:p>
            <w:pPr>
              <w:jc w:val="right"/>
            </w:pPr>
            <w:r>
              <w:rPr>
                <w:color w:val="000000"/>
                <w:kern w:val="0"/>
                <w:sz w:val="24"/>
              </w:rPr>
              <w:t>11,732,650.92</w:t>
            </w:r>
          </w:p>
        </w:tc>
        <w:tc>
          <w:tcPr>
            <w:vAlign w:val="center"/>
          </w:tcPr>
          <w:p>
            <w:pPr>
              <w:jc w:val="right"/>
            </w:pPr>
            <w:r>
              <w:rPr>
                <w:color w:val="000000"/>
                <w:kern w:val="0"/>
                <w:sz w:val="24"/>
              </w:rPr>
              <w:t>3.17</w:t>
            </w:r>
          </w:p>
        </w:tc>
      </w:tr>
      <w:tr>
        <w:tc>
          <w:tcPr>
            <w:vAlign w:val="center"/>
          </w:tcPr>
          <w:p>
            <w:pPr>
              <w:jc w:val="center"/>
            </w:pPr>
            <w:r>
              <w:rPr>
                <w:color w:val="000000"/>
                <w:kern w:val="0"/>
                <w:sz w:val="24"/>
              </w:rPr>
              <w:t>7</w:t>
            </w:r>
          </w:p>
        </w:tc>
        <w:tc>
          <w:tcPr>
            <w:vAlign w:val="center"/>
          </w:tcPr>
          <w:p>
            <w:pPr>
              <w:jc w:val="center"/>
            </w:pPr>
            <w:r>
              <w:rPr>
                <w:color w:val="000000"/>
                <w:kern w:val="0"/>
                <w:sz w:val="24"/>
              </w:rPr>
              <w:t>600887</w:t>
            </w:r>
          </w:p>
        </w:tc>
        <w:tc>
          <w:tcPr>
            <w:vAlign w:val="center"/>
          </w:tcPr>
          <w:p>
            <w:pPr>
              <w:jc w:val="center"/>
            </w:pPr>
            <w:r>
              <w:rPr>
                <w:color w:val="000000"/>
                <w:kern w:val="0"/>
                <w:sz w:val="24"/>
              </w:rPr>
              <w:t>伊利股份</w:t>
            </w:r>
          </w:p>
        </w:tc>
        <w:tc>
          <w:tcPr>
            <w:vAlign w:val="center"/>
          </w:tcPr>
          <w:p>
            <w:pPr>
              <w:jc w:val="right"/>
            </w:pPr>
            <w:r>
              <w:rPr>
                <w:color w:val="000000"/>
                <w:kern w:val="0"/>
                <w:sz w:val="24"/>
              </w:rPr>
              <w:t>361,911</w:t>
            </w:r>
          </w:p>
        </w:tc>
        <w:tc>
          <w:tcPr>
            <w:vAlign w:val="center"/>
          </w:tcPr>
          <w:p>
            <w:pPr>
              <w:jc w:val="right"/>
            </w:pPr>
            <w:r>
              <w:rPr>
                <w:color w:val="000000"/>
                <w:kern w:val="0"/>
                <w:sz w:val="24"/>
              </w:rPr>
              <w:t>11,266,289.43</w:t>
            </w:r>
          </w:p>
        </w:tc>
        <w:tc>
          <w:tcPr>
            <w:vAlign w:val="center"/>
          </w:tcPr>
          <w:p>
            <w:pPr>
              <w:jc w:val="right"/>
            </w:pPr>
            <w:r>
              <w:rPr>
                <w:color w:val="000000"/>
                <w:kern w:val="0"/>
                <w:sz w:val="24"/>
              </w:rPr>
              <w:t>3.05</w:t>
            </w:r>
          </w:p>
        </w:tc>
      </w:tr>
      <w:tr>
        <w:tc>
          <w:tcPr>
            <w:vAlign w:val="center"/>
          </w:tcPr>
          <w:p>
            <w:pPr>
              <w:jc w:val="center"/>
            </w:pPr>
            <w:r>
              <w:rPr>
                <w:color w:val="000000"/>
                <w:kern w:val="0"/>
                <w:sz w:val="24"/>
              </w:rPr>
              <w:t>8</w:t>
            </w:r>
          </w:p>
        </w:tc>
        <w:tc>
          <w:tcPr>
            <w:vAlign w:val="center"/>
          </w:tcPr>
          <w:p>
            <w:pPr>
              <w:jc w:val="center"/>
            </w:pPr>
            <w:r>
              <w:rPr>
                <w:color w:val="000000"/>
                <w:kern w:val="0"/>
                <w:sz w:val="24"/>
              </w:rPr>
              <w:t>601398</w:t>
            </w:r>
          </w:p>
        </w:tc>
        <w:tc>
          <w:tcPr>
            <w:vAlign w:val="center"/>
          </w:tcPr>
          <w:p>
            <w:pPr>
              <w:jc w:val="center"/>
            </w:pPr>
            <w:r>
              <w:rPr>
                <w:color w:val="000000"/>
                <w:kern w:val="0"/>
                <w:sz w:val="24"/>
              </w:rPr>
              <w:t>工商银行</w:t>
            </w:r>
          </w:p>
        </w:tc>
        <w:tc>
          <w:tcPr>
            <w:vAlign w:val="center"/>
          </w:tcPr>
          <w:p>
            <w:pPr>
              <w:jc w:val="right"/>
            </w:pPr>
            <w:r>
              <w:rPr>
                <w:color w:val="000000"/>
                <w:kern w:val="0"/>
                <w:sz w:val="24"/>
              </w:rPr>
              <w:t>2,090,668</w:t>
            </w:r>
          </w:p>
        </w:tc>
        <w:tc>
          <w:tcPr>
            <w:vAlign w:val="center"/>
          </w:tcPr>
          <w:p>
            <w:pPr>
              <w:jc w:val="right"/>
            </w:pPr>
            <w:r>
              <w:rPr>
                <w:color w:val="000000"/>
                <w:kern w:val="0"/>
                <w:sz w:val="24"/>
              </w:rPr>
              <w:t>10,411,526.64</w:t>
            </w:r>
          </w:p>
        </w:tc>
        <w:tc>
          <w:tcPr>
            <w:vAlign w:val="center"/>
          </w:tcPr>
          <w:p>
            <w:pPr>
              <w:jc w:val="right"/>
            </w:pPr>
            <w:r>
              <w:rPr>
                <w:color w:val="000000"/>
                <w:kern w:val="0"/>
                <w:sz w:val="24"/>
              </w:rPr>
              <w:t>2.82</w:t>
            </w:r>
          </w:p>
        </w:tc>
      </w:tr>
      <w:tr>
        <w:tc>
          <w:tcPr>
            <w:vAlign w:val="center"/>
          </w:tcPr>
          <w:p>
            <w:pPr>
              <w:jc w:val="center"/>
            </w:pPr>
            <w:r>
              <w:rPr>
                <w:color w:val="000000"/>
                <w:kern w:val="0"/>
                <w:sz w:val="24"/>
              </w:rPr>
              <w:t>9</w:t>
            </w:r>
          </w:p>
        </w:tc>
        <w:tc>
          <w:tcPr>
            <w:vAlign w:val="center"/>
          </w:tcPr>
          <w:p>
            <w:pPr>
              <w:jc w:val="center"/>
            </w:pPr>
            <w:r>
              <w:rPr>
                <w:color w:val="000000"/>
                <w:kern w:val="0"/>
                <w:sz w:val="24"/>
              </w:rPr>
              <w:t>601888</w:t>
            </w:r>
          </w:p>
        </w:tc>
        <w:tc>
          <w:tcPr>
            <w:vAlign w:val="center"/>
          </w:tcPr>
          <w:p>
            <w:pPr>
              <w:jc w:val="center"/>
            </w:pPr>
            <w:r>
              <w:rPr>
                <w:color w:val="000000"/>
                <w:kern w:val="0"/>
                <w:sz w:val="24"/>
              </w:rPr>
              <w:t>中国中免</w:t>
            </w:r>
          </w:p>
        </w:tc>
        <w:tc>
          <w:tcPr>
            <w:vAlign w:val="center"/>
          </w:tcPr>
          <w:p>
            <w:pPr>
              <w:jc w:val="right"/>
            </w:pPr>
            <w:r>
              <w:rPr>
                <w:color w:val="000000"/>
                <w:kern w:val="0"/>
                <w:sz w:val="24"/>
              </w:rPr>
              <w:t>58,300</w:t>
            </w:r>
          </w:p>
        </w:tc>
        <w:tc>
          <w:tcPr>
            <w:vAlign w:val="center"/>
          </w:tcPr>
          <w:p>
            <w:pPr>
              <w:jc w:val="right"/>
            </w:pPr>
            <w:r>
              <w:rPr>
                <w:color w:val="000000"/>
                <w:kern w:val="0"/>
                <w:sz w:val="24"/>
              </w:rPr>
              <w:t>8,979,949.00</w:t>
            </w:r>
          </w:p>
        </w:tc>
        <w:tc>
          <w:tcPr>
            <w:vAlign w:val="center"/>
          </w:tcPr>
          <w:p>
            <w:pPr>
              <w:jc w:val="right"/>
            </w:pPr>
            <w:r>
              <w:rPr>
                <w:color w:val="000000"/>
                <w:kern w:val="0"/>
                <w:sz w:val="24"/>
              </w:rPr>
              <w:t>2.43</w:t>
            </w:r>
          </w:p>
        </w:tc>
      </w:tr>
      <w:tr>
        <w:tc>
          <w:tcPr>
            <w:vAlign w:val="center"/>
          </w:tcPr>
          <w:p>
            <w:pPr>
              <w:jc w:val="center"/>
            </w:pPr>
            <w:r>
              <w:rPr>
                <w:color w:val="000000"/>
                <w:kern w:val="0"/>
                <w:sz w:val="24"/>
              </w:rPr>
              <w:t>10</w:t>
            </w:r>
          </w:p>
        </w:tc>
        <w:tc>
          <w:tcPr>
            <w:vAlign w:val="center"/>
          </w:tcPr>
          <w:p>
            <w:pPr>
              <w:jc w:val="center"/>
            </w:pPr>
            <w:r>
              <w:rPr>
                <w:color w:val="000000"/>
                <w:kern w:val="0"/>
                <w:sz w:val="24"/>
              </w:rPr>
              <w:t>601328</w:t>
            </w:r>
          </w:p>
        </w:tc>
        <w:tc>
          <w:tcPr>
            <w:vAlign w:val="center"/>
          </w:tcPr>
          <w:p>
            <w:pPr>
              <w:jc w:val="center"/>
            </w:pPr>
            <w:r>
              <w:rPr>
                <w:color w:val="000000"/>
                <w:kern w:val="0"/>
                <w:sz w:val="24"/>
              </w:rPr>
              <w:t>交通银行</w:t>
            </w:r>
          </w:p>
        </w:tc>
        <w:tc>
          <w:tcPr>
            <w:vAlign w:val="center"/>
          </w:tcPr>
          <w:p>
            <w:pPr>
              <w:jc w:val="right"/>
            </w:pPr>
            <w:r>
              <w:rPr>
                <w:color w:val="000000"/>
                <w:kern w:val="0"/>
                <w:sz w:val="24"/>
              </w:rPr>
              <w:t>1,638,943</w:t>
            </w:r>
          </w:p>
        </w:tc>
        <w:tc>
          <w:tcPr>
            <w:vAlign w:val="center"/>
          </w:tcPr>
          <w:p>
            <w:pPr>
              <w:jc w:val="right"/>
            </w:pPr>
            <w:r>
              <w:rPr>
                <w:color w:val="000000"/>
                <w:kern w:val="0"/>
                <w:sz w:val="24"/>
              </w:rPr>
              <w:t>8,407,777.59</w:t>
            </w:r>
          </w:p>
        </w:tc>
        <w:tc>
          <w:tcPr>
            <w:vAlign w:val="center"/>
          </w:tcPr>
          <w:p>
            <w:pPr>
              <w:jc w:val="right"/>
            </w:pPr>
            <w:r>
              <w:rPr>
                <w:color w:val="000000"/>
                <w:kern w:val="0"/>
                <w:sz w:val="24"/>
              </w:rPr>
              <w:t>2.27</w:t>
            </w:r>
          </w:p>
        </w:tc>
      </w:tr>
    </w:tbl>
    <w:p w:rsidP="00653BAC" w:rsidR="00653BAC" w:rsidRDefault="001C36D8" w:rsidRPr="00653BAC">
      <w:pPr>
        <w:autoSpaceDE w:val="0"/>
        <w:autoSpaceDN w:val="0"/>
        <w:adjustRightInd w:val="0"/>
        <w:spacing w:line="360" w:lineRule="auto"/>
        <w:jc w:val="left"/>
        <w:rPr>
          <w:rFonts w:eastAsiaTheme="minorEastAsia"/>
          <w:b/>
          <w:color w:themeColor="text1" w:val="000000"/>
          <w:kern w:val="0"/>
          <w:sz w:val="24"/>
        </w:rPr>
      </w:pPr>
      <w:r w:rsidRPr="00272E0C">
        <w:rPr>
          <w:rFonts w:ascii="宋体" w:cs="Arial" w:hAnsi="宋体"/>
          <w:b/>
          <w:color w:val="000000"/>
          <w:kern w:val="0"/>
          <w:sz w:val="24"/>
        </w:rPr>
        <w:t xml:space="preserve">5.4 </w:t>
      </w:r>
      <w:r w:rsidRPr="00272E0C">
        <w:rPr>
          <w:rFonts w:ascii="宋体" w:cs="Arial" w:hAnsi="宋体" w:hint="eastAsia"/>
          <w:b/>
          <w:color w:val="000000"/>
          <w:kern w:val="0"/>
          <w:sz w:val="24"/>
        </w:rPr>
        <w:t>报告期末按债券品种分类的债券投资组合</w:t>
      </w:r>
    </w:p>
    <w:p w:rsidP="00653BAC" w:rsidR="001C36D8" w:rsidRDefault="00653BAC" w:rsidRPr="00653BAC">
      <w:pPr>
        <w:spacing w:line="360" w:lineRule="auto"/>
        <w:ind w:firstLine="480" w:firstLineChars="200"/>
        <w:rPr>
          <w:color w:val="000000"/>
          <w:sz w:val="24"/>
        </w:rPr>
      </w:pPr>
      <w:r w:rsidRPr="00653BAC">
        <w:rPr>
          <w:color w:val="000000"/>
          <w:sz w:val="24"/>
        </w:rPr>
        <w:t/>
      </w:r>
      <w:proofErr w:type="spellStart"/>
      <w:r w:rsidRPr="00653BAC">
        <w:rPr>
          <w:color w:val="000000"/>
          <w:sz w:val="24"/>
        </w:rPr>
        <w:t/>
      </w:r>
      <w:proofErr w:type="spellEnd"/>
      <w:r w:rsidRPr="00653BAC">
        <w:rPr>
          <w:color w:val="000000"/>
          <w:sz w:val="24"/>
        </w:rPr>
        <w:t/>
      </w:r>
      <w:proofErr w:type="spellStart"/>
      <w:r w:rsidRPr="00653BAC">
        <w:rPr>
          <w:color w:val="000000"/>
          <w:sz w:val="24"/>
        </w:rPr>
        <w:t/>
      </w:r>
      <w:proofErr w:type="spellEnd"/>
      <w:r w:rsidRPr="00653BAC">
        <w:rPr>
          <w:color w:val="000000"/>
          <w:sz w:val="24"/>
        </w:rPr>
        <w:t>本基金本报告期末未持有债券。</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5.5 </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的前五名债券投资明细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r w:rsidRPr="003D22BD">
        <w:rPr>
          <w:color w:val="000000"/>
          <w:sz w:val="24"/>
        </w:rPr>
        <w:lastRenderedPageBreak/>
        <w:t/>
      </w:r>
      <w:proofErr w:type="spellEnd"/>
      <w:r w:rsidRPr="003D22BD">
        <w:rPr>
          <w:color w:val="000000"/>
          <w:sz w:val="24"/>
        </w:rPr>
        <w:t>本基金本报告期末未持有债券。</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5.6</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的前十名资产支持证券投资明细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本基金本报告期末未持有资产支持证券。</w:t>
      </w:r>
    </w:p>
    <w:p w:rsidP="001C123E" w:rsidR="001C36D8" w:rsidRDefault="001C36D8"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5B1E0B" w:rsidR="001C36D8" w:rsidRDefault="001C36D8" w:rsidRPr="005B1E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本基金本报告期末未持有贵金属。</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b/>
          <w:bCs/>
          <w:color w:val="000000"/>
          <w:kern w:val="0"/>
          <w:sz w:val="24"/>
        </w:rPr>
        <w:t/>
      </w:r>
      <w:r>
        <w:rPr>
          <w:rFonts w:ascii="宋体" w:hAnsi="宋体"/>
          <w:b/>
          <w:bCs/>
          <w:color w:val="000000"/>
          <w:kern w:val="0"/>
          <w:sz w:val="24"/>
        </w:rPr>
        <w:t/>
      </w:r>
      <w:r w:rsidRPr="001B0A62">
        <w:rPr>
          <w:rFonts w:ascii="宋体"/>
          <w:b/>
          <w:bCs/>
          <w:color w:val="000000"/>
          <w:kern w:val="0"/>
          <w:sz w:val="24"/>
        </w:rPr>
        <w:t>5.</w:t>
      </w:r>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8</w:t>
      </w:r>
      <w:r w:rsidRPr="00272E0C">
        <w:rPr>
          <w:rFonts w:ascii="宋体" w:hAnsi="宋体" w:hint="eastAsia"/>
          <w:b/>
          <w:bCs/>
          <w:color w:val="000000"/>
          <w:sz w:val="24"/>
        </w:rPr>
        <w:t>报告期末按公允价值占基金资产净值比例大小排</w:t>
      </w:r>
      <w:r>
        <w:rPr>
          <w:rFonts w:ascii="宋体" w:hAnsi="宋体" w:hint="eastAsia"/>
          <w:b/>
          <w:bCs/>
          <w:color w:val="000000"/>
          <w:sz w:val="24"/>
        </w:rPr>
        <w:t>序</w:t>
      </w:r>
      <w:r w:rsidRPr="00272E0C">
        <w:rPr>
          <w:rFonts w:ascii="宋体" w:hAnsi="宋体" w:hint="eastAsia"/>
          <w:b/>
          <w:bCs/>
          <w:color w:val="000000"/>
          <w:sz w:val="24"/>
        </w:rPr>
        <w:t>的前五名权证投资明细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本基金本报告期末未持有权证。</w:t>
      </w:r>
    </w:p>
    <w:p w:rsidP="00E57068" w:rsidR="001C36D8" w:rsidRDefault="00B55281"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5.</w:t>
      </w:r>
      <w:r w:rsidR="001C36D8" w:rsidRPr="001B0A62">
        <w:rPr>
          <w:rFonts w:ascii="宋体" w:hAns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9</w:t>
      </w:r>
      <w:r w:rsidR="001C36D8" w:rsidRPr="00E85E29">
        <w:rPr>
          <w:rFonts w:ascii="宋体" w:hAnsi="宋体" w:hint="eastAsia"/>
          <w:b/>
          <w:sz w:val="24"/>
        </w:rPr>
        <w:t>报告期末本基金投资的股指期货交易情况说明</w:t>
      </w:r>
    </w:p>
    <w:p w:rsidP="003B3D0C" w:rsidR="003B3D0C" w:rsidRDefault="003B3D0C">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576862" w:rsidR="001C36D8" w:rsidRDefault="00B55281" w:rsidRPr="00272E0C">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sz w:val="24"/>
        </w:rPr>
        <w:t/>
      </w:r>
      <w:r w:rsidR="001C36D8">
        <w:rPr>
          <w:rFonts w:ascii="宋体" w:hAnsi="宋体"/>
          <w:b/>
          <w:sz w:val="24"/>
        </w:rPr>
        <w:t>5</w:t>
      </w:r>
      <w:r w:rsidR="001C36D8" w:rsidRPr="00272E0C">
        <w:rPr>
          <w:rFonts w:ascii="宋体"/>
          <w:b/>
          <w:sz w:val="24"/>
        </w:rPr>
        <w:t>.</w:t>
      </w:r>
      <w:r w:rsidR="001C36D8">
        <w:rPr>
          <w:rFonts w:ascii="宋体"/>
          <w:b/>
          <w:sz w:val="24"/>
        </w:rPr>
        <w:t/>
      </w:r>
      <w:r w:rsidR="001C36D8">
        <w:rPr>
          <w:rFonts w:ascii="宋体" w:hAnsi="宋体"/>
          <w:b/>
          <w:sz w:val="24"/>
        </w:rPr>
        <w:t>10</w:t>
      </w:r>
      <w:r w:rsidR="001C36D8" w:rsidRPr="00272E0C">
        <w:rPr>
          <w:rFonts w:ascii="宋体" w:hAnsi="宋体" w:hint="eastAsia"/>
          <w:b/>
          <w:sz w:val="24"/>
        </w:rPr>
        <w:t>报告期末本基金投资的国债期货交易情况说明</w:t>
      </w:r>
    </w:p>
    <w:p w:rsidP="000C44BD" w:rsidR="000C44BD" w:rsidRDefault="000C44BD">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272E0C">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11</w:t>
      </w:r>
      <w:r w:rsidRPr="00272E0C">
        <w:rPr>
          <w:rFonts w:ascii="宋体" w:cs="Arial" w:hAnsi="宋体" w:hint="eastAsia"/>
          <w:b/>
          <w:color w:val="000000"/>
          <w:kern w:val="0"/>
          <w:sz w:val="24"/>
        </w:rPr>
        <w:t>投资组合报告附注</w:t>
      </w:r>
    </w:p>
    <w:p w:rsidP="00576862" w:rsidR="001C36D8" w:rsidRDefault="00B60FD1" w:rsidRPr="005B1E0B">
      <w:pPr>
        <w:spacing w:line="360" w:lineRule="auto"/>
        <w:rPr>
          <w:color w:val="000000"/>
          <w:kern w:val="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5.11.1</w:t>
      </w:r>
      <w:r w:rsidR="00D8121C">
        <w:rPr>
          <w:rFonts w:ascii="宋体" w:hAnsi="宋体" w:hint="eastAsia"/>
          <w:bCs/>
          <w:color w:val="000000"/>
          <w:kern w:val="0"/>
          <w:sz w:val="24"/>
        </w:rPr>
        <w:t xml:space="preserve"> </w:t>
      </w:r>
      <w:r w:rsidR="001C36D8" w:rsidRPr="005B1E0B">
        <w:rPr>
          <w:color w:val="000000"/>
          <w:kern w:val="0"/>
          <w:sz w:val="24"/>
        </w:rPr>
        <w:t>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w:t>
      </w:r>
    </w:p>
    <w:p>
      <w:pPr>
        <w:spacing w:line="360" w:lineRule="auto"/>
        <w:rPr>
          <w:color w:val="000000"/>
          <w:kern w:val="0"/>
          <w:sz w:val="24"/>
        </w:rPr>
      </w:pPr>
      <w:r>
        <w:rPr>
          <w:color w:val="000000"/>
          <w:kern w:val="0"/>
          <w:sz w:val="24"/>
        </w:rPr>
        <w:t>2019年12月27日，中国银行保险监督管理委员会对交通银行股份有限公司如下违法违规行为作出“罚款150万元”的行政处罚：1、授信审批不审慎；2、总行对分支机构管控不力承担管理责任。</w:t>
      </w:r>
    </w:p>
    <w:p>
      <w:pPr>
        <w:spacing w:line="360" w:lineRule="auto"/>
        <w:rPr>
          <w:color w:val="000000"/>
          <w:kern w:val="0"/>
          <w:sz w:val="24"/>
        </w:rPr>
      </w:pPr>
      <w:r>
        <w:rPr>
          <w:color w:val="000000"/>
          <w:kern w:val="0"/>
          <w:sz w:val="24"/>
        </w:rPr>
        <w:t>2020年4月20日，中国银行保险监督管理委员会针对交通银行股份有限公司监管标准化数据（EAST）系统数据质量及数据报送存在以下违法违规行为：1、理财产品数量漏报；2、资金交易信息漏报严重；3、贸易融资业务漏报；4、信贷业务担保合同漏报；5、分户账明细记录应报未报；6、分户账账户数据应报未报；7、关键且应报字段漏报或填报错误，处以责令改正，并处罚款260万元的行政处罚。</w:t>
      </w:r>
    </w:p>
    <w:p>
      <w:pPr>
        <w:spacing w:line="360" w:lineRule="auto"/>
        <w:rPr>
          <w:color w:val="000000"/>
          <w:kern w:val="0"/>
          <w:sz w:val="24"/>
        </w:rPr>
      </w:pPr>
      <w:r>
        <w:rPr>
          <w:color w:val="000000"/>
          <w:kern w:val="0"/>
          <w:sz w:val="24"/>
        </w:rPr>
        <w:t>2020年4月20日，中国银行保险监督管理委员会针对中国工商银行股份有限公司监管标准化数据（EAST）系统数据质量及数据报送存在以下违法违规行为：1、理财产品数量漏报；2、资金交易信息漏报严重；3、信贷资产转让业务漏报；4、贷款核销业务漏报；5、分户账明细记录应报未报；6、分户账账户数据应报未报；7、委托贷款业务应报未报；8、关键且应报字段漏报或填报错误，处以责令改正，并处罚款270万元的行政处罚。</w:t>
      </w:r>
    </w:p>
    <w:p>
      <w:pPr>
        <w:spacing w:line="360" w:lineRule="auto"/>
        <w:rPr>
          <w:color w:val="000000"/>
          <w:kern w:val="0"/>
          <w:sz w:val="24"/>
        </w:rPr>
      </w:pPr>
      <w:r>
        <w:rPr>
          <w:color w:val="000000"/>
          <w:kern w:val="0"/>
          <w:sz w:val="24"/>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pPr>
        <w:spacing w:line="360" w:lineRule="auto"/>
        <w:rPr>
          <w:color w:val="000000"/>
          <w:kern w:val="0"/>
          <w:sz w:val="24"/>
        </w:rPr>
      </w:pPr>
      <w:r>
        <w:rPr>
          <w:color w:val="000000"/>
          <w:kern w:val="0"/>
          <w:sz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spacing w:line="360" w:lineRule="auto"/>
        <w:rPr>
          <w:color w:val="000000"/>
          <w:kern w:val="0"/>
          <w:sz w:val="24"/>
        </w:rPr>
      </w:pPr>
      <w:r>
        <w:rPr>
          <w:color w:val="000000"/>
          <w:kern w:val="0"/>
          <w:sz w:val="24"/>
        </w:rPr>
        <w:t>本基金为指数型基金，上述股票系标的指数成份股，上述股票的投资决策程序符合公司投资制度的规定。除招商银行、交通银行、工商银行、兴业银行外，本基金投资的前十名证券的发行主体本期没有出现被监管部门立案调查，或在报告编制日前一年内受到公开谴责、处罚的情形。</w:t>
      </w:r>
    </w:p>
    <w:p w:rsidP="00576862" w:rsidR="001C36D8" w:rsidRDefault="00B60FD1" w:rsidRPr="005B1E0B">
      <w:pPr>
        <w:spacing w:line="360" w:lineRule="auto"/>
        <w:rPr>
          <w:color w:val="000000"/>
          <w:kern w:val="0"/>
          <w:sz w:val="24"/>
        </w:rPr>
      </w:pPr>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5.11.2</w:t>
      </w:r>
      <w:r w:rsidR="00D8121C">
        <w:rPr>
          <w:rFonts w:ascii="宋体" w:hAnsi="宋体" w:hint="eastAsia"/>
          <w:bCs/>
          <w:color w:val="000000"/>
          <w:kern w:val="0"/>
          <w:sz w:val="24"/>
        </w:rPr>
        <w:t xml:space="preserve"> </w:t>
      </w:r>
      <w:r w:rsidR="001C36D8" w:rsidRPr="005B1E0B">
        <w:rPr>
          <w:color w:val="000000"/>
          <w:kern w:val="0"/>
          <w:sz w:val="24"/>
        </w:rPr>
        <w:t>本基金投资的前十名股票没有超出基金合同规定的备选股票库。</w:t>
      </w:r>
    </w:p>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5.11.3</w:t>
      </w:r>
      <w:r w:rsidR="00FE4BF2">
        <w:rPr>
          <w:rFonts w:ascii="宋体" w:cs="Arial" w:hAnsi="宋体" w:hint="eastAsia"/>
          <w:color w:val="000000"/>
          <w:kern w:val="0"/>
          <w:sz w:val="24"/>
        </w:rPr>
        <w:t>其他</w:t>
      </w:r>
      <w:bookmarkStart w:id="2" w:name="_GoBack"/>
      <w:bookmarkEnd w:id="2"/>
      <w:r w:rsidRPr="00717C29">
        <w:rPr>
          <w:rFonts w:ascii="宋体" w:cs="Arial" w:hAnsi="宋体" w:hint="eastAsia"/>
          <w:color w:val="000000"/>
          <w:kern w:val="0"/>
          <w:sz w:val="24"/>
        </w:rPr>
        <w:t>资产构成</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2761"/>
        <w:gridCol w:w="4808"/>
      </w:tblGrid>
      <w:tr w:rsidR="001C36D8" w:rsidRPr="00272E0C" w:rsidTr="001A09F9">
        <w:tc>
          <w:tcPr>
            <w:tcW w:type="dxa" w:w="959"/>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序号</w:t>
            </w:r>
          </w:p>
        </w:tc>
        <w:tc>
          <w:tcPr>
            <w:tcW w:type="dxa" w:w="2761"/>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名称</w:t>
            </w:r>
          </w:p>
        </w:tc>
        <w:tc>
          <w:tcPr>
            <w:tcW w:type="dxa" w:w="4808"/>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金额（元）</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kern w:val="0"/>
                <w:sz w:val="24"/>
              </w:rPr>
            </w:pPr>
            <w:r w:rsidRPr="005B1E0B">
              <w:rPr>
                <w:color w:val="000000"/>
                <w:sz w:val="24"/>
              </w:rPr>
              <w:t>1</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存出保证金</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29,240.45</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2</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应收证券清算款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3</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应收股利</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4</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应收利息</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4,371.78</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5</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应收申购款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230,089.02</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6</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其他应收款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7</w:t>
            </w:r>
          </w:p>
        </w:tc>
        <w:tc>
          <w:tcPr>
            <w:tcW w:type="dxa" w:w="2761"/>
          </w:tcPr>
          <w:p w:rsidP="0015779C" w:rsidR="001C36D8" w:rsidRDefault="001C36D8" w:rsidRPr="005B1E0B">
            <w:pPr>
              <w:autoSpaceDE w:val="0"/>
              <w:autoSpaceDN w:val="0"/>
              <w:adjustRightInd w:val="0"/>
              <w:spacing w:before="29" w:line="360" w:lineRule="auto"/>
              <w:ind w:left="105" w:leftChars="50"/>
              <w:rPr>
                <w:color w:val="000000"/>
                <w:sz w:val="24"/>
              </w:rPr>
            </w:pPr>
            <w:r w:rsidRPr="005B1E0B">
              <w:rPr>
                <w:color w:val="000000"/>
                <w:sz w:val="24"/>
              </w:rPr>
              <w:t>待摊费用</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8</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9</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合计</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263,701.25</w:t>
            </w:r>
          </w:p>
        </w:tc>
      </w:tr>
    </w:tbl>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5.11.4</w:t>
      </w:r>
      <w:r w:rsidRPr="00717C29">
        <w:rPr>
          <w:rFonts w:ascii="宋体" w:cs="Arial" w:hAnsi="宋体" w:hint="eastAsia"/>
          <w:color w:val="000000"/>
          <w:kern w:val="0"/>
          <w:sz w:val="24"/>
        </w:rPr>
        <w:t>报告期末持有的处于转股期的可转换债券明细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本基金本报告期末未持有处于转股期的可转换债券。</w:t>
      </w:r>
    </w:p>
    <w:p w:rsidP="00924A95" w:rsidR="00924A95" w:rsidRDefault="00924A95" w:rsidRPr="001C7E00">
      <w:pPr>
        <w:autoSpaceDE w:val="0"/>
        <w:autoSpaceDN w:val="0"/>
        <w:adjustRightInd w:val="0"/>
        <w:spacing w:line="360" w:lineRule="auto"/>
        <w:jc w:val="left"/>
        <w:rPr>
          <w:rFonts w:ascii="宋体"/>
          <w:bCs/>
          <w:color w:val="000000"/>
          <w:kern w:val="0"/>
          <w:sz w:val="24"/>
        </w:rPr>
      </w:pPr>
      <w:r w:rsidRPr="001C7E00">
        <w:rPr>
          <w:rFonts w:ascii="宋体"/>
          <w:bCs/>
          <w:color w:val="000000"/>
          <w:kern w:val="0"/>
          <w:sz w:val="24"/>
        </w:rPr>
        <w:t/>
      </w:r>
      <w:r w:rsidRPr="001C7E00">
        <w:rPr>
          <w:rFonts w:ascii="宋体" w:hAnsi="宋体"/>
          <w:bCs/>
          <w:color w:val="000000"/>
          <w:kern w:val="0"/>
          <w:sz w:val="24"/>
        </w:rPr>
        <w:t>5.11.5</w:t>
      </w:r>
      <w:r w:rsidRPr="001C7E00">
        <w:rPr>
          <w:rFonts w:ascii="宋体" w:hAnsi="宋体" w:hint="eastAsia"/>
          <w:bCs/>
          <w:color w:val="000000"/>
          <w:kern w:val="0"/>
          <w:sz w:val="24"/>
        </w:rPr>
        <w:t>报告期末前十名股票中存在流通受限情况的说明</w:t>
      </w:r>
    </w:p>
    <w:p w:rsidP="005B1E0B" w:rsidR="001C36D8" w:rsidRDefault="00924A95" w:rsidRPr="005B1E0B">
      <w:pPr>
        <w:spacing w:line="360" w:lineRule="auto"/>
        <w:ind w:firstLine="480" w:firstLineChars="200"/>
        <w:rPr>
          <w:color w:val="000000"/>
          <w:sz w:val="24"/>
        </w:rPr>
      </w:pPr>
      <w:r w:rsidRPr="006C56AA">
        <w:rPr>
          <w:color w:val="000000"/>
          <w:sz w:val="24"/>
        </w:rPr>
        <w:t/>
      </w:r>
      <w:r w:rsidRPr="006C56AA">
        <w:rPr>
          <w:color w:val="000000"/>
          <w:sz w:val="24"/>
        </w:rPr>
        <w:lastRenderedPageBreak/>
        <w:t>本基金本报告期末前十名股票中不存在流通受限情况。</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开放式基金份额变动</w:t>
      </w:r>
    </w:p>
    <w:p w:rsidP="0019563C" w:rsidR="001C36D8" w:rsidRDefault="001C36D8" w:rsidRPr="00272E0C">
      <w:pPr>
        <w:autoSpaceDE w:val="0"/>
        <w:autoSpaceDN w:val="0"/>
        <w:adjustRightInd w:val="0"/>
        <w:spacing w:before="29" w:line="360" w:lineRule="auto"/>
        <w:ind w:left="15"/>
        <w:jc w:val="right"/>
        <w:rPr>
          <w:rFonts w:ascii="宋体" w:cs="Arial"/>
          <w:color w:val="000000"/>
          <w:kern w:val="0"/>
          <w:sz w:val="24"/>
        </w:rPr>
      </w:pPr>
      <w:r w:rsidRPr="00272E0C">
        <w:rPr>
          <w:rFonts w:ascii="宋体" w:cs="Arial" w:hAnsi="宋体" w:hint="eastAsia"/>
          <w:color w:val="000000"/>
          <w:kern w:val="0"/>
          <w:sz w:val="24"/>
        </w:rPr>
        <w:t>单位：份</w:t>
      </w:r>
    </w:p>
    <w:tbl>
      <w:tblPr>
        <w:tblW w:type="dxa" w:w="8719"/>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1774"/>
        <w:gridCol w:w="2409"/>
        <w:gridCol w:w="2410"/>
        <w:gridCol w:w="2126"/>
      </w:tblGrid>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项目</w:t>
            </w:r>
          </w:p>
        </w:tc>
        <w:tc>
          <w:tcPr>
            <w:tcW w:type="dxa" w:w="2409"/>
            <w:vAlign w:val="center"/>
          </w:tcPr>
          <w:p w:rsidP="005B14F0" w:rsidR="001C36D8" w:rsidRDefault="001C36D8" w:rsidRPr="005B1E0B">
            <w:pPr>
              <w:autoSpaceDE w:val="0"/>
              <w:autoSpaceDN w:val="0"/>
              <w:adjustRightInd w:val="0"/>
              <w:spacing w:before="29" w:line="360" w:lineRule="auto"/>
              <w:ind w:left="17"/>
              <w:jc w:val="right"/>
              <w:rPr>
                <w:sz w:val="24"/>
              </w:rPr>
            </w:pPr>
            <w:r w:rsidRPr="005B1E0B">
              <w:rPr>
                <w:color w:val="000000"/>
                <w:kern w:val="0"/>
                <w:sz w:val="24"/>
              </w:rPr>
              <w:t/>
            </w:r>
            <w:proofErr w:type="spellStart"/>
            <w:r w:rsidRPr="005B1E0B">
              <w:rPr>
                <w:sz w:val="24"/>
              </w:rPr>
              <w:t/>
            </w:r>
            <w:proofErr w:type="spellEnd"/>
            <w:r w:rsidRPr="005B1E0B">
              <w:rPr>
                <w:sz w:val="24"/>
              </w:rPr>
              <w:t>易方达上证50分级</w:t>
            </w:r>
          </w:p>
        </w:tc>
        <w:tc>
          <w:tcPr>
            <w:tcW w:type="dxa" w:w="2410"/>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易方达上证50分级A</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易方达上证50分级B</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报告期期初基金份额总额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158,841,265.53</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142,630,379.00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142,630,379.00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基金总申购份额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11,544,149.76</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减：</w:t>
            </w: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基金总赎回份额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95,318,286.17</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rPr>
          <w:trHeight w:val="1718"/>
        </w:trPr>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lastRenderedPageBreak/>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基金拆分变动份额</w:t>
            </w:r>
            <w:r w:rsidR="005541BC" w:rsidRPr="00921BFA">
              <w:rPr>
                <w:rFonts w:hint="eastAsia"/>
                <w:color w:val="000000"/>
                <w:kern w:val="0"/>
                <w:sz w:val="24"/>
              </w:rPr>
              <w:t>（份额减少以“</w:t>
            </w:r>
            <w:r w:rsidR="005541BC" w:rsidRPr="00921BFA">
              <w:rPr>
                <w:rFonts w:hint="eastAsia"/>
                <w:color w:val="000000"/>
                <w:kern w:val="0"/>
                <w:sz w:val="24"/>
              </w:rPr>
              <w:t>-</w:t>
            </w:r>
            <w:r w:rsidR="005541BC" w:rsidRPr="00921BFA">
              <w:rPr>
                <w:rFonts w:hint="eastAsia"/>
                <w:color w:val="000000"/>
                <w:kern w:val="0"/>
                <w:sz w:val="24"/>
              </w:rPr>
              <w:t>”填列）</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86,304,667.36</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-37,675,750.00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-37,675,750.00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报告期期末基金份额总额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161,371,796.48</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104,954,629.00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sz w:val="24"/>
              </w:rPr>
              <w:t/>
            </w:r>
            <w:proofErr w:type="spellEnd"/>
            <w:r w:rsidRPr="005B1E0B">
              <w:rPr>
                <w:sz w:val="24"/>
              </w:rPr>
              <w:t>104,954,629.00</w:t>
            </w:r>
          </w:p>
        </w:tc>
      </w:tr>
    </w:tbl>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注：拆分变动份额包括三类份额之间的配对转换份额及折算调整份额。</w:t>
      </w:r>
    </w:p>
    <w:p w:rsidP="005C6DF3" w:rsidR="001C36D8" w:rsidRDefault="001C36D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olor w:val="000000"/>
          <w:kern w:val="0"/>
          <w:sz w:val="24"/>
          <w:szCs w:val="24"/>
        </w:rPr>
        <w:t/>
      </w:r>
      <w:proofErr w:type="spellStart"/>
      <w:r>
        <w:rPr>
          <w:rFonts w:ascii="宋体" w:hAnsi="宋体"/>
          <w:color w:val="000000"/>
          <w:kern w:val="0"/>
          <w:sz w:val="24"/>
          <w:szCs w:val="24"/>
        </w:rPr>
        <w:t/>
      </w:r>
      <w:proofErr w:type="spellEnd"/>
      <w:r>
        <w:rPr>
          <w:rFonts w:ascii="宋体" w:hAnsi="宋体"/>
          <w:color w:val="000000"/>
          <w:kern w:val="0"/>
          <w:sz w:val="24"/>
          <w:szCs w:val="24"/>
        </w:rPr>
        <w:t/>
      </w: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5B1E0B" w:rsidR="001C36D8" w:rsidRDefault="00BF63AF" w:rsidRPr="005B1E0B">
      <w:pPr>
        <w:spacing w:line="360" w:lineRule="auto"/>
        <w:ind w:firstLine="480" w:firstLineChars="200"/>
        <w:rPr>
          <w:color w:val="000000"/>
          <w:sz w:val="24"/>
        </w:rPr>
      </w:pPr>
      <w:r w:rsidRPr="00510DAB">
        <w:rPr>
          <w:color w:val="000000"/>
          <w:sz w:val="24"/>
        </w:rPr>
        <w:t/>
      </w:r>
      <w:proofErr w:type="spellStart"/>
      <w:r w:rsidRPr="00510DAB">
        <w:rPr>
          <w:color w:val="000000"/>
          <w:sz w:val="24"/>
        </w:rPr>
        <w:t/>
      </w:r>
      <w:proofErr w:type="spellEnd"/>
      <w:r w:rsidRPr="00510DAB">
        <w:rPr>
          <w:color w:val="000000"/>
          <w:sz w:val="24"/>
        </w:rPr>
        <w:t>本报告期内基金管理人未持有本基金份额。</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本报告期内基金管理人未运用固有资金申购、赎回、买卖本基金份额。</w:t>
      </w:r>
    </w:p>
    <w:p w:rsidP="00A12EEF" w:rsidR="00A12EEF" w:rsidRDefault="00A12EEF" w:rsidRPr="005D2CC7">
      <w:pPr>
        <w:pStyle w:val="1"/>
        <w:spacing w:after="312" w:afterLines="100" w:before="312" w:beforeLines="100" w:line="360" w:lineRule="auto"/>
        <w:jc w:val="center"/>
        <w:rPr>
          <w:rFonts w:ascii="宋体" w:cs="Arial" w:hAnsi="宋体"/>
          <w:color w:val="000000"/>
          <w:kern w:val="0"/>
          <w:sz w:val="24"/>
          <w:szCs w:val="24"/>
        </w:rPr>
      </w:pPr>
      <w:r w:rsidRPr="005D2CC7">
        <w:rPr>
          <w:rFonts w:ascii="宋体" w:cs="Arial" w:hAnsi="宋体"/>
          <w:color w:val="000000"/>
          <w:kern w:val="0"/>
          <w:sz w:val="24"/>
          <w:szCs w:val="24"/>
        </w:rPr>
        <w:t/>
      </w:r>
      <w:proofErr w:type="spellStart"/>
      <w:r w:rsidRPr="005D2CC7">
        <w:rPr>
          <w:rFonts w:ascii="宋体" w:cs="Arial" w:hAnsi="宋体"/>
          <w:color w:val="000000"/>
          <w:kern w:val="0"/>
          <w:sz w:val="24"/>
          <w:szCs w:val="24"/>
        </w:rPr>
        <w:t/>
      </w:r>
      <w:proofErr w:type="spellEnd"/>
      <w:r w:rsidRPr="005D2CC7">
        <w:rPr>
          <w:rFonts w:ascii="宋体" w:cs="Arial" w:hAnsi="宋体"/>
          <w:color w:val="000000"/>
          <w:kern w:val="0"/>
          <w:sz w:val="24"/>
          <w:szCs w:val="24"/>
        </w:rPr>
        <w:t>§8</w:t>
      </w:r>
      <w:r w:rsidR="005D2CC7" w:rsidRPr="00272E0C">
        <w:rPr>
          <w:rFonts w:ascii="宋体" w:cs="Arial" w:hAnsi="宋体"/>
          <w:color w:val="000000"/>
          <w:kern w:val="0"/>
          <w:sz w:val="24"/>
          <w:szCs w:val="24"/>
        </w:rPr>
        <w:t xml:space="preserve">  </w:t>
      </w:r>
      <w:r w:rsidRPr="005D2CC7">
        <w:rPr>
          <w:rFonts w:ascii="宋体" w:cs="Arial" w:hAnsi="宋体"/>
          <w:color w:val="000000"/>
          <w:kern w:val="0"/>
          <w:sz w:val="24"/>
          <w:szCs w:val="24"/>
        </w:rPr>
        <w:t>影响投资者决策的其他重要信息</w:t>
      </w:r>
    </w:p>
    <w:p w:rsidP="004B7CA0" w:rsidR="004B7CA0" w:rsidRDefault="004B7CA0" w:rsidRPr="00654C5E">
      <w:pPr>
        <w:autoSpaceDE w:val="0"/>
        <w:autoSpaceDN w:val="0"/>
        <w:adjustRightInd w:val="0"/>
        <w:spacing w:line="360" w:lineRule="auto"/>
        <w:jc w:val="left"/>
        <w:rPr>
          <w:rFonts w:ascii="宋体"/>
          <w:b/>
          <w:bCs/>
          <w:color w:val="000000"/>
          <w:kern w:val="0"/>
          <w:sz w:val="24"/>
        </w:rPr>
      </w:pPr>
      <w:r w:rsidRPr="00654C5E">
        <w:rPr>
          <w:rFonts w:ascii="宋体"/>
          <w:b/>
          <w:bCs/>
          <w:color w:val="000000"/>
          <w:kern w:val="0"/>
          <w:sz w:val="24"/>
        </w:rPr>
        <w:t/>
      </w:r>
      <w:proofErr w:type="spellStart"/>
      <w:r w:rsidRPr="00654C5E">
        <w:rPr>
          <w:rFonts w:ascii="宋体"/>
          <w:b/>
          <w:bCs/>
          <w:color w:val="000000"/>
          <w:kern w:val="0"/>
          <w:sz w:val="24"/>
        </w:rPr>
        <w:t/>
      </w:r>
      <w:proofErr w:type="spellEnd"/>
      <w:r w:rsidRPr="00654C5E">
        <w:rPr>
          <w:rFonts w:ascii="宋体"/>
          <w:b/>
          <w:bCs/>
          <w:color w:val="000000"/>
          <w:kern w:val="0"/>
          <w:sz w:val="24"/>
        </w:rPr>
        <w:t>8.1 影响投资者决策的其他重要信息</w:t>
      </w:r>
    </w:p>
    <w:p w:rsidP="004B7CA0" w:rsidR="001C36D8" w:rsidRDefault="004B7CA0" w:rsidRPr="003D22BD">
      <w:pPr>
        <w:spacing w:line="360" w:lineRule="auto"/>
        <w:ind w:firstLine="480" w:firstLineChars="200"/>
        <w:rPr>
          <w:color w:val="000000"/>
          <w:sz w:val="24"/>
        </w:rPr>
      </w:pPr>
      <w:r w:rsidRPr="00FC0759">
        <w:rPr>
          <w:rFonts w:eastAsiaTheme="minorEastAsia"/>
          <w:color w:themeColor="text1" w:val="000000"/>
          <w:sz w:val="24"/>
        </w:rPr>
        <w:t/>
      </w:r>
      <w:proofErr w:type="spellStart"/>
      <w:r w:rsidRPr="00FC0759">
        <w:rPr>
          <w:color w:themeColor="text1" w:val="000000"/>
          <w:sz w:val="24"/>
        </w:rPr>
        <w:t/>
      </w:r>
      <w:proofErr w:type="spellEnd"/>
      <w:r w:rsidRPr="00FC0759">
        <w:rPr>
          <w:rFonts w:eastAsiaTheme="minorEastAsia"/>
          <w:color w:themeColor="text1" w:val="000000"/>
          <w:sz w:val="24"/>
        </w:rPr>
        <w:t>根据《关于规范金融机构资产管理业务的指导意见》（以下简称《资管新规》）要求，公募产品不得进行份额分级，应在《资管新规》规定的过渡期结束前（即2020年12月31日前）进行整改规范，请投资者关注相关风险以及基金管理人届时发布的相关公告。</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color w:val="000000"/>
          <w:kern w:val="0"/>
          <w:sz w:val="24"/>
          <w:szCs w:val="24"/>
        </w:rPr>
        <w:t/>
      </w:r>
      <w:r w:rsidRPr="00272E0C">
        <w:rPr>
          <w:rFonts w:ascii="宋体" w:cs="Arial" w:hAnsi="宋体"/>
          <w:color w:val="000000"/>
          <w:kern w:val="0"/>
          <w:sz w:val="24"/>
          <w:szCs w:val="24"/>
        </w:rPr>
        <w:t>9</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备查文件目录</w:t>
      </w:r>
    </w:p>
    <w:p w:rsidP="001078B6" w:rsidR="001C36D8" w:rsidRDefault="001C36D8" w:rsidRPr="00CE2DE4">
      <w:pPr>
        <w:spacing w:line="360" w:lineRule="auto"/>
        <w:rPr>
          <w:rFonts w:ascii="宋体"/>
          <w:b/>
          <w:color w:val="000000"/>
          <w:kern w:val="0"/>
          <w:sz w:val="24"/>
        </w:rPr>
      </w:pPr>
      <w:r w:rsidRPr="00CE2DE4">
        <w:rPr>
          <w:rFonts w:ascii="宋体"/>
          <w:b/>
          <w:color w:val="000000"/>
          <w:sz w:val="24"/>
        </w:rPr>
        <w:t/>
      </w:r>
      <w:r w:rsidRPr="00CE2DE4">
        <w:rPr>
          <w:rFonts w:ascii="宋体" w:hAnsi="宋体"/>
          <w:b/>
          <w:color w:val="000000"/>
          <w:sz w:val="24"/>
        </w:rPr>
        <w:t xml:space="preserve">9.1 </w:t>
      </w:r>
      <w:r w:rsidRPr="00CE2DE4">
        <w:rPr>
          <w:rFonts w:ascii="宋体" w:hAnsi="宋体" w:hint="eastAsia"/>
          <w:b/>
          <w:color w:val="000000"/>
          <w:sz w:val="24"/>
        </w:rPr>
        <w:t>备查文件目录</w:t>
      </w:r>
    </w:p>
    <w:p>
      <w:pPr>
        <w:spacing w:line="360" w:lineRule="auto"/>
        <w:ind w:firstLine="480" w:firstLineChars="200"/>
        <w:rPr>
          <w:color w:val="000000"/>
          <w:sz w:val="24"/>
        </w:rPr>
      </w:pPr>
      <w:r>
        <w:rPr>
          <w:color w:val="000000"/>
          <w:sz w:val="24"/>
        </w:rPr>
        <w:t>1. 中国证监会准予易方达上证50指数分级证券投资基金募集注册的文件；</w:t>
      </w:r>
    </w:p>
    <w:p>
      <w:pPr>
        <w:spacing w:line="360" w:lineRule="auto"/>
        <w:ind w:firstLine="480" w:firstLineChars="200"/>
        <w:rPr>
          <w:color w:val="000000"/>
          <w:sz w:val="24"/>
        </w:rPr>
      </w:pPr>
      <w:r>
        <w:rPr>
          <w:color w:val="000000"/>
          <w:sz w:val="24"/>
        </w:rPr>
        <w:t>2. 《易方达上证50指数分级证券投资基金基金合同》；</w:t>
      </w:r>
    </w:p>
    <w:p>
      <w:pPr>
        <w:spacing w:line="360" w:lineRule="auto"/>
        <w:ind w:firstLine="480" w:firstLineChars="200"/>
        <w:rPr>
          <w:color w:val="000000"/>
          <w:sz w:val="24"/>
        </w:rPr>
      </w:pPr>
      <w:r>
        <w:rPr>
          <w:color w:val="000000"/>
          <w:sz w:val="24"/>
        </w:rPr>
        <w:t>3. 《易方达上证50指数分级证券投资基金托管协议》；</w:t>
      </w:r>
    </w:p>
    <w:p w:rsidP="00E43B0B" w:rsidR="001C36D8" w:rsidRDefault="001C36D8" w:rsidRPr="00E43B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4. 基金管理人业务资格批件和营业执照。</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9.2 </w:t>
      </w:r>
      <w:r w:rsidRPr="00CE2DE4">
        <w:rPr>
          <w:rFonts w:ascii="宋体" w:hAnsi="宋体" w:hint="eastAsia"/>
          <w:b/>
          <w:color w:val="000000"/>
          <w:sz w:val="24"/>
        </w:rPr>
        <w:t>存放地点</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广州市天河区珠江新城珠江东路30号广州银行大厦40-43楼。</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9.3 </w:t>
      </w:r>
      <w:r w:rsidRPr="00CE2DE4">
        <w:rPr>
          <w:rFonts w:ascii="宋体" w:hAnsi="宋体" w:hint="eastAsia"/>
          <w:b/>
          <w:color w:val="000000"/>
          <w:sz w:val="24"/>
        </w:rPr>
        <w:t>查阅方式</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投资者可在营业时间免费查阅，也可按工本费购买复印件。</w:t>
      </w:r>
    </w:p>
    <w:p w:rsidP="0019563C" w:rsidR="001C36D8" w:rsidRDefault="001C36D8" w:rsidRPr="00272E0C">
      <w:pPr>
        <w:spacing w:line="360" w:lineRule="auto"/>
        <w:ind w:left="840"/>
        <w:jc w:val="right"/>
        <w:rPr>
          <w:rFonts w:ascii="宋体"/>
          <w:color w:val="000000"/>
          <w:sz w:val="24"/>
        </w:rPr>
      </w:pPr>
      <w:r w:rsidRPr="00272E0C">
        <w:rPr>
          <w:rFonts w:ascii="宋体"/>
          <w:color w:val="000000"/>
          <w:sz w:val="24"/>
        </w:rPr>
        <w:tab/>
      </w: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078B6" w:rsidR="001C36D8" w:rsidRDefault="001C36D8" w:rsidRPr="00272E0C">
      <w:pPr>
        <w:spacing w:line="360" w:lineRule="auto"/>
        <w:jc w:val="right"/>
        <w:rPr>
          <w:rFonts w:ascii="宋体" w:hAnsi="宋体"/>
          <w:b/>
          <w:bCs/>
          <w:sz w:val="24"/>
        </w:rPr>
      </w:pPr>
      <w:r w:rsidRPr="00272E0C">
        <w:rPr>
          <w:rFonts w:ascii="宋体"/>
          <w:b/>
          <w:bCs/>
          <w:sz w:val="24"/>
        </w:rPr>
        <w:t/>
      </w:r>
      <w:proofErr w:type="spellStart"/>
      <w:r w:rsidRPr="00272E0C">
        <w:rPr>
          <w:rFonts w:ascii="宋体" w:hAnsi="宋体"/>
          <w:b/>
          <w:bCs/>
          <w:sz w:val="24"/>
        </w:rPr>
        <w:t/>
      </w:r>
      <w:proofErr w:type="spellEnd"/>
      <w:r w:rsidRPr="00272E0C">
        <w:rPr>
          <w:rFonts w:ascii="宋体" w:hAnsi="宋体"/>
          <w:b/>
          <w:bCs/>
          <w:sz w:val="24"/>
        </w:rPr>
        <w:t>易方达基金管理有限公司</w:t>
      </w:r>
    </w:p>
    <w:p w:rsidP="008C2A97" w:rsidR="001C36D8" w:rsidRDefault="001C36D8" w:rsidRPr="008C2A97">
      <w:pPr>
        <w:spacing w:line="360" w:lineRule="auto"/>
        <w:jc w:val="right"/>
        <w:rPr>
          <w:rFonts w:ascii="宋体" w:hAnsi="宋体"/>
          <w:b/>
          <w:bCs/>
          <w:sz w:val="24"/>
        </w:rPr>
      </w:pPr>
      <w:r w:rsidRPr="00272E0C">
        <w:rPr>
          <w:rFonts w:ascii="宋体" w:hAnsi="宋体"/>
          <w:b/>
          <w:bCs/>
          <w:sz w:val="24"/>
        </w:rPr>
        <w:t/>
      </w:r>
      <w:proofErr w:type="spellStart"/>
      <w:r w:rsidRPr="00272E0C">
        <w:rPr>
          <w:rFonts w:ascii="宋体" w:hAnsi="宋体"/>
          <w:b/>
          <w:bCs/>
          <w:sz w:val="24"/>
        </w:rPr>
        <w:t/>
      </w:r>
      <w:proofErr w:type="spellEnd"/>
      <w:r w:rsidRPr="00272E0C">
        <w:rPr>
          <w:rFonts w:ascii="宋体" w:hAnsi="宋体"/>
          <w:b/>
          <w:bCs/>
          <w:sz w:val="24"/>
        </w:rPr>
        <w:t>二〇二〇年七月二十一日</w:t>
      </w:r>
    </w:p>
    <w:sectPr w:rsidR="001C36D8" w:rsidRPr="008C2A97" w:rsidSect="00DB4450">
      <w:footerReference r:id="rId11" w:type="even"/>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E0" w:rsidRDefault="001C19E0">
      <w:r>
        <w:separator/>
      </w:r>
    </w:p>
  </w:endnote>
  <w:endnote w:type="continuationSeparator" w:id="0">
    <w:p w:rsidR="001C19E0" w:rsidRDefault="001C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TSong-Light">
    <w:altName w:val="Times New Roman"/>
    <w:panose1 w:val="00000000000000000000"/>
    <w:charset w:val="00"/>
    <w:family w:val="roman"/>
    <w:notTrueType/>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230A66" w:rsidR="00E43B0B" w:rsidRDefault="00E43B0B" w:rsidRPr="001D0DB0">
    <w:pPr>
      <w:pStyle w:val="a6"/>
      <w:jc w:val="center"/>
    </w:pPr>
    <w:r>
      <w:rPr>
        <w:rFonts w:hint="eastAsia"/>
        <w:kern w:val="0"/>
        <w:szCs w:val="21"/>
      </w:rPr>
      <w:t>第</w:t>
    </w:r>
    <w:r w:rsidR="0015021E">
      <w:rPr>
        <w:kern w:val="0"/>
        <w:szCs w:val="21"/>
      </w:rPr>
      <w:fldChar w:fldCharType="begin"/>
    </w:r>
    <w:r>
      <w:rPr>
        <w:kern w:val="0"/>
        <w:szCs w:val="21"/>
      </w:rPr>
      <w:instrText xml:space="preserve"> PAGE </w:instrText>
    </w:r>
    <w:r w:rsidR="0015021E">
      <w:rPr>
        <w:kern w:val="0"/>
        <w:szCs w:val="21"/>
      </w:rPr>
      <w:fldChar w:fldCharType="separate"/>
    </w:r>
    <w:r w:rsidR="00FE4BF2">
      <w:rPr>
        <w:noProof/>
        <w:kern w:val="0"/>
        <w:szCs w:val="21"/>
      </w:rPr>
      <w:t>1</w:t>
    </w:r>
    <w:r w:rsidR="0015021E">
      <w:rPr>
        <w:kern w:val="0"/>
        <w:szCs w:val="21"/>
      </w:rPr>
      <w:fldChar w:fldCharType="end"/>
    </w:r>
    <w:proofErr w:type="gramStart"/>
    <w:r>
      <w:rPr>
        <w:rFonts w:hint="eastAsia"/>
        <w:kern w:val="0"/>
        <w:szCs w:val="21"/>
      </w:rPr>
      <w:t>页共</w:t>
    </w:r>
    <w:proofErr w:type="gramEnd"/>
    <w:r w:rsidR="0015021E">
      <w:rPr>
        <w:kern w:val="0"/>
        <w:szCs w:val="21"/>
      </w:rPr>
      <w:fldChar w:fldCharType="begin"/>
    </w:r>
    <w:r>
      <w:rPr>
        <w:kern w:val="0"/>
        <w:szCs w:val="21"/>
      </w:rPr>
      <w:instrText xml:space="preserve"> NUMPAGES </w:instrText>
    </w:r>
    <w:r w:rsidR="0015021E">
      <w:rPr>
        <w:kern w:val="0"/>
        <w:szCs w:val="21"/>
      </w:rPr>
      <w:fldChar w:fldCharType="separate"/>
    </w:r>
    <w:r w:rsidR="00FE4BF2">
      <w:rPr>
        <w:noProof/>
        <w:kern w:val="0"/>
        <w:szCs w:val="21"/>
      </w:rPr>
      <w:t>28</w:t>
    </w:r>
    <w:r w:rsidR="0015021E">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end"/>
    </w:r>
  </w:p>
  <w:p w:rsidR="00E43B0B" w:rsidRDefault="00E43B0B">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separate"/>
    </w:r>
    <w:r w:rsidR="00FE4BF2">
      <w:rPr>
        <w:rStyle w:val="a7"/>
        <w:noProof/>
      </w:rPr>
      <w:t>19</w:t>
    </w:r>
    <w:r>
      <w:rPr>
        <w:rStyle w:val="a7"/>
      </w:rPr>
      <w:fldChar w:fldCharType="end"/>
    </w:r>
  </w:p>
  <w:p w:rsidR="00E43B0B" w:rsidRDefault="00E43B0B">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1C19E0" w:rsidRDefault="001C19E0">
      <w:r>
        <w:separator/>
      </w:r>
    </w:p>
  </w:footnote>
  <w:footnote w:id="0" w:type="continuationSeparator">
    <w:p w:rsidR="001C19E0" w:rsidRDefault="001C19E0">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B572A" w:rsidR="00E43B0B" w:rsidRDefault="00E43B0B" w:rsidRPr="00717C29">
    <w:pPr>
      <w:pStyle w:val="a9"/>
      <w:pBdr>
        <w:bottom w:color="auto" w:space="0" w:sz="6" w:val="single"/>
      </w:pBdr>
      <w:jc w:val="right"/>
      <w:rPr>
        <w:sz w:val="15"/>
      </w:rPr>
    </w:pPr>
    <w:r w:rsidRPr="00717C29">
      <w:rPr>
        <w:szCs w:val="21"/>
      </w:rPr>
      <w:t/>
    </w:r>
    <w:proofErr w:type="spellStart"/>
    <w:proofErr w:type="gramStart"/>
    <w:r w:rsidRPr="00717C29">
      <w:rPr>
        <w:szCs w:val="21"/>
      </w:rPr>
      <w:t/>
    </w:r>
    <w:proofErr w:type="spellEnd"/>
    <w:proofErr w:type="gramEnd"/>
    <w:r w:rsidRPr="00717C29">
      <w:rPr>
        <w:szCs w:val="21"/>
      </w:rPr>
      <w:t>易方达上证50指数分级证券投资基金</w:t>
    </w:r>
    <w:proofErr w:type="spellStart"/>
    <w:r w:rsidRPr="00717C29">
      <w:rPr>
        <w:szCs w:val="21"/>
      </w:rPr>
      <w:t/>
    </w:r>
    <w:proofErr w:type="spellEnd"/>
    <w:r w:rsidRPr="00717C29">
      <w:rPr>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116E"/>
    <w:rsid w:val="0000403B"/>
    <w:rsid w:val="00005911"/>
    <w:rsid w:val="0000595B"/>
    <w:rsid w:val="00010A83"/>
    <w:rsid w:val="00010A8E"/>
    <w:rsid w:val="00010AC3"/>
    <w:rsid w:val="000118A9"/>
    <w:rsid w:val="00011EB5"/>
    <w:rsid w:val="0001280C"/>
    <w:rsid w:val="00013023"/>
    <w:rsid w:val="000148F1"/>
    <w:rsid w:val="0001536C"/>
    <w:rsid w:val="00017581"/>
    <w:rsid w:val="00020149"/>
    <w:rsid w:val="00020583"/>
    <w:rsid w:val="00021DD4"/>
    <w:rsid w:val="00023BE7"/>
    <w:rsid w:val="00026AAE"/>
    <w:rsid w:val="00037FCF"/>
    <w:rsid w:val="000421B8"/>
    <w:rsid w:val="00043ABF"/>
    <w:rsid w:val="00044045"/>
    <w:rsid w:val="000445E4"/>
    <w:rsid w:val="00046906"/>
    <w:rsid w:val="000510AB"/>
    <w:rsid w:val="00055190"/>
    <w:rsid w:val="00055AF1"/>
    <w:rsid w:val="00056A75"/>
    <w:rsid w:val="00057DD3"/>
    <w:rsid w:val="000625A6"/>
    <w:rsid w:val="000627CD"/>
    <w:rsid w:val="00062BCE"/>
    <w:rsid w:val="00064AE3"/>
    <w:rsid w:val="00066524"/>
    <w:rsid w:val="00070CD1"/>
    <w:rsid w:val="0007171B"/>
    <w:rsid w:val="00074E9F"/>
    <w:rsid w:val="00081D05"/>
    <w:rsid w:val="0008378B"/>
    <w:rsid w:val="00085449"/>
    <w:rsid w:val="00087CF7"/>
    <w:rsid w:val="00090B0F"/>
    <w:rsid w:val="00090D91"/>
    <w:rsid w:val="00091214"/>
    <w:rsid w:val="00094876"/>
    <w:rsid w:val="00095912"/>
    <w:rsid w:val="00095CE0"/>
    <w:rsid w:val="00096933"/>
    <w:rsid w:val="00097230"/>
    <w:rsid w:val="0009778D"/>
    <w:rsid w:val="000A457E"/>
    <w:rsid w:val="000A53FD"/>
    <w:rsid w:val="000A549A"/>
    <w:rsid w:val="000A72F2"/>
    <w:rsid w:val="000B0C56"/>
    <w:rsid w:val="000B3E43"/>
    <w:rsid w:val="000B5974"/>
    <w:rsid w:val="000B5CC0"/>
    <w:rsid w:val="000C1038"/>
    <w:rsid w:val="000C1723"/>
    <w:rsid w:val="000C1B20"/>
    <w:rsid w:val="000C4107"/>
    <w:rsid w:val="000C44BD"/>
    <w:rsid w:val="000C45E7"/>
    <w:rsid w:val="000C57A8"/>
    <w:rsid w:val="000D0149"/>
    <w:rsid w:val="000D01F4"/>
    <w:rsid w:val="000D0D4E"/>
    <w:rsid w:val="000D1519"/>
    <w:rsid w:val="000E1618"/>
    <w:rsid w:val="000E4456"/>
    <w:rsid w:val="000F175F"/>
    <w:rsid w:val="000F17D1"/>
    <w:rsid w:val="000F2837"/>
    <w:rsid w:val="000F399F"/>
    <w:rsid w:val="000F60FF"/>
    <w:rsid w:val="000F635F"/>
    <w:rsid w:val="000F6C61"/>
    <w:rsid w:val="001008A1"/>
    <w:rsid w:val="00100C12"/>
    <w:rsid w:val="00102E56"/>
    <w:rsid w:val="001049B6"/>
    <w:rsid w:val="001051C6"/>
    <w:rsid w:val="001078B6"/>
    <w:rsid w:val="0011177A"/>
    <w:rsid w:val="00111D44"/>
    <w:rsid w:val="00116E31"/>
    <w:rsid w:val="00120BED"/>
    <w:rsid w:val="0012304E"/>
    <w:rsid w:val="001248EF"/>
    <w:rsid w:val="001257C7"/>
    <w:rsid w:val="00126DDF"/>
    <w:rsid w:val="001270BF"/>
    <w:rsid w:val="00127BAC"/>
    <w:rsid w:val="00134868"/>
    <w:rsid w:val="001366D4"/>
    <w:rsid w:val="00140FF8"/>
    <w:rsid w:val="00142A56"/>
    <w:rsid w:val="00144DF5"/>
    <w:rsid w:val="00145A97"/>
    <w:rsid w:val="00146485"/>
    <w:rsid w:val="00147338"/>
    <w:rsid w:val="0015021E"/>
    <w:rsid w:val="001506B4"/>
    <w:rsid w:val="00150A6E"/>
    <w:rsid w:val="00150AD6"/>
    <w:rsid w:val="00153B40"/>
    <w:rsid w:val="00154ADA"/>
    <w:rsid w:val="0015531A"/>
    <w:rsid w:val="00155953"/>
    <w:rsid w:val="0015779C"/>
    <w:rsid w:val="001600E8"/>
    <w:rsid w:val="00163B27"/>
    <w:rsid w:val="00165317"/>
    <w:rsid w:val="00170F80"/>
    <w:rsid w:val="00171BAD"/>
    <w:rsid w:val="001744B4"/>
    <w:rsid w:val="001756A1"/>
    <w:rsid w:val="001761EE"/>
    <w:rsid w:val="0017638D"/>
    <w:rsid w:val="00176EAA"/>
    <w:rsid w:val="0017725A"/>
    <w:rsid w:val="00177C4B"/>
    <w:rsid w:val="0018325A"/>
    <w:rsid w:val="00183C9E"/>
    <w:rsid w:val="00184556"/>
    <w:rsid w:val="00185D2B"/>
    <w:rsid w:val="00186199"/>
    <w:rsid w:val="001878B0"/>
    <w:rsid w:val="001928F7"/>
    <w:rsid w:val="00193F07"/>
    <w:rsid w:val="00194537"/>
    <w:rsid w:val="0019563C"/>
    <w:rsid w:val="001A09F9"/>
    <w:rsid w:val="001A14DB"/>
    <w:rsid w:val="001A21A9"/>
    <w:rsid w:val="001A363B"/>
    <w:rsid w:val="001A59D8"/>
    <w:rsid w:val="001A5FA6"/>
    <w:rsid w:val="001B0A62"/>
    <w:rsid w:val="001B2F0C"/>
    <w:rsid w:val="001B64E7"/>
    <w:rsid w:val="001C123E"/>
    <w:rsid w:val="001C19E0"/>
    <w:rsid w:val="001C36D8"/>
    <w:rsid w:val="001C37F6"/>
    <w:rsid w:val="001C4BEC"/>
    <w:rsid w:val="001C6288"/>
    <w:rsid w:val="001C7DE9"/>
    <w:rsid w:val="001D0DB0"/>
    <w:rsid w:val="001D0F6A"/>
    <w:rsid w:val="001D21BC"/>
    <w:rsid w:val="001D2FA5"/>
    <w:rsid w:val="001D35E0"/>
    <w:rsid w:val="001D5045"/>
    <w:rsid w:val="001D5387"/>
    <w:rsid w:val="001D5A44"/>
    <w:rsid w:val="001D63BB"/>
    <w:rsid w:val="001D724B"/>
    <w:rsid w:val="001E11D3"/>
    <w:rsid w:val="001E2A6A"/>
    <w:rsid w:val="001E3DC2"/>
    <w:rsid w:val="001E56FF"/>
    <w:rsid w:val="001E5C6B"/>
    <w:rsid w:val="001E6E4D"/>
    <w:rsid w:val="001F03E1"/>
    <w:rsid w:val="001F0DE2"/>
    <w:rsid w:val="001F218E"/>
    <w:rsid w:val="001F3CC6"/>
    <w:rsid w:val="001F40BA"/>
    <w:rsid w:val="001F4530"/>
    <w:rsid w:val="002010DE"/>
    <w:rsid w:val="00202968"/>
    <w:rsid w:val="00202A66"/>
    <w:rsid w:val="00202C32"/>
    <w:rsid w:val="00203AEF"/>
    <w:rsid w:val="00210344"/>
    <w:rsid w:val="00211A26"/>
    <w:rsid w:val="002125F7"/>
    <w:rsid w:val="00213171"/>
    <w:rsid w:val="00213917"/>
    <w:rsid w:val="00214463"/>
    <w:rsid w:val="00214756"/>
    <w:rsid w:val="00215CF2"/>
    <w:rsid w:val="00215E33"/>
    <w:rsid w:val="00216232"/>
    <w:rsid w:val="00220542"/>
    <w:rsid w:val="00220684"/>
    <w:rsid w:val="00221174"/>
    <w:rsid w:val="00225ADC"/>
    <w:rsid w:val="00230732"/>
    <w:rsid w:val="00230A66"/>
    <w:rsid w:val="00230EC2"/>
    <w:rsid w:val="002359EB"/>
    <w:rsid w:val="002363AB"/>
    <w:rsid w:val="00237FA3"/>
    <w:rsid w:val="0024172D"/>
    <w:rsid w:val="00241B12"/>
    <w:rsid w:val="0024260D"/>
    <w:rsid w:val="00243E40"/>
    <w:rsid w:val="00245012"/>
    <w:rsid w:val="0024504E"/>
    <w:rsid w:val="0024651F"/>
    <w:rsid w:val="002470BA"/>
    <w:rsid w:val="00250BE3"/>
    <w:rsid w:val="00251290"/>
    <w:rsid w:val="0025158D"/>
    <w:rsid w:val="00251D17"/>
    <w:rsid w:val="00251F3A"/>
    <w:rsid w:val="0025281A"/>
    <w:rsid w:val="00253D3C"/>
    <w:rsid w:val="0025435F"/>
    <w:rsid w:val="00255292"/>
    <w:rsid w:val="00260200"/>
    <w:rsid w:val="00263563"/>
    <w:rsid w:val="002648D8"/>
    <w:rsid w:val="00264E55"/>
    <w:rsid w:val="00270548"/>
    <w:rsid w:val="00272E0C"/>
    <w:rsid w:val="00273F86"/>
    <w:rsid w:val="002752B0"/>
    <w:rsid w:val="002774F0"/>
    <w:rsid w:val="0028459B"/>
    <w:rsid w:val="00284C5F"/>
    <w:rsid w:val="002873F0"/>
    <w:rsid w:val="00291A74"/>
    <w:rsid w:val="00292198"/>
    <w:rsid w:val="002964F9"/>
    <w:rsid w:val="00297EF3"/>
    <w:rsid w:val="002A1F14"/>
    <w:rsid w:val="002A2678"/>
    <w:rsid w:val="002A2E01"/>
    <w:rsid w:val="002A398F"/>
    <w:rsid w:val="002A44F9"/>
    <w:rsid w:val="002A5C6B"/>
    <w:rsid w:val="002A5D31"/>
    <w:rsid w:val="002A714F"/>
    <w:rsid w:val="002A74FB"/>
    <w:rsid w:val="002B1851"/>
    <w:rsid w:val="002B27FF"/>
    <w:rsid w:val="002B4429"/>
    <w:rsid w:val="002B6793"/>
    <w:rsid w:val="002C1726"/>
    <w:rsid w:val="002C1DF3"/>
    <w:rsid w:val="002C21A6"/>
    <w:rsid w:val="002C26D5"/>
    <w:rsid w:val="002C2DE0"/>
    <w:rsid w:val="002C5777"/>
    <w:rsid w:val="002C7FC3"/>
    <w:rsid w:val="002D1791"/>
    <w:rsid w:val="002D32E3"/>
    <w:rsid w:val="002D55E7"/>
    <w:rsid w:val="002E0FEB"/>
    <w:rsid w:val="002E1EBA"/>
    <w:rsid w:val="002F0F79"/>
    <w:rsid w:val="002F280E"/>
    <w:rsid w:val="002F3709"/>
    <w:rsid w:val="002F3A6C"/>
    <w:rsid w:val="002F3E9C"/>
    <w:rsid w:val="002F4296"/>
    <w:rsid w:val="00300951"/>
    <w:rsid w:val="003023C9"/>
    <w:rsid w:val="00302CA8"/>
    <w:rsid w:val="00302DE9"/>
    <w:rsid w:val="003041B1"/>
    <w:rsid w:val="00305084"/>
    <w:rsid w:val="003168E2"/>
    <w:rsid w:val="003204E9"/>
    <w:rsid w:val="00320DDA"/>
    <w:rsid w:val="00321E8C"/>
    <w:rsid w:val="00322A65"/>
    <w:rsid w:val="00322A86"/>
    <w:rsid w:val="00323AE8"/>
    <w:rsid w:val="00324548"/>
    <w:rsid w:val="003251F4"/>
    <w:rsid w:val="003303E3"/>
    <w:rsid w:val="00331FA4"/>
    <w:rsid w:val="003329EA"/>
    <w:rsid w:val="00332FDE"/>
    <w:rsid w:val="003407A5"/>
    <w:rsid w:val="00341188"/>
    <w:rsid w:val="0034147B"/>
    <w:rsid w:val="0034432A"/>
    <w:rsid w:val="00350238"/>
    <w:rsid w:val="0035109C"/>
    <w:rsid w:val="00351F0A"/>
    <w:rsid w:val="0035432B"/>
    <w:rsid w:val="00357EB5"/>
    <w:rsid w:val="00361E7E"/>
    <w:rsid w:val="003669EF"/>
    <w:rsid w:val="00370AA4"/>
    <w:rsid w:val="00371FF4"/>
    <w:rsid w:val="00373015"/>
    <w:rsid w:val="00375D24"/>
    <w:rsid w:val="00377520"/>
    <w:rsid w:val="00380D36"/>
    <w:rsid w:val="003822D3"/>
    <w:rsid w:val="0038409E"/>
    <w:rsid w:val="00384BC3"/>
    <w:rsid w:val="00386630"/>
    <w:rsid w:val="00390522"/>
    <w:rsid w:val="00390B25"/>
    <w:rsid w:val="00390C86"/>
    <w:rsid w:val="00397156"/>
    <w:rsid w:val="00397960"/>
    <w:rsid w:val="003A20AA"/>
    <w:rsid w:val="003A3BC4"/>
    <w:rsid w:val="003A458A"/>
    <w:rsid w:val="003A4DA3"/>
    <w:rsid w:val="003A768B"/>
    <w:rsid w:val="003B07C8"/>
    <w:rsid w:val="003B2082"/>
    <w:rsid w:val="003B2F13"/>
    <w:rsid w:val="003B3D0C"/>
    <w:rsid w:val="003B405E"/>
    <w:rsid w:val="003B57D3"/>
    <w:rsid w:val="003C1F58"/>
    <w:rsid w:val="003C792F"/>
    <w:rsid w:val="003D124B"/>
    <w:rsid w:val="003D18F3"/>
    <w:rsid w:val="003D22BD"/>
    <w:rsid w:val="003D4E5A"/>
    <w:rsid w:val="003D5951"/>
    <w:rsid w:val="003D74F2"/>
    <w:rsid w:val="003D78B5"/>
    <w:rsid w:val="003E1062"/>
    <w:rsid w:val="003E244F"/>
    <w:rsid w:val="003E3AE8"/>
    <w:rsid w:val="003E62A6"/>
    <w:rsid w:val="003E695F"/>
    <w:rsid w:val="003E6C9B"/>
    <w:rsid w:val="003E709C"/>
    <w:rsid w:val="003E7B89"/>
    <w:rsid w:val="003F20D3"/>
    <w:rsid w:val="003F4241"/>
    <w:rsid w:val="003F7C45"/>
    <w:rsid w:val="0040132C"/>
    <w:rsid w:val="00405085"/>
    <w:rsid w:val="004066FC"/>
    <w:rsid w:val="00407C10"/>
    <w:rsid w:val="004113B4"/>
    <w:rsid w:val="00414827"/>
    <w:rsid w:val="00416C10"/>
    <w:rsid w:val="004217C8"/>
    <w:rsid w:val="0042180E"/>
    <w:rsid w:val="004222C8"/>
    <w:rsid w:val="0042253F"/>
    <w:rsid w:val="00424726"/>
    <w:rsid w:val="00424EF3"/>
    <w:rsid w:val="004268BB"/>
    <w:rsid w:val="00431047"/>
    <w:rsid w:val="004318F0"/>
    <w:rsid w:val="00431B86"/>
    <w:rsid w:val="00431BC5"/>
    <w:rsid w:val="004344A5"/>
    <w:rsid w:val="004408EC"/>
    <w:rsid w:val="00441B38"/>
    <w:rsid w:val="00441D14"/>
    <w:rsid w:val="00441E6A"/>
    <w:rsid w:val="004432B9"/>
    <w:rsid w:val="00443C8F"/>
    <w:rsid w:val="00452481"/>
    <w:rsid w:val="00453E40"/>
    <w:rsid w:val="004542DD"/>
    <w:rsid w:val="00456CE0"/>
    <w:rsid w:val="004575E9"/>
    <w:rsid w:val="00457804"/>
    <w:rsid w:val="004646BF"/>
    <w:rsid w:val="00464744"/>
    <w:rsid w:val="00465C86"/>
    <w:rsid w:val="004665E3"/>
    <w:rsid w:val="004731F1"/>
    <w:rsid w:val="0047652F"/>
    <w:rsid w:val="00480BC8"/>
    <w:rsid w:val="00481265"/>
    <w:rsid w:val="004814BF"/>
    <w:rsid w:val="004828AE"/>
    <w:rsid w:val="0048587E"/>
    <w:rsid w:val="00487C2B"/>
    <w:rsid w:val="0049168F"/>
    <w:rsid w:val="00491ABD"/>
    <w:rsid w:val="0049297D"/>
    <w:rsid w:val="004929F2"/>
    <w:rsid w:val="00495A03"/>
    <w:rsid w:val="00497079"/>
    <w:rsid w:val="004A1BBA"/>
    <w:rsid w:val="004A1E8A"/>
    <w:rsid w:val="004A3E3C"/>
    <w:rsid w:val="004A3F71"/>
    <w:rsid w:val="004B0E6D"/>
    <w:rsid w:val="004B16E8"/>
    <w:rsid w:val="004B2326"/>
    <w:rsid w:val="004B4D2D"/>
    <w:rsid w:val="004B6250"/>
    <w:rsid w:val="004B76B1"/>
    <w:rsid w:val="004B7CA0"/>
    <w:rsid w:val="004C0057"/>
    <w:rsid w:val="004C04AE"/>
    <w:rsid w:val="004C0541"/>
    <w:rsid w:val="004C2C46"/>
    <w:rsid w:val="004C6E88"/>
    <w:rsid w:val="004C7235"/>
    <w:rsid w:val="004C7955"/>
    <w:rsid w:val="004D047F"/>
    <w:rsid w:val="004D3D96"/>
    <w:rsid w:val="004D650F"/>
    <w:rsid w:val="004D67E0"/>
    <w:rsid w:val="004E12E1"/>
    <w:rsid w:val="004E2133"/>
    <w:rsid w:val="004E32E2"/>
    <w:rsid w:val="004E5AB9"/>
    <w:rsid w:val="004E60FB"/>
    <w:rsid w:val="004F779C"/>
    <w:rsid w:val="004F7846"/>
    <w:rsid w:val="005000D4"/>
    <w:rsid w:val="005015FA"/>
    <w:rsid w:val="00505411"/>
    <w:rsid w:val="00510CAF"/>
    <w:rsid w:val="00510DAB"/>
    <w:rsid w:val="005128C5"/>
    <w:rsid w:val="00514754"/>
    <w:rsid w:val="0051478B"/>
    <w:rsid w:val="0051566A"/>
    <w:rsid w:val="00515D7B"/>
    <w:rsid w:val="005166E9"/>
    <w:rsid w:val="0052009E"/>
    <w:rsid w:val="0052302C"/>
    <w:rsid w:val="00525E59"/>
    <w:rsid w:val="00530D61"/>
    <w:rsid w:val="005318CC"/>
    <w:rsid w:val="00531D1B"/>
    <w:rsid w:val="005349B1"/>
    <w:rsid w:val="005374BC"/>
    <w:rsid w:val="00537A4E"/>
    <w:rsid w:val="00543188"/>
    <w:rsid w:val="00543367"/>
    <w:rsid w:val="00543BFA"/>
    <w:rsid w:val="00547D9C"/>
    <w:rsid w:val="00547DA1"/>
    <w:rsid w:val="005505E1"/>
    <w:rsid w:val="005541BC"/>
    <w:rsid w:val="0055513C"/>
    <w:rsid w:val="00557A54"/>
    <w:rsid w:val="00560C94"/>
    <w:rsid w:val="0056150F"/>
    <w:rsid w:val="0056291C"/>
    <w:rsid w:val="00565A63"/>
    <w:rsid w:val="00566588"/>
    <w:rsid w:val="0057155E"/>
    <w:rsid w:val="0057275D"/>
    <w:rsid w:val="00576862"/>
    <w:rsid w:val="005800A9"/>
    <w:rsid w:val="00580488"/>
    <w:rsid w:val="0058074D"/>
    <w:rsid w:val="00580FD1"/>
    <w:rsid w:val="00582FAD"/>
    <w:rsid w:val="00583489"/>
    <w:rsid w:val="005840E4"/>
    <w:rsid w:val="00590FE4"/>
    <w:rsid w:val="00591D9C"/>
    <w:rsid w:val="005961D7"/>
    <w:rsid w:val="00597057"/>
    <w:rsid w:val="00597D8B"/>
    <w:rsid w:val="005A1C30"/>
    <w:rsid w:val="005A229D"/>
    <w:rsid w:val="005A3295"/>
    <w:rsid w:val="005A46FF"/>
    <w:rsid w:val="005A5AE2"/>
    <w:rsid w:val="005B011E"/>
    <w:rsid w:val="005B14F0"/>
    <w:rsid w:val="005B1E0B"/>
    <w:rsid w:val="005B2E84"/>
    <w:rsid w:val="005B70C6"/>
    <w:rsid w:val="005B7B0E"/>
    <w:rsid w:val="005C526E"/>
    <w:rsid w:val="005C5409"/>
    <w:rsid w:val="005C69AC"/>
    <w:rsid w:val="005C6DCF"/>
    <w:rsid w:val="005C6DF3"/>
    <w:rsid w:val="005C722E"/>
    <w:rsid w:val="005D01A4"/>
    <w:rsid w:val="005D14DE"/>
    <w:rsid w:val="005D2CC7"/>
    <w:rsid w:val="005D44E4"/>
    <w:rsid w:val="005D45B3"/>
    <w:rsid w:val="005D4CEB"/>
    <w:rsid w:val="005D5F80"/>
    <w:rsid w:val="005E0C14"/>
    <w:rsid w:val="005E1D51"/>
    <w:rsid w:val="005F04E6"/>
    <w:rsid w:val="005F43B9"/>
    <w:rsid w:val="005F68CB"/>
    <w:rsid w:val="005F6A4A"/>
    <w:rsid w:val="006033E3"/>
    <w:rsid w:val="00603663"/>
    <w:rsid w:val="0061321C"/>
    <w:rsid w:val="006159E5"/>
    <w:rsid w:val="00620DB0"/>
    <w:rsid w:val="0062386E"/>
    <w:rsid w:val="00623D9A"/>
    <w:rsid w:val="00623F01"/>
    <w:rsid w:val="006242FB"/>
    <w:rsid w:val="00626E2D"/>
    <w:rsid w:val="00627D94"/>
    <w:rsid w:val="00630B42"/>
    <w:rsid w:val="00631DB3"/>
    <w:rsid w:val="00634900"/>
    <w:rsid w:val="00637BA7"/>
    <w:rsid w:val="00642072"/>
    <w:rsid w:val="006440ED"/>
    <w:rsid w:val="00645293"/>
    <w:rsid w:val="00651B78"/>
    <w:rsid w:val="00652263"/>
    <w:rsid w:val="00652881"/>
    <w:rsid w:val="00653BAC"/>
    <w:rsid w:val="00657CAF"/>
    <w:rsid w:val="00661974"/>
    <w:rsid w:val="00662F58"/>
    <w:rsid w:val="00664551"/>
    <w:rsid w:val="0066704D"/>
    <w:rsid w:val="006676A0"/>
    <w:rsid w:val="006706B6"/>
    <w:rsid w:val="00670857"/>
    <w:rsid w:val="00671124"/>
    <w:rsid w:val="006727B0"/>
    <w:rsid w:val="0067307E"/>
    <w:rsid w:val="006848C1"/>
    <w:rsid w:val="006868CD"/>
    <w:rsid w:val="00686EEA"/>
    <w:rsid w:val="00687AD5"/>
    <w:rsid w:val="00690EC4"/>
    <w:rsid w:val="00691D14"/>
    <w:rsid w:val="00695251"/>
    <w:rsid w:val="00695296"/>
    <w:rsid w:val="00695ADE"/>
    <w:rsid w:val="00695C0D"/>
    <w:rsid w:val="00696356"/>
    <w:rsid w:val="00696DDE"/>
    <w:rsid w:val="006A72C6"/>
    <w:rsid w:val="006B02DA"/>
    <w:rsid w:val="006B0806"/>
    <w:rsid w:val="006B10DA"/>
    <w:rsid w:val="006B2065"/>
    <w:rsid w:val="006B3940"/>
    <w:rsid w:val="006B5B3E"/>
    <w:rsid w:val="006C168D"/>
    <w:rsid w:val="006C4465"/>
    <w:rsid w:val="006C642C"/>
    <w:rsid w:val="006C6FC6"/>
    <w:rsid w:val="006D0E4F"/>
    <w:rsid w:val="006D676F"/>
    <w:rsid w:val="006D7693"/>
    <w:rsid w:val="006E231B"/>
    <w:rsid w:val="006E346E"/>
    <w:rsid w:val="006E34B7"/>
    <w:rsid w:val="006F103E"/>
    <w:rsid w:val="006F4C30"/>
    <w:rsid w:val="006F4CD8"/>
    <w:rsid w:val="006F53D9"/>
    <w:rsid w:val="007004DC"/>
    <w:rsid w:val="00701347"/>
    <w:rsid w:val="007027B6"/>
    <w:rsid w:val="00703E8A"/>
    <w:rsid w:val="00707FB8"/>
    <w:rsid w:val="0071006D"/>
    <w:rsid w:val="00711522"/>
    <w:rsid w:val="007124FE"/>
    <w:rsid w:val="007125A9"/>
    <w:rsid w:val="00713186"/>
    <w:rsid w:val="00713757"/>
    <w:rsid w:val="00716F79"/>
    <w:rsid w:val="00717772"/>
    <w:rsid w:val="00717C29"/>
    <w:rsid w:val="00721AF1"/>
    <w:rsid w:val="0072280F"/>
    <w:rsid w:val="00722B5E"/>
    <w:rsid w:val="0072708F"/>
    <w:rsid w:val="00727C6C"/>
    <w:rsid w:val="0073150B"/>
    <w:rsid w:val="00732D1D"/>
    <w:rsid w:val="00736034"/>
    <w:rsid w:val="0073681C"/>
    <w:rsid w:val="00737AB0"/>
    <w:rsid w:val="00740619"/>
    <w:rsid w:val="007411F1"/>
    <w:rsid w:val="00741EBE"/>
    <w:rsid w:val="00742ADF"/>
    <w:rsid w:val="00745829"/>
    <w:rsid w:val="00746130"/>
    <w:rsid w:val="00746A40"/>
    <w:rsid w:val="007479DC"/>
    <w:rsid w:val="00747ABE"/>
    <w:rsid w:val="00750358"/>
    <w:rsid w:val="00755CDF"/>
    <w:rsid w:val="00757A4C"/>
    <w:rsid w:val="007622F6"/>
    <w:rsid w:val="00764A94"/>
    <w:rsid w:val="007651E5"/>
    <w:rsid w:val="007665BF"/>
    <w:rsid w:val="007670DC"/>
    <w:rsid w:val="00767239"/>
    <w:rsid w:val="0077111A"/>
    <w:rsid w:val="00772272"/>
    <w:rsid w:val="007756ED"/>
    <w:rsid w:val="007870FC"/>
    <w:rsid w:val="0078729B"/>
    <w:rsid w:val="00787CD0"/>
    <w:rsid w:val="00791053"/>
    <w:rsid w:val="00791A3A"/>
    <w:rsid w:val="00794196"/>
    <w:rsid w:val="007941EA"/>
    <w:rsid w:val="007951F3"/>
    <w:rsid w:val="0079671E"/>
    <w:rsid w:val="00797637"/>
    <w:rsid w:val="007A0A57"/>
    <w:rsid w:val="007A3680"/>
    <w:rsid w:val="007A59B8"/>
    <w:rsid w:val="007A6BEA"/>
    <w:rsid w:val="007B2191"/>
    <w:rsid w:val="007B2862"/>
    <w:rsid w:val="007B3C32"/>
    <w:rsid w:val="007B505A"/>
    <w:rsid w:val="007B662A"/>
    <w:rsid w:val="007C2BCC"/>
    <w:rsid w:val="007C7E22"/>
    <w:rsid w:val="007D1C16"/>
    <w:rsid w:val="007D28C9"/>
    <w:rsid w:val="007D3CC8"/>
    <w:rsid w:val="007D62F9"/>
    <w:rsid w:val="007D63A4"/>
    <w:rsid w:val="007E008D"/>
    <w:rsid w:val="007E0F0C"/>
    <w:rsid w:val="007E1AA2"/>
    <w:rsid w:val="007E1AD0"/>
    <w:rsid w:val="007E4C1F"/>
    <w:rsid w:val="007E5EDC"/>
    <w:rsid w:val="007F0746"/>
    <w:rsid w:val="007F0759"/>
    <w:rsid w:val="007F15C0"/>
    <w:rsid w:val="007F25C0"/>
    <w:rsid w:val="007F35AA"/>
    <w:rsid w:val="007F47E2"/>
    <w:rsid w:val="007F523A"/>
    <w:rsid w:val="007F5F52"/>
    <w:rsid w:val="007F77C6"/>
    <w:rsid w:val="008003A1"/>
    <w:rsid w:val="008006B7"/>
    <w:rsid w:val="00800FDB"/>
    <w:rsid w:val="0080159F"/>
    <w:rsid w:val="00802081"/>
    <w:rsid w:val="008034CF"/>
    <w:rsid w:val="00804533"/>
    <w:rsid w:val="00806461"/>
    <w:rsid w:val="0081096D"/>
    <w:rsid w:val="00810EAD"/>
    <w:rsid w:val="00811833"/>
    <w:rsid w:val="00811C19"/>
    <w:rsid w:val="008174D4"/>
    <w:rsid w:val="00820FE6"/>
    <w:rsid w:val="00821985"/>
    <w:rsid w:val="00821A66"/>
    <w:rsid w:val="00822476"/>
    <w:rsid w:val="00822882"/>
    <w:rsid w:val="00823E6D"/>
    <w:rsid w:val="00824200"/>
    <w:rsid w:val="00825D22"/>
    <w:rsid w:val="00825F68"/>
    <w:rsid w:val="00827CB9"/>
    <w:rsid w:val="008305BF"/>
    <w:rsid w:val="00832748"/>
    <w:rsid w:val="00835408"/>
    <w:rsid w:val="008359DA"/>
    <w:rsid w:val="00836D2A"/>
    <w:rsid w:val="00837CEF"/>
    <w:rsid w:val="00840035"/>
    <w:rsid w:val="00840220"/>
    <w:rsid w:val="00840677"/>
    <w:rsid w:val="00840C20"/>
    <w:rsid w:val="008428A9"/>
    <w:rsid w:val="00844112"/>
    <w:rsid w:val="00844CBE"/>
    <w:rsid w:val="008456C9"/>
    <w:rsid w:val="0084611D"/>
    <w:rsid w:val="00850C62"/>
    <w:rsid w:val="00854463"/>
    <w:rsid w:val="00857643"/>
    <w:rsid w:val="00863011"/>
    <w:rsid w:val="0086312D"/>
    <w:rsid w:val="00863392"/>
    <w:rsid w:val="00865075"/>
    <w:rsid w:val="0086734C"/>
    <w:rsid w:val="0086748F"/>
    <w:rsid w:val="00872CE4"/>
    <w:rsid w:val="00874F4B"/>
    <w:rsid w:val="0087539B"/>
    <w:rsid w:val="00877B62"/>
    <w:rsid w:val="00880016"/>
    <w:rsid w:val="00881015"/>
    <w:rsid w:val="008810B0"/>
    <w:rsid w:val="008819B6"/>
    <w:rsid w:val="00881AAC"/>
    <w:rsid w:val="0088314B"/>
    <w:rsid w:val="008831C4"/>
    <w:rsid w:val="008836B7"/>
    <w:rsid w:val="008841D3"/>
    <w:rsid w:val="00884434"/>
    <w:rsid w:val="00886036"/>
    <w:rsid w:val="00887DE6"/>
    <w:rsid w:val="00894C2A"/>
    <w:rsid w:val="00894DE3"/>
    <w:rsid w:val="008976CB"/>
    <w:rsid w:val="00897708"/>
    <w:rsid w:val="00897D88"/>
    <w:rsid w:val="008A2F16"/>
    <w:rsid w:val="008A4909"/>
    <w:rsid w:val="008B11E0"/>
    <w:rsid w:val="008B1773"/>
    <w:rsid w:val="008B1823"/>
    <w:rsid w:val="008B65CD"/>
    <w:rsid w:val="008B6E16"/>
    <w:rsid w:val="008B7110"/>
    <w:rsid w:val="008C2029"/>
    <w:rsid w:val="008C2A97"/>
    <w:rsid w:val="008C3990"/>
    <w:rsid w:val="008C61D6"/>
    <w:rsid w:val="008C64F1"/>
    <w:rsid w:val="008D1BB0"/>
    <w:rsid w:val="008D20FF"/>
    <w:rsid w:val="008D3DE6"/>
    <w:rsid w:val="008D4223"/>
    <w:rsid w:val="008D44CC"/>
    <w:rsid w:val="008D46E3"/>
    <w:rsid w:val="008D6709"/>
    <w:rsid w:val="008D671F"/>
    <w:rsid w:val="008E083A"/>
    <w:rsid w:val="008E0E7C"/>
    <w:rsid w:val="008E2450"/>
    <w:rsid w:val="008E6497"/>
    <w:rsid w:val="008E7896"/>
    <w:rsid w:val="008F1C17"/>
    <w:rsid w:val="008F2477"/>
    <w:rsid w:val="00900DD1"/>
    <w:rsid w:val="009010F0"/>
    <w:rsid w:val="00901162"/>
    <w:rsid w:val="0090223A"/>
    <w:rsid w:val="009028E2"/>
    <w:rsid w:val="00904082"/>
    <w:rsid w:val="009055EC"/>
    <w:rsid w:val="009100C0"/>
    <w:rsid w:val="0091247B"/>
    <w:rsid w:val="0091320A"/>
    <w:rsid w:val="00914EAB"/>
    <w:rsid w:val="009150A1"/>
    <w:rsid w:val="00916808"/>
    <w:rsid w:val="00922D49"/>
    <w:rsid w:val="0092482C"/>
    <w:rsid w:val="00924A95"/>
    <w:rsid w:val="009259CF"/>
    <w:rsid w:val="00925E37"/>
    <w:rsid w:val="00925EDD"/>
    <w:rsid w:val="00927D0E"/>
    <w:rsid w:val="009309DA"/>
    <w:rsid w:val="00935771"/>
    <w:rsid w:val="00936688"/>
    <w:rsid w:val="00937CFA"/>
    <w:rsid w:val="009406B3"/>
    <w:rsid w:val="00945CF5"/>
    <w:rsid w:val="00946D66"/>
    <w:rsid w:val="009500A1"/>
    <w:rsid w:val="0095037E"/>
    <w:rsid w:val="00952AAD"/>
    <w:rsid w:val="00952F4F"/>
    <w:rsid w:val="00954567"/>
    <w:rsid w:val="009547A9"/>
    <w:rsid w:val="00957466"/>
    <w:rsid w:val="0096260B"/>
    <w:rsid w:val="00963F05"/>
    <w:rsid w:val="00965469"/>
    <w:rsid w:val="009664D5"/>
    <w:rsid w:val="0097008C"/>
    <w:rsid w:val="00970C69"/>
    <w:rsid w:val="009716AF"/>
    <w:rsid w:val="00971F1C"/>
    <w:rsid w:val="0097211D"/>
    <w:rsid w:val="00972E10"/>
    <w:rsid w:val="0097328D"/>
    <w:rsid w:val="009746CA"/>
    <w:rsid w:val="0097608D"/>
    <w:rsid w:val="0097659D"/>
    <w:rsid w:val="0097692D"/>
    <w:rsid w:val="00980242"/>
    <w:rsid w:val="00981963"/>
    <w:rsid w:val="00983C82"/>
    <w:rsid w:val="00983D29"/>
    <w:rsid w:val="00983E6E"/>
    <w:rsid w:val="00984520"/>
    <w:rsid w:val="0098545C"/>
    <w:rsid w:val="00990AAA"/>
    <w:rsid w:val="00992BA2"/>
    <w:rsid w:val="00992F83"/>
    <w:rsid w:val="0099508A"/>
    <w:rsid w:val="00997231"/>
    <w:rsid w:val="009974EB"/>
    <w:rsid w:val="009A1126"/>
    <w:rsid w:val="009A5029"/>
    <w:rsid w:val="009A63AC"/>
    <w:rsid w:val="009B1584"/>
    <w:rsid w:val="009B1B32"/>
    <w:rsid w:val="009B21CA"/>
    <w:rsid w:val="009B2648"/>
    <w:rsid w:val="009C03E5"/>
    <w:rsid w:val="009C0C11"/>
    <w:rsid w:val="009C3730"/>
    <w:rsid w:val="009C37BD"/>
    <w:rsid w:val="009C3AAC"/>
    <w:rsid w:val="009C4D19"/>
    <w:rsid w:val="009C5FDB"/>
    <w:rsid w:val="009C6493"/>
    <w:rsid w:val="009C693E"/>
    <w:rsid w:val="009C70CB"/>
    <w:rsid w:val="009D02B7"/>
    <w:rsid w:val="009D0628"/>
    <w:rsid w:val="009D1EA4"/>
    <w:rsid w:val="009D27AA"/>
    <w:rsid w:val="009D2D8B"/>
    <w:rsid w:val="009D38BA"/>
    <w:rsid w:val="009D4991"/>
    <w:rsid w:val="009D5BB5"/>
    <w:rsid w:val="009D696D"/>
    <w:rsid w:val="009D6ED2"/>
    <w:rsid w:val="009E0D5D"/>
    <w:rsid w:val="009E0F1A"/>
    <w:rsid w:val="009E140D"/>
    <w:rsid w:val="009E41E9"/>
    <w:rsid w:val="009E4465"/>
    <w:rsid w:val="009E6401"/>
    <w:rsid w:val="009E6C54"/>
    <w:rsid w:val="009F2261"/>
    <w:rsid w:val="009F2A25"/>
    <w:rsid w:val="009F3EB4"/>
    <w:rsid w:val="009F5235"/>
    <w:rsid w:val="009F531A"/>
    <w:rsid w:val="009F6550"/>
    <w:rsid w:val="009F786E"/>
    <w:rsid w:val="00A008DA"/>
    <w:rsid w:val="00A00902"/>
    <w:rsid w:val="00A039FF"/>
    <w:rsid w:val="00A05ACE"/>
    <w:rsid w:val="00A078CB"/>
    <w:rsid w:val="00A12EEF"/>
    <w:rsid w:val="00A14AE3"/>
    <w:rsid w:val="00A16675"/>
    <w:rsid w:val="00A22CD6"/>
    <w:rsid w:val="00A234EC"/>
    <w:rsid w:val="00A2417A"/>
    <w:rsid w:val="00A26668"/>
    <w:rsid w:val="00A27804"/>
    <w:rsid w:val="00A36822"/>
    <w:rsid w:val="00A36AB5"/>
    <w:rsid w:val="00A37A23"/>
    <w:rsid w:val="00A411D1"/>
    <w:rsid w:val="00A43389"/>
    <w:rsid w:val="00A43E71"/>
    <w:rsid w:val="00A45753"/>
    <w:rsid w:val="00A47B15"/>
    <w:rsid w:val="00A52F84"/>
    <w:rsid w:val="00A5533F"/>
    <w:rsid w:val="00A554CA"/>
    <w:rsid w:val="00A56394"/>
    <w:rsid w:val="00A56B05"/>
    <w:rsid w:val="00A57678"/>
    <w:rsid w:val="00A60E2F"/>
    <w:rsid w:val="00A63284"/>
    <w:rsid w:val="00A64CB8"/>
    <w:rsid w:val="00A67018"/>
    <w:rsid w:val="00A672F3"/>
    <w:rsid w:val="00A673DC"/>
    <w:rsid w:val="00A67D40"/>
    <w:rsid w:val="00A7076E"/>
    <w:rsid w:val="00A709BE"/>
    <w:rsid w:val="00A7162E"/>
    <w:rsid w:val="00A7195A"/>
    <w:rsid w:val="00A72D71"/>
    <w:rsid w:val="00A7519C"/>
    <w:rsid w:val="00A75705"/>
    <w:rsid w:val="00A77C69"/>
    <w:rsid w:val="00A83953"/>
    <w:rsid w:val="00A83A77"/>
    <w:rsid w:val="00A85AF5"/>
    <w:rsid w:val="00A900E7"/>
    <w:rsid w:val="00A903B6"/>
    <w:rsid w:val="00A90F4F"/>
    <w:rsid w:val="00A92E44"/>
    <w:rsid w:val="00A9418A"/>
    <w:rsid w:val="00A947AA"/>
    <w:rsid w:val="00A9769C"/>
    <w:rsid w:val="00AA1B53"/>
    <w:rsid w:val="00AA3556"/>
    <w:rsid w:val="00AA35FD"/>
    <w:rsid w:val="00AA3DB7"/>
    <w:rsid w:val="00AB0340"/>
    <w:rsid w:val="00AB3012"/>
    <w:rsid w:val="00AB321C"/>
    <w:rsid w:val="00AB5B99"/>
    <w:rsid w:val="00AB688F"/>
    <w:rsid w:val="00AB75EA"/>
    <w:rsid w:val="00AB7AA2"/>
    <w:rsid w:val="00AB7BE2"/>
    <w:rsid w:val="00AC4BC1"/>
    <w:rsid w:val="00AD04BD"/>
    <w:rsid w:val="00AD1C72"/>
    <w:rsid w:val="00AD25F6"/>
    <w:rsid w:val="00AD46E6"/>
    <w:rsid w:val="00AD7214"/>
    <w:rsid w:val="00AE1066"/>
    <w:rsid w:val="00AE2AD2"/>
    <w:rsid w:val="00AE4518"/>
    <w:rsid w:val="00AE5D7F"/>
    <w:rsid w:val="00AE79F0"/>
    <w:rsid w:val="00AF2089"/>
    <w:rsid w:val="00AF3350"/>
    <w:rsid w:val="00AF4305"/>
    <w:rsid w:val="00AF5585"/>
    <w:rsid w:val="00AF561C"/>
    <w:rsid w:val="00AF6EC1"/>
    <w:rsid w:val="00B00331"/>
    <w:rsid w:val="00B01A80"/>
    <w:rsid w:val="00B02675"/>
    <w:rsid w:val="00B07C27"/>
    <w:rsid w:val="00B10017"/>
    <w:rsid w:val="00B10DE1"/>
    <w:rsid w:val="00B10FF8"/>
    <w:rsid w:val="00B11A5B"/>
    <w:rsid w:val="00B203C4"/>
    <w:rsid w:val="00B20A27"/>
    <w:rsid w:val="00B22E81"/>
    <w:rsid w:val="00B23996"/>
    <w:rsid w:val="00B23CB2"/>
    <w:rsid w:val="00B24946"/>
    <w:rsid w:val="00B2561A"/>
    <w:rsid w:val="00B25A64"/>
    <w:rsid w:val="00B306AA"/>
    <w:rsid w:val="00B32AB3"/>
    <w:rsid w:val="00B34E7C"/>
    <w:rsid w:val="00B368EA"/>
    <w:rsid w:val="00B37EEF"/>
    <w:rsid w:val="00B424F8"/>
    <w:rsid w:val="00B46E00"/>
    <w:rsid w:val="00B52B4A"/>
    <w:rsid w:val="00B54370"/>
    <w:rsid w:val="00B55185"/>
    <w:rsid w:val="00B55281"/>
    <w:rsid w:val="00B60FD1"/>
    <w:rsid w:val="00B61923"/>
    <w:rsid w:val="00B621D6"/>
    <w:rsid w:val="00B63EF5"/>
    <w:rsid w:val="00B65D6F"/>
    <w:rsid w:val="00B67C23"/>
    <w:rsid w:val="00B70DC7"/>
    <w:rsid w:val="00B715FD"/>
    <w:rsid w:val="00B73042"/>
    <w:rsid w:val="00B74BB9"/>
    <w:rsid w:val="00B75283"/>
    <w:rsid w:val="00B75735"/>
    <w:rsid w:val="00B77142"/>
    <w:rsid w:val="00B807F5"/>
    <w:rsid w:val="00B80A2C"/>
    <w:rsid w:val="00B81F60"/>
    <w:rsid w:val="00B841AC"/>
    <w:rsid w:val="00B843ED"/>
    <w:rsid w:val="00B865B0"/>
    <w:rsid w:val="00B90497"/>
    <w:rsid w:val="00B90780"/>
    <w:rsid w:val="00B91F9C"/>
    <w:rsid w:val="00B9240D"/>
    <w:rsid w:val="00B97681"/>
    <w:rsid w:val="00BA08A9"/>
    <w:rsid w:val="00BA22A8"/>
    <w:rsid w:val="00BA3E48"/>
    <w:rsid w:val="00BA4BD3"/>
    <w:rsid w:val="00BB0187"/>
    <w:rsid w:val="00BB1EB3"/>
    <w:rsid w:val="00BB2678"/>
    <w:rsid w:val="00BC013A"/>
    <w:rsid w:val="00BC1F94"/>
    <w:rsid w:val="00BC2343"/>
    <w:rsid w:val="00BC41FB"/>
    <w:rsid w:val="00BD30C8"/>
    <w:rsid w:val="00BD32FA"/>
    <w:rsid w:val="00BD3EB4"/>
    <w:rsid w:val="00BD5C65"/>
    <w:rsid w:val="00BD71EE"/>
    <w:rsid w:val="00BE6018"/>
    <w:rsid w:val="00BF1F57"/>
    <w:rsid w:val="00BF4086"/>
    <w:rsid w:val="00BF426C"/>
    <w:rsid w:val="00BF58D0"/>
    <w:rsid w:val="00BF63AF"/>
    <w:rsid w:val="00BF7D6A"/>
    <w:rsid w:val="00C013E1"/>
    <w:rsid w:val="00C01611"/>
    <w:rsid w:val="00C02D59"/>
    <w:rsid w:val="00C030B6"/>
    <w:rsid w:val="00C03284"/>
    <w:rsid w:val="00C050D7"/>
    <w:rsid w:val="00C05B5F"/>
    <w:rsid w:val="00C06911"/>
    <w:rsid w:val="00C104CC"/>
    <w:rsid w:val="00C12898"/>
    <w:rsid w:val="00C152FE"/>
    <w:rsid w:val="00C16739"/>
    <w:rsid w:val="00C22C7D"/>
    <w:rsid w:val="00C22CCE"/>
    <w:rsid w:val="00C231D6"/>
    <w:rsid w:val="00C23BA2"/>
    <w:rsid w:val="00C272C4"/>
    <w:rsid w:val="00C31C12"/>
    <w:rsid w:val="00C32AF2"/>
    <w:rsid w:val="00C33204"/>
    <w:rsid w:val="00C338EB"/>
    <w:rsid w:val="00C3465D"/>
    <w:rsid w:val="00C35643"/>
    <w:rsid w:val="00C379E9"/>
    <w:rsid w:val="00C439FB"/>
    <w:rsid w:val="00C43F23"/>
    <w:rsid w:val="00C50011"/>
    <w:rsid w:val="00C52CA1"/>
    <w:rsid w:val="00C5755E"/>
    <w:rsid w:val="00C6379C"/>
    <w:rsid w:val="00C645E6"/>
    <w:rsid w:val="00C64D82"/>
    <w:rsid w:val="00C64FBC"/>
    <w:rsid w:val="00C65A83"/>
    <w:rsid w:val="00C724F2"/>
    <w:rsid w:val="00C72C6F"/>
    <w:rsid w:val="00C75057"/>
    <w:rsid w:val="00C77034"/>
    <w:rsid w:val="00C80F23"/>
    <w:rsid w:val="00C81151"/>
    <w:rsid w:val="00C81EFA"/>
    <w:rsid w:val="00C82CC6"/>
    <w:rsid w:val="00C850A3"/>
    <w:rsid w:val="00C85C32"/>
    <w:rsid w:val="00C87568"/>
    <w:rsid w:val="00C90DB6"/>
    <w:rsid w:val="00C913B6"/>
    <w:rsid w:val="00C9394F"/>
    <w:rsid w:val="00C93B1A"/>
    <w:rsid w:val="00C96F5F"/>
    <w:rsid w:val="00CA4126"/>
    <w:rsid w:val="00CA4574"/>
    <w:rsid w:val="00CA5927"/>
    <w:rsid w:val="00CA79EC"/>
    <w:rsid w:val="00CB041A"/>
    <w:rsid w:val="00CB39C2"/>
    <w:rsid w:val="00CB4664"/>
    <w:rsid w:val="00CB4C8C"/>
    <w:rsid w:val="00CB6782"/>
    <w:rsid w:val="00CC080A"/>
    <w:rsid w:val="00CC0994"/>
    <w:rsid w:val="00CC0C03"/>
    <w:rsid w:val="00CD0AAD"/>
    <w:rsid w:val="00CD6177"/>
    <w:rsid w:val="00CE182E"/>
    <w:rsid w:val="00CE2DAB"/>
    <w:rsid w:val="00CE2DE4"/>
    <w:rsid w:val="00CE2E79"/>
    <w:rsid w:val="00CE5277"/>
    <w:rsid w:val="00CE5A79"/>
    <w:rsid w:val="00CE6358"/>
    <w:rsid w:val="00CF2D54"/>
    <w:rsid w:val="00CF592C"/>
    <w:rsid w:val="00CF6992"/>
    <w:rsid w:val="00CF6AD7"/>
    <w:rsid w:val="00CF7B8C"/>
    <w:rsid w:val="00D03538"/>
    <w:rsid w:val="00D049B8"/>
    <w:rsid w:val="00D0516C"/>
    <w:rsid w:val="00D05EE7"/>
    <w:rsid w:val="00D068D0"/>
    <w:rsid w:val="00D078D1"/>
    <w:rsid w:val="00D129A8"/>
    <w:rsid w:val="00D12FB9"/>
    <w:rsid w:val="00D13FE2"/>
    <w:rsid w:val="00D200BD"/>
    <w:rsid w:val="00D22399"/>
    <w:rsid w:val="00D24B11"/>
    <w:rsid w:val="00D310BA"/>
    <w:rsid w:val="00D32C0A"/>
    <w:rsid w:val="00D33751"/>
    <w:rsid w:val="00D3382F"/>
    <w:rsid w:val="00D33924"/>
    <w:rsid w:val="00D34559"/>
    <w:rsid w:val="00D36F6E"/>
    <w:rsid w:val="00D3705B"/>
    <w:rsid w:val="00D37343"/>
    <w:rsid w:val="00D4205E"/>
    <w:rsid w:val="00D45DB6"/>
    <w:rsid w:val="00D5574C"/>
    <w:rsid w:val="00D604CE"/>
    <w:rsid w:val="00D61982"/>
    <w:rsid w:val="00D6267A"/>
    <w:rsid w:val="00D67D12"/>
    <w:rsid w:val="00D7585A"/>
    <w:rsid w:val="00D77B06"/>
    <w:rsid w:val="00D80618"/>
    <w:rsid w:val="00D8121C"/>
    <w:rsid w:val="00D82494"/>
    <w:rsid w:val="00D84A4B"/>
    <w:rsid w:val="00D92168"/>
    <w:rsid w:val="00D940B5"/>
    <w:rsid w:val="00D95CB0"/>
    <w:rsid w:val="00D977C0"/>
    <w:rsid w:val="00DA00A3"/>
    <w:rsid w:val="00DA13F3"/>
    <w:rsid w:val="00DA23C3"/>
    <w:rsid w:val="00DA2DE3"/>
    <w:rsid w:val="00DA475D"/>
    <w:rsid w:val="00DA7146"/>
    <w:rsid w:val="00DA716A"/>
    <w:rsid w:val="00DB1F4F"/>
    <w:rsid w:val="00DB37EE"/>
    <w:rsid w:val="00DB4450"/>
    <w:rsid w:val="00DB7B69"/>
    <w:rsid w:val="00DC234A"/>
    <w:rsid w:val="00DC27AD"/>
    <w:rsid w:val="00DC41E4"/>
    <w:rsid w:val="00DC5116"/>
    <w:rsid w:val="00DC7C77"/>
    <w:rsid w:val="00DD074A"/>
    <w:rsid w:val="00DD2417"/>
    <w:rsid w:val="00DD47BB"/>
    <w:rsid w:val="00DD7251"/>
    <w:rsid w:val="00DD7EA2"/>
    <w:rsid w:val="00DE00F2"/>
    <w:rsid w:val="00DE117F"/>
    <w:rsid w:val="00DE401C"/>
    <w:rsid w:val="00DF22DF"/>
    <w:rsid w:val="00DF63FA"/>
    <w:rsid w:val="00DF7589"/>
    <w:rsid w:val="00E00A1C"/>
    <w:rsid w:val="00E012CC"/>
    <w:rsid w:val="00E02818"/>
    <w:rsid w:val="00E02B71"/>
    <w:rsid w:val="00E02DEB"/>
    <w:rsid w:val="00E042A1"/>
    <w:rsid w:val="00E05A9C"/>
    <w:rsid w:val="00E067FB"/>
    <w:rsid w:val="00E104FA"/>
    <w:rsid w:val="00E1082A"/>
    <w:rsid w:val="00E11166"/>
    <w:rsid w:val="00E13182"/>
    <w:rsid w:val="00E15383"/>
    <w:rsid w:val="00E16313"/>
    <w:rsid w:val="00E1738C"/>
    <w:rsid w:val="00E207A1"/>
    <w:rsid w:val="00E22D28"/>
    <w:rsid w:val="00E230E3"/>
    <w:rsid w:val="00E27A14"/>
    <w:rsid w:val="00E30EDF"/>
    <w:rsid w:val="00E30F3C"/>
    <w:rsid w:val="00E31EC2"/>
    <w:rsid w:val="00E31FBA"/>
    <w:rsid w:val="00E32CB6"/>
    <w:rsid w:val="00E34042"/>
    <w:rsid w:val="00E34CDF"/>
    <w:rsid w:val="00E36AAE"/>
    <w:rsid w:val="00E41773"/>
    <w:rsid w:val="00E428DD"/>
    <w:rsid w:val="00E43B0B"/>
    <w:rsid w:val="00E44A50"/>
    <w:rsid w:val="00E477F6"/>
    <w:rsid w:val="00E50841"/>
    <w:rsid w:val="00E513F6"/>
    <w:rsid w:val="00E52F3B"/>
    <w:rsid w:val="00E53A45"/>
    <w:rsid w:val="00E53D94"/>
    <w:rsid w:val="00E53DEA"/>
    <w:rsid w:val="00E548E9"/>
    <w:rsid w:val="00E553CC"/>
    <w:rsid w:val="00E55667"/>
    <w:rsid w:val="00E57068"/>
    <w:rsid w:val="00E57630"/>
    <w:rsid w:val="00E616DB"/>
    <w:rsid w:val="00E627A4"/>
    <w:rsid w:val="00E630ED"/>
    <w:rsid w:val="00E74EC5"/>
    <w:rsid w:val="00E75FDC"/>
    <w:rsid w:val="00E76B86"/>
    <w:rsid w:val="00E8342F"/>
    <w:rsid w:val="00E847A7"/>
    <w:rsid w:val="00E85E29"/>
    <w:rsid w:val="00E85F25"/>
    <w:rsid w:val="00E86E79"/>
    <w:rsid w:val="00E87313"/>
    <w:rsid w:val="00E906B4"/>
    <w:rsid w:val="00E9095B"/>
    <w:rsid w:val="00E926B8"/>
    <w:rsid w:val="00E9399B"/>
    <w:rsid w:val="00E94008"/>
    <w:rsid w:val="00E94762"/>
    <w:rsid w:val="00E9588D"/>
    <w:rsid w:val="00E95CDA"/>
    <w:rsid w:val="00E96B52"/>
    <w:rsid w:val="00EA2244"/>
    <w:rsid w:val="00EA5D6D"/>
    <w:rsid w:val="00EA6FA7"/>
    <w:rsid w:val="00EB067F"/>
    <w:rsid w:val="00EB0BF5"/>
    <w:rsid w:val="00EB1F02"/>
    <w:rsid w:val="00EB3E72"/>
    <w:rsid w:val="00EB5BC5"/>
    <w:rsid w:val="00EC086C"/>
    <w:rsid w:val="00EC42D0"/>
    <w:rsid w:val="00EC58C8"/>
    <w:rsid w:val="00EC638F"/>
    <w:rsid w:val="00EC64D3"/>
    <w:rsid w:val="00ED0183"/>
    <w:rsid w:val="00ED48AC"/>
    <w:rsid w:val="00EE01D9"/>
    <w:rsid w:val="00EE224C"/>
    <w:rsid w:val="00EE4874"/>
    <w:rsid w:val="00EE79A6"/>
    <w:rsid w:val="00EF063B"/>
    <w:rsid w:val="00EF6111"/>
    <w:rsid w:val="00EF6232"/>
    <w:rsid w:val="00EF698A"/>
    <w:rsid w:val="00F005A0"/>
    <w:rsid w:val="00F006CC"/>
    <w:rsid w:val="00F05EAD"/>
    <w:rsid w:val="00F06616"/>
    <w:rsid w:val="00F11352"/>
    <w:rsid w:val="00F1498D"/>
    <w:rsid w:val="00F14DDF"/>
    <w:rsid w:val="00F152AD"/>
    <w:rsid w:val="00F2285F"/>
    <w:rsid w:val="00F23155"/>
    <w:rsid w:val="00F24236"/>
    <w:rsid w:val="00F24E0E"/>
    <w:rsid w:val="00F26693"/>
    <w:rsid w:val="00F27C38"/>
    <w:rsid w:val="00F36130"/>
    <w:rsid w:val="00F40444"/>
    <w:rsid w:val="00F40868"/>
    <w:rsid w:val="00F423BD"/>
    <w:rsid w:val="00F4255D"/>
    <w:rsid w:val="00F432FF"/>
    <w:rsid w:val="00F46DF9"/>
    <w:rsid w:val="00F4715C"/>
    <w:rsid w:val="00F54869"/>
    <w:rsid w:val="00F556B2"/>
    <w:rsid w:val="00F57252"/>
    <w:rsid w:val="00F5754B"/>
    <w:rsid w:val="00F576DE"/>
    <w:rsid w:val="00F63BF7"/>
    <w:rsid w:val="00F64563"/>
    <w:rsid w:val="00F65617"/>
    <w:rsid w:val="00F65D71"/>
    <w:rsid w:val="00F70112"/>
    <w:rsid w:val="00F710BE"/>
    <w:rsid w:val="00F723B1"/>
    <w:rsid w:val="00F736D2"/>
    <w:rsid w:val="00F7564C"/>
    <w:rsid w:val="00F76220"/>
    <w:rsid w:val="00F769BE"/>
    <w:rsid w:val="00F81C33"/>
    <w:rsid w:val="00F82A1D"/>
    <w:rsid w:val="00F82E6B"/>
    <w:rsid w:val="00F91F6D"/>
    <w:rsid w:val="00F97B71"/>
    <w:rsid w:val="00FA2DDA"/>
    <w:rsid w:val="00FA34CA"/>
    <w:rsid w:val="00FA4A55"/>
    <w:rsid w:val="00FA4D4F"/>
    <w:rsid w:val="00FA54E8"/>
    <w:rsid w:val="00FA7193"/>
    <w:rsid w:val="00FA7910"/>
    <w:rsid w:val="00FB2D17"/>
    <w:rsid w:val="00FB2F69"/>
    <w:rsid w:val="00FB368B"/>
    <w:rsid w:val="00FB45FF"/>
    <w:rsid w:val="00FB572A"/>
    <w:rsid w:val="00FB5D97"/>
    <w:rsid w:val="00FC1CA5"/>
    <w:rsid w:val="00FC2098"/>
    <w:rsid w:val="00FC219C"/>
    <w:rsid w:val="00FC2979"/>
    <w:rsid w:val="00FD1C3C"/>
    <w:rsid w:val="00FD1E02"/>
    <w:rsid w:val="00FD38A8"/>
    <w:rsid w:val="00FD6AC8"/>
    <w:rsid w:val="00FE3EA1"/>
    <w:rsid w:val="00FE4818"/>
    <w:rsid w:val="00FE4BF2"/>
    <w:rsid w:val="00FE5D80"/>
    <w:rsid w:val="00FE67F1"/>
    <w:rsid w:val="00FF1577"/>
    <w:rsid w:val="00FF3515"/>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locked="1" w:name="HTML Preformatted"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FD1E0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C1289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FD1E02"/>
    <w:rPr>
      <w:rFonts w:cs="Times New Roman"/>
      <w:b/>
      <w:bCs/>
      <w:kern w:val="44"/>
      <w:sz w:val="44"/>
      <w:szCs w:val="44"/>
    </w:rPr>
  </w:style>
  <w:style w:customStyle="1" w:styleId="2Char" w:type="character">
    <w:name w:val="标题 2 Char"/>
    <w:link w:val="2"/>
    <w:uiPriority w:val="99"/>
    <w:semiHidden/>
    <w:locked/>
    <w:rsid w:val="00140FF8"/>
    <w:rPr>
      <w:rFonts w:ascii="Cambria" w:cs="Times New Roman" w:eastAsia="宋体" w:hAnsi="Cambria"/>
      <w:b/>
      <w:bCs/>
      <w:sz w:val="32"/>
      <w:szCs w:val="32"/>
    </w:rPr>
  </w:style>
  <w:style w:styleId="a0" w:type="paragraph">
    <w:name w:val="Normal Indent"/>
    <w:basedOn w:val="a"/>
    <w:uiPriority w:val="99"/>
    <w:rsid w:val="00C12898"/>
    <w:pPr>
      <w:ind w:firstLine="420" w:firstLineChars="200"/>
    </w:pPr>
  </w:style>
  <w:style w:styleId="a4" w:type="paragraph">
    <w:name w:val="Body Text Indent"/>
    <w:basedOn w:val="a"/>
    <w:link w:val="Char"/>
    <w:uiPriority w:val="99"/>
    <w:rsid w:val="00C12898"/>
    <w:pPr>
      <w:widowControl/>
      <w:spacing w:after="100" w:afterAutospacing="1" w:before="100" w:beforeAutospacing="1"/>
      <w:jc w:val="left"/>
    </w:pPr>
    <w:rPr>
      <w:rFonts w:ascii="Arial Unicode MS" w:cs="Arial Unicode MS" w:eastAsia="Arial Unicode MS" w:hAnsi="Arial Unicode MS"/>
      <w:kern w:val="0"/>
      <w:sz w:val="24"/>
    </w:rPr>
  </w:style>
  <w:style w:customStyle="1" w:styleId="Char" w:type="character">
    <w:name w:val="正文文本缩进 Char"/>
    <w:link w:val="a4"/>
    <w:uiPriority w:val="99"/>
    <w:semiHidden/>
    <w:locked/>
    <w:rsid w:val="00140FF8"/>
    <w:rPr>
      <w:rFonts w:cs="Times New Roman"/>
      <w:sz w:val="24"/>
      <w:szCs w:val="24"/>
    </w:rPr>
  </w:style>
  <w:style w:styleId="a5" w:type="paragraph">
    <w:name w:val="Plain Text"/>
    <w:basedOn w:val="a"/>
    <w:link w:val="Char0"/>
    <w:uiPriority w:val="99"/>
    <w:rsid w:val="00C12898"/>
    <w:rPr>
      <w:rFonts w:ascii="宋体" w:hAnsi="Courier New"/>
      <w:szCs w:val="21"/>
    </w:rPr>
  </w:style>
  <w:style w:customStyle="1" w:styleId="Char0" w:type="character">
    <w:name w:val="纯文本 Char"/>
    <w:link w:val="a5"/>
    <w:uiPriority w:val="99"/>
    <w:locked/>
    <w:rsid w:val="0042253F"/>
    <w:rPr>
      <w:rFonts w:ascii="宋体" w:cs="Times New Roman" w:hAnsi="Courier New"/>
      <w:kern w:val="2"/>
      <w:sz w:val="21"/>
    </w:rPr>
  </w:style>
  <w:style w:styleId="20" w:type="paragraph">
    <w:name w:val="Body Text Indent 2"/>
    <w:basedOn w:val="a"/>
    <w:link w:val="2Char0"/>
    <w:uiPriority w:val="99"/>
    <w:rsid w:val="00C12898"/>
    <w:pPr>
      <w:spacing w:line="560" w:lineRule="exact"/>
      <w:ind w:firstLine="480" w:firstLineChars="200"/>
    </w:pPr>
    <w:rPr>
      <w:rFonts w:ascii="宋体" w:hAnsi="宋体"/>
      <w:color w:val="FF0000"/>
      <w:sz w:val="24"/>
    </w:rPr>
  </w:style>
  <w:style w:customStyle="1" w:styleId="2Char0" w:type="character">
    <w:name w:val="正文文本缩进 2 Char"/>
    <w:link w:val="20"/>
    <w:uiPriority w:val="99"/>
    <w:semiHidden/>
    <w:locked/>
    <w:rsid w:val="00140FF8"/>
    <w:rPr>
      <w:rFonts w:cs="Times New Roman"/>
      <w:sz w:val="24"/>
      <w:szCs w:val="24"/>
    </w:rPr>
  </w:style>
  <w:style w:styleId="a6" w:type="paragraph">
    <w:name w:val="footer"/>
    <w:basedOn w:val="a"/>
    <w:link w:val="Char1"/>
    <w:uiPriority w:val="99"/>
    <w:rsid w:val="00C12898"/>
    <w:pPr>
      <w:tabs>
        <w:tab w:pos="4153" w:val="center"/>
        <w:tab w:pos="8306" w:val="right"/>
      </w:tabs>
      <w:snapToGrid w:val="0"/>
      <w:jc w:val="left"/>
    </w:pPr>
    <w:rPr>
      <w:sz w:val="18"/>
      <w:szCs w:val="18"/>
    </w:rPr>
  </w:style>
  <w:style w:customStyle="1" w:styleId="Char1" w:type="character">
    <w:name w:val="页脚 Char"/>
    <w:link w:val="a6"/>
    <w:uiPriority w:val="99"/>
    <w:semiHidden/>
    <w:locked/>
    <w:rsid w:val="00140FF8"/>
    <w:rPr>
      <w:rFonts w:cs="Times New Roman"/>
      <w:sz w:val="18"/>
      <w:szCs w:val="18"/>
    </w:rPr>
  </w:style>
  <w:style w:styleId="a7" w:type="character">
    <w:name w:val="page number"/>
    <w:uiPriority w:val="99"/>
    <w:rsid w:val="00C12898"/>
    <w:rPr>
      <w:rFonts w:cs="Times New Roman"/>
    </w:rPr>
  </w:style>
  <w:style w:styleId="a8" w:type="character">
    <w:name w:val="Hyperlink"/>
    <w:uiPriority w:val="99"/>
    <w:rsid w:val="00C12898"/>
    <w:rPr>
      <w:rFonts w:cs="Times New Roman"/>
      <w:color w:val="0000FF"/>
      <w:u w:val="single"/>
    </w:rPr>
  </w:style>
  <w:style w:styleId="3" w:type="paragraph">
    <w:name w:val="Body Text Indent 3"/>
    <w:basedOn w:val="a"/>
    <w:link w:val="3Char"/>
    <w:uiPriority w:val="99"/>
    <w:rsid w:val="00C12898"/>
    <w:pPr>
      <w:spacing w:line="560" w:lineRule="exact"/>
      <w:ind w:firstLine="420" w:firstLineChars="200"/>
    </w:pPr>
    <w:rPr>
      <w:rFonts w:ascii="Arial" w:cs="Arial" w:hAnsi="Arial"/>
      <w:color w:val="FF0000"/>
    </w:rPr>
  </w:style>
  <w:style w:customStyle="1" w:styleId="3Char" w:type="character">
    <w:name w:val="正文文本缩进 3 Char"/>
    <w:link w:val="3"/>
    <w:uiPriority w:val="99"/>
    <w:semiHidden/>
    <w:locked/>
    <w:rsid w:val="00140FF8"/>
    <w:rPr>
      <w:rFonts w:cs="Times New Roman"/>
      <w:sz w:val="16"/>
      <w:szCs w:val="16"/>
    </w:rPr>
  </w:style>
  <w:style w:styleId="a9" w:type="paragraph">
    <w:name w:val="header"/>
    <w:basedOn w:val="a"/>
    <w:link w:val="Char2"/>
    <w:uiPriority w:val="99"/>
    <w:rsid w:val="00C1289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FB572A"/>
    <w:rPr>
      <w:rFonts w:cs="Times New Roman"/>
      <w:kern w:val="2"/>
      <w:sz w:val="18"/>
      <w:szCs w:val="18"/>
    </w:rPr>
  </w:style>
  <w:style w:styleId="aa" w:type="character">
    <w:name w:val="FollowedHyperlink"/>
    <w:uiPriority w:val="99"/>
    <w:rsid w:val="00C12898"/>
    <w:rPr>
      <w:rFonts w:cs="Times New Roman"/>
      <w:color w:val="800080"/>
      <w:u w:val="single"/>
    </w:rPr>
  </w:style>
  <w:style w:styleId="ab" w:type="paragraph">
    <w:name w:val="List"/>
    <w:basedOn w:val="ac"/>
    <w:uiPriority w:val="99"/>
    <w:rsid w:val="00C12898"/>
    <w:pPr>
      <w:spacing w:after="220" w:line="220" w:lineRule="atLeast"/>
      <w:ind w:hanging="360" w:left="1440"/>
    </w:pPr>
    <w:rPr>
      <w:szCs w:val="20"/>
    </w:rPr>
  </w:style>
  <w:style w:styleId="ac" w:type="paragraph">
    <w:name w:val="Body Text"/>
    <w:basedOn w:val="a"/>
    <w:link w:val="Char3"/>
    <w:uiPriority w:val="99"/>
    <w:rsid w:val="00C12898"/>
    <w:pPr>
      <w:spacing w:after="120"/>
    </w:pPr>
  </w:style>
  <w:style w:customStyle="1" w:styleId="Char3" w:type="character">
    <w:name w:val="正文文本 Char"/>
    <w:link w:val="ac"/>
    <w:uiPriority w:val="99"/>
    <w:semiHidden/>
    <w:locked/>
    <w:rsid w:val="00140FF8"/>
    <w:rPr>
      <w:rFonts w:cs="Times New Roman"/>
      <w:sz w:val="24"/>
      <w:szCs w:val="24"/>
    </w:rPr>
  </w:style>
  <w:style w:styleId="ad" w:type="paragraph">
    <w:name w:val="Date"/>
    <w:basedOn w:val="a"/>
    <w:next w:val="a"/>
    <w:link w:val="Char4"/>
    <w:uiPriority w:val="99"/>
    <w:rsid w:val="00C12898"/>
    <w:rPr>
      <w:sz w:val="24"/>
      <w:szCs w:val="20"/>
    </w:rPr>
  </w:style>
  <w:style w:customStyle="1" w:styleId="Char4" w:type="character">
    <w:name w:val="日期 Char"/>
    <w:link w:val="ad"/>
    <w:uiPriority w:val="99"/>
    <w:locked/>
    <w:rsid w:val="00F27C38"/>
    <w:rPr>
      <w:rFonts w:cs="Times New Roman"/>
      <w:kern w:val="2"/>
      <w:sz w:val="24"/>
    </w:rPr>
  </w:style>
  <w:style w:customStyle="1" w:styleId="c1" w:type="character">
    <w:name w:val="c1"/>
    <w:uiPriority w:val="99"/>
    <w:rsid w:val="00C12898"/>
    <w:rPr>
      <w:rFonts w:cs="Times New Roman"/>
      <w:color w:val="000000"/>
      <w:sz w:val="18"/>
      <w:szCs w:val="18"/>
    </w:rPr>
  </w:style>
  <w:style w:styleId="10" w:type="paragraph">
    <w:name w:val="index 1"/>
    <w:basedOn w:val="a"/>
    <w:next w:val="a"/>
    <w:autoRedefine/>
    <w:uiPriority w:val="99"/>
    <w:semiHidden/>
    <w:rsid w:val="00C12898"/>
    <w:pPr>
      <w:jc w:val="right"/>
    </w:pPr>
    <w:rPr>
      <w:color w:val="008000"/>
    </w:rPr>
  </w:style>
  <w:style w:customStyle="1" w:styleId="font5" w:type="paragraph">
    <w:name w:val="font5"/>
    <w:basedOn w:val="a"/>
    <w:uiPriority w:val="99"/>
    <w:rsid w:val="00C1289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C1289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C12898"/>
    <w:rPr>
      <w:sz w:val="18"/>
      <w:szCs w:val="18"/>
    </w:rPr>
  </w:style>
  <w:style w:customStyle="1" w:styleId="Char5" w:type="character">
    <w:name w:val="批注框文本 Char"/>
    <w:link w:val="ae"/>
    <w:uiPriority w:val="99"/>
    <w:semiHidden/>
    <w:locked/>
    <w:rsid w:val="00140FF8"/>
    <w:rPr>
      <w:rFonts w:cs="Times New Roman"/>
      <w:sz w:val="2"/>
    </w:rPr>
  </w:style>
  <w:style w:styleId="af" w:type="character">
    <w:name w:val="annotation reference"/>
    <w:uiPriority w:val="99"/>
    <w:semiHidden/>
    <w:rsid w:val="00C12898"/>
    <w:rPr>
      <w:rFonts w:cs="Times New Roman"/>
      <w:sz w:val="21"/>
      <w:szCs w:val="21"/>
    </w:rPr>
  </w:style>
  <w:style w:styleId="af0" w:type="paragraph">
    <w:name w:val="annotation text"/>
    <w:basedOn w:val="a"/>
    <w:link w:val="Char6"/>
    <w:uiPriority w:val="99"/>
    <w:semiHidden/>
    <w:rsid w:val="00C12898"/>
    <w:pPr>
      <w:jc w:val="left"/>
    </w:pPr>
  </w:style>
  <w:style w:customStyle="1" w:styleId="Char6" w:type="character">
    <w:name w:val="批注文字 Char"/>
    <w:link w:val="af0"/>
    <w:uiPriority w:val="99"/>
    <w:semiHidden/>
    <w:locked/>
    <w:rsid w:val="00140FF8"/>
    <w:rPr>
      <w:rFonts w:cs="Times New Roman"/>
      <w:sz w:val="24"/>
      <w:szCs w:val="24"/>
    </w:rPr>
  </w:style>
  <w:style w:styleId="af1" w:type="paragraph">
    <w:name w:val="annotation subject"/>
    <w:basedOn w:val="af0"/>
    <w:next w:val="af0"/>
    <w:link w:val="Char7"/>
    <w:uiPriority w:val="99"/>
    <w:semiHidden/>
    <w:rsid w:val="00C12898"/>
    <w:rPr>
      <w:b/>
      <w:bCs/>
    </w:rPr>
  </w:style>
  <w:style w:customStyle="1" w:styleId="Char7" w:type="character">
    <w:name w:val="批注主题 Char"/>
    <w:link w:val="af1"/>
    <w:uiPriority w:val="99"/>
    <w:semiHidden/>
    <w:locked/>
    <w:rsid w:val="00140FF8"/>
    <w:rPr>
      <w:rFonts w:cs="Times New Roman"/>
      <w:b/>
      <w:bCs/>
      <w:sz w:val="24"/>
      <w:szCs w:val="24"/>
    </w:rPr>
  </w:style>
  <w:style w:customStyle="1" w:styleId="Char8" w:type="paragraph">
    <w:name w:val="Char"/>
    <w:basedOn w:val="a"/>
    <w:uiPriority w:val="99"/>
    <w:rsid w:val="00C12898"/>
  </w:style>
  <w:style w:styleId="af2" w:type="paragraph">
    <w:name w:val="Document Map"/>
    <w:basedOn w:val="a"/>
    <w:link w:val="Char9"/>
    <w:uiPriority w:val="99"/>
    <w:semiHidden/>
    <w:rsid w:val="000A549A"/>
    <w:pPr>
      <w:shd w:color="auto" w:fill="000080" w:val="clear"/>
    </w:pPr>
  </w:style>
  <w:style w:customStyle="1" w:styleId="Char9" w:type="character">
    <w:name w:val="文档结构图 Char"/>
    <w:link w:val="af2"/>
    <w:uiPriority w:val="99"/>
    <w:semiHidden/>
    <w:locked/>
    <w:rsid w:val="00140FF8"/>
    <w:rPr>
      <w:rFonts w:cs="Times New Roman"/>
      <w:sz w:val="2"/>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sz w:val="18"/>
      <w:szCs w:val="18"/>
    </w:rPr>
  </w:style>
  <w:style w:customStyle="1" w:styleId="Chara" w:type="character">
    <w:name w:val="脚注文本 Char"/>
    <w:link w:val="af4"/>
    <w:uiPriority w:val="99"/>
    <w:semiHidden/>
    <w:locked/>
    <w:rsid w:val="00140FF8"/>
    <w:rPr>
      <w:rFonts w:cs="Times New Roman"/>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Default" w:type="paragraph">
    <w:name w:val="Default"/>
    <w:uiPriority w:val="99"/>
    <w:rsid w:val="00695296"/>
    <w:pPr>
      <w:widowControl w:val="0"/>
      <w:autoSpaceDE w:val="0"/>
      <w:autoSpaceDN w:val="0"/>
      <w:adjustRightInd w:val="0"/>
    </w:pPr>
    <w:rPr>
      <w:rFonts w:ascii="FangSong" w:cs="FangSong" w:hAnsi="FangSong"/>
      <w:color w:val="000000"/>
      <w:sz w:val="24"/>
      <w:szCs w:val="24"/>
    </w:rPr>
  </w:style>
  <w:style w:styleId="HTML" w:type="paragraph">
    <w:name w:val="HTML Preformatted"/>
    <w:basedOn w:val="a"/>
    <w:link w:val="HTMLChar"/>
    <w:uiPriority w:val="99"/>
    <w:rsid w:val="00634900"/>
    <w:pPr>
      <w:widowControl/>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cs="宋体" w:hAnsi="宋体"/>
      <w:kern w:val="0"/>
      <w:sz w:val="24"/>
    </w:rPr>
  </w:style>
  <w:style w:customStyle="1" w:styleId="HTMLChar" w:type="character">
    <w:name w:val="HTML 预设格式 Char"/>
    <w:link w:val="HTML"/>
    <w:uiPriority w:val="99"/>
    <w:locked/>
    <w:rsid w:val="00634900"/>
    <w:rPr>
      <w:rFonts w:ascii="宋体" w:cs="宋体" w:eastAsia="宋体"/>
      <w:sz w:val="24"/>
      <w:szCs w:val="24"/>
    </w:rPr>
  </w:style>
  <w:style w:styleId="af8" w:type="character">
    <w:name w:val="Strong"/>
    <w:basedOn w:val="a1"/>
    <w:uiPriority w:val="22"/>
    <w:qFormat/>
    <w:locked/>
    <w:rsid w:val="00193F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413930">
      <w:bodyDiv w:val="1"/>
      <w:marLeft w:val="0"/>
      <w:marRight w:val="0"/>
      <w:marTop w:val="0"/>
      <w:marBottom w:val="0"/>
      <w:divBdr>
        <w:top w:val="none" w:sz="0" w:space="0" w:color="auto"/>
        <w:left w:val="none" w:sz="0" w:space="0" w:color="auto"/>
        <w:bottom w:val="none" w:sz="0" w:space="0" w:color="auto"/>
        <w:right w:val="none" w:sz="0" w:space="0" w:color="auto"/>
      </w:divBdr>
    </w:div>
    <w:div w:id="1077090524">
      <w:bodyDiv w:val="1"/>
      <w:marLeft w:val="0"/>
      <w:marRight w:val="0"/>
      <w:marTop w:val="0"/>
      <w:marBottom w:val="0"/>
      <w:divBdr>
        <w:top w:val="none" w:sz="0" w:space="0" w:color="auto"/>
        <w:left w:val="none" w:sz="0" w:space="0" w:color="auto"/>
        <w:bottom w:val="none" w:sz="0" w:space="0" w:color="auto"/>
        <w:right w:val="none" w:sz="0" w:space="0" w:color="auto"/>
      </w:divBdr>
    </w:div>
    <w:div w:id="1682857254">
      <w:marLeft w:val="0"/>
      <w:marRight w:val="0"/>
      <w:marTop w:val="0"/>
      <w:marBottom w:val="0"/>
      <w:divBdr>
        <w:top w:val="none" w:sz="0" w:space="0" w:color="auto"/>
        <w:left w:val="none" w:sz="0" w:space="0" w:color="auto"/>
        <w:bottom w:val="none" w:sz="0" w:space="0" w:color="auto"/>
        <w:right w:val="none" w:sz="0" w:space="0" w:color="auto"/>
      </w:divBdr>
    </w:div>
    <w:div w:id="1682857255">
      <w:marLeft w:val="0"/>
      <w:marRight w:val="0"/>
      <w:marTop w:val="0"/>
      <w:marBottom w:val="0"/>
      <w:divBdr>
        <w:top w:val="none" w:sz="0" w:space="0" w:color="auto"/>
        <w:left w:val="none" w:sz="0" w:space="0" w:color="auto"/>
        <w:bottom w:val="none" w:sz="0" w:space="0" w:color="auto"/>
        <w:right w:val="none" w:sz="0" w:space="0" w:color="auto"/>
      </w:divBdr>
    </w:div>
    <w:div w:id="1682857256">
      <w:marLeft w:val="0"/>
      <w:marRight w:val="0"/>
      <w:marTop w:val="0"/>
      <w:marBottom w:val="0"/>
      <w:divBdr>
        <w:top w:val="none" w:sz="0" w:space="0" w:color="auto"/>
        <w:left w:val="none" w:sz="0" w:space="0" w:color="auto"/>
        <w:bottom w:val="none" w:sz="0" w:space="0" w:color="auto"/>
        <w:right w:val="none" w:sz="0" w:space="0" w:color="auto"/>
      </w:divBdr>
    </w:div>
    <w:div w:id="1682857257">
      <w:marLeft w:val="0"/>
      <w:marRight w:val="0"/>
      <w:marTop w:val="0"/>
      <w:marBottom w:val="0"/>
      <w:divBdr>
        <w:top w:val="none" w:sz="0" w:space="0" w:color="auto"/>
        <w:left w:val="none" w:sz="0" w:space="0" w:color="auto"/>
        <w:bottom w:val="none" w:sz="0" w:space="0" w:color="auto"/>
        <w:right w:val="none" w:sz="0" w:space="0" w:color="auto"/>
      </w:divBdr>
    </w:div>
    <w:div w:id="1682857258">
      <w:marLeft w:val="0"/>
      <w:marRight w:val="0"/>
      <w:marTop w:val="0"/>
      <w:marBottom w:val="0"/>
      <w:divBdr>
        <w:top w:val="none" w:sz="0" w:space="0" w:color="auto"/>
        <w:left w:val="none" w:sz="0" w:space="0" w:color="auto"/>
        <w:bottom w:val="none" w:sz="0" w:space="0" w:color="auto"/>
        <w:right w:val="none" w:sz="0" w:space="0" w:color="auto"/>
      </w:divBdr>
    </w:div>
    <w:div w:id="1682857259">
      <w:marLeft w:val="0"/>
      <w:marRight w:val="0"/>
      <w:marTop w:val="0"/>
      <w:marBottom w:val="0"/>
      <w:divBdr>
        <w:top w:val="none" w:sz="0" w:space="0" w:color="auto"/>
        <w:left w:val="none" w:sz="0" w:space="0" w:color="auto"/>
        <w:bottom w:val="none" w:sz="0" w:space="0" w:color="auto"/>
        <w:right w:val="none" w:sz="0" w:space="0" w:color="auto"/>
      </w:divBdr>
    </w:div>
    <w:div w:id="1682857260">
      <w:marLeft w:val="0"/>
      <w:marRight w:val="0"/>
      <w:marTop w:val="0"/>
      <w:marBottom w:val="0"/>
      <w:divBdr>
        <w:top w:val="none" w:sz="0" w:space="0" w:color="auto"/>
        <w:left w:val="none" w:sz="0" w:space="0" w:color="auto"/>
        <w:bottom w:val="none" w:sz="0" w:space="0" w:color="auto"/>
        <w:right w:val="none" w:sz="0" w:space="0" w:color="auto"/>
      </w:divBdr>
    </w:div>
    <w:div w:id="1682857261">
      <w:marLeft w:val="0"/>
      <w:marRight w:val="0"/>
      <w:marTop w:val="0"/>
      <w:marBottom w:val="0"/>
      <w:divBdr>
        <w:top w:val="none" w:sz="0" w:space="0" w:color="auto"/>
        <w:left w:val="none" w:sz="0" w:space="0" w:color="auto"/>
        <w:bottom w:val="none" w:sz="0" w:space="0" w:color="auto"/>
        <w:right w:val="none" w:sz="0" w:space="0" w:color="auto"/>
      </w:divBdr>
    </w:div>
    <w:div w:id="1682857262">
      <w:marLeft w:val="0"/>
      <w:marRight w:val="0"/>
      <w:marTop w:val="0"/>
      <w:marBottom w:val="0"/>
      <w:divBdr>
        <w:top w:val="none" w:sz="0" w:space="0" w:color="auto"/>
        <w:left w:val="none" w:sz="0" w:space="0" w:color="auto"/>
        <w:bottom w:val="none" w:sz="0" w:space="0" w:color="auto"/>
        <w:right w:val="none" w:sz="0" w:space="0" w:color="auto"/>
      </w:divBdr>
    </w:div>
    <w:div w:id="1682857263">
      <w:marLeft w:val="0"/>
      <w:marRight w:val="0"/>
      <w:marTop w:val="0"/>
      <w:marBottom w:val="0"/>
      <w:divBdr>
        <w:top w:val="none" w:sz="0" w:space="0" w:color="auto"/>
        <w:left w:val="none" w:sz="0" w:space="0" w:color="auto"/>
        <w:bottom w:val="none" w:sz="0" w:space="0" w:color="auto"/>
        <w:right w:val="none" w:sz="0" w:space="0" w:color="auto"/>
      </w:divBdr>
    </w:div>
    <w:div w:id="1682857264">
      <w:marLeft w:val="0"/>
      <w:marRight w:val="0"/>
      <w:marTop w:val="0"/>
      <w:marBottom w:val="0"/>
      <w:divBdr>
        <w:top w:val="none" w:sz="0" w:space="0" w:color="auto"/>
        <w:left w:val="none" w:sz="0" w:space="0" w:color="auto"/>
        <w:bottom w:val="none" w:sz="0" w:space="0" w:color="auto"/>
        <w:right w:val="none" w:sz="0" w:space="0" w:color="auto"/>
      </w:divBdr>
    </w:div>
    <w:div w:id="1682857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footer2.xml" Type="http://schemas.openxmlformats.org/officeDocument/2006/relationships/footer"/>
<Relationship Id="rId12" Target="footer3.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28</Pages>
  <Words>4041</Words>
  <Characters>23040</Characters>
  <Application>Microsoft Office Word</Application>
  <DocSecurity>0</DocSecurity>
  <Lines>192</Lines>
  <Paragraphs>54</Paragraphs>
  <ScaleCrop>false</ScaleCrop>
  <Company>TRT. Ltd. Co.</Company>
  <LinksUpToDate>false</LinksUpToDate>
  <CharactersWithSpaces>27027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2012-11-28T02:28:00Z</dcterms:created>
  <cp:lastModifiedBy>sirong han</cp:lastModifiedBy>
  <cp:lastPrinted>2007-07-19T00:46:00Z</cp:lastPrinted>
  <dcterms:modified xsi:type="dcterms:W3CDTF">2020-07-09T02:50:00Z</dcterms:modified>
  <cp:revision>186</cp:revision>
</cp:coreProperties>
</file>