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074E9F" w:rsidR="001C36D8" w:rsidRDefault="001C36D8" w:rsidRPr="00272E0C">
      <w:pPr>
        <w:autoSpaceDE w:val="0"/>
        <w:autoSpaceDN w:val="0"/>
        <w:adjustRightInd w:val="0"/>
        <w:spacing w:line="360" w:lineRule="auto"/>
        <w:jc w:val="left"/>
        <w:rPr>
          <w:rFonts w:ascii="宋体" w:cs="Arial"/>
          <w:color w:val="000000"/>
          <w:kern w:val="0"/>
          <w:sz w:val="24"/>
        </w:rPr>
      </w:pPr>
    </w:p>
    <w:p w:rsidP="007951F3" w:rsidR="001C36D8" w:rsidRDefault="001C36D8" w:rsidRPr="00272E0C">
      <w:pPr>
        <w:spacing w:line="360" w:lineRule="auto"/>
        <w:jc w:val="center"/>
        <w:rPr>
          <w:rFonts w:ascii="宋体" w:hAnsi="宋体"/>
          <w:b/>
          <w:sz w:val="36"/>
          <w:szCs w:val="36"/>
        </w:rPr>
      </w:pPr>
      <w:r w:rsidRPr="00272E0C">
        <w:rPr>
          <w:rFonts w:ascii="宋体"/>
          <w:b/>
          <w:sz w:val="36"/>
          <w:szCs w:val="36"/>
        </w:rPr>
        <w:t/>
      </w:r>
      <w:proofErr w:type="spellStart"/>
      <w:proofErr w:type="gramStart"/>
      <w:r w:rsidRPr="00272E0C">
        <w:rPr>
          <w:rFonts w:ascii="宋体" w:hAnsi="宋体"/>
          <w:b/>
          <w:sz w:val="36"/>
          <w:szCs w:val="36"/>
        </w:rPr>
        <w:t/>
      </w:r>
      <w:proofErr w:type="spellEnd"/>
      <w:proofErr w:type="gramEnd"/>
      <w:r w:rsidRPr="00272E0C">
        <w:rPr>
          <w:rFonts w:ascii="宋体" w:hAnsi="宋体"/>
          <w:b/>
          <w:sz w:val="36"/>
          <w:szCs w:val="36"/>
        </w:rPr>
        <w:t>易方达国企改革指数分级证券投资基金</w:t>
      </w:r>
    </w:p>
    <w:p w:rsidP="007951F3" w:rsidR="001C36D8" w:rsidRDefault="001C36D8" w:rsidRPr="00272E0C">
      <w:pPr>
        <w:spacing w:line="360" w:lineRule="auto"/>
        <w:jc w:val="center"/>
        <w:rPr>
          <w:rFonts w:ascii="宋体" w:hAnsi="宋体"/>
          <w:b/>
          <w:sz w:val="36"/>
          <w:szCs w:val="36"/>
        </w:rPr>
      </w:pPr>
      <w:r w:rsidRPr="00272E0C">
        <w:rPr>
          <w:rFonts w:ascii="宋体" w:hAnsi="宋体"/>
          <w:b/>
          <w:sz w:val="36"/>
          <w:szCs w:val="36"/>
        </w:rPr>
        <w:t/>
      </w:r>
      <w:proofErr w:type="spellStart"/>
      <w:r w:rsidRPr="00272E0C">
        <w:rPr>
          <w:rFonts w:ascii="宋体" w:hAnsi="宋体"/>
          <w:b/>
          <w:sz w:val="36"/>
          <w:szCs w:val="36"/>
        </w:rPr>
        <w:t/>
      </w:r>
      <w:proofErr w:type="spellEnd"/>
      <w:r w:rsidRPr="00272E0C">
        <w:rPr>
          <w:rFonts w:ascii="宋体" w:hAnsi="宋体"/>
          <w:b/>
          <w:sz w:val="36"/>
          <w:szCs w:val="36"/>
        </w:rPr>
        <w:t>2020年第2季度报告</w:t>
      </w:r>
    </w:p>
    <w:p w:rsidP="007951F3" w:rsidR="001C36D8" w:rsidRDefault="001C36D8" w:rsidRPr="00717C29">
      <w:pPr>
        <w:spacing w:line="360" w:lineRule="auto"/>
        <w:jc w:val="center"/>
        <w:rPr>
          <w:rFonts w:ascii="宋体" w:hAnsi="宋体"/>
          <w:b/>
          <w:sz w:val="24"/>
          <w:szCs w:val="36"/>
        </w:rPr>
      </w:pPr>
      <w:r w:rsidRPr="00717C29">
        <w:rPr>
          <w:rFonts w:ascii="宋体"/>
          <w:b/>
          <w:sz w:val="24"/>
          <w:szCs w:val="36"/>
        </w:rPr>
        <w:t/>
      </w:r>
      <w:proofErr w:type="spellStart"/>
      <w:proofErr w:type="gramStart"/>
      <w:r w:rsidRPr="00717C29">
        <w:rPr>
          <w:rFonts w:ascii="宋体" w:hAnsi="宋体"/>
          <w:b/>
          <w:sz w:val="24"/>
          <w:szCs w:val="36"/>
        </w:rPr>
        <w:t/>
      </w:r>
      <w:proofErr w:type="spellEnd"/>
      <w:proofErr w:type="gramEnd"/>
      <w:r w:rsidRPr="00717C29">
        <w:rPr>
          <w:rFonts w:ascii="宋体" w:hAnsi="宋体"/>
          <w:b/>
          <w:sz w:val="24"/>
          <w:szCs w:val="36"/>
        </w:rPr>
        <w:t>2020年6月30日</w:t>
      </w: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jc w:val="center"/>
        <w:rPr>
          <w:rFonts w:ascii="宋体"/>
          <w:b/>
          <w:color w:val="000000"/>
          <w:sz w:val="24"/>
        </w:rPr>
      </w:pPr>
    </w:p>
    <w:p w:rsidP="00074E9F" w:rsidR="001C36D8" w:rsidRDefault="001C36D8" w:rsidRPr="00272E0C">
      <w:pPr>
        <w:spacing w:line="360" w:lineRule="auto"/>
        <w:rPr>
          <w:rFonts w:ascii="宋体"/>
          <w:b/>
          <w:color w:val="000000"/>
          <w:sz w:val="24"/>
        </w:rPr>
      </w:pP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基金管理人：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易方达基金管理有限公司</w:t>
      </w:r>
    </w:p>
    <w:p w:rsidP="0015779C" w:rsidR="001C36D8" w:rsidRDefault="001C36D8" w:rsidRPr="00272E0C">
      <w:pPr>
        <w:spacing w:line="360" w:lineRule="auto"/>
        <w:ind w:firstLine="2168" w:firstLineChars="900"/>
        <w:rPr>
          <w:rFonts w:ascii="宋体" w:hAnsi="宋体"/>
          <w:b/>
          <w:color w:val="000000"/>
          <w:sz w:val="24"/>
        </w:rPr>
      </w:pPr>
      <w:r w:rsidRPr="00272E0C">
        <w:rPr>
          <w:rFonts w:ascii="宋体" w:hAnsi="宋体" w:hint="eastAsia"/>
          <w:b/>
          <w:color w:val="000000"/>
          <w:sz w:val="24"/>
        </w:rPr>
        <w:t>基金托管人：</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中国建设银行股份有限公司</w:t>
      </w:r>
    </w:p>
    <w:p w:rsidP="0015779C" w:rsidR="001C36D8" w:rsidRDefault="001C36D8" w:rsidRPr="00272E0C">
      <w:pPr>
        <w:spacing w:line="360" w:lineRule="auto"/>
        <w:ind w:firstLine="2168" w:firstLineChars="900"/>
        <w:rPr>
          <w:rFonts w:ascii="宋体" w:hAnsi="宋体"/>
          <w:b/>
          <w:color w:val="000000"/>
          <w:sz w:val="24"/>
        </w:rPr>
        <w:sectPr w:rsidR="001C36D8" w:rsidRPr="00272E0C" w:rsidSect="00230A66">
          <w:headerReference r:id="rId8" w:type="default"/>
          <w:footerReference r:id="rId9" w:type="default"/>
          <w:pgSz w:h="15840" w:w="11926"/>
          <w:pgMar w:bottom="851" w:footer="992" w:gutter="0" w:header="851" w:left="1418" w:right="1418" w:top="1418"/>
          <w:cols w:space="720"/>
          <w:noEndnote/>
        </w:sectPr>
      </w:pPr>
      <w:r w:rsidRPr="00272E0C">
        <w:rPr>
          <w:rFonts w:ascii="宋体" w:hAnsi="宋体" w:hint="eastAsia"/>
          <w:b/>
          <w:color w:val="000000"/>
          <w:sz w:val="24"/>
        </w:rPr>
        <w:t>报告送出日期：</w:t>
      </w:r>
      <w:r w:rsidRPr="00272E0C">
        <w:rPr>
          <w:rFonts w:ascii="宋体"/>
          <w:b/>
          <w:color w:val="000000"/>
          <w:sz w:val="24"/>
        </w:rPr>
        <w:t/>
      </w:r>
      <w:proofErr w:type="spellStart"/>
      <w:r w:rsidRPr="00272E0C">
        <w:rPr>
          <w:rFonts w:ascii="宋体" w:hAnsi="宋体"/>
          <w:b/>
          <w:color w:val="000000"/>
          <w:sz w:val="24"/>
        </w:rPr>
        <w:t/>
      </w:r>
      <w:proofErr w:type="spellEnd"/>
      <w:r w:rsidRPr="00272E0C">
        <w:rPr>
          <w:rFonts w:ascii="宋体" w:hAnsi="宋体"/>
          <w:b/>
          <w:color w:val="000000"/>
          <w:sz w:val="24"/>
        </w:rPr>
        <w:t>二〇二〇年七月二十一日</w:t>
      </w:r>
    </w:p>
    <w:p w:rsidP="005C6DF3" w:rsidR="001C36D8" w:rsidRDefault="001C36D8" w:rsidRPr="00272E0C">
      <w:pPr>
        <w:pStyle w:val="1"/>
        <w:spacing w:after="312" w:afterLines="100" w:before="312" w:beforeLines="100" w:line="360" w:lineRule="auto"/>
        <w:jc w:val="center"/>
        <w:rPr>
          <w:rFonts w:ascii="宋体" w:cs="Arial"/>
          <w:b w:val="0"/>
          <w:color w:val="000000"/>
          <w:kern w:val="0"/>
          <w:sz w:val="24"/>
          <w:szCs w:val="24"/>
        </w:rPr>
      </w:pPr>
      <w:r w:rsidRPr="00272E0C">
        <w:rPr>
          <w:rFonts w:ascii="宋体" w:cs="Arial" w:hAnsi="宋体" w:hint="eastAsia"/>
          <w:color w:val="000000"/>
          <w:kern w:val="0"/>
          <w:sz w:val="24"/>
          <w:szCs w:val="24"/>
        </w:rPr>
        <w:lastRenderedPageBreak/>
        <w:t>§</w:t>
      </w:r>
      <w:r w:rsidRPr="00272E0C">
        <w:rPr>
          <w:rFonts w:ascii="宋体" w:cs="Arial" w:hAnsi="宋体"/>
          <w:color w:val="000000"/>
          <w:kern w:val="0"/>
          <w:sz w:val="24"/>
          <w:szCs w:val="24"/>
        </w:rPr>
        <w:t xml:space="preserve">1  </w:t>
      </w:r>
      <w:r w:rsidRPr="00272E0C">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C0C03" w:rsidR="001C36D8" w:rsidRDefault="001C36D8" w:rsidRPr="00CC0C03">
      <w:pPr>
        <w:spacing w:line="360" w:lineRule="auto"/>
        <w:ind w:firstLine="480" w:firstLineChars="200"/>
        <w:rPr>
          <w:color w:val="000000"/>
          <w:sz w:val="24"/>
        </w:rPr>
      </w:pPr>
      <w:r w:rsidRPr="00CC0C03">
        <w:rPr>
          <w:color w:val="000000"/>
          <w:sz w:val="24"/>
        </w:rPr>
        <w:t/>
      </w:r>
      <w:proofErr w:type="spellStart"/>
      <w:r w:rsidRPr="00CC0C03">
        <w:rPr>
          <w:color w:val="000000"/>
          <w:sz w:val="24"/>
        </w:rPr>
        <w:t/>
      </w:r>
      <w:proofErr w:type="spellEnd"/>
      <w:r w:rsidRPr="00CC0C03">
        <w:rPr>
          <w:color w:val="000000"/>
          <w:sz w:val="24"/>
        </w:rPr>
        <w:t>本报告期自2020年4月1日起至6月30日止。</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2  </w:t>
      </w:r>
      <w:r w:rsidRPr="00272E0C">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1826"/>
        <w:gridCol w:w="1826"/>
        <w:gridCol w:w="1827"/>
      </w:tblGrid>
      <w:tr w:rsidR="001C36D8" w:rsidRPr="00272E0C" w:rsidTr="007A6BEA">
        <w:tc>
          <w:tcPr>
            <w:tcW w:type="dxa" w:w="2835"/>
          </w:tcPr>
          <w:p w:rsidP="007A6BEA"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基金简称</w:t>
            </w:r>
          </w:p>
        </w:tc>
        <w:tc>
          <w:tcPr>
            <w:tcW w:type="dxa" w:w="5479"/>
            <w:gridSpan w:val="3"/>
          </w:tcPr>
          <w:p w:rsidP="007A6BEA"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易方达国企改革分级</w:t>
            </w:r>
          </w:p>
        </w:tc>
      </w:tr>
      <w:tr w:rsidR="001C36D8" w:rsidRPr="00272E0C" w:rsidTr="002A44F9">
        <w:tc>
          <w:tcPr>
            <w:tcW w:type="dxa" w:w="2835"/>
          </w:tcPr>
          <w:p w:rsidR="001C36D8" w:rsidRDefault="001C36D8" w:rsidRPr="004C6E88">
            <w:pPr>
              <w:adjustRightInd w:val="0"/>
              <w:spacing w:before="29" w:line="360" w:lineRule="auto"/>
              <w:ind w:left="17"/>
              <w:jc w:val="left"/>
              <w:rPr>
                <w:rFonts w:eastAsiaTheme="minorEastAsia"/>
                <w:kern w:val="0"/>
                <w:sz w:val="24"/>
              </w:rPr>
            </w:pPr>
            <w:r w:rsidRPr="004C6E88">
              <w:rPr>
                <w:rFonts w:eastAsiaTheme="minorEastAsia"/>
                <w:kern w:val="0"/>
                <w:sz w:val="24"/>
              </w:rPr>
              <w:t>基金主代码</w:t>
            </w:r>
          </w:p>
        </w:tc>
        <w:tc>
          <w:tcPr>
            <w:tcW w:type="dxa" w:w="5479"/>
            <w:gridSpan w:val="3"/>
          </w:tcPr>
          <w:p w:rsidR="001C36D8" w:rsidRDefault="001C36D8"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502006</w:t>
            </w:r>
          </w:p>
        </w:tc>
      </w:tr>
      <w:tr w:rsidR="003A768B" w:rsidRPr="00272E0C" w:rsidTr="002A44F9">
        <w:tc>
          <w:tcPr>
            <w:tcW w:type="dxa" w:w="2835"/>
          </w:tcPr>
          <w:p w:rsidP="00E43B0B"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kern w:val="0"/>
                <w:sz w:val="24"/>
              </w:rPr>
              <w:t>交易代码</w:t>
            </w:r>
          </w:p>
        </w:tc>
        <w:tc>
          <w:tcPr>
            <w:tcW w:type="dxa" w:w="5479"/>
            <w:gridSpan w:val="3"/>
          </w:tcPr>
          <w:p w:rsidP="00E43B0B"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
            </w:r>
            <w:proofErr w:type="spellStart"/>
            <w:r w:rsidRPr="004C6E88">
              <w:rPr>
                <w:rFonts w:eastAsiaTheme="minorEastAsia"/>
                <w:kern w:val="0"/>
                <w:sz w:val="24"/>
              </w:rPr>
              <w:t/>
            </w:r>
            <w:proofErr w:type="spellEnd"/>
            <w:r w:rsidRPr="004C6E88">
              <w:rPr>
                <w:rFonts w:eastAsiaTheme="minorEastAsia"/>
                <w:kern w:val="0"/>
                <w:sz w:val="24"/>
              </w:rPr>
              <w:t>502006</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基金运作方式</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契约型开放式、分级基金</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基金合同生效日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kern w:val="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2015年6月15日</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报告期末基金份额总额</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208,809,049.52</w:t>
            </w:r>
            <w:r w:rsidRPr="004C6E88">
              <w:rPr>
                <w:rFonts w:eastAsiaTheme="minorEastAsia"/>
                <w:color w:val="000000"/>
                <w:kern w:val="0"/>
                <w:sz w:val="24"/>
              </w:rPr>
              <w:t>份</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投资目标</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紧密追踪业绩比较基准，追求跟踪偏离度与跟踪误差的最小化。</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投资策略</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主要采取完全复制法进行投资，即完全按照标的指数的成份股组成及权重构建基金投资组合，并根据标的指数成份股及其权重的变动进行相应调整，以达到紧密跟踪标的指数的目的。本基金力争将年化跟踪误差控制在4%以内，日跟踪偏离度绝对值的平均值控制在0.35%以内。</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业绩比较基准</w:t>
            </w:r>
          </w:p>
        </w:tc>
        <w:tc>
          <w:tcPr>
            <w:tcW w:type="dxa" w:w="5479"/>
            <w:gridSpan w:val="3"/>
          </w:tcPr>
          <w:p w:rsidP="00CD0AAD"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95%×中证国有企业改革指数收益率＋5%×同期银行活期存款利率（税后）</w:t>
            </w:r>
          </w:p>
        </w:tc>
      </w:tr>
      <w:tr w:rsidR="003A768B" w:rsidRPr="00272E0C" w:rsidTr="00A008DA">
        <w:tc>
          <w:tcPr>
            <w:tcW w:type="dxa" w:w="2835"/>
          </w:tcPr>
          <w:p w:rsidP="00A008D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风险收益特征</w:t>
            </w:r>
          </w:p>
        </w:tc>
        <w:tc>
          <w:tcPr>
            <w:tcW w:type="dxa" w:w="5479"/>
            <w:gridSpan w:val="3"/>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本基金为股票型基金，主要采用完全复制策略跟踪标的指数的表现，其风险收益特征与标的指数相似。长期而言，其风险收益水平高于混合型基金、债券型基金和货币市场基金；A类份额具有预期风险、收益较低的特征；B类份额具有预期风险、收益较高的特征。</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基金管理人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易方达基金管理有限公司</w:t>
            </w:r>
          </w:p>
        </w:tc>
      </w:tr>
      <w:tr w:rsidR="003A768B" w:rsidRPr="00272E0C" w:rsidTr="007A6BEA">
        <w:tc>
          <w:tcPr>
            <w:tcW w:type="dxa" w:w="2835"/>
          </w:tcPr>
          <w:p w:rsidP="007A6BEA" w:rsidR="003A768B" w:rsidRDefault="003A768B" w:rsidRPr="004C6E88">
            <w:pPr>
              <w:adjustRightInd w:val="0"/>
              <w:spacing w:before="29" w:line="360" w:lineRule="auto"/>
              <w:ind w:left="17"/>
              <w:jc w:val="left"/>
              <w:rPr>
                <w:rFonts w:eastAsiaTheme="minorEastAsia"/>
                <w:sz w:val="24"/>
              </w:rPr>
            </w:pPr>
            <w:r w:rsidRPr="004C6E88">
              <w:rPr>
                <w:rFonts w:eastAsiaTheme="minorEastAsia"/>
                <w:kern w:val="0"/>
                <w:sz w:val="24"/>
              </w:rPr>
              <w:t>基金托管人</w:t>
            </w:r>
          </w:p>
        </w:tc>
        <w:tc>
          <w:tcPr>
            <w:tcW w:type="dxa" w:w="5479"/>
            <w:gridSpan w:val="3"/>
          </w:tcPr>
          <w:p w:rsidP="007A6BE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中国建设银行股份有限公司</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kern w:val="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级基金的基金简称</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易方达国企改革分级</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易方达国企改革分级A</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易方达国企改革分级B</w:t>
            </w:r>
          </w:p>
        </w:tc>
      </w:tr>
      <w:tr w:rsidR="002C2DE0" w:rsidRPr="00272E0C" w:rsidTr="00EB3E72">
        <w:tc>
          <w:tcPr>
            <w:tcW w:type="dxa" w:w="2835"/>
          </w:tcPr>
          <w:p w:rsidP="004C6E88" w:rsidR="002C2DE0" w:rsidRDefault="002C2DE0"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003168E2">
              <w:rPr>
                <w:rFonts w:eastAsiaTheme="minorEastAsia"/>
                <w:color w:val="000000"/>
                <w:sz w:val="24"/>
              </w:rPr>
              <w:t>级基金</w:t>
            </w:r>
            <w:r w:rsidRPr="004C6E88">
              <w:rPr>
                <w:rFonts w:eastAsiaTheme="minorEastAsia"/>
                <w:color w:val="000000"/>
                <w:sz w:val="24"/>
              </w:rPr>
              <w:t>场内简称</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国企改革</w:t>
            </w:r>
          </w:p>
        </w:tc>
        <w:tc>
          <w:tcPr>
            <w:tcW w:type="dxa" w:w="1826"/>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国企改A</w:t>
            </w:r>
          </w:p>
        </w:tc>
        <w:tc>
          <w:tcPr>
            <w:tcW w:type="dxa" w:w="1827"/>
            <w:vAlign w:val="center"/>
          </w:tcPr>
          <w:p w:rsidP="00E43B0B" w:rsidR="002C2DE0" w:rsidRDefault="002C2DE0" w:rsidRPr="004C6E88">
            <w:pPr>
              <w:rPr>
                <w:rFonts w:eastAsiaTheme="minorEastAsia"/>
                <w:color w:val="000000"/>
                <w:kern w:val="0"/>
                <w:sz w:val="24"/>
              </w:rPr>
            </w:pPr>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国企改B</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t>下属</w:t>
            </w:r>
            <w:r w:rsidR="004C6E88" w:rsidRPr="004C6E88">
              <w:rPr>
                <w:rFonts w:eastAsiaTheme="minorEastAsia"/>
                <w:color w:val="000000"/>
                <w:sz w:val="24"/>
              </w:rPr>
              <w:t>分</w:t>
            </w:r>
            <w:r w:rsidRPr="004C6E88">
              <w:rPr>
                <w:rFonts w:eastAsiaTheme="minorEastAsia"/>
                <w:color w:val="000000"/>
                <w:sz w:val="24"/>
              </w:rPr>
              <w:t>级基金的交易代码</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502006</w:t>
            </w:r>
          </w:p>
        </w:tc>
        <w:tc>
          <w:tcPr>
            <w:tcW w:type="dxa" w:w="1826"/>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502007</w:t>
            </w:r>
          </w:p>
        </w:tc>
        <w:tc>
          <w:tcPr>
            <w:tcW w:type="dxa" w:w="1827"/>
            <w:vAlign w:val="center"/>
          </w:tcPr>
          <w:p w:rsidP="007A6BEA"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502008</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sz w:val="24"/>
              </w:rPr>
              <w:lastRenderedPageBreak/>
              <w:t>报告期末下属</w:t>
            </w:r>
            <w:r w:rsidR="004C6E88" w:rsidRPr="004C6E88">
              <w:rPr>
                <w:rFonts w:eastAsiaTheme="minorEastAsia"/>
                <w:color w:val="000000"/>
                <w:sz w:val="24"/>
              </w:rPr>
              <w:t>分</w:t>
            </w:r>
            <w:r w:rsidRPr="004C6E88">
              <w:rPr>
                <w:rFonts w:eastAsiaTheme="minorEastAsia"/>
                <w:color w:val="000000"/>
                <w:sz w:val="24"/>
              </w:rPr>
              <w:t>级基金的份额总额</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r w:rsidRPr="004C6E88">
              <w:rPr>
                <w:rFonts w:eastAsiaTheme="minorEastAsia"/>
                <w:sz w:val="24"/>
              </w:rPr>
              <w:t>150,826,241.52</w:t>
            </w:r>
            <w:r w:rsidRPr="004C6E88">
              <w:rPr>
                <w:rFonts w:eastAsiaTheme="minorEastAsia"/>
                <w:color w:val="000000"/>
                <w:kern w:val="0"/>
                <w:sz w:val="24"/>
              </w:rPr>
              <w:t>份</w:t>
            </w:r>
          </w:p>
        </w:tc>
        <w:tc>
          <w:tcPr>
            <w:tcW w:type="dxa" w:w="1826"/>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28,991,404.00</w:t>
            </w:r>
            <w:r w:rsidRPr="004C6E88">
              <w:rPr>
                <w:rFonts w:eastAsiaTheme="minorEastAsia"/>
                <w:color w:val="000000"/>
                <w:kern w:val="0"/>
                <w:sz w:val="24"/>
              </w:rPr>
              <w:t>份</w:t>
            </w:r>
          </w:p>
        </w:tc>
        <w:tc>
          <w:tcPr>
            <w:tcW w:type="dxa" w:w="1827"/>
            <w:vAlign w:val="center"/>
          </w:tcPr>
          <w:p w:rsidP="00057DD3" w:rsidR="003A768B" w:rsidRDefault="003A768B" w:rsidRPr="004C6E88">
            <w:pPr>
              <w:jc w:val="left"/>
              <w:rPr>
                <w:rFonts w:eastAsiaTheme="minorEastAsia"/>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sz w:val="24"/>
              </w:rPr>
              <w:t/>
            </w:r>
            <w:r w:rsidRPr="004C6E88">
              <w:rPr>
                <w:rFonts w:eastAsiaTheme="minorEastAsia"/>
                <w:color w:val="000000"/>
                <w:kern w:val="0"/>
                <w:sz w:val="24"/>
              </w:rPr>
              <w:t/>
            </w:r>
            <w:r w:rsidRPr="004C6E88">
              <w:rPr>
                <w:rFonts w:eastAsiaTheme="minorEastAsia"/>
                <w:sz w:val="24"/>
              </w:rPr>
              <w:t>28,991,404.00</w:t>
            </w:r>
            <w:r w:rsidRPr="004C6E88">
              <w:rPr>
                <w:rFonts w:eastAsiaTheme="minorEastAsia"/>
                <w:color w:val="000000"/>
                <w:kern w:val="0"/>
                <w:sz w:val="24"/>
              </w:rPr>
              <w:t>份</w:t>
            </w:r>
          </w:p>
        </w:tc>
      </w:tr>
      <w:tr w:rsidR="003A768B" w:rsidRPr="00272E0C" w:rsidTr="00EB3E72">
        <w:tc>
          <w:tcPr>
            <w:tcW w:type="dxa" w:w="2835"/>
          </w:tcPr>
          <w:p w:rsidP="004C6E88" w:rsidR="003A768B" w:rsidRDefault="003A768B" w:rsidRPr="004C6E88">
            <w:pPr>
              <w:adjustRightInd w:val="0"/>
              <w:spacing w:before="29" w:line="360" w:lineRule="auto"/>
              <w:ind w:left="17"/>
              <w:jc w:val="left"/>
              <w:rPr>
                <w:rFonts w:eastAsiaTheme="minorEastAsia"/>
                <w:sz w:val="24"/>
              </w:rPr>
            </w:pPr>
            <w:r w:rsidRPr="004C6E88">
              <w:rPr>
                <w:rFonts w:eastAsiaTheme="minorEastAsia"/>
                <w:color w:val="000000"/>
                <w:kern w:val="0"/>
                <w:sz w:val="24"/>
              </w:rPr>
              <w:t>下属</w:t>
            </w:r>
            <w:r w:rsidR="004C6E88" w:rsidRPr="004C6E88">
              <w:rPr>
                <w:rFonts w:eastAsiaTheme="minorEastAsia"/>
                <w:color w:val="000000"/>
                <w:kern w:val="0"/>
                <w:sz w:val="24"/>
              </w:rPr>
              <w:t>分</w:t>
            </w:r>
            <w:r w:rsidRPr="004C6E88">
              <w:rPr>
                <w:rFonts w:eastAsiaTheme="minorEastAsia"/>
                <w:color w:val="000000"/>
                <w:kern w:val="0"/>
                <w:sz w:val="24"/>
              </w:rPr>
              <w:t>级基金的</w:t>
            </w:r>
            <w:r w:rsidRPr="004C6E88">
              <w:rPr>
                <w:rFonts w:eastAsiaTheme="minorEastAsia"/>
                <w:kern w:val="0"/>
                <w:sz w:val="24"/>
              </w:rPr>
              <w:t>风险收益特征</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基础份额为股票型基金，其风险收益水平高于混合型基金、债券型基金和货币市场基金。</w:t>
            </w:r>
          </w:p>
        </w:tc>
        <w:tc>
          <w:tcPr>
            <w:tcW w:type="dxa" w:w="1826"/>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与基础份额相比，A类份额的预期收益和预期风险低于基础份额。</w:t>
            </w:r>
          </w:p>
        </w:tc>
        <w:tc>
          <w:tcPr>
            <w:tcW w:type="dxa" w:w="1827"/>
          </w:tcPr>
          <w:p w:rsidP="00A008DA" w:rsidR="003A768B" w:rsidRDefault="003A768B" w:rsidRPr="004C6E88">
            <w:pPr>
              <w:adjustRightInd w:val="0"/>
              <w:spacing w:before="29" w:line="360" w:lineRule="auto"/>
              <w:ind w:left="17"/>
              <w:jc w:val="left"/>
              <w:rPr>
                <w:rFonts w:eastAsiaTheme="minorEastAsia"/>
                <w:color w:val="000000"/>
                <w:sz w:val="24"/>
              </w:rPr>
            </w:pPr>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
            </w:r>
            <w:proofErr w:type="spellStart"/>
            <w:r w:rsidRPr="004C6E88">
              <w:rPr>
                <w:rFonts w:eastAsiaTheme="minorEastAsia"/>
                <w:color w:val="000000"/>
                <w:kern w:val="0"/>
                <w:sz w:val="24"/>
              </w:rPr>
              <w:t/>
            </w:r>
            <w:proofErr w:type="spellEnd"/>
            <w:r w:rsidRPr="004C6E88">
              <w:rPr>
                <w:rFonts w:eastAsiaTheme="minorEastAsia"/>
                <w:color w:val="000000"/>
                <w:kern w:val="0"/>
                <w:sz w:val="24"/>
              </w:rPr>
              <w:t>与基础份额相比，B类份额的预期收益和预期风险高于基础份额。</w:t>
            </w:r>
          </w:p>
        </w:tc>
      </w:tr>
    </w:tbl>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3  </w:t>
      </w:r>
      <w:r w:rsidRPr="00272E0C">
        <w:rPr>
          <w:rFonts w:ascii="宋体" w:cs="Arial" w:hAnsi="宋体" w:hint="eastAsia"/>
          <w:color w:val="000000"/>
          <w:kern w:val="0"/>
          <w:sz w:val="24"/>
          <w:szCs w:val="24"/>
        </w:rPr>
        <w:t>主要财务指标和基金净值表现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3.1 </w:t>
      </w:r>
      <w:r w:rsidRPr="00272E0C">
        <w:rPr>
          <w:rFonts w:ascii="宋体" w:cs="Arial" w:hAnsi="宋体" w:hint="eastAsia"/>
          <w:b/>
          <w:color w:val="000000"/>
          <w:kern w:val="0"/>
          <w:sz w:val="24"/>
        </w:rPr>
        <w:t>主要财务指标</w:t>
      </w:r>
    </w:p>
    <w:p w:rsidP="0008378B" w:rsidR="0008378B" w:rsidRDefault="0008378B"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08378B" w:rsidRPr="006506EF" w:rsidTr="005D3A22">
        <w:tc>
          <w:tcPr>
            <w:tcW w:type="dxa" w:w="3402"/>
            <w:vAlign w:val="center"/>
          </w:tcPr>
          <w:p w:rsidP="005D3A22" w:rsidR="0008378B" w:rsidRDefault="0008378B"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报告期</w:t>
            </w:r>
          </w:p>
          <w:p w:rsidP="005D3A22" w:rsidR="0008378B" w:rsidRDefault="0008378B"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5D3A22" w:rsidR="0008378B" w:rsidRDefault="0008378B"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9,203,624.58</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32,201,156.18</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0.1491</w:t>
            </w:r>
          </w:p>
        </w:tc>
        <w:tc>
          <w:tcPr>
            <w:tcW w:type="dxa" w:w="2410"/>
            <w:hMerge/>
            <w:vAlign w:val="bottom"/>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233,204,629.10</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w:t>
            </w:r>
          </w:p>
        </w:tc>
      </w:tr>
      <w:tr w:rsidR="0008378B" w:rsidRPr="006506EF" w:rsidTr="005D3A22">
        <w:trPr>
          <w:trHeight w:val="158"/>
        </w:trPr>
        <w:tc>
          <w:tcPr>
            <w:tcW w:type="dxa" w:w="3402"/>
          </w:tcPr>
          <w:p w:rsidP="005D3A22" w:rsidR="0008378B" w:rsidRDefault="0008378B"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5D3A22" w:rsidR="0008378B" w:rsidRDefault="0008378B"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1.1168</w:t>
            </w:r>
          </w:p>
        </w:tc>
        <w:tc>
          <w:tcPr>
            <w:tcW w:type="dxa" w:w="2410"/>
            <w:hMerge/>
          </w:tcPr>
          <w:p w:rsidP="005D3A22" w:rsidR="0008378B" w:rsidRDefault="0008378B"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E43B0B" w:rsidR="001C36D8" w:rsidRDefault="0008378B" w:rsidRPr="00E43B0B">
      <w:pPr>
        <w:spacing w:line="360" w:lineRule="auto"/>
        <w:ind w:firstLine="480" w:firstLineChars="200"/>
        <w:rPr>
          <w:color w:val="000000"/>
          <w:sz w:val="24"/>
        </w:rPr>
      </w:pPr>
      <w:r w:rsidRPr="006506EF">
        <w:rPr>
          <w:color w:val="000000"/>
          <w:sz w:val="24"/>
        </w:rPr>
        <w:lastRenderedPageBreak/>
        <w:t/>
      </w:r>
      <w:proofErr w:type="spellStart"/>
      <w:r w:rsidRPr="006506EF">
        <w:rPr>
          <w:color w:val="000000"/>
          <w:sz w:val="24"/>
        </w:rPr>
        <w:t/>
      </w:r>
      <w:proofErr w:type="spellEnd"/>
      <w:r w:rsidRPr="006506EF">
        <w:rPr>
          <w:color w:val="000000"/>
          <w:sz w:val="24"/>
        </w:rPr>
        <w:t/>
      </w:r>
      <w:proofErr w:type="spellStart"/>
      <w:r w:rsidRPr="006506EF">
        <w:rPr>
          <w:color w:val="000000"/>
          <w:sz w:val="24"/>
        </w:rPr>
        <w:t/>
      </w:r>
      <w:proofErr w:type="spell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3.2 </w:t>
      </w:r>
      <w:r w:rsidRPr="00272E0C">
        <w:rPr>
          <w:rFonts w:ascii="宋体" w:cs="Arial" w:hAnsi="宋体" w:hint="eastAsia"/>
          <w:b/>
          <w:color w:val="000000"/>
          <w:kern w:val="0"/>
          <w:sz w:val="24"/>
        </w:rPr>
        <w:t>基金净值表现</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3.2.1</w:t>
        </w:r>
      </w:smartTag>
      <w:r w:rsidRPr="00272E0C">
        <w:rPr>
          <w:rFonts w:ascii="宋体" w:cs="Arial" w:hAnsi="宋体" w:hint="eastAsia"/>
          <w:b/>
          <w:color w:val="000000"/>
          <w:kern w:val="0"/>
          <w:sz w:val="24"/>
        </w:rPr>
        <w:t>本报告期基金份额净值增长率及其与同期业绩比较基准收益率的比较</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15"/>
        <w:gridCol w:w="1216"/>
        <w:gridCol w:w="1216"/>
        <w:gridCol w:w="1216"/>
        <w:gridCol w:w="1216"/>
        <w:gridCol w:w="1217"/>
        <w:gridCol w:w="1217"/>
      </w:tblGrid>
      <w:tr w:rsidR="001C36D8" w:rsidRPr="00272E0C" w:rsidTr="001A09F9">
        <w:tc>
          <w:tcPr>
            <w:tcW w:type="dxa" w:w="1215"/>
            <w:vAlign w:val="center"/>
          </w:tcPr>
          <w:p w:rsidP="001A09F9" w:rsidR="001C36D8" w:rsidRDefault="001C36D8" w:rsidRPr="00E43B0B">
            <w:pPr>
              <w:snapToGrid w:val="0"/>
              <w:spacing w:line="288" w:lineRule="auto"/>
              <w:jc w:val="center"/>
              <w:rPr>
                <w:color w:val="000000"/>
                <w:sz w:val="24"/>
              </w:rPr>
            </w:pPr>
            <w:r w:rsidRPr="00E43B0B">
              <w:rPr>
                <w:color w:val="000000"/>
                <w:sz w:val="24"/>
              </w:rPr>
              <w:t>阶段</w:t>
            </w:r>
            <w:r w:rsidRPr="00E43B0B">
              <w:rPr>
                <w:color w:val="000000"/>
                <w:sz w:val="24"/>
              </w:rPr>
              <w:t/>
            </w:r>
            <w:proofErr w:type="spellStart"/>
            <w:r w:rsidRPr="00E43B0B">
              <w:rPr>
                <w:color w:val="000000"/>
                <w:sz w:val="24"/>
              </w:rPr>
              <w:t/>
            </w:r>
            <w:proofErr w:type="spellEnd"/>
            <w:r w:rsidRPr="00E43B0B">
              <w:rPr>
                <w:color w:val="000000"/>
                <w:sz w:val="24"/>
              </w:rPr>
              <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w:t>
            </w:r>
            <w:r w:rsidRPr="00E43B0B">
              <w:rPr>
                <w:rFonts w:ascii="宋体" w:cs="宋体" w:hAnsi="宋体" w:hint="eastAsia"/>
                <w:color w:val="000000"/>
                <w:sz w:val="24"/>
              </w:rPr>
              <w:t>①</w:t>
            </w:r>
          </w:p>
        </w:tc>
        <w:tc>
          <w:tcPr>
            <w:tcW w:type="dxa" w:w="1216"/>
            <w:vAlign w:val="center"/>
          </w:tcPr>
          <w:p w:rsidP="001A09F9" w:rsidR="001C36D8" w:rsidRDefault="001C36D8" w:rsidRPr="00E43B0B">
            <w:pPr>
              <w:snapToGrid w:val="0"/>
              <w:spacing w:line="288" w:lineRule="auto"/>
              <w:jc w:val="center"/>
              <w:rPr>
                <w:color w:val="000000"/>
                <w:sz w:val="24"/>
                <w:highlight w:val="green"/>
              </w:rPr>
            </w:pPr>
            <w:r w:rsidRPr="00E43B0B">
              <w:rPr>
                <w:color w:val="000000"/>
                <w:sz w:val="24"/>
              </w:rPr>
              <w:t>净值增长率标准差</w:t>
            </w:r>
            <w:r w:rsidRPr="00E43B0B">
              <w:rPr>
                <w:rFonts w:ascii="宋体" w:cs="宋体" w:hAnsi="宋体" w:hint="eastAsia"/>
                <w:color w:val="000000"/>
                <w:sz w:val="24"/>
              </w:rPr>
              <w:t>②</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w:t>
            </w:r>
            <w:r w:rsidRPr="00E43B0B">
              <w:rPr>
                <w:rFonts w:ascii="宋体" w:cs="宋体" w:hAnsi="宋体" w:hint="eastAsia"/>
                <w:color w:val="000000"/>
                <w:sz w:val="24"/>
              </w:rPr>
              <w:t>③</w:t>
            </w:r>
          </w:p>
        </w:tc>
        <w:tc>
          <w:tcPr>
            <w:tcW w:type="dxa" w:w="1216"/>
            <w:vAlign w:val="center"/>
          </w:tcPr>
          <w:p w:rsidP="001A09F9" w:rsidR="001C36D8" w:rsidRDefault="001C36D8" w:rsidRPr="00E43B0B">
            <w:pPr>
              <w:snapToGrid w:val="0"/>
              <w:spacing w:line="288" w:lineRule="auto"/>
              <w:jc w:val="center"/>
              <w:rPr>
                <w:color w:val="000000"/>
                <w:sz w:val="24"/>
              </w:rPr>
            </w:pPr>
            <w:r w:rsidRPr="00E43B0B">
              <w:rPr>
                <w:color w:val="000000"/>
                <w:sz w:val="24"/>
              </w:rPr>
              <w:t>业绩比较基准收益率标准差</w:t>
            </w:r>
            <w:r w:rsidRPr="00E43B0B">
              <w:rPr>
                <w:rFonts w:ascii="宋体" w:cs="宋体" w:hAnsi="宋体" w:hint="eastAsia"/>
                <w:color w:val="000000"/>
                <w:sz w:val="24"/>
              </w:rPr>
              <w:t>④</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①</w:t>
            </w:r>
            <w:r w:rsidRPr="00E43B0B">
              <w:rPr>
                <w:color w:val="000000"/>
                <w:sz w:val="24"/>
              </w:rPr>
              <w:t>－</w:t>
            </w:r>
            <w:r w:rsidRPr="00E43B0B">
              <w:rPr>
                <w:rFonts w:ascii="宋体" w:cs="宋体" w:hAnsi="宋体" w:hint="eastAsia"/>
                <w:color w:val="000000"/>
                <w:sz w:val="24"/>
              </w:rPr>
              <w:t>③</w:t>
            </w:r>
          </w:p>
        </w:tc>
        <w:tc>
          <w:tcPr>
            <w:tcW w:type="dxa" w:w="1217"/>
            <w:vAlign w:val="center"/>
          </w:tcPr>
          <w:p w:rsidP="001A09F9" w:rsidR="001C36D8" w:rsidRDefault="001C36D8" w:rsidRPr="00E43B0B">
            <w:pPr>
              <w:snapToGrid w:val="0"/>
              <w:spacing w:line="288" w:lineRule="auto"/>
              <w:jc w:val="center"/>
              <w:rPr>
                <w:color w:val="000000"/>
                <w:sz w:val="24"/>
              </w:rPr>
            </w:pPr>
            <w:r w:rsidRPr="00E43B0B">
              <w:rPr>
                <w:rFonts w:ascii="宋体" w:cs="宋体" w:hAnsi="宋体" w:hint="eastAsia"/>
                <w:color w:val="000000"/>
                <w:sz w:val="24"/>
              </w:rPr>
              <w:t>②</w:t>
            </w:r>
            <w:r w:rsidRPr="00E43B0B">
              <w:rPr>
                <w:color w:val="000000"/>
                <w:sz w:val="24"/>
              </w:rPr>
              <w:t>－</w:t>
            </w:r>
            <w:r w:rsidRPr="00E43B0B">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15.18%</w:t>
            </w:r>
          </w:p>
        </w:tc>
        <w:tc>
          <w:tcPr>
            <w:vAlign w:val="center"/>
          </w:tcPr>
          <w:p>
            <w:pPr>
              <w:jc w:val="center"/>
            </w:pPr>
            <w:r>
              <w:rPr>
                <w:color w:val="000000"/>
                <w:sz w:val="24"/>
              </w:rPr>
              <w:t>0.92%</w:t>
            </w:r>
          </w:p>
        </w:tc>
        <w:tc>
          <w:tcPr>
            <w:vAlign w:val="center"/>
          </w:tcPr>
          <w:p>
            <w:pPr>
              <w:jc w:val="center"/>
            </w:pPr>
            <w:r>
              <w:rPr>
                <w:color w:val="000000"/>
                <w:sz w:val="24"/>
              </w:rPr>
              <w:t>12.07%</w:t>
            </w:r>
          </w:p>
        </w:tc>
        <w:tc>
          <w:tcPr>
            <w:vAlign w:val="center"/>
          </w:tcPr>
          <w:p>
            <w:pPr>
              <w:jc w:val="center"/>
            </w:pPr>
            <w:r>
              <w:rPr>
                <w:color w:val="000000"/>
                <w:sz w:val="24"/>
              </w:rPr>
              <w:t>0.91%</w:t>
            </w:r>
          </w:p>
        </w:tc>
        <w:tc>
          <w:tcPr>
            <w:vAlign w:val="center"/>
          </w:tcPr>
          <w:p>
            <w:pPr>
              <w:jc w:val="center"/>
            </w:pPr>
            <w:r>
              <w:rPr>
                <w:color w:val="000000"/>
                <w:sz w:val="24"/>
              </w:rPr>
              <w:t>3.11%</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6.13%</w:t>
            </w:r>
          </w:p>
        </w:tc>
        <w:tc>
          <w:tcPr>
            <w:vAlign w:val="center"/>
          </w:tcPr>
          <w:p>
            <w:pPr>
              <w:jc w:val="center"/>
            </w:pPr>
            <w:r>
              <w:rPr>
                <w:color w:val="000000"/>
                <w:sz w:val="24"/>
              </w:rPr>
              <w:t>1.51%</w:t>
            </w:r>
          </w:p>
        </w:tc>
        <w:tc>
          <w:tcPr>
            <w:vAlign w:val="center"/>
          </w:tcPr>
          <w:p>
            <w:pPr>
              <w:jc w:val="center"/>
            </w:pPr>
            <w:r>
              <w:rPr>
                <w:color w:val="000000"/>
                <w:sz w:val="24"/>
              </w:rPr>
              <w:t>1.46%</w:t>
            </w:r>
          </w:p>
        </w:tc>
        <w:tc>
          <w:tcPr>
            <w:vAlign w:val="center"/>
          </w:tcPr>
          <w:p>
            <w:pPr>
              <w:jc w:val="center"/>
            </w:pPr>
            <w:r>
              <w:rPr>
                <w:color w:val="000000"/>
                <w:sz w:val="24"/>
              </w:rPr>
              <w:t>1.51%</w:t>
            </w:r>
          </w:p>
        </w:tc>
        <w:tc>
          <w:tcPr>
            <w:vAlign w:val="center"/>
          </w:tcPr>
          <w:p>
            <w:pPr>
              <w:jc w:val="center"/>
            </w:pPr>
            <w:r>
              <w:rPr>
                <w:color w:val="000000"/>
                <w:sz w:val="24"/>
              </w:rPr>
              <w:t>4.67%</w:t>
            </w:r>
          </w:p>
        </w:tc>
        <w:tc>
          <w:tcPr>
            <w:vAlign w:val="center"/>
          </w:tcPr>
          <w:p>
            <w:pPr>
              <w:jc w:val="center"/>
            </w:pPr>
            <w:r>
              <w:rPr>
                <w:color w:val="000000"/>
                <w:sz w:val="24"/>
              </w:rPr>
              <w:t>0.00%</w:t>
            </w:r>
          </w:p>
        </w:tc>
      </w:tr>
      <w:tr>
        <w:tc>
          <w:tcPr>
            <w:vAlign w:val="center"/>
          </w:tcPr>
          <w:p>
            <w:pPr>
              <w:jc w:val="left"/>
            </w:pPr>
            <w:r>
              <w:rPr>
                <w:color w:val="000000"/>
                <w:sz w:val="24"/>
              </w:rPr>
              <w:t>过去一年</w:t>
            </w:r>
          </w:p>
        </w:tc>
        <w:tc>
          <w:tcPr>
            <w:vAlign w:val="center"/>
          </w:tcPr>
          <w:p>
            <w:pPr>
              <w:jc w:val="center"/>
            </w:pPr>
            <w:r>
              <w:rPr>
                <w:color w:val="000000"/>
                <w:sz w:val="24"/>
              </w:rPr>
              <w:t>16.77%</w:t>
            </w:r>
          </w:p>
        </w:tc>
        <w:tc>
          <w:tcPr>
            <w:vAlign w:val="center"/>
          </w:tcPr>
          <w:p>
            <w:pPr>
              <w:jc w:val="center"/>
            </w:pPr>
            <w:r>
              <w:rPr>
                <w:color w:val="000000"/>
                <w:sz w:val="24"/>
              </w:rPr>
              <w:t>1.21%</w:t>
            </w:r>
          </w:p>
        </w:tc>
        <w:tc>
          <w:tcPr>
            <w:vAlign w:val="center"/>
          </w:tcPr>
          <w:p>
            <w:pPr>
              <w:jc w:val="center"/>
            </w:pPr>
            <w:r>
              <w:rPr>
                <w:color w:val="000000"/>
                <w:sz w:val="24"/>
              </w:rPr>
              <w:t>8.27%</w:t>
            </w:r>
          </w:p>
        </w:tc>
        <w:tc>
          <w:tcPr>
            <w:vAlign w:val="center"/>
          </w:tcPr>
          <w:p>
            <w:pPr>
              <w:jc w:val="center"/>
            </w:pPr>
            <w:r>
              <w:rPr>
                <w:color w:val="000000"/>
                <w:sz w:val="24"/>
              </w:rPr>
              <w:t>1.21%</w:t>
            </w:r>
          </w:p>
        </w:tc>
        <w:tc>
          <w:tcPr>
            <w:vAlign w:val="center"/>
          </w:tcPr>
          <w:p>
            <w:pPr>
              <w:jc w:val="center"/>
            </w:pPr>
            <w:r>
              <w:rPr>
                <w:color w:val="000000"/>
                <w:sz w:val="24"/>
              </w:rPr>
              <w:t>8.50%</w:t>
            </w:r>
          </w:p>
        </w:tc>
        <w:tc>
          <w:tcPr>
            <w:vAlign w:val="center"/>
          </w:tcPr>
          <w:p>
            <w:pPr>
              <w:jc w:val="center"/>
            </w:pPr>
            <w:r>
              <w:rPr>
                <w:color w:val="000000"/>
                <w:sz w:val="24"/>
              </w:rPr>
              <w:t>0.00%</w:t>
            </w:r>
          </w:p>
        </w:tc>
      </w:tr>
      <w:tr>
        <w:tc>
          <w:tcPr>
            <w:vAlign w:val="center"/>
          </w:tcPr>
          <w:p>
            <w:pPr>
              <w:jc w:val="left"/>
            </w:pPr>
            <w:r>
              <w:rPr>
                <w:color w:val="000000"/>
                <w:sz w:val="24"/>
              </w:rPr>
              <w:t>过去三年</w:t>
            </w:r>
          </w:p>
        </w:tc>
        <w:tc>
          <w:tcPr>
            <w:vAlign w:val="center"/>
          </w:tcPr>
          <w:p>
            <w:pPr>
              <w:jc w:val="center"/>
            </w:pPr>
            <w:r>
              <w:rPr>
                <w:color w:val="000000"/>
                <w:sz w:val="24"/>
              </w:rPr>
              <w:t>17.13%</w:t>
            </w:r>
          </w:p>
        </w:tc>
        <w:tc>
          <w:tcPr>
            <w:vAlign w:val="center"/>
          </w:tcPr>
          <w:p>
            <w:pPr>
              <w:jc w:val="center"/>
            </w:pPr>
            <w:r>
              <w:rPr>
                <w:color w:val="000000"/>
                <w:sz w:val="24"/>
              </w:rPr>
              <w:t>1.22%</w:t>
            </w:r>
          </w:p>
        </w:tc>
        <w:tc>
          <w:tcPr>
            <w:vAlign w:val="center"/>
          </w:tcPr>
          <w:p>
            <w:pPr>
              <w:jc w:val="center"/>
            </w:pPr>
            <w:r>
              <w:rPr>
                <w:color w:val="000000"/>
                <w:sz w:val="24"/>
              </w:rPr>
              <w:t>3.57%</w:t>
            </w:r>
          </w:p>
        </w:tc>
        <w:tc>
          <w:tcPr>
            <w:vAlign w:val="center"/>
          </w:tcPr>
          <w:p>
            <w:pPr>
              <w:jc w:val="center"/>
            </w:pPr>
            <w:r>
              <w:rPr>
                <w:color w:val="000000"/>
                <w:sz w:val="24"/>
              </w:rPr>
              <w:t>1.22%</w:t>
            </w:r>
          </w:p>
        </w:tc>
        <w:tc>
          <w:tcPr>
            <w:vAlign w:val="center"/>
          </w:tcPr>
          <w:p>
            <w:pPr>
              <w:jc w:val="center"/>
            </w:pPr>
            <w:r>
              <w:rPr>
                <w:color w:val="000000"/>
                <w:sz w:val="24"/>
              </w:rPr>
              <w:t>13.56%</w:t>
            </w:r>
          </w:p>
        </w:tc>
        <w:tc>
          <w:tcPr>
            <w:vAlign w:val="center"/>
          </w:tcPr>
          <w:p>
            <w:pPr>
              <w:jc w:val="center"/>
            </w:pPr>
            <w:r>
              <w:rPr>
                <w:color w:val="000000"/>
                <w:sz w:val="24"/>
              </w:rPr>
              <w:t>0.00%</w:t>
            </w:r>
          </w:p>
        </w:tc>
      </w:tr>
      <w:tr>
        <w:tc>
          <w:tcPr>
            <w:vAlign w:val="center"/>
          </w:tcPr>
          <w:p>
            <w:pPr>
              <w:jc w:val="left"/>
            </w:pPr>
            <w:r>
              <w:rPr>
                <w:color w:val="000000"/>
                <w:sz w:val="24"/>
              </w:rPr>
              <w:t>过去五年</w:t>
            </w:r>
          </w:p>
        </w:tc>
        <w:tc>
          <w:tcPr>
            <w:vAlign w:val="center"/>
          </w:tcPr>
          <w:p>
            <w:pPr>
              <w:jc w:val="center"/>
            </w:pPr>
            <w:r>
              <w:rPr>
                <w:color w:val="000000"/>
                <w:sz w:val="24"/>
              </w:rPr>
              <w:t>-18.31%</w:t>
            </w:r>
          </w:p>
        </w:tc>
        <w:tc>
          <w:tcPr>
            <w:vAlign w:val="center"/>
          </w:tcPr>
          <w:p>
            <w:pPr>
              <w:jc w:val="center"/>
            </w:pPr>
            <w:r>
              <w:rPr>
                <w:color w:val="000000"/>
                <w:sz w:val="24"/>
              </w:rPr>
              <w:t>1.55%</w:t>
            </w:r>
          </w:p>
        </w:tc>
        <w:tc>
          <w:tcPr>
            <w:vAlign w:val="center"/>
          </w:tcPr>
          <w:p>
            <w:pPr>
              <w:jc w:val="center"/>
            </w:pPr>
            <w:r>
              <w:rPr>
                <w:color w:val="000000"/>
                <w:sz w:val="24"/>
              </w:rPr>
              <w:t>-22.71%</w:t>
            </w:r>
          </w:p>
        </w:tc>
        <w:tc>
          <w:tcPr>
            <w:vAlign w:val="center"/>
          </w:tcPr>
          <w:p>
            <w:pPr>
              <w:jc w:val="center"/>
            </w:pPr>
            <w:r>
              <w:rPr>
                <w:color w:val="000000"/>
                <w:sz w:val="24"/>
              </w:rPr>
              <w:t>1.57%</w:t>
            </w:r>
          </w:p>
        </w:tc>
        <w:tc>
          <w:tcPr>
            <w:vAlign w:val="center"/>
          </w:tcPr>
          <w:p>
            <w:pPr>
              <w:jc w:val="center"/>
            </w:pPr>
            <w:r>
              <w:rPr>
                <w:color w:val="000000"/>
                <w:sz w:val="24"/>
              </w:rPr>
              <w:t>4.40%</w:t>
            </w:r>
          </w:p>
        </w:tc>
        <w:tc>
          <w:tcPr>
            <w:vAlign w:val="center"/>
          </w:tcPr>
          <w:p>
            <w:pPr>
              <w:jc w:val="center"/>
            </w:pPr>
            <w:r>
              <w:rPr>
                <w:color w:val="000000"/>
                <w:sz w:val="24"/>
              </w:rPr>
              <w:t>-0.02%</w:t>
            </w:r>
          </w:p>
        </w:tc>
      </w:tr>
      <w:tr>
        <w:tc>
          <w:tcPr>
            <w:vAlign w:val="center"/>
          </w:tcPr>
          <w:p>
            <w:pPr>
              <w:jc w:val="left"/>
            </w:pPr>
            <w:r>
              <w:rPr>
                <w:color w:val="000000"/>
                <w:sz w:val="24"/>
              </w:rPr>
              <w:t>自基金合同生效起至今</w:t>
            </w:r>
          </w:p>
        </w:tc>
        <w:tc>
          <w:tcPr>
            <w:vAlign w:val="center"/>
          </w:tcPr>
          <w:p>
            <w:pPr>
              <w:jc w:val="center"/>
            </w:pPr>
            <w:r>
              <w:rPr>
                <w:color w:val="000000"/>
                <w:sz w:val="24"/>
              </w:rPr>
              <w:t>-27.35%</w:t>
            </w:r>
          </w:p>
        </w:tc>
        <w:tc>
          <w:tcPr>
            <w:vAlign w:val="center"/>
          </w:tcPr>
          <w:p>
            <w:pPr>
              <w:jc w:val="center"/>
            </w:pPr>
            <w:r>
              <w:rPr>
                <w:color w:val="000000"/>
                <w:sz w:val="24"/>
              </w:rPr>
              <w:t>1.58%</w:t>
            </w:r>
          </w:p>
        </w:tc>
        <w:tc>
          <w:tcPr>
            <w:vAlign w:val="center"/>
          </w:tcPr>
          <w:p>
            <w:pPr>
              <w:jc w:val="center"/>
            </w:pPr>
            <w:r>
              <w:rPr>
                <w:color w:val="000000"/>
                <w:sz w:val="24"/>
              </w:rPr>
              <w:t>-37.38%</w:t>
            </w:r>
          </w:p>
        </w:tc>
        <w:tc>
          <w:tcPr>
            <w:vAlign w:val="center"/>
          </w:tcPr>
          <w:p>
            <w:pPr>
              <w:jc w:val="center"/>
            </w:pPr>
            <w:r>
              <w:rPr>
                <w:color w:val="000000"/>
                <w:sz w:val="24"/>
              </w:rPr>
              <w:t>1.62%</w:t>
            </w:r>
          </w:p>
        </w:tc>
        <w:tc>
          <w:tcPr>
            <w:vAlign w:val="center"/>
          </w:tcPr>
          <w:p>
            <w:pPr>
              <w:jc w:val="center"/>
            </w:pPr>
            <w:r>
              <w:rPr>
                <w:color w:val="000000"/>
                <w:sz w:val="24"/>
              </w:rPr>
              <w:t>10.03%</w:t>
            </w:r>
          </w:p>
        </w:tc>
        <w:tc>
          <w:tcPr>
            <w:vAlign w:val="center"/>
          </w:tcPr>
          <w:p>
            <w:pPr>
              <w:jc w:val="center"/>
            </w:pPr>
            <w:r>
              <w:rPr>
                <w:color w:val="000000"/>
                <w:sz w:val="24"/>
              </w:rPr>
              <w:t>-0.04%</w:t>
            </w:r>
          </w:p>
        </w:tc>
      </w:tr>
    </w:tbl>
    <w:p w:rsidP="003A4DA3" w:rsidR="001C36D8" w:rsidRDefault="001C36D8" w:rsidRPr="00272E0C">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cs="Arial" w:hAnsi="宋体"/>
            <w:b/>
            <w:color w:val="000000"/>
            <w:kern w:val="0"/>
            <w:sz w:val="24"/>
          </w:rPr>
          <w:t>3.2.2</w:t>
        </w:r>
        <w:r w:rsidR="00193F07" w:rsidRPr="00370BEA">
          <w:rPr>
            <w:rStyle w:val="af8"/>
            <w:rFonts w:hint="eastAsia"/>
            <w:color w:val="000000"/>
            <w:sz w:val="24"/>
            <w:shd w:color="auto" w:fill="FFFFFF" w:val="clear"/>
          </w:rPr>
          <w:t/>
        </w:r>
        <w:proofErr w:type="spellStart"/>
        <w:r w:rsidR="00193F07" w:rsidRPr="00370BEA">
          <w:rPr>
            <w:rStyle w:val="af8"/>
            <w:rFonts w:hint="eastAsia"/>
            <w:color w:val="000000"/>
            <w:sz w:val="24"/>
            <w:shd w:color="auto" w:fill="FFFFFF" w:val="clear"/>
          </w:rPr>
          <w:t/>
        </w:r>
        <w:proofErr w:type="spellEnd"/>
        <w:r w:rsidR="00193F07" w:rsidRPr="00370BEA">
          <w:rPr>
            <w:rStyle w:val="af8"/>
            <w:rFonts w:hint="eastAsia"/>
            <w:color w:val="000000"/>
            <w:sz w:val="24"/>
            <w:shd w:color="auto" w:fill="FFFFFF" w:val="clear"/>
          </w:rPr>
          <w:t>自基金合同生效以来</w:t>
        </w:r>
      </w:smartTag>
      <w:r w:rsidRPr="00272E0C">
        <w:rPr>
          <w:rFonts w:ascii="宋体" w:hAnsi="宋体" w:hint="eastAsia"/>
          <w:b/>
          <w:bCs/>
          <w:color w:val="000000"/>
          <w:sz w:val="24"/>
        </w:rPr>
        <w:t>基金累计净值增长率变动及其与同期业绩比较基准收益率变动的比较</w:t>
      </w:r>
    </w:p>
    <w:p w:rsidP="003A4DA3" w:rsidR="001C36D8" w:rsidRDefault="001C36D8" w:rsidRPr="00E43B0B">
      <w:pPr>
        <w:spacing w:line="360" w:lineRule="auto"/>
        <w:jc w:val="center"/>
        <w:rPr>
          <w:sz w:val="24"/>
        </w:rPr>
      </w:pPr>
      <w:r w:rsidRPr="00E43B0B">
        <w:rPr>
          <w:sz w:val="24"/>
        </w:rPr>
        <w:t/>
      </w:r>
      <w:proofErr w:type="spellStart"/>
      <w:r w:rsidRPr="00E43B0B">
        <w:rPr>
          <w:sz w:val="24"/>
        </w:rPr>
        <w:t/>
      </w:r>
      <w:proofErr w:type="spellEnd"/>
      <w:r w:rsidRPr="00E43B0B">
        <w:rPr>
          <w:sz w:val="24"/>
        </w:rPr>
        <w:t>易方达国企改革指数分级证券投资基金</w:t>
      </w:r>
    </w:p>
    <w:p w:rsidP="003A4DA3" w:rsidR="001C36D8" w:rsidRDefault="006F4C30" w:rsidRPr="00E43B0B">
      <w:pPr>
        <w:pStyle w:val="a5"/>
        <w:snapToGrid w:val="0"/>
        <w:spacing w:line="360" w:lineRule="auto"/>
        <w:jc w:val="center"/>
        <w:rPr>
          <w:rFonts w:ascii="Times New Roman" w:hAnsi="Times New Roman"/>
          <w:color w:val="000000"/>
          <w:sz w:val="24"/>
          <w:szCs w:val="24"/>
        </w:rPr>
      </w:pPr>
      <w:r w:rsidRPr="00E43B0B">
        <w:rPr>
          <w:rFonts w:ascii="Times New Roman" w:hAnsi="Times New Roman"/>
          <w:color w:val="000000"/>
          <w:sz w:val="24"/>
          <w:szCs w:val="24"/>
        </w:rPr>
        <w:t>累计</w:t>
      </w:r>
      <w:r w:rsidR="001C36D8" w:rsidRPr="00E43B0B">
        <w:rPr>
          <w:rFonts w:ascii="Times New Roman" w:hAnsi="Times New Roman"/>
          <w:color w:val="000000"/>
          <w:sz w:val="24"/>
          <w:szCs w:val="24"/>
        </w:rPr>
        <w:t>净值增长率与业绩比较基准收益率历史走势对比图</w:t>
      </w:r>
    </w:p>
    <w:p w:rsidP="003A4DA3" w:rsidR="001C36D8" w:rsidRDefault="001C36D8" w:rsidRPr="00E43B0B">
      <w:pPr>
        <w:spacing w:line="360" w:lineRule="auto"/>
        <w:jc w:val="center"/>
        <w:rPr>
          <w:sz w:val="24"/>
        </w:rPr>
      </w:pPr>
      <w:r w:rsidRPr="00E43B0B">
        <w:rPr>
          <w:color w:val="000000"/>
          <w:kern w:val="0"/>
          <w:sz w:val="24"/>
        </w:rPr>
        <w:t>（</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2015年6月15日</w:t>
      </w:r>
      <w:r w:rsidRPr="00E43B0B">
        <w:rPr>
          <w:color w:val="000000"/>
          <w:kern w:val="0"/>
          <w:sz w:val="24"/>
        </w:rPr>
        <w:t>至</w:t>
      </w:r>
      <w:r w:rsidRPr="00E43B0B">
        <w:rPr>
          <w:color w:val="000000"/>
          <w:kern w:val="0"/>
          <w:sz w:val="24"/>
        </w:rPr>
        <w:t/>
      </w:r>
      <w:proofErr w:type="spellStart"/>
      <w:r w:rsidRPr="00E43B0B">
        <w:rPr>
          <w:color w:val="000000"/>
          <w:kern w:val="0"/>
          <w:sz w:val="24"/>
        </w:rPr>
        <w:t/>
      </w:r>
      <w:proofErr w:type="spellEnd"/>
      <w:r w:rsidRPr="00E43B0B">
        <w:rPr>
          <w:color w:val="000000"/>
          <w:kern w:val="0"/>
          <w:sz w:val="24"/>
        </w:rPr>
        <w:t>2020年6月30日</w:t>
      </w:r>
      <w:r w:rsidRPr="00E43B0B">
        <w:rPr>
          <w:color w:val="000000"/>
          <w:kern w:val="0"/>
          <w:sz w:val="24"/>
        </w:rPr>
        <w:t>）</w:t>
      </w:r>
    </w:p>
    <w:p w:rsidP="0042253F" w:rsidR="001C36D8" w:rsidRDefault="00FE4BF2" w:rsidRPr="00272E0C">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1.4pt;height:241.5pt;visibility:visible" type="#_x0000_t75">
            <v:imagedata o:title="" r:id="rId10"/>
          </v:shape>
        </w:pic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注：自基金合同生效至报告期末，基金份额净值增长率为-27.35%，同期业绩比较基准收益率为-37.38%。</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4  </w:t>
      </w:r>
      <w:r w:rsidRPr="00272E0C">
        <w:rPr>
          <w:rFonts w:ascii="宋体" w:cs="Arial" w:hAnsi="宋体" w:hint="eastAsia"/>
          <w:color w:val="000000"/>
          <w:kern w:val="0"/>
          <w:sz w:val="24"/>
          <w:szCs w:val="24"/>
        </w:rPr>
        <w:t>管理人报告</w:t>
      </w:r>
    </w:p>
    <w:p w:rsidP="005C6DF3" w:rsidR="005C6DF3" w:rsidRDefault="001C36D8" w:rsidRPr="0078105B">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4.1 </w:t>
      </w:r>
      <w:r w:rsidRPr="00272E0C">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5C6DF3" w:rsidRPr="0078105B" w:rsidTr="00B7074C">
        <w:trPr>
          <w:cantSplit/>
        </w:trPr>
        <w:tc>
          <w:tcPr>
            <w:tcW w:type="dxa" w:w="56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w:t>
            </w:r>
            <w:r w:rsidRPr="00FA472B">
              <w:rPr>
                <w:color w:val="000000"/>
                <w:kern w:val="0"/>
                <w:sz w:val="24"/>
              </w:rPr>
              <w:lastRenderedPageBreak/>
              <w:t>年限</w:t>
            </w:r>
          </w:p>
        </w:tc>
        <w:tc>
          <w:tcPr>
            <w:tcW w:type="dxa" w:w="2977"/>
            <w:vMerge w:val="restart"/>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lastRenderedPageBreak/>
              <w:t>说明</w:t>
            </w:r>
          </w:p>
        </w:tc>
      </w:tr>
      <w:tr w:rsidR="005C6DF3" w:rsidRPr="0078105B" w:rsidTr="00B7074C">
        <w:trPr>
          <w:cantSplit/>
        </w:trPr>
        <w:tc>
          <w:tcPr>
            <w:tcW w:type="dxa" w:w="56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5C6DF3" w:rsidRDefault="005C6DF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军工指数分级证券投资基金的基金经理、易方达证券公司指数分级证券投资基金的基金经理、易方达沪深300交易型开放式指数发起式证券投资基金联接基金的基金经理、易方达沪深300交易型开放式指数发起式证券投资基金的基金经理、易方达中证500交易型开放式指数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黄金交易型开放式证券投资基金联接基金的基金经理、易方达恒生中国企业交易型开放式指数证券投资基金的基金经理、易方达黄金交易型开放式证券投资基金的基金经理、易方达恒生中国企业交易型开放式指数证券投资基金联接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2015-06-15</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C6DF3" w:rsidR="00CB041A" w:rsidRDefault="005C6DF3"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CB041A"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4.2</w:t>
      </w:r>
      <w:r w:rsidRPr="00272E0C">
        <w:rPr>
          <w:rFonts w:ascii="宋体" w:hAnsi="宋体" w:hint="eastAsia"/>
          <w:b/>
          <w:bCs/>
          <w:color w:val="000000"/>
          <w:sz w:val="24"/>
        </w:rPr>
        <w:t>管理人对报告期内本基金运作遵规守信情况的说明</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4.3 </w:t>
      </w:r>
      <w:r w:rsidRPr="00272E0C">
        <w:rPr>
          <w:rFonts w:ascii="宋体" w:cs="Arial" w:hAnsi="宋体" w:hint="eastAsia"/>
          <w:b/>
          <w:color w:val="000000"/>
          <w:kern w:val="0"/>
          <w:sz w:val="24"/>
        </w:rPr>
        <w:t>公平交易专项说明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4.3.1</w:t>
        </w:r>
      </w:smartTag>
      <w:r w:rsidRPr="00272E0C">
        <w:rPr>
          <w:rFonts w:ascii="宋体" w:hAnsi="宋体" w:hint="eastAsia"/>
          <w:sz w:val="24"/>
        </w:rPr>
        <w:t>公平交易制度的执行情况</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4.3.2</w:t>
        </w:r>
      </w:smartTag>
      <w:r w:rsidRPr="00272E0C">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本报告期内，未发现本基金有可能导致不公平交易和利益输送的异常交易。</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4.4 </w:t>
      </w:r>
      <w:r w:rsidRPr="00272E0C">
        <w:rPr>
          <w:rFonts w:ascii="宋体" w:cs="Arial" w:hAnsi="宋体" w:hint="eastAsia"/>
          <w:b/>
          <w:color w:val="000000"/>
          <w:kern w:val="0"/>
          <w:sz w:val="24"/>
        </w:rPr>
        <w:t>报告期内基金的投资策略和业绩表现说明</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4.4.1</w:t>
        </w:r>
      </w:smartTag>
      <w:r w:rsidRPr="00272E0C">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报告期内中证国企改革指数上涨12.72%。</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报告期内本基金为正常运作期，在操作中，我们严格遵守基金合同，坚持既定的指数化投资策略，在指数权重调整和基金申赎变动时，应用指数复制和数量化技术降低冲击成本和减少跟踪误差。</w:t>
      </w:r>
    </w:p>
    <w:p w:rsidP="003A4DA3" w:rsidR="001C36D8" w:rsidRDefault="001C36D8" w:rsidRPr="00272E0C">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272E0C">
          <w:rPr>
            <w:rFonts w:ascii="宋体" w:hAnsi="宋体"/>
            <w:sz w:val="24"/>
          </w:rPr>
          <w:t>4.4.2</w:t>
        </w:r>
      </w:smartTag>
      <w:r w:rsidRPr="00272E0C">
        <w:rPr>
          <w:rFonts w:ascii="宋体" w:hAnsi="宋体" w:hint="eastAsia"/>
          <w:sz w:val="24"/>
        </w:rPr>
        <w:t>报告期内基金的业绩表现</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截至报告期末，本基金份额净值为1.1168元，本报告期份额净值增长率为15.18%，同期业绩比较基准收益率为12.07%，日跟踪偏离度的均值为0.05%，年化跟踪误差为1.177%，各项指标均在合同规定的目标控制范围之内。</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hAnsi="宋体"/>
          <w:color w:val="000000"/>
          <w:kern w:val="0"/>
          <w:sz w:val="24"/>
          <w:szCs w:val="24"/>
        </w:rPr>
        <w:t xml:space="preserve">5  </w:t>
      </w:r>
      <w:r w:rsidRPr="00272E0C">
        <w:rPr>
          <w:rFonts w:ascii="宋体" w:cs="Arial" w:hAnsi="宋体" w:hint="eastAsia"/>
          <w:color w:val="000000"/>
          <w:kern w:val="0"/>
          <w:sz w:val="24"/>
          <w:szCs w:val="24"/>
        </w:rPr>
        <w:t>投资组合报告</w:t>
      </w:r>
    </w:p>
    <w:p w:rsidP="003A4DA3"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5.1 </w:t>
      </w:r>
      <w:r w:rsidRPr="00272E0C">
        <w:rPr>
          <w:rFonts w:ascii="宋体" w:cs="Arial" w:hAnsi="宋体" w:hint="eastAsia"/>
          <w:b/>
          <w:color w:val="000000"/>
          <w:kern w:val="0"/>
          <w:sz w:val="24"/>
        </w:rPr>
        <w:t>报告期末基金资产组合情况</w:t>
      </w:r>
    </w:p>
    <w:tbl>
      <w:tblPr>
        <w:tblW w:type="dxa" w:w="874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643"/>
        <w:gridCol w:w="3283"/>
        <w:gridCol w:w="2977"/>
        <w:gridCol w:w="1843"/>
      </w:tblGrid>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序号</w:t>
            </w:r>
          </w:p>
        </w:tc>
        <w:tc>
          <w:tcPr>
            <w:tcW w:type="dxa" w:w="3283"/>
            <w:vAlign w:val="center"/>
          </w:tcPr>
          <w:p w:rsidP="001A09F9" w:rsidR="001C36D8" w:rsidRDefault="001C36D8" w:rsidRPr="005B1E0B">
            <w:pPr>
              <w:spacing w:before="29" w:line="360" w:lineRule="auto"/>
              <w:ind w:left="17"/>
              <w:jc w:val="center"/>
              <w:rPr>
                <w:color w:val="000000"/>
                <w:sz w:val="24"/>
              </w:rPr>
            </w:pPr>
            <w:r w:rsidRPr="005B1E0B">
              <w:rPr>
                <w:color w:val="000000"/>
                <w:sz w:val="24"/>
              </w:rPr>
              <w:t>项目</w:t>
            </w:r>
          </w:p>
        </w:tc>
        <w:tc>
          <w:tcPr>
            <w:tcW w:type="dxa" w:w="2977"/>
            <w:vAlign w:val="center"/>
          </w:tcPr>
          <w:p w:rsidP="0015779C" w:rsidR="001C36D8" w:rsidRDefault="001C36D8" w:rsidRPr="005B1E0B">
            <w:pPr>
              <w:spacing w:before="29" w:line="360" w:lineRule="auto"/>
              <w:ind w:left="17"/>
              <w:jc w:val="center"/>
              <w:rPr>
                <w:color w:val="000000"/>
                <w:sz w:val="24"/>
              </w:rPr>
            </w:pPr>
            <w:r w:rsidRPr="005B1E0B">
              <w:rPr>
                <w:color w:val="000000"/>
                <w:sz w:val="24"/>
              </w:rPr>
              <w:t>金额</w:t>
            </w:r>
            <w:r w:rsidR="0015779C" w:rsidRPr="005B1E0B">
              <w:rPr>
                <w:color w:val="000000"/>
                <w:sz w:val="24"/>
              </w:rPr>
              <w:t>（元）</w:t>
            </w:r>
          </w:p>
        </w:tc>
        <w:tc>
          <w:tcPr>
            <w:tcW w:type="dxa" w:w="1843"/>
            <w:vAlign w:val="center"/>
          </w:tcPr>
          <w:p w:rsidP="0015779C" w:rsidR="001C36D8" w:rsidRDefault="001C36D8" w:rsidRPr="005B1E0B">
            <w:pPr>
              <w:spacing w:before="29" w:line="360" w:lineRule="auto"/>
              <w:ind w:left="17"/>
              <w:jc w:val="center"/>
              <w:rPr>
                <w:color w:val="000000"/>
                <w:sz w:val="24"/>
              </w:rPr>
            </w:pPr>
            <w:r w:rsidRPr="005B1E0B">
              <w:rPr>
                <w:color w:val="000000"/>
                <w:sz w:val="24"/>
              </w:rPr>
              <w:t>占基金总资产的比例</w:t>
            </w:r>
            <w:r w:rsidR="0015779C" w:rsidRPr="005B1E0B">
              <w:rPr>
                <w:color w:val="000000"/>
                <w:sz w:val="24"/>
              </w:rPr>
              <w:t>（</w:t>
            </w:r>
            <w:r w:rsidR="0015779C" w:rsidRPr="005B1E0B">
              <w:rPr>
                <w:color w:val="000000"/>
                <w:sz w:val="24"/>
              </w:rPr>
              <w:t>%</w:t>
            </w:r>
            <w:r w:rsidR="0015779C"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1</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权益投资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220,812,320.31</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93.27</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其中：股票</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220,812,320.31</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93.27</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2</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固定收益投资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其中：债券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autoSpaceDE w:val="0"/>
              <w:autoSpaceDN w:val="0"/>
              <w:adjustRightInd w:val="0"/>
              <w:spacing w:before="29" w:line="360" w:lineRule="auto"/>
              <w:ind w:left="17"/>
              <w:jc w:val="left"/>
              <w:rPr>
                <w:color w:val="000000"/>
                <w:sz w:val="24"/>
              </w:rPr>
            </w:pPr>
            <w:r w:rsidRPr="005B1E0B">
              <w:rPr>
                <w:color w:val="000000"/>
                <w:sz w:val="24"/>
              </w:rPr>
              <w:t>资产支持证券</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tcPr>
          <w:p w:rsidP="001A09F9" w:rsidR="001C36D8" w:rsidRDefault="001C36D8" w:rsidRPr="005B1E0B">
            <w:pPr>
              <w:spacing w:before="29" w:line="360" w:lineRule="auto"/>
              <w:ind w:left="17"/>
              <w:jc w:val="center"/>
              <w:rPr>
                <w:color w:val="000000"/>
                <w:sz w:val="24"/>
              </w:rPr>
            </w:pPr>
            <w:r w:rsidRPr="005B1E0B">
              <w:rPr>
                <w:color w:val="000000"/>
                <w:sz w:val="24"/>
              </w:rPr>
              <w:t>3</w:t>
            </w:r>
          </w:p>
        </w:tc>
        <w:tc>
          <w:tcPr>
            <w:tcW w:type="dxa" w:w="3283"/>
          </w:tcPr>
          <w:p w:rsidP="0015779C" w:rsidR="001C36D8" w:rsidRDefault="001C36D8" w:rsidRPr="005B1E0B">
            <w:pPr>
              <w:spacing w:before="29" w:line="360" w:lineRule="auto"/>
              <w:ind w:left="105" w:leftChars="50"/>
              <w:rPr>
                <w:color w:val="000000"/>
                <w:sz w:val="24"/>
              </w:rPr>
            </w:pPr>
            <w:r w:rsidRPr="005B1E0B">
              <w:rPr>
                <w:color w:val="000000"/>
                <w:sz w:val="24"/>
              </w:rPr>
              <w:t>贵金属投资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lastRenderedPageBreak/>
              <w:t/>
            </w:r>
            <w:proofErr w:type="spellStart"/>
            <w:r w:rsidRPr="005B1E0B">
              <w:rPr>
                <w:color w:val="000000"/>
                <w:sz w:val="24"/>
              </w:rPr>
              <w:t/>
            </w:r>
            <w:r w:rsidRPr="005B1E0B">
              <w:rPr>
                <w:color w:val="000000"/>
                <w:sz w:val="24"/>
              </w:rPr>
              <w:lastRenderedPageBreak/>
              <w:t/>
            </w:r>
            <w:proofErr w:type="spellEnd"/>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lastRenderedPageBreak/>
              <w:t>4</w:t>
            </w:r>
          </w:p>
        </w:tc>
        <w:tc>
          <w:tcPr>
            <w:tcW w:type="dxa" w:w="3283"/>
            <w:vAlign w:val="center"/>
          </w:tcPr>
          <w:p w:rsidP="001A09F9" w:rsidR="001C36D8" w:rsidRDefault="001C36D8" w:rsidRPr="005B1E0B">
            <w:pPr>
              <w:spacing w:before="29" w:line="360" w:lineRule="auto"/>
              <w:ind w:left="17"/>
              <w:jc w:val="left"/>
              <w:rPr>
                <w:color w:val="000000"/>
                <w:sz w:val="24"/>
              </w:rPr>
            </w:pPr>
            <w:r w:rsidRPr="005B1E0B">
              <w:rPr>
                <w:color w:val="000000"/>
                <w:sz w:val="24"/>
              </w:rPr>
              <w:t>金融衍生品投资</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5</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其中：买断式回购的买入返售金融资产</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6</w:t>
            </w:r>
          </w:p>
        </w:tc>
        <w:tc>
          <w:tcPr>
            <w:tcW w:type="dxa" w:w="3283"/>
            <w:vAlign w:val="center"/>
          </w:tcPr>
          <w:p w:rsidP="001A09F9" w:rsidR="001C36D8" w:rsidRDefault="001C36D8" w:rsidRPr="005B1E0B">
            <w:pPr>
              <w:spacing w:before="29" w:line="360" w:lineRule="auto"/>
              <w:ind w:left="17"/>
              <w:jc w:val="left"/>
              <w:rPr>
                <w:sz w:val="24"/>
              </w:rPr>
            </w:pPr>
            <w:r w:rsidRPr="005B1E0B">
              <w:rPr>
                <w:color w:val="000000"/>
                <w:sz w:val="24"/>
              </w:rPr>
              <w:t>银行存款和结算备付金合计</w:t>
            </w:r>
          </w:p>
        </w:tc>
        <w:tc>
          <w:tcPr>
            <w:tcW w:type="dxa" w:w="2977"/>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15,793,746.57</w:t>
            </w:r>
          </w:p>
        </w:tc>
        <w:tc>
          <w:tcPr>
            <w:tcW w:type="dxa" w:w="1843"/>
            <w:vAlign w:val="center"/>
          </w:tcPr>
          <w:p w:rsidP="001A09F9" w:rsidR="001C36D8" w:rsidRDefault="001C36D8" w:rsidRPr="005B1E0B">
            <w:pPr>
              <w:spacing w:before="29" w:line="360" w:lineRule="auto"/>
              <w:ind w:left="17"/>
              <w:jc w:val="right"/>
              <w:rPr>
                <w:color w:val="000000"/>
                <w:sz w:val="24"/>
              </w:rPr>
            </w:pPr>
            <w:r w:rsidRPr="005B1E0B">
              <w:rPr>
                <w:color w:val="000000"/>
                <w:sz w:val="24"/>
              </w:rPr>
              <w:t/>
            </w:r>
            <w:r w:rsidRPr="005B1E0B">
              <w:rPr>
                <w:color w:val="000000"/>
                <w:sz w:val="24"/>
              </w:rPr>
              <w:lastRenderedPageBreak/>
              <w:t>6.67</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7</w:t>
            </w:r>
          </w:p>
        </w:tc>
        <w:tc>
          <w:tcPr>
            <w:tcW w:type="dxa" w:w="3283"/>
            <w:vAlign w:val="center"/>
          </w:tcPr>
          <w:p w:rsidP="001A09F9" w:rsidR="001C36D8" w:rsidRDefault="001C36D8" w:rsidRPr="005B1E0B">
            <w:pPr>
              <w:jc w:val="left"/>
              <w:rPr>
                <w:sz w:val="24"/>
              </w:rPr>
            </w:pPr>
            <w:r w:rsidRPr="005B1E0B">
              <w:rPr>
                <w:color w:val="000000"/>
                <w:sz w:val="24"/>
              </w:rPr>
              <w:t>其他资产</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134,677.26</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0.06</w:t>
            </w:r>
          </w:p>
        </w:tc>
      </w:tr>
      <w:tr w:rsidR="001C36D8" w:rsidRPr="00264E55" w:rsidTr="00737AB0">
        <w:trPr>
          <w:jc w:val="center"/>
        </w:trPr>
        <w:tc>
          <w:tcPr>
            <w:tcW w:type="dxa" w:w="643"/>
            <w:vAlign w:val="center"/>
          </w:tcPr>
          <w:p w:rsidP="001A09F9" w:rsidR="001C36D8" w:rsidRDefault="001C36D8" w:rsidRPr="005B1E0B">
            <w:pPr>
              <w:spacing w:before="29" w:line="360" w:lineRule="auto"/>
              <w:ind w:left="17"/>
              <w:jc w:val="center"/>
              <w:rPr>
                <w:color w:val="000000"/>
                <w:sz w:val="24"/>
              </w:rPr>
            </w:pPr>
            <w:r w:rsidRPr="005B1E0B">
              <w:rPr>
                <w:color w:val="000000"/>
                <w:sz w:val="24"/>
              </w:rPr>
              <w:t>8</w:t>
            </w:r>
          </w:p>
        </w:tc>
        <w:tc>
          <w:tcPr>
            <w:tcW w:type="dxa" w:w="3283"/>
            <w:vAlign w:val="center"/>
          </w:tcPr>
          <w:p w:rsidP="001A09F9" w:rsidR="001C36D8" w:rsidRDefault="001C36D8" w:rsidRPr="005B1E0B">
            <w:pPr>
              <w:jc w:val="left"/>
              <w:rPr>
                <w:sz w:val="24"/>
              </w:rPr>
            </w:pPr>
            <w:r w:rsidRPr="005B1E0B">
              <w:rPr>
                <w:color w:val="000000"/>
                <w:sz w:val="24"/>
              </w:rPr>
              <w:t>合计</w:t>
            </w:r>
          </w:p>
        </w:tc>
        <w:tc>
          <w:tcPr>
            <w:tcW w:type="dxa" w:w="2977"/>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236,740,744.14</w:t>
            </w:r>
          </w:p>
        </w:tc>
        <w:tc>
          <w:tcPr>
            <w:tcW w:type="dxa" w:w="1843"/>
            <w:vAlign w:val="center"/>
          </w:tcPr>
          <w:p w:rsidP="001A09F9" w:rsidR="001C36D8" w:rsidRDefault="001C36D8" w:rsidRPr="005B1E0B">
            <w:pPr>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100.00</w:t>
            </w:r>
          </w:p>
        </w:tc>
      </w:tr>
    </w:tbl>
    <w:p w:rsidP="00737AB0" w:rsidR="00737AB0" w:rsidRDefault="00737AB0"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rPr>
      </w:pPr>
      <w:r w:rsidRPr="00220C32">
        <w:rPr>
          <w:rFonts w:asciiTheme="minorEastAsia" w:eastAsiaTheme="minorEastAsia" w:hAnsiTheme="minorEastAsia"/>
          <w:b/>
          <w:bCs/>
          <w:color w:themeColor="text1" w:val="000000"/>
          <w:kern w:val="0"/>
          <w:sz w:val="24"/>
        </w:rPr>
        <w:t xml:space="preserve">5.2 </w:t>
      </w:r>
      <w:r w:rsidRPr="00220C32">
        <w:rPr>
          <w:rFonts w:asciiTheme="minorEastAsia" w:eastAsiaTheme="minorEastAsia" w:hAnsiTheme="minorEastAsia" w:hint="eastAsia"/>
          <w:b/>
          <w:bCs/>
          <w:color w:themeColor="text1" w:val="000000"/>
          <w:kern w:val="0"/>
          <w:sz w:val="24"/>
        </w:rPr>
        <w:t>报告期末按行业分类的股票投资组合</w:t>
      </w:r>
    </w:p>
    <w:p w:rsidP="00737AB0" w:rsidR="00737AB0" w:rsidRDefault="00737AB0" w:rsidRPr="000D7474">
      <w:pPr>
        <w:rPr>
          <w:rFonts w:asciiTheme="minorEastAsia" w:eastAsiaTheme="minorEastAsia" w:hAnsiTheme="minorEastAsia"/>
          <w:b/>
          <w:bCs/>
          <w:color w:themeColor="text1" w:val="000000"/>
          <w:kern w:val="0"/>
          <w:sz w:val="24"/>
        </w:rPr>
      </w:pPr>
      <w:r w:rsidRPr="000D7474">
        <w:rPr>
          <w:rFonts w:asciiTheme="minorEastAsia" w:eastAsiaTheme="minorEastAsia" w:hAnsiTheme="minorEastAsia"/>
          <w:b/>
          <w:bCs/>
          <w:color w:themeColor="text1" w:val="000000"/>
          <w:kern w:val="0"/>
          <w:sz w:val="24"/>
        </w:rPr>
        <w:t/>
      </w:r>
      <w:proofErr w:type="spellStart"/>
      <w:r w:rsidRPr="000D7474">
        <w:rPr>
          <w:rFonts w:asciiTheme="minorEastAsia" w:eastAsiaTheme="minorEastAsia" w:hAnsiTheme="minorEastAsia"/>
          <w:b/>
          <w:bCs/>
          <w:color w:themeColor="text1" w:val="000000"/>
          <w:kern w:val="0"/>
          <w:sz w:val="24"/>
        </w:rPr>
        <w:t/>
      </w:r>
      <w:proofErr w:type="spellEnd"/>
      <w:r w:rsidRPr="000D7474">
        <w:rPr>
          <w:rFonts w:asciiTheme="minorEastAsia" w:eastAsiaTheme="minorEastAsia" w:hAnsiTheme="minorEastAsia"/>
          <w:b/>
          <w:bCs/>
          <w:color w:themeColor="text1" w:val="000000"/>
          <w:kern w:val="0"/>
          <w:sz w:val="24"/>
        </w:rPr>
        <w:t/>
      </w:r>
      <w:r w:rsidRPr="000D7474">
        <w:rPr>
          <w:rFonts w:asciiTheme="minorEastAsia" w:eastAsiaTheme="minorEastAsia" w:hAnsiTheme="minorEastAsia" w:hint="eastAsia"/>
          <w:b/>
          <w:bCs/>
          <w:color w:themeColor="text1" w:val="000000"/>
          <w:kern w:val="0"/>
          <w:sz w:val="24"/>
        </w:rPr>
        <w:t>5.2.1报告期末按行业分类的境内股票投资组合</w:t>
      </w:r>
    </w:p>
    <w:tbl>
      <w:tblPr>
        <w:tblW w:type="dxa" w:w="8976"/>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85"/>
        <w:gridCol w:w="3691"/>
        <w:gridCol w:w="2852"/>
        <w:gridCol w:w="1648"/>
      </w:tblGrid>
      <w:tr w:rsidR="00737AB0" w:rsidRPr="008C2A4F" w:rsidTr="00EF063B">
        <w:trPr>
          <w:trHeight w:val="390"/>
        </w:trPr>
        <w:tc>
          <w:tcPr>
            <w:tcW w:type="dxa" w:w="785"/>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代码</w:t>
            </w: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行业类别</w:t>
            </w:r>
          </w:p>
        </w:tc>
        <w:tc>
          <w:tcPr>
            <w:tcW w:type="dxa" w:w="2852"/>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公允价值（元）</w:t>
            </w:r>
          </w:p>
        </w:tc>
        <w:tc>
          <w:tcPr>
            <w:tcW w:type="dxa" w:w="1648"/>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占基金资产净值比例（％）</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A</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农、林、牧、渔业</w:t>
            </w:r>
          </w:p>
        </w:tc>
        <w:tc>
          <w:tcPr>
            <w:tcW w:type="dxa" w:w="2852"/>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autoSpaceDE w:val="0"/>
              <w:autoSpaceDN w:val="0"/>
              <w:adjustRightInd w:val="0"/>
              <w:spacing w:before="29" w:line="360" w:lineRule="auto"/>
              <w:ind w:left="15"/>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B</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采矿业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3,963,182.50</w:t>
            </w:r>
          </w:p>
          <w:p w:rsidP="00D94F96" w:rsidR="00737AB0" w:rsidRDefault="00737AB0" w:rsidRPr="008C2A4F">
            <w:pPr>
              <w:jc w:val="right"/>
              <w:rPr>
                <w:rFonts w:eastAsiaTheme="minorEastAsia"/>
                <w:color w:themeColor="text1" w:val="000000"/>
                <w:kern w:val="0"/>
                <w:sz w:val="24"/>
              </w:rPr>
            </w:pP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1.70</w:t>
            </w:r>
          </w:p>
          <w:p w:rsidP="00D94F96" w:rsidR="00737AB0" w:rsidRDefault="00737AB0" w:rsidRPr="008C2A4F">
            <w:pPr>
              <w:jc w:val="right"/>
              <w:rPr>
                <w:rFonts w:eastAsiaTheme="minorEastAsia"/>
                <w:color w:themeColor="text1" w:val="000000"/>
                <w:kern w:val="0"/>
                <w:sz w:val="24"/>
              </w:rPr>
            </w:pP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C</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制造业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107,502,557.90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46.10</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D</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电力、热力、燃气及水生产和供应</w:t>
            </w:r>
            <w:r w:rsidRPr="008C2A4F">
              <w:rPr>
                <w:rFonts w:eastAsiaTheme="minorEastAsia"/>
                <w:color w:themeColor="text1" w:val="000000"/>
                <w:kern w:val="0"/>
                <w:sz w:val="24"/>
              </w:rPr>
              <w:lastRenderedPageBreak/>
              <w:t>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8,901,644.11</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r w:rsidRPr="008C2A4F">
              <w:rPr>
                <w:rFonts w:eastAsiaTheme="minorEastAsia"/>
                <w:color w:themeColor="text1" w:val="000000"/>
                <w:kern w:val="0"/>
                <w:sz w:val="24"/>
              </w:rPr>
              <w:lastRenderedPageBreak/>
              <w:t>3.82</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E</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建筑业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10,213,537.00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4.38</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F</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批发和零售业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G</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交通运输、仓储和邮政业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6,178,678.62</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2.65</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H</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住宿和餐饮业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I</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信息传输、软件和信息技术服务业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10,874,115.19</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4.66</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J</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金融业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44,800,099.00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19.21</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K</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房地产业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15,321,669.40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6.57</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L</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租赁和商务服务业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8,633,843.59</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3.70</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M</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科学研究和技术服务业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lastRenderedPageBreak/>
              <w:t/>
            </w:r>
            <w:proofErr w:type="spellStart"/>
            <w:r w:rsidRPr="008C2A4F">
              <w:rPr>
                <w:rFonts w:eastAsiaTheme="minorEastAsia"/>
                <w:color w:themeColor="text1" w:val="000000"/>
                <w:kern w:val="0"/>
                <w:sz w:val="24"/>
              </w:rPr>
              <w:t/>
            </w:r>
            <w:r w:rsidRPr="008C2A4F">
              <w:rPr>
                <w:rFonts w:eastAsiaTheme="minorEastAsia"/>
                <w:color w:themeColor="text1" w:val="000000"/>
                <w:kern w:val="0"/>
                <w:sz w:val="24"/>
              </w:rPr>
              <w:lastRenderedPageBreak/>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lastRenderedPageBreak/>
              <w:t>N</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水利、环境和公共设施管理业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O</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居民服务、修理和其他服务业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P</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教育</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Q</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卫生和社会工作</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R</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文化、体育和娱乐业</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4,422,993.00</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1.90</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r w:rsidRPr="008C2A4F">
              <w:rPr>
                <w:rFonts w:eastAsiaTheme="minorEastAsia"/>
                <w:color w:themeColor="text1" w:val="000000"/>
                <w:kern w:val="0"/>
                <w:sz w:val="24"/>
              </w:rPr>
              <w:t>S</w:t>
            </w: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综合</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w:t>
            </w:r>
          </w:p>
        </w:tc>
      </w:tr>
      <w:tr w:rsidR="00737AB0" w:rsidRPr="008C2A4F" w:rsidTr="00EF063B">
        <w:trPr>
          <w:trHeight w:val="285"/>
        </w:trPr>
        <w:tc>
          <w:tcPr>
            <w:tcW w:type="dxa" w:w="785"/>
            <w:tcMar>
              <w:top w:type="dxa" w:w="15"/>
              <w:left w:type="dxa" w:w="15"/>
              <w:bottom w:type="dxa" w:w="0"/>
              <w:right w:type="dxa" w:w="15"/>
            </w:tcMar>
            <w:vAlign w:val="center"/>
          </w:tcPr>
          <w:p w:rsidP="00D94F96" w:rsidR="00737AB0" w:rsidRDefault="00737AB0" w:rsidRPr="008C2A4F">
            <w:pPr>
              <w:adjustRightInd w:val="0"/>
              <w:snapToGrid w:val="0"/>
              <w:spacing w:line="400" w:lineRule="exact"/>
              <w:jc w:val="center"/>
              <w:rPr>
                <w:rFonts w:eastAsiaTheme="minorEastAsia"/>
                <w:color w:themeColor="text1" w:val="000000"/>
                <w:kern w:val="0"/>
                <w:sz w:val="24"/>
              </w:rPr>
            </w:pPr>
          </w:p>
        </w:tc>
        <w:tc>
          <w:tcPr>
            <w:tcW w:type="dxa" w:w="3691"/>
            <w:tcMar>
              <w:top w:type="dxa" w:w="15"/>
              <w:left w:type="dxa" w:w="15"/>
              <w:bottom w:type="dxa" w:w="0"/>
              <w:right w:type="dxa" w:w="15"/>
            </w:tcMar>
            <w:vAlign w:val="center"/>
          </w:tcPr>
          <w:p w:rsidP="00D94F96" w:rsidR="00737AB0" w:rsidRDefault="00737AB0" w:rsidRPr="008C2A4F">
            <w:pPr>
              <w:adjustRightInd w:val="0"/>
              <w:snapToGrid w:val="0"/>
              <w:spacing w:line="400" w:lineRule="exact"/>
              <w:rPr>
                <w:rFonts w:eastAsiaTheme="minorEastAsia"/>
                <w:color w:themeColor="text1" w:val="000000"/>
                <w:kern w:val="0"/>
                <w:sz w:val="24"/>
              </w:rPr>
            </w:pPr>
            <w:r w:rsidRPr="008C2A4F">
              <w:rPr>
                <w:rFonts w:eastAsiaTheme="minorEastAsia"/>
                <w:color w:themeColor="text1" w:val="000000"/>
                <w:kern w:val="0"/>
                <w:sz w:val="24"/>
              </w:rPr>
              <w:t>合计</w:t>
            </w:r>
          </w:p>
        </w:tc>
        <w:tc>
          <w:tcPr>
            <w:tcW w:type="dxa" w:w="2852"/>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220,812,320.31</w:t>
            </w:r>
          </w:p>
        </w:tc>
        <w:tc>
          <w:tcPr>
            <w:tcW w:type="dxa" w:w="1648"/>
            <w:tcMar>
              <w:top w:type="dxa" w:w="15"/>
              <w:left w:type="dxa" w:w="15"/>
              <w:bottom w:type="dxa" w:w="0"/>
              <w:right w:type="dxa" w:w="15"/>
            </w:tcMar>
            <w:vAlign w:val="center"/>
          </w:tcPr>
          <w:p w:rsidP="00D94F96" w:rsidR="00737AB0" w:rsidRDefault="00737AB0" w:rsidRPr="008C2A4F">
            <w:pPr>
              <w:jc w:val="right"/>
              <w:rPr>
                <w:rFonts w:eastAsiaTheme="minorEastAsia"/>
                <w:color w:themeColor="text1" w:val="000000"/>
                <w:kern w:val="0"/>
                <w:sz w:val="24"/>
              </w:rPr>
            </w:pPr>
            <w:r w:rsidRPr="008C2A4F">
              <w:rPr>
                <w:rFonts w:eastAsiaTheme="minorEastAsia"/>
                <w:color w:themeColor="text1" w:val="000000"/>
                <w:kern w:val="0"/>
                <w:sz w:val="24"/>
              </w:rPr>
              <w:t/>
            </w:r>
            <w:proofErr w:type="spellStart"/>
            <w:r w:rsidRPr="008C2A4F">
              <w:rPr>
                <w:rFonts w:eastAsiaTheme="minorEastAsia"/>
                <w:color w:themeColor="text1" w:val="000000"/>
                <w:kern w:val="0"/>
                <w:sz w:val="24"/>
              </w:rPr>
              <w:t/>
            </w:r>
            <w:proofErr w:type="spellEnd"/>
            <w:r w:rsidRPr="008C2A4F">
              <w:rPr>
                <w:rFonts w:eastAsiaTheme="minorEastAsia"/>
                <w:color w:themeColor="text1" w:val="000000"/>
                <w:kern w:val="0"/>
                <w:sz w:val="24"/>
              </w:rPr>
              <w:t>94.69</w:t>
            </w:r>
          </w:p>
        </w:tc>
      </w:tr>
    </w:tbl>
    <w:p w:rsidP="000F2837" w:rsidR="000F2837" w:rsidRDefault="001C36D8" w:rsidRPr="000F2837">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5.3</w:t>
      </w:r>
      <w:r w:rsidR="00291A74" w:rsidRPr="00291A74">
        <w:rPr>
          <w:rFonts w:ascii="宋体" w:cs="Arial" w:hAnsi="宋体" w:hint="eastAsia"/>
          <w:b/>
          <w:color w:val="000000"/>
          <w:kern w:val="0"/>
          <w:sz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0F2837" w:rsidRPr="00264E55" w:rsidTr="002406DE">
        <w:tc>
          <w:tcPr>
            <w:tcW w:type="dxa" w:w="85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序号</w:t>
            </w:r>
          </w:p>
        </w:tc>
        <w:tc>
          <w:tcPr>
            <w:tcW w:type="dxa" w:w="1276"/>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股票代码</w:t>
            </w:r>
          </w:p>
        </w:tc>
        <w:tc>
          <w:tcPr>
            <w:tcW w:type="dxa" w:w="1418"/>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股票名称</w:t>
            </w:r>
          </w:p>
        </w:tc>
        <w:tc>
          <w:tcPr>
            <w:tcW w:type="dxa" w:w="1701"/>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数量（股）</w:t>
            </w:r>
          </w:p>
        </w:tc>
        <w:tc>
          <w:tcPr>
            <w:tcW w:type="dxa" w:w="1984"/>
            <w:vAlign w:val="center"/>
          </w:tcPr>
          <w:p w:rsidP="002406DE" w:rsidR="000F2837" w:rsidRDefault="000F2837" w:rsidRPr="00232B03">
            <w:pPr>
              <w:autoSpaceDE w:val="0"/>
              <w:autoSpaceDN w:val="0"/>
              <w:adjustRightInd w:val="0"/>
              <w:spacing w:before="29" w:line="360" w:lineRule="auto"/>
              <w:ind w:left="17"/>
              <w:jc w:val="center"/>
              <w:rPr>
                <w:color w:val="000000"/>
                <w:kern w:val="0"/>
                <w:sz w:val="24"/>
              </w:rPr>
            </w:pPr>
            <w:r w:rsidRPr="00232B03">
              <w:rPr>
                <w:color w:val="000000"/>
                <w:kern w:val="0"/>
                <w:sz w:val="24"/>
              </w:rPr>
              <w:t>公允价值（元）</w:t>
            </w:r>
          </w:p>
        </w:tc>
        <w:tc>
          <w:tcPr>
            <w:tcW w:type="dxa" w:w="1559"/>
            <w:vAlign w:val="center"/>
          </w:tcPr>
          <w:p w:rsidP="002406DE" w:rsidR="000F2837" w:rsidRDefault="000F2837" w:rsidRPr="00232B03">
            <w:pPr>
              <w:spacing w:before="29" w:line="360" w:lineRule="auto"/>
              <w:ind w:left="17"/>
              <w:jc w:val="center"/>
              <w:rPr>
                <w:color w:val="000000"/>
                <w:kern w:val="0"/>
                <w:sz w:val="24"/>
              </w:rPr>
            </w:pPr>
            <w:r w:rsidRPr="00232B03">
              <w:rPr>
                <w:color w:val="000000"/>
                <w:kern w:val="0"/>
                <w:sz w:val="24"/>
              </w:rPr>
              <w:t>占基金资产净值比例（％）</w:t>
            </w:r>
          </w:p>
        </w:tc>
      </w:tr>
      <w:tr>
        <w:tc>
          <w:tcPr>
            <w:vAlign w:val="center"/>
          </w:tcPr>
          <w:p>
            <w:pPr>
              <w:jc w:val="center"/>
            </w:pPr>
            <w:r>
              <w:rPr>
                <w:color w:val="000000"/>
                <w:kern w:val="0"/>
                <w:sz w:val="24"/>
              </w:rPr>
              <w:t>1</w:t>
            </w:r>
          </w:p>
        </w:tc>
        <w:tc>
          <w:tcPr>
            <w:vAlign w:val="center"/>
          </w:tcPr>
          <w:p>
            <w:pPr>
              <w:jc w:val="center"/>
            </w:pPr>
            <w:r>
              <w:rPr>
                <w:color w:val="000000"/>
                <w:kern w:val="0"/>
                <w:sz w:val="24"/>
              </w:rPr>
              <w:t>601888</w:t>
            </w:r>
          </w:p>
        </w:tc>
        <w:tc>
          <w:tcPr>
            <w:vAlign w:val="center"/>
          </w:tcPr>
          <w:p>
            <w:pPr>
              <w:jc w:val="center"/>
            </w:pPr>
            <w:r>
              <w:rPr>
                <w:color w:val="000000"/>
                <w:kern w:val="0"/>
                <w:sz w:val="24"/>
              </w:rPr>
              <w:t>中国中免</w:t>
            </w:r>
          </w:p>
        </w:tc>
        <w:tc>
          <w:tcPr>
            <w:vAlign w:val="center"/>
          </w:tcPr>
          <w:p>
            <w:pPr>
              <w:jc w:val="right"/>
            </w:pPr>
            <w:r>
              <w:rPr>
                <w:color w:val="000000"/>
                <w:kern w:val="0"/>
                <w:sz w:val="24"/>
              </w:rPr>
              <w:t>56,053</w:t>
            </w:r>
          </w:p>
        </w:tc>
        <w:tc>
          <w:tcPr>
            <w:vAlign w:val="center"/>
          </w:tcPr>
          <w:p>
            <w:pPr>
              <w:jc w:val="right"/>
            </w:pPr>
            <w:r>
              <w:rPr>
                <w:color w:val="000000"/>
                <w:kern w:val="0"/>
                <w:sz w:val="24"/>
              </w:rPr>
              <w:t>8,633,843.59</w:t>
            </w:r>
          </w:p>
        </w:tc>
        <w:tc>
          <w:tcPr>
            <w:vAlign w:val="center"/>
          </w:tcPr>
          <w:p>
            <w:pPr>
              <w:jc w:val="right"/>
            </w:pPr>
            <w:r>
              <w:rPr>
                <w:color w:val="000000"/>
                <w:kern w:val="0"/>
                <w:sz w:val="24"/>
              </w:rPr>
              <w:t>3.70</w:t>
            </w:r>
          </w:p>
        </w:tc>
      </w:tr>
      <w:tr>
        <w:tc>
          <w:tcPr>
            <w:vAlign w:val="center"/>
          </w:tcPr>
          <w:p>
            <w:pPr>
              <w:jc w:val="center"/>
            </w:pPr>
            <w:r>
              <w:rPr>
                <w:color w:val="000000"/>
                <w:kern w:val="0"/>
                <w:sz w:val="24"/>
              </w:rPr>
              <w:t>2</w:t>
            </w:r>
          </w:p>
        </w:tc>
        <w:tc>
          <w:tcPr>
            <w:vAlign w:val="center"/>
          </w:tcPr>
          <w:p>
            <w:pPr>
              <w:jc w:val="center"/>
            </w:pPr>
            <w:r>
              <w:rPr>
                <w:color w:val="000000"/>
                <w:kern w:val="0"/>
                <w:sz w:val="24"/>
              </w:rPr>
              <w:t>000661</w:t>
            </w:r>
          </w:p>
        </w:tc>
        <w:tc>
          <w:tcPr>
            <w:vAlign w:val="center"/>
          </w:tcPr>
          <w:p>
            <w:pPr>
              <w:jc w:val="center"/>
            </w:pPr>
            <w:r>
              <w:rPr>
                <w:color w:val="000000"/>
                <w:kern w:val="0"/>
                <w:sz w:val="24"/>
              </w:rPr>
              <w:t>长春高新</w:t>
            </w:r>
          </w:p>
        </w:tc>
        <w:tc>
          <w:tcPr>
            <w:vAlign w:val="center"/>
          </w:tcPr>
          <w:p>
            <w:pPr>
              <w:jc w:val="right"/>
            </w:pPr>
            <w:r>
              <w:rPr>
                <w:color w:val="000000"/>
                <w:kern w:val="0"/>
                <w:sz w:val="24"/>
              </w:rPr>
              <w:t>16,300</w:t>
            </w:r>
          </w:p>
        </w:tc>
        <w:tc>
          <w:tcPr>
            <w:vAlign w:val="center"/>
          </w:tcPr>
          <w:p>
            <w:pPr>
              <w:jc w:val="right"/>
            </w:pPr>
            <w:r>
              <w:rPr>
                <w:color w:val="000000"/>
                <w:kern w:val="0"/>
                <w:sz w:val="24"/>
              </w:rPr>
              <w:t>7,095,390.00</w:t>
            </w:r>
          </w:p>
        </w:tc>
        <w:tc>
          <w:tcPr>
            <w:vAlign w:val="center"/>
          </w:tcPr>
          <w:p>
            <w:pPr>
              <w:jc w:val="right"/>
            </w:pPr>
            <w:r>
              <w:rPr>
                <w:color w:val="000000"/>
                <w:kern w:val="0"/>
                <w:sz w:val="24"/>
              </w:rPr>
              <w:t>3.04</w:t>
            </w:r>
          </w:p>
        </w:tc>
      </w:tr>
      <w:tr>
        <w:tc>
          <w:tcPr>
            <w:vAlign w:val="center"/>
          </w:tcPr>
          <w:p>
            <w:pPr>
              <w:jc w:val="center"/>
            </w:pPr>
            <w:r>
              <w:rPr>
                <w:color w:val="000000"/>
                <w:kern w:val="0"/>
                <w:sz w:val="24"/>
              </w:rPr>
              <w:t>3</w:t>
            </w:r>
          </w:p>
        </w:tc>
        <w:tc>
          <w:tcPr>
            <w:vAlign w:val="center"/>
          </w:tcPr>
          <w:p>
            <w:pPr>
              <w:jc w:val="center"/>
            </w:pPr>
            <w:r>
              <w:rPr>
                <w:color w:val="000000"/>
                <w:kern w:val="0"/>
                <w:sz w:val="24"/>
              </w:rPr>
              <w:t>000858</w:t>
            </w:r>
          </w:p>
        </w:tc>
        <w:tc>
          <w:tcPr>
            <w:vAlign w:val="center"/>
          </w:tcPr>
          <w:p>
            <w:pPr>
              <w:jc w:val="center"/>
            </w:pPr>
            <w:r>
              <w:rPr>
                <w:color w:val="000000"/>
                <w:kern w:val="0"/>
                <w:sz w:val="24"/>
              </w:rPr>
              <w:t>五粮液</w:t>
            </w:r>
          </w:p>
        </w:tc>
        <w:tc>
          <w:tcPr>
            <w:vAlign w:val="center"/>
          </w:tcPr>
          <w:p>
            <w:pPr>
              <w:jc w:val="right"/>
            </w:pPr>
            <w:r>
              <w:rPr>
                <w:color w:val="000000"/>
                <w:kern w:val="0"/>
                <w:sz w:val="24"/>
              </w:rPr>
              <w:t>39,700</w:t>
            </w:r>
          </w:p>
        </w:tc>
        <w:tc>
          <w:tcPr>
            <w:vAlign w:val="center"/>
          </w:tcPr>
          <w:p>
            <w:pPr>
              <w:jc w:val="right"/>
            </w:pPr>
            <w:r>
              <w:rPr>
                <w:color w:val="000000"/>
                <w:kern w:val="0"/>
                <w:sz w:val="24"/>
              </w:rPr>
              <w:t>6,793,464.00</w:t>
            </w:r>
          </w:p>
        </w:tc>
        <w:tc>
          <w:tcPr>
            <w:vAlign w:val="center"/>
          </w:tcPr>
          <w:p>
            <w:pPr>
              <w:jc w:val="right"/>
            </w:pPr>
            <w:r>
              <w:rPr>
                <w:color w:val="000000"/>
                <w:kern w:val="0"/>
                <w:sz w:val="24"/>
              </w:rPr>
              <w:t>2.91</w:t>
            </w:r>
          </w:p>
        </w:tc>
      </w:tr>
      <w:tr>
        <w:tc>
          <w:tcPr>
            <w:vAlign w:val="center"/>
          </w:tcPr>
          <w:p>
            <w:pPr>
              <w:jc w:val="center"/>
            </w:pPr>
            <w:r>
              <w:rPr>
                <w:color w:val="000000"/>
                <w:kern w:val="0"/>
                <w:sz w:val="24"/>
              </w:rPr>
              <w:t>4</w:t>
            </w:r>
          </w:p>
        </w:tc>
        <w:tc>
          <w:tcPr>
            <w:vAlign w:val="center"/>
          </w:tcPr>
          <w:p>
            <w:pPr>
              <w:jc w:val="center"/>
            </w:pPr>
            <w:r>
              <w:rPr>
                <w:color w:val="000000"/>
                <w:kern w:val="0"/>
                <w:sz w:val="24"/>
              </w:rPr>
              <w:t>600900</w:t>
            </w:r>
          </w:p>
        </w:tc>
        <w:tc>
          <w:tcPr>
            <w:vAlign w:val="center"/>
          </w:tcPr>
          <w:p>
            <w:pPr>
              <w:jc w:val="center"/>
            </w:pPr>
            <w:r>
              <w:rPr>
                <w:color w:val="000000"/>
                <w:kern w:val="0"/>
                <w:sz w:val="24"/>
              </w:rPr>
              <w:t>长江电力</w:t>
            </w:r>
          </w:p>
        </w:tc>
        <w:tc>
          <w:tcPr>
            <w:vAlign w:val="center"/>
          </w:tcPr>
          <w:p>
            <w:pPr>
              <w:jc w:val="right"/>
            </w:pPr>
            <w:r>
              <w:rPr>
                <w:color w:val="000000"/>
                <w:kern w:val="0"/>
                <w:sz w:val="24"/>
              </w:rPr>
              <w:t>356,200</w:t>
            </w:r>
          </w:p>
        </w:tc>
        <w:tc>
          <w:tcPr>
            <w:vAlign w:val="center"/>
          </w:tcPr>
          <w:p>
            <w:pPr>
              <w:jc w:val="right"/>
            </w:pPr>
            <w:r>
              <w:rPr>
                <w:color w:val="000000"/>
                <w:kern w:val="0"/>
                <w:sz w:val="24"/>
              </w:rPr>
              <w:t>6,746,428.00</w:t>
            </w:r>
          </w:p>
        </w:tc>
        <w:tc>
          <w:tcPr>
            <w:vAlign w:val="center"/>
          </w:tcPr>
          <w:p>
            <w:pPr>
              <w:jc w:val="right"/>
            </w:pPr>
            <w:r>
              <w:rPr>
                <w:color w:val="000000"/>
                <w:kern w:val="0"/>
                <w:sz w:val="24"/>
              </w:rPr>
              <w:t>2.89</w:t>
            </w:r>
          </w:p>
        </w:tc>
      </w:tr>
      <w:tr>
        <w:tc>
          <w:tcPr>
            <w:vAlign w:val="center"/>
          </w:tcPr>
          <w:p>
            <w:pPr>
              <w:jc w:val="center"/>
            </w:pPr>
            <w:r>
              <w:rPr>
                <w:color w:val="000000"/>
                <w:kern w:val="0"/>
                <w:sz w:val="24"/>
              </w:rPr>
              <w:t>5</w:t>
            </w:r>
          </w:p>
        </w:tc>
        <w:tc>
          <w:tcPr>
            <w:vAlign w:val="center"/>
          </w:tcPr>
          <w:p>
            <w:pPr>
              <w:jc w:val="center"/>
            </w:pPr>
            <w:r>
              <w:rPr>
                <w:color w:val="000000"/>
                <w:kern w:val="0"/>
                <w:sz w:val="24"/>
              </w:rPr>
              <w:t>600030</w:t>
            </w:r>
          </w:p>
        </w:tc>
        <w:tc>
          <w:tcPr>
            <w:vAlign w:val="center"/>
          </w:tcPr>
          <w:p>
            <w:pPr>
              <w:jc w:val="center"/>
            </w:pPr>
            <w:r>
              <w:rPr>
                <w:color w:val="000000"/>
                <w:kern w:val="0"/>
                <w:sz w:val="24"/>
              </w:rPr>
              <w:t>中信证券</w:t>
            </w:r>
          </w:p>
        </w:tc>
        <w:tc>
          <w:tcPr>
            <w:vAlign w:val="center"/>
          </w:tcPr>
          <w:p>
            <w:pPr>
              <w:jc w:val="right"/>
            </w:pPr>
            <w:r>
              <w:rPr>
                <w:color w:val="000000"/>
                <w:kern w:val="0"/>
                <w:sz w:val="24"/>
              </w:rPr>
              <w:t>277,400</w:t>
            </w:r>
          </w:p>
        </w:tc>
        <w:tc>
          <w:tcPr>
            <w:vAlign w:val="center"/>
          </w:tcPr>
          <w:p>
            <w:pPr>
              <w:jc w:val="right"/>
            </w:pPr>
            <w:r>
              <w:rPr>
                <w:color w:val="000000"/>
                <w:kern w:val="0"/>
                <w:sz w:val="24"/>
              </w:rPr>
              <w:t>6,688,114.00</w:t>
            </w:r>
          </w:p>
        </w:tc>
        <w:tc>
          <w:tcPr>
            <w:vAlign w:val="center"/>
          </w:tcPr>
          <w:p>
            <w:pPr>
              <w:jc w:val="right"/>
            </w:pPr>
            <w:r>
              <w:rPr>
                <w:color w:val="000000"/>
                <w:kern w:val="0"/>
                <w:sz w:val="24"/>
              </w:rPr>
              <w:t>2.87</w:t>
            </w:r>
          </w:p>
        </w:tc>
      </w:tr>
      <w:tr>
        <w:tc>
          <w:tcPr>
            <w:vAlign w:val="center"/>
          </w:tcPr>
          <w:p>
            <w:pPr>
              <w:jc w:val="center"/>
            </w:pPr>
            <w:r>
              <w:rPr>
                <w:color w:val="000000"/>
                <w:kern w:val="0"/>
                <w:sz w:val="24"/>
              </w:rPr>
              <w:t>6</w:t>
            </w:r>
          </w:p>
        </w:tc>
        <w:tc>
          <w:tcPr>
            <w:vAlign w:val="center"/>
          </w:tcPr>
          <w:p>
            <w:pPr>
              <w:jc w:val="center"/>
            </w:pPr>
            <w:r>
              <w:rPr>
                <w:color w:val="000000"/>
                <w:kern w:val="0"/>
                <w:sz w:val="24"/>
              </w:rPr>
              <w:t>002415</w:t>
            </w:r>
          </w:p>
        </w:tc>
        <w:tc>
          <w:tcPr>
            <w:vAlign w:val="center"/>
          </w:tcPr>
          <w:p>
            <w:pPr>
              <w:jc w:val="center"/>
            </w:pPr>
            <w:r>
              <w:rPr>
                <w:color w:val="000000"/>
                <w:kern w:val="0"/>
                <w:sz w:val="24"/>
              </w:rPr>
              <w:t>海康威视</w:t>
            </w:r>
          </w:p>
        </w:tc>
        <w:tc>
          <w:tcPr>
            <w:vAlign w:val="center"/>
          </w:tcPr>
          <w:p>
            <w:pPr>
              <w:jc w:val="right"/>
            </w:pPr>
            <w:r>
              <w:rPr>
                <w:color w:val="000000"/>
                <w:kern w:val="0"/>
                <w:sz w:val="24"/>
              </w:rPr>
              <w:t>214,500</w:t>
            </w:r>
          </w:p>
        </w:tc>
        <w:tc>
          <w:tcPr>
            <w:vAlign w:val="center"/>
          </w:tcPr>
          <w:p>
            <w:pPr>
              <w:jc w:val="right"/>
            </w:pPr>
            <w:r>
              <w:rPr>
                <w:color w:val="000000"/>
                <w:kern w:val="0"/>
                <w:sz w:val="24"/>
              </w:rPr>
              <w:t>6,510,075.00</w:t>
            </w:r>
          </w:p>
        </w:tc>
        <w:tc>
          <w:tcPr>
            <w:vAlign w:val="center"/>
          </w:tcPr>
          <w:p>
            <w:pPr>
              <w:jc w:val="right"/>
            </w:pPr>
            <w:r>
              <w:rPr>
                <w:color w:val="000000"/>
                <w:kern w:val="0"/>
                <w:sz w:val="24"/>
              </w:rPr>
              <w:t>2.79</w:t>
            </w:r>
          </w:p>
        </w:tc>
      </w:tr>
      <w:tr>
        <w:tc>
          <w:tcPr>
            <w:vAlign w:val="center"/>
          </w:tcPr>
          <w:p>
            <w:pPr>
              <w:jc w:val="center"/>
            </w:pPr>
            <w:r>
              <w:rPr>
                <w:color w:val="000000"/>
                <w:kern w:val="0"/>
                <w:sz w:val="24"/>
              </w:rPr>
              <w:t>7</w:t>
            </w:r>
          </w:p>
        </w:tc>
        <w:tc>
          <w:tcPr>
            <w:vAlign w:val="center"/>
          </w:tcPr>
          <w:p>
            <w:pPr>
              <w:jc w:val="center"/>
            </w:pPr>
            <w:r>
              <w:rPr>
                <w:color w:val="000000"/>
                <w:kern w:val="0"/>
                <w:sz w:val="24"/>
              </w:rPr>
              <w:t>601688</w:t>
            </w:r>
          </w:p>
        </w:tc>
        <w:tc>
          <w:tcPr>
            <w:vAlign w:val="center"/>
          </w:tcPr>
          <w:p>
            <w:pPr>
              <w:jc w:val="center"/>
            </w:pPr>
            <w:r>
              <w:rPr>
                <w:color w:val="000000"/>
                <w:kern w:val="0"/>
                <w:sz w:val="24"/>
              </w:rPr>
              <w:t>华泰证券</w:t>
            </w:r>
          </w:p>
        </w:tc>
        <w:tc>
          <w:tcPr>
            <w:vAlign w:val="center"/>
          </w:tcPr>
          <w:p>
            <w:pPr>
              <w:jc w:val="right"/>
            </w:pPr>
            <w:r>
              <w:rPr>
                <w:color w:val="000000"/>
                <w:kern w:val="0"/>
                <w:sz w:val="24"/>
              </w:rPr>
              <w:t>337,700</w:t>
            </w:r>
          </w:p>
        </w:tc>
        <w:tc>
          <w:tcPr>
            <w:vAlign w:val="center"/>
          </w:tcPr>
          <w:p>
            <w:pPr>
              <w:jc w:val="right"/>
            </w:pPr>
            <w:r>
              <w:rPr>
                <w:color w:val="000000"/>
                <w:kern w:val="0"/>
                <w:sz w:val="24"/>
              </w:rPr>
              <w:t>6,348,760.00</w:t>
            </w:r>
          </w:p>
        </w:tc>
        <w:tc>
          <w:tcPr>
            <w:vAlign w:val="center"/>
          </w:tcPr>
          <w:p>
            <w:pPr>
              <w:jc w:val="right"/>
            </w:pPr>
            <w:r>
              <w:rPr>
                <w:color w:val="000000"/>
                <w:kern w:val="0"/>
                <w:sz w:val="24"/>
              </w:rPr>
              <w:t>2.72</w:t>
            </w:r>
          </w:p>
        </w:tc>
      </w:tr>
      <w:tr>
        <w:tc>
          <w:tcPr>
            <w:vAlign w:val="center"/>
          </w:tcPr>
          <w:p>
            <w:pPr>
              <w:jc w:val="center"/>
            </w:pPr>
            <w:r>
              <w:rPr>
                <w:color w:val="000000"/>
                <w:kern w:val="0"/>
                <w:sz w:val="24"/>
              </w:rPr>
              <w:t>8</w:t>
            </w:r>
          </w:p>
        </w:tc>
        <w:tc>
          <w:tcPr>
            <w:vAlign w:val="center"/>
          </w:tcPr>
          <w:p>
            <w:pPr>
              <w:jc w:val="center"/>
            </w:pPr>
            <w:r>
              <w:rPr>
                <w:color w:val="000000"/>
                <w:kern w:val="0"/>
                <w:sz w:val="24"/>
              </w:rPr>
              <w:t>000725</w:t>
            </w:r>
          </w:p>
        </w:tc>
        <w:tc>
          <w:tcPr>
            <w:vAlign w:val="center"/>
          </w:tcPr>
          <w:p>
            <w:pPr>
              <w:jc w:val="center"/>
            </w:pPr>
            <w:r>
              <w:rPr>
                <w:color w:val="000000"/>
                <w:kern w:val="0"/>
                <w:sz w:val="24"/>
              </w:rPr>
              <w:t>京东方A</w:t>
            </w:r>
          </w:p>
        </w:tc>
        <w:tc>
          <w:tcPr>
            <w:vAlign w:val="center"/>
          </w:tcPr>
          <w:p>
            <w:pPr>
              <w:jc w:val="right"/>
            </w:pPr>
            <w:r>
              <w:rPr>
                <w:color w:val="000000"/>
                <w:kern w:val="0"/>
                <w:sz w:val="24"/>
              </w:rPr>
              <w:t>1,344,100</w:t>
            </w:r>
          </w:p>
        </w:tc>
        <w:tc>
          <w:tcPr>
            <w:vAlign w:val="center"/>
          </w:tcPr>
          <w:p>
            <w:pPr>
              <w:jc w:val="right"/>
            </w:pPr>
            <w:r>
              <w:rPr>
                <w:color w:val="000000"/>
                <w:kern w:val="0"/>
                <w:sz w:val="24"/>
              </w:rPr>
              <w:t>6,276,947.00</w:t>
            </w:r>
          </w:p>
        </w:tc>
        <w:tc>
          <w:tcPr>
            <w:vAlign w:val="center"/>
          </w:tcPr>
          <w:p>
            <w:pPr>
              <w:jc w:val="right"/>
            </w:pPr>
            <w:r>
              <w:rPr>
                <w:color w:val="000000"/>
                <w:kern w:val="0"/>
                <w:sz w:val="24"/>
              </w:rPr>
              <w:t>2.69</w:t>
            </w:r>
          </w:p>
        </w:tc>
      </w:tr>
      <w:tr>
        <w:tc>
          <w:tcPr>
            <w:vAlign w:val="center"/>
          </w:tcPr>
          <w:p>
            <w:pPr>
              <w:jc w:val="center"/>
            </w:pPr>
            <w:r>
              <w:rPr>
                <w:color w:val="000000"/>
                <w:kern w:val="0"/>
                <w:sz w:val="24"/>
              </w:rPr>
              <w:t>9</w:t>
            </w:r>
          </w:p>
        </w:tc>
        <w:tc>
          <w:tcPr>
            <w:vAlign w:val="center"/>
          </w:tcPr>
          <w:p>
            <w:pPr>
              <w:jc w:val="center"/>
            </w:pPr>
            <w:r>
              <w:rPr>
                <w:color w:val="000000"/>
                <w:kern w:val="0"/>
                <w:sz w:val="24"/>
              </w:rPr>
              <w:t>000002</w:t>
            </w:r>
          </w:p>
        </w:tc>
        <w:tc>
          <w:tcPr>
            <w:vAlign w:val="center"/>
          </w:tcPr>
          <w:p>
            <w:pPr>
              <w:jc w:val="center"/>
            </w:pPr>
            <w:r>
              <w:rPr>
                <w:color w:val="000000"/>
                <w:kern w:val="0"/>
                <w:sz w:val="24"/>
              </w:rPr>
              <w:t>万科A</w:t>
            </w:r>
          </w:p>
        </w:tc>
        <w:tc>
          <w:tcPr>
            <w:vAlign w:val="center"/>
          </w:tcPr>
          <w:p>
            <w:pPr>
              <w:jc w:val="right"/>
            </w:pPr>
            <w:r>
              <w:rPr>
                <w:color w:val="000000"/>
                <w:kern w:val="0"/>
                <w:sz w:val="24"/>
              </w:rPr>
              <w:t>239,600</w:t>
            </w:r>
          </w:p>
        </w:tc>
        <w:tc>
          <w:tcPr>
            <w:vAlign w:val="center"/>
          </w:tcPr>
          <w:p>
            <w:pPr>
              <w:jc w:val="right"/>
            </w:pPr>
            <w:r>
              <w:rPr>
                <w:color w:val="000000"/>
                <w:kern w:val="0"/>
                <w:sz w:val="24"/>
              </w:rPr>
              <w:t>6,263,144.00</w:t>
            </w:r>
          </w:p>
        </w:tc>
        <w:tc>
          <w:tcPr>
            <w:vAlign w:val="center"/>
          </w:tcPr>
          <w:p>
            <w:pPr>
              <w:jc w:val="right"/>
            </w:pPr>
            <w:r>
              <w:rPr>
                <w:color w:val="000000"/>
                <w:kern w:val="0"/>
                <w:sz w:val="24"/>
              </w:rPr>
              <w:t>2.69</w:t>
            </w:r>
          </w:p>
        </w:tc>
      </w:tr>
      <w:tr>
        <w:tc>
          <w:tcPr>
            <w:vAlign w:val="center"/>
          </w:tcPr>
          <w:p>
            <w:pPr>
              <w:jc w:val="center"/>
            </w:pPr>
            <w:r>
              <w:rPr>
                <w:color w:val="000000"/>
                <w:kern w:val="0"/>
                <w:sz w:val="24"/>
              </w:rPr>
              <w:t>10</w:t>
            </w:r>
          </w:p>
        </w:tc>
        <w:tc>
          <w:tcPr>
            <w:vAlign w:val="center"/>
          </w:tcPr>
          <w:p>
            <w:pPr>
              <w:jc w:val="center"/>
            </w:pPr>
            <w:r>
              <w:rPr>
                <w:color w:val="000000"/>
                <w:kern w:val="0"/>
                <w:sz w:val="24"/>
              </w:rPr>
              <w:t>601166</w:t>
            </w:r>
          </w:p>
        </w:tc>
        <w:tc>
          <w:tcPr>
            <w:vAlign w:val="center"/>
          </w:tcPr>
          <w:p>
            <w:pPr>
              <w:jc w:val="center"/>
            </w:pPr>
            <w:r>
              <w:rPr>
                <w:color w:val="000000"/>
                <w:kern w:val="0"/>
                <w:sz w:val="24"/>
              </w:rPr>
              <w:t>兴业银行</w:t>
            </w:r>
          </w:p>
        </w:tc>
        <w:tc>
          <w:tcPr>
            <w:vAlign w:val="center"/>
          </w:tcPr>
          <w:p>
            <w:pPr>
              <w:jc w:val="right"/>
            </w:pPr>
            <w:r>
              <w:rPr>
                <w:color w:val="000000"/>
                <w:kern w:val="0"/>
                <w:sz w:val="24"/>
              </w:rPr>
              <w:t>394,500</w:t>
            </w:r>
          </w:p>
        </w:tc>
        <w:tc>
          <w:tcPr>
            <w:vAlign w:val="center"/>
          </w:tcPr>
          <w:p>
            <w:pPr>
              <w:jc w:val="right"/>
            </w:pPr>
            <w:r>
              <w:rPr>
                <w:color w:val="000000"/>
                <w:kern w:val="0"/>
                <w:sz w:val="24"/>
              </w:rPr>
              <w:t>6,225,210.00</w:t>
            </w:r>
          </w:p>
        </w:tc>
        <w:tc>
          <w:tcPr>
            <w:vAlign w:val="center"/>
          </w:tcPr>
          <w:p>
            <w:pPr>
              <w:jc w:val="right"/>
            </w:pPr>
            <w:r>
              <w:rPr>
                <w:color w:val="000000"/>
                <w:kern w:val="0"/>
                <w:sz w:val="24"/>
              </w:rPr>
              <w:t>2.67</w:t>
            </w:r>
          </w:p>
        </w:tc>
      </w:tr>
    </w:tbl>
    <w:p w:rsidP="00653BAC" w:rsidR="00653BAC" w:rsidRDefault="001C36D8" w:rsidRPr="00653BAC">
      <w:pPr>
        <w:autoSpaceDE w:val="0"/>
        <w:autoSpaceDN w:val="0"/>
        <w:adjustRightInd w:val="0"/>
        <w:spacing w:line="360" w:lineRule="auto"/>
        <w:jc w:val="left"/>
        <w:rPr>
          <w:rFonts w:eastAsiaTheme="minorEastAsia"/>
          <w:b/>
          <w:color w:themeColor="text1" w:val="000000"/>
          <w:kern w:val="0"/>
          <w:sz w:val="24"/>
        </w:rPr>
      </w:pPr>
      <w:r w:rsidRPr="00272E0C">
        <w:rPr>
          <w:rFonts w:ascii="宋体" w:cs="Arial" w:hAnsi="宋体"/>
          <w:b/>
          <w:color w:val="000000"/>
          <w:kern w:val="0"/>
          <w:sz w:val="24"/>
        </w:rPr>
        <w:t xml:space="preserve">5.4 </w:t>
      </w:r>
      <w:r w:rsidRPr="00272E0C">
        <w:rPr>
          <w:rFonts w:ascii="宋体" w:cs="Arial" w:hAnsi="宋体" w:hint="eastAsia"/>
          <w:b/>
          <w:color w:val="000000"/>
          <w:kern w:val="0"/>
          <w:sz w:val="24"/>
        </w:rPr>
        <w:t>报告期末按债券品种分类的债券投资组合</w:t>
      </w:r>
    </w:p>
    <w:p w:rsidP="00653BAC" w:rsidR="001C36D8" w:rsidRDefault="00653BAC" w:rsidRPr="00653BAC">
      <w:pPr>
        <w:spacing w:line="360" w:lineRule="auto"/>
        <w:ind w:firstLine="480" w:firstLineChars="200"/>
        <w:rPr>
          <w:color w:val="000000"/>
          <w:sz w:val="24"/>
        </w:rPr>
      </w:pPr>
      <w:r w:rsidRPr="00653BAC">
        <w:rPr>
          <w:color w:val="000000"/>
          <w:sz w:val="24"/>
        </w:rPr>
        <w:t/>
      </w:r>
      <w:proofErr w:type="spellStart"/>
      <w:r w:rsidRPr="00653BAC">
        <w:rPr>
          <w:color w:val="000000"/>
          <w:sz w:val="24"/>
        </w:rPr>
        <w:t/>
      </w:r>
      <w:proofErr w:type="spellEnd"/>
      <w:r w:rsidRPr="00653BAC">
        <w:rPr>
          <w:color w:val="000000"/>
          <w:sz w:val="24"/>
        </w:rPr>
        <w:t/>
      </w:r>
      <w:proofErr w:type="spellStart"/>
      <w:r w:rsidRPr="00653BAC">
        <w:rPr>
          <w:color w:val="000000"/>
          <w:sz w:val="24"/>
        </w:rPr>
        <w:t/>
      </w:r>
      <w:proofErr w:type="spellEnd"/>
      <w:r w:rsidRPr="00653BAC">
        <w:rPr>
          <w:color w:val="000000"/>
          <w:sz w:val="24"/>
        </w:rPr>
        <w:t>本基金本报告期末未持有债券。</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 xml:space="preserve">5.5 </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的前五名债券投资明细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r w:rsidRPr="003D22BD">
        <w:rPr>
          <w:color w:val="000000"/>
          <w:sz w:val="24"/>
        </w:rPr>
        <w:lastRenderedPageBreak/>
        <w:t/>
      </w:r>
      <w:proofErr w:type="spellEnd"/>
      <w:r w:rsidRPr="003D22BD">
        <w:rPr>
          <w:color w:val="000000"/>
          <w:sz w:val="24"/>
        </w:rPr>
        <w:t>本基金本报告期末未持有债券。</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sidRPr="00272E0C">
        <w:rPr>
          <w:rFonts w:ascii="宋体" w:cs="Arial" w:hAnsi="宋体"/>
          <w:b/>
          <w:color w:val="000000"/>
          <w:kern w:val="0"/>
          <w:sz w:val="24"/>
        </w:rPr>
        <w:t>5.6</w:t>
      </w:r>
      <w:r w:rsidRPr="00272E0C">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272E0C">
        <w:rPr>
          <w:rFonts w:ascii="宋体" w:cs="Arial" w:hAnsi="宋体" w:hint="eastAsia"/>
          <w:b/>
          <w:color w:val="000000"/>
          <w:kern w:val="0"/>
          <w:sz w:val="24"/>
        </w:rPr>
        <w:t>的前十名资产支持证券投资明细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本基金本报告期末未持有资产支持证券。</w:t>
      </w:r>
    </w:p>
    <w:p w:rsidP="001C123E" w:rsidR="001C36D8" w:rsidRDefault="001C36D8"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5B1E0B" w:rsidR="001C36D8" w:rsidRDefault="001C36D8" w:rsidRPr="005B1E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本基金本报告期末未持有贵金属。</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b/>
          <w:bCs/>
          <w:color w:val="000000"/>
          <w:kern w:val="0"/>
          <w:sz w:val="24"/>
        </w:rPr>
        <w:t/>
      </w:r>
      <w:r>
        <w:rPr>
          <w:rFonts w:ascii="宋体" w:hAnsi="宋体"/>
          <w:b/>
          <w:bCs/>
          <w:color w:val="000000"/>
          <w:kern w:val="0"/>
          <w:sz w:val="24"/>
        </w:rPr>
        <w:t/>
      </w:r>
      <w:r w:rsidRPr="001B0A62">
        <w:rPr>
          <w:rFonts w:ascii="宋体"/>
          <w:b/>
          <w:bCs/>
          <w:color w:val="000000"/>
          <w:kern w:val="0"/>
          <w:sz w:val="24"/>
        </w:rPr>
        <w:t>5.</w:t>
      </w:r>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8</w:t>
      </w:r>
      <w:r w:rsidRPr="00272E0C">
        <w:rPr>
          <w:rFonts w:ascii="宋体" w:hAnsi="宋体" w:hint="eastAsia"/>
          <w:b/>
          <w:bCs/>
          <w:color w:val="000000"/>
          <w:sz w:val="24"/>
        </w:rPr>
        <w:t>报告期末按公允价值占基金资产净值比例大小排</w:t>
      </w:r>
      <w:r>
        <w:rPr>
          <w:rFonts w:ascii="宋体" w:hAnsi="宋体" w:hint="eastAsia"/>
          <w:b/>
          <w:bCs/>
          <w:color w:val="000000"/>
          <w:sz w:val="24"/>
        </w:rPr>
        <w:t>序</w:t>
      </w:r>
      <w:r w:rsidRPr="00272E0C">
        <w:rPr>
          <w:rFonts w:ascii="宋体" w:hAnsi="宋体" w:hint="eastAsia"/>
          <w:b/>
          <w:bCs/>
          <w:color w:val="000000"/>
          <w:sz w:val="24"/>
        </w:rPr>
        <w:t>的前五名权证投资明细</w:t>
      </w:r>
    </w:p>
    <w:p w:rsidP="005B1E0B" w:rsidR="001C36D8" w:rsidRDefault="001C36D8" w:rsidRPr="005B1E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本基金本报告期末未持有权证。</w:t>
      </w:r>
    </w:p>
    <w:p w:rsidP="00E57068" w:rsidR="001C36D8" w:rsidRDefault="00B55281"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5.</w:t>
      </w:r>
      <w:r w:rsidR="001C36D8" w:rsidRPr="001B0A62">
        <w:rPr>
          <w:rFonts w:ascii="宋体" w:hAnsi="宋体"/>
          <w:b/>
          <w:bCs/>
          <w:color w:val="000000"/>
          <w:kern w:val="0"/>
          <w:sz w:val="24"/>
        </w:rPr>
        <w:t/>
      </w:r>
      <w:r w:rsidR="001C36D8">
        <w:rPr>
          <w:rFonts w:ascii="宋体" w:hAnsi="宋体"/>
          <w:b/>
          <w:bCs/>
          <w:color w:val="000000"/>
          <w:kern w:val="0"/>
          <w:sz w:val="24"/>
        </w:rPr>
        <w:t/>
      </w:r>
      <w:r w:rsidR="001C36D8" w:rsidRPr="001B0A62">
        <w:rPr>
          <w:rFonts w:ascii="宋体"/>
          <w:b/>
          <w:bCs/>
          <w:color w:val="000000"/>
          <w:kern w:val="0"/>
          <w:sz w:val="24"/>
        </w:rPr>
        <w:t>9</w:t>
      </w:r>
      <w:r w:rsidR="001C36D8" w:rsidRPr="00E85E29">
        <w:rPr>
          <w:rFonts w:ascii="宋体" w:hAnsi="宋体" w:hint="eastAsia"/>
          <w:b/>
          <w:sz w:val="24"/>
        </w:rPr>
        <w:t>报告期末本基金投资的股指期货交易情况说明</w:t>
      </w:r>
    </w:p>
    <w:p w:rsidP="003B3D0C" w:rsidR="003B3D0C" w:rsidRDefault="003B3D0C">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576862" w:rsidR="001C36D8" w:rsidRDefault="00B55281" w:rsidRPr="00272E0C">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r w:rsidR="001C36D8">
        <w:rPr>
          <w:rFonts w:ascii="宋体"/>
          <w:b/>
          <w:sz w:val="24"/>
        </w:rPr>
        <w:t/>
      </w:r>
      <w:r w:rsidR="001C36D8">
        <w:rPr>
          <w:rFonts w:ascii="宋体" w:hAnsi="宋体"/>
          <w:b/>
          <w:sz w:val="24"/>
        </w:rPr>
        <w:t>5</w:t>
      </w:r>
      <w:r w:rsidR="001C36D8" w:rsidRPr="00272E0C">
        <w:rPr>
          <w:rFonts w:ascii="宋体"/>
          <w:b/>
          <w:sz w:val="24"/>
        </w:rPr>
        <w:t>.</w:t>
      </w:r>
      <w:r w:rsidR="001C36D8">
        <w:rPr>
          <w:rFonts w:ascii="宋体"/>
          <w:b/>
          <w:sz w:val="24"/>
        </w:rPr>
        <w:t/>
      </w:r>
      <w:r w:rsidR="001C36D8">
        <w:rPr>
          <w:rFonts w:ascii="宋体" w:hAnsi="宋体"/>
          <w:b/>
          <w:sz w:val="24"/>
        </w:rPr>
        <w:t>10</w:t>
      </w:r>
      <w:r w:rsidR="001C36D8" w:rsidRPr="00272E0C">
        <w:rPr>
          <w:rFonts w:ascii="宋体" w:hAnsi="宋体" w:hint="eastAsia"/>
          <w:b/>
          <w:sz w:val="24"/>
        </w:rPr>
        <w:t>报告期末本基金投资的国债期货交易情况说明</w:t>
      </w:r>
    </w:p>
    <w:p w:rsidP="000C44BD" w:rsidR="000C44BD" w:rsidRDefault="000C44BD">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576862" w:rsidR="001C36D8" w:rsidRDefault="001C36D8" w:rsidRPr="00272E0C">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272E0C">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11</w:t>
      </w:r>
      <w:r w:rsidRPr="00272E0C">
        <w:rPr>
          <w:rFonts w:ascii="宋体" w:cs="Arial" w:hAnsi="宋体" w:hint="eastAsia"/>
          <w:b/>
          <w:color w:val="000000"/>
          <w:kern w:val="0"/>
          <w:sz w:val="24"/>
        </w:rPr>
        <w:t>投资组合报告附注</w:t>
      </w:r>
    </w:p>
    <w:p w:rsidP="00576862" w:rsidR="001C36D8" w:rsidRDefault="00B60FD1" w:rsidRPr="005B1E0B">
      <w:pPr>
        <w:spacing w:line="360" w:lineRule="auto"/>
        <w:rPr>
          <w:color w:val="000000"/>
          <w:kern w:val="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5.11.1</w:t>
      </w:r>
      <w:r w:rsidR="00D8121C">
        <w:rPr>
          <w:rFonts w:ascii="宋体" w:hAnsi="宋体" w:hint="eastAsia"/>
          <w:bCs/>
          <w:color w:val="000000"/>
          <w:kern w:val="0"/>
          <w:sz w:val="24"/>
        </w:rPr>
        <w:t xml:space="preserve"> </w:t>
      </w:r>
      <w:r w:rsidR="001C36D8" w:rsidRPr="005B1E0B">
        <w:rPr>
          <w:color w:val="000000"/>
          <w:kern w:val="0"/>
          <w:sz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pPr>
        <w:spacing w:line="360" w:lineRule="auto"/>
        <w:rPr>
          <w:color w:val="000000"/>
          <w:kern w:val="0"/>
          <w:sz w:val="24"/>
        </w:rPr>
      </w:pPr>
      <w:r>
        <w:rPr>
          <w:color w:val="000000"/>
          <w:kern w:val="0"/>
          <w:sz w:val="24"/>
        </w:rPr>
        <w:t>2020年2月10日，中国人民银行针对华泰证券股份有限公司如下违法事实：1、未按规定履行客户身份识别义务；2、未按规定报送可疑交易报告；3、与身份不明的客户进行交易，处以责令改正，并处罚款1010万元的行政处罚。</w:t>
      </w:r>
    </w:p>
    <w:p>
      <w:pPr>
        <w:spacing w:line="360" w:lineRule="auto"/>
        <w:rPr>
          <w:color w:val="000000"/>
          <w:kern w:val="0"/>
          <w:sz w:val="24"/>
        </w:rPr>
      </w:pPr>
      <w:r>
        <w:rPr>
          <w:color w:val="000000"/>
          <w:kern w:val="0"/>
          <w:sz w:val="24"/>
        </w:rPr>
        <w:t>本基金为指数型基金，上述股票系标的指数成份股，上述股票的投资决策程序符合公司投资制度的规定。除兴业银行、华泰证券外，本基金投资的前十名证券的发行主体本期没有出现被监管部门立案调查，或在报告编制日前一年内受到公开谴责、处罚的情形。</w:t>
      </w:r>
    </w:p>
    <w:p w:rsidP="00576862" w:rsidR="001C36D8" w:rsidRDefault="00B60FD1" w:rsidRPr="005B1E0B">
      <w:pPr>
        <w:spacing w:line="360" w:lineRule="auto"/>
        <w:rPr>
          <w:color w:val="000000"/>
          <w:kern w:val="0"/>
          <w:sz w:val="24"/>
        </w:rPr>
      </w:pPr>
      <w:r>
        <w:rPr>
          <w:rFonts w:hint="eastAsia"/>
          <w:color w:val="000000"/>
          <w:sz w:val="24"/>
        </w:rPr>
        <w:t/>
      </w:r>
      <w:r w:rsidR="001C36D8" w:rsidRPr="001C123E">
        <w:rPr>
          <w:rFonts w:ascii="宋体"/>
          <w:bCs/>
          <w:color w:val="000000"/>
          <w:kern w:val="0"/>
          <w:sz w:val="24"/>
        </w:rPr>
        <w:t/>
      </w:r>
      <w:r w:rsidR="001C36D8" w:rsidRPr="001C123E">
        <w:rPr>
          <w:rFonts w:ascii="宋体" w:hAnsi="宋体"/>
          <w:bCs/>
          <w:color w:val="000000"/>
          <w:kern w:val="0"/>
          <w:sz w:val="24"/>
        </w:rPr>
        <w:t>5.11.2</w:t>
      </w:r>
      <w:r w:rsidR="00D8121C">
        <w:rPr>
          <w:rFonts w:ascii="宋体" w:hAnsi="宋体" w:hint="eastAsia"/>
          <w:bCs/>
          <w:color w:val="000000"/>
          <w:kern w:val="0"/>
          <w:sz w:val="24"/>
        </w:rPr>
        <w:t xml:space="preserve"> </w:t>
      </w:r>
      <w:r w:rsidR="001C36D8" w:rsidRPr="005B1E0B">
        <w:rPr>
          <w:color w:val="000000"/>
          <w:kern w:val="0"/>
          <w:sz w:val="24"/>
        </w:rPr>
        <w:t>本基金投资的前十名股票没有超出基金合同规定的备选股票库。</w:t>
      </w:r>
    </w:p>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5.11.3</w:t>
      </w:r>
      <w:r w:rsidR="00FE4BF2">
        <w:rPr>
          <w:rFonts w:ascii="宋体" w:cs="Arial" w:hAnsi="宋体" w:hint="eastAsia"/>
          <w:color w:val="000000"/>
          <w:kern w:val="0"/>
          <w:sz w:val="24"/>
        </w:rPr>
        <w:t>其他</w:t>
      </w:r>
      <w:bookmarkStart w:id="2" w:name="_GoBack"/>
      <w:bookmarkEnd w:id="2"/>
      <w:r w:rsidRPr="00717C29">
        <w:rPr>
          <w:rFonts w:ascii="宋体" w:cs="Arial" w:hAnsi="宋体" w:hint="eastAsia"/>
          <w:color w:val="000000"/>
          <w:kern w:val="0"/>
          <w:sz w:val="24"/>
        </w:rPr>
        <w:t>资产构成</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2761"/>
        <w:gridCol w:w="4808"/>
      </w:tblGrid>
      <w:tr w:rsidR="001C36D8" w:rsidRPr="00272E0C" w:rsidTr="001A09F9">
        <w:tc>
          <w:tcPr>
            <w:tcW w:type="dxa" w:w="959"/>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序号</w:t>
            </w:r>
          </w:p>
        </w:tc>
        <w:tc>
          <w:tcPr>
            <w:tcW w:type="dxa" w:w="2761"/>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名称</w:t>
            </w:r>
          </w:p>
        </w:tc>
        <w:tc>
          <w:tcPr>
            <w:tcW w:type="dxa" w:w="4808"/>
          </w:tcPr>
          <w:p w:rsidP="001A09F9" w:rsidR="001C36D8" w:rsidRDefault="001C36D8" w:rsidRPr="005B1E0B">
            <w:pPr>
              <w:autoSpaceDE w:val="0"/>
              <w:autoSpaceDN w:val="0"/>
              <w:adjustRightInd w:val="0"/>
              <w:spacing w:line="360" w:lineRule="auto"/>
              <w:jc w:val="left"/>
              <w:rPr>
                <w:color w:val="000000"/>
                <w:sz w:val="24"/>
              </w:rPr>
            </w:pPr>
            <w:r w:rsidRPr="005B1E0B">
              <w:rPr>
                <w:color w:val="000000"/>
                <w:sz w:val="24"/>
              </w:rPr>
              <w:t>金额（元）</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kern w:val="0"/>
                <w:sz w:val="24"/>
              </w:rPr>
            </w:pPr>
            <w:r w:rsidRPr="005B1E0B">
              <w:rPr>
                <w:color w:val="000000"/>
                <w:sz w:val="24"/>
              </w:rPr>
              <w:t>1</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存出保证金</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16,019.26</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2</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应收证券清算款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3</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应收股利</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4</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应收利息</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2,529.49</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5</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应收申购款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116,128.51</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6</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其他应收款</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7</w:t>
            </w:r>
          </w:p>
        </w:tc>
        <w:tc>
          <w:tcPr>
            <w:tcW w:type="dxa" w:w="2761"/>
          </w:tcPr>
          <w:p w:rsidP="0015779C" w:rsidR="001C36D8" w:rsidRDefault="001C36D8" w:rsidRPr="005B1E0B">
            <w:pPr>
              <w:autoSpaceDE w:val="0"/>
              <w:autoSpaceDN w:val="0"/>
              <w:adjustRightInd w:val="0"/>
              <w:spacing w:before="29" w:line="360" w:lineRule="auto"/>
              <w:ind w:left="105" w:leftChars="50"/>
              <w:rPr>
                <w:color w:val="000000"/>
                <w:sz w:val="24"/>
              </w:rPr>
            </w:pPr>
            <w:r w:rsidRPr="005B1E0B">
              <w:rPr>
                <w:color w:val="000000"/>
                <w:sz w:val="24"/>
              </w:rPr>
              <w:t>待摊费用</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8</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其他</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w:t>
            </w:r>
          </w:p>
        </w:tc>
      </w:tr>
      <w:tr w:rsidR="001C36D8" w:rsidRPr="00272E0C" w:rsidTr="001A09F9">
        <w:tc>
          <w:tcPr>
            <w:tcW w:type="dxa" w:w="959"/>
            <w:vAlign w:val="center"/>
          </w:tcPr>
          <w:p w:rsidP="001A09F9" w:rsidR="001C36D8" w:rsidRDefault="001C36D8" w:rsidRPr="005B1E0B">
            <w:pPr>
              <w:autoSpaceDE w:val="0"/>
              <w:autoSpaceDN w:val="0"/>
              <w:adjustRightInd w:val="0"/>
              <w:spacing w:before="29" w:line="360" w:lineRule="auto"/>
              <w:ind w:left="15"/>
              <w:jc w:val="center"/>
              <w:rPr>
                <w:color w:val="000000"/>
                <w:sz w:val="24"/>
              </w:rPr>
            </w:pPr>
            <w:r w:rsidRPr="005B1E0B">
              <w:rPr>
                <w:color w:val="000000"/>
                <w:sz w:val="24"/>
              </w:rPr>
              <w:t>9</w:t>
            </w:r>
          </w:p>
        </w:tc>
        <w:tc>
          <w:tcPr>
            <w:tcW w:type="dxa" w:w="2761"/>
            <w:vAlign w:val="center"/>
          </w:tcPr>
          <w:p w:rsidP="001A09F9" w:rsidR="001C36D8" w:rsidRDefault="001C36D8" w:rsidRPr="005B1E0B">
            <w:pPr>
              <w:autoSpaceDE w:val="0"/>
              <w:autoSpaceDN w:val="0"/>
              <w:adjustRightInd w:val="0"/>
              <w:spacing w:before="29" w:line="360" w:lineRule="auto"/>
              <w:ind w:left="15"/>
              <w:jc w:val="left"/>
              <w:rPr>
                <w:color w:val="000000"/>
                <w:kern w:val="0"/>
                <w:sz w:val="24"/>
              </w:rPr>
            </w:pPr>
            <w:r w:rsidRPr="005B1E0B">
              <w:rPr>
                <w:color w:val="000000"/>
                <w:kern w:val="0"/>
                <w:sz w:val="24"/>
              </w:rPr>
              <w:t>合计</w:t>
            </w:r>
          </w:p>
        </w:tc>
        <w:tc>
          <w:tcPr>
            <w:tcW w:type="dxa" w:w="4808"/>
            <w:vAlign w:val="center"/>
          </w:tcPr>
          <w:p w:rsidP="001A09F9" w:rsidR="001C36D8" w:rsidRDefault="001C36D8" w:rsidRPr="005B1E0B">
            <w:pPr>
              <w:autoSpaceDE w:val="0"/>
              <w:autoSpaceDN w:val="0"/>
              <w:adjustRightInd w:val="0"/>
              <w:spacing w:before="29" w:line="360" w:lineRule="auto"/>
              <w:ind w:left="15"/>
              <w:jc w:val="righ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134,677.26</w:t>
            </w:r>
          </w:p>
        </w:tc>
      </w:tr>
    </w:tbl>
    <w:p w:rsidP="00576862" w:rsidR="001C36D8" w:rsidRDefault="001C36D8" w:rsidRPr="00717C29">
      <w:pPr>
        <w:autoSpaceDE w:val="0"/>
        <w:autoSpaceDN w:val="0"/>
        <w:adjustRightInd w:val="0"/>
        <w:spacing w:line="360" w:lineRule="auto"/>
        <w:jc w:val="left"/>
        <w:rPr>
          <w:rFonts w:ascii="宋体" w:cs="Arial"/>
          <w:color w:val="000000"/>
          <w:kern w:val="0"/>
          <w:sz w:val="24"/>
        </w:rPr>
      </w:pPr>
      <w:r w:rsidRPr="00717C29">
        <w:rPr>
          <w:rFonts w:ascii="宋体"/>
          <w:bCs/>
          <w:color w:val="000000"/>
          <w:kern w:val="0"/>
          <w:sz w:val="24"/>
        </w:rPr>
        <w:t/>
      </w:r>
      <w:r w:rsidRPr="00717C29">
        <w:rPr>
          <w:rFonts w:ascii="宋体" w:hAnsi="宋体"/>
          <w:bCs/>
          <w:color w:val="000000"/>
          <w:kern w:val="0"/>
          <w:sz w:val="24"/>
        </w:rPr>
        <w:t>5.11.4</w:t>
      </w:r>
      <w:r w:rsidRPr="00717C29">
        <w:rPr>
          <w:rFonts w:ascii="宋体" w:cs="Arial" w:hAnsi="宋体" w:hint="eastAsia"/>
          <w:color w:val="000000"/>
          <w:kern w:val="0"/>
          <w:sz w:val="24"/>
        </w:rPr>
        <w:t>报告期末持有的处于转股期的可转换债券明细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本基金本报告期末未持有处于转股期的可转换债券。</w:t>
      </w:r>
    </w:p>
    <w:p w:rsidP="00924A95" w:rsidR="00924A95" w:rsidRDefault="00924A95" w:rsidRPr="001C7E00">
      <w:pPr>
        <w:autoSpaceDE w:val="0"/>
        <w:autoSpaceDN w:val="0"/>
        <w:adjustRightInd w:val="0"/>
        <w:spacing w:line="360" w:lineRule="auto"/>
        <w:jc w:val="left"/>
        <w:rPr>
          <w:rFonts w:ascii="宋体"/>
          <w:bCs/>
          <w:color w:val="000000"/>
          <w:kern w:val="0"/>
          <w:sz w:val="24"/>
        </w:rPr>
      </w:pPr>
      <w:r w:rsidRPr="001C7E00">
        <w:rPr>
          <w:rFonts w:ascii="宋体"/>
          <w:bCs/>
          <w:color w:val="000000"/>
          <w:kern w:val="0"/>
          <w:sz w:val="24"/>
        </w:rPr>
        <w:t/>
      </w:r>
      <w:r w:rsidRPr="001C7E00">
        <w:rPr>
          <w:rFonts w:ascii="宋体" w:hAnsi="宋体"/>
          <w:bCs/>
          <w:color w:val="000000"/>
          <w:kern w:val="0"/>
          <w:sz w:val="24"/>
        </w:rPr>
        <w:t>5.11.5</w:t>
      </w:r>
      <w:r w:rsidRPr="001C7E00">
        <w:rPr>
          <w:rFonts w:ascii="宋体" w:hAnsi="宋体" w:hint="eastAsia"/>
          <w:bCs/>
          <w:color w:val="000000"/>
          <w:kern w:val="0"/>
          <w:sz w:val="24"/>
        </w:rPr>
        <w:t>报告期末前十名股票中存在流通受限情况的说明</w:t>
      </w:r>
    </w:p>
    <w:p w:rsidP="005B1E0B" w:rsidR="001C36D8" w:rsidRDefault="00924A95" w:rsidRPr="005B1E0B">
      <w:pPr>
        <w:spacing w:line="360" w:lineRule="auto"/>
        <w:ind w:firstLine="480" w:firstLineChars="200"/>
        <w:rPr>
          <w:color w:val="000000"/>
          <w:sz w:val="24"/>
        </w:rPr>
      </w:pPr>
      <w:r w:rsidRPr="006C56AA">
        <w:rPr>
          <w:color w:val="000000"/>
          <w:sz w:val="24"/>
        </w:rPr>
        <w:t/>
      </w:r>
      <w:r w:rsidRPr="006C56AA">
        <w:rPr>
          <w:color w:val="000000"/>
          <w:sz w:val="24"/>
        </w:rPr>
        <w:lastRenderedPageBreak/>
        <w:t>本基金本报告期末前十名股票中不存在流通受限情况。</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开放式基金份额变动</w:t>
      </w:r>
    </w:p>
    <w:p w:rsidP="0019563C" w:rsidR="001C36D8" w:rsidRDefault="001C36D8" w:rsidRPr="00272E0C">
      <w:pPr>
        <w:autoSpaceDE w:val="0"/>
        <w:autoSpaceDN w:val="0"/>
        <w:adjustRightInd w:val="0"/>
        <w:spacing w:before="29" w:line="360" w:lineRule="auto"/>
        <w:ind w:left="15"/>
        <w:jc w:val="right"/>
        <w:rPr>
          <w:rFonts w:ascii="宋体" w:cs="Arial"/>
          <w:color w:val="000000"/>
          <w:kern w:val="0"/>
          <w:sz w:val="24"/>
        </w:rPr>
      </w:pPr>
      <w:r w:rsidRPr="00272E0C">
        <w:rPr>
          <w:rFonts w:ascii="宋体" w:cs="Arial" w:hAnsi="宋体" w:hint="eastAsia"/>
          <w:color w:val="000000"/>
          <w:kern w:val="0"/>
          <w:sz w:val="24"/>
        </w:rPr>
        <w:t>单位：份</w:t>
      </w:r>
    </w:p>
    <w:tbl>
      <w:tblPr>
        <w:tblW w:type="dxa" w:w="8719"/>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1774"/>
        <w:gridCol w:w="2409"/>
        <w:gridCol w:w="2410"/>
        <w:gridCol w:w="2126"/>
      </w:tblGrid>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项目</w:t>
            </w:r>
          </w:p>
        </w:tc>
        <w:tc>
          <w:tcPr>
            <w:tcW w:type="dxa" w:w="2409"/>
            <w:vAlign w:val="center"/>
          </w:tcPr>
          <w:p w:rsidP="005B14F0" w:rsidR="001C36D8" w:rsidRDefault="001C36D8" w:rsidRPr="005B1E0B">
            <w:pPr>
              <w:autoSpaceDE w:val="0"/>
              <w:autoSpaceDN w:val="0"/>
              <w:adjustRightInd w:val="0"/>
              <w:spacing w:before="29" w:line="360" w:lineRule="auto"/>
              <w:ind w:left="17"/>
              <w:jc w:val="right"/>
              <w:rPr>
                <w:sz w:val="24"/>
              </w:rPr>
            </w:pPr>
            <w:r w:rsidRPr="005B1E0B">
              <w:rPr>
                <w:color w:val="000000"/>
                <w:kern w:val="0"/>
                <w:sz w:val="24"/>
              </w:rPr>
              <w:t/>
            </w:r>
            <w:proofErr w:type="spellStart"/>
            <w:r w:rsidRPr="005B1E0B">
              <w:rPr>
                <w:sz w:val="24"/>
              </w:rPr>
              <w:t/>
            </w:r>
            <w:proofErr w:type="spellEnd"/>
            <w:r w:rsidRPr="005B1E0B">
              <w:rPr>
                <w:sz w:val="24"/>
              </w:rPr>
              <w:t>易方达国企改革分级</w:t>
            </w:r>
          </w:p>
        </w:tc>
        <w:tc>
          <w:tcPr>
            <w:tcW w:type="dxa" w:w="2410"/>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易方达国企改革分级A</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kern w:val="0"/>
                <w:sz w:val="24"/>
              </w:rPr>
              <w:t/>
            </w:r>
            <w:proofErr w:type="spellStart"/>
            <w:r w:rsidRPr="005B1E0B">
              <w:rPr>
                <w:sz w:val="24"/>
              </w:rPr>
              <w:t/>
            </w:r>
            <w:proofErr w:type="spellEnd"/>
            <w:r w:rsidRPr="005B1E0B">
              <w:rPr>
                <w:sz w:val="24"/>
              </w:rPr>
              <w:t>易方达国企改革分级B</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报告期期初基金份额总额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161,197,638.56</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29,908,154.00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29,908,154.00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基金总申购份额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486,822.59</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减：</w:t>
            </w:r>
            <w:r w:rsidRPr="005B1E0B">
              <w:rPr>
                <w:color w:val="000000"/>
                <w:kern w:val="0"/>
                <w:sz w:val="24"/>
              </w:rPr>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基金总赎回份额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17,102,728.94</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w:t>
            </w:r>
          </w:p>
        </w:tc>
      </w:tr>
      <w:tr w:rsidR="001C36D8" w:rsidRPr="00272E0C" w:rsidTr="00EF063B">
        <w:trPr>
          <w:trHeight w:val="1718"/>
        </w:trPr>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lastRenderedPageBreak/>
              <w:t/>
            </w:r>
            <w:proofErr w:type="spellStart"/>
            <w:r w:rsidRPr="005B1E0B">
              <w:rPr>
                <w:color w:val="000000"/>
                <w:kern w:val="0"/>
                <w:sz w:val="24"/>
              </w:rPr>
              <w:t/>
            </w:r>
            <w:proofErr w:type="spellEnd"/>
            <w:r w:rsidRPr="005B1E0B">
              <w:rPr>
                <w:color w:val="000000"/>
                <w:kern w:val="0"/>
                <w:sz w:val="24"/>
              </w:rPr>
              <w:t>报告期</w:t>
            </w:r>
            <w:r w:rsidRPr="005B1E0B">
              <w:rPr>
                <w:color w:val="000000"/>
                <w:kern w:val="0"/>
                <w:sz w:val="24"/>
              </w:rPr>
              <w:t>基金拆分变动份额</w:t>
            </w:r>
            <w:r w:rsidR="005541BC" w:rsidRPr="00921BFA">
              <w:rPr>
                <w:rFonts w:hint="eastAsia"/>
                <w:color w:val="000000"/>
                <w:kern w:val="0"/>
                <w:sz w:val="24"/>
              </w:rPr>
              <w:t>（份额减少以“</w:t>
            </w:r>
            <w:r w:rsidR="005541BC" w:rsidRPr="00921BFA">
              <w:rPr>
                <w:rFonts w:hint="eastAsia"/>
                <w:color w:val="000000"/>
                <w:kern w:val="0"/>
                <w:sz w:val="24"/>
              </w:rPr>
              <w:t>-</w:t>
            </w:r>
            <w:r w:rsidR="005541BC" w:rsidRPr="00921BFA">
              <w:rPr>
                <w:rFonts w:hint="eastAsia"/>
                <w:color w:val="000000"/>
                <w:kern w:val="0"/>
                <w:sz w:val="24"/>
              </w:rPr>
              <w:t>”填列）</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6,244,509.31</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-916,750.00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
            </w:r>
            <w:r w:rsidRPr="005B1E0B">
              <w:rPr>
                <w:sz w:val="24"/>
              </w:rPr>
              <w:t>-916,750.00</w:t>
            </w:r>
          </w:p>
        </w:tc>
      </w:tr>
      <w:tr w:rsidR="001C36D8" w:rsidRPr="00272E0C" w:rsidTr="00EF063B">
        <w:tc>
          <w:tcPr>
            <w:tcW w:type="dxa" w:w="1774"/>
            <w:vAlign w:val="center"/>
          </w:tcPr>
          <w:p w:rsidP="007A6BEA" w:rsidR="001C36D8" w:rsidRDefault="001C36D8" w:rsidRPr="005B1E0B">
            <w:pPr>
              <w:autoSpaceDE w:val="0"/>
              <w:autoSpaceDN w:val="0"/>
              <w:adjustRightInd w:val="0"/>
              <w:spacing w:before="29" w:line="360" w:lineRule="auto"/>
              <w:ind w:left="17"/>
              <w:jc w:val="left"/>
              <w:rPr>
                <w:color w:val="000000"/>
                <w:kern w:val="0"/>
                <w:sz w:val="24"/>
              </w:rPr>
            </w:pPr>
            <w:r w:rsidRPr="005B1E0B">
              <w:rPr>
                <w:color w:val="000000"/>
                <w:kern w:val="0"/>
                <w:sz w:val="24"/>
              </w:rPr>
              <w:t>报告期期末基金份额总额</w:t>
            </w:r>
          </w:p>
        </w:tc>
        <w:tc>
          <w:tcPr>
            <w:tcW w:type="dxa" w:w="2409"/>
            <w:vAlign w:val="center"/>
          </w:tcPr>
          <w:p w:rsidP="007A6BEA"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150,826,241.52</w:t>
            </w:r>
          </w:p>
        </w:tc>
        <w:tc>
          <w:tcPr>
            <w:tcW w:type="dxa" w:w="2410"/>
            <w:vAlign w:val="center"/>
          </w:tcPr>
          <w:p w:rsidP="00465C86"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proofErr w:type="spellEnd"/>
            <w:r w:rsidRPr="005B1E0B">
              <w:rPr>
                <w:color w:val="000000"/>
                <w:sz w:val="24"/>
              </w:rPr>
              <w:t>28,991,404.00</w:t>
            </w:r>
          </w:p>
        </w:tc>
        <w:tc>
          <w:tcPr>
            <w:tcW w:type="dxa" w:w="2126"/>
            <w:vAlign w:val="center"/>
          </w:tcPr>
          <w:p w:rsidP="00183C9E" w:rsidR="001C36D8" w:rsidRDefault="001C36D8" w:rsidRPr="005B1E0B">
            <w:pPr>
              <w:autoSpaceDE w:val="0"/>
              <w:autoSpaceDN w:val="0"/>
              <w:adjustRightInd w:val="0"/>
              <w:spacing w:before="29" w:line="360" w:lineRule="auto"/>
              <w:ind w:left="17"/>
              <w:jc w:val="right"/>
              <w:rPr>
                <w:color w:val="000000"/>
                <w:sz w:val="24"/>
              </w:rPr>
            </w:pPr>
            <w:r w:rsidRPr="005B1E0B">
              <w:rPr>
                <w:color w:val="000000"/>
                <w:sz w:val="24"/>
              </w:rPr>
              <w:t/>
            </w:r>
            <w:proofErr w:type="spellStart"/>
            <w:r w:rsidRPr="005B1E0B">
              <w:rPr>
                <w:color w:val="000000"/>
                <w:sz w:val="24"/>
              </w:rPr>
              <w:t/>
            </w:r>
            <w:r w:rsidRPr="005B1E0B">
              <w:rPr>
                <w:sz w:val="24"/>
              </w:rPr>
              <w:t/>
            </w:r>
            <w:proofErr w:type="spellEnd"/>
            <w:r w:rsidRPr="005B1E0B">
              <w:rPr>
                <w:sz w:val="24"/>
              </w:rPr>
              <w:t>28,991,404.00</w:t>
            </w:r>
          </w:p>
        </w:tc>
      </w:tr>
    </w:tbl>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注：拆分变动份额包括三类份额之间的配对转换份额及折算调整份额。</w:t>
      </w:r>
    </w:p>
    <w:p w:rsidP="005C6DF3" w:rsidR="001C36D8" w:rsidRDefault="001C36D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olor w:val="000000"/>
          <w:kern w:val="0"/>
          <w:sz w:val="24"/>
          <w:szCs w:val="24"/>
        </w:rPr>
        <w:t/>
      </w:r>
      <w:proofErr w:type="spellStart"/>
      <w:r>
        <w:rPr>
          <w:rFonts w:ascii="宋体" w:hAnsi="宋体"/>
          <w:color w:val="000000"/>
          <w:kern w:val="0"/>
          <w:sz w:val="24"/>
          <w:szCs w:val="24"/>
        </w:rPr>
        <w:t/>
      </w:r>
      <w:proofErr w:type="spellEnd"/>
      <w:r>
        <w:rPr>
          <w:rFonts w:ascii="宋体" w:hAnsi="宋体"/>
          <w:color w:val="000000"/>
          <w:kern w:val="0"/>
          <w:sz w:val="24"/>
          <w:szCs w:val="24"/>
        </w:rPr>
        <w:t/>
      </w: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5B1E0B" w:rsidR="001C36D8" w:rsidRDefault="00BF63AF" w:rsidRPr="005B1E0B">
      <w:pPr>
        <w:spacing w:line="360" w:lineRule="auto"/>
        <w:ind w:firstLine="480" w:firstLineChars="200"/>
        <w:rPr>
          <w:color w:val="000000"/>
          <w:sz w:val="24"/>
        </w:rPr>
      </w:pPr>
      <w:r w:rsidRPr="00510DAB">
        <w:rPr>
          <w:color w:val="000000"/>
          <w:sz w:val="24"/>
        </w:rPr>
        <w:t/>
      </w:r>
      <w:proofErr w:type="spellStart"/>
      <w:r w:rsidRPr="00510DAB">
        <w:rPr>
          <w:color w:val="000000"/>
          <w:sz w:val="24"/>
        </w:rPr>
        <w:t/>
      </w:r>
      <w:proofErr w:type="spellEnd"/>
      <w:r w:rsidRPr="00510DAB">
        <w:rPr>
          <w:color w:val="000000"/>
          <w:sz w:val="24"/>
        </w:rPr>
        <w:t>本报告期内基金管理人未持有本基金份额。</w:t>
      </w:r>
    </w:p>
    <w:p w:rsidP="003D4E5A" w:rsidR="001C36D8" w:rsidRDefault="001C36D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3D22BD"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
      </w:r>
      <w:proofErr w:type="spellStart"/>
      <w:r w:rsidRPr="003D22BD">
        <w:rPr>
          <w:color w:val="000000"/>
          <w:sz w:val="24"/>
        </w:rPr>
        <w:t/>
      </w:r>
      <w:proofErr w:type="spellEnd"/>
      <w:r w:rsidRPr="003D22BD">
        <w:rPr>
          <w:color w:val="000000"/>
          <w:sz w:val="24"/>
        </w:rPr>
        <w:t>本报告期内基金管理人未运用固有资金申购、赎回、买卖本基金份额。</w:t>
      </w:r>
    </w:p>
    <w:p w:rsidP="00A12EEF" w:rsidR="00A12EEF" w:rsidRDefault="00A12EEF" w:rsidRPr="005D2CC7">
      <w:pPr>
        <w:pStyle w:val="1"/>
        <w:spacing w:after="312" w:afterLines="100" w:before="312" w:beforeLines="100" w:line="360" w:lineRule="auto"/>
        <w:jc w:val="center"/>
        <w:rPr>
          <w:rFonts w:ascii="宋体" w:cs="Arial" w:hAnsi="宋体"/>
          <w:color w:val="000000"/>
          <w:kern w:val="0"/>
          <w:sz w:val="24"/>
          <w:szCs w:val="24"/>
        </w:rPr>
      </w:pPr>
      <w:r w:rsidRPr="005D2CC7">
        <w:rPr>
          <w:rFonts w:ascii="宋体" w:cs="Arial" w:hAnsi="宋体"/>
          <w:color w:val="000000"/>
          <w:kern w:val="0"/>
          <w:sz w:val="24"/>
          <w:szCs w:val="24"/>
        </w:rPr>
        <w:t/>
      </w:r>
      <w:proofErr w:type="spellStart"/>
      <w:r w:rsidRPr="005D2CC7">
        <w:rPr>
          <w:rFonts w:ascii="宋体" w:cs="Arial" w:hAnsi="宋体"/>
          <w:color w:val="000000"/>
          <w:kern w:val="0"/>
          <w:sz w:val="24"/>
          <w:szCs w:val="24"/>
        </w:rPr>
        <w:t/>
      </w:r>
      <w:proofErr w:type="spellEnd"/>
      <w:r w:rsidRPr="005D2CC7">
        <w:rPr>
          <w:rFonts w:ascii="宋体" w:cs="Arial" w:hAnsi="宋体"/>
          <w:color w:val="000000"/>
          <w:kern w:val="0"/>
          <w:sz w:val="24"/>
          <w:szCs w:val="24"/>
        </w:rPr>
        <w:t>§8</w:t>
      </w:r>
      <w:r w:rsidR="005D2CC7" w:rsidRPr="00272E0C">
        <w:rPr>
          <w:rFonts w:ascii="宋体" w:cs="Arial" w:hAnsi="宋体"/>
          <w:color w:val="000000"/>
          <w:kern w:val="0"/>
          <w:sz w:val="24"/>
          <w:szCs w:val="24"/>
        </w:rPr>
        <w:t xml:space="preserve">  </w:t>
      </w:r>
      <w:r w:rsidRPr="005D2CC7">
        <w:rPr>
          <w:rFonts w:ascii="宋体" w:cs="Arial" w:hAnsi="宋体"/>
          <w:color w:val="000000"/>
          <w:kern w:val="0"/>
          <w:sz w:val="24"/>
          <w:szCs w:val="24"/>
        </w:rPr>
        <w:t>影响投资者决策的其他重要信息</w:t>
      </w:r>
    </w:p>
    <w:p w:rsidP="004B7CA0" w:rsidR="004B7CA0" w:rsidRDefault="004B7CA0" w:rsidRPr="00654C5E">
      <w:pPr>
        <w:autoSpaceDE w:val="0"/>
        <w:autoSpaceDN w:val="0"/>
        <w:adjustRightInd w:val="0"/>
        <w:spacing w:line="360" w:lineRule="auto"/>
        <w:jc w:val="left"/>
        <w:rPr>
          <w:rFonts w:ascii="宋体"/>
          <w:b/>
          <w:bCs/>
          <w:color w:val="000000"/>
          <w:kern w:val="0"/>
          <w:sz w:val="24"/>
        </w:rPr>
      </w:pPr>
      <w:r w:rsidRPr="00654C5E">
        <w:rPr>
          <w:rFonts w:ascii="宋体"/>
          <w:b/>
          <w:bCs/>
          <w:color w:val="000000"/>
          <w:kern w:val="0"/>
          <w:sz w:val="24"/>
        </w:rPr>
        <w:t/>
      </w:r>
      <w:proofErr w:type="spellStart"/>
      <w:r w:rsidRPr="00654C5E">
        <w:rPr>
          <w:rFonts w:ascii="宋体"/>
          <w:b/>
          <w:bCs/>
          <w:color w:val="000000"/>
          <w:kern w:val="0"/>
          <w:sz w:val="24"/>
        </w:rPr>
        <w:t/>
      </w:r>
      <w:proofErr w:type="spellEnd"/>
      <w:r w:rsidRPr="00654C5E">
        <w:rPr>
          <w:rFonts w:ascii="宋体"/>
          <w:b/>
          <w:bCs/>
          <w:color w:val="000000"/>
          <w:kern w:val="0"/>
          <w:sz w:val="24"/>
        </w:rPr>
        <w:t>8.1 影响投资者决策的其他重要信息</w:t>
      </w:r>
    </w:p>
    <w:p w:rsidP="004B7CA0" w:rsidR="001C36D8" w:rsidRDefault="004B7CA0" w:rsidRPr="003D22BD">
      <w:pPr>
        <w:spacing w:line="360" w:lineRule="auto"/>
        <w:ind w:firstLine="480" w:firstLineChars="200"/>
        <w:rPr>
          <w:color w:val="000000"/>
          <w:sz w:val="24"/>
        </w:rPr>
      </w:pPr>
      <w:r w:rsidRPr="00FC0759">
        <w:rPr>
          <w:rFonts w:eastAsiaTheme="minorEastAsia"/>
          <w:color w:themeColor="text1" w:val="000000"/>
          <w:sz w:val="24"/>
        </w:rPr>
        <w:t/>
      </w:r>
      <w:proofErr w:type="spellStart"/>
      <w:r w:rsidRPr="00FC0759">
        <w:rPr>
          <w:color w:themeColor="text1" w:val="000000"/>
          <w:sz w:val="24"/>
        </w:rPr>
        <w:t/>
      </w:r>
      <w:proofErr w:type="spellEnd"/>
      <w:r w:rsidRPr="00FC0759">
        <w:rPr>
          <w:rFonts w:eastAsiaTheme="minorEastAsia"/>
          <w:color w:themeColor="text1" w:val="000000"/>
          <w:sz w:val="24"/>
        </w:rPr>
        <w:t>根据《关于规范金融机构资产管理业务的指导意见》（以下简称《资管新规》）要求，公募产品不得进行份额分级，应在《资管新规》规定的过渡期结束前（即2020年12月31日前）进行整改规范，请投资者关注相关风险以及基金管理人届时发布的相关公告。</w:t>
      </w:r>
    </w:p>
    <w:p w:rsidP="005C6DF3" w:rsidR="001C36D8" w:rsidRDefault="001C36D8" w:rsidRPr="00272E0C">
      <w:pPr>
        <w:pStyle w:val="1"/>
        <w:spacing w:after="312" w:afterLines="100" w:before="312" w:beforeLines="100" w:line="360" w:lineRule="auto"/>
        <w:jc w:val="center"/>
        <w:rPr>
          <w:rFonts w:ascii="宋体" w:cs="Arial"/>
          <w:color w:val="000000"/>
          <w:kern w:val="0"/>
          <w:sz w:val="24"/>
          <w:szCs w:val="24"/>
        </w:rPr>
      </w:pPr>
      <w:r w:rsidRPr="00272E0C">
        <w:rPr>
          <w:rFonts w:ascii="宋体" w:cs="Arial" w:hAnsi="宋体" w:hint="eastAsia"/>
          <w:color w:val="000000"/>
          <w:kern w:val="0"/>
          <w:sz w:val="24"/>
          <w:szCs w:val="24"/>
        </w:rPr>
        <w:t>§</w:t>
      </w:r>
      <w:r w:rsidRPr="00272E0C">
        <w:rPr>
          <w:rFonts w:ascii="宋体" w:cs="Arial"/>
          <w:color w:val="000000"/>
          <w:kern w:val="0"/>
          <w:sz w:val="24"/>
          <w:szCs w:val="24"/>
        </w:rPr>
        <w:t/>
      </w:r>
      <w:r w:rsidRPr="00272E0C">
        <w:rPr>
          <w:rFonts w:ascii="宋体" w:cs="Arial" w:hAnsi="宋体"/>
          <w:color w:val="000000"/>
          <w:kern w:val="0"/>
          <w:sz w:val="24"/>
          <w:szCs w:val="24"/>
        </w:rPr>
        <w:t>9</w:t>
      </w:r>
      <w:r w:rsidR="005D2CC7" w:rsidRPr="00272E0C">
        <w:rPr>
          <w:rFonts w:ascii="宋体" w:cs="Arial" w:hAnsi="宋体"/>
          <w:color w:val="000000"/>
          <w:kern w:val="0"/>
          <w:sz w:val="24"/>
          <w:szCs w:val="24"/>
        </w:rPr>
        <w:t xml:space="preserve">  </w:t>
      </w:r>
      <w:r w:rsidRPr="00272E0C">
        <w:rPr>
          <w:rFonts w:ascii="宋体" w:cs="Arial" w:hAnsi="宋体" w:hint="eastAsia"/>
          <w:color w:val="000000"/>
          <w:kern w:val="0"/>
          <w:sz w:val="24"/>
          <w:szCs w:val="24"/>
        </w:rPr>
        <w:t>备查文件目录</w:t>
      </w:r>
    </w:p>
    <w:p w:rsidP="001078B6" w:rsidR="001C36D8" w:rsidRDefault="001C36D8" w:rsidRPr="00CE2DE4">
      <w:pPr>
        <w:spacing w:line="360" w:lineRule="auto"/>
        <w:rPr>
          <w:rFonts w:ascii="宋体"/>
          <w:b/>
          <w:color w:val="000000"/>
          <w:kern w:val="0"/>
          <w:sz w:val="24"/>
        </w:rPr>
      </w:pPr>
      <w:r w:rsidRPr="00CE2DE4">
        <w:rPr>
          <w:rFonts w:ascii="宋体"/>
          <w:b/>
          <w:color w:val="000000"/>
          <w:sz w:val="24"/>
        </w:rPr>
        <w:t/>
      </w:r>
      <w:r w:rsidRPr="00CE2DE4">
        <w:rPr>
          <w:rFonts w:ascii="宋体" w:hAnsi="宋体"/>
          <w:b/>
          <w:color w:val="000000"/>
          <w:sz w:val="24"/>
        </w:rPr>
        <w:t xml:space="preserve">9.1 </w:t>
      </w:r>
      <w:r w:rsidRPr="00CE2DE4">
        <w:rPr>
          <w:rFonts w:ascii="宋体" w:hAnsi="宋体" w:hint="eastAsia"/>
          <w:b/>
          <w:color w:val="000000"/>
          <w:sz w:val="24"/>
        </w:rPr>
        <w:t>备查文件目录</w:t>
      </w:r>
    </w:p>
    <w:p>
      <w:pPr>
        <w:spacing w:line="360" w:lineRule="auto"/>
        <w:ind w:firstLine="480" w:firstLineChars="200"/>
        <w:rPr>
          <w:color w:val="000000"/>
          <w:sz w:val="24"/>
        </w:rPr>
      </w:pPr>
      <w:r>
        <w:rPr>
          <w:color w:val="000000"/>
          <w:sz w:val="24"/>
        </w:rPr>
        <w:t>1.中国证监会准予易方达国企改革指数分级证券投资基金募集注册的文件；</w:t>
      </w:r>
    </w:p>
    <w:p>
      <w:pPr>
        <w:spacing w:line="360" w:lineRule="auto"/>
        <w:ind w:firstLine="480" w:firstLineChars="200"/>
        <w:rPr>
          <w:color w:val="000000"/>
          <w:sz w:val="24"/>
        </w:rPr>
      </w:pPr>
      <w:r>
        <w:rPr>
          <w:color w:val="000000"/>
          <w:sz w:val="24"/>
        </w:rPr>
        <w:t>2.《易方达国企改革指数分级证券投资基金基金合同》；</w:t>
      </w:r>
    </w:p>
    <w:p>
      <w:pPr>
        <w:spacing w:line="360" w:lineRule="auto"/>
        <w:ind w:firstLine="480" w:firstLineChars="200"/>
        <w:rPr>
          <w:color w:val="000000"/>
          <w:sz w:val="24"/>
        </w:rPr>
      </w:pPr>
      <w:r>
        <w:rPr>
          <w:color w:val="000000"/>
          <w:sz w:val="24"/>
        </w:rPr>
        <w:t>3.《易方达国企改革指数分级证券投资基金托管协议》；</w:t>
      </w:r>
    </w:p>
    <w:p w:rsidP="00E43B0B" w:rsidR="001C36D8" w:rsidRDefault="001C36D8" w:rsidRPr="00E43B0B">
      <w:pPr>
        <w:spacing w:line="360" w:lineRule="auto"/>
        <w:ind w:firstLine="480" w:firstLineChars="200"/>
        <w:rPr>
          <w:color w:val="000000"/>
          <w:sz w:val="24"/>
        </w:rPr>
      </w:pPr>
      <w:r w:rsidRPr="003D22BD">
        <w:rPr>
          <w:color w:val="000000"/>
          <w:sz w:val="24"/>
        </w:rPr>
        <w:lastRenderedPageBreak/>
        <w:t/>
      </w:r>
      <w:proofErr w:type="spellStart"/>
      <w:r w:rsidRPr="003D22BD">
        <w:rPr>
          <w:color w:val="000000"/>
          <w:sz w:val="24"/>
        </w:rPr>
        <w:t/>
      </w:r>
      <w:proofErr w:type="spellEnd"/>
      <w:r w:rsidRPr="003D22BD">
        <w:rPr>
          <w:color w:val="000000"/>
          <w:sz w:val="24"/>
        </w:rPr>
        <w:t>4.基金管理人业务资格批件和营业执照。</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9.2 </w:t>
      </w:r>
      <w:r w:rsidRPr="00CE2DE4">
        <w:rPr>
          <w:rFonts w:ascii="宋体" w:hAnsi="宋体" w:hint="eastAsia"/>
          <w:b/>
          <w:color w:val="000000"/>
          <w:sz w:val="24"/>
        </w:rPr>
        <w:t>存放地点</w:t>
      </w:r>
    </w:p>
    <w:p w:rsidP="00E43B0B" w:rsidR="001C36D8" w:rsidRDefault="001C36D8" w:rsidRPr="00E43B0B">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广州市天河区珠江新城珠江东路30号广州银行大厦40-43楼。</w:t>
      </w:r>
    </w:p>
    <w:p w:rsidP="001078B6" w:rsidR="001C36D8" w:rsidRDefault="001C36D8" w:rsidRPr="00CE2DE4">
      <w:pPr>
        <w:spacing w:line="360" w:lineRule="auto"/>
        <w:rPr>
          <w:rFonts w:ascii="宋体"/>
          <w:b/>
          <w:color w:val="000000"/>
          <w:sz w:val="24"/>
        </w:rPr>
      </w:pPr>
      <w:r w:rsidRPr="00CE2DE4">
        <w:rPr>
          <w:rFonts w:ascii="宋体"/>
          <w:b/>
          <w:color w:val="000000"/>
          <w:sz w:val="24"/>
        </w:rPr>
        <w:t/>
      </w:r>
      <w:r w:rsidRPr="00CE2DE4">
        <w:rPr>
          <w:rFonts w:ascii="宋体" w:hAnsi="宋体"/>
          <w:b/>
          <w:color w:val="000000"/>
          <w:sz w:val="24"/>
        </w:rPr>
        <w:t xml:space="preserve">9.3 </w:t>
      </w:r>
      <w:r w:rsidRPr="00CE2DE4">
        <w:rPr>
          <w:rFonts w:ascii="宋体" w:hAnsi="宋体" w:hint="eastAsia"/>
          <w:b/>
          <w:color w:val="000000"/>
          <w:sz w:val="24"/>
        </w:rPr>
        <w:t>查阅方式</w:t>
      </w:r>
    </w:p>
    <w:p w:rsidP="0015779C" w:rsidR="001C36D8" w:rsidRDefault="001C36D8" w:rsidRPr="003D22BD">
      <w:pPr>
        <w:spacing w:line="360" w:lineRule="auto"/>
        <w:ind w:firstLine="480" w:firstLineChars="200"/>
        <w:rPr>
          <w:color w:val="000000"/>
          <w:sz w:val="24"/>
        </w:rPr>
      </w:pPr>
      <w:r w:rsidRPr="003D22BD">
        <w:rPr>
          <w:color w:val="000000"/>
          <w:sz w:val="24"/>
        </w:rPr>
        <w:t/>
      </w:r>
      <w:proofErr w:type="spellStart"/>
      <w:r w:rsidRPr="003D22BD">
        <w:rPr>
          <w:color w:val="000000"/>
          <w:sz w:val="24"/>
        </w:rPr>
        <w:t/>
      </w:r>
      <w:proofErr w:type="spellEnd"/>
      <w:r w:rsidRPr="003D22BD">
        <w:rPr>
          <w:color w:val="000000"/>
          <w:sz w:val="24"/>
        </w:rPr>
        <w:t>投资者可在营业时间免费查阅，也可按工本费购买复印件。</w:t>
      </w:r>
    </w:p>
    <w:p w:rsidP="0019563C" w:rsidR="001C36D8" w:rsidRDefault="001C36D8" w:rsidRPr="00272E0C">
      <w:pPr>
        <w:spacing w:line="360" w:lineRule="auto"/>
        <w:ind w:left="840"/>
        <w:jc w:val="right"/>
        <w:rPr>
          <w:rFonts w:ascii="宋体"/>
          <w:color w:val="000000"/>
          <w:sz w:val="24"/>
        </w:rPr>
      </w:pPr>
      <w:r w:rsidRPr="00272E0C">
        <w:rPr>
          <w:rFonts w:ascii="宋体"/>
          <w:color w:val="000000"/>
          <w:sz w:val="24"/>
        </w:rPr>
        <w:tab/>
      </w: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9563C" w:rsidR="001C36D8" w:rsidRDefault="001C36D8" w:rsidRPr="00272E0C">
      <w:pPr>
        <w:spacing w:line="360" w:lineRule="auto"/>
        <w:ind w:left="840"/>
        <w:jc w:val="right"/>
        <w:rPr>
          <w:rFonts w:ascii="宋体"/>
          <w:color w:val="000000"/>
          <w:sz w:val="24"/>
        </w:rPr>
      </w:pPr>
    </w:p>
    <w:p w:rsidP="001078B6" w:rsidR="001C36D8" w:rsidRDefault="001C36D8" w:rsidRPr="00272E0C">
      <w:pPr>
        <w:spacing w:line="360" w:lineRule="auto"/>
        <w:jc w:val="right"/>
        <w:rPr>
          <w:rFonts w:ascii="宋体" w:hAnsi="宋体"/>
          <w:b/>
          <w:bCs/>
          <w:sz w:val="24"/>
        </w:rPr>
      </w:pPr>
      <w:r w:rsidRPr="00272E0C">
        <w:rPr>
          <w:rFonts w:ascii="宋体"/>
          <w:b/>
          <w:bCs/>
          <w:sz w:val="24"/>
        </w:rPr>
        <w:t/>
      </w:r>
      <w:proofErr w:type="spellStart"/>
      <w:r w:rsidRPr="00272E0C">
        <w:rPr>
          <w:rFonts w:ascii="宋体" w:hAnsi="宋体"/>
          <w:b/>
          <w:bCs/>
          <w:sz w:val="24"/>
        </w:rPr>
        <w:t/>
      </w:r>
      <w:proofErr w:type="spellEnd"/>
      <w:r w:rsidRPr="00272E0C">
        <w:rPr>
          <w:rFonts w:ascii="宋体" w:hAnsi="宋体"/>
          <w:b/>
          <w:bCs/>
          <w:sz w:val="24"/>
        </w:rPr>
        <w:t>易方达基金管理有限公司</w:t>
      </w:r>
    </w:p>
    <w:p w:rsidP="008C2A97" w:rsidR="001C36D8" w:rsidRDefault="001C36D8" w:rsidRPr="008C2A97">
      <w:pPr>
        <w:spacing w:line="360" w:lineRule="auto"/>
        <w:jc w:val="right"/>
        <w:rPr>
          <w:rFonts w:ascii="宋体" w:hAnsi="宋体"/>
          <w:b/>
          <w:bCs/>
          <w:sz w:val="24"/>
        </w:rPr>
      </w:pPr>
      <w:r w:rsidRPr="00272E0C">
        <w:rPr>
          <w:rFonts w:ascii="宋体" w:hAnsi="宋体"/>
          <w:b/>
          <w:bCs/>
          <w:sz w:val="24"/>
        </w:rPr>
        <w:t/>
      </w:r>
      <w:proofErr w:type="spellStart"/>
      <w:r w:rsidRPr="00272E0C">
        <w:rPr>
          <w:rFonts w:ascii="宋体" w:hAnsi="宋体"/>
          <w:b/>
          <w:bCs/>
          <w:sz w:val="24"/>
        </w:rPr>
        <w:t/>
      </w:r>
      <w:proofErr w:type="spellEnd"/>
      <w:r w:rsidRPr="00272E0C">
        <w:rPr>
          <w:rFonts w:ascii="宋体" w:hAnsi="宋体"/>
          <w:b/>
          <w:bCs/>
          <w:sz w:val="24"/>
        </w:rPr>
        <w:t>二〇二〇年七月二十一日</w:t>
      </w:r>
    </w:p>
    <w:sectPr w:rsidR="001C36D8" w:rsidRPr="008C2A97" w:rsidSect="00DB4450">
      <w:footerReference r:id="rId11" w:type="even"/>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E0" w:rsidRDefault="001C19E0">
      <w:r>
        <w:separator/>
      </w:r>
    </w:p>
  </w:endnote>
  <w:endnote w:type="continuationSeparator" w:id="0">
    <w:p w:rsidR="001C19E0" w:rsidRDefault="001C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TSong-Light">
    <w:altName w:val="Times New Roman"/>
    <w:panose1 w:val="00000000000000000000"/>
    <w:charset w:val="00"/>
    <w:family w:val="roman"/>
    <w:notTrueType/>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230A66" w:rsidR="00E43B0B" w:rsidRDefault="00E43B0B" w:rsidRPr="001D0DB0">
    <w:pPr>
      <w:pStyle w:val="a6"/>
      <w:jc w:val="center"/>
    </w:pPr>
    <w:r>
      <w:rPr>
        <w:rFonts w:hint="eastAsia"/>
        <w:kern w:val="0"/>
        <w:szCs w:val="21"/>
      </w:rPr>
      <w:t>第</w:t>
    </w:r>
    <w:r w:rsidR="0015021E">
      <w:rPr>
        <w:kern w:val="0"/>
        <w:szCs w:val="21"/>
      </w:rPr>
      <w:fldChar w:fldCharType="begin"/>
    </w:r>
    <w:r>
      <w:rPr>
        <w:kern w:val="0"/>
        <w:szCs w:val="21"/>
      </w:rPr>
      <w:instrText xml:space="preserve"> PAGE </w:instrText>
    </w:r>
    <w:r w:rsidR="0015021E">
      <w:rPr>
        <w:kern w:val="0"/>
        <w:szCs w:val="21"/>
      </w:rPr>
      <w:fldChar w:fldCharType="separate"/>
    </w:r>
    <w:r w:rsidR="00FE4BF2">
      <w:rPr>
        <w:noProof/>
        <w:kern w:val="0"/>
        <w:szCs w:val="21"/>
      </w:rPr>
      <w:t>1</w:t>
    </w:r>
    <w:r w:rsidR="0015021E">
      <w:rPr>
        <w:kern w:val="0"/>
        <w:szCs w:val="21"/>
      </w:rPr>
      <w:fldChar w:fldCharType="end"/>
    </w:r>
    <w:proofErr w:type="gramStart"/>
    <w:r>
      <w:rPr>
        <w:rFonts w:hint="eastAsia"/>
        <w:kern w:val="0"/>
        <w:szCs w:val="21"/>
      </w:rPr>
      <w:t>页共</w:t>
    </w:r>
    <w:proofErr w:type="gramEnd"/>
    <w:r w:rsidR="0015021E">
      <w:rPr>
        <w:kern w:val="0"/>
        <w:szCs w:val="21"/>
      </w:rPr>
      <w:fldChar w:fldCharType="begin"/>
    </w:r>
    <w:r>
      <w:rPr>
        <w:kern w:val="0"/>
        <w:szCs w:val="21"/>
      </w:rPr>
      <w:instrText xml:space="preserve"> NUMPAGES </w:instrText>
    </w:r>
    <w:r w:rsidR="0015021E">
      <w:rPr>
        <w:kern w:val="0"/>
        <w:szCs w:val="21"/>
      </w:rPr>
      <w:fldChar w:fldCharType="separate"/>
    </w:r>
    <w:r w:rsidR="00FE4BF2">
      <w:rPr>
        <w:noProof/>
        <w:kern w:val="0"/>
        <w:szCs w:val="21"/>
      </w:rPr>
      <w:t>28</w:t>
    </w:r>
    <w:r w:rsidR="0015021E">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end"/>
    </w:r>
  </w:p>
  <w:p w:rsidR="00E43B0B" w:rsidRDefault="00E43B0B">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E43B0B" w:rsidRDefault="0015021E">
    <w:pPr>
      <w:pStyle w:val="a6"/>
      <w:framePr w:hAnchor="margin" w:vAnchor="text" w:wrap="around" w:xAlign="center" w:y="1"/>
      <w:rPr>
        <w:rStyle w:val="a7"/>
      </w:rPr>
    </w:pPr>
    <w:r>
      <w:rPr>
        <w:rStyle w:val="a7"/>
      </w:rPr>
      <w:fldChar w:fldCharType="begin"/>
    </w:r>
    <w:r w:rsidR="00E43B0B">
      <w:rPr>
        <w:rStyle w:val="a7"/>
      </w:rPr>
      <w:instrText xml:space="preserve">PAGE  </w:instrText>
    </w:r>
    <w:r>
      <w:rPr>
        <w:rStyle w:val="a7"/>
      </w:rPr>
      <w:fldChar w:fldCharType="separate"/>
    </w:r>
    <w:r w:rsidR="00FE4BF2">
      <w:rPr>
        <w:rStyle w:val="a7"/>
        <w:noProof/>
      </w:rPr>
      <w:t>19</w:t>
    </w:r>
    <w:r>
      <w:rPr>
        <w:rStyle w:val="a7"/>
      </w:rPr>
      <w:fldChar w:fldCharType="end"/>
    </w:r>
  </w:p>
  <w:p w:rsidR="00E43B0B" w:rsidRDefault="00E43B0B">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1C19E0" w:rsidRDefault="001C19E0">
      <w:r>
        <w:separator/>
      </w:r>
    </w:p>
  </w:footnote>
  <w:footnote w:id="0" w:type="continuationSeparator">
    <w:p w:rsidR="001C19E0" w:rsidRDefault="001C19E0">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B572A" w:rsidR="00E43B0B" w:rsidRDefault="00E43B0B" w:rsidRPr="00717C29">
    <w:pPr>
      <w:pStyle w:val="a9"/>
      <w:pBdr>
        <w:bottom w:color="auto" w:space="0" w:sz="6" w:val="single"/>
      </w:pBdr>
      <w:jc w:val="right"/>
      <w:rPr>
        <w:sz w:val="15"/>
      </w:rPr>
    </w:pPr>
    <w:r w:rsidRPr="00717C29">
      <w:rPr>
        <w:szCs w:val="21"/>
      </w:rPr>
      <w:t/>
    </w:r>
    <w:proofErr w:type="spellStart"/>
    <w:proofErr w:type="gramStart"/>
    <w:r w:rsidRPr="00717C29">
      <w:rPr>
        <w:szCs w:val="21"/>
      </w:rPr>
      <w:t/>
    </w:r>
    <w:proofErr w:type="spellEnd"/>
    <w:proofErr w:type="gramEnd"/>
    <w:r w:rsidRPr="00717C29">
      <w:rPr>
        <w:szCs w:val="21"/>
      </w:rPr>
      <w:t>易方达国企改革指数分级证券投资基金</w:t>
    </w:r>
    <w:proofErr w:type="spellStart"/>
    <w:r w:rsidRPr="00717C29">
      <w:rPr>
        <w:szCs w:val="21"/>
      </w:rPr>
      <w:t/>
    </w:r>
    <w:proofErr w:type="spellEnd"/>
    <w:r w:rsidRPr="00717C29">
      <w:rPr>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116E"/>
    <w:rsid w:val="0000403B"/>
    <w:rsid w:val="00005911"/>
    <w:rsid w:val="0000595B"/>
    <w:rsid w:val="00010A83"/>
    <w:rsid w:val="00010A8E"/>
    <w:rsid w:val="00010AC3"/>
    <w:rsid w:val="000118A9"/>
    <w:rsid w:val="00011EB5"/>
    <w:rsid w:val="0001280C"/>
    <w:rsid w:val="00013023"/>
    <w:rsid w:val="000148F1"/>
    <w:rsid w:val="0001536C"/>
    <w:rsid w:val="00017581"/>
    <w:rsid w:val="00020149"/>
    <w:rsid w:val="00020583"/>
    <w:rsid w:val="00021DD4"/>
    <w:rsid w:val="00023BE7"/>
    <w:rsid w:val="00026AAE"/>
    <w:rsid w:val="00037FCF"/>
    <w:rsid w:val="000421B8"/>
    <w:rsid w:val="00043ABF"/>
    <w:rsid w:val="00044045"/>
    <w:rsid w:val="000445E4"/>
    <w:rsid w:val="00046906"/>
    <w:rsid w:val="000510AB"/>
    <w:rsid w:val="00055190"/>
    <w:rsid w:val="00055AF1"/>
    <w:rsid w:val="00056A75"/>
    <w:rsid w:val="00057DD3"/>
    <w:rsid w:val="000625A6"/>
    <w:rsid w:val="000627CD"/>
    <w:rsid w:val="00062BCE"/>
    <w:rsid w:val="00064AE3"/>
    <w:rsid w:val="00066524"/>
    <w:rsid w:val="00070CD1"/>
    <w:rsid w:val="0007171B"/>
    <w:rsid w:val="00074E9F"/>
    <w:rsid w:val="00081D05"/>
    <w:rsid w:val="0008378B"/>
    <w:rsid w:val="00085449"/>
    <w:rsid w:val="00087CF7"/>
    <w:rsid w:val="00090B0F"/>
    <w:rsid w:val="00090D91"/>
    <w:rsid w:val="00091214"/>
    <w:rsid w:val="00094876"/>
    <w:rsid w:val="00095912"/>
    <w:rsid w:val="00095CE0"/>
    <w:rsid w:val="00096933"/>
    <w:rsid w:val="00097230"/>
    <w:rsid w:val="0009778D"/>
    <w:rsid w:val="000A457E"/>
    <w:rsid w:val="000A53FD"/>
    <w:rsid w:val="000A549A"/>
    <w:rsid w:val="000A72F2"/>
    <w:rsid w:val="000B0C56"/>
    <w:rsid w:val="000B3E43"/>
    <w:rsid w:val="000B5974"/>
    <w:rsid w:val="000B5CC0"/>
    <w:rsid w:val="000C1038"/>
    <w:rsid w:val="000C1723"/>
    <w:rsid w:val="000C1B20"/>
    <w:rsid w:val="000C4107"/>
    <w:rsid w:val="000C44BD"/>
    <w:rsid w:val="000C45E7"/>
    <w:rsid w:val="000C57A8"/>
    <w:rsid w:val="000D0149"/>
    <w:rsid w:val="000D01F4"/>
    <w:rsid w:val="000D0D4E"/>
    <w:rsid w:val="000D1519"/>
    <w:rsid w:val="000E1618"/>
    <w:rsid w:val="000E4456"/>
    <w:rsid w:val="000F175F"/>
    <w:rsid w:val="000F17D1"/>
    <w:rsid w:val="000F2837"/>
    <w:rsid w:val="000F399F"/>
    <w:rsid w:val="000F60FF"/>
    <w:rsid w:val="000F635F"/>
    <w:rsid w:val="000F6C61"/>
    <w:rsid w:val="001008A1"/>
    <w:rsid w:val="00100C12"/>
    <w:rsid w:val="00102E56"/>
    <w:rsid w:val="001049B6"/>
    <w:rsid w:val="001051C6"/>
    <w:rsid w:val="001078B6"/>
    <w:rsid w:val="0011177A"/>
    <w:rsid w:val="00111D44"/>
    <w:rsid w:val="00116E31"/>
    <w:rsid w:val="00120BED"/>
    <w:rsid w:val="0012304E"/>
    <w:rsid w:val="001248EF"/>
    <w:rsid w:val="001257C7"/>
    <w:rsid w:val="00126DDF"/>
    <w:rsid w:val="001270BF"/>
    <w:rsid w:val="00127BAC"/>
    <w:rsid w:val="00134868"/>
    <w:rsid w:val="001366D4"/>
    <w:rsid w:val="00140FF8"/>
    <w:rsid w:val="00142A56"/>
    <w:rsid w:val="00144DF5"/>
    <w:rsid w:val="00145A97"/>
    <w:rsid w:val="00146485"/>
    <w:rsid w:val="00147338"/>
    <w:rsid w:val="0015021E"/>
    <w:rsid w:val="001506B4"/>
    <w:rsid w:val="00150A6E"/>
    <w:rsid w:val="00150AD6"/>
    <w:rsid w:val="00153B40"/>
    <w:rsid w:val="00154ADA"/>
    <w:rsid w:val="0015531A"/>
    <w:rsid w:val="00155953"/>
    <w:rsid w:val="0015779C"/>
    <w:rsid w:val="001600E8"/>
    <w:rsid w:val="00163B27"/>
    <w:rsid w:val="00165317"/>
    <w:rsid w:val="00170F80"/>
    <w:rsid w:val="00171BAD"/>
    <w:rsid w:val="001744B4"/>
    <w:rsid w:val="001756A1"/>
    <w:rsid w:val="001761EE"/>
    <w:rsid w:val="0017638D"/>
    <w:rsid w:val="00176EAA"/>
    <w:rsid w:val="0017725A"/>
    <w:rsid w:val="00177C4B"/>
    <w:rsid w:val="0018325A"/>
    <w:rsid w:val="00183C9E"/>
    <w:rsid w:val="00184556"/>
    <w:rsid w:val="00185D2B"/>
    <w:rsid w:val="00186199"/>
    <w:rsid w:val="001878B0"/>
    <w:rsid w:val="001928F7"/>
    <w:rsid w:val="00193F07"/>
    <w:rsid w:val="00194537"/>
    <w:rsid w:val="0019563C"/>
    <w:rsid w:val="001A09F9"/>
    <w:rsid w:val="001A14DB"/>
    <w:rsid w:val="001A21A9"/>
    <w:rsid w:val="001A363B"/>
    <w:rsid w:val="001A59D8"/>
    <w:rsid w:val="001A5FA6"/>
    <w:rsid w:val="001B0A62"/>
    <w:rsid w:val="001B2F0C"/>
    <w:rsid w:val="001B64E7"/>
    <w:rsid w:val="001C123E"/>
    <w:rsid w:val="001C19E0"/>
    <w:rsid w:val="001C36D8"/>
    <w:rsid w:val="001C37F6"/>
    <w:rsid w:val="001C4BEC"/>
    <w:rsid w:val="001C6288"/>
    <w:rsid w:val="001C7DE9"/>
    <w:rsid w:val="001D0DB0"/>
    <w:rsid w:val="001D0F6A"/>
    <w:rsid w:val="001D21BC"/>
    <w:rsid w:val="001D2FA5"/>
    <w:rsid w:val="001D35E0"/>
    <w:rsid w:val="001D5045"/>
    <w:rsid w:val="001D5387"/>
    <w:rsid w:val="001D5A44"/>
    <w:rsid w:val="001D63BB"/>
    <w:rsid w:val="001D724B"/>
    <w:rsid w:val="001E11D3"/>
    <w:rsid w:val="001E2A6A"/>
    <w:rsid w:val="001E3DC2"/>
    <w:rsid w:val="001E56FF"/>
    <w:rsid w:val="001E5C6B"/>
    <w:rsid w:val="001E6E4D"/>
    <w:rsid w:val="001F03E1"/>
    <w:rsid w:val="001F0DE2"/>
    <w:rsid w:val="001F218E"/>
    <w:rsid w:val="001F3CC6"/>
    <w:rsid w:val="001F40BA"/>
    <w:rsid w:val="001F4530"/>
    <w:rsid w:val="002010DE"/>
    <w:rsid w:val="00202968"/>
    <w:rsid w:val="00202A66"/>
    <w:rsid w:val="00202C32"/>
    <w:rsid w:val="00203AEF"/>
    <w:rsid w:val="00210344"/>
    <w:rsid w:val="00211A26"/>
    <w:rsid w:val="002125F7"/>
    <w:rsid w:val="00213171"/>
    <w:rsid w:val="00213917"/>
    <w:rsid w:val="00214463"/>
    <w:rsid w:val="00214756"/>
    <w:rsid w:val="00215CF2"/>
    <w:rsid w:val="00215E33"/>
    <w:rsid w:val="00216232"/>
    <w:rsid w:val="00220542"/>
    <w:rsid w:val="00220684"/>
    <w:rsid w:val="00221174"/>
    <w:rsid w:val="00225ADC"/>
    <w:rsid w:val="00230732"/>
    <w:rsid w:val="00230A66"/>
    <w:rsid w:val="00230EC2"/>
    <w:rsid w:val="002359EB"/>
    <w:rsid w:val="002363AB"/>
    <w:rsid w:val="00237FA3"/>
    <w:rsid w:val="0024172D"/>
    <w:rsid w:val="00241B12"/>
    <w:rsid w:val="0024260D"/>
    <w:rsid w:val="00243E40"/>
    <w:rsid w:val="00245012"/>
    <w:rsid w:val="0024504E"/>
    <w:rsid w:val="0024651F"/>
    <w:rsid w:val="002470BA"/>
    <w:rsid w:val="00250BE3"/>
    <w:rsid w:val="00251290"/>
    <w:rsid w:val="0025158D"/>
    <w:rsid w:val="00251D17"/>
    <w:rsid w:val="00251F3A"/>
    <w:rsid w:val="0025281A"/>
    <w:rsid w:val="00253D3C"/>
    <w:rsid w:val="0025435F"/>
    <w:rsid w:val="00255292"/>
    <w:rsid w:val="00260200"/>
    <w:rsid w:val="00263563"/>
    <w:rsid w:val="002648D8"/>
    <w:rsid w:val="00264E55"/>
    <w:rsid w:val="00270548"/>
    <w:rsid w:val="00272E0C"/>
    <w:rsid w:val="00273F86"/>
    <w:rsid w:val="002752B0"/>
    <w:rsid w:val="002774F0"/>
    <w:rsid w:val="0028459B"/>
    <w:rsid w:val="00284C5F"/>
    <w:rsid w:val="002873F0"/>
    <w:rsid w:val="00291A74"/>
    <w:rsid w:val="00292198"/>
    <w:rsid w:val="002964F9"/>
    <w:rsid w:val="00297EF3"/>
    <w:rsid w:val="002A1F14"/>
    <w:rsid w:val="002A2678"/>
    <w:rsid w:val="002A2E01"/>
    <w:rsid w:val="002A398F"/>
    <w:rsid w:val="002A44F9"/>
    <w:rsid w:val="002A5C6B"/>
    <w:rsid w:val="002A5D31"/>
    <w:rsid w:val="002A714F"/>
    <w:rsid w:val="002A74FB"/>
    <w:rsid w:val="002B1851"/>
    <w:rsid w:val="002B27FF"/>
    <w:rsid w:val="002B4429"/>
    <w:rsid w:val="002B6793"/>
    <w:rsid w:val="002C1726"/>
    <w:rsid w:val="002C1DF3"/>
    <w:rsid w:val="002C21A6"/>
    <w:rsid w:val="002C26D5"/>
    <w:rsid w:val="002C2DE0"/>
    <w:rsid w:val="002C5777"/>
    <w:rsid w:val="002C7FC3"/>
    <w:rsid w:val="002D1791"/>
    <w:rsid w:val="002D32E3"/>
    <w:rsid w:val="002D55E7"/>
    <w:rsid w:val="002E0FEB"/>
    <w:rsid w:val="002E1EBA"/>
    <w:rsid w:val="002F0F79"/>
    <w:rsid w:val="002F280E"/>
    <w:rsid w:val="002F3709"/>
    <w:rsid w:val="002F3A6C"/>
    <w:rsid w:val="002F3E9C"/>
    <w:rsid w:val="002F4296"/>
    <w:rsid w:val="00300951"/>
    <w:rsid w:val="003023C9"/>
    <w:rsid w:val="00302CA8"/>
    <w:rsid w:val="00302DE9"/>
    <w:rsid w:val="003041B1"/>
    <w:rsid w:val="00305084"/>
    <w:rsid w:val="003168E2"/>
    <w:rsid w:val="003204E9"/>
    <w:rsid w:val="00320DDA"/>
    <w:rsid w:val="00321E8C"/>
    <w:rsid w:val="00322A65"/>
    <w:rsid w:val="00322A86"/>
    <w:rsid w:val="00323AE8"/>
    <w:rsid w:val="00324548"/>
    <w:rsid w:val="003251F4"/>
    <w:rsid w:val="003303E3"/>
    <w:rsid w:val="00331FA4"/>
    <w:rsid w:val="003329EA"/>
    <w:rsid w:val="00332FDE"/>
    <w:rsid w:val="003407A5"/>
    <w:rsid w:val="00341188"/>
    <w:rsid w:val="0034147B"/>
    <w:rsid w:val="0034432A"/>
    <w:rsid w:val="00350238"/>
    <w:rsid w:val="0035109C"/>
    <w:rsid w:val="00351F0A"/>
    <w:rsid w:val="0035432B"/>
    <w:rsid w:val="00357EB5"/>
    <w:rsid w:val="00361E7E"/>
    <w:rsid w:val="003669EF"/>
    <w:rsid w:val="00370AA4"/>
    <w:rsid w:val="00371FF4"/>
    <w:rsid w:val="00373015"/>
    <w:rsid w:val="00375D24"/>
    <w:rsid w:val="00377520"/>
    <w:rsid w:val="00380D36"/>
    <w:rsid w:val="003822D3"/>
    <w:rsid w:val="0038409E"/>
    <w:rsid w:val="00384BC3"/>
    <w:rsid w:val="00386630"/>
    <w:rsid w:val="00390522"/>
    <w:rsid w:val="00390B25"/>
    <w:rsid w:val="00390C86"/>
    <w:rsid w:val="00397156"/>
    <w:rsid w:val="00397960"/>
    <w:rsid w:val="003A20AA"/>
    <w:rsid w:val="003A3BC4"/>
    <w:rsid w:val="003A458A"/>
    <w:rsid w:val="003A4DA3"/>
    <w:rsid w:val="003A768B"/>
    <w:rsid w:val="003B07C8"/>
    <w:rsid w:val="003B2082"/>
    <w:rsid w:val="003B2F13"/>
    <w:rsid w:val="003B3D0C"/>
    <w:rsid w:val="003B405E"/>
    <w:rsid w:val="003B57D3"/>
    <w:rsid w:val="003C1F58"/>
    <w:rsid w:val="003C792F"/>
    <w:rsid w:val="003D124B"/>
    <w:rsid w:val="003D18F3"/>
    <w:rsid w:val="003D22BD"/>
    <w:rsid w:val="003D4E5A"/>
    <w:rsid w:val="003D5951"/>
    <w:rsid w:val="003D74F2"/>
    <w:rsid w:val="003D78B5"/>
    <w:rsid w:val="003E1062"/>
    <w:rsid w:val="003E244F"/>
    <w:rsid w:val="003E3AE8"/>
    <w:rsid w:val="003E62A6"/>
    <w:rsid w:val="003E695F"/>
    <w:rsid w:val="003E6C9B"/>
    <w:rsid w:val="003E709C"/>
    <w:rsid w:val="003E7B89"/>
    <w:rsid w:val="003F20D3"/>
    <w:rsid w:val="003F4241"/>
    <w:rsid w:val="003F7C45"/>
    <w:rsid w:val="0040132C"/>
    <w:rsid w:val="00405085"/>
    <w:rsid w:val="004066FC"/>
    <w:rsid w:val="00407C10"/>
    <w:rsid w:val="004113B4"/>
    <w:rsid w:val="00414827"/>
    <w:rsid w:val="00416C10"/>
    <w:rsid w:val="004217C8"/>
    <w:rsid w:val="0042180E"/>
    <w:rsid w:val="004222C8"/>
    <w:rsid w:val="0042253F"/>
    <w:rsid w:val="00424726"/>
    <w:rsid w:val="00424EF3"/>
    <w:rsid w:val="004268BB"/>
    <w:rsid w:val="00431047"/>
    <w:rsid w:val="004318F0"/>
    <w:rsid w:val="00431B86"/>
    <w:rsid w:val="00431BC5"/>
    <w:rsid w:val="004344A5"/>
    <w:rsid w:val="004408EC"/>
    <w:rsid w:val="00441B38"/>
    <w:rsid w:val="00441D14"/>
    <w:rsid w:val="00441E6A"/>
    <w:rsid w:val="004432B9"/>
    <w:rsid w:val="00443C8F"/>
    <w:rsid w:val="00452481"/>
    <w:rsid w:val="00453E40"/>
    <w:rsid w:val="004542DD"/>
    <w:rsid w:val="00456CE0"/>
    <w:rsid w:val="004575E9"/>
    <w:rsid w:val="00457804"/>
    <w:rsid w:val="004646BF"/>
    <w:rsid w:val="00464744"/>
    <w:rsid w:val="00465C86"/>
    <w:rsid w:val="004665E3"/>
    <w:rsid w:val="004731F1"/>
    <w:rsid w:val="0047652F"/>
    <w:rsid w:val="00480BC8"/>
    <w:rsid w:val="00481265"/>
    <w:rsid w:val="004814BF"/>
    <w:rsid w:val="004828AE"/>
    <w:rsid w:val="0048587E"/>
    <w:rsid w:val="00487C2B"/>
    <w:rsid w:val="0049168F"/>
    <w:rsid w:val="00491ABD"/>
    <w:rsid w:val="0049297D"/>
    <w:rsid w:val="004929F2"/>
    <w:rsid w:val="00495A03"/>
    <w:rsid w:val="00497079"/>
    <w:rsid w:val="004A1BBA"/>
    <w:rsid w:val="004A1E8A"/>
    <w:rsid w:val="004A3E3C"/>
    <w:rsid w:val="004A3F71"/>
    <w:rsid w:val="004B0E6D"/>
    <w:rsid w:val="004B16E8"/>
    <w:rsid w:val="004B2326"/>
    <w:rsid w:val="004B4D2D"/>
    <w:rsid w:val="004B6250"/>
    <w:rsid w:val="004B76B1"/>
    <w:rsid w:val="004B7CA0"/>
    <w:rsid w:val="004C0057"/>
    <w:rsid w:val="004C04AE"/>
    <w:rsid w:val="004C0541"/>
    <w:rsid w:val="004C2C46"/>
    <w:rsid w:val="004C6E88"/>
    <w:rsid w:val="004C7235"/>
    <w:rsid w:val="004C7955"/>
    <w:rsid w:val="004D047F"/>
    <w:rsid w:val="004D3D96"/>
    <w:rsid w:val="004D650F"/>
    <w:rsid w:val="004D67E0"/>
    <w:rsid w:val="004E12E1"/>
    <w:rsid w:val="004E2133"/>
    <w:rsid w:val="004E32E2"/>
    <w:rsid w:val="004E5AB9"/>
    <w:rsid w:val="004E60FB"/>
    <w:rsid w:val="004F779C"/>
    <w:rsid w:val="004F7846"/>
    <w:rsid w:val="005000D4"/>
    <w:rsid w:val="005015FA"/>
    <w:rsid w:val="00505411"/>
    <w:rsid w:val="00510CAF"/>
    <w:rsid w:val="00510DAB"/>
    <w:rsid w:val="005128C5"/>
    <w:rsid w:val="00514754"/>
    <w:rsid w:val="0051478B"/>
    <w:rsid w:val="0051566A"/>
    <w:rsid w:val="00515D7B"/>
    <w:rsid w:val="005166E9"/>
    <w:rsid w:val="0052009E"/>
    <w:rsid w:val="0052302C"/>
    <w:rsid w:val="00525E59"/>
    <w:rsid w:val="00530D61"/>
    <w:rsid w:val="005318CC"/>
    <w:rsid w:val="00531D1B"/>
    <w:rsid w:val="005349B1"/>
    <w:rsid w:val="005374BC"/>
    <w:rsid w:val="00537A4E"/>
    <w:rsid w:val="00543188"/>
    <w:rsid w:val="00543367"/>
    <w:rsid w:val="00543BFA"/>
    <w:rsid w:val="00547D9C"/>
    <w:rsid w:val="00547DA1"/>
    <w:rsid w:val="005505E1"/>
    <w:rsid w:val="005541BC"/>
    <w:rsid w:val="0055513C"/>
    <w:rsid w:val="00557A54"/>
    <w:rsid w:val="00560C94"/>
    <w:rsid w:val="0056150F"/>
    <w:rsid w:val="0056291C"/>
    <w:rsid w:val="00565A63"/>
    <w:rsid w:val="00566588"/>
    <w:rsid w:val="0057155E"/>
    <w:rsid w:val="0057275D"/>
    <w:rsid w:val="00576862"/>
    <w:rsid w:val="005800A9"/>
    <w:rsid w:val="00580488"/>
    <w:rsid w:val="0058074D"/>
    <w:rsid w:val="00580FD1"/>
    <w:rsid w:val="00582FAD"/>
    <w:rsid w:val="00583489"/>
    <w:rsid w:val="005840E4"/>
    <w:rsid w:val="00590FE4"/>
    <w:rsid w:val="00591D9C"/>
    <w:rsid w:val="005961D7"/>
    <w:rsid w:val="00597057"/>
    <w:rsid w:val="00597D8B"/>
    <w:rsid w:val="005A1C30"/>
    <w:rsid w:val="005A229D"/>
    <w:rsid w:val="005A3295"/>
    <w:rsid w:val="005A46FF"/>
    <w:rsid w:val="005A5AE2"/>
    <w:rsid w:val="005B011E"/>
    <w:rsid w:val="005B14F0"/>
    <w:rsid w:val="005B1E0B"/>
    <w:rsid w:val="005B2E84"/>
    <w:rsid w:val="005B70C6"/>
    <w:rsid w:val="005B7B0E"/>
    <w:rsid w:val="005C526E"/>
    <w:rsid w:val="005C5409"/>
    <w:rsid w:val="005C69AC"/>
    <w:rsid w:val="005C6DCF"/>
    <w:rsid w:val="005C6DF3"/>
    <w:rsid w:val="005C722E"/>
    <w:rsid w:val="005D01A4"/>
    <w:rsid w:val="005D14DE"/>
    <w:rsid w:val="005D2CC7"/>
    <w:rsid w:val="005D44E4"/>
    <w:rsid w:val="005D45B3"/>
    <w:rsid w:val="005D4CEB"/>
    <w:rsid w:val="005D5F80"/>
    <w:rsid w:val="005E0C14"/>
    <w:rsid w:val="005E1D51"/>
    <w:rsid w:val="005F04E6"/>
    <w:rsid w:val="005F43B9"/>
    <w:rsid w:val="005F68CB"/>
    <w:rsid w:val="005F6A4A"/>
    <w:rsid w:val="006033E3"/>
    <w:rsid w:val="00603663"/>
    <w:rsid w:val="0061321C"/>
    <w:rsid w:val="006159E5"/>
    <w:rsid w:val="00620DB0"/>
    <w:rsid w:val="0062386E"/>
    <w:rsid w:val="00623D9A"/>
    <w:rsid w:val="00623F01"/>
    <w:rsid w:val="006242FB"/>
    <w:rsid w:val="00626E2D"/>
    <w:rsid w:val="00627D94"/>
    <w:rsid w:val="00630B42"/>
    <w:rsid w:val="00631DB3"/>
    <w:rsid w:val="00634900"/>
    <w:rsid w:val="00637BA7"/>
    <w:rsid w:val="00642072"/>
    <w:rsid w:val="006440ED"/>
    <w:rsid w:val="00645293"/>
    <w:rsid w:val="00651B78"/>
    <w:rsid w:val="00652263"/>
    <w:rsid w:val="00652881"/>
    <w:rsid w:val="00653BAC"/>
    <w:rsid w:val="00657CAF"/>
    <w:rsid w:val="00661974"/>
    <w:rsid w:val="00662F58"/>
    <w:rsid w:val="00664551"/>
    <w:rsid w:val="0066704D"/>
    <w:rsid w:val="006676A0"/>
    <w:rsid w:val="006706B6"/>
    <w:rsid w:val="00670857"/>
    <w:rsid w:val="00671124"/>
    <w:rsid w:val="006727B0"/>
    <w:rsid w:val="0067307E"/>
    <w:rsid w:val="006848C1"/>
    <w:rsid w:val="006868CD"/>
    <w:rsid w:val="00686EEA"/>
    <w:rsid w:val="00687AD5"/>
    <w:rsid w:val="00690EC4"/>
    <w:rsid w:val="00691D14"/>
    <w:rsid w:val="00695251"/>
    <w:rsid w:val="00695296"/>
    <w:rsid w:val="00695ADE"/>
    <w:rsid w:val="00695C0D"/>
    <w:rsid w:val="00696356"/>
    <w:rsid w:val="00696DDE"/>
    <w:rsid w:val="006A72C6"/>
    <w:rsid w:val="006B02DA"/>
    <w:rsid w:val="006B0806"/>
    <w:rsid w:val="006B10DA"/>
    <w:rsid w:val="006B2065"/>
    <w:rsid w:val="006B3940"/>
    <w:rsid w:val="006B5B3E"/>
    <w:rsid w:val="006C168D"/>
    <w:rsid w:val="006C4465"/>
    <w:rsid w:val="006C642C"/>
    <w:rsid w:val="006C6FC6"/>
    <w:rsid w:val="006D0E4F"/>
    <w:rsid w:val="006D676F"/>
    <w:rsid w:val="006D7693"/>
    <w:rsid w:val="006E231B"/>
    <w:rsid w:val="006E346E"/>
    <w:rsid w:val="006E34B7"/>
    <w:rsid w:val="006F103E"/>
    <w:rsid w:val="006F4C30"/>
    <w:rsid w:val="006F4CD8"/>
    <w:rsid w:val="006F53D9"/>
    <w:rsid w:val="007004DC"/>
    <w:rsid w:val="00701347"/>
    <w:rsid w:val="007027B6"/>
    <w:rsid w:val="00703E8A"/>
    <w:rsid w:val="00707FB8"/>
    <w:rsid w:val="0071006D"/>
    <w:rsid w:val="00711522"/>
    <w:rsid w:val="007124FE"/>
    <w:rsid w:val="007125A9"/>
    <w:rsid w:val="00713186"/>
    <w:rsid w:val="00713757"/>
    <w:rsid w:val="00716F79"/>
    <w:rsid w:val="00717772"/>
    <w:rsid w:val="00717C29"/>
    <w:rsid w:val="00721AF1"/>
    <w:rsid w:val="0072280F"/>
    <w:rsid w:val="00722B5E"/>
    <w:rsid w:val="0072708F"/>
    <w:rsid w:val="00727C6C"/>
    <w:rsid w:val="0073150B"/>
    <w:rsid w:val="00732D1D"/>
    <w:rsid w:val="00736034"/>
    <w:rsid w:val="0073681C"/>
    <w:rsid w:val="00737AB0"/>
    <w:rsid w:val="00740619"/>
    <w:rsid w:val="007411F1"/>
    <w:rsid w:val="00741EBE"/>
    <w:rsid w:val="00742ADF"/>
    <w:rsid w:val="00745829"/>
    <w:rsid w:val="00746130"/>
    <w:rsid w:val="00746A40"/>
    <w:rsid w:val="007479DC"/>
    <w:rsid w:val="00747ABE"/>
    <w:rsid w:val="00750358"/>
    <w:rsid w:val="00755CDF"/>
    <w:rsid w:val="00757A4C"/>
    <w:rsid w:val="007622F6"/>
    <w:rsid w:val="00764A94"/>
    <w:rsid w:val="007651E5"/>
    <w:rsid w:val="007665BF"/>
    <w:rsid w:val="007670DC"/>
    <w:rsid w:val="00767239"/>
    <w:rsid w:val="0077111A"/>
    <w:rsid w:val="00772272"/>
    <w:rsid w:val="007756ED"/>
    <w:rsid w:val="007870FC"/>
    <w:rsid w:val="0078729B"/>
    <w:rsid w:val="00787CD0"/>
    <w:rsid w:val="00791053"/>
    <w:rsid w:val="00791A3A"/>
    <w:rsid w:val="00794196"/>
    <w:rsid w:val="007941EA"/>
    <w:rsid w:val="007951F3"/>
    <w:rsid w:val="0079671E"/>
    <w:rsid w:val="00797637"/>
    <w:rsid w:val="007A0A57"/>
    <w:rsid w:val="007A3680"/>
    <w:rsid w:val="007A59B8"/>
    <w:rsid w:val="007A6BEA"/>
    <w:rsid w:val="007B2191"/>
    <w:rsid w:val="007B2862"/>
    <w:rsid w:val="007B3C32"/>
    <w:rsid w:val="007B505A"/>
    <w:rsid w:val="007B662A"/>
    <w:rsid w:val="007C2BCC"/>
    <w:rsid w:val="007C7E22"/>
    <w:rsid w:val="007D1C16"/>
    <w:rsid w:val="007D28C9"/>
    <w:rsid w:val="007D3CC8"/>
    <w:rsid w:val="007D62F9"/>
    <w:rsid w:val="007D63A4"/>
    <w:rsid w:val="007E008D"/>
    <w:rsid w:val="007E0F0C"/>
    <w:rsid w:val="007E1AA2"/>
    <w:rsid w:val="007E1AD0"/>
    <w:rsid w:val="007E4C1F"/>
    <w:rsid w:val="007E5EDC"/>
    <w:rsid w:val="007F0746"/>
    <w:rsid w:val="007F0759"/>
    <w:rsid w:val="007F15C0"/>
    <w:rsid w:val="007F25C0"/>
    <w:rsid w:val="007F35AA"/>
    <w:rsid w:val="007F47E2"/>
    <w:rsid w:val="007F523A"/>
    <w:rsid w:val="007F5F52"/>
    <w:rsid w:val="007F77C6"/>
    <w:rsid w:val="008003A1"/>
    <w:rsid w:val="008006B7"/>
    <w:rsid w:val="00800FDB"/>
    <w:rsid w:val="0080159F"/>
    <w:rsid w:val="00802081"/>
    <w:rsid w:val="008034CF"/>
    <w:rsid w:val="00804533"/>
    <w:rsid w:val="00806461"/>
    <w:rsid w:val="0081096D"/>
    <w:rsid w:val="00810EAD"/>
    <w:rsid w:val="00811833"/>
    <w:rsid w:val="00811C19"/>
    <w:rsid w:val="008174D4"/>
    <w:rsid w:val="00820FE6"/>
    <w:rsid w:val="00821985"/>
    <w:rsid w:val="00821A66"/>
    <w:rsid w:val="00822476"/>
    <w:rsid w:val="00822882"/>
    <w:rsid w:val="00823E6D"/>
    <w:rsid w:val="00824200"/>
    <w:rsid w:val="00825D22"/>
    <w:rsid w:val="00825F68"/>
    <w:rsid w:val="00827CB9"/>
    <w:rsid w:val="008305BF"/>
    <w:rsid w:val="00832748"/>
    <w:rsid w:val="00835408"/>
    <w:rsid w:val="008359DA"/>
    <w:rsid w:val="00836D2A"/>
    <w:rsid w:val="00837CEF"/>
    <w:rsid w:val="00840035"/>
    <w:rsid w:val="00840220"/>
    <w:rsid w:val="00840677"/>
    <w:rsid w:val="00840C20"/>
    <w:rsid w:val="008428A9"/>
    <w:rsid w:val="00844112"/>
    <w:rsid w:val="00844CBE"/>
    <w:rsid w:val="008456C9"/>
    <w:rsid w:val="0084611D"/>
    <w:rsid w:val="00850C62"/>
    <w:rsid w:val="00854463"/>
    <w:rsid w:val="00857643"/>
    <w:rsid w:val="00863011"/>
    <w:rsid w:val="0086312D"/>
    <w:rsid w:val="00863392"/>
    <w:rsid w:val="00865075"/>
    <w:rsid w:val="0086734C"/>
    <w:rsid w:val="0086748F"/>
    <w:rsid w:val="00872CE4"/>
    <w:rsid w:val="00874F4B"/>
    <w:rsid w:val="0087539B"/>
    <w:rsid w:val="00877B62"/>
    <w:rsid w:val="00880016"/>
    <w:rsid w:val="00881015"/>
    <w:rsid w:val="008810B0"/>
    <w:rsid w:val="008819B6"/>
    <w:rsid w:val="00881AAC"/>
    <w:rsid w:val="0088314B"/>
    <w:rsid w:val="008831C4"/>
    <w:rsid w:val="008836B7"/>
    <w:rsid w:val="008841D3"/>
    <w:rsid w:val="00884434"/>
    <w:rsid w:val="00886036"/>
    <w:rsid w:val="00887DE6"/>
    <w:rsid w:val="00894C2A"/>
    <w:rsid w:val="00894DE3"/>
    <w:rsid w:val="008976CB"/>
    <w:rsid w:val="00897708"/>
    <w:rsid w:val="00897D88"/>
    <w:rsid w:val="008A2F16"/>
    <w:rsid w:val="008A4909"/>
    <w:rsid w:val="008B11E0"/>
    <w:rsid w:val="008B1773"/>
    <w:rsid w:val="008B1823"/>
    <w:rsid w:val="008B65CD"/>
    <w:rsid w:val="008B6E16"/>
    <w:rsid w:val="008B7110"/>
    <w:rsid w:val="008C2029"/>
    <w:rsid w:val="008C2A97"/>
    <w:rsid w:val="008C3990"/>
    <w:rsid w:val="008C61D6"/>
    <w:rsid w:val="008C64F1"/>
    <w:rsid w:val="008D1BB0"/>
    <w:rsid w:val="008D20FF"/>
    <w:rsid w:val="008D3DE6"/>
    <w:rsid w:val="008D4223"/>
    <w:rsid w:val="008D44CC"/>
    <w:rsid w:val="008D46E3"/>
    <w:rsid w:val="008D6709"/>
    <w:rsid w:val="008D671F"/>
    <w:rsid w:val="008E083A"/>
    <w:rsid w:val="008E0E7C"/>
    <w:rsid w:val="008E2450"/>
    <w:rsid w:val="008E6497"/>
    <w:rsid w:val="008E7896"/>
    <w:rsid w:val="008F1C17"/>
    <w:rsid w:val="008F2477"/>
    <w:rsid w:val="00900DD1"/>
    <w:rsid w:val="009010F0"/>
    <w:rsid w:val="00901162"/>
    <w:rsid w:val="0090223A"/>
    <w:rsid w:val="009028E2"/>
    <w:rsid w:val="00904082"/>
    <w:rsid w:val="009055EC"/>
    <w:rsid w:val="009100C0"/>
    <w:rsid w:val="0091247B"/>
    <w:rsid w:val="0091320A"/>
    <w:rsid w:val="00914EAB"/>
    <w:rsid w:val="009150A1"/>
    <w:rsid w:val="00916808"/>
    <w:rsid w:val="00922D49"/>
    <w:rsid w:val="0092482C"/>
    <w:rsid w:val="00924A95"/>
    <w:rsid w:val="009259CF"/>
    <w:rsid w:val="00925E37"/>
    <w:rsid w:val="00925EDD"/>
    <w:rsid w:val="00927D0E"/>
    <w:rsid w:val="009309DA"/>
    <w:rsid w:val="00935771"/>
    <w:rsid w:val="00936688"/>
    <w:rsid w:val="00937CFA"/>
    <w:rsid w:val="009406B3"/>
    <w:rsid w:val="00945CF5"/>
    <w:rsid w:val="00946D66"/>
    <w:rsid w:val="009500A1"/>
    <w:rsid w:val="0095037E"/>
    <w:rsid w:val="00952AAD"/>
    <w:rsid w:val="00952F4F"/>
    <w:rsid w:val="00954567"/>
    <w:rsid w:val="009547A9"/>
    <w:rsid w:val="00957466"/>
    <w:rsid w:val="0096260B"/>
    <w:rsid w:val="00963F05"/>
    <w:rsid w:val="00965469"/>
    <w:rsid w:val="009664D5"/>
    <w:rsid w:val="0097008C"/>
    <w:rsid w:val="00970C69"/>
    <w:rsid w:val="009716AF"/>
    <w:rsid w:val="00971F1C"/>
    <w:rsid w:val="0097211D"/>
    <w:rsid w:val="00972E10"/>
    <w:rsid w:val="0097328D"/>
    <w:rsid w:val="009746CA"/>
    <w:rsid w:val="0097608D"/>
    <w:rsid w:val="0097659D"/>
    <w:rsid w:val="0097692D"/>
    <w:rsid w:val="00980242"/>
    <w:rsid w:val="00981963"/>
    <w:rsid w:val="00983C82"/>
    <w:rsid w:val="00983D29"/>
    <w:rsid w:val="00983E6E"/>
    <w:rsid w:val="00984520"/>
    <w:rsid w:val="0098545C"/>
    <w:rsid w:val="00990AAA"/>
    <w:rsid w:val="00992BA2"/>
    <w:rsid w:val="00992F83"/>
    <w:rsid w:val="0099508A"/>
    <w:rsid w:val="00997231"/>
    <w:rsid w:val="009974EB"/>
    <w:rsid w:val="009A1126"/>
    <w:rsid w:val="009A5029"/>
    <w:rsid w:val="009A63AC"/>
    <w:rsid w:val="009B1584"/>
    <w:rsid w:val="009B1B32"/>
    <w:rsid w:val="009B21CA"/>
    <w:rsid w:val="009B2648"/>
    <w:rsid w:val="009C03E5"/>
    <w:rsid w:val="009C0C11"/>
    <w:rsid w:val="009C3730"/>
    <w:rsid w:val="009C37BD"/>
    <w:rsid w:val="009C3AAC"/>
    <w:rsid w:val="009C4D19"/>
    <w:rsid w:val="009C5FDB"/>
    <w:rsid w:val="009C6493"/>
    <w:rsid w:val="009C693E"/>
    <w:rsid w:val="009C70CB"/>
    <w:rsid w:val="009D02B7"/>
    <w:rsid w:val="009D0628"/>
    <w:rsid w:val="009D1EA4"/>
    <w:rsid w:val="009D27AA"/>
    <w:rsid w:val="009D2D8B"/>
    <w:rsid w:val="009D38BA"/>
    <w:rsid w:val="009D4991"/>
    <w:rsid w:val="009D5BB5"/>
    <w:rsid w:val="009D696D"/>
    <w:rsid w:val="009D6ED2"/>
    <w:rsid w:val="009E0D5D"/>
    <w:rsid w:val="009E0F1A"/>
    <w:rsid w:val="009E140D"/>
    <w:rsid w:val="009E41E9"/>
    <w:rsid w:val="009E4465"/>
    <w:rsid w:val="009E6401"/>
    <w:rsid w:val="009E6C54"/>
    <w:rsid w:val="009F2261"/>
    <w:rsid w:val="009F2A25"/>
    <w:rsid w:val="009F3EB4"/>
    <w:rsid w:val="009F5235"/>
    <w:rsid w:val="009F531A"/>
    <w:rsid w:val="009F6550"/>
    <w:rsid w:val="009F786E"/>
    <w:rsid w:val="00A008DA"/>
    <w:rsid w:val="00A00902"/>
    <w:rsid w:val="00A039FF"/>
    <w:rsid w:val="00A05ACE"/>
    <w:rsid w:val="00A078CB"/>
    <w:rsid w:val="00A12EEF"/>
    <w:rsid w:val="00A14AE3"/>
    <w:rsid w:val="00A16675"/>
    <w:rsid w:val="00A22CD6"/>
    <w:rsid w:val="00A234EC"/>
    <w:rsid w:val="00A2417A"/>
    <w:rsid w:val="00A26668"/>
    <w:rsid w:val="00A27804"/>
    <w:rsid w:val="00A36822"/>
    <w:rsid w:val="00A36AB5"/>
    <w:rsid w:val="00A37A23"/>
    <w:rsid w:val="00A411D1"/>
    <w:rsid w:val="00A43389"/>
    <w:rsid w:val="00A43E71"/>
    <w:rsid w:val="00A45753"/>
    <w:rsid w:val="00A47B15"/>
    <w:rsid w:val="00A52F84"/>
    <w:rsid w:val="00A5533F"/>
    <w:rsid w:val="00A554CA"/>
    <w:rsid w:val="00A56394"/>
    <w:rsid w:val="00A56B05"/>
    <w:rsid w:val="00A57678"/>
    <w:rsid w:val="00A60E2F"/>
    <w:rsid w:val="00A63284"/>
    <w:rsid w:val="00A64CB8"/>
    <w:rsid w:val="00A67018"/>
    <w:rsid w:val="00A672F3"/>
    <w:rsid w:val="00A673DC"/>
    <w:rsid w:val="00A67D40"/>
    <w:rsid w:val="00A7076E"/>
    <w:rsid w:val="00A709BE"/>
    <w:rsid w:val="00A7162E"/>
    <w:rsid w:val="00A7195A"/>
    <w:rsid w:val="00A72D71"/>
    <w:rsid w:val="00A7519C"/>
    <w:rsid w:val="00A75705"/>
    <w:rsid w:val="00A77C69"/>
    <w:rsid w:val="00A83953"/>
    <w:rsid w:val="00A83A77"/>
    <w:rsid w:val="00A85AF5"/>
    <w:rsid w:val="00A900E7"/>
    <w:rsid w:val="00A903B6"/>
    <w:rsid w:val="00A90F4F"/>
    <w:rsid w:val="00A92E44"/>
    <w:rsid w:val="00A9418A"/>
    <w:rsid w:val="00A947AA"/>
    <w:rsid w:val="00A9769C"/>
    <w:rsid w:val="00AA1B53"/>
    <w:rsid w:val="00AA3556"/>
    <w:rsid w:val="00AA35FD"/>
    <w:rsid w:val="00AA3DB7"/>
    <w:rsid w:val="00AB0340"/>
    <w:rsid w:val="00AB3012"/>
    <w:rsid w:val="00AB321C"/>
    <w:rsid w:val="00AB5B99"/>
    <w:rsid w:val="00AB688F"/>
    <w:rsid w:val="00AB75EA"/>
    <w:rsid w:val="00AB7AA2"/>
    <w:rsid w:val="00AB7BE2"/>
    <w:rsid w:val="00AC4BC1"/>
    <w:rsid w:val="00AD04BD"/>
    <w:rsid w:val="00AD1C72"/>
    <w:rsid w:val="00AD25F6"/>
    <w:rsid w:val="00AD46E6"/>
    <w:rsid w:val="00AD7214"/>
    <w:rsid w:val="00AE1066"/>
    <w:rsid w:val="00AE2AD2"/>
    <w:rsid w:val="00AE4518"/>
    <w:rsid w:val="00AE5D7F"/>
    <w:rsid w:val="00AE79F0"/>
    <w:rsid w:val="00AF2089"/>
    <w:rsid w:val="00AF3350"/>
    <w:rsid w:val="00AF4305"/>
    <w:rsid w:val="00AF5585"/>
    <w:rsid w:val="00AF561C"/>
    <w:rsid w:val="00AF6EC1"/>
    <w:rsid w:val="00B00331"/>
    <w:rsid w:val="00B01A80"/>
    <w:rsid w:val="00B02675"/>
    <w:rsid w:val="00B07C27"/>
    <w:rsid w:val="00B10017"/>
    <w:rsid w:val="00B10DE1"/>
    <w:rsid w:val="00B10FF8"/>
    <w:rsid w:val="00B11A5B"/>
    <w:rsid w:val="00B203C4"/>
    <w:rsid w:val="00B20A27"/>
    <w:rsid w:val="00B22E81"/>
    <w:rsid w:val="00B23996"/>
    <w:rsid w:val="00B23CB2"/>
    <w:rsid w:val="00B24946"/>
    <w:rsid w:val="00B2561A"/>
    <w:rsid w:val="00B25A64"/>
    <w:rsid w:val="00B306AA"/>
    <w:rsid w:val="00B32AB3"/>
    <w:rsid w:val="00B34E7C"/>
    <w:rsid w:val="00B368EA"/>
    <w:rsid w:val="00B37EEF"/>
    <w:rsid w:val="00B424F8"/>
    <w:rsid w:val="00B46E00"/>
    <w:rsid w:val="00B52B4A"/>
    <w:rsid w:val="00B54370"/>
    <w:rsid w:val="00B55185"/>
    <w:rsid w:val="00B55281"/>
    <w:rsid w:val="00B60FD1"/>
    <w:rsid w:val="00B61923"/>
    <w:rsid w:val="00B621D6"/>
    <w:rsid w:val="00B63EF5"/>
    <w:rsid w:val="00B65D6F"/>
    <w:rsid w:val="00B67C23"/>
    <w:rsid w:val="00B70DC7"/>
    <w:rsid w:val="00B715FD"/>
    <w:rsid w:val="00B73042"/>
    <w:rsid w:val="00B74BB9"/>
    <w:rsid w:val="00B75283"/>
    <w:rsid w:val="00B75735"/>
    <w:rsid w:val="00B77142"/>
    <w:rsid w:val="00B807F5"/>
    <w:rsid w:val="00B80A2C"/>
    <w:rsid w:val="00B81F60"/>
    <w:rsid w:val="00B841AC"/>
    <w:rsid w:val="00B843ED"/>
    <w:rsid w:val="00B865B0"/>
    <w:rsid w:val="00B90497"/>
    <w:rsid w:val="00B90780"/>
    <w:rsid w:val="00B91F9C"/>
    <w:rsid w:val="00B9240D"/>
    <w:rsid w:val="00B97681"/>
    <w:rsid w:val="00BA08A9"/>
    <w:rsid w:val="00BA22A8"/>
    <w:rsid w:val="00BA3E48"/>
    <w:rsid w:val="00BA4BD3"/>
    <w:rsid w:val="00BB0187"/>
    <w:rsid w:val="00BB1EB3"/>
    <w:rsid w:val="00BB2678"/>
    <w:rsid w:val="00BC013A"/>
    <w:rsid w:val="00BC1F94"/>
    <w:rsid w:val="00BC2343"/>
    <w:rsid w:val="00BC41FB"/>
    <w:rsid w:val="00BD30C8"/>
    <w:rsid w:val="00BD32FA"/>
    <w:rsid w:val="00BD3EB4"/>
    <w:rsid w:val="00BD5C65"/>
    <w:rsid w:val="00BD71EE"/>
    <w:rsid w:val="00BE6018"/>
    <w:rsid w:val="00BF1F57"/>
    <w:rsid w:val="00BF4086"/>
    <w:rsid w:val="00BF426C"/>
    <w:rsid w:val="00BF58D0"/>
    <w:rsid w:val="00BF63AF"/>
    <w:rsid w:val="00BF7D6A"/>
    <w:rsid w:val="00C013E1"/>
    <w:rsid w:val="00C01611"/>
    <w:rsid w:val="00C02D59"/>
    <w:rsid w:val="00C030B6"/>
    <w:rsid w:val="00C03284"/>
    <w:rsid w:val="00C050D7"/>
    <w:rsid w:val="00C05B5F"/>
    <w:rsid w:val="00C06911"/>
    <w:rsid w:val="00C104CC"/>
    <w:rsid w:val="00C12898"/>
    <w:rsid w:val="00C152FE"/>
    <w:rsid w:val="00C16739"/>
    <w:rsid w:val="00C22C7D"/>
    <w:rsid w:val="00C22CCE"/>
    <w:rsid w:val="00C231D6"/>
    <w:rsid w:val="00C23BA2"/>
    <w:rsid w:val="00C272C4"/>
    <w:rsid w:val="00C31C12"/>
    <w:rsid w:val="00C32AF2"/>
    <w:rsid w:val="00C33204"/>
    <w:rsid w:val="00C338EB"/>
    <w:rsid w:val="00C3465D"/>
    <w:rsid w:val="00C35643"/>
    <w:rsid w:val="00C379E9"/>
    <w:rsid w:val="00C439FB"/>
    <w:rsid w:val="00C43F23"/>
    <w:rsid w:val="00C50011"/>
    <w:rsid w:val="00C52CA1"/>
    <w:rsid w:val="00C5755E"/>
    <w:rsid w:val="00C6379C"/>
    <w:rsid w:val="00C645E6"/>
    <w:rsid w:val="00C64D82"/>
    <w:rsid w:val="00C64FBC"/>
    <w:rsid w:val="00C65A83"/>
    <w:rsid w:val="00C724F2"/>
    <w:rsid w:val="00C72C6F"/>
    <w:rsid w:val="00C75057"/>
    <w:rsid w:val="00C77034"/>
    <w:rsid w:val="00C80F23"/>
    <w:rsid w:val="00C81151"/>
    <w:rsid w:val="00C81EFA"/>
    <w:rsid w:val="00C82CC6"/>
    <w:rsid w:val="00C850A3"/>
    <w:rsid w:val="00C85C32"/>
    <w:rsid w:val="00C87568"/>
    <w:rsid w:val="00C90DB6"/>
    <w:rsid w:val="00C913B6"/>
    <w:rsid w:val="00C9394F"/>
    <w:rsid w:val="00C93B1A"/>
    <w:rsid w:val="00C96F5F"/>
    <w:rsid w:val="00CA4126"/>
    <w:rsid w:val="00CA4574"/>
    <w:rsid w:val="00CA5927"/>
    <w:rsid w:val="00CA79EC"/>
    <w:rsid w:val="00CB041A"/>
    <w:rsid w:val="00CB39C2"/>
    <w:rsid w:val="00CB4664"/>
    <w:rsid w:val="00CB4C8C"/>
    <w:rsid w:val="00CB6782"/>
    <w:rsid w:val="00CC080A"/>
    <w:rsid w:val="00CC0994"/>
    <w:rsid w:val="00CC0C03"/>
    <w:rsid w:val="00CD0AAD"/>
    <w:rsid w:val="00CD6177"/>
    <w:rsid w:val="00CE182E"/>
    <w:rsid w:val="00CE2DAB"/>
    <w:rsid w:val="00CE2DE4"/>
    <w:rsid w:val="00CE2E79"/>
    <w:rsid w:val="00CE5277"/>
    <w:rsid w:val="00CE5A79"/>
    <w:rsid w:val="00CE6358"/>
    <w:rsid w:val="00CF2D54"/>
    <w:rsid w:val="00CF592C"/>
    <w:rsid w:val="00CF6992"/>
    <w:rsid w:val="00CF6AD7"/>
    <w:rsid w:val="00CF7B8C"/>
    <w:rsid w:val="00D03538"/>
    <w:rsid w:val="00D049B8"/>
    <w:rsid w:val="00D0516C"/>
    <w:rsid w:val="00D05EE7"/>
    <w:rsid w:val="00D068D0"/>
    <w:rsid w:val="00D078D1"/>
    <w:rsid w:val="00D129A8"/>
    <w:rsid w:val="00D12FB9"/>
    <w:rsid w:val="00D13FE2"/>
    <w:rsid w:val="00D200BD"/>
    <w:rsid w:val="00D22399"/>
    <w:rsid w:val="00D24B11"/>
    <w:rsid w:val="00D310BA"/>
    <w:rsid w:val="00D32C0A"/>
    <w:rsid w:val="00D33751"/>
    <w:rsid w:val="00D3382F"/>
    <w:rsid w:val="00D33924"/>
    <w:rsid w:val="00D34559"/>
    <w:rsid w:val="00D36F6E"/>
    <w:rsid w:val="00D3705B"/>
    <w:rsid w:val="00D37343"/>
    <w:rsid w:val="00D4205E"/>
    <w:rsid w:val="00D45DB6"/>
    <w:rsid w:val="00D5574C"/>
    <w:rsid w:val="00D604CE"/>
    <w:rsid w:val="00D61982"/>
    <w:rsid w:val="00D6267A"/>
    <w:rsid w:val="00D67D12"/>
    <w:rsid w:val="00D7585A"/>
    <w:rsid w:val="00D77B06"/>
    <w:rsid w:val="00D80618"/>
    <w:rsid w:val="00D8121C"/>
    <w:rsid w:val="00D82494"/>
    <w:rsid w:val="00D84A4B"/>
    <w:rsid w:val="00D92168"/>
    <w:rsid w:val="00D940B5"/>
    <w:rsid w:val="00D95CB0"/>
    <w:rsid w:val="00D977C0"/>
    <w:rsid w:val="00DA00A3"/>
    <w:rsid w:val="00DA13F3"/>
    <w:rsid w:val="00DA23C3"/>
    <w:rsid w:val="00DA2DE3"/>
    <w:rsid w:val="00DA475D"/>
    <w:rsid w:val="00DA7146"/>
    <w:rsid w:val="00DA716A"/>
    <w:rsid w:val="00DB1F4F"/>
    <w:rsid w:val="00DB37EE"/>
    <w:rsid w:val="00DB4450"/>
    <w:rsid w:val="00DB7B69"/>
    <w:rsid w:val="00DC234A"/>
    <w:rsid w:val="00DC27AD"/>
    <w:rsid w:val="00DC41E4"/>
    <w:rsid w:val="00DC5116"/>
    <w:rsid w:val="00DC7C77"/>
    <w:rsid w:val="00DD074A"/>
    <w:rsid w:val="00DD2417"/>
    <w:rsid w:val="00DD47BB"/>
    <w:rsid w:val="00DD7251"/>
    <w:rsid w:val="00DD7EA2"/>
    <w:rsid w:val="00DE00F2"/>
    <w:rsid w:val="00DE117F"/>
    <w:rsid w:val="00DE401C"/>
    <w:rsid w:val="00DF22DF"/>
    <w:rsid w:val="00DF63FA"/>
    <w:rsid w:val="00DF7589"/>
    <w:rsid w:val="00E00A1C"/>
    <w:rsid w:val="00E012CC"/>
    <w:rsid w:val="00E02818"/>
    <w:rsid w:val="00E02B71"/>
    <w:rsid w:val="00E02DEB"/>
    <w:rsid w:val="00E042A1"/>
    <w:rsid w:val="00E05A9C"/>
    <w:rsid w:val="00E067FB"/>
    <w:rsid w:val="00E104FA"/>
    <w:rsid w:val="00E1082A"/>
    <w:rsid w:val="00E11166"/>
    <w:rsid w:val="00E13182"/>
    <w:rsid w:val="00E15383"/>
    <w:rsid w:val="00E16313"/>
    <w:rsid w:val="00E1738C"/>
    <w:rsid w:val="00E207A1"/>
    <w:rsid w:val="00E22D28"/>
    <w:rsid w:val="00E230E3"/>
    <w:rsid w:val="00E27A14"/>
    <w:rsid w:val="00E30EDF"/>
    <w:rsid w:val="00E30F3C"/>
    <w:rsid w:val="00E31EC2"/>
    <w:rsid w:val="00E31FBA"/>
    <w:rsid w:val="00E32CB6"/>
    <w:rsid w:val="00E34042"/>
    <w:rsid w:val="00E34CDF"/>
    <w:rsid w:val="00E36AAE"/>
    <w:rsid w:val="00E41773"/>
    <w:rsid w:val="00E428DD"/>
    <w:rsid w:val="00E43B0B"/>
    <w:rsid w:val="00E44A50"/>
    <w:rsid w:val="00E477F6"/>
    <w:rsid w:val="00E50841"/>
    <w:rsid w:val="00E513F6"/>
    <w:rsid w:val="00E52F3B"/>
    <w:rsid w:val="00E53A45"/>
    <w:rsid w:val="00E53D94"/>
    <w:rsid w:val="00E53DEA"/>
    <w:rsid w:val="00E548E9"/>
    <w:rsid w:val="00E553CC"/>
    <w:rsid w:val="00E55667"/>
    <w:rsid w:val="00E57068"/>
    <w:rsid w:val="00E57630"/>
    <w:rsid w:val="00E616DB"/>
    <w:rsid w:val="00E627A4"/>
    <w:rsid w:val="00E630ED"/>
    <w:rsid w:val="00E74EC5"/>
    <w:rsid w:val="00E75FDC"/>
    <w:rsid w:val="00E76B86"/>
    <w:rsid w:val="00E8342F"/>
    <w:rsid w:val="00E847A7"/>
    <w:rsid w:val="00E85E29"/>
    <w:rsid w:val="00E85F25"/>
    <w:rsid w:val="00E86E79"/>
    <w:rsid w:val="00E87313"/>
    <w:rsid w:val="00E906B4"/>
    <w:rsid w:val="00E9095B"/>
    <w:rsid w:val="00E926B8"/>
    <w:rsid w:val="00E9399B"/>
    <w:rsid w:val="00E94008"/>
    <w:rsid w:val="00E94762"/>
    <w:rsid w:val="00E9588D"/>
    <w:rsid w:val="00E95CDA"/>
    <w:rsid w:val="00E96B52"/>
    <w:rsid w:val="00EA2244"/>
    <w:rsid w:val="00EA5D6D"/>
    <w:rsid w:val="00EA6FA7"/>
    <w:rsid w:val="00EB067F"/>
    <w:rsid w:val="00EB0BF5"/>
    <w:rsid w:val="00EB1F02"/>
    <w:rsid w:val="00EB3E72"/>
    <w:rsid w:val="00EB5BC5"/>
    <w:rsid w:val="00EC086C"/>
    <w:rsid w:val="00EC42D0"/>
    <w:rsid w:val="00EC58C8"/>
    <w:rsid w:val="00EC638F"/>
    <w:rsid w:val="00EC64D3"/>
    <w:rsid w:val="00ED0183"/>
    <w:rsid w:val="00ED48AC"/>
    <w:rsid w:val="00EE01D9"/>
    <w:rsid w:val="00EE224C"/>
    <w:rsid w:val="00EE4874"/>
    <w:rsid w:val="00EE79A6"/>
    <w:rsid w:val="00EF063B"/>
    <w:rsid w:val="00EF6111"/>
    <w:rsid w:val="00EF6232"/>
    <w:rsid w:val="00EF698A"/>
    <w:rsid w:val="00F005A0"/>
    <w:rsid w:val="00F006CC"/>
    <w:rsid w:val="00F05EAD"/>
    <w:rsid w:val="00F06616"/>
    <w:rsid w:val="00F11352"/>
    <w:rsid w:val="00F1498D"/>
    <w:rsid w:val="00F14DDF"/>
    <w:rsid w:val="00F152AD"/>
    <w:rsid w:val="00F2285F"/>
    <w:rsid w:val="00F23155"/>
    <w:rsid w:val="00F24236"/>
    <w:rsid w:val="00F24E0E"/>
    <w:rsid w:val="00F26693"/>
    <w:rsid w:val="00F27C38"/>
    <w:rsid w:val="00F36130"/>
    <w:rsid w:val="00F40444"/>
    <w:rsid w:val="00F40868"/>
    <w:rsid w:val="00F423BD"/>
    <w:rsid w:val="00F4255D"/>
    <w:rsid w:val="00F432FF"/>
    <w:rsid w:val="00F46DF9"/>
    <w:rsid w:val="00F4715C"/>
    <w:rsid w:val="00F54869"/>
    <w:rsid w:val="00F556B2"/>
    <w:rsid w:val="00F57252"/>
    <w:rsid w:val="00F5754B"/>
    <w:rsid w:val="00F576DE"/>
    <w:rsid w:val="00F63BF7"/>
    <w:rsid w:val="00F64563"/>
    <w:rsid w:val="00F65617"/>
    <w:rsid w:val="00F65D71"/>
    <w:rsid w:val="00F70112"/>
    <w:rsid w:val="00F710BE"/>
    <w:rsid w:val="00F723B1"/>
    <w:rsid w:val="00F736D2"/>
    <w:rsid w:val="00F7564C"/>
    <w:rsid w:val="00F76220"/>
    <w:rsid w:val="00F769BE"/>
    <w:rsid w:val="00F81C33"/>
    <w:rsid w:val="00F82A1D"/>
    <w:rsid w:val="00F82E6B"/>
    <w:rsid w:val="00F91F6D"/>
    <w:rsid w:val="00F97B71"/>
    <w:rsid w:val="00FA2DDA"/>
    <w:rsid w:val="00FA34CA"/>
    <w:rsid w:val="00FA4A55"/>
    <w:rsid w:val="00FA4D4F"/>
    <w:rsid w:val="00FA54E8"/>
    <w:rsid w:val="00FA7193"/>
    <w:rsid w:val="00FA7910"/>
    <w:rsid w:val="00FB2D17"/>
    <w:rsid w:val="00FB2F69"/>
    <w:rsid w:val="00FB368B"/>
    <w:rsid w:val="00FB45FF"/>
    <w:rsid w:val="00FB572A"/>
    <w:rsid w:val="00FB5D97"/>
    <w:rsid w:val="00FC1CA5"/>
    <w:rsid w:val="00FC2098"/>
    <w:rsid w:val="00FC219C"/>
    <w:rsid w:val="00FC2979"/>
    <w:rsid w:val="00FD1C3C"/>
    <w:rsid w:val="00FD1E02"/>
    <w:rsid w:val="00FD38A8"/>
    <w:rsid w:val="00FD6AC8"/>
    <w:rsid w:val="00FE3EA1"/>
    <w:rsid w:val="00FE4818"/>
    <w:rsid w:val="00FE4BF2"/>
    <w:rsid w:val="00FE5D80"/>
    <w:rsid w:val="00FE67F1"/>
    <w:rsid w:val="00FF1577"/>
    <w:rsid w:val="00FF3515"/>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locked="1" w:name="HTML Preformatted"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FD1E0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C1289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FD1E02"/>
    <w:rPr>
      <w:rFonts w:cs="Times New Roman"/>
      <w:b/>
      <w:bCs/>
      <w:kern w:val="44"/>
      <w:sz w:val="44"/>
      <w:szCs w:val="44"/>
    </w:rPr>
  </w:style>
  <w:style w:customStyle="1" w:styleId="2Char" w:type="character">
    <w:name w:val="标题 2 Char"/>
    <w:link w:val="2"/>
    <w:uiPriority w:val="99"/>
    <w:semiHidden/>
    <w:locked/>
    <w:rsid w:val="00140FF8"/>
    <w:rPr>
      <w:rFonts w:ascii="Cambria" w:cs="Times New Roman" w:eastAsia="宋体" w:hAnsi="Cambria"/>
      <w:b/>
      <w:bCs/>
      <w:sz w:val="32"/>
      <w:szCs w:val="32"/>
    </w:rPr>
  </w:style>
  <w:style w:styleId="a0" w:type="paragraph">
    <w:name w:val="Normal Indent"/>
    <w:basedOn w:val="a"/>
    <w:uiPriority w:val="99"/>
    <w:rsid w:val="00C12898"/>
    <w:pPr>
      <w:ind w:firstLine="420" w:firstLineChars="200"/>
    </w:pPr>
  </w:style>
  <w:style w:styleId="a4" w:type="paragraph">
    <w:name w:val="Body Text Indent"/>
    <w:basedOn w:val="a"/>
    <w:link w:val="Char"/>
    <w:uiPriority w:val="99"/>
    <w:rsid w:val="00C12898"/>
    <w:pPr>
      <w:widowControl/>
      <w:spacing w:after="100" w:afterAutospacing="1" w:before="100" w:beforeAutospacing="1"/>
      <w:jc w:val="left"/>
    </w:pPr>
    <w:rPr>
      <w:rFonts w:ascii="Arial Unicode MS" w:cs="Arial Unicode MS" w:eastAsia="Arial Unicode MS" w:hAnsi="Arial Unicode MS"/>
      <w:kern w:val="0"/>
      <w:sz w:val="24"/>
    </w:rPr>
  </w:style>
  <w:style w:customStyle="1" w:styleId="Char" w:type="character">
    <w:name w:val="正文文本缩进 Char"/>
    <w:link w:val="a4"/>
    <w:uiPriority w:val="99"/>
    <w:semiHidden/>
    <w:locked/>
    <w:rsid w:val="00140FF8"/>
    <w:rPr>
      <w:rFonts w:cs="Times New Roman"/>
      <w:sz w:val="24"/>
      <w:szCs w:val="24"/>
    </w:rPr>
  </w:style>
  <w:style w:styleId="a5" w:type="paragraph">
    <w:name w:val="Plain Text"/>
    <w:basedOn w:val="a"/>
    <w:link w:val="Char0"/>
    <w:uiPriority w:val="99"/>
    <w:rsid w:val="00C12898"/>
    <w:rPr>
      <w:rFonts w:ascii="宋体" w:hAnsi="Courier New"/>
      <w:szCs w:val="21"/>
    </w:rPr>
  </w:style>
  <w:style w:customStyle="1" w:styleId="Char0" w:type="character">
    <w:name w:val="纯文本 Char"/>
    <w:link w:val="a5"/>
    <w:uiPriority w:val="99"/>
    <w:locked/>
    <w:rsid w:val="0042253F"/>
    <w:rPr>
      <w:rFonts w:ascii="宋体" w:cs="Times New Roman" w:hAnsi="Courier New"/>
      <w:kern w:val="2"/>
      <w:sz w:val="21"/>
    </w:rPr>
  </w:style>
  <w:style w:styleId="20" w:type="paragraph">
    <w:name w:val="Body Text Indent 2"/>
    <w:basedOn w:val="a"/>
    <w:link w:val="2Char0"/>
    <w:uiPriority w:val="99"/>
    <w:rsid w:val="00C12898"/>
    <w:pPr>
      <w:spacing w:line="560" w:lineRule="exact"/>
      <w:ind w:firstLine="480" w:firstLineChars="200"/>
    </w:pPr>
    <w:rPr>
      <w:rFonts w:ascii="宋体" w:hAnsi="宋体"/>
      <w:color w:val="FF0000"/>
      <w:sz w:val="24"/>
    </w:rPr>
  </w:style>
  <w:style w:customStyle="1" w:styleId="2Char0" w:type="character">
    <w:name w:val="正文文本缩进 2 Char"/>
    <w:link w:val="20"/>
    <w:uiPriority w:val="99"/>
    <w:semiHidden/>
    <w:locked/>
    <w:rsid w:val="00140FF8"/>
    <w:rPr>
      <w:rFonts w:cs="Times New Roman"/>
      <w:sz w:val="24"/>
      <w:szCs w:val="24"/>
    </w:rPr>
  </w:style>
  <w:style w:styleId="a6" w:type="paragraph">
    <w:name w:val="footer"/>
    <w:basedOn w:val="a"/>
    <w:link w:val="Char1"/>
    <w:uiPriority w:val="99"/>
    <w:rsid w:val="00C12898"/>
    <w:pPr>
      <w:tabs>
        <w:tab w:pos="4153" w:val="center"/>
        <w:tab w:pos="8306" w:val="right"/>
      </w:tabs>
      <w:snapToGrid w:val="0"/>
      <w:jc w:val="left"/>
    </w:pPr>
    <w:rPr>
      <w:sz w:val="18"/>
      <w:szCs w:val="18"/>
    </w:rPr>
  </w:style>
  <w:style w:customStyle="1" w:styleId="Char1" w:type="character">
    <w:name w:val="页脚 Char"/>
    <w:link w:val="a6"/>
    <w:uiPriority w:val="99"/>
    <w:semiHidden/>
    <w:locked/>
    <w:rsid w:val="00140FF8"/>
    <w:rPr>
      <w:rFonts w:cs="Times New Roman"/>
      <w:sz w:val="18"/>
      <w:szCs w:val="18"/>
    </w:rPr>
  </w:style>
  <w:style w:styleId="a7" w:type="character">
    <w:name w:val="page number"/>
    <w:uiPriority w:val="99"/>
    <w:rsid w:val="00C12898"/>
    <w:rPr>
      <w:rFonts w:cs="Times New Roman"/>
    </w:rPr>
  </w:style>
  <w:style w:styleId="a8" w:type="character">
    <w:name w:val="Hyperlink"/>
    <w:uiPriority w:val="99"/>
    <w:rsid w:val="00C12898"/>
    <w:rPr>
      <w:rFonts w:cs="Times New Roman"/>
      <w:color w:val="0000FF"/>
      <w:u w:val="single"/>
    </w:rPr>
  </w:style>
  <w:style w:styleId="3" w:type="paragraph">
    <w:name w:val="Body Text Indent 3"/>
    <w:basedOn w:val="a"/>
    <w:link w:val="3Char"/>
    <w:uiPriority w:val="99"/>
    <w:rsid w:val="00C12898"/>
    <w:pPr>
      <w:spacing w:line="560" w:lineRule="exact"/>
      <w:ind w:firstLine="420" w:firstLineChars="200"/>
    </w:pPr>
    <w:rPr>
      <w:rFonts w:ascii="Arial" w:cs="Arial" w:hAnsi="Arial"/>
      <w:color w:val="FF0000"/>
    </w:rPr>
  </w:style>
  <w:style w:customStyle="1" w:styleId="3Char" w:type="character">
    <w:name w:val="正文文本缩进 3 Char"/>
    <w:link w:val="3"/>
    <w:uiPriority w:val="99"/>
    <w:semiHidden/>
    <w:locked/>
    <w:rsid w:val="00140FF8"/>
    <w:rPr>
      <w:rFonts w:cs="Times New Roman"/>
      <w:sz w:val="16"/>
      <w:szCs w:val="16"/>
    </w:rPr>
  </w:style>
  <w:style w:styleId="a9" w:type="paragraph">
    <w:name w:val="header"/>
    <w:basedOn w:val="a"/>
    <w:link w:val="Char2"/>
    <w:uiPriority w:val="99"/>
    <w:rsid w:val="00C1289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FB572A"/>
    <w:rPr>
      <w:rFonts w:cs="Times New Roman"/>
      <w:kern w:val="2"/>
      <w:sz w:val="18"/>
      <w:szCs w:val="18"/>
    </w:rPr>
  </w:style>
  <w:style w:styleId="aa" w:type="character">
    <w:name w:val="FollowedHyperlink"/>
    <w:uiPriority w:val="99"/>
    <w:rsid w:val="00C12898"/>
    <w:rPr>
      <w:rFonts w:cs="Times New Roman"/>
      <w:color w:val="800080"/>
      <w:u w:val="single"/>
    </w:rPr>
  </w:style>
  <w:style w:styleId="ab" w:type="paragraph">
    <w:name w:val="List"/>
    <w:basedOn w:val="ac"/>
    <w:uiPriority w:val="99"/>
    <w:rsid w:val="00C12898"/>
    <w:pPr>
      <w:spacing w:after="220" w:line="220" w:lineRule="atLeast"/>
      <w:ind w:hanging="360" w:left="1440"/>
    </w:pPr>
    <w:rPr>
      <w:szCs w:val="20"/>
    </w:rPr>
  </w:style>
  <w:style w:styleId="ac" w:type="paragraph">
    <w:name w:val="Body Text"/>
    <w:basedOn w:val="a"/>
    <w:link w:val="Char3"/>
    <w:uiPriority w:val="99"/>
    <w:rsid w:val="00C12898"/>
    <w:pPr>
      <w:spacing w:after="120"/>
    </w:pPr>
  </w:style>
  <w:style w:customStyle="1" w:styleId="Char3" w:type="character">
    <w:name w:val="正文文本 Char"/>
    <w:link w:val="ac"/>
    <w:uiPriority w:val="99"/>
    <w:semiHidden/>
    <w:locked/>
    <w:rsid w:val="00140FF8"/>
    <w:rPr>
      <w:rFonts w:cs="Times New Roman"/>
      <w:sz w:val="24"/>
      <w:szCs w:val="24"/>
    </w:rPr>
  </w:style>
  <w:style w:styleId="ad" w:type="paragraph">
    <w:name w:val="Date"/>
    <w:basedOn w:val="a"/>
    <w:next w:val="a"/>
    <w:link w:val="Char4"/>
    <w:uiPriority w:val="99"/>
    <w:rsid w:val="00C12898"/>
    <w:rPr>
      <w:sz w:val="24"/>
      <w:szCs w:val="20"/>
    </w:rPr>
  </w:style>
  <w:style w:customStyle="1" w:styleId="Char4" w:type="character">
    <w:name w:val="日期 Char"/>
    <w:link w:val="ad"/>
    <w:uiPriority w:val="99"/>
    <w:locked/>
    <w:rsid w:val="00F27C38"/>
    <w:rPr>
      <w:rFonts w:cs="Times New Roman"/>
      <w:kern w:val="2"/>
      <w:sz w:val="24"/>
    </w:rPr>
  </w:style>
  <w:style w:customStyle="1" w:styleId="c1" w:type="character">
    <w:name w:val="c1"/>
    <w:uiPriority w:val="99"/>
    <w:rsid w:val="00C12898"/>
    <w:rPr>
      <w:rFonts w:cs="Times New Roman"/>
      <w:color w:val="000000"/>
      <w:sz w:val="18"/>
      <w:szCs w:val="18"/>
    </w:rPr>
  </w:style>
  <w:style w:styleId="10" w:type="paragraph">
    <w:name w:val="index 1"/>
    <w:basedOn w:val="a"/>
    <w:next w:val="a"/>
    <w:autoRedefine/>
    <w:uiPriority w:val="99"/>
    <w:semiHidden/>
    <w:rsid w:val="00C12898"/>
    <w:pPr>
      <w:jc w:val="right"/>
    </w:pPr>
    <w:rPr>
      <w:color w:val="008000"/>
    </w:rPr>
  </w:style>
  <w:style w:customStyle="1" w:styleId="font5" w:type="paragraph">
    <w:name w:val="font5"/>
    <w:basedOn w:val="a"/>
    <w:uiPriority w:val="99"/>
    <w:rsid w:val="00C1289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C1289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C1289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C1289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C1289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C12898"/>
    <w:rPr>
      <w:sz w:val="18"/>
      <w:szCs w:val="18"/>
    </w:rPr>
  </w:style>
  <w:style w:customStyle="1" w:styleId="Char5" w:type="character">
    <w:name w:val="批注框文本 Char"/>
    <w:link w:val="ae"/>
    <w:uiPriority w:val="99"/>
    <w:semiHidden/>
    <w:locked/>
    <w:rsid w:val="00140FF8"/>
    <w:rPr>
      <w:rFonts w:cs="Times New Roman"/>
      <w:sz w:val="2"/>
    </w:rPr>
  </w:style>
  <w:style w:styleId="af" w:type="character">
    <w:name w:val="annotation reference"/>
    <w:uiPriority w:val="99"/>
    <w:semiHidden/>
    <w:rsid w:val="00C12898"/>
    <w:rPr>
      <w:rFonts w:cs="Times New Roman"/>
      <w:sz w:val="21"/>
      <w:szCs w:val="21"/>
    </w:rPr>
  </w:style>
  <w:style w:styleId="af0" w:type="paragraph">
    <w:name w:val="annotation text"/>
    <w:basedOn w:val="a"/>
    <w:link w:val="Char6"/>
    <w:uiPriority w:val="99"/>
    <w:semiHidden/>
    <w:rsid w:val="00C12898"/>
    <w:pPr>
      <w:jc w:val="left"/>
    </w:pPr>
  </w:style>
  <w:style w:customStyle="1" w:styleId="Char6" w:type="character">
    <w:name w:val="批注文字 Char"/>
    <w:link w:val="af0"/>
    <w:uiPriority w:val="99"/>
    <w:semiHidden/>
    <w:locked/>
    <w:rsid w:val="00140FF8"/>
    <w:rPr>
      <w:rFonts w:cs="Times New Roman"/>
      <w:sz w:val="24"/>
      <w:szCs w:val="24"/>
    </w:rPr>
  </w:style>
  <w:style w:styleId="af1" w:type="paragraph">
    <w:name w:val="annotation subject"/>
    <w:basedOn w:val="af0"/>
    <w:next w:val="af0"/>
    <w:link w:val="Char7"/>
    <w:uiPriority w:val="99"/>
    <w:semiHidden/>
    <w:rsid w:val="00C12898"/>
    <w:rPr>
      <w:b/>
      <w:bCs/>
    </w:rPr>
  </w:style>
  <w:style w:customStyle="1" w:styleId="Char7" w:type="character">
    <w:name w:val="批注主题 Char"/>
    <w:link w:val="af1"/>
    <w:uiPriority w:val="99"/>
    <w:semiHidden/>
    <w:locked/>
    <w:rsid w:val="00140FF8"/>
    <w:rPr>
      <w:rFonts w:cs="Times New Roman"/>
      <w:b/>
      <w:bCs/>
      <w:sz w:val="24"/>
      <w:szCs w:val="24"/>
    </w:rPr>
  </w:style>
  <w:style w:customStyle="1" w:styleId="Char8" w:type="paragraph">
    <w:name w:val="Char"/>
    <w:basedOn w:val="a"/>
    <w:uiPriority w:val="99"/>
    <w:rsid w:val="00C12898"/>
  </w:style>
  <w:style w:styleId="af2" w:type="paragraph">
    <w:name w:val="Document Map"/>
    <w:basedOn w:val="a"/>
    <w:link w:val="Char9"/>
    <w:uiPriority w:val="99"/>
    <w:semiHidden/>
    <w:rsid w:val="000A549A"/>
    <w:pPr>
      <w:shd w:color="auto" w:fill="000080" w:val="clear"/>
    </w:pPr>
  </w:style>
  <w:style w:customStyle="1" w:styleId="Char9" w:type="character">
    <w:name w:val="文档结构图 Char"/>
    <w:link w:val="af2"/>
    <w:uiPriority w:val="99"/>
    <w:semiHidden/>
    <w:locked/>
    <w:rsid w:val="00140FF8"/>
    <w:rPr>
      <w:rFonts w:cs="Times New Roman"/>
      <w:sz w:val="2"/>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sz w:val="18"/>
      <w:szCs w:val="18"/>
    </w:rPr>
  </w:style>
  <w:style w:customStyle="1" w:styleId="Chara" w:type="character">
    <w:name w:val="脚注文本 Char"/>
    <w:link w:val="af4"/>
    <w:uiPriority w:val="99"/>
    <w:semiHidden/>
    <w:locked/>
    <w:rsid w:val="00140FF8"/>
    <w:rPr>
      <w:rFonts w:cs="Times New Roman"/>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Default" w:type="paragraph">
    <w:name w:val="Default"/>
    <w:uiPriority w:val="99"/>
    <w:rsid w:val="00695296"/>
    <w:pPr>
      <w:widowControl w:val="0"/>
      <w:autoSpaceDE w:val="0"/>
      <w:autoSpaceDN w:val="0"/>
      <w:adjustRightInd w:val="0"/>
    </w:pPr>
    <w:rPr>
      <w:rFonts w:ascii="FangSong" w:cs="FangSong" w:hAnsi="FangSong"/>
      <w:color w:val="000000"/>
      <w:sz w:val="24"/>
      <w:szCs w:val="24"/>
    </w:rPr>
  </w:style>
  <w:style w:styleId="HTML" w:type="paragraph">
    <w:name w:val="HTML Preformatted"/>
    <w:basedOn w:val="a"/>
    <w:link w:val="HTMLChar"/>
    <w:uiPriority w:val="99"/>
    <w:rsid w:val="00634900"/>
    <w:pPr>
      <w:widowControl/>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hAnsi="宋体"/>
      <w:kern w:val="0"/>
      <w:sz w:val="24"/>
    </w:rPr>
  </w:style>
  <w:style w:customStyle="1" w:styleId="HTMLChar" w:type="character">
    <w:name w:val="HTML 预设格式 Char"/>
    <w:link w:val="HTML"/>
    <w:uiPriority w:val="99"/>
    <w:locked/>
    <w:rsid w:val="00634900"/>
    <w:rPr>
      <w:rFonts w:ascii="宋体" w:cs="宋体" w:eastAsia="宋体"/>
      <w:sz w:val="24"/>
      <w:szCs w:val="24"/>
    </w:rPr>
  </w:style>
  <w:style w:styleId="af8" w:type="character">
    <w:name w:val="Strong"/>
    <w:basedOn w:val="a1"/>
    <w:uiPriority w:val="22"/>
    <w:qFormat/>
    <w:locked/>
    <w:rsid w:val="00193F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413930">
      <w:bodyDiv w:val="1"/>
      <w:marLeft w:val="0"/>
      <w:marRight w:val="0"/>
      <w:marTop w:val="0"/>
      <w:marBottom w:val="0"/>
      <w:divBdr>
        <w:top w:val="none" w:sz="0" w:space="0" w:color="auto"/>
        <w:left w:val="none" w:sz="0" w:space="0" w:color="auto"/>
        <w:bottom w:val="none" w:sz="0" w:space="0" w:color="auto"/>
        <w:right w:val="none" w:sz="0" w:space="0" w:color="auto"/>
      </w:divBdr>
    </w:div>
    <w:div w:id="1077090524">
      <w:bodyDiv w:val="1"/>
      <w:marLeft w:val="0"/>
      <w:marRight w:val="0"/>
      <w:marTop w:val="0"/>
      <w:marBottom w:val="0"/>
      <w:divBdr>
        <w:top w:val="none" w:sz="0" w:space="0" w:color="auto"/>
        <w:left w:val="none" w:sz="0" w:space="0" w:color="auto"/>
        <w:bottom w:val="none" w:sz="0" w:space="0" w:color="auto"/>
        <w:right w:val="none" w:sz="0" w:space="0" w:color="auto"/>
      </w:divBdr>
    </w:div>
    <w:div w:id="1682857254">
      <w:marLeft w:val="0"/>
      <w:marRight w:val="0"/>
      <w:marTop w:val="0"/>
      <w:marBottom w:val="0"/>
      <w:divBdr>
        <w:top w:val="none" w:sz="0" w:space="0" w:color="auto"/>
        <w:left w:val="none" w:sz="0" w:space="0" w:color="auto"/>
        <w:bottom w:val="none" w:sz="0" w:space="0" w:color="auto"/>
        <w:right w:val="none" w:sz="0" w:space="0" w:color="auto"/>
      </w:divBdr>
    </w:div>
    <w:div w:id="1682857255">
      <w:marLeft w:val="0"/>
      <w:marRight w:val="0"/>
      <w:marTop w:val="0"/>
      <w:marBottom w:val="0"/>
      <w:divBdr>
        <w:top w:val="none" w:sz="0" w:space="0" w:color="auto"/>
        <w:left w:val="none" w:sz="0" w:space="0" w:color="auto"/>
        <w:bottom w:val="none" w:sz="0" w:space="0" w:color="auto"/>
        <w:right w:val="none" w:sz="0" w:space="0" w:color="auto"/>
      </w:divBdr>
    </w:div>
    <w:div w:id="1682857256">
      <w:marLeft w:val="0"/>
      <w:marRight w:val="0"/>
      <w:marTop w:val="0"/>
      <w:marBottom w:val="0"/>
      <w:divBdr>
        <w:top w:val="none" w:sz="0" w:space="0" w:color="auto"/>
        <w:left w:val="none" w:sz="0" w:space="0" w:color="auto"/>
        <w:bottom w:val="none" w:sz="0" w:space="0" w:color="auto"/>
        <w:right w:val="none" w:sz="0" w:space="0" w:color="auto"/>
      </w:divBdr>
    </w:div>
    <w:div w:id="1682857257">
      <w:marLeft w:val="0"/>
      <w:marRight w:val="0"/>
      <w:marTop w:val="0"/>
      <w:marBottom w:val="0"/>
      <w:divBdr>
        <w:top w:val="none" w:sz="0" w:space="0" w:color="auto"/>
        <w:left w:val="none" w:sz="0" w:space="0" w:color="auto"/>
        <w:bottom w:val="none" w:sz="0" w:space="0" w:color="auto"/>
        <w:right w:val="none" w:sz="0" w:space="0" w:color="auto"/>
      </w:divBdr>
    </w:div>
    <w:div w:id="1682857258">
      <w:marLeft w:val="0"/>
      <w:marRight w:val="0"/>
      <w:marTop w:val="0"/>
      <w:marBottom w:val="0"/>
      <w:divBdr>
        <w:top w:val="none" w:sz="0" w:space="0" w:color="auto"/>
        <w:left w:val="none" w:sz="0" w:space="0" w:color="auto"/>
        <w:bottom w:val="none" w:sz="0" w:space="0" w:color="auto"/>
        <w:right w:val="none" w:sz="0" w:space="0" w:color="auto"/>
      </w:divBdr>
    </w:div>
    <w:div w:id="1682857259">
      <w:marLeft w:val="0"/>
      <w:marRight w:val="0"/>
      <w:marTop w:val="0"/>
      <w:marBottom w:val="0"/>
      <w:divBdr>
        <w:top w:val="none" w:sz="0" w:space="0" w:color="auto"/>
        <w:left w:val="none" w:sz="0" w:space="0" w:color="auto"/>
        <w:bottom w:val="none" w:sz="0" w:space="0" w:color="auto"/>
        <w:right w:val="none" w:sz="0" w:space="0" w:color="auto"/>
      </w:divBdr>
    </w:div>
    <w:div w:id="1682857260">
      <w:marLeft w:val="0"/>
      <w:marRight w:val="0"/>
      <w:marTop w:val="0"/>
      <w:marBottom w:val="0"/>
      <w:divBdr>
        <w:top w:val="none" w:sz="0" w:space="0" w:color="auto"/>
        <w:left w:val="none" w:sz="0" w:space="0" w:color="auto"/>
        <w:bottom w:val="none" w:sz="0" w:space="0" w:color="auto"/>
        <w:right w:val="none" w:sz="0" w:space="0" w:color="auto"/>
      </w:divBdr>
    </w:div>
    <w:div w:id="1682857261">
      <w:marLeft w:val="0"/>
      <w:marRight w:val="0"/>
      <w:marTop w:val="0"/>
      <w:marBottom w:val="0"/>
      <w:divBdr>
        <w:top w:val="none" w:sz="0" w:space="0" w:color="auto"/>
        <w:left w:val="none" w:sz="0" w:space="0" w:color="auto"/>
        <w:bottom w:val="none" w:sz="0" w:space="0" w:color="auto"/>
        <w:right w:val="none" w:sz="0" w:space="0" w:color="auto"/>
      </w:divBdr>
    </w:div>
    <w:div w:id="1682857262">
      <w:marLeft w:val="0"/>
      <w:marRight w:val="0"/>
      <w:marTop w:val="0"/>
      <w:marBottom w:val="0"/>
      <w:divBdr>
        <w:top w:val="none" w:sz="0" w:space="0" w:color="auto"/>
        <w:left w:val="none" w:sz="0" w:space="0" w:color="auto"/>
        <w:bottom w:val="none" w:sz="0" w:space="0" w:color="auto"/>
        <w:right w:val="none" w:sz="0" w:space="0" w:color="auto"/>
      </w:divBdr>
    </w:div>
    <w:div w:id="1682857263">
      <w:marLeft w:val="0"/>
      <w:marRight w:val="0"/>
      <w:marTop w:val="0"/>
      <w:marBottom w:val="0"/>
      <w:divBdr>
        <w:top w:val="none" w:sz="0" w:space="0" w:color="auto"/>
        <w:left w:val="none" w:sz="0" w:space="0" w:color="auto"/>
        <w:bottom w:val="none" w:sz="0" w:space="0" w:color="auto"/>
        <w:right w:val="none" w:sz="0" w:space="0" w:color="auto"/>
      </w:divBdr>
    </w:div>
    <w:div w:id="1682857264">
      <w:marLeft w:val="0"/>
      <w:marRight w:val="0"/>
      <w:marTop w:val="0"/>
      <w:marBottom w:val="0"/>
      <w:divBdr>
        <w:top w:val="none" w:sz="0" w:space="0" w:color="auto"/>
        <w:left w:val="none" w:sz="0" w:space="0" w:color="auto"/>
        <w:bottom w:val="none" w:sz="0" w:space="0" w:color="auto"/>
        <w:right w:val="none" w:sz="0" w:space="0" w:color="auto"/>
      </w:divBdr>
    </w:div>
    <w:div w:id="1682857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footer2.xml" Type="http://schemas.openxmlformats.org/officeDocument/2006/relationships/footer"/>
<Relationship Id="rId12" Target="footer3.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28</Pages>
  <Words>4041</Words>
  <Characters>23040</Characters>
  <Application>Microsoft Office Word</Application>
  <DocSecurity>0</DocSecurity>
  <Lines>192</Lines>
  <Paragraphs>54</Paragraphs>
  <ScaleCrop>false</ScaleCrop>
  <Company>TRT. Ltd. Co.</Company>
  <LinksUpToDate>false</LinksUpToDate>
  <CharactersWithSpaces>27027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2012-11-28T02:28:00Z</dcterms:created>
  <cp:lastModifiedBy>sirong han</cp:lastModifiedBy>
  <cp:lastPrinted>2007-07-19T00:46:00Z</cp:lastPrinted>
  <dcterms:modified xsi:type="dcterms:W3CDTF">2020-07-09T02:50:00Z</dcterms:modified>
  <cp:revision>186</cp:revision>
</cp:coreProperties>
</file>