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7951F3" w:rsidR="001C36D8" w:rsidRDefault="001C36D8" w:rsidRPr="00272E0C">
      <w:pPr>
        <w:spacing w:line="360" w:lineRule="auto"/>
        <w:jc w:val="center"/>
        <w:rPr>
          <w:rFonts w:ascii="宋体" w:hAnsi="宋体"/>
          <w:b/>
          <w:sz w:val="36"/>
          <w:szCs w:val="36"/>
        </w:rPr>
      </w:pPr>
      <w:r w:rsidRPr="00272E0C">
        <w:rPr>
          <w:rFonts w:ascii="宋体"/>
          <w:b/>
          <w:sz w:val="36"/>
          <w:szCs w:val="36"/>
        </w:rPr>
        <w:t/>
      </w:r>
      <w:proofErr w:type="spellStart"/>
      <w:proofErr w:type="gramStart"/>
      <w:r w:rsidRPr="00272E0C">
        <w:rPr>
          <w:rFonts w:ascii="宋体" w:hAnsi="宋体"/>
          <w:b/>
          <w:sz w:val="36"/>
          <w:szCs w:val="36"/>
        </w:rPr>
        <w:t/>
      </w:r>
      <w:proofErr w:type="spellEnd"/>
      <w:proofErr w:type="gramEnd"/>
      <w:r w:rsidRPr="00272E0C">
        <w:rPr>
          <w:rFonts w:ascii="宋体" w:hAnsi="宋体"/>
          <w:b/>
          <w:sz w:val="36"/>
          <w:szCs w:val="36"/>
        </w:rPr>
        <w:t>易方达军工指数分级证券投资基金</w:t>
      </w:r>
    </w:p>
    <w:p w:rsidP="007951F3" w:rsidR="001C36D8" w:rsidRDefault="001C36D8" w:rsidRPr="00272E0C">
      <w:pPr>
        <w:spacing w:line="360" w:lineRule="auto"/>
        <w:jc w:val="center"/>
        <w:rPr>
          <w:rFonts w:ascii="宋体" w:hAnsi="宋体"/>
          <w:b/>
          <w:sz w:val="36"/>
          <w:szCs w:val="36"/>
        </w:rPr>
      </w:pPr>
      <w:r w:rsidRPr="00272E0C">
        <w:rPr>
          <w:rFonts w:ascii="宋体" w:hAnsi="宋体"/>
          <w:b/>
          <w:sz w:val="36"/>
          <w:szCs w:val="36"/>
        </w:rPr>
        <w:t/>
      </w:r>
      <w:proofErr w:type="spellStart"/>
      <w:r w:rsidRPr="00272E0C">
        <w:rPr>
          <w:rFonts w:ascii="宋体" w:hAnsi="宋体"/>
          <w:b/>
          <w:sz w:val="36"/>
          <w:szCs w:val="36"/>
        </w:rPr>
        <w:t/>
      </w:r>
      <w:proofErr w:type="spellEnd"/>
      <w:r w:rsidRPr="00272E0C">
        <w:rPr>
          <w:rFonts w:ascii="宋体" w:hAnsi="宋体"/>
          <w:b/>
          <w:sz w:val="36"/>
          <w:szCs w:val="36"/>
        </w:rPr>
        <w:t>2020年第2季度报告</w:t>
      </w:r>
    </w:p>
    <w:p w:rsidP="007951F3" w:rsidR="001C36D8" w:rsidRDefault="001C36D8" w:rsidRPr="00717C29">
      <w:pPr>
        <w:spacing w:line="360" w:lineRule="auto"/>
        <w:jc w:val="center"/>
        <w:rPr>
          <w:rFonts w:ascii="宋体" w:hAnsi="宋体"/>
          <w:b/>
          <w:sz w:val="24"/>
          <w:szCs w:val="36"/>
        </w:rPr>
      </w:pPr>
      <w:r w:rsidRPr="00717C29">
        <w:rPr>
          <w:rFonts w:ascii="宋体"/>
          <w:b/>
          <w:sz w:val="24"/>
          <w:szCs w:val="36"/>
        </w:rPr>
        <w:t/>
      </w:r>
      <w:proofErr w:type="spellStart"/>
      <w:proofErr w:type="gramStart"/>
      <w:r w:rsidRPr="00717C29">
        <w:rPr>
          <w:rFonts w:ascii="宋体" w:hAnsi="宋体"/>
          <w:b/>
          <w:sz w:val="24"/>
          <w:szCs w:val="36"/>
        </w:rPr>
        <w:t/>
      </w:r>
      <w:proofErr w:type="spellEnd"/>
      <w:proofErr w:type="gramEnd"/>
      <w:r w:rsidRPr="00717C29">
        <w:rPr>
          <w:rFonts w:ascii="宋体" w:hAnsi="宋体"/>
          <w:b/>
          <w:sz w:val="24"/>
          <w:szCs w:val="36"/>
        </w:rPr>
        <w:t>2020年6月30日</w:t>
      </w: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rPr>
          <w:rFonts w:ascii="宋体"/>
          <w:b/>
          <w:color w:val="000000"/>
          <w:sz w:val="24"/>
        </w:rPr>
      </w:pP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基金管理人：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易方达基金管理有限公司</w:t>
      </w: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基金托管人：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中国建设银行股份有限公司</w:t>
      </w:r>
    </w:p>
    <w:p w:rsidP="0015779C" w:rsidR="001C36D8" w:rsidRDefault="001C36D8" w:rsidRPr="00272E0C">
      <w:pPr>
        <w:spacing w:line="360" w:lineRule="auto"/>
        <w:ind w:firstLine="2168" w:firstLineChars="900"/>
        <w:rPr>
          <w:rFonts w:ascii="宋体" w:hAnsi="宋体"/>
          <w:b/>
          <w:color w:val="000000"/>
          <w:sz w:val="24"/>
        </w:rPr>
        <w:sectPr w:rsidR="001C36D8" w:rsidRPr="00272E0C" w:rsidSect="00230A66">
          <w:headerReference r:id="rId8" w:type="default"/>
          <w:footerReference r:id="rId9" w:type="default"/>
          <w:pgSz w:h="15840" w:w="11926"/>
          <w:pgMar w:bottom="851" w:footer="992" w:gutter="0" w:header="851" w:left="1418" w:right="1418" w:top="1418"/>
          <w:cols w:space="720"/>
          <w:noEndnote/>
        </w:sectPr>
      </w:pPr>
      <w:r w:rsidRPr="00272E0C">
        <w:rPr>
          <w:rFonts w:ascii="宋体" w:hAnsi="宋体" w:hint="eastAsia"/>
          <w:b/>
          <w:color w:val="000000"/>
          <w:sz w:val="24"/>
        </w:rPr>
        <w:t>报告送出日期：</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二〇二〇年七月二十一日</w:t>
      </w:r>
    </w:p>
    <w:p w:rsidP="005C6DF3" w:rsidR="001C36D8" w:rsidRDefault="001C36D8" w:rsidRPr="00272E0C">
      <w:pPr>
        <w:pStyle w:val="1"/>
        <w:spacing w:after="312" w:afterLines="100" w:before="312" w:beforeLines="100" w:line="360" w:lineRule="auto"/>
        <w:jc w:val="center"/>
        <w:rPr>
          <w:rFonts w:ascii="宋体" w:cs="Arial"/>
          <w:b w:val="0"/>
          <w:color w:val="000000"/>
          <w:kern w:val="0"/>
          <w:sz w:val="24"/>
          <w:szCs w:val="24"/>
        </w:rPr>
      </w:pPr>
      <w:r w:rsidRPr="00272E0C">
        <w:rPr>
          <w:rFonts w:ascii="宋体" w:cs="Arial" w:hAnsi="宋体" w:hint="eastAsia"/>
          <w:color w:val="000000"/>
          <w:kern w:val="0"/>
          <w:sz w:val="24"/>
          <w:szCs w:val="24"/>
        </w:rPr>
        <w:lastRenderedPageBreak/>
        <w:t>§</w:t>
      </w:r>
      <w:r w:rsidRPr="00272E0C">
        <w:rPr>
          <w:rFonts w:ascii="宋体" w:cs="Arial" w:hAnsi="宋体"/>
          <w:color w:val="000000"/>
          <w:kern w:val="0"/>
          <w:sz w:val="24"/>
          <w:szCs w:val="24"/>
        </w:rPr>
        <w:t xml:space="preserve">1  </w:t>
      </w:r>
      <w:r w:rsidRPr="00272E0C">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C0C03" w:rsidR="001C36D8" w:rsidRDefault="001C36D8" w:rsidRPr="00CC0C03">
      <w:pPr>
        <w:spacing w:line="360" w:lineRule="auto"/>
        <w:ind w:firstLine="480" w:firstLineChars="200"/>
        <w:rPr>
          <w:color w:val="000000"/>
          <w:sz w:val="24"/>
        </w:rPr>
      </w:pPr>
      <w:r w:rsidRPr="00CC0C03">
        <w:rPr>
          <w:color w:val="000000"/>
          <w:sz w:val="24"/>
        </w:rPr>
        <w:t/>
      </w:r>
      <w:proofErr w:type="spellStart"/>
      <w:r w:rsidRPr="00CC0C03">
        <w:rPr>
          <w:color w:val="000000"/>
          <w:sz w:val="24"/>
        </w:rPr>
        <w:t/>
      </w:r>
      <w:proofErr w:type="spellEnd"/>
      <w:r w:rsidRPr="00CC0C03">
        <w:rPr>
          <w:color w:val="000000"/>
          <w:sz w:val="24"/>
        </w:rPr>
        <w:t>本报告期自2020年4月1日起至6月30日止。</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2  </w:t>
      </w:r>
      <w:r w:rsidRPr="00272E0C">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1826"/>
        <w:gridCol w:w="1826"/>
        <w:gridCol w:w="1827"/>
      </w:tblGrid>
      <w:tr w:rsidR="001C36D8" w:rsidRPr="00272E0C" w:rsidTr="007A6BEA">
        <w:tc>
          <w:tcPr>
            <w:tcW w:type="dxa" w:w="2835"/>
          </w:tcPr>
          <w:p w:rsidP="007A6BEA"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基金简称</w:t>
            </w:r>
          </w:p>
        </w:tc>
        <w:tc>
          <w:tcPr>
            <w:tcW w:type="dxa" w:w="5479"/>
            <w:gridSpan w:val="3"/>
          </w:tcPr>
          <w:p w:rsidP="007A6BEA"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易方达军工分级</w:t>
            </w:r>
          </w:p>
        </w:tc>
      </w:tr>
      <w:tr w:rsidR="001C36D8" w:rsidRPr="00272E0C" w:rsidTr="002A44F9">
        <w:tc>
          <w:tcPr>
            <w:tcW w:type="dxa" w:w="2835"/>
          </w:tcPr>
          <w:p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基金主代码</w:t>
            </w:r>
          </w:p>
        </w:tc>
        <w:tc>
          <w:tcPr>
            <w:tcW w:type="dxa" w:w="5479"/>
            <w:gridSpan w:val="3"/>
          </w:tcPr>
          <w:p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502003</w:t>
            </w:r>
          </w:p>
        </w:tc>
      </w:tr>
      <w:tr w:rsidR="003A768B" w:rsidRPr="00272E0C" w:rsidTr="002A44F9">
        <w:tc>
          <w:tcPr>
            <w:tcW w:type="dxa" w:w="2835"/>
          </w:tcPr>
          <w:p w:rsidP="00E43B0B"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kern w:val="0"/>
                <w:sz w:val="24"/>
              </w:rPr>
              <w:t>交易代码</w:t>
            </w:r>
          </w:p>
        </w:tc>
        <w:tc>
          <w:tcPr>
            <w:tcW w:type="dxa" w:w="5479"/>
            <w:gridSpan w:val="3"/>
          </w:tcPr>
          <w:p w:rsidP="00E43B0B"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502003</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基金运作方式</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契约型开放式、分级基金</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基金合同生效日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2015年7月8日</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报告期末基金份额总额</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108,411,681.44</w:t>
            </w:r>
            <w:r w:rsidRPr="004C6E88">
              <w:rPr>
                <w:rFonts w:eastAsiaTheme="minorEastAsia"/>
                <w:color w:val="000000"/>
                <w:kern w:val="0"/>
                <w:sz w:val="24"/>
              </w:rPr>
              <w:t>份</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投资目标</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紧密追踪业绩比较基准，追求跟踪偏离度与跟踪误差的最小化。</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投资策略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本基金主要采取完全复制法进行投资，即完全按照标的指数的成份股组成及权重构建基金投资组合，并根据标的指数成份股及其权重的变动进行相应调整，以达到紧密跟踪标的指数的目的。本基金力争将年化跟踪误差控制在4%以内，日跟踪偏离度绝对值的平均值控制在0.35%以内。</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业绩比较基准</w:t>
            </w:r>
          </w:p>
        </w:tc>
        <w:tc>
          <w:tcPr>
            <w:tcW w:type="dxa" w:w="5479"/>
            <w:gridSpan w:val="3"/>
          </w:tcPr>
          <w:p w:rsidP="00CD0AAD"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95%×中证军工指数收益率＋5%×同期银行活期存款利率（税后）</w:t>
            </w:r>
          </w:p>
        </w:tc>
      </w:tr>
      <w:tr w:rsidR="003A768B" w:rsidRPr="00272E0C" w:rsidTr="00A008DA">
        <w:tc>
          <w:tcPr>
            <w:tcW w:type="dxa" w:w="2835"/>
          </w:tcPr>
          <w:p w:rsidP="00A008D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风险收益特征</w:t>
            </w:r>
          </w:p>
        </w:tc>
        <w:tc>
          <w:tcPr>
            <w:tcW w:type="dxa" w:w="5479"/>
            <w:gridSpan w:val="3"/>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本基金为股票型基金，主要采用完全复制策略跟踪标的指数的表现，其风险收益特征与标的指数相似。长期而言，其风险收益水平高于混合型基金、债券型基金和货币市场基金；A类份额具有预期风险、收益较低的特征；B类份额具有预期风险、收益较高的特征。</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基金管理人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易方达基金管理有限公司</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基金托管人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中国建设银行股份有限公司</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级基金的基金简称</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易方达军工分级</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易方达军工分级A</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易方达军工分级B</w:t>
            </w:r>
          </w:p>
        </w:tc>
      </w:tr>
      <w:tr w:rsidR="002C2DE0" w:rsidRPr="00272E0C" w:rsidTr="00EB3E72">
        <w:tc>
          <w:tcPr>
            <w:tcW w:type="dxa" w:w="2835"/>
          </w:tcPr>
          <w:p w:rsidP="004C6E88" w:rsidR="002C2DE0" w:rsidRDefault="002C2DE0"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003168E2">
              <w:rPr>
                <w:rFonts w:eastAsiaTheme="minorEastAsia"/>
                <w:color w:val="000000"/>
                <w:sz w:val="24"/>
              </w:rPr>
              <w:t>级基金</w:t>
            </w:r>
            <w:r w:rsidRPr="004C6E88">
              <w:rPr>
                <w:rFonts w:eastAsiaTheme="minorEastAsia"/>
                <w:color w:val="000000"/>
                <w:sz w:val="24"/>
              </w:rPr>
              <w:t>场内简称</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军工分级</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军工A</w:t>
            </w:r>
          </w:p>
        </w:tc>
        <w:tc>
          <w:tcPr>
            <w:tcW w:type="dxa" w:w="1827"/>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军工B</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级基金的交易代码</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502003</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502004</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502005</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lastRenderedPageBreak/>
              <w:t>报告期末下属</w:t>
            </w:r>
            <w:r w:rsidR="004C6E88" w:rsidRPr="004C6E88">
              <w:rPr>
                <w:rFonts w:eastAsiaTheme="minorEastAsia"/>
                <w:color w:val="000000"/>
                <w:sz w:val="24"/>
              </w:rPr>
              <w:t>分</w:t>
            </w:r>
            <w:r w:rsidRPr="004C6E88">
              <w:rPr>
                <w:rFonts w:eastAsiaTheme="minorEastAsia"/>
                <w:color w:val="000000"/>
                <w:sz w:val="24"/>
              </w:rPr>
              <w:t>级基金的份额总额</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r w:rsidRPr="004C6E88">
              <w:rPr>
                <w:rFonts w:eastAsiaTheme="minorEastAsia"/>
                <w:sz w:val="24"/>
              </w:rPr>
              <w:t>75,501,489.44</w:t>
            </w:r>
            <w:r w:rsidRPr="004C6E88">
              <w:rPr>
                <w:rFonts w:eastAsiaTheme="minorEastAsia"/>
                <w:color w:val="000000"/>
                <w:kern w:val="0"/>
                <w:sz w:val="24"/>
              </w:rPr>
              <w:t>份</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16,455,096.00</w:t>
            </w:r>
            <w:r w:rsidRPr="004C6E88">
              <w:rPr>
                <w:rFonts w:eastAsiaTheme="minorEastAsia"/>
                <w:color w:val="000000"/>
                <w:kern w:val="0"/>
                <w:sz w:val="24"/>
              </w:rPr>
              <w:t>份</w:t>
            </w:r>
          </w:p>
        </w:tc>
        <w:tc>
          <w:tcPr>
            <w:tcW w:type="dxa" w:w="1827"/>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16,455,096.00</w:t>
            </w:r>
            <w:r w:rsidRPr="004C6E88">
              <w:rPr>
                <w:rFonts w:eastAsiaTheme="minorEastAsia"/>
                <w:color w:val="000000"/>
                <w:kern w:val="0"/>
                <w:sz w:val="24"/>
              </w:rPr>
              <w:t>份</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sz w:val="24"/>
              </w:rPr>
            </w:pPr>
            <w:r w:rsidRPr="004C6E88">
              <w:rPr>
                <w:rFonts w:eastAsiaTheme="minorEastAsia"/>
                <w:color w:val="000000"/>
                <w:kern w:val="0"/>
                <w:sz w:val="24"/>
              </w:rPr>
              <w:t>下属</w:t>
            </w:r>
            <w:r w:rsidR="004C6E88" w:rsidRPr="004C6E88">
              <w:rPr>
                <w:rFonts w:eastAsiaTheme="minorEastAsia"/>
                <w:color w:val="000000"/>
                <w:kern w:val="0"/>
                <w:sz w:val="24"/>
              </w:rPr>
              <w:t>分</w:t>
            </w:r>
            <w:r w:rsidRPr="004C6E88">
              <w:rPr>
                <w:rFonts w:eastAsiaTheme="minorEastAsia"/>
                <w:color w:val="000000"/>
                <w:kern w:val="0"/>
                <w:sz w:val="24"/>
              </w:rPr>
              <w:t>级基金的</w:t>
            </w:r>
            <w:r w:rsidRPr="004C6E88">
              <w:rPr>
                <w:rFonts w:eastAsiaTheme="minorEastAsia"/>
                <w:kern w:val="0"/>
                <w:sz w:val="24"/>
              </w:rPr>
              <w:t>风险收益特征</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基础份额为股票型基金，其风险收益水平高于混合型基金、债券型基金和货币市场基金。</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与基础份额相比，A类份额的预期收益和预期风险低于基础份额。</w:t>
            </w:r>
          </w:p>
        </w:tc>
        <w:tc>
          <w:tcPr>
            <w:tcW w:type="dxa" w:w="1827"/>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与基础份额相比，B类份额的预期收益和预期风险高于基础份额。</w:t>
            </w:r>
          </w:p>
        </w:tc>
      </w:tr>
    </w:tbl>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3  </w:t>
      </w:r>
      <w:r w:rsidRPr="00272E0C">
        <w:rPr>
          <w:rFonts w:ascii="宋体" w:cs="Arial" w:hAnsi="宋体" w:hint="eastAsia"/>
          <w:color w:val="000000"/>
          <w:kern w:val="0"/>
          <w:sz w:val="24"/>
          <w:szCs w:val="24"/>
        </w:rPr>
        <w:t>主要财务指标和基金净值表现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3.1 </w:t>
      </w:r>
      <w:r w:rsidRPr="00272E0C">
        <w:rPr>
          <w:rFonts w:ascii="宋体" w:cs="Arial" w:hAnsi="宋体" w:hint="eastAsia"/>
          <w:b/>
          <w:color w:val="000000"/>
          <w:kern w:val="0"/>
          <w:sz w:val="24"/>
        </w:rPr>
        <w:t>主要财务指标</w:t>
      </w:r>
    </w:p>
    <w:p w:rsidP="0008378B" w:rsidR="0008378B" w:rsidRDefault="0008378B"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08378B" w:rsidRPr="006506EF" w:rsidTr="005D3A22">
        <w:tc>
          <w:tcPr>
            <w:tcW w:type="dxa" w:w="3402"/>
            <w:vAlign w:val="center"/>
          </w:tcPr>
          <w:p w:rsidP="005D3A22" w:rsidR="0008378B" w:rsidRDefault="0008378B"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报告期</w:t>
            </w:r>
          </w:p>
          <w:p w:rsidP="005D3A22" w:rsidR="0008378B" w:rsidRDefault="0008378B"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4,999,856.09</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18,380,262.52</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0.1642</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151,205,402.11</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rPr>
          <w:trHeight w:val="158"/>
        </w:trPr>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r w:rsidRPr="006506EF">
              <w:rPr>
                <w:color w:val="000000"/>
                <w:sz w:val="24"/>
              </w:rPr>
              <w:lastRenderedPageBreak/>
              <w:t/>
            </w:r>
            <w:proofErr w:type="spellEnd"/>
            <w:r w:rsidRPr="006506EF">
              <w:rPr>
                <w:color w:val="000000"/>
                <w:sz w:val="24"/>
              </w:rPr>
              <w:t>1.3947</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E43B0B" w:rsidR="001C36D8" w:rsidRDefault="0008378B" w:rsidRPr="00E43B0B">
      <w:pPr>
        <w:spacing w:line="360" w:lineRule="auto"/>
        <w:ind w:firstLine="480" w:firstLineChars="200"/>
        <w:rPr>
          <w:color w:val="000000"/>
          <w:sz w:val="24"/>
        </w:rPr>
      </w:pPr>
      <w:r w:rsidRPr="006506EF">
        <w:rPr>
          <w:color w:val="000000"/>
          <w:sz w:val="24"/>
        </w:rPr>
        <w:lastRenderedPageBreak/>
        <w:t/>
      </w:r>
      <w:proofErr w:type="spellStart"/>
      <w:r w:rsidRPr="006506EF">
        <w:rPr>
          <w:color w:val="000000"/>
          <w:sz w:val="24"/>
        </w:rPr>
        <w:t/>
      </w:r>
      <w:proofErr w:type="spellEnd"/>
      <w:r w:rsidRPr="006506EF">
        <w:rPr>
          <w:color w:val="000000"/>
          <w:sz w:val="24"/>
        </w:rPr>
        <w:t/>
      </w:r>
      <w:proofErr w:type="spellStart"/>
      <w:r w:rsidRPr="006506EF">
        <w:rPr>
          <w:color w:val="000000"/>
          <w:sz w:val="24"/>
        </w:rPr>
        <w:t/>
      </w:r>
      <w:proofErr w:type="spell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3.2 </w:t>
      </w:r>
      <w:r w:rsidRPr="00272E0C">
        <w:rPr>
          <w:rFonts w:ascii="宋体" w:cs="Arial" w:hAnsi="宋体" w:hint="eastAsia"/>
          <w:b/>
          <w:color w:val="000000"/>
          <w:kern w:val="0"/>
          <w:sz w:val="24"/>
        </w:rPr>
        <w:t>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3.2.1</w:t>
        </w:r>
      </w:smartTag>
      <w:r w:rsidRPr="00272E0C">
        <w:rPr>
          <w:rFonts w:ascii="宋体" w:cs="Arial" w:hAnsi="宋体" w:hint="eastAsia"/>
          <w:b/>
          <w:color w:val="000000"/>
          <w:kern w:val="0"/>
          <w:sz w:val="24"/>
        </w:rPr>
        <w:t>本报告期基金份额净值增长率及其与同期业绩比较基准收益率的比较</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15"/>
        <w:gridCol w:w="1216"/>
        <w:gridCol w:w="1216"/>
        <w:gridCol w:w="1216"/>
        <w:gridCol w:w="1216"/>
        <w:gridCol w:w="1217"/>
        <w:gridCol w:w="1217"/>
      </w:tblGrid>
      <w:tr w:rsidR="001C36D8" w:rsidRPr="00272E0C" w:rsidTr="001A09F9">
        <w:tc>
          <w:tcPr>
            <w:tcW w:type="dxa" w:w="1215"/>
            <w:vAlign w:val="center"/>
          </w:tcPr>
          <w:p w:rsidP="001A09F9" w:rsidR="001C36D8" w:rsidRDefault="001C36D8" w:rsidRPr="00E43B0B">
            <w:pPr>
              <w:snapToGrid w:val="0"/>
              <w:spacing w:line="288" w:lineRule="auto"/>
              <w:jc w:val="center"/>
              <w:rPr>
                <w:color w:val="000000"/>
                <w:sz w:val="24"/>
              </w:rPr>
            </w:pPr>
            <w:r w:rsidRPr="00E43B0B">
              <w:rPr>
                <w:color w:val="000000"/>
                <w:sz w:val="24"/>
              </w:rPr>
              <w:t>阶段</w:t>
            </w:r>
            <w:r w:rsidRPr="00E43B0B">
              <w:rPr>
                <w:color w:val="000000"/>
                <w:sz w:val="24"/>
              </w:rPr>
              <w:t/>
            </w:r>
            <w:proofErr w:type="spellStart"/>
            <w:r w:rsidRPr="00E43B0B">
              <w:rPr>
                <w:color w:val="000000"/>
                <w:sz w:val="24"/>
              </w:rPr>
              <w:t/>
            </w:r>
            <w:proofErr w:type="spellEnd"/>
            <w:r w:rsidRPr="00E43B0B">
              <w:rPr>
                <w:color w:val="000000"/>
                <w:sz w:val="24"/>
              </w:rPr>
              <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w:t>
            </w:r>
            <w:r w:rsidRPr="00E43B0B">
              <w:rPr>
                <w:rFonts w:ascii="宋体" w:cs="宋体" w:hAnsi="宋体" w:hint="eastAsia"/>
                <w:color w:val="000000"/>
                <w:sz w:val="24"/>
              </w:rPr>
              <w:t>①</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净值增长率标准差</w:t>
            </w:r>
            <w:r w:rsidRPr="00E43B0B">
              <w:rPr>
                <w:rFonts w:ascii="宋体" w:cs="宋体" w:hAnsi="宋体" w:hint="eastAsia"/>
                <w:color w:val="000000"/>
                <w:sz w:val="24"/>
              </w:rPr>
              <w:t>②</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w:t>
            </w:r>
            <w:r w:rsidRPr="00E43B0B">
              <w:rPr>
                <w:rFonts w:ascii="宋体" w:cs="宋体" w:hAnsi="宋体" w:hint="eastAsia"/>
                <w:color w:val="000000"/>
                <w:sz w:val="24"/>
              </w:rPr>
              <w:t>③</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业绩比较基准收益率标准差</w:t>
            </w:r>
            <w:r w:rsidRPr="00E43B0B">
              <w:rPr>
                <w:rFonts w:ascii="宋体" w:cs="宋体" w:hAnsi="宋体" w:hint="eastAsia"/>
                <w:color w:val="000000"/>
                <w:sz w:val="24"/>
              </w:rPr>
              <w:t>④</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①</w:t>
            </w:r>
            <w:r w:rsidRPr="00E43B0B">
              <w:rPr>
                <w:color w:val="000000"/>
                <w:sz w:val="24"/>
              </w:rPr>
              <w:t>－</w:t>
            </w:r>
            <w:r w:rsidRPr="00E43B0B">
              <w:rPr>
                <w:rFonts w:ascii="宋体" w:cs="宋体" w:hAnsi="宋体" w:hint="eastAsia"/>
                <w:color w:val="000000"/>
                <w:sz w:val="24"/>
              </w:rPr>
              <w:t>③</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②</w:t>
            </w:r>
            <w:r w:rsidRPr="00E43B0B">
              <w:rPr>
                <w:color w:val="000000"/>
                <w:sz w:val="24"/>
              </w:rPr>
              <w:t>－</w:t>
            </w:r>
            <w:r w:rsidRPr="00E43B0B">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13.25%</w:t>
            </w:r>
          </w:p>
        </w:tc>
        <w:tc>
          <w:tcPr>
            <w:vAlign w:val="center"/>
          </w:tcPr>
          <w:p>
            <w:pPr>
              <w:jc w:val="center"/>
            </w:pPr>
            <w:r>
              <w:rPr>
                <w:color w:val="000000"/>
                <w:sz w:val="24"/>
              </w:rPr>
              <w:t>1.27%</w:t>
            </w:r>
          </w:p>
        </w:tc>
        <w:tc>
          <w:tcPr>
            <w:vAlign w:val="center"/>
          </w:tcPr>
          <w:p>
            <w:pPr>
              <w:jc w:val="center"/>
            </w:pPr>
            <w:r>
              <w:rPr>
                <w:color w:val="000000"/>
                <w:sz w:val="24"/>
              </w:rPr>
              <w:t>10.60%</w:t>
            </w:r>
          </w:p>
        </w:tc>
        <w:tc>
          <w:tcPr>
            <w:vAlign w:val="center"/>
          </w:tcPr>
          <w:p>
            <w:pPr>
              <w:jc w:val="center"/>
            </w:pPr>
            <w:r>
              <w:rPr>
                <w:color w:val="000000"/>
                <w:sz w:val="24"/>
              </w:rPr>
              <w:t>1.27%</w:t>
            </w:r>
          </w:p>
        </w:tc>
        <w:tc>
          <w:tcPr>
            <w:vAlign w:val="center"/>
          </w:tcPr>
          <w:p>
            <w:pPr>
              <w:jc w:val="center"/>
            </w:pPr>
            <w:r>
              <w:rPr>
                <w:color w:val="000000"/>
                <w:sz w:val="24"/>
              </w:rPr>
              <w:t>2.65%</w:t>
            </w:r>
          </w:p>
        </w:tc>
        <w:tc>
          <w:tcPr>
            <w:vAlign w:val="center"/>
          </w:tcPr>
          <w:p>
            <w:pPr>
              <w:jc w:val="center"/>
            </w:pPr>
            <w:r>
              <w:rPr>
                <w:color w:val="000000"/>
                <w:sz w:val="24"/>
              </w:rPr>
              <w:t>0.00%</w:t>
            </w:r>
          </w:p>
        </w:tc>
      </w:tr>
      <w:tr>
        <w:tc>
          <w:tcPr>
            <w:vAlign w:val="center"/>
          </w:tcPr>
          <w:p>
            <w:pPr>
              <w:jc w:val="left"/>
            </w:pPr>
            <w:r>
              <w:rPr>
                <w:color w:val="000000"/>
                <w:sz w:val="24"/>
              </w:rPr>
              <w:t>过去六个月</w:t>
            </w:r>
          </w:p>
        </w:tc>
        <w:tc>
          <w:tcPr>
            <w:vAlign w:val="center"/>
          </w:tcPr>
          <w:p>
            <w:pPr>
              <w:jc w:val="center"/>
            </w:pPr>
            <w:r>
              <w:rPr>
                <w:color w:val="000000"/>
                <w:sz w:val="24"/>
              </w:rPr>
              <w:t>14.09%</w:t>
            </w:r>
          </w:p>
        </w:tc>
        <w:tc>
          <w:tcPr>
            <w:vAlign w:val="center"/>
          </w:tcPr>
          <w:p>
            <w:pPr>
              <w:jc w:val="center"/>
            </w:pPr>
            <w:r>
              <w:rPr>
                <w:color w:val="000000"/>
                <w:sz w:val="24"/>
              </w:rPr>
              <w:t>1.98%</w:t>
            </w:r>
          </w:p>
        </w:tc>
        <w:tc>
          <w:tcPr>
            <w:vAlign w:val="center"/>
          </w:tcPr>
          <w:p>
            <w:pPr>
              <w:jc w:val="center"/>
            </w:pPr>
            <w:r>
              <w:rPr>
                <w:color w:val="000000"/>
                <w:sz w:val="24"/>
              </w:rPr>
              <w:t>9.20%</w:t>
            </w:r>
          </w:p>
        </w:tc>
        <w:tc>
          <w:tcPr>
            <w:vAlign w:val="center"/>
          </w:tcPr>
          <w:p>
            <w:pPr>
              <w:jc w:val="center"/>
            </w:pPr>
            <w:r>
              <w:rPr>
                <w:color w:val="000000"/>
                <w:sz w:val="24"/>
              </w:rPr>
              <w:t>1.98%</w:t>
            </w:r>
          </w:p>
        </w:tc>
        <w:tc>
          <w:tcPr>
            <w:vAlign w:val="center"/>
          </w:tcPr>
          <w:p>
            <w:pPr>
              <w:jc w:val="center"/>
            </w:pPr>
            <w:r>
              <w:rPr>
                <w:color w:val="000000"/>
                <w:sz w:val="24"/>
              </w:rPr>
              <w:t>4.89%</w:t>
            </w:r>
          </w:p>
        </w:tc>
        <w:tc>
          <w:tcPr>
            <w:vAlign w:val="center"/>
          </w:tcPr>
          <w:p>
            <w:pPr>
              <w:jc w:val="center"/>
            </w:pPr>
            <w:r>
              <w:rPr>
                <w:color w:val="000000"/>
                <w:sz w:val="24"/>
              </w:rPr>
              <w:t>0.00%</w:t>
            </w:r>
          </w:p>
        </w:tc>
      </w:tr>
      <w:tr>
        <w:tc>
          <w:tcPr>
            <w:vAlign w:val="center"/>
          </w:tcPr>
          <w:p>
            <w:pPr>
              <w:jc w:val="left"/>
            </w:pPr>
            <w:r>
              <w:rPr>
                <w:color w:val="000000"/>
                <w:sz w:val="24"/>
              </w:rPr>
              <w:t>过去一年</w:t>
            </w:r>
          </w:p>
        </w:tc>
        <w:tc>
          <w:tcPr>
            <w:vAlign w:val="center"/>
          </w:tcPr>
          <w:p>
            <w:pPr>
              <w:jc w:val="center"/>
            </w:pPr>
            <w:r>
              <w:rPr>
                <w:color w:val="000000"/>
                <w:sz w:val="24"/>
              </w:rPr>
              <w:t>19.29%</w:t>
            </w:r>
          </w:p>
        </w:tc>
        <w:tc>
          <w:tcPr>
            <w:vAlign w:val="center"/>
          </w:tcPr>
          <w:p>
            <w:pPr>
              <w:jc w:val="center"/>
            </w:pPr>
            <w:r>
              <w:rPr>
                <w:color w:val="000000"/>
                <w:sz w:val="24"/>
              </w:rPr>
              <w:t>1.63%</w:t>
            </w:r>
          </w:p>
        </w:tc>
        <w:tc>
          <w:tcPr>
            <w:vAlign w:val="center"/>
          </w:tcPr>
          <w:p>
            <w:pPr>
              <w:jc w:val="center"/>
            </w:pPr>
            <w:r>
              <w:rPr>
                <w:color w:val="000000"/>
                <w:sz w:val="24"/>
              </w:rPr>
              <w:t>11.23%</w:t>
            </w:r>
          </w:p>
        </w:tc>
        <w:tc>
          <w:tcPr>
            <w:vAlign w:val="center"/>
          </w:tcPr>
          <w:p>
            <w:pPr>
              <w:jc w:val="center"/>
            </w:pPr>
            <w:r>
              <w:rPr>
                <w:color w:val="000000"/>
                <w:sz w:val="24"/>
              </w:rPr>
              <w:t>1.63%</w:t>
            </w:r>
          </w:p>
        </w:tc>
        <w:tc>
          <w:tcPr>
            <w:vAlign w:val="center"/>
          </w:tcPr>
          <w:p>
            <w:pPr>
              <w:jc w:val="center"/>
            </w:pPr>
            <w:r>
              <w:rPr>
                <w:color w:val="000000"/>
                <w:sz w:val="24"/>
              </w:rPr>
              <w:t>8.06%</w:t>
            </w:r>
          </w:p>
        </w:tc>
        <w:tc>
          <w:tcPr>
            <w:vAlign w:val="center"/>
          </w:tcPr>
          <w:p>
            <w:pPr>
              <w:jc w:val="center"/>
            </w:pPr>
            <w:r>
              <w:rPr>
                <w:color w:val="000000"/>
                <w:sz w:val="24"/>
              </w:rPr>
              <w:t>0.00%</w:t>
            </w:r>
          </w:p>
        </w:tc>
      </w:tr>
      <w:tr>
        <w:tc>
          <w:tcPr>
            <w:vAlign w:val="center"/>
          </w:tcPr>
          <w:p>
            <w:pPr>
              <w:jc w:val="left"/>
            </w:pPr>
            <w:r>
              <w:rPr>
                <w:color w:val="000000"/>
                <w:sz w:val="24"/>
              </w:rPr>
              <w:t>过去三年</w:t>
            </w:r>
          </w:p>
        </w:tc>
        <w:tc>
          <w:tcPr>
            <w:vAlign w:val="center"/>
          </w:tcPr>
          <w:p>
            <w:pPr>
              <w:jc w:val="center"/>
            </w:pPr>
            <w:r>
              <w:rPr>
                <w:color w:val="000000"/>
                <w:sz w:val="24"/>
              </w:rPr>
              <w:t>-0.52%</w:t>
            </w:r>
          </w:p>
        </w:tc>
        <w:tc>
          <w:tcPr>
            <w:vAlign w:val="center"/>
          </w:tcPr>
          <w:p>
            <w:pPr>
              <w:jc w:val="center"/>
            </w:pPr>
            <w:r>
              <w:rPr>
                <w:color w:val="000000"/>
                <w:sz w:val="24"/>
              </w:rPr>
              <w:t>1.64%</w:t>
            </w:r>
          </w:p>
        </w:tc>
        <w:tc>
          <w:tcPr>
            <w:vAlign w:val="center"/>
          </w:tcPr>
          <w:p>
            <w:pPr>
              <w:jc w:val="center"/>
            </w:pPr>
            <w:r>
              <w:rPr>
                <w:color w:val="000000"/>
                <w:sz w:val="24"/>
              </w:rPr>
              <w:t>-7.95%</w:t>
            </w:r>
          </w:p>
        </w:tc>
        <w:tc>
          <w:tcPr>
            <w:vAlign w:val="center"/>
          </w:tcPr>
          <w:p>
            <w:pPr>
              <w:jc w:val="center"/>
            </w:pPr>
            <w:r>
              <w:rPr>
                <w:color w:val="000000"/>
                <w:sz w:val="24"/>
              </w:rPr>
              <w:t>1.64%</w:t>
            </w:r>
          </w:p>
        </w:tc>
        <w:tc>
          <w:tcPr>
            <w:vAlign w:val="center"/>
          </w:tcPr>
          <w:p>
            <w:pPr>
              <w:jc w:val="center"/>
            </w:pPr>
            <w:r>
              <w:rPr>
                <w:color w:val="000000"/>
                <w:sz w:val="24"/>
              </w:rPr>
              <w:t>7.43%</w:t>
            </w:r>
          </w:p>
        </w:tc>
        <w:tc>
          <w:tcPr>
            <w:vAlign w:val="center"/>
          </w:tcPr>
          <w:p>
            <w:pPr>
              <w:jc w:val="center"/>
            </w:pPr>
            <w:r>
              <w:rPr>
                <w:color w:val="000000"/>
                <w:sz w:val="24"/>
              </w:rPr>
              <w:t>0.00%</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-39.89%</w:t>
            </w:r>
          </w:p>
        </w:tc>
        <w:tc>
          <w:tcPr>
            <w:vAlign w:val="center"/>
          </w:tcPr>
          <w:p>
            <w:pPr>
              <w:jc w:val="center"/>
            </w:pPr>
            <w:r>
              <w:rPr>
                <w:color w:val="000000"/>
                <w:sz w:val="24"/>
              </w:rPr>
              <w:t>1.91%</w:t>
            </w:r>
          </w:p>
        </w:tc>
        <w:tc>
          <w:tcPr>
            <w:vAlign w:val="center"/>
          </w:tcPr>
          <w:p>
            <w:pPr>
              <w:jc w:val="center"/>
            </w:pPr>
            <w:r>
              <w:rPr>
                <w:color w:val="000000"/>
                <w:sz w:val="24"/>
              </w:rPr>
              <w:t>-27.58%</w:t>
            </w:r>
          </w:p>
        </w:tc>
        <w:tc>
          <w:tcPr>
            <w:vAlign w:val="center"/>
          </w:tcPr>
          <w:p>
            <w:pPr>
              <w:jc w:val="center"/>
            </w:pPr>
            <w:r>
              <w:rPr>
                <w:color w:val="000000"/>
                <w:sz w:val="24"/>
              </w:rPr>
              <w:t>1.94%</w:t>
            </w:r>
          </w:p>
        </w:tc>
        <w:tc>
          <w:tcPr>
            <w:vAlign w:val="center"/>
          </w:tcPr>
          <w:p>
            <w:pPr>
              <w:jc w:val="center"/>
            </w:pPr>
            <w:r>
              <w:rPr>
                <w:color w:val="000000"/>
                <w:sz w:val="24"/>
              </w:rPr>
              <w:t>-12.31%</w:t>
            </w:r>
          </w:p>
        </w:tc>
        <w:tc>
          <w:tcPr>
            <w:vAlign w:val="center"/>
          </w:tcPr>
          <w:p>
            <w:pPr>
              <w:jc w:val="center"/>
            </w:pPr>
            <w:r>
              <w:rPr>
                <w:color w:val="000000"/>
                <w:sz w:val="24"/>
              </w:rPr>
              <w:t>-0.03%</w:t>
            </w:r>
          </w:p>
        </w:tc>
      </w:tr>
    </w:tbl>
    <w:p w:rsidP="003A4DA3" w:rsidR="001C36D8" w:rsidRDefault="001C36D8" w:rsidRPr="00272E0C">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3.2.2</w:t>
        </w:r>
        <w:r w:rsidR="00193F07" w:rsidRPr="00370BEA">
          <w:rPr>
            <w:rStyle w:val="af8"/>
            <w:rFonts w:hint="eastAsia"/>
            <w:color w:val="000000"/>
            <w:sz w:val="24"/>
            <w:shd w:color="auto" w:fill="FFFFFF" w:val="clear"/>
          </w:rPr>
          <w:t/>
        </w:r>
        <w:proofErr w:type="spellStart"/>
        <w:r w:rsidR="00193F07" w:rsidRPr="00370BEA">
          <w:rPr>
            <w:rStyle w:val="af8"/>
            <w:rFonts w:hint="eastAsia"/>
            <w:color w:val="000000"/>
            <w:sz w:val="24"/>
            <w:shd w:color="auto" w:fill="FFFFFF" w:val="clear"/>
          </w:rPr>
          <w:t/>
        </w:r>
        <w:proofErr w:type="spellEnd"/>
        <w:r w:rsidR="00193F07" w:rsidRPr="00370BEA">
          <w:rPr>
            <w:rStyle w:val="af8"/>
            <w:rFonts w:hint="eastAsia"/>
            <w:color w:val="000000"/>
            <w:sz w:val="24"/>
            <w:shd w:color="auto" w:fill="FFFFFF" w:val="clear"/>
          </w:rPr>
          <w:t>自基金合同生效以来</w:t>
        </w:r>
      </w:smartTag>
      <w:r w:rsidRPr="00272E0C">
        <w:rPr>
          <w:rFonts w:ascii="宋体" w:hAnsi="宋体" w:hint="eastAsia"/>
          <w:b/>
          <w:bCs/>
          <w:color w:val="000000"/>
          <w:sz w:val="24"/>
        </w:rPr>
        <w:t>基金累计净值增长率变动及其与同期业绩比较基准收益率变动的比较</w:t>
      </w:r>
    </w:p>
    <w:p w:rsidP="003A4DA3" w:rsidR="001C36D8" w:rsidRDefault="001C36D8" w:rsidRPr="00E43B0B">
      <w:pPr>
        <w:spacing w:line="360" w:lineRule="auto"/>
        <w:jc w:val="center"/>
        <w:rPr>
          <w:sz w:val="24"/>
        </w:rPr>
      </w:pPr>
      <w:r w:rsidRPr="00E43B0B">
        <w:rPr>
          <w:sz w:val="24"/>
        </w:rPr>
        <w:t/>
      </w:r>
      <w:proofErr w:type="spellStart"/>
      <w:r w:rsidRPr="00E43B0B">
        <w:rPr>
          <w:sz w:val="24"/>
        </w:rPr>
        <w:t/>
      </w:r>
      <w:proofErr w:type="spellEnd"/>
      <w:r w:rsidRPr="00E43B0B">
        <w:rPr>
          <w:sz w:val="24"/>
        </w:rPr>
        <w:t>易方达军工指数分级证券投资基金</w:t>
      </w:r>
    </w:p>
    <w:p w:rsidP="003A4DA3" w:rsidR="001C36D8" w:rsidRDefault="006F4C30" w:rsidRPr="00E43B0B">
      <w:pPr>
        <w:pStyle w:val="a5"/>
        <w:snapToGrid w:val="0"/>
        <w:spacing w:line="360" w:lineRule="auto"/>
        <w:jc w:val="center"/>
        <w:rPr>
          <w:rFonts w:ascii="Times New Roman" w:hAnsi="Times New Roman"/>
          <w:color w:val="000000"/>
          <w:sz w:val="24"/>
          <w:szCs w:val="24"/>
        </w:rPr>
      </w:pPr>
      <w:r w:rsidRPr="00E43B0B">
        <w:rPr>
          <w:rFonts w:ascii="Times New Roman" w:hAnsi="Times New Roman"/>
          <w:color w:val="000000"/>
          <w:sz w:val="24"/>
          <w:szCs w:val="24"/>
        </w:rPr>
        <w:t>累计</w:t>
      </w:r>
      <w:r w:rsidR="001C36D8" w:rsidRPr="00E43B0B">
        <w:rPr>
          <w:rFonts w:ascii="Times New Roman" w:hAnsi="Times New Roman"/>
          <w:color w:val="000000"/>
          <w:sz w:val="24"/>
          <w:szCs w:val="24"/>
        </w:rPr>
        <w:t>净值增长率与业绩比较基准收益率历史走势对比图</w:t>
      </w:r>
    </w:p>
    <w:p w:rsidP="003A4DA3" w:rsidR="001C36D8" w:rsidRDefault="001C36D8" w:rsidRPr="00E43B0B">
      <w:pPr>
        <w:spacing w:line="360" w:lineRule="auto"/>
        <w:jc w:val="center"/>
        <w:rPr>
          <w:sz w:val="24"/>
        </w:rPr>
      </w:pPr>
      <w:r w:rsidRPr="00E43B0B">
        <w:rPr>
          <w:color w:val="000000"/>
          <w:kern w:val="0"/>
          <w:sz w:val="24"/>
        </w:rPr>
        <w:t>（</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2015年7月8日</w:t>
      </w:r>
      <w:r w:rsidRPr="00E43B0B">
        <w:rPr>
          <w:color w:val="000000"/>
          <w:kern w:val="0"/>
          <w:sz w:val="24"/>
        </w:rPr>
        <w:t>至</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2020年6月30日</w:t>
      </w:r>
      <w:r w:rsidRPr="00E43B0B">
        <w:rPr>
          <w:color w:val="000000"/>
          <w:kern w:val="0"/>
          <w:sz w:val="24"/>
        </w:rPr>
        <w:t>）</w:t>
      </w:r>
    </w:p>
    <w:p w:rsidP="0042253F" w:rsidR="001C36D8" w:rsidRDefault="00FE4BF2" w:rsidRPr="00272E0C">
      <w:pPr>
        <w:tabs>
          <w:tab w:pos="180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1.4pt;height:241.5pt;visibility:visible" type="#_x0000_t75">
            <v:imagedata o:title="" r:id="rId10"/>
          </v:shape>
        </w:pic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注：自基金合同生效至报告期末，基金份额净值增长率为-39.89%，同期业绩比较基准收益率为-27.58%。</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4  </w:t>
      </w:r>
      <w:r w:rsidRPr="00272E0C">
        <w:rPr>
          <w:rFonts w:ascii="宋体" w:cs="Arial" w:hAnsi="宋体" w:hint="eastAsia"/>
          <w:color w:val="000000"/>
          <w:kern w:val="0"/>
          <w:sz w:val="24"/>
          <w:szCs w:val="24"/>
        </w:rPr>
        <w:t>管理人报告</w:t>
      </w:r>
    </w:p>
    <w:p w:rsidP="005C6DF3" w:rsidR="005C6DF3" w:rsidRDefault="001C36D8" w:rsidRPr="0078105B">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4.1 </w:t>
      </w:r>
      <w:r w:rsidRPr="00272E0C">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5C6DF3" w:rsidRPr="0078105B" w:rsidTr="00B7074C">
        <w:trPr>
          <w:cantSplit/>
        </w:trPr>
        <w:tc>
          <w:tcPr>
            <w:tcW w:type="dxa" w:w="56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w:t>
            </w:r>
            <w:r w:rsidRPr="00FA472B">
              <w:rPr>
                <w:color w:val="000000"/>
                <w:kern w:val="0"/>
                <w:sz w:val="24"/>
              </w:rPr>
              <w:lastRenderedPageBreak/>
              <w:t>年限</w:t>
            </w:r>
          </w:p>
        </w:tc>
        <w:tc>
          <w:tcPr>
            <w:tcW w:type="dxa" w:w="297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lastRenderedPageBreak/>
              <w:t>说明</w:t>
            </w:r>
          </w:p>
        </w:tc>
      </w:tr>
      <w:tr w:rsidR="005C6DF3" w:rsidRPr="0078105B" w:rsidTr="00B7074C">
        <w:trPr>
          <w:cantSplit/>
        </w:trPr>
        <w:tc>
          <w:tcPr>
            <w:tcW w:type="dxa" w:w="56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835"/>
            <w:vMerge/>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证券公司指数分级证券投资基金的基金经理、易方达沪深300交易型开放式指数发起式证券投资基金联接基金的基金经理、易方达沪深300交易型开放式指数发起式证券投资基金的基金经理、易方达中证500交易型开放式指数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黄金交易型开放式证券投资基金联接基金的基金经理、易方达恒生中国企业交易型开放式指数证券投资基金的基金经理、易方达黄金交易型开放式证券投资基金的基金经理、易方达恒生中国企业交易型开放式指数证券投资基金联接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2015-07-08</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C6DF3" w:rsidR="00CB041A" w:rsidRDefault="005C6DF3" w:rsidRPr="00232B03">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CB041A"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4.2</w:t>
      </w:r>
      <w:r w:rsidRPr="00272E0C">
        <w:rPr>
          <w:rFonts w:ascii="宋体" w:hAnsi="宋体" w:hint="eastAsia"/>
          <w:b/>
          <w:bCs/>
          <w:color w:val="000000"/>
          <w:sz w:val="24"/>
        </w:rPr>
        <w:t>管理人对报告期内本基金运作遵规守信情况的说明</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4.3 </w:t>
      </w:r>
      <w:r w:rsidRPr="00272E0C">
        <w:rPr>
          <w:rFonts w:ascii="宋体" w:cs="Arial" w:hAnsi="宋体" w:hint="eastAsia"/>
          <w:b/>
          <w:color w:val="000000"/>
          <w:kern w:val="0"/>
          <w:sz w:val="24"/>
        </w:rPr>
        <w:t>公平交易专项说明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4.3.1</w:t>
        </w:r>
      </w:smartTag>
      <w:r w:rsidRPr="00272E0C">
        <w:rPr>
          <w:rFonts w:ascii="宋体" w:hAnsi="宋体" w:hint="eastAsia"/>
          <w:sz w:val="24"/>
        </w:rPr>
        <w:t>公平交易制度的执行情况</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4.3.2</w:t>
        </w:r>
      </w:smartTag>
      <w:r w:rsidRPr="00272E0C">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本报告期内，未发现本基金有可能导致不公平交易和利益输送的异常交易。</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4.4 </w:t>
      </w:r>
      <w:r w:rsidRPr="00272E0C">
        <w:rPr>
          <w:rFonts w:ascii="宋体" w:cs="Arial" w:hAnsi="宋体" w:hint="eastAsia"/>
          <w:b/>
          <w:color w:val="000000"/>
          <w:kern w:val="0"/>
          <w:sz w:val="24"/>
        </w:rPr>
        <w:t>报告期内基金的投资策略和业绩表现说明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4.4.1</w:t>
        </w:r>
      </w:smartTag>
      <w:r w:rsidRPr="00272E0C">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报告期内中证军工指数上涨11.16%。</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报告期内本基金为正常运作期，在操作中，我们严格遵守基金合同，坚持既定的指数化投资策略，在指数权重调整和基金申赎变动时，应用指数复制和数量化技术降低冲击成本和减少跟踪误差。</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4.4.2</w:t>
        </w:r>
      </w:smartTag>
      <w:r w:rsidRPr="00272E0C">
        <w:rPr>
          <w:rFonts w:ascii="宋体" w:hAnsi="宋体" w:hint="eastAsia"/>
          <w:sz w:val="24"/>
        </w:rPr>
        <w:t>报告期内基金的业绩表现</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截至报告期末，本基金份额净值为1.3947元，本报告期份额净值增长率为13.25%，同期业绩比较基准收益率为10.60%，日跟踪偏离度的均值为0.05%，年化跟踪误差为1.002%，各项指标均在合同规定的目标控制范围之内。</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5  </w:t>
      </w:r>
      <w:r w:rsidRPr="00272E0C">
        <w:rPr>
          <w:rFonts w:ascii="宋体" w:cs="Arial" w:hAnsi="宋体" w:hint="eastAsia"/>
          <w:color w:val="000000"/>
          <w:kern w:val="0"/>
          <w:sz w:val="24"/>
          <w:szCs w:val="24"/>
        </w:rPr>
        <w:t>投资组合报告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5.1 </w:t>
      </w:r>
      <w:r w:rsidRPr="00272E0C">
        <w:rPr>
          <w:rFonts w:ascii="宋体" w:cs="Arial" w:hAnsi="宋体" w:hint="eastAsia"/>
          <w:b/>
          <w:color w:val="000000"/>
          <w:kern w:val="0"/>
          <w:sz w:val="24"/>
        </w:rPr>
        <w:t>报告期末基金资产组合情况</w:t>
      </w:r>
    </w:p>
    <w:tbl>
      <w:tblPr>
        <w:tblW w:type="dxa" w:w="874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643"/>
        <w:gridCol w:w="3283"/>
        <w:gridCol w:w="2977"/>
        <w:gridCol w:w="1843"/>
      </w:tblGrid>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序号</w:t>
            </w:r>
          </w:p>
        </w:tc>
        <w:tc>
          <w:tcPr>
            <w:tcW w:type="dxa" w:w="3283"/>
            <w:vAlign w:val="center"/>
          </w:tcPr>
          <w:p w:rsidP="001A09F9" w:rsidR="001C36D8" w:rsidRDefault="001C36D8" w:rsidRPr="005B1E0B">
            <w:pPr>
              <w:spacing w:before="29" w:line="360" w:lineRule="auto"/>
              <w:ind w:left="17"/>
              <w:jc w:val="center"/>
              <w:rPr>
                <w:color w:val="000000"/>
                <w:sz w:val="24"/>
              </w:rPr>
            </w:pPr>
            <w:r w:rsidRPr="005B1E0B">
              <w:rPr>
                <w:color w:val="000000"/>
                <w:sz w:val="24"/>
              </w:rPr>
              <w:t>项目</w:t>
            </w:r>
          </w:p>
        </w:tc>
        <w:tc>
          <w:tcPr>
            <w:tcW w:type="dxa" w:w="2977"/>
            <w:vAlign w:val="center"/>
          </w:tcPr>
          <w:p w:rsidP="0015779C" w:rsidR="001C36D8" w:rsidRDefault="001C36D8" w:rsidRPr="005B1E0B">
            <w:pPr>
              <w:spacing w:before="29" w:line="360" w:lineRule="auto"/>
              <w:ind w:left="17"/>
              <w:jc w:val="center"/>
              <w:rPr>
                <w:color w:val="000000"/>
                <w:sz w:val="24"/>
              </w:rPr>
            </w:pPr>
            <w:r w:rsidRPr="005B1E0B">
              <w:rPr>
                <w:color w:val="000000"/>
                <w:sz w:val="24"/>
              </w:rPr>
              <w:t>金额</w:t>
            </w:r>
            <w:r w:rsidR="0015779C" w:rsidRPr="005B1E0B">
              <w:rPr>
                <w:color w:val="000000"/>
                <w:sz w:val="24"/>
              </w:rPr>
              <w:t>（元）</w:t>
            </w:r>
          </w:p>
        </w:tc>
        <w:tc>
          <w:tcPr>
            <w:tcW w:type="dxa" w:w="1843"/>
            <w:vAlign w:val="center"/>
          </w:tcPr>
          <w:p w:rsidP="0015779C" w:rsidR="001C36D8" w:rsidRDefault="001C36D8" w:rsidRPr="005B1E0B">
            <w:pPr>
              <w:spacing w:before="29" w:line="360" w:lineRule="auto"/>
              <w:ind w:left="17"/>
              <w:jc w:val="center"/>
              <w:rPr>
                <w:color w:val="000000"/>
                <w:sz w:val="24"/>
              </w:rPr>
            </w:pPr>
            <w:r w:rsidRPr="005B1E0B">
              <w:rPr>
                <w:color w:val="000000"/>
                <w:sz w:val="24"/>
              </w:rPr>
              <w:t>占基金总资产的比例</w:t>
            </w:r>
            <w:r w:rsidR="0015779C" w:rsidRPr="005B1E0B">
              <w:rPr>
                <w:color w:val="000000"/>
                <w:sz w:val="24"/>
              </w:rPr>
              <w:t>（</w:t>
            </w:r>
            <w:r w:rsidR="0015779C" w:rsidRPr="005B1E0B">
              <w:rPr>
                <w:color w:val="000000"/>
                <w:sz w:val="24"/>
              </w:rPr>
              <w:t>%</w:t>
            </w:r>
            <w:r w:rsidR="0015779C"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1</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权益投资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142,959,782.70</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93.23</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其中：股票</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142,959,782.70</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93.23</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2</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固定收益投资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其中：债券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autoSpaceDE w:val="0"/>
              <w:autoSpaceDN w:val="0"/>
              <w:adjustRightInd w:val="0"/>
              <w:spacing w:before="29" w:line="360" w:lineRule="auto"/>
              <w:ind w:left="17"/>
              <w:jc w:val="left"/>
              <w:rPr>
                <w:color w:val="000000"/>
                <w:sz w:val="24"/>
              </w:rPr>
            </w:pPr>
            <w:r w:rsidRPr="005B1E0B">
              <w:rPr>
                <w:color w:val="000000"/>
                <w:sz w:val="24"/>
              </w:rPr>
              <w:t>资产支持证券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tcPr>
          <w:p w:rsidP="001A09F9" w:rsidR="001C36D8" w:rsidRDefault="001C36D8" w:rsidRPr="005B1E0B">
            <w:pPr>
              <w:spacing w:before="29" w:line="360" w:lineRule="auto"/>
              <w:ind w:left="17"/>
              <w:jc w:val="center"/>
              <w:rPr>
                <w:color w:val="000000"/>
                <w:sz w:val="24"/>
              </w:rPr>
            </w:pPr>
            <w:r w:rsidRPr="005B1E0B">
              <w:rPr>
                <w:color w:val="000000"/>
                <w:sz w:val="24"/>
              </w:rPr>
              <w:t>3</w:t>
            </w:r>
          </w:p>
        </w:tc>
        <w:tc>
          <w:tcPr>
            <w:tcW w:type="dxa" w:w="3283"/>
          </w:tcPr>
          <w:p w:rsidP="0015779C" w:rsidR="001C36D8" w:rsidRDefault="001C36D8" w:rsidRPr="005B1E0B">
            <w:pPr>
              <w:spacing w:before="29" w:line="360" w:lineRule="auto"/>
              <w:ind w:left="105" w:leftChars="50"/>
              <w:rPr>
                <w:color w:val="000000"/>
                <w:sz w:val="24"/>
              </w:rPr>
            </w:pPr>
            <w:r w:rsidRPr="005B1E0B">
              <w:rPr>
                <w:color w:val="000000"/>
                <w:sz w:val="24"/>
              </w:rPr>
              <w:t>贵金属投资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lastRenderedPageBreak/>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4</w:t>
            </w:r>
          </w:p>
        </w:tc>
        <w:tc>
          <w:tcPr>
            <w:tcW w:type="dxa" w:w="3283"/>
            <w:vAlign w:val="center"/>
          </w:tcPr>
          <w:p w:rsidP="001A09F9" w:rsidR="001C36D8" w:rsidRDefault="001C36D8" w:rsidRPr="005B1E0B">
            <w:pPr>
              <w:spacing w:before="29" w:line="360" w:lineRule="auto"/>
              <w:ind w:left="17"/>
              <w:jc w:val="left"/>
              <w:rPr>
                <w:color w:val="000000"/>
                <w:sz w:val="24"/>
              </w:rPr>
            </w:pPr>
            <w:r w:rsidRPr="005B1E0B">
              <w:rPr>
                <w:color w:val="000000"/>
                <w:sz w:val="24"/>
              </w:rPr>
              <w:t>金融衍生品投资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5</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其中：买断式回购的买入返售金融资产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6</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银行存款和结算备付金合计</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9,358,644.05</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r w:rsidRPr="005B1E0B">
              <w:rPr>
                <w:color w:val="000000"/>
                <w:sz w:val="24"/>
              </w:rPr>
              <w:lastRenderedPageBreak/>
              <w:t>6.10</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7</w:t>
            </w:r>
          </w:p>
        </w:tc>
        <w:tc>
          <w:tcPr>
            <w:tcW w:type="dxa" w:w="3283"/>
            <w:vAlign w:val="center"/>
          </w:tcPr>
          <w:p w:rsidP="001A09F9" w:rsidR="001C36D8" w:rsidRDefault="001C36D8" w:rsidRPr="005B1E0B">
            <w:pPr>
              <w:jc w:val="left"/>
              <w:rPr>
                <w:sz w:val="24"/>
              </w:rPr>
            </w:pPr>
            <w:r w:rsidRPr="005B1E0B">
              <w:rPr>
                <w:color w:val="000000"/>
                <w:sz w:val="24"/>
              </w:rPr>
              <w:t>其他资产</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1,030,504.92</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0.67</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8</w:t>
            </w:r>
          </w:p>
        </w:tc>
        <w:tc>
          <w:tcPr>
            <w:tcW w:type="dxa" w:w="3283"/>
            <w:vAlign w:val="center"/>
          </w:tcPr>
          <w:p w:rsidP="001A09F9" w:rsidR="001C36D8" w:rsidRDefault="001C36D8" w:rsidRPr="005B1E0B">
            <w:pPr>
              <w:jc w:val="left"/>
              <w:rPr>
                <w:sz w:val="24"/>
              </w:rPr>
            </w:pPr>
            <w:r w:rsidRPr="005B1E0B">
              <w:rPr>
                <w:color w:val="000000"/>
                <w:sz w:val="24"/>
              </w:rPr>
              <w:t>合计</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153,348,931.67</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100.00</w:t>
            </w:r>
          </w:p>
        </w:tc>
      </w:tr>
    </w:tbl>
    <w:p w:rsidP="00737AB0" w:rsidR="00737AB0" w:rsidRDefault="00737AB0"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rPr>
      </w:pPr>
      <w:r w:rsidRPr="00220C32">
        <w:rPr>
          <w:rFonts w:asciiTheme="minorEastAsia" w:eastAsiaTheme="minorEastAsia" w:hAnsiTheme="minorEastAsia"/>
          <w:b/>
          <w:bCs/>
          <w:color w:themeColor="text1" w:val="000000"/>
          <w:kern w:val="0"/>
          <w:sz w:val="24"/>
        </w:rPr>
        <w:t xml:space="preserve">5.2 </w:t>
      </w:r>
      <w:r w:rsidRPr="00220C32">
        <w:rPr>
          <w:rFonts w:asciiTheme="minorEastAsia" w:eastAsiaTheme="minorEastAsia" w:hAnsiTheme="minorEastAsia" w:hint="eastAsia"/>
          <w:b/>
          <w:bCs/>
          <w:color w:themeColor="text1" w:val="000000"/>
          <w:kern w:val="0"/>
          <w:sz w:val="24"/>
        </w:rPr>
        <w:t>报告期末按行业分类的股票投资组合</w:t>
      </w:r>
    </w:p>
    <w:p w:rsidP="00737AB0" w:rsidR="00737AB0" w:rsidRDefault="00737AB0" w:rsidRPr="000D7474">
      <w:pPr>
        <w:rPr>
          <w:rFonts w:asciiTheme="minorEastAsia" w:eastAsiaTheme="minorEastAsia" w:hAnsiTheme="minorEastAsia"/>
          <w:b/>
          <w:bCs/>
          <w:color w:themeColor="text1" w:val="000000"/>
          <w:kern w:val="0"/>
          <w:sz w:val="24"/>
        </w:rPr>
      </w:pPr>
      <w:r w:rsidRPr="000D7474">
        <w:rPr>
          <w:rFonts w:asciiTheme="minorEastAsia" w:eastAsiaTheme="minorEastAsia" w:hAnsiTheme="minorEastAsia"/>
          <w:b/>
          <w:bCs/>
          <w:color w:themeColor="text1" w:val="000000"/>
          <w:kern w:val="0"/>
          <w:sz w:val="24"/>
        </w:rPr>
        <w:t/>
      </w:r>
      <w:proofErr w:type="spellStart"/>
      <w:r w:rsidRPr="000D7474">
        <w:rPr>
          <w:rFonts w:asciiTheme="minorEastAsia" w:eastAsiaTheme="minorEastAsia" w:hAnsiTheme="minorEastAsia"/>
          <w:b/>
          <w:bCs/>
          <w:color w:themeColor="text1" w:val="000000"/>
          <w:kern w:val="0"/>
          <w:sz w:val="24"/>
        </w:rPr>
        <w:t/>
      </w:r>
      <w:proofErr w:type="spellEnd"/>
      <w:r w:rsidRPr="000D7474">
        <w:rPr>
          <w:rFonts w:asciiTheme="minorEastAsia" w:eastAsiaTheme="minorEastAsia" w:hAnsiTheme="minorEastAsia"/>
          <w:b/>
          <w:bCs/>
          <w:color w:themeColor="text1" w:val="000000"/>
          <w:kern w:val="0"/>
          <w:sz w:val="24"/>
        </w:rPr>
        <w:t/>
      </w:r>
      <w:r w:rsidRPr="000D7474">
        <w:rPr>
          <w:rFonts w:asciiTheme="minorEastAsia" w:eastAsiaTheme="minorEastAsia" w:hAnsiTheme="minorEastAsia" w:hint="eastAsia"/>
          <w:b/>
          <w:bCs/>
          <w:color w:themeColor="text1" w:val="000000"/>
          <w:kern w:val="0"/>
          <w:sz w:val="24"/>
        </w:rPr>
        <w:t>5.2.1报告期末按行业分类的境内股票投资组合</w:t>
      </w:r>
    </w:p>
    <w:tbl>
      <w:tblPr>
        <w:tblW w:type="dxa" w:w="8976"/>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85"/>
        <w:gridCol w:w="3691"/>
        <w:gridCol w:w="2852"/>
        <w:gridCol w:w="1648"/>
      </w:tblGrid>
      <w:tr w:rsidR="00737AB0" w:rsidRPr="008C2A4F" w:rsidTr="00EF063B">
        <w:trPr>
          <w:trHeight w:val="390"/>
        </w:trPr>
        <w:tc>
          <w:tcPr>
            <w:tcW w:type="dxa" w:w="785"/>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代码</w:t>
            </w: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行业类别</w:t>
            </w:r>
          </w:p>
        </w:tc>
        <w:tc>
          <w:tcPr>
            <w:tcW w:type="dxa" w:w="2852"/>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公允价值（元）</w:t>
            </w:r>
          </w:p>
        </w:tc>
        <w:tc>
          <w:tcPr>
            <w:tcW w:type="dxa" w:w="1648"/>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占基金资产净值比例（％）</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A</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农、林、牧、渔业</w:t>
            </w:r>
          </w:p>
        </w:tc>
        <w:tc>
          <w:tcPr>
            <w:tcW w:type="dxa" w:w="2852"/>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B</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采矿业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p w:rsidP="00D94F96" w:rsidR="00737AB0" w:rsidRDefault="00737AB0" w:rsidRPr="008C2A4F">
            <w:pPr>
              <w:jc w:val="right"/>
              <w:rPr>
                <w:rFonts w:eastAsiaTheme="minorEastAsia"/>
                <w:color w:themeColor="text1" w:val="000000"/>
                <w:kern w:val="0"/>
                <w:sz w:val="24"/>
              </w:rPr>
            </w:pP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p w:rsidP="00D94F96" w:rsidR="00737AB0" w:rsidRDefault="00737AB0" w:rsidRPr="008C2A4F">
            <w:pPr>
              <w:jc w:val="right"/>
              <w:rPr>
                <w:rFonts w:eastAsiaTheme="minorEastAsia"/>
                <w:color w:themeColor="text1" w:val="000000"/>
                <w:kern w:val="0"/>
                <w:sz w:val="24"/>
              </w:rPr>
            </w:pP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C</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制造业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135,035,529.13</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89.31</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D</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电力、热力、燃气及水生产和供应</w:t>
            </w:r>
            <w:r w:rsidRPr="008C2A4F">
              <w:rPr>
                <w:rFonts w:eastAsiaTheme="minorEastAsia"/>
                <w:color w:themeColor="text1" w:val="000000"/>
                <w:kern w:val="0"/>
                <w:sz w:val="24"/>
              </w:rPr>
              <w:lastRenderedPageBreak/>
              <w:t>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12,766.32</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0.01</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E</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建筑业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F</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批发和零售业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G</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交通运输、仓储和邮政业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H</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住宿和餐饮业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I</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信息传输、软件和信息技术服务业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7,911,487.25</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5.23</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J</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金融业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K</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房地产业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L</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租赁和商务服务业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M</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科学研究和技术服务业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N</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水利、环境和公共设施管理业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O</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居民服务、修理和其他服务业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P</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教育</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Q</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卫生和社会工作</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R</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文化、体育和娱乐业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S</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综合</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合计</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142,959,782.70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94.55</w:t>
            </w:r>
          </w:p>
        </w:tc>
      </w:tr>
    </w:tbl>
    <w:p w:rsidP="000F2837" w:rsidR="000F2837" w:rsidRDefault="001C36D8" w:rsidRPr="000F2837">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5.3</w:t>
      </w:r>
      <w:r w:rsidR="00291A74" w:rsidRPr="00291A74">
        <w:rPr>
          <w:rFonts w:ascii="宋体" w:cs="Arial" w:hAnsi="宋体" w:hint="eastAsia"/>
          <w:b/>
          <w:color w:val="000000"/>
          <w:kern w:val="0"/>
          <w:sz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0F2837" w:rsidRPr="00264E55" w:rsidTr="002406DE">
        <w:tc>
          <w:tcPr>
            <w:tcW w:type="dxa" w:w="85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序号</w:t>
            </w:r>
          </w:p>
        </w:tc>
        <w:tc>
          <w:tcPr>
            <w:tcW w:type="dxa" w:w="1276"/>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股票代码</w:t>
            </w:r>
          </w:p>
        </w:tc>
        <w:tc>
          <w:tcPr>
            <w:tcW w:type="dxa" w:w="1418"/>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股票名称</w:t>
            </w:r>
          </w:p>
        </w:tc>
        <w:tc>
          <w:tcPr>
            <w:tcW w:type="dxa" w:w="170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数量（股）</w:t>
            </w:r>
          </w:p>
        </w:tc>
        <w:tc>
          <w:tcPr>
            <w:tcW w:type="dxa" w:w="1984"/>
            <w:vAlign w:val="center"/>
          </w:tcPr>
          <w:p w:rsidP="002406DE" w:rsidR="000F2837" w:rsidRDefault="000F2837" w:rsidRPr="00232B03">
            <w:pPr>
              <w:autoSpaceDE w:val="0"/>
              <w:autoSpaceDN w:val="0"/>
              <w:adjustRightInd w:val="0"/>
              <w:spacing w:before="29" w:line="360" w:lineRule="auto"/>
              <w:ind w:left="17"/>
              <w:jc w:val="center"/>
              <w:rPr>
                <w:color w:val="000000"/>
                <w:kern w:val="0"/>
                <w:sz w:val="24"/>
              </w:rPr>
            </w:pPr>
            <w:r w:rsidRPr="00232B03">
              <w:rPr>
                <w:color w:val="000000"/>
                <w:kern w:val="0"/>
                <w:sz w:val="24"/>
              </w:rPr>
              <w:t>公允价值（元）</w:t>
            </w:r>
          </w:p>
        </w:tc>
        <w:tc>
          <w:tcPr>
            <w:tcW w:type="dxa" w:w="1559"/>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占基金资产净值比例（％）</w:t>
            </w:r>
          </w:p>
        </w:tc>
      </w:tr>
      <w:tr>
        <w:tc>
          <w:tcPr>
            <w:vAlign w:val="center"/>
          </w:tcPr>
          <w:p>
            <w:pPr>
              <w:jc w:val="center"/>
            </w:pPr>
            <w:r>
              <w:rPr>
                <w:color w:val="000000"/>
                <w:kern w:val="0"/>
                <w:sz w:val="24"/>
              </w:rPr>
              <w:t>1</w:t>
            </w:r>
          </w:p>
        </w:tc>
        <w:tc>
          <w:tcPr>
            <w:vAlign w:val="center"/>
          </w:tcPr>
          <w:p>
            <w:pPr>
              <w:jc w:val="center"/>
            </w:pPr>
            <w:r>
              <w:rPr>
                <w:color w:val="000000"/>
                <w:kern w:val="0"/>
                <w:sz w:val="24"/>
              </w:rPr>
              <w:t>601989</w:t>
            </w:r>
          </w:p>
        </w:tc>
        <w:tc>
          <w:tcPr>
            <w:vAlign w:val="center"/>
          </w:tcPr>
          <w:p>
            <w:pPr>
              <w:jc w:val="center"/>
            </w:pPr>
            <w:r>
              <w:rPr>
                <w:color w:val="000000"/>
                <w:kern w:val="0"/>
                <w:sz w:val="24"/>
              </w:rPr>
              <w:t>中国重工</w:t>
            </w:r>
          </w:p>
        </w:tc>
        <w:tc>
          <w:tcPr>
            <w:vAlign w:val="center"/>
          </w:tcPr>
          <w:p>
            <w:pPr>
              <w:jc w:val="right"/>
            </w:pPr>
            <w:r>
              <w:rPr>
                <w:color w:val="000000"/>
                <w:kern w:val="0"/>
                <w:sz w:val="24"/>
              </w:rPr>
              <w:t>2,937,293</w:t>
            </w:r>
          </w:p>
        </w:tc>
        <w:tc>
          <w:tcPr>
            <w:vAlign w:val="center"/>
          </w:tcPr>
          <w:p>
            <w:pPr>
              <w:jc w:val="right"/>
            </w:pPr>
            <w:r>
              <w:rPr>
                <w:color w:val="000000"/>
                <w:kern w:val="0"/>
                <w:sz w:val="24"/>
              </w:rPr>
              <w:t>11,749,172.00</w:t>
            </w:r>
          </w:p>
        </w:tc>
        <w:tc>
          <w:tcPr>
            <w:vAlign w:val="center"/>
          </w:tcPr>
          <w:p>
            <w:pPr>
              <w:jc w:val="right"/>
            </w:pPr>
            <w:r>
              <w:rPr>
                <w:color w:val="000000"/>
                <w:kern w:val="0"/>
                <w:sz w:val="24"/>
              </w:rPr>
              <w:t>7.77</w:t>
            </w:r>
          </w:p>
        </w:tc>
      </w:tr>
      <w:tr>
        <w:tc>
          <w:tcPr>
            <w:vAlign w:val="center"/>
          </w:tcPr>
          <w:p>
            <w:pPr>
              <w:jc w:val="center"/>
            </w:pPr>
            <w:r>
              <w:rPr>
                <w:color w:val="000000"/>
                <w:kern w:val="0"/>
                <w:sz w:val="24"/>
              </w:rPr>
              <w:t>2</w:t>
            </w:r>
          </w:p>
        </w:tc>
        <w:tc>
          <w:tcPr>
            <w:vAlign w:val="center"/>
          </w:tcPr>
          <w:p>
            <w:pPr>
              <w:jc w:val="center"/>
            </w:pPr>
            <w:r>
              <w:rPr>
                <w:color w:val="000000"/>
                <w:kern w:val="0"/>
                <w:sz w:val="24"/>
              </w:rPr>
              <w:t>000768</w:t>
            </w:r>
          </w:p>
        </w:tc>
        <w:tc>
          <w:tcPr>
            <w:vAlign w:val="center"/>
          </w:tcPr>
          <w:p>
            <w:pPr>
              <w:jc w:val="center"/>
            </w:pPr>
            <w:r>
              <w:rPr>
                <w:color w:val="000000"/>
                <w:kern w:val="0"/>
                <w:sz w:val="24"/>
              </w:rPr>
              <w:t>中航飞机</w:t>
            </w:r>
          </w:p>
        </w:tc>
        <w:tc>
          <w:tcPr>
            <w:vAlign w:val="center"/>
          </w:tcPr>
          <w:p>
            <w:pPr>
              <w:jc w:val="right"/>
            </w:pPr>
            <w:r>
              <w:rPr>
                <w:color w:val="000000"/>
                <w:kern w:val="0"/>
                <w:sz w:val="24"/>
              </w:rPr>
              <w:t>445,809</w:t>
            </w:r>
          </w:p>
        </w:tc>
        <w:tc>
          <w:tcPr>
            <w:vAlign w:val="center"/>
          </w:tcPr>
          <w:p>
            <w:pPr>
              <w:jc w:val="right"/>
            </w:pPr>
            <w:r>
              <w:rPr>
                <w:color w:val="000000"/>
                <w:kern w:val="0"/>
                <w:sz w:val="24"/>
              </w:rPr>
              <w:t>7,908,651.66</w:t>
            </w:r>
          </w:p>
        </w:tc>
        <w:tc>
          <w:tcPr>
            <w:vAlign w:val="center"/>
          </w:tcPr>
          <w:p>
            <w:pPr>
              <w:jc w:val="right"/>
            </w:pPr>
            <w:r>
              <w:rPr>
                <w:color w:val="000000"/>
                <w:kern w:val="0"/>
                <w:sz w:val="24"/>
              </w:rPr>
              <w:t>5.23</w:t>
            </w:r>
          </w:p>
        </w:tc>
      </w:tr>
      <w:tr>
        <w:tc>
          <w:tcPr>
            <w:vAlign w:val="center"/>
          </w:tcPr>
          <w:p>
            <w:pPr>
              <w:jc w:val="center"/>
            </w:pPr>
            <w:r>
              <w:rPr>
                <w:color w:val="000000"/>
                <w:kern w:val="0"/>
                <w:sz w:val="24"/>
              </w:rPr>
              <w:t>3</w:t>
            </w:r>
          </w:p>
        </w:tc>
        <w:tc>
          <w:tcPr>
            <w:vAlign w:val="center"/>
          </w:tcPr>
          <w:p>
            <w:pPr>
              <w:jc w:val="center"/>
            </w:pPr>
            <w:r>
              <w:rPr>
                <w:color w:val="000000"/>
                <w:kern w:val="0"/>
                <w:sz w:val="24"/>
              </w:rPr>
              <w:t>002465</w:t>
            </w:r>
          </w:p>
        </w:tc>
        <w:tc>
          <w:tcPr>
            <w:vAlign w:val="center"/>
          </w:tcPr>
          <w:p>
            <w:pPr>
              <w:jc w:val="center"/>
            </w:pPr>
            <w:r>
              <w:rPr>
                <w:color w:val="000000"/>
                <w:kern w:val="0"/>
                <w:sz w:val="24"/>
              </w:rPr>
              <w:t>海格通信</w:t>
            </w:r>
          </w:p>
        </w:tc>
        <w:tc>
          <w:tcPr>
            <w:vAlign w:val="center"/>
          </w:tcPr>
          <w:p>
            <w:pPr>
              <w:jc w:val="right"/>
            </w:pPr>
            <w:r>
              <w:rPr>
                <w:color w:val="000000"/>
                <w:kern w:val="0"/>
                <w:sz w:val="24"/>
              </w:rPr>
              <w:t>593,963</w:t>
            </w:r>
          </w:p>
        </w:tc>
        <w:tc>
          <w:tcPr>
            <w:vAlign w:val="center"/>
          </w:tcPr>
          <w:p>
            <w:pPr>
              <w:jc w:val="right"/>
            </w:pPr>
            <w:r>
              <w:rPr>
                <w:color w:val="000000"/>
                <w:kern w:val="0"/>
                <w:sz w:val="24"/>
              </w:rPr>
              <w:t>7,685,881.22</w:t>
            </w:r>
          </w:p>
        </w:tc>
        <w:tc>
          <w:tcPr>
            <w:vAlign w:val="center"/>
          </w:tcPr>
          <w:p>
            <w:pPr>
              <w:jc w:val="right"/>
            </w:pPr>
            <w:r>
              <w:rPr>
                <w:color w:val="000000"/>
                <w:kern w:val="0"/>
                <w:sz w:val="24"/>
              </w:rPr>
              <w:t>5.08</w:t>
            </w:r>
          </w:p>
        </w:tc>
      </w:tr>
      <w:tr>
        <w:tc>
          <w:tcPr>
            <w:vAlign w:val="center"/>
          </w:tcPr>
          <w:p>
            <w:pPr>
              <w:jc w:val="center"/>
            </w:pPr>
            <w:r>
              <w:rPr>
                <w:color w:val="000000"/>
                <w:kern w:val="0"/>
                <w:sz w:val="24"/>
              </w:rPr>
              <w:t>4</w:t>
            </w:r>
          </w:p>
        </w:tc>
        <w:tc>
          <w:tcPr>
            <w:vAlign w:val="center"/>
          </w:tcPr>
          <w:p>
            <w:pPr>
              <w:jc w:val="center"/>
            </w:pPr>
            <w:r>
              <w:rPr>
                <w:color w:val="000000"/>
                <w:kern w:val="0"/>
                <w:sz w:val="24"/>
              </w:rPr>
              <w:t>002179</w:t>
            </w:r>
          </w:p>
        </w:tc>
        <w:tc>
          <w:tcPr>
            <w:vAlign w:val="center"/>
          </w:tcPr>
          <w:p>
            <w:pPr>
              <w:jc w:val="center"/>
            </w:pPr>
            <w:r>
              <w:rPr>
                <w:color w:val="000000"/>
                <w:kern w:val="0"/>
                <w:sz w:val="24"/>
              </w:rPr>
              <w:t>中航光电</w:t>
            </w:r>
          </w:p>
        </w:tc>
        <w:tc>
          <w:tcPr>
            <w:vAlign w:val="center"/>
          </w:tcPr>
          <w:p>
            <w:pPr>
              <w:jc w:val="right"/>
            </w:pPr>
            <w:r>
              <w:rPr>
                <w:color w:val="000000"/>
                <w:kern w:val="0"/>
                <w:sz w:val="24"/>
              </w:rPr>
              <w:t>177,309</w:t>
            </w:r>
          </w:p>
        </w:tc>
        <w:tc>
          <w:tcPr>
            <w:vAlign w:val="center"/>
          </w:tcPr>
          <w:p>
            <w:pPr>
              <w:jc w:val="right"/>
            </w:pPr>
            <w:r>
              <w:rPr>
                <w:color w:val="000000"/>
                <w:kern w:val="0"/>
                <w:sz w:val="24"/>
              </w:rPr>
              <w:t>7,271,442.09</w:t>
            </w:r>
          </w:p>
        </w:tc>
        <w:tc>
          <w:tcPr>
            <w:vAlign w:val="center"/>
          </w:tcPr>
          <w:p>
            <w:pPr>
              <w:jc w:val="right"/>
            </w:pPr>
            <w:r>
              <w:rPr>
                <w:color w:val="000000"/>
                <w:kern w:val="0"/>
                <w:sz w:val="24"/>
              </w:rPr>
              <w:t>4.81</w:t>
            </w:r>
          </w:p>
        </w:tc>
      </w:tr>
      <w:tr>
        <w:tc>
          <w:tcPr>
            <w:vAlign w:val="center"/>
          </w:tcPr>
          <w:p>
            <w:pPr>
              <w:jc w:val="center"/>
            </w:pPr>
            <w:r>
              <w:rPr>
                <w:color w:val="000000"/>
                <w:kern w:val="0"/>
                <w:sz w:val="24"/>
              </w:rPr>
              <w:t>5</w:t>
            </w:r>
          </w:p>
        </w:tc>
        <w:tc>
          <w:tcPr>
            <w:vAlign w:val="center"/>
          </w:tcPr>
          <w:p>
            <w:pPr>
              <w:jc w:val="center"/>
            </w:pPr>
            <w:r>
              <w:rPr>
                <w:color w:val="000000"/>
                <w:kern w:val="0"/>
                <w:sz w:val="24"/>
              </w:rPr>
              <w:t>600893</w:t>
            </w:r>
          </w:p>
        </w:tc>
        <w:tc>
          <w:tcPr>
            <w:vAlign w:val="center"/>
          </w:tcPr>
          <w:p>
            <w:pPr>
              <w:jc w:val="center"/>
            </w:pPr>
            <w:r>
              <w:rPr>
                <w:color w:val="000000"/>
                <w:kern w:val="0"/>
                <w:sz w:val="24"/>
              </w:rPr>
              <w:t>航发动力</w:t>
            </w:r>
          </w:p>
        </w:tc>
        <w:tc>
          <w:tcPr>
            <w:vAlign w:val="center"/>
          </w:tcPr>
          <w:p>
            <w:pPr>
              <w:jc w:val="right"/>
            </w:pPr>
            <w:r>
              <w:rPr>
                <w:color w:val="000000"/>
                <w:kern w:val="0"/>
                <w:sz w:val="24"/>
              </w:rPr>
              <w:t>289,865</w:t>
            </w:r>
          </w:p>
        </w:tc>
        <w:tc>
          <w:tcPr>
            <w:vAlign w:val="center"/>
          </w:tcPr>
          <w:p>
            <w:pPr>
              <w:jc w:val="right"/>
            </w:pPr>
            <w:r>
              <w:rPr>
                <w:color w:val="000000"/>
                <w:kern w:val="0"/>
                <w:sz w:val="24"/>
              </w:rPr>
              <w:t>6,806,030.20</w:t>
            </w:r>
          </w:p>
        </w:tc>
        <w:tc>
          <w:tcPr>
            <w:vAlign w:val="center"/>
          </w:tcPr>
          <w:p>
            <w:pPr>
              <w:jc w:val="right"/>
            </w:pPr>
            <w:r>
              <w:rPr>
                <w:color w:val="000000"/>
                <w:kern w:val="0"/>
                <w:sz w:val="24"/>
              </w:rPr>
              <w:t>4.50</w:t>
            </w:r>
          </w:p>
        </w:tc>
      </w:tr>
      <w:tr>
        <w:tc>
          <w:tcPr>
            <w:vAlign w:val="center"/>
          </w:tcPr>
          <w:p>
            <w:pPr>
              <w:jc w:val="center"/>
            </w:pPr>
            <w:r>
              <w:rPr>
                <w:color w:val="000000"/>
                <w:kern w:val="0"/>
                <w:sz w:val="24"/>
              </w:rPr>
              <w:t>6</w:t>
            </w:r>
          </w:p>
        </w:tc>
        <w:tc>
          <w:tcPr>
            <w:vAlign w:val="center"/>
          </w:tcPr>
          <w:p>
            <w:pPr>
              <w:jc w:val="center"/>
            </w:pPr>
            <w:r>
              <w:rPr>
                <w:color w:val="000000"/>
                <w:kern w:val="0"/>
                <w:sz w:val="24"/>
              </w:rPr>
              <w:t>002414</w:t>
            </w:r>
          </w:p>
        </w:tc>
        <w:tc>
          <w:tcPr>
            <w:vAlign w:val="center"/>
          </w:tcPr>
          <w:p>
            <w:pPr>
              <w:jc w:val="center"/>
            </w:pPr>
            <w:r>
              <w:rPr>
                <w:color w:val="000000"/>
                <w:kern w:val="0"/>
                <w:sz w:val="24"/>
              </w:rPr>
              <w:t>高德红外</w:t>
            </w:r>
          </w:p>
        </w:tc>
        <w:tc>
          <w:tcPr>
            <w:vAlign w:val="center"/>
          </w:tcPr>
          <w:p>
            <w:pPr>
              <w:jc w:val="right"/>
            </w:pPr>
            <w:r>
              <w:rPr>
                <w:color w:val="000000"/>
                <w:kern w:val="0"/>
                <w:sz w:val="24"/>
              </w:rPr>
              <w:t>205,120</w:t>
            </w:r>
          </w:p>
        </w:tc>
        <w:tc>
          <w:tcPr>
            <w:vAlign w:val="center"/>
          </w:tcPr>
          <w:p>
            <w:pPr>
              <w:jc w:val="right"/>
            </w:pPr>
            <w:r>
              <w:rPr>
                <w:color w:val="000000"/>
                <w:kern w:val="0"/>
                <w:sz w:val="24"/>
              </w:rPr>
              <w:t>6,005,913.60</w:t>
            </w:r>
          </w:p>
        </w:tc>
        <w:tc>
          <w:tcPr>
            <w:vAlign w:val="center"/>
          </w:tcPr>
          <w:p>
            <w:pPr>
              <w:jc w:val="right"/>
            </w:pPr>
            <w:r>
              <w:rPr>
                <w:color w:val="000000"/>
                <w:kern w:val="0"/>
                <w:sz w:val="24"/>
              </w:rPr>
              <w:t>3.97</w:t>
            </w:r>
          </w:p>
        </w:tc>
      </w:tr>
      <w:tr>
        <w:tc>
          <w:tcPr>
            <w:vAlign w:val="center"/>
          </w:tcPr>
          <w:p>
            <w:pPr>
              <w:jc w:val="center"/>
            </w:pPr>
            <w:r>
              <w:rPr>
                <w:color w:val="000000"/>
                <w:kern w:val="0"/>
                <w:sz w:val="24"/>
              </w:rPr>
              <w:t>7</w:t>
            </w:r>
          </w:p>
        </w:tc>
        <w:tc>
          <w:tcPr>
            <w:vAlign w:val="center"/>
          </w:tcPr>
          <w:p>
            <w:pPr>
              <w:jc w:val="center"/>
            </w:pPr>
            <w:r>
              <w:rPr>
                <w:color w:val="000000"/>
                <w:kern w:val="0"/>
                <w:sz w:val="24"/>
              </w:rPr>
              <w:t>600118</w:t>
            </w:r>
          </w:p>
        </w:tc>
        <w:tc>
          <w:tcPr>
            <w:vAlign w:val="center"/>
          </w:tcPr>
          <w:p>
            <w:pPr>
              <w:jc w:val="center"/>
            </w:pPr>
            <w:r>
              <w:rPr>
                <w:color w:val="000000"/>
                <w:kern w:val="0"/>
                <w:sz w:val="24"/>
              </w:rPr>
              <w:t>中国卫星</w:t>
            </w:r>
          </w:p>
        </w:tc>
        <w:tc>
          <w:tcPr>
            <w:vAlign w:val="center"/>
          </w:tcPr>
          <w:p>
            <w:pPr>
              <w:jc w:val="right"/>
            </w:pPr>
            <w:r>
              <w:rPr>
                <w:color w:val="000000"/>
                <w:kern w:val="0"/>
                <w:sz w:val="24"/>
              </w:rPr>
              <w:t>190,471</w:t>
            </w:r>
          </w:p>
        </w:tc>
        <w:tc>
          <w:tcPr>
            <w:vAlign w:val="center"/>
          </w:tcPr>
          <w:p>
            <w:pPr>
              <w:jc w:val="right"/>
            </w:pPr>
            <w:r>
              <w:rPr>
                <w:color w:val="000000"/>
                <w:kern w:val="0"/>
                <w:sz w:val="24"/>
              </w:rPr>
              <w:t>5,872,220.93</w:t>
            </w:r>
          </w:p>
        </w:tc>
        <w:tc>
          <w:tcPr>
            <w:vAlign w:val="center"/>
          </w:tcPr>
          <w:p>
            <w:pPr>
              <w:jc w:val="right"/>
            </w:pPr>
            <w:r>
              <w:rPr>
                <w:color w:val="000000"/>
                <w:kern w:val="0"/>
                <w:sz w:val="24"/>
              </w:rPr>
              <w:t>3.88</w:t>
            </w:r>
          </w:p>
        </w:tc>
      </w:tr>
      <w:tr>
        <w:tc>
          <w:tcPr>
            <w:vAlign w:val="center"/>
          </w:tcPr>
          <w:p>
            <w:pPr>
              <w:jc w:val="center"/>
            </w:pPr>
            <w:r>
              <w:rPr>
                <w:color w:val="000000"/>
                <w:kern w:val="0"/>
                <w:sz w:val="24"/>
              </w:rPr>
              <w:t>8</w:t>
            </w:r>
          </w:p>
        </w:tc>
        <w:tc>
          <w:tcPr>
            <w:vAlign w:val="center"/>
          </w:tcPr>
          <w:p>
            <w:pPr>
              <w:jc w:val="center"/>
            </w:pPr>
            <w:r>
              <w:rPr>
                <w:color w:val="000000"/>
                <w:kern w:val="0"/>
                <w:sz w:val="24"/>
              </w:rPr>
              <w:t>000547</w:t>
            </w:r>
          </w:p>
        </w:tc>
        <w:tc>
          <w:tcPr>
            <w:vAlign w:val="center"/>
          </w:tcPr>
          <w:p>
            <w:pPr>
              <w:jc w:val="center"/>
            </w:pPr>
            <w:r>
              <w:rPr>
                <w:color w:val="000000"/>
                <w:kern w:val="0"/>
                <w:sz w:val="24"/>
              </w:rPr>
              <w:t>航天发展</w:t>
            </w:r>
          </w:p>
        </w:tc>
        <w:tc>
          <w:tcPr>
            <w:vAlign w:val="center"/>
          </w:tcPr>
          <w:p>
            <w:pPr>
              <w:jc w:val="right"/>
            </w:pPr>
            <w:r>
              <w:rPr>
                <w:color w:val="000000"/>
                <w:kern w:val="0"/>
                <w:sz w:val="24"/>
              </w:rPr>
              <w:t>413,699</w:t>
            </w:r>
          </w:p>
        </w:tc>
        <w:tc>
          <w:tcPr>
            <w:vAlign w:val="center"/>
          </w:tcPr>
          <w:p>
            <w:pPr>
              <w:jc w:val="right"/>
            </w:pPr>
            <w:r>
              <w:rPr>
                <w:color w:val="000000"/>
                <w:kern w:val="0"/>
                <w:sz w:val="24"/>
              </w:rPr>
              <w:t>5,655,265.33</w:t>
            </w:r>
          </w:p>
        </w:tc>
        <w:tc>
          <w:tcPr>
            <w:vAlign w:val="center"/>
          </w:tcPr>
          <w:p>
            <w:pPr>
              <w:jc w:val="right"/>
            </w:pPr>
            <w:r>
              <w:rPr>
                <w:color w:val="000000"/>
                <w:kern w:val="0"/>
                <w:sz w:val="24"/>
              </w:rPr>
              <w:t>3.74</w:t>
            </w:r>
          </w:p>
        </w:tc>
      </w:tr>
      <w:tr>
        <w:tc>
          <w:tcPr>
            <w:vAlign w:val="center"/>
          </w:tcPr>
          <w:p>
            <w:pPr>
              <w:jc w:val="center"/>
            </w:pPr>
            <w:r>
              <w:rPr>
                <w:color w:val="000000"/>
                <w:kern w:val="0"/>
                <w:sz w:val="24"/>
              </w:rPr>
              <w:t>9</w:t>
            </w:r>
          </w:p>
        </w:tc>
        <w:tc>
          <w:tcPr>
            <w:vAlign w:val="center"/>
          </w:tcPr>
          <w:p>
            <w:pPr>
              <w:jc w:val="center"/>
            </w:pPr>
            <w:r>
              <w:rPr>
                <w:color w:val="000000"/>
                <w:kern w:val="0"/>
                <w:sz w:val="24"/>
              </w:rPr>
              <w:t>300699</w:t>
            </w:r>
          </w:p>
        </w:tc>
        <w:tc>
          <w:tcPr>
            <w:vAlign w:val="center"/>
          </w:tcPr>
          <w:p>
            <w:pPr>
              <w:jc w:val="center"/>
            </w:pPr>
            <w:r>
              <w:rPr>
                <w:color w:val="000000"/>
                <w:kern w:val="0"/>
                <w:sz w:val="24"/>
              </w:rPr>
              <w:t>光威复材</w:t>
            </w:r>
          </w:p>
        </w:tc>
        <w:tc>
          <w:tcPr>
            <w:vAlign w:val="center"/>
          </w:tcPr>
          <w:p>
            <w:pPr>
              <w:jc w:val="right"/>
            </w:pPr>
            <w:r>
              <w:rPr>
                <w:color w:val="000000"/>
                <w:kern w:val="0"/>
                <w:sz w:val="24"/>
              </w:rPr>
              <w:t>83,540</w:t>
            </w:r>
          </w:p>
        </w:tc>
        <w:tc>
          <w:tcPr>
            <w:vAlign w:val="center"/>
          </w:tcPr>
          <w:p>
            <w:pPr>
              <w:jc w:val="right"/>
            </w:pPr>
            <w:r>
              <w:rPr>
                <w:color w:val="000000"/>
                <w:kern w:val="0"/>
                <w:sz w:val="24"/>
              </w:rPr>
              <w:t>5,240,464.20</w:t>
            </w:r>
          </w:p>
        </w:tc>
        <w:tc>
          <w:tcPr>
            <w:vAlign w:val="center"/>
          </w:tcPr>
          <w:p>
            <w:pPr>
              <w:jc w:val="right"/>
            </w:pPr>
            <w:r>
              <w:rPr>
                <w:color w:val="000000"/>
                <w:kern w:val="0"/>
                <w:sz w:val="24"/>
              </w:rPr>
              <w:t>3.47</w:t>
            </w:r>
          </w:p>
        </w:tc>
      </w:tr>
      <w:tr>
        <w:tc>
          <w:tcPr>
            <w:vAlign w:val="center"/>
          </w:tcPr>
          <w:p>
            <w:pPr>
              <w:jc w:val="center"/>
            </w:pPr>
            <w:r>
              <w:rPr>
                <w:color w:val="000000"/>
                <w:kern w:val="0"/>
                <w:sz w:val="24"/>
              </w:rPr>
              <w:t>10</w:t>
            </w:r>
          </w:p>
        </w:tc>
        <w:tc>
          <w:tcPr>
            <w:vAlign w:val="center"/>
          </w:tcPr>
          <w:p>
            <w:pPr>
              <w:jc w:val="center"/>
            </w:pPr>
            <w:r>
              <w:rPr>
                <w:color w:val="000000"/>
                <w:kern w:val="0"/>
                <w:sz w:val="24"/>
              </w:rPr>
              <w:t>002013</w:t>
            </w:r>
          </w:p>
        </w:tc>
        <w:tc>
          <w:tcPr>
            <w:vAlign w:val="center"/>
          </w:tcPr>
          <w:p>
            <w:pPr>
              <w:jc w:val="center"/>
            </w:pPr>
            <w:r>
              <w:rPr>
                <w:color w:val="000000"/>
                <w:kern w:val="0"/>
                <w:sz w:val="24"/>
              </w:rPr>
              <w:t>中航机电</w:t>
            </w:r>
          </w:p>
        </w:tc>
        <w:tc>
          <w:tcPr>
            <w:vAlign w:val="center"/>
          </w:tcPr>
          <w:p>
            <w:pPr>
              <w:jc w:val="right"/>
            </w:pPr>
            <w:r>
              <w:rPr>
                <w:color w:val="000000"/>
                <w:kern w:val="0"/>
                <w:sz w:val="24"/>
              </w:rPr>
              <w:t>581,093</w:t>
            </w:r>
          </w:p>
        </w:tc>
        <w:tc>
          <w:tcPr>
            <w:vAlign w:val="center"/>
          </w:tcPr>
          <w:p>
            <w:pPr>
              <w:jc w:val="right"/>
            </w:pPr>
            <w:r>
              <w:rPr>
                <w:color w:val="000000"/>
                <w:kern w:val="0"/>
                <w:sz w:val="24"/>
              </w:rPr>
              <w:t>4,590,634.70</w:t>
            </w:r>
          </w:p>
        </w:tc>
        <w:tc>
          <w:tcPr>
            <w:vAlign w:val="center"/>
          </w:tcPr>
          <w:p>
            <w:pPr>
              <w:jc w:val="right"/>
            </w:pPr>
            <w:r>
              <w:rPr>
                <w:color w:val="000000"/>
                <w:kern w:val="0"/>
                <w:sz w:val="24"/>
              </w:rPr>
              <w:t>3.04</w:t>
            </w:r>
          </w:p>
        </w:tc>
      </w:tr>
    </w:tbl>
    <w:p w:rsidP="00653BAC" w:rsidR="00653BAC" w:rsidRDefault="001C36D8" w:rsidRPr="00653BAC">
      <w:pPr>
        <w:autoSpaceDE w:val="0"/>
        <w:autoSpaceDN w:val="0"/>
        <w:adjustRightInd w:val="0"/>
        <w:spacing w:line="360" w:lineRule="auto"/>
        <w:jc w:val="left"/>
        <w:rPr>
          <w:rFonts w:eastAsiaTheme="minorEastAsia"/>
          <w:b/>
          <w:color w:themeColor="text1" w:val="000000"/>
          <w:kern w:val="0"/>
          <w:sz w:val="24"/>
        </w:rPr>
      </w:pPr>
      <w:r w:rsidRPr="00272E0C">
        <w:rPr>
          <w:rFonts w:ascii="宋体" w:cs="Arial" w:hAnsi="宋体"/>
          <w:b/>
          <w:color w:val="000000"/>
          <w:kern w:val="0"/>
          <w:sz w:val="24"/>
        </w:rPr>
        <w:t xml:space="preserve">5.4 </w:t>
      </w:r>
      <w:r w:rsidRPr="00272E0C">
        <w:rPr>
          <w:rFonts w:ascii="宋体" w:cs="Arial" w:hAnsi="宋体" w:hint="eastAsia"/>
          <w:b/>
          <w:color w:val="000000"/>
          <w:kern w:val="0"/>
          <w:sz w:val="24"/>
        </w:rPr>
        <w:t>报告期末按债券品种分类的债券投资组合</w:t>
      </w:r>
    </w:p>
    <w:p w:rsidP="00653BAC" w:rsidR="001C36D8" w:rsidRDefault="00653BAC" w:rsidRPr="00653BAC">
      <w:pPr>
        <w:spacing w:line="360" w:lineRule="auto"/>
        <w:ind w:firstLine="480" w:firstLineChars="200"/>
        <w:rPr>
          <w:color w:val="000000"/>
          <w:sz w:val="24"/>
        </w:rPr>
      </w:pPr>
      <w:r w:rsidRPr="00653BAC">
        <w:rPr>
          <w:color w:val="000000"/>
          <w:sz w:val="24"/>
        </w:rPr>
        <w:t/>
      </w:r>
      <w:proofErr w:type="spellStart"/>
      <w:r w:rsidRPr="00653BAC">
        <w:rPr>
          <w:color w:val="000000"/>
          <w:sz w:val="24"/>
        </w:rPr>
        <w:t/>
      </w:r>
      <w:proofErr w:type="spellEnd"/>
      <w:r w:rsidRPr="00653BAC">
        <w:rPr>
          <w:color w:val="000000"/>
          <w:sz w:val="24"/>
        </w:rPr>
        <w:t/>
      </w:r>
      <w:proofErr w:type="spellStart"/>
      <w:r w:rsidRPr="00653BAC">
        <w:rPr>
          <w:color w:val="000000"/>
          <w:sz w:val="24"/>
        </w:rPr>
        <w:t/>
      </w:r>
      <w:proofErr w:type="spellEnd"/>
      <w:r w:rsidRPr="00653BAC">
        <w:rPr>
          <w:color w:val="000000"/>
          <w:sz w:val="24"/>
        </w:rPr>
        <w:t>本基金本报告期末未持有债券。</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5.5 </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的前五名债券投资明细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r w:rsidRPr="003D22BD">
        <w:rPr>
          <w:color w:val="000000"/>
          <w:sz w:val="24"/>
        </w:rPr>
        <w:lastRenderedPageBreak/>
        <w:t/>
      </w:r>
      <w:proofErr w:type="spellEnd"/>
      <w:r w:rsidRPr="003D22BD">
        <w:rPr>
          <w:color w:val="000000"/>
          <w:sz w:val="24"/>
        </w:rPr>
        <w:t>本基金本报告期末未持有债券。</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5.6</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的前十名资产支持证券投资明细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本基金本报告期末未持有资产支持证券。</w:t>
      </w:r>
    </w:p>
    <w:p w:rsidP="001C123E" w:rsidR="001C36D8" w:rsidRDefault="001C36D8"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5B1E0B" w:rsidR="001C36D8" w:rsidRDefault="001C36D8" w:rsidRPr="005B1E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本基金本报告期末未持有贵金属。</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b/>
          <w:bCs/>
          <w:color w:val="000000"/>
          <w:kern w:val="0"/>
          <w:sz w:val="24"/>
        </w:rPr>
        <w:t/>
      </w:r>
      <w:r>
        <w:rPr>
          <w:rFonts w:ascii="宋体" w:hAnsi="宋体"/>
          <w:b/>
          <w:bCs/>
          <w:color w:val="000000"/>
          <w:kern w:val="0"/>
          <w:sz w:val="24"/>
        </w:rPr>
        <w:t/>
      </w:r>
      <w:r w:rsidRPr="001B0A62">
        <w:rPr>
          <w:rFonts w:ascii="宋体"/>
          <w:b/>
          <w:bCs/>
          <w:color w:val="000000"/>
          <w:kern w:val="0"/>
          <w:sz w:val="24"/>
        </w:rPr>
        <w:t>5.</w:t>
      </w:r>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8</w:t>
      </w:r>
      <w:r w:rsidRPr="00272E0C">
        <w:rPr>
          <w:rFonts w:ascii="宋体" w:hAnsi="宋体" w:hint="eastAsia"/>
          <w:b/>
          <w:bCs/>
          <w:color w:val="000000"/>
          <w:sz w:val="24"/>
        </w:rPr>
        <w:t>报告期末按公允价值占基金资产净值比例大小排</w:t>
      </w:r>
      <w:r>
        <w:rPr>
          <w:rFonts w:ascii="宋体" w:hAnsi="宋体" w:hint="eastAsia"/>
          <w:b/>
          <w:bCs/>
          <w:color w:val="000000"/>
          <w:sz w:val="24"/>
        </w:rPr>
        <w:t>序</w:t>
      </w:r>
      <w:r w:rsidRPr="00272E0C">
        <w:rPr>
          <w:rFonts w:ascii="宋体" w:hAnsi="宋体" w:hint="eastAsia"/>
          <w:b/>
          <w:bCs/>
          <w:color w:val="000000"/>
          <w:sz w:val="24"/>
        </w:rPr>
        <w:t>的前五名权证投资明细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本基金本报告期末未持有权证。</w:t>
      </w:r>
    </w:p>
    <w:p w:rsidP="00E57068" w:rsidR="001C36D8" w:rsidRDefault="00B55281"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5.</w:t>
      </w:r>
      <w:r w:rsidR="001C36D8" w:rsidRPr="001B0A62">
        <w:rPr>
          <w:rFonts w:ascii="宋体" w:hAns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9</w:t>
      </w:r>
      <w:r w:rsidR="001C36D8" w:rsidRPr="00E85E29">
        <w:rPr>
          <w:rFonts w:ascii="宋体" w:hAnsi="宋体" w:hint="eastAsia"/>
          <w:b/>
          <w:sz w:val="24"/>
        </w:rPr>
        <w:t>报告期末本基金投资的股指期货交易情况说明</w:t>
      </w:r>
    </w:p>
    <w:p w:rsidP="003B3D0C" w:rsidR="003B3D0C" w:rsidRDefault="003B3D0C">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576862" w:rsidR="001C36D8" w:rsidRDefault="00B55281" w:rsidRPr="00272E0C">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sz w:val="24"/>
        </w:rPr>
        <w:t/>
      </w:r>
      <w:r w:rsidR="001C36D8">
        <w:rPr>
          <w:rFonts w:ascii="宋体" w:hAnsi="宋体"/>
          <w:b/>
          <w:sz w:val="24"/>
        </w:rPr>
        <w:t>5</w:t>
      </w:r>
      <w:r w:rsidR="001C36D8" w:rsidRPr="00272E0C">
        <w:rPr>
          <w:rFonts w:ascii="宋体"/>
          <w:b/>
          <w:sz w:val="24"/>
        </w:rPr>
        <w:t>.</w:t>
      </w:r>
      <w:r w:rsidR="001C36D8">
        <w:rPr>
          <w:rFonts w:ascii="宋体"/>
          <w:b/>
          <w:sz w:val="24"/>
        </w:rPr>
        <w:t/>
      </w:r>
      <w:r w:rsidR="001C36D8">
        <w:rPr>
          <w:rFonts w:ascii="宋体" w:hAnsi="宋体"/>
          <w:b/>
          <w:sz w:val="24"/>
        </w:rPr>
        <w:t>10</w:t>
      </w:r>
      <w:r w:rsidR="001C36D8" w:rsidRPr="00272E0C">
        <w:rPr>
          <w:rFonts w:ascii="宋体" w:hAnsi="宋体" w:hint="eastAsia"/>
          <w:b/>
          <w:sz w:val="24"/>
        </w:rPr>
        <w:t>报告期末本基金投资的国债期货交易情况说明</w:t>
      </w:r>
    </w:p>
    <w:p w:rsidP="000C44BD" w:rsidR="000C44BD" w:rsidRDefault="000C44BD">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272E0C">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11</w:t>
      </w:r>
      <w:r w:rsidRPr="00272E0C">
        <w:rPr>
          <w:rFonts w:ascii="宋体" w:cs="Arial" w:hAnsi="宋体" w:hint="eastAsia"/>
          <w:b/>
          <w:color w:val="000000"/>
          <w:kern w:val="0"/>
          <w:sz w:val="24"/>
        </w:rPr>
        <w:t>投资组合报告附注</w:t>
      </w:r>
    </w:p>
    <w:p w:rsidP="00576862" w:rsidR="001C36D8" w:rsidRDefault="00B60FD1" w:rsidRPr="005B1E0B">
      <w:pPr>
        <w:spacing w:line="360" w:lineRule="auto"/>
        <w:rPr>
          <w:color w:val="000000"/>
          <w:kern w:val="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5.11.1</w:t>
      </w:r>
      <w:r w:rsidR="00D8121C">
        <w:rPr>
          <w:rFonts w:ascii="宋体" w:hAnsi="宋体" w:hint="eastAsia"/>
          <w:bCs/>
          <w:color w:val="000000"/>
          <w:kern w:val="0"/>
          <w:sz w:val="24"/>
        </w:rPr>
        <w:t xml:space="preserve"> </w:t>
      </w:r>
      <w:r w:rsidR="001C36D8" w:rsidRPr="005B1E0B">
        <w:rPr>
          <w:color w:val="000000"/>
          <w:kern w:val="0"/>
          <w:sz w:val="24"/>
        </w:rPr>
        <w:t>本基金投资的前十名证券的发行主体本期没有出现被监管部门立案调查，或在报告编制日前一年内受到公开谴责、处罚的情形。</w:t>
      </w:r>
    </w:p>
    <w:p w:rsidP="00576862" w:rsidR="001C36D8" w:rsidRDefault="00B60FD1" w:rsidRPr="005B1E0B">
      <w:pPr>
        <w:spacing w:line="360" w:lineRule="auto"/>
        <w:rPr>
          <w:color w:val="000000"/>
          <w:kern w:val="0"/>
          <w:sz w:val="24"/>
        </w:rPr>
      </w:pPr>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5.11.2</w:t>
      </w:r>
      <w:r w:rsidR="00D8121C">
        <w:rPr>
          <w:rFonts w:ascii="宋体" w:hAnsi="宋体" w:hint="eastAsia"/>
          <w:bCs/>
          <w:color w:val="000000"/>
          <w:kern w:val="0"/>
          <w:sz w:val="24"/>
        </w:rPr>
        <w:t xml:space="preserve"> </w:t>
      </w:r>
      <w:r w:rsidR="001C36D8" w:rsidRPr="005B1E0B">
        <w:rPr>
          <w:color w:val="000000"/>
          <w:kern w:val="0"/>
          <w:sz w:val="24"/>
        </w:rPr>
        <w:t>本基金投资的前十名股票没有超出基金合同规定的备选股票库。</w:t>
      </w:r>
    </w:p>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5.11.3</w:t>
      </w:r>
      <w:r w:rsidR="00FE4BF2">
        <w:rPr>
          <w:rFonts w:ascii="宋体" w:cs="Arial" w:hAnsi="宋体" w:hint="eastAsia"/>
          <w:color w:val="000000"/>
          <w:kern w:val="0"/>
          <w:sz w:val="24"/>
        </w:rPr>
        <w:t>其他</w:t>
      </w:r>
      <w:bookmarkStart w:id="2" w:name="_GoBack"/>
      <w:bookmarkEnd w:id="2"/>
      <w:r w:rsidRPr="00717C29">
        <w:rPr>
          <w:rFonts w:ascii="宋体" w:cs="Arial" w:hAnsi="宋体" w:hint="eastAsia"/>
          <w:color w:val="000000"/>
          <w:kern w:val="0"/>
          <w:sz w:val="24"/>
        </w:rPr>
        <w:t>资产构成</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2761"/>
        <w:gridCol w:w="4808"/>
      </w:tblGrid>
      <w:tr w:rsidR="001C36D8" w:rsidRPr="00272E0C" w:rsidTr="001A09F9">
        <w:tc>
          <w:tcPr>
            <w:tcW w:type="dxa" w:w="959"/>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序号</w:t>
            </w:r>
          </w:p>
        </w:tc>
        <w:tc>
          <w:tcPr>
            <w:tcW w:type="dxa" w:w="2761"/>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名称</w:t>
            </w:r>
          </w:p>
        </w:tc>
        <w:tc>
          <w:tcPr>
            <w:tcW w:type="dxa" w:w="4808"/>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金额（元）</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kern w:val="0"/>
                <w:sz w:val="24"/>
              </w:rPr>
            </w:pPr>
            <w:r w:rsidRPr="005B1E0B">
              <w:rPr>
                <w:color w:val="000000"/>
                <w:sz w:val="24"/>
              </w:rPr>
              <w:t>1</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存出保证金</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19,805.70</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2</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应收证券清算款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686,664.97</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3</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应收股利</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4</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应收利息</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1,730.54</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5</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应收申购款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322,303.71</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6</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其他应收款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7</w:t>
            </w:r>
          </w:p>
        </w:tc>
        <w:tc>
          <w:tcPr>
            <w:tcW w:type="dxa" w:w="2761"/>
          </w:tcPr>
          <w:p w:rsidP="0015779C" w:rsidR="001C36D8" w:rsidRDefault="001C36D8" w:rsidRPr="005B1E0B">
            <w:pPr>
              <w:autoSpaceDE w:val="0"/>
              <w:autoSpaceDN w:val="0"/>
              <w:adjustRightInd w:val="0"/>
              <w:spacing w:before="29" w:line="360" w:lineRule="auto"/>
              <w:ind w:left="105" w:leftChars="50"/>
              <w:rPr>
                <w:color w:val="000000"/>
                <w:sz w:val="24"/>
              </w:rPr>
            </w:pPr>
            <w:r w:rsidRPr="005B1E0B">
              <w:rPr>
                <w:color w:val="000000"/>
                <w:sz w:val="24"/>
              </w:rPr>
              <w:t>待摊费用</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8</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9</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合计</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1,030,504.92</w:t>
            </w:r>
          </w:p>
        </w:tc>
      </w:tr>
    </w:tbl>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5.11.4</w:t>
      </w:r>
      <w:r w:rsidRPr="00717C29">
        <w:rPr>
          <w:rFonts w:ascii="宋体" w:cs="Arial" w:hAnsi="宋体" w:hint="eastAsia"/>
          <w:color w:val="000000"/>
          <w:kern w:val="0"/>
          <w:sz w:val="24"/>
        </w:rPr>
        <w:t>报告期末持有的处于转股期的可转换债券明细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本基金本报告期末未持有处于转股期的可转换债券。</w:t>
      </w:r>
    </w:p>
    <w:p w:rsidP="00924A95" w:rsidR="00924A95" w:rsidRDefault="00924A95" w:rsidRPr="001C7E00">
      <w:pPr>
        <w:autoSpaceDE w:val="0"/>
        <w:autoSpaceDN w:val="0"/>
        <w:adjustRightInd w:val="0"/>
        <w:spacing w:line="360" w:lineRule="auto"/>
        <w:jc w:val="left"/>
        <w:rPr>
          <w:rFonts w:ascii="宋体"/>
          <w:bCs/>
          <w:color w:val="000000"/>
          <w:kern w:val="0"/>
          <w:sz w:val="24"/>
        </w:rPr>
      </w:pPr>
      <w:r w:rsidRPr="001C7E00">
        <w:rPr>
          <w:rFonts w:ascii="宋体"/>
          <w:bCs/>
          <w:color w:val="000000"/>
          <w:kern w:val="0"/>
          <w:sz w:val="24"/>
        </w:rPr>
        <w:t/>
      </w:r>
      <w:r w:rsidRPr="001C7E00">
        <w:rPr>
          <w:rFonts w:ascii="宋体" w:hAnsi="宋体"/>
          <w:bCs/>
          <w:color w:val="000000"/>
          <w:kern w:val="0"/>
          <w:sz w:val="24"/>
        </w:rPr>
        <w:t>5.11.5</w:t>
      </w:r>
      <w:r w:rsidRPr="001C7E00">
        <w:rPr>
          <w:rFonts w:ascii="宋体" w:hAnsi="宋体" w:hint="eastAsia"/>
          <w:bCs/>
          <w:color w:val="000000"/>
          <w:kern w:val="0"/>
          <w:sz w:val="24"/>
        </w:rPr>
        <w:t>报告期末前十名股票中存在流通受限情况的说明</w:t>
      </w:r>
    </w:p>
    <w:p w:rsidP="005B1E0B" w:rsidR="001C36D8" w:rsidRDefault="00924A95" w:rsidRPr="005B1E0B">
      <w:pPr>
        <w:spacing w:line="360" w:lineRule="auto"/>
        <w:ind w:firstLine="480" w:firstLineChars="200"/>
        <w:rPr>
          <w:color w:val="000000"/>
          <w:sz w:val="24"/>
        </w:rPr>
      </w:pPr>
      <w:r w:rsidRPr="006C56AA">
        <w:rPr>
          <w:color w:val="000000"/>
          <w:sz w:val="24"/>
        </w:rPr>
        <w:t/>
      </w:r>
      <w:r w:rsidRPr="006C56AA">
        <w:rPr>
          <w:color w:val="000000"/>
          <w:sz w:val="24"/>
        </w:rPr>
        <w:lastRenderedPageBreak/>
        <w:t>本基金本报告期末前十名股票中不存在流通受限情况。</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6</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开放式基金份额变动</w:t>
      </w:r>
    </w:p>
    <w:p w:rsidP="0019563C" w:rsidR="001C36D8" w:rsidRDefault="001C36D8" w:rsidRPr="00272E0C">
      <w:pPr>
        <w:autoSpaceDE w:val="0"/>
        <w:autoSpaceDN w:val="0"/>
        <w:adjustRightInd w:val="0"/>
        <w:spacing w:before="29" w:line="360" w:lineRule="auto"/>
        <w:ind w:left="15"/>
        <w:jc w:val="right"/>
        <w:rPr>
          <w:rFonts w:ascii="宋体" w:cs="Arial"/>
          <w:color w:val="000000"/>
          <w:kern w:val="0"/>
          <w:sz w:val="24"/>
        </w:rPr>
      </w:pPr>
      <w:r w:rsidRPr="00272E0C">
        <w:rPr>
          <w:rFonts w:ascii="宋体" w:cs="Arial" w:hAnsi="宋体" w:hint="eastAsia"/>
          <w:color w:val="000000"/>
          <w:kern w:val="0"/>
          <w:sz w:val="24"/>
        </w:rPr>
        <w:t>单位：份</w:t>
      </w:r>
    </w:p>
    <w:tbl>
      <w:tblPr>
        <w:tblW w:type="dxa" w:w="8719"/>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1774"/>
        <w:gridCol w:w="2409"/>
        <w:gridCol w:w="2410"/>
        <w:gridCol w:w="2126"/>
      </w:tblGrid>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项目</w:t>
            </w:r>
          </w:p>
        </w:tc>
        <w:tc>
          <w:tcPr>
            <w:tcW w:type="dxa" w:w="2409"/>
            <w:vAlign w:val="center"/>
          </w:tcPr>
          <w:p w:rsidP="005B14F0" w:rsidR="001C36D8" w:rsidRDefault="001C36D8" w:rsidRPr="005B1E0B">
            <w:pPr>
              <w:autoSpaceDE w:val="0"/>
              <w:autoSpaceDN w:val="0"/>
              <w:adjustRightInd w:val="0"/>
              <w:spacing w:before="29" w:line="360" w:lineRule="auto"/>
              <w:ind w:left="17"/>
              <w:jc w:val="right"/>
              <w:rPr>
                <w:sz w:val="24"/>
              </w:rPr>
            </w:pPr>
            <w:r w:rsidRPr="005B1E0B">
              <w:rPr>
                <w:color w:val="000000"/>
                <w:kern w:val="0"/>
                <w:sz w:val="24"/>
              </w:rPr>
              <w:t/>
            </w:r>
            <w:proofErr w:type="spellStart"/>
            <w:r w:rsidRPr="005B1E0B">
              <w:rPr>
                <w:sz w:val="24"/>
              </w:rPr>
              <w:t/>
            </w:r>
            <w:proofErr w:type="spellEnd"/>
            <w:r w:rsidRPr="005B1E0B">
              <w:rPr>
                <w:sz w:val="24"/>
              </w:rPr>
              <w:t>易方达军工分级</w:t>
            </w:r>
          </w:p>
        </w:tc>
        <w:tc>
          <w:tcPr>
            <w:tcW w:type="dxa" w:w="2410"/>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易方达军工分级A</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易方达军工分级B</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报告期期初基金份额总额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75,385,477.57</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18,617,646.00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18,617,646.00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基金总申购份额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10,926,070.67</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减：</w:t>
            </w: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基金总赎回份额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15,135,158.80</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rPr>
          <w:trHeight w:val="1718"/>
        </w:trPr>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lastRenderedPageBreak/>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基金拆分变动份额</w:t>
            </w:r>
            <w:r w:rsidR="005541BC" w:rsidRPr="00921BFA">
              <w:rPr>
                <w:rFonts w:hint="eastAsia"/>
                <w:color w:val="000000"/>
                <w:kern w:val="0"/>
                <w:sz w:val="24"/>
              </w:rPr>
              <w:t>（份额减少以“</w:t>
            </w:r>
            <w:r w:rsidR="005541BC" w:rsidRPr="00921BFA">
              <w:rPr>
                <w:rFonts w:hint="eastAsia"/>
                <w:color w:val="000000"/>
                <w:kern w:val="0"/>
                <w:sz w:val="24"/>
              </w:rPr>
              <w:t>-</w:t>
            </w:r>
            <w:r w:rsidR="005541BC" w:rsidRPr="00921BFA">
              <w:rPr>
                <w:rFonts w:hint="eastAsia"/>
                <w:color w:val="000000"/>
                <w:kern w:val="0"/>
                <w:sz w:val="24"/>
              </w:rPr>
              <w:t>”填列）</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4,325,100.00</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-2,162,550.00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-2,162,550.00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报告期期末基金份额总额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75,501,489.44</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16,455,096.00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sz w:val="24"/>
              </w:rPr>
              <w:t/>
            </w:r>
            <w:proofErr w:type="spellEnd"/>
            <w:r w:rsidRPr="005B1E0B">
              <w:rPr>
                <w:sz w:val="24"/>
              </w:rPr>
              <w:t>16,455,096.00</w:t>
            </w:r>
          </w:p>
        </w:tc>
      </w:tr>
    </w:tbl>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注：拆分变动份额包括三类份额之间的配对转换份额。</w:t>
      </w:r>
    </w:p>
    <w:p w:rsidP="005C6DF3" w:rsidR="001C36D8" w:rsidRDefault="001C36D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olor w:val="000000"/>
          <w:kern w:val="0"/>
          <w:sz w:val="24"/>
          <w:szCs w:val="24"/>
        </w:rPr>
        <w:t/>
      </w:r>
      <w:proofErr w:type="spellStart"/>
      <w:r>
        <w:rPr>
          <w:rFonts w:ascii="宋体" w:hAnsi="宋体"/>
          <w:color w:val="000000"/>
          <w:kern w:val="0"/>
          <w:sz w:val="24"/>
          <w:szCs w:val="24"/>
        </w:rPr>
        <w:t/>
      </w:r>
      <w:proofErr w:type="spellEnd"/>
      <w:r>
        <w:rPr>
          <w:rFonts w:ascii="宋体" w:hAnsi="宋体"/>
          <w:color w:val="000000"/>
          <w:kern w:val="0"/>
          <w:sz w:val="24"/>
          <w:szCs w:val="24"/>
        </w:rPr>
        <w:t/>
      </w:r>
      <w:r>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5B1E0B" w:rsidR="001C36D8" w:rsidRDefault="00BF63AF" w:rsidRPr="005B1E0B">
      <w:pPr>
        <w:spacing w:line="360" w:lineRule="auto"/>
        <w:ind w:firstLine="480" w:firstLineChars="200"/>
        <w:rPr>
          <w:color w:val="000000"/>
          <w:sz w:val="24"/>
        </w:rPr>
      </w:pPr>
      <w:r w:rsidRPr="00510DAB">
        <w:rPr>
          <w:color w:val="000000"/>
          <w:sz w:val="24"/>
        </w:rPr>
        <w:t/>
      </w:r>
      <w:proofErr w:type="spellStart"/>
      <w:r w:rsidRPr="00510DAB">
        <w:rPr>
          <w:color w:val="000000"/>
          <w:sz w:val="24"/>
        </w:rPr>
        <w:t/>
      </w:r>
      <w:proofErr w:type="spellEnd"/>
      <w:r w:rsidRPr="00510DAB">
        <w:rPr>
          <w:color w:val="000000"/>
          <w:sz w:val="24"/>
        </w:rPr>
        <w:t>本报告期内基金管理人未持有本基金份额。</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本报告期内基金管理人未运用固有资金申购、赎回、买卖本基金份额。</w:t>
      </w:r>
    </w:p>
    <w:p w:rsidP="00A12EEF" w:rsidR="00A12EEF" w:rsidRDefault="00A12EEF" w:rsidRPr="005D2CC7">
      <w:pPr>
        <w:pStyle w:val="1"/>
        <w:spacing w:after="312" w:afterLines="100" w:before="312" w:beforeLines="100" w:line="360" w:lineRule="auto"/>
        <w:jc w:val="center"/>
        <w:rPr>
          <w:rFonts w:ascii="宋体" w:cs="Arial" w:hAnsi="宋体"/>
          <w:color w:val="000000"/>
          <w:kern w:val="0"/>
          <w:sz w:val="24"/>
          <w:szCs w:val="24"/>
        </w:rPr>
      </w:pPr>
      <w:r w:rsidRPr="005D2CC7">
        <w:rPr>
          <w:rFonts w:ascii="宋体" w:cs="Arial" w:hAnsi="宋体"/>
          <w:color w:val="000000"/>
          <w:kern w:val="0"/>
          <w:sz w:val="24"/>
          <w:szCs w:val="24"/>
        </w:rPr>
        <w:t/>
      </w:r>
      <w:proofErr w:type="spellStart"/>
      <w:r w:rsidRPr="005D2CC7">
        <w:rPr>
          <w:rFonts w:ascii="宋体" w:cs="Arial" w:hAnsi="宋体"/>
          <w:color w:val="000000"/>
          <w:kern w:val="0"/>
          <w:sz w:val="24"/>
          <w:szCs w:val="24"/>
        </w:rPr>
        <w:t/>
      </w:r>
      <w:proofErr w:type="spellEnd"/>
      <w:r w:rsidRPr="005D2CC7">
        <w:rPr>
          <w:rFonts w:ascii="宋体" w:cs="Arial" w:hAnsi="宋体"/>
          <w:color w:val="000000"/>
          <w:kern w:val="0"/>
          <w:sz w:val="24"/>
          <w:szCs w:val="24"/>
        </w:rPr>
        <w:t>§8</w:t>
      </w:r>
      <w:r w:rsidR="005D2CC7" w:rsidRPr="00272E0C">
        <w:rPr>
          <w:rFonts w:ascii="宋体" w:cs="Arial" w:hAnsi="宋体"/>
          <w:color w:val="000000"/>
          <w:kern w:val="0"/>
          <w:sz w:val="24"/>
          <w:szCs w:val="24"/>
        </w:rPr>
        <w:t xml:space="preserve">  </w:t>
      </w:r>
      <w:r w:rsidRPr="005D2CC7">
        <w:rPr>
          <w:rFonts w:ascii="宋体" w:cs="Arial" w:hAnsi="宋体"/>
          <w:color w:val="000000"/>
          <w:kern w:val="0"/>
          <w:sz w:val="24"/>
          <w:szCs w:val="24"/>
        </w:rPr>
        <w:t>影响投资者决策的其他重要信息</w:t>
      </w:r>
    </w:p>
    <w:p w:rsidP="004B7CA0" w:rsidR="004B7CA0" w:rsidRDefault="004B7CA0" w:rsidRPr="00654C5E">
      <w:pPr>
        <w:autoSpaceDE w:val="0"/>
        <w:autoSpaceDN w:val="0"/>
        <w:adjustRightInd w:val="0"/>
        <w:spacing w:line="360" w:lineRule="auto"/>
        <w:jc w:val="left"/>
        <w:rPr>
          <w:rFonts w:ascii="宋体"/>
          <w:b/>
          <w:bCs/>
          <w:color w:val="000000"/>
          <w:kern w:val="0"/>
          <w:sz w:val="24"/>
        </w:rPr>
      </w:pPr>
      <w:r w:rsidRPr="00654C5E">
        <w:rPr>
          <w:rFonts w:ascii="宋体"/>
          <w:b/>
          <w:bCs/>
          <w:color w:val="000000"/>
          <w:kern w:val="0"/>
          <w:sz w:val="24"/>
        </w:rPr>
        <w:t/>
      </w:r>
      <w:proofErr w:type="spellStart"/>
      <w:r w:rsidRPr="00654C5E">
        <w:rPr>
          <w:rFonts w:ascii="宋体"/>
          <w:b/>
          <w:bCs/>
          <w:color w:val="000000"/>
          <w:kern w:val="0"/>
          <w:sz w:val="24"/>
        </w:rPr>
        <w:t/>
      </w:r>
      <w:proofErr w:type="spellEnd"/>
      <w:r w:rsidRPr="00654C5E">
        <w:rPr>
          <w:rFonts w:ascii="宋体"/>
          <w:b/>
          <w:bCs/>
          <w:color w:val="000000"/>
          <w:kern w:val="0"/>
          <w:sz w:val="24"/>
        </w:rPr>
        <w:t>8.1 影响投资者决策的其他重要信息</w:t>
      </w:r>
    </w:p>
    <w:p w:rsidP="004B7CA0" w:rsidR="001C36D8" w:rsidRDefault="004B7CA0" w:rsidRPr="003D22BD">
      <w:pPr>
        <w:spacing w:line="360" w:lineRule="auto"/>
        <w:ind w:firstLine="480" w:firstLineChars="200"/>
        <w:rPr>
          <w:color w:val="000000"/>
          <w:sz w:val="24"/>
        </w:rPr>
      </w:pPr>
      <w:r w:rsidRPr="00FC0759">
        <w:rPr>
          <w:rFonts w:eastAsiaTheme="minorEastAsia"/>
          <w:color w:themeColor="text1" w:val="000000"/>
          <w:sz w:val="24"/>
        </w:rPr>
        <w:t/>
      </w:r>
      <w:proofErr w:type="spellStart"/>
      <w:r w:rsidRPr="00FC0759">
        <w:rPr>
          <w:color w:themeColor="text1" w:val="000000"/>
          <w:sz w:val="24"/>
        </w:rPr>
        <w:t/>
      </w:r>
      <w:proofErr w:type="spellEnd"/>
      <w:r w:rsidRPr="00FC0759">
        <w:rPr>
          <w:rFonts w:eastAsiaTheme="minorEastAsia"/>
          <w:color w:themeColor="text1" w:val="000000"/>
          <w:sz w:val="24"/>
        </w:rPr>
        <w:t>根据《关于规范金融机构资产管理业务的指导意见》（以下简称《资管新规》）要求，公募产品不得进行份额分级，应在《资管新规》规定的过渡期结束前（即2020年12月31日前）进行整改规范，请投资者关注相关风险以及基金管理人届时发布的相关公告。</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color w:val="000000"/>
          <w:kern w:val="0"/>
          <w:sz w:val="24"/>
          <w:szCs w:val="24"/>
        </w:rPr>
        <w:t/>
      </w:r>
      <w:r w:rsidRPr="00272E0C">
        <w:rPr>
          <w:rFonts w:ascii="宋体" w:cs="Arial" w:hAnsi="宋体"/>
          <w:color w:val="000000"/>
          <w:kern w:val="0"/>
          <w:sz w:val="24"/>
          <w:szCs w:val="24"/>
        </w:rPr>
        <w:t>9</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备查文件目录</w:t>
      </w:r>
    </w:p>
    <w:p w:rsidP="001078B6" w:rsidR="001C36D8" w:rsidRDefault="001C36D8" w:rsidRPr="00CE2DE4">
      <w:pPr>
        <w:spacing w:line="360" w:lineRule="auto"/>
        <w:rPr>
          <w:rFonts w:ascii="宋体"/>
          <w:b/>
          <w:color w:val="000000"/>
          <w:kern w:val="0"/>
          <w:sz w:val="24"/>
        </w:rPr>
      </w:pPr>
      <w:r w:rsidRPr="00CE2DE4">
        <w:rPr>
          <w:rFonts w:ascii="宋体"/>
          <w:b/>
          <w:color w:val="000000"/>
          <w:sz w:val="24"/>
        </w:rPr>
        <w:t/>
      </w:r>
      <w:r w:rsidRPr="00CE2DE4">
        <w:rPr>
          <w:rFonts w:ascii="宋体" w:hAnsi="宋体"/>
          <w:b/>
          <w:color w:val="000000"/>
          <w:sz w:val="24"/>
        </w:rPr>
        <w:t xml:space="preserve">9.1 </w:t>
      </w:r>
      <w:r w:rsidRPr="00CE2DE4">
        <w:rPr>
          <w:rFonts w:ascii="宋体" w:hAnsi="宋体" w:hint="eastAsia"/>
          <w:b/>
          <w:color w:val="000000"/>
          <w:sz w:val="24"/>
        </w:rPr>
        <w:t>备查文件目录</w:t>
      </w:r>
    </w:p>
    <w:p>
      <w:pPr>
        <w:spacing w:line="360" w:lineRule="auto"/>
        <w:ind w:firstLine="480" w:firstLineChars="200"/>
        <w:rPr>
          <w:color w:val="000000"/>
          <w:sz w:val="24"/>
        </w:rPr>
      </w:pPr>
      <w:r>
        <w:rPr>
          <w:color w:val="000000"/>
          <w:sz w:val="24"/>
        </w:rPr>
        <w:t>1.中国证监会准予易方达军工指数分级证券投资基金募集注册的文件；</w:t>
      </w:r>
    </w:p>
    <w:p>
      <w:pPr>
        <w:spacing w:line="360" w:lineRule="auto"/>
        <w:ind w:firstLine="480" w:firstLineChars="200"/>
        <w:rPr>
          <w:color w:val="000000"/>
          <w:sz w:val="24"/>
        </w:rPr>
      </w:pPr>
      <w:r>
        <w:rPr>
          <w:color w:val="000000"/>
          <w:sz w:val="24"/>
        </w:rPr>
        <w:t>2.《易方达军工指数分级证券投资基金基金合同》；</w:t>
      </w:r>
    </w:p>
    <w:p>
      <w:pPr>
        <w:spacing w:line="360" w:lineRule="auto"/>
        <w:ind w:firstLine="480" w:firstLineChars="200"/>
        <w:rPr>
          <w:color w:val="000000"/>
          <w:sz w:val="24"/>
        </w:rPr>
      </w:pPr>
      <w:r>
        <w:rPr>
          <w:color w:val="000000"/>
          <w:sz w:val="24"/>
        </w:rPr>
        <w:t>3.《易方达军工指数分级证券投资基金托管协议》；</w:t>
      </w:r>
    </w:p>
    <w:p w:rsidP="00E43B0B" w:rsidR="001C36D8" w:rsidRDefault="001C36D8" w:rsidRPr="00E43B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4.基金管理人业务资格批件和营业执照。</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9.2 </w:t>
      </w:r>
      <w:r w:rsidRPr="00CE2DE4">
        <w:rPr>
          <w:rFonts w:ascii="宋体" w:hAnsi="宋体" w:hint="eastAsia"/>
          <w:b/>
          <w:color w:val="000000"/>
          <w:sz w:val="24"/>
        </w:rPr>
        <w:t>存放地点</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广州市天河区珠江新城珠江东路30号广州银行大厦40-43楼。</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9.3 </w:t>
      </w:r>
      <w:r w:rsidRPr="00CE2DE4">
        <w:rPr>
          <w:rFonts w:ascii="宋体" w:hAnsi="宋体" w:hint="eastAsia"/>
          <w:b/>
          <w:color w:val="000000"/>
          <w:sz w:val="24"/>
        </w:rPr>
        <w:t>查阅方式</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投资者可在营业时间免费查阅，也可按工本费购买复印件。</w:t>
      </w:r>
    </w:p>
    <w:p w:rsidP="0019563C" w:rsidR="001C36D8" w:rsidRDefault="001C36D8" w:rsidRPr="00272E0C">
      <w:pPr>
        <w:spacing w:line="360" w:lineRule="auto"/>
        <w:ind w:left="840"/>
        <w:jc w:val="right"/>
        <w:rPr>
          <w:rFonts w:ascii="宋体"/>
          <w:color w:val="000000"/>
          <w:sz w:val="24"/>
        </w:rPr>
      </w:pPr>
      <w:r w:rsidRPr="00272E0C">
        <w:rPr>
          <w:rFonts w:ascii="宋体"/>
          <w:color w:val="000000"/>
          <w:sz w:val="24"/>
        </w:rPr>
        <w:tab/>
      </w: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078B6" w:rsidR="001C36D8" w:rsidRDefault="001C36D8" w:rsidRPr="00272E0C">
      <w:pPr>
        <w:spacing w:line="360" w:lineRule="auto"/>
        <w:jc w:val="right"/>
        <w:rPr>
          <w:rFonts w:ascii="宋体" w:hAnsi="宋体"/>
          <w:b/>
          <w:bCs/>
          <w:sz w:val="24"/>
        </w:rPr>
      </w:pPr>
      <w:r w:rsidRPr="00272E0C">
        <w:rPr>
          <w:rFonts w:ascii="宋体"/>
          <w:b/>
          <w:bCs/>
          <w:sz w:val="24"/>
        </w:rPr>
        <w:t/>
      </w:r>
      <w:proofErr w:type="spellStart"/>
      <w:r w:rsidRPr="00272E0C">
        <w:rPr>
          <w:rFonts w:ascii="宋体" w:hAnsi="宋体"/>
          <w:b/>
          <w:bCs/>
          <w:sz w:val="24"/>
        </w:rPr>
        <w:t/>
      </w:r>
      <w:proofErr w:type="spellEnd"/>
      <w:r w:rsidRPr="00272E0C">
        <w:rPr>
          <w:rFonts w:ascii="宋体" w:hAnsi="宋体"/>
          <w:b/>
          <w:bCs/>
          <w:sz w:val="24"/>
        </w:rPr>
        <w:t>易方达基金管理有限公司</w:t>
      </w:r>
    </w:p>
    <w:p w:rsidP="008C2A97" w:rsidR="001C36D8" w:rsidRDefault="001C36D8" w:rsidRPr="008C2A97">
      <w:pPr>
        <w:spacing w:line="360" w:lineRule="auto"/>
        <w:jc w:val="right"/>
        <w:rPr>
          <w:rFonts w:ascii="宋体" w:hAnsi="宋体"/>
          <w:b/>
          <w:bCs/>
          <w:sz w:val="24"/>
        </w:rPr>
      </w:pPr>
      <w:r w:rsidRPr="00272E0C">
        <w:rPr>
          <w:rFonts w:ascii="宋体" w:hAnsi="宋体"/>
          <w:b/>
          <w:bCs/>
          <w:sz w:val="24"/>
        </w:rPr>
        <w:t/>
      </w:r>
      <w:proofErr w:type="spellStart"/>
      <w:r w:rsidRPr="00272E0C">
        <w:rPr>
          <w:rFonts w:ascii="宋体" w:hAnsi="宋体"/>
          <w:b/>
          <w:bCs/>
          <w:sz w:val="24"/>
        </w:rPr>
        <w:t/>
      </w:r>
      <w:proofErr w:type="spellEnd"/>
      <w:r w:rsidRPr="00272E0C">
        <w:rPr>
          <w:rFonts w:ascii="宋体" w:hAnsi="宋体"/>
          <w:b/>
          <w:bCs/>
          <w:sz w:val="24"/>
        </w:rPr>
        <w:t>二〇二〇年七月二十一日</w:t>
      </w:r>
    </w:p>
    <w:sectPr w:rsidR="001C36D8" w:rsidRPr="008C2A97" w:rsidSect="00DB4450">
      <w:footerReference r:id="rId11" w:type="even"/>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9E0" w:rsidRDefault="001C19E0">
      <w:r>
        <w:separator/>
      </w:r>
    </w:p>
  </w:endnote>
  <w:endnote w:type="continuationSeparator" w:id="0">
    <w:p w:rsidR="001C19E0" w:rsidRDefault="001C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TSong-Light">
    <w:altName w:val="Times New Roman"/>
    <w:panose1 w:val="00000000000000000000"/>
    <w:charset w:val="00"/>
    <w:family w:val="roman"/>
    <w:notTrueType/>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230A66" w:rsidR="00E43B0B" w:rsidRDefault="00E43B0B" w:rsidRPr="001D0DB0">
    <w:pPr>
      <w:pStyle w:val="a6"/>
      <w:jc w:val="center"/>
    </w:pPr>
    <w:r>
      <w:rPr>
        <w:rFonts w:hint="eastAsia"/>
        <w:kern w:val="0"/>
        <w:szCs w:val="21"/>
      </w:rPr>
      <w:t>第</w:t>
    </w:r>
    <w:r w:rsidR="0015021E">
      <w:rPr>
        <w:kern w:val="0"/>
        <w:szCs w:val="21"/>
      </w:rPr>
      <w:fldChar w:fldCharType="begin"/>
    </w:r>
    <w:r>
      <w:rPr>
        <w:kern w:val="0"/>
        <w:szCs w:val="21"/>
      </w:rPr>
      <w:instrText xml:space="preserve"> PAGE </w:instrText>
    </w:r>
    <w:r w:rsidR="0015021E">
      <w:rPr>
        <w:kern w:val="0"/>
        <w:szCs w:val="21"/>
      </w:rPr>
      <w:fldChar w:fldCharType="separate"/>
    </w:r>
    <w:r w:rsidR="00FE4BF2">
      <w:rPr>
        <w:noProof/>
        <w:kern w:val="0"/>
        <w:szCs w:val="21"/>
      </w:rPr>
      <w:t>1</w:t>
    </w:r>
    <w:r w:rsidR="0015021E">
      <w:rPr>
        <w:kern w:val="0"/>
        <w:szCs w:val="21"/>
      </w:rPr>
      <w:fldChar w:fldCharType="end"/>
    </w:r>
    <w:proofErr w:type="gramStart"/>
    <w:r>
      <w:rPr>
        <w:rFonts w:hint="eastAsia"/>
        <w:kern w:val="0"/>
        <w:szCs w:val="21"/>
      </w:rPr>
      <w:t>页共</w:t>
    </w:r>
    <w:proofErr w:type="gramEnd"/>
    <w:r w:rsidR="0015021E">
      <w:rPr>
        <w:kern w:val="0"/>
        <w:szCs w:val="21"/>
      </w:rPr>
      <w:fldChar w:fldCharType="begin"/>
    </w:r>
    <w:r>
      <w:rPr>
        <w:kern w:val="0"/>
        <w:szCs w:val="21"/>
      </w:rPr>
      <w:instrText xml:space="preserve"> NUMPAGES </w:instrText>
    </w:r>
    <w:r w:rsidR="0015021E">
      <w:rPr>
        <w:kern w:val="0"/>
        <w:szCs w:val="21"/>
      </w:rPr>
      <w:fldChar w:fldCharType="separate"/>
    </w:r>
    <w:r w:rsidR="00FE4BF2">
      <w:rPr>
        <w:noProof/>
        <w:kern w:val="0"/>
        <w:szCs w:val="21"/>
      </w:rPr>
      <w:t>28</w:t>
    </w:r>
    <w:r w:rsidR="0015021E">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end"/>
    </w:r>
  </w:p>
  <w:p w:rsidR="00E43B0B" w:rsidRDefault="00E43B0B">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separate"/>
    </w:r>
    <w:r w:rsidR="00FE4BF2">
      <w:rPr>
        <w:rStyle w:val="a7"/>
        <w:noProof/>
      </w:rPr>
      <w:t>19</w:t>
    </w:r>
    <w:r>
      <w:rPr>
        <w:rStyle w:val="a7"/>
      </w:rPr>
      <w:fldChar w:fldCharType="end"/>
    </w:r>
  </w:p>
  <w:p w:rsidR="00E43B0B" w:rsidRDefault="00E43B0B">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1C19E0" w:rsidRDefault="001C19E0">
      <w:r>
        <w:separator/>
      </w:r>
    </w:p>
  </w:footnote>
  <w:footnote w:id="0" w:type="continuationSeparator">
    <w:p w:rsidR="001C19E0" w:rsidRDefault="001C19E0">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B572A" w:rsidR="00E43B0B" w:rsidRDefault="00E43B0B" w:rsidRPr="00717C29">
    <w:pPr>
      <w:pStyle w:val="a9"/>
      <w:pBdr>
        <w:bottom w:color="auto" w:space="0" w:sz="6" w:val="single"/>
      </w:pBdr>
      <w:jc w:val="right"/>
      <w:rPr>
        <w:sz w:val="15"/>
      </w:rPr>
    </w:pPr>
    <w:r w:rsidRPr="00717C29">
      <w:rPr>
        <w:szCs w:val="21"/>
      </w:rPr>
      <w:t/>
    </w:r>
    <w:proofErr w:type="spellStart"/>
    <w:proofErr w:type="gramStart"/>
    <w:r w:rsidRPr="00717C29">
      <w:rPr>
        <w:szCs w:val="21"/>
      </w:rPr>
      <w:t/>
    </w:r>
    <w:proofErr w:type="spellEnd"/>
    <w:proofErr w:type="gramEnd"/>
    <w:r w:rsidRPr="00717C29">
      <w:rPr>
        <w:szCs w:val="21"/>
      </w:rPr>
      <w:t>易方达军工指数分级证券投资基金</w:t>
    </w:r>
    <w:proofErr w:type="spellStart"/>
    <w:r w:rsidRPr="00717C29">
      <w:rPr>
        <w:szCs w:val="21"/>
      </w:rPr>
      <w:t/>
    </w:r>
    <w:proofErr w:type="spellEnd"/>
    <w:r w:rsidRPr="00717C29">
      <w:rPr>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116E"/>
    <w:rsid w:val="0000403B"/>
    <w:rsid w:val="00005911"/>
    <w:rsid w:val="0000595B"/>
    <w:rsid w:val="00010A83"/>
    <w:rsid w:val="00010A8E"/>
    <w:rsid w:val="00010AC3"/>
    <w:rsid w:val="000118A9"/>
    <w:rsid w:val="00011EB5"/>
    <w:rsid w:val="0001280C"/>
    <w:rsid w:val="00013023"/>
    <w:rsid w:val="000148F1"/>
    <w:rsid w:val="0001536C"/>
    <w:rsid w:val="00017581"/>
    <w:rsid w:val="00020149"/>
    <w:rsid w:val="00020583"/>
    <w:rsid w:val="00021DD4"/>
    <w:rsid w:val="00023BE7"/>
    <w:rsid w:val="00026AAE"/>
    <w:rsid w:val="00037FCF"/>
    <w:rsid w:val="000421B8"/>
    <w:rsid w:val="00043ABF"/>
    <w:rsid w:val="00044045"/>
    <w:rsid w:val="000445E4"/>
    <w:rsid w:val="00046906"/>
    <w:rsid w:val="000510AB"/>
    <w:rsid w:val="00055190"/>
    <w:rsid w:val="00055AF1"/>
    <w:rsid w:val="00056A75"/>
    <w:rsid w:val="00057DD3"/>
    <w:rsid w:val="000625A6"/>
    <w:rsid w:val="000627CD"/>
    <w:rsid w:val="00062BCE"/>
    <w:rsid w:val="00064AE3"/>
    <w:rsid w:val="00066524"/>
    <w:rsid w:val="00070CD1"/>
    <w:rsid w:val="0007171B"/>
    <w:rsid w:val="00074E9F"/>
    <w:rsid w:val="00081D05"/>
    <w:rsid w:val="0008378B"/>
    <w:rsid w:val="00085449"/>
    <w:rsid w:val="00087CF7"/>
    <w:rsid w:val="00090B0F"/>
    <w:rsid w:val="00090D91"/>
    <w:rsid w:val="00091214"/>
    <w:rsid w:val="00094876"/>
    <w:rsid w:val="00095912"/>
    <w:rsid w:val="00095CE0"/>
    <w:rsid w:val="00096933"/>
    <w:rsid w:val="00097230"/>
    <w:rsid w:val="0009778D"/>
    <w:rsid w:val="000A457E"/>
    <w:rsid w:val="000A53FD"/>
    <w:rsid w:val="000A549A"/>
    <w:rsid w:val="000A72F2"/>
    <w:rsid w:val="000B0C56"/>
    <w:rsid w:val="000B3E43"/>
    <w:rsid w:val="000B5974"/>
    <w:rsid w:val="000B5CC0"/>
    <w:rsid w:val="000C1038"/>
    <w:rsid w:val="000C1723"/>
    <w:rsid w:val="000C1B20"/>
    <w:rsid w:val="000C4107"/>
    <w:rsid w:val="000C44BD"/>
    <w:rsid w:val="000C45E7"/>
    <w:rsid w:val="000C57A8"/>
    <w:rsid w:val="000D0149"/>
    <w:rsid w:val="000D01F4"/>
    <w:rsid w:val="000D0D4E"/>
    <w:rsid w:val="000D1519"/>
    <w:rsid w:val="000E1618"/>
    <w:rsid w:val="000E4456"/>
    <w:rsid w:val="000F175F"/>
    <w:rsid w:val="000F17D1"/>
    <w:rsid w:val="000F2837"/>
    <w:rsid w:val="000F399F"/>
    <w:rsid w:val="000F60FF"/>
    <w:rsid w:val="000F635F"/>
    <w:rsid w:val="000F6C61"/>
    <w:rsid w:val="001008A1"/>
    <w:rsid w:val="00100C12"/>
    <w:rsid w:val="00102E56"/>
    <w:rsid w:val="001049B6"/>
    <w:rsid w:val="001051C6"/>
    <w:rsid w:val="001078B6"/>
    <w:rsid w:val="0011177A"/>
    <w:rsid w:val="00111D44"/>
    <w:rsid w:val="00116E31"/>
    <w:rsid w:val="00120BED"/>
    <w:rsid w:val="0012304E"/>
    <w:rsid w:val="001248EF"/>
    <w:rsid w:val="001257C7"/>
    <w:rsid w:val="00126DDF"/>
    <w:rsid w:val="001270BF"/>
    <w:rsid w:val="00127BAC"/>
    <w:rsid w:val="00134868"/>
    <w:rsid w:val="001366D4"/>
    <w:rsid w:val="00140FF8"/>
    <w:rsid w:val="00142A56"/>
    <w:rsid w:val="00144DF5"/>
    <w:rsid w:val="00145A97"/>
    <w:rsid w:val="00146485"/>
    <w:rsid w:val="00147338"/>
    <w:rsid w:val="0015021E"/>
    <w:rsid w:val="001506B4"/>
    <w:rsid w:val="00150A6E"/>
    <w:rsid w:val="00150AD6"/>
    <w:rsid w:val="00153B40"/>
    <w:rsid w:val="00154ADA"/>
    <w:rsid w:val="0015531A"/>
    <w:rsid w:val="00155953"/>
    <w:rsid w:val="0015779C"/>
    <w:rsid w:val="001600E8"/>
    <w:rsid w:val="00163B27"/>
    <w:rsid w:val="00165317"/>
    <w:rsid w:val="00170F80"/>
    <w:rsid w:val="00171BAD"/>
    <w:rsid w:val="001744B4"/>
    <w:rsid w:val="001756A1"/>
    <w:rsid w:val="001761EE"/>
    <w:rsid w:val="0017638D"/>
    <w:rsid w:val="00176EAA"/>
    <w:rsid w:val="0017725A"/>
    <w:rsid w:val="00177C4B"/>
    <w:rsid w:val="0018325A"/>
    <w:rsid w:val="00183C9E"/>
    <w:rsid w:val="00184556"/>
    <w:rsid w:val="00185D2B"/>
    <w:rsid w:val="00186199"/>
    <w:rsid w:val="001878B0"/>
    <w:rsid w:val="001928F7"/>
    <w:rsid w:val="00193F07"/>
    <w:rsid w:val="00194537"/>
    <w:rsid w:val="0019563C"/>
    <w:rsid w:val="001A09F9"/>
    <w:rsid w:val="001A14DB"/>
    <w:rsid w:val="001A21A9"/>
    <w:rsid w:val="001A363B"/>
    <w:rsid w:val="001A59D8"/>
    <w:rsid w:val="001A5FA6"/>
    <w:rsid w:val="001B0A62"/>
    <w:rsid w:val="001B2F0C"/>
    <w:rsid w:val="001B64E7"/>
    <w:rsid w:val="001C123E"/>
    <w:rsid w:val="001C19E0"/>
    <w:rsid w:val="001C36D8"/>
    <w:rsid w:val="001C37F6"/>
    <w:rsid w:val="001C4BEC"/>
    <w:rsid w:val="001C6288"/>
    <w:rsid w:val="001C7DE9"/>
    <w:rsid w:val="001D0DB0"/>
    <w:rsid w:val="001D0F6A"/>
    <w:rsid w:val="001D21BC"/>
    <w:rsid w:val="001D2FA5"/>
    <w:rsid w:val="001D35E0"/>
    <w:rsid w:val="001D5045"/>
    <w:rsid w:val="001D5387"/>
    <w:rsid w:val="001D5A44"/>
    <w:rsid w:val="001D63BB"/>
    <w:rsid w:val="001D724B"/>
    <w:rsid w:val="001E11D3"/>
    <w:rsid w:val="001E2A6A"/>
    <w:rsid w:val="001E3DC2"/>
    <w:rsid w:val="001E56FF"/>
    <w:rsid w:val="001E5C6B"/>
    <w:rsid w:val="001E6E4D"/>
    <w:rsid w:val="001F03E1"/>
    <w:rsid w:val="001F0DE2"/>
    <w:rsid w:val="001F218E"/>
    <w:rsid w:val="001F3CC6"/>
    <w:rsid w:val="001F40BA"/>
    <w:rsid w:val="001F4530"/>
    <w:rsid w:val="002010DE"/>
    <w:rsid w:val="00202968"/>
    <w:rsid w:val="00202A66"/>
    <w:rsid w:val="00202C32"/>
    <w:rsid w:val="00203AEF"/>
    <w:rsid w:val="00210344"/>
    <w:rsid w:val="00211A26"/>
    <w:rsid w:val="002125F7"/>
    <w:rsid w:val="00213171"/>
    <w:rsid w:val="00213917"/>
    <w:rsid w:val="00214463"/>
    <w:rsid w:val="00214756"/>
    <w:rsid w:val="00215CF2"/>
    <w:rsid w:val="00215E33"/>
    <w:rsid w:val="00216232"/>
    <w:rsid w:val="00220542"/>
    <w:rsid w:val="00220684"/>
    <w:rsid w:val="00221174"/>
    <w:rsid w:val="00225ADC"/>
    <w:rsid w:val="00230732"/>
    <w:rsid w:val="00230A66"/>
    <w:rsid w:val="00230EC2"/>
    <w:rsid w:val="002359EB"/>
    <w:rsid w:val="002363AB"/>
    <w:rsid w:val="00237FA3"/>
    <w:rsid w:val="0024172D"/>
    <w:rsid w:val="00241B12"/>
    <w:rsid w:val="0024260D"/>
    <w:rsid w:val="00243E40"/>
    <w:rsid w:val="00245012"/>
    <w:rsid w:val="0024504E"/>
    <w:rsid w:val="0024651F"/>
    <w:rsid w:val="002470BA"/>
    <w:rsid w:val="00250BE3"/>
    <w:rsid w:val="00251290"/>
    <w:rsid w:val="0025158D"/>
    <w:rsid w:val="00251D17"/>
    <w:rsid w:val="00251F3A"/>
    <w:rsid w:val="0025281A"/>
    <w:rsid w:val="00253D3C"/>
    <w:rsid w:val="0025435F"/>
    <w:rsid w:val="00255292"/>
    <w:rsid w:val="00260200"/>
    <w:rsid w:val="00263563"/>
    <w:rsid w:val="002648D8"/>
    <w:rsid w:val="00264E55"/>
    <w:rsid w:val="00270548"/>
    <w:rsid w:val="00272E0C"/>
    <w:rsid w:val="00273F86"/>
    <w:rsid w:val="002752B0"/>
    <w:rsid w:val="002774F0"/>
    <w:rsid w:val="0028459B"/>
    <w:rsid w:val="00284C5F"/>
    <w:rsid w:val="002873F0"/>
    <w:rsid w:val="00291A74"/>
    <w:rsid w:val="00292198"/>
    <w:rsid w:val="002964F9"/>
    <w:rsid w:val="00297EF3"/>
    <w:rsid w:val="002A1F14"/>
    <w:rsid w:val="002A2678"/>
    <w:rsid w:val="002A2E01"/>
    <w:rsid w:val="002A398F"/>
    <w:rsid w:val="002A44F9"/>
    <w:rsid w:val="002A5C6B"/>
    <w:rsid w:val="002A5D31"/>
    <w:rsid w:val="002A714F"/>
    <w:rsid w:val="002A74FB"/>
    <w:rsid w:val="002B1851"/>
    <w:rsid w:val="002B27FF"/>
    <w:rsid w:val="002B4429"/>
    <w:rsid w:val="002B6793"/>
    <w:rsid w:val="002C1726"/>
    <w:rsid w:val="002C1DF3"/>
    <w:rsid w:val="002C21A6"/>
    <w:rsid w:val="002C26D5"/>
    <w:rsid w:val="002C2DE0"/>
    <w:rsid w:val="002C5777"/>
    <w:rsid w:val="002C7FC3"/>
    <w:rsid w:val="002D1791"/>
    <w:rsid w:val="002D32E3"/>
    <w:rsid w:val="002D55E7"/>
    <w:rsid w:val="002E0FEB"/>
    <w:rsid w:val="002E1EBA"/>
    <w:rsid w:val="002F0F79"/>
    <w:rsid w:val="002F280E"/>
    <w:rsid w:val="002F3709"/>
    <w:rsid w:val="002F3A6C"/>
    <w:rsid w:val="002F3E9C"/>
    <w:rsid w:val="002F4296"/>
    <w:rsid w:val="00300951"/>
    <w:rsid w:val="003023C9"/>
    <w:rsid w:val="00302CA8"/>
    <w:rsid w:val="00302DE9"/>
    <w:rsid w:val="003041B1"/>
    <w:rsid w:val="00305084"/>
    <w:rsid w:val="003168E2"/>
    <w:rsid w:val="003204E9"/>
    <w:rsid w:val="00320DDA"/>
    <w:rsid w:val="00321E8C"/>
    <w:rsid w:val="00322A65"/>
    <w:rsid w:val="00322A86"/>
    <w:rsid w:val="00323AE8"/>
    <w:rsid w:val="00324548"/>
    <w:rsid w:val="003251F4"/>
    <w:rsid w:val="003303E3"/>
    <w:rsid w:val="00331FA4"/>
    <w:rsid w:val="003329EA"/>
    <w:rsid w:val="00332FDE"/>
    <w:rsid w:val="003407A5"/>
    <w:rsid w:val="00341188"/>
    <w:rsid w:val="0034147B"/>
    <w:rsid w:val="0034432A"/>
    <w:rsid w:val="00350238"/>
    <w:rsid w:val="0035109C"/>
    <w:rsid w:val="00351F0A"/>
    <w:rsid w:val="0035432B"/>
    <w:rsid w:val="00357EB5"/>
    <w:rsid w:val="00361E7E"/>
    <w:rsid w:val="003669EF"/>
    <w:rsid w:val="00370AA4"/>
    <w:rsid w:val="00371FF4"/>
    <w:rsid w:val="00373015"/>
    <w:rsid w:val="00375D24"/>
    <w:rsid w:val="00377520"/>
    <w:rsid w:val="00380D36"/>
    <w:rsid w:val="003822D3"/>
    <w:rsid w:val="0038409E"/>
    <w:rsid w:val="00384BC3"/>
    <w:rsid w:val="00386630"/>
    <w:rsid w:val="00390522"/>
    <w:rsid w:val="00390B25"/>
    <w:rsid w:val="00390C86"/>
    <w:rsid w:val="00397156"/>
    <w:rsid w:val="00397960"/>
    <w:rsid w:val="003A20AA"/>
    <w:rsid w:val="003A3BC4"/>
    <w:rsid w:val="003A458A"/>
    <w:rsid w:val="003A4DA3"/>
    <w:rsid w:val="003A768B"/>
    <w:rsid w:val="003B07C8"/>
    <w:rsid w:val="003B2082"/>
    <w:rsid w:val="003B2F13"/>
    <w:rsid w:val="003B3D0C"/>
    <w:rsid w:val="003B405E"/>
    <w:rsid w:val="003B57D3"/>
    <w:rsid w:val="003C1F58"/>
    <w:rsid w:val="003C792F"/>
    <w:rsid w:val="003D124B"/>
    <w:rsid w:val="003D18F3"/>
    <w:rsid w:val="003D22BD"/>
    <w:rsid w:val="003D4E5A"/>
    <w:rsid w:val="003D5951"/>
    <w:rsid w:val="003D74F2"/>
    <w:rsid w:val="003D78B5"/>
    <w:rsid w:val="003E1062"/>
    <w:rsid w:val="003E244F"/>
    <w:rsid w:val="003E3AE8"/>
    <w:rsid w:val="003E62A6"/>
    <w:rsid w:val="003E695F"/>
    <w:rsid w:val="003E6C9B"/>
    <w:rsid w:val="003E709C"/>
    <w:rsid w:val="003E7B89"/>
    <w:rsid w:val="003F20D3"/>
    <w:rsid w:val="003F4241"/>
    <w:rsid w:val="003F7C45"/>
    <w:rsid w:val="0040132C"/>
    <w:rsid w:val="00405085"/>
    <w:rsid w:val="004066FC"/>
    <w:rsid w:val="00407C10"/>
    <w:rsid w:val="004113B4"/>
    <w:rsid w:val="00414827"/>
    <w:rsid w:val="00416C10"/>
    <w:rsid w:val="004217C8"/>
    <w:rsid w:val="0042180E"/>
    <w:rsid w:val="004222C8"/>
    <w:rsid w:val="0042253F"/>
    <w:rsid w:val="00424726"/>
    <w:rsid w:val="00424EF3"/>
    <w:rsid w:val="004268BB"/>
    <w:rsid w:val="00431047"/>
    <w:rsid w:val="004318F0"/>
    <w:rsid w:val="00431B86"/>
    <w:rsid w:val="00431BC5"/>
    <w:rsid w:val="004344A5"/>
    <w:rsid w:val="004408EC"/>
    <w:rsid w:val="00441B38"/>
    <w:rsid w:val="00441D14"/>
    <w:rsid w:val="00441E6A"/>
    <w:rsid w:val="004432B9"/>
    <w:rsid w:val="00443C8F"/>
    <w:rsid w:val="00452481"/>
    <w:rsid w:val="00453E40"/>
    <w:rsid w:val="004542DD"/>
    <w:rsid w:val="00456CE0"/>
    <w:rsid w:val="004575E9"/>
    <w:rsid w:val="00457804"/>
    <w:rsid w:val="004646BF"/>
    <w:rsid w:val="00464744"/>
    <w:rsid w:val="00465C86"/>
    <w:rsid w:val="004665E3"/>
    <w:rsid w:val="004731F1"/>
    <w:rsid w:val="0047652F"/>
    <w:rsid w:val="00480BC8"/>
    <w:rsid w:val="00481265"/>
    <w:rsid w:val="004814BF"/>
    <w:rsid w:val="004828AE"/>
    <w:rsid w:val="0048587E"/>
    <w:rsid w:val="00487C2B"/>
    <w:rsid w:val="0049168F"/>
    <w:rsid w:val="00491ABD"/>
    <w:rsid w:val="0049297D"/>
    <w:rsid w:val="004929F2"/>
    <w:rsid w:val="00495A03"/>
    <w:rsid w:val="00497079"/>
    <w:rsid w:val="004A1BBA"/>
    <w:rsid w:val="004A1E8A"/>
    <w:rsid w:val="004A3E3C"/>
    <w:rsid w:val="004A3F71"/>
    <w:rsid w:val="004B0E6D"/>
    <w:rsid w:val="004B16E8"/>
    <w:rsid w:val="004B2326"/>
    <w:rsid w:val="004B4D2D"/>
    <w:rsid w:val="004B6250"/>
    <w:rsid w:val="004B76B1"/>
    <w:rsid w:val="004B7CA0"/>
    <w:rsid w:val="004C0057"/>
    <w:rsid w:val="004C04AE"/>
    <w:rsid w:val="004C0541"/>
    <w:rsid w:val="004C2C46"/>
    <w:rsid w:val="004C6E88"/>
    <w:rsid w:val="004C7235"/>
    <w:rsid w:val="004C7955"/>
    <w:rsid w:val="004D047F"/>
    <w:rsid w:val="004D3D96"/>
    <w:rsid w:val="004D650F"/>
    <w:rsid w:val="004D67E0"/>
    <w:rsid w:val="004E12E1"/>
    <w:rsid w:val="004E2133"/>
    <w:rsid w:val="004E32E2"/>
    <w:rsid w:val="004E5AB9"/>
    <w:rsid w:val="004E60FB"/>
    <w:rsid w:val="004F779C"/>
    <w:rsid w:val="004F7846"/>
    <w:rsid w:val="005000D4"/>
    <w:rsid w:val="005015FA"/>
    <w:rsid w:val="00505411"/>
    <w:rsid w:val="00510CAF"/>
    <w:rsid w:val="00510DAB"/>
    <w:rsid w:val="005128C5"/>
    <w:rsid w:val="00514754"/>
    <w:rsid w:val="0051478B"/>
    <w:rsid w:val="0051566A"/>
    <w:rsid w:val="00515D7B"/>
    <w:rsid w:val="005166E9"/>
    <w:rsid w:val="0052009E"/>
    <w:rsid w:val="0052302C"/>
    <w:rsid w:val="00525E59"/>
    <w:rsid w:val="00530D61"/>
    <w:rsid w:val="005318CC"/>
    <w:rsid w:val="00531D1B"/>
    <w:rsid w:val="005349B1"/>
    <w:rsid w:val="005374BC"/>
    <w:rsid w:val="00537A4E"/>
    <w:rsid w:val="00543188"/>
    <w:rsid w:val="00543367"/>
    <w:rsid w:val="00543BFA"/>
    <w:rsid w:val="00547D9C"/>
    <w:rsid w:val="00547DA1"/>
    <w:rsid w:val="005505E1"/>
    <w:rsid w:val="005541BC"/>
    <w:rsid w:val="0055513C"/>
    <w:rsid w:val="00557A54"/>
    <w:rsid w:val="00560C94"/>
    <w:rsid w:val="0056150F"/>
    <w:rsid w:val="0056291C"/>
    <w:rsid w:val="00565A63"/>
    <w:rsid w:val="00566588"/>
    <w:rsid w:val="0057155E"/>
    <w:rsid w:val="0057275D"/>
    <w:rsid w:val="00576862"/>
    <w:rsid w:val="005800A9"/>
    <w:rsid w:val="00580488"/>
    <w:rsid w:val="0058074D"/>
    <w:rsid w:val="00580FD1"/>
    <w:rsid w:val="00582FAD"/>
    <w:rsid w:val="00583489"/>
    <w:rsid w:val="005840E4"/>
    <w:rsid w:val="00590FE4"/>
    <w:rsid w:val="00591D9C"/>
    <w:rsid w:val="005961D7"/>
    <w:rsid w:val="00597057"/>
    <w:rsid w:val="00597D8B"/>
    <w:rsid w:val="005A1C30"/>
    <w:rsid w:val="005A229D"/>
    <w:rsid w:val="005A3295"/>
    <w:rsid w:val="005A46FF"/>
    <w:rsid w:val="005A5AE2"/>
    <w:rsid w:val="005B011E"/>
    <w:rsid w:val="005B14F0"/>
    <w:rsid w:val="005B1E0B"/>
    <w:rsid w:val="005B2E84"/>
    <w:rsid w:val="005B70C6"/>
    <w:rsid w:val="005B7B0E"/>
    <w:rsid w:val="005C526E"/>
    <w:rsid w:val="005C5409"/>
    <w:rsid w:val="005C69AC"/>
    <w:rsid w:val="005C6DCF"/>
    <w:rsid w:val="005C6DF3"/>
    <w:rsid w:val="005C722E"/>
    <w:rsid w:val="005D01A4"/>
    <w:rsid w:val="005D14DE"/>
    <w:rsid w:val="005D2CC7"/>
    <w:rsid w:val="005D44E4"/>
    <w:rsid w:val="005D45B3"/>
    <w:rsid w:val="005D4CEB"/>
    <w:rsid w:val="005D5F80"/>
    <w:rsid w:val="005E0C14"/>
    <w:rsid w:val="005E1D51"/>
    <w:rsid w:val="005F04E6"/>
    <w:rsid w:val="005F43B9"/>
    <w:rsid w:val="005F68CB"/>
    <w:rsid w:val="005F6A4A"/>
    <w:rsid w:val="006033E3"/>
    <w:rsid w:val="00603663"/>
    <w:rsid w:val="0061321C"/>
    <w:rsid w:val="006159E5"/>
    <w:rsid w:val="00620DB0"/>
    <w:rsid w:val="0062386E"/>
    <w:rsid w:val="00623D9A"/>
    <w:rsid w:val="00623F01"/>
    <w:rsid w:val="006242FB"/>
    <w:rsid w:val="00626E2D"/>
    <w:rsid w:val="00627D94"/>
    <w:rsid w:val="00630B42"/>
    <w:rsid w:val="00631DB3"/>
    <w:rsid w:val="00634900"/>
    <w:rsid w:val="00637BA7"/>
    <w:rsid w:val="00642072"/>
    <w:rsid w:val="006440ED"/>
    <w:rsid w:val="00645293"/>
    <w:rsid w:val="00651B78"/>
    <w:rsid w:val="00652263"/>
    <w:rsid w:val="00652881"/>
    <w:rsid w:val="00653BAC"/>
    <w:rsid w:val="00657CAF"/>
    <w:rsid w:val="00661974"/>
    <w:rsid w:val="00662F58"/>
    <w:rsid w:val="00664551"/>
    <w:rsid w:val="0066704D"/>
    <w:rsid w:val="006676A0"/>
    <w:rsid w:val="006706B6"/>
    <w:rsid w:val="00670857"/>
    <w:rsid w:val="00671124"/>
    <w:rsid w:val="006727B0"/>
    <w:rsid w:val="0067307E"/>
    <w:rsid w:val="006848C1"/>
    <w:rsid w:val="006868CD"/>
    <w:rsid w:val="00686EEA"/>
    <w:rsid w:val="00687AD5"/>
    <w:rsid w:val="00690EC4"/>
    <w:rsid w:val="00691D14"/>
    <w:rsid w:val="00695251"/>
    <w:rsid w:val="00695296"/>
    <w:rsid w:val="00695ADE"/>
    <w:rsid w:val="00695C0D"/>
    <w:rsid w:val="00696356"/>
    <w:rsid w:val="00696DDE"/>
    <w:rsid w:val="006A72C6"/>
    <w:rsid w:val="006B02DA"/>
    <w:rsid w:val="006B0806"/>
    <w:rsid w:val="006B10DA"/>
    <w:rsid w:val="006B2065"/>
    <w:rsid w:val="006B3940"/>
    <w:rsid w:val="006B5B3E"/>
    <w:rsid w:val="006C168D"/>
    <w:rsid w:val="006C4465"/>
    <w:rsid w:val="006C642C"/>
    <w:rsid w:val="006C6FC6"/>
    <w:rsid w:val="006D0E4F"/>
    <w:rsid w:val="006D676F"/>
    <w:rsid w:val="006D7693"/>
    <w:rsid w:val="006E231B"/>
    <w:rsid w:val="006E346E"/>
    <w:rsid w:val="006E34B7"/>
    <w:rsid w:val="006F103E"/>
    <w:rsid w:val="006F4C30"/>
    <w:rsid w:val="006F4CD8"/>
    <w:rsid w:val="006F53D9"/>
    <w:rsid w:val="007004DC"/>
    <w:rsid w:val="00701347"/>
    <w:rsid w:val="007027B6"/>
    <w:rsid w:val="00703E8A"/>
    <w:rsid w:val="00707FB8"/>
    <w:rsid w:val="0071006D"/>
    <w:rsid w:val="00711522"/>
    <w:rsid w:val="007124FE"/>
    <w:rsid w:val="007125A9"/>
    <w:rsid w:val="00713186"/>
    <w:rsid w:val="00713757"/>
    <w:rsid w:val="00716F79"/>
    <w:rsid w:val="00717772"/>
    <w:rsid w:val="00717C29"/>
    <w:rsid w:val="00721AF1"/>
    <w:rsid w:val="0072280F"/>
    <w:rsid w:val="00722B5E"/>
    <w:rsid w:val="0072708F"/>
    <w:rsid w:val="00727C6C"/>
    <w:rsid w:val="0073150B"/>
    <w:rsid w:val="00732D1D"/>
    <w:rsid w:val="00736034"/>
    <w:rsid w:val="0073681C"/>
    <w:rsid w:val="00737AB0"/>
    <w:rsid w:val="00740619"/>
    <w:rsid w:val="007411F1"/>
    <w:rsid w:val="00741EBE"/>
    <w:rsid w:val="00742ADF"/>
    <w:rsid w:val="00745829"/>
    <w:rsid w:val="00746130"/>
    <w:rsid w:val="00746A40"/>
    <w:rsid w:val="007479DC"/>
    <w:rsid w:val="00747ABE"/>
    <w:rsid w:val="00750358"/>
    <w:rsid w:val="00755CDF"/>
    <w:rsid w:val="00757A4C"/>
    <w:rsid w:val="007622F6"/>
    <w:rsid w:val="00764A94"/>
    <w:rsid w:val="007651E5"/>
    <w:rsid w:val="007665BF"/>
    <w:rsid w:val="007670DC"/>
    <w:rsid w:val="00767239"/>
    <w:rsid w:val="0077111A"/>
    <w:rsid w:val="00772272"/>
    <w:rsid w:val="007756ED"/>
    <w:rsid w:val="007870FC"/>
    <w:rsid w:val="0078729B"/>
    <w:rsid w:val="00787CD0"/>
    <w:rsid w:val="00791053"/>
    <w:rsid w:val="00791A3A"/>
    <w:rsid w:val="00794196"/>
    <w:rsid w:val="007941EA"/>
    <w:rsid w:val="007951F3"/>
    <w:rsid w:val="0079671E"/>
    <w:rsid w:val="00797637"/>
    <w:rsid w:val="007A0A57"/>
    <w:rsid w:val="007A3680"/>
    <w:rsid w:val="007A59B8"/>
    <w:rsid w:val="007A6BEA"/>
    <w:rsid w:val="007B2191"/>
    <w:rsid w:val="007B2862"/>
    <w:rsid w:val="007B3C32"/>
    <w:rsid w:val="007B505A"/>
    <w:rsid w:val="007B662A"/>
    <w:rsid w:val="007C2BCC"/>
    <w:rsid w:val="007C7E22"/>
    <w:rsid w:val="007D1C16"/>
    <w:rsid w:val="007D28C9"/>
    <w:rsid w:val="007D3CC8"/>
    <w:rsid w:val="007D62F9"/>
    <w:rsid w:val="007D63A4"/>
    <w:rsid w:val="007E008D"/>
    <w:rsid w:val="007E0F0C"/>
    <w:rsid w:val="007E1AA2"/>
    <w:rsid w:val="007E1AD0"/>
    <w:rsid w:val="007E4C1F"/>
    <w:rsid w:val="007E5EDC"/>
    <w:rsid w:val="007F0746"/>
    <w:rsid w:val="007F0759"/>
    <w:rsid w:val="007F15C0"/>
    <w:rsid w:val="007F25C0"/>
    <w:rsid w:val="007F35AA"/>
    <w:rsid w:val="007F47E2"/>
    <w:rsid w:val="007F523A"/>
    <w:rsid w:val="007F5F52"/>
    <w:rsid w:val="007F77C6"/>
    <w:rsid w:val="008003A1"/>
    <w:rsid w:val="008006B7"/>
    <w:rsid w:val="00800FDB"/>
    <w:rsid w:val="0080159F"/>
    <w:rsid w:val="00802081"/>
    <w:rsid w:val="008034CF"/>
    <w:rsid w:val="00804533"/>
    <w:rsid w:val="00806461"/>
    <w:rsid w:val="0081096D"/>
    <w:rsid w:val="00810EAD"/>
    <w:rsid w:val="00811833"/>
    <w:rsid w:val="00811C19"/>
    <w:rsid w:val="008174D4"/>
    <w:rsid w:val="00820FE6"/>
    <w:rsid w:val="00821985"/>
    <w:rsid w:val="00821A66"/>
    <w:rsid w:val="00822476"/>
    <w:rsid w:val="00822882"/>
    <w:rsid w:val="00823E6D"/>
    <w:rsid w:val="00824200"/>
    <w:rsid w:val="00825D22"/>
    <w:rsid w:val="00825F68"/>
    <w:rsid w:val="00827CB9"/>
    <w:rsid w:val="008305BF"/>
    <w:rsid w:val="00832748"/>
    <w:rsid w:val="00835408"/>
    <w:rsid w:val="008359DA"/>
    <w:rsid w:val="00836D2A"/>
    <w:rsid w:val="00837CEF"/>
    <w:rsid w:val="00840035"/>
    <w:rsid w:val="00840220"/>
    <w:rsid w:val="00840677"/>
    <w:rsid w:val="00840C20"/>
    <w:rsid w:val="008428A9"/>
    <w:rsid w:val="00844112"/>
    <w:rsid w:val="00844CBE"/>
    <w:rsid w:val="008456C9"/>
    <w:rsid w:val="0084611D"/>
    <w:rsid w:val="00850C62"/>
    <w:rsid w:val="00854463"/>
    <w:rsid w:val="00857643"/>
    <w:rsid w:val="00863011"/>
    <w:rsid w:val="0086312D"/>
    <w:rsid w:val="00863392"/>
    <w:rsid w:val="00865075"/>
    <w:rsid w:val="0086734C"/>
    <w:rsid w:val="0086748F"/>
    <w:rsid w:val="00872CE4"/>
    <w:rsid w:val="00874F4B"/>
    <w:rsid w:val="0087539B"/>
    <w:rsid w:val="00877B62"/>
    <w:rsid w:val="00880016"/>
    <w:rsid w:val="00881015"/>
    <w:rsid w:val="008810B0"/>
    <w:rsid w:val="008819B6"/>
    <w:rsid w:val="00881AAC"/>
    <w:rsid w:val="0088314B"/>
    <w:rsid w:val="008831C4"/>
    <w:rsid w:val="008836B7"/>
    <w:rsid w:val="008841D3"/>
    <w:rsid w:val="00884434"/>
    <w:rsid w:val="00886036"/>
    <w:rsid w:val="00887DE6"/>
    <w:rsid w:val="00894C2A"/>
    <w:rsid w:val="00894DE3"/>
    <w:rsid w:val="008976CB"/>
    <w:rsid w:val="00897708"/>
    <w:rsid w:val="00897D88"/>
    <w:rsid w:val="008A2F16"/>
    <w:rsid w:val="008A4909"/>
    <w:rsid w:val="008B11E0"/>
    <w:rsid w:val="008B1773"/>
    <w:rsid w:val="008B1823"/>
    <w:rsid w:val="008B65CD"/>
    <w:rsid w:val="008B6E16"/>
    <w:rsid w:val="008B7110"/>
    <w:rsid w:val="008C2029"/>
    <w:rsid w:val="008C2A97"/>
    <w:rsid w:val="008C3990"/>
    <w:rsid w:val="008C61D6"/>
    <w:rsid w:val="008C64F1"/>
    <w:rsid w:val="008D1BB0"/>
    <w:rsid w:val="008D20FF"/>
    <w:rsid w:val="008D3DE6"/>
    <w:rsid w:val="008D4223"/>
    <w:rsid w:val="008D44CC"/>
    <w:rsid w:val="008D46E3"/>
    <w:rsid w:val="008D6709"/>
    <w:rsid w:val="008D671F"/>
    <w:rsid w:val="008E083A"/>
    <w:rsid w:val="008E0E7C"/>
    <w:rsid w:val="008E2450"/>
    <w:rsid w:val="008E6497"/>
    <w:rsid w:val="008E7896"/>
    <w:rsid w:val="008F1C17"/>
    <w:rsid w:val="008F2477"/>
    <w:rsid w:val="00900DD1"/>
    <w:rsid w:val="009010F0"/>
    <w:rsid w:val="00901162"/>
    <w:rsid w:val="0090223A"/>
    <w:rsid w:val="009028E2"/>
    <w:rsid w:val="00904082"/>
    <w:rsid w:val="009055EC"/>
    <w:rsid w:val="009100C0"/>
    <w:rsid w:val="0091247B"/>
    <w:rsid w:val="0091320A"/>
    <w:rsid w:val="00914EAB"/>
    <w:rsid w:val="009150A1"/>
    <w:rsid w:val="00916808"/>
    <w:rsid w:val="00922D49"/>
    <w:rsid w:val="0092482C"/>
    <w:rsid w:val="00924A95"/>
    <w:rsid w:val="009259CF"/>
    <w:rsid w:val="00925E37"/>
    <w:rsid w:val="00925EDD"/>
    <w:rsid w:val="00927D0E"/>
    <w:rsid w:val="009309DA"/>
    <w:rsid w:val="00935771"/>
    <w:rsid w:val="00936688"/>
    <w:rsid w:val="00937CFA"/>
    <w:rsid w:val="009406B3"/>
    <w:rsid w:val="00945CF5"/>
    <w:rsid w:val="00946D66"/>
    <w:rsid w:val="009500A1"/>
    <w:rsid w:val="0095037E"/>
    <w:rsid w:val="00952AAD"/>
    <w:rsid w:val="00952F4F"/>
    <w:rsid w:val="00954567"/>
    <w:rsid w:val="009547A9"/>
    <w:rsid w:val="00957466"/>
    <w:rsid w:val="0096260B"/>
    <w:rsid w:val="00963F05"/>
    <w:rsid w:val="00965469"/>
    <w:rsid w:val="009664D5"/>
    <w:rsid w:val="0097008C"/>
    <w:rsid w:val="00970C69"/>
    <w:rsid w:val="009716AF"/>
    <w:rsid w:val="00971F1C"/>
    <w:rsid w:val="0097211D"/>
    <w:rsid w:val="00972E10"/>
    <w:rsid w:val="0097328D"/>
    <w:rsid w:val="009746CA"/>
    <w:rsid w:val="0097608D"/>
    <w:rsid w:val="0097659D"/>
    <w:rsid w:val="0097692D"/>
    <w:rsid w:val="00980242"/>
    <w:rsid w:val="00981963"/>
    <w:rsid w:val="00983C82"/>
    <w:rsid w:val="00983D29"/>
    <w:rsid w:val="00983E6E"/>
    <w:rsid w:val="00984520"/>
    <w:rsid w:val="0098545C"/>
    <w:rsid w:val="00990AAA"/>
    <w:rsid w:val="00992BA2"/>
    <w:rsid w:val="00992F83"/>
    <w:rsid w:val="0099508A"/>
    <w:rsid w:val="00997231"/>
    <w:rsid w:val="009974EB"/>
    <w:rsid w:val="009A1126"/>
    <w:rsid w:val="009A5029"/>
    <w:rsid w:val="009A63AC"/>
    <w:rsid w:val="009B1584"/>
    <w:rsid w:val="009B1B32"/>
    <w:rsid w:val="009B21CA"/>
    <w:rsid w:val="009B2648"/>
    <w:rsid w:val="009C03E5"/>
    <w:rsid w:val="009C0C11"/>
    <w:rsid w:val="009C3730"/>
    <w:rsid w:val="009C37BD"/>
    <w:rsid w:val="009C3AAC"/>
    <w:rsid w:val="009C4D19"/>
    <w:rsid w:val="009C5FDB"/>
    <w:rsid w:val="009C6493"/>
    <w:rsid w:val="009C693E"/>
    <w:rsid w:val="009C70CB"/>
    <w:rsid w:val="009D02B7"/>
    <w:rsid w:val="009D0628"/>
    <w:rsid w:val="009D1EA4"/>
    <w:rsid w:val="009D27AA"/>
    <w:rsid w:val="009D2D8B"/>
    <w:rsid w:val="009D38BA"/>
    <w:rsid w:val="009D4991"/>
    <w:rsid w:val="009D5BB5"/>
    <w:rsid w:val="009D696D"/>
    <w:rsid w:val="009D6ED2"/>
    <w:rsid w:val="009E0D5D"/>
    <w:rsid w:val="009E0F1A"/>
    <w:rsid w:val="009E140D"/>
    <w:rsid w:val="009E41E9"/>
    <w:rsid w:val="009E4465"/>
    <w:rsid w:val="009E6401"/>
    <w:rsid w:val="009E6C54"/>
    <w:rsid w:val="009F2261"/>
    <w:rsid w:val="009F2A25"/>
    <w:rsid w:val="009F3EB4"/>
    <w:rsid w:val="009F5235"/>
    <w:rsid w:val="009F531A"/>
    <w:rsid w:val="009F6550"/>
    <w:rsid w:val="009F786E"/>
    <w:rsid w:val="00A008DA"/>
    <w:rsid w:val="00A00902"/>
    <w:rsid w:val="00A039FF"/>
    <w:rsid w:val="00A05ACE"/>
    <w:rsid w:val="00A078CB"/>
    <w:rsid w:val="00A12EEF"/>
    <w:rsid w:val="00A14AE3"/>
    <w:rsid w:val="00A16675"/>
    <w:rsid w:val="00A22CD6"/>
    <w:rsid w:val="00A234EC"/>
    <w:rsid w:val="00A2417A"/>
    <w:rsid w:val="00A26668"/>
    <w:rsid w:val="00A27804"/>
    <w:rsid w:val="00A36822"/>
    <w:rsid w:val="00A36AB5"/>
    <w:rsid w:val="00A37A23"/>
    <w:rsid w:val="00A411D1"/>
    <w:rsid w:val="00A43389"/>
    <w:rsid w:val="00A43E71"/>
    <w:rsid w:val="00A45753"/>
    <w:rsid w:val="00A47B15"/>
    <w:rsid w:val="00A52F84"/>
    <w:rsid w:val="00A5533F"/>
    <w:rsid w:val="00A554CA"/>
    <w:rsid w:val="00A56394"/>
    <w:rsid w:val="00A56B05"/>
    <w:rsid w:val="00A57678"/>
    <w:rsid w:val="00A60E2F"/>
    <w:rsid w:val="00A63284"/>
    <w:rsid w:val="00A64CB8"/>
    <w:rsid w:val="00A67018"/>
    <w:rsid w:val="00A672F3"/>
    <w:rsid w:val="00A673DC"/>
    <w:rsid w:val="00A67D40"/>
    <w:rsid w:val="00A7076E"/>
    <w:rsid w:val="00A709BE"/>
    <w:rsid w:val="00A7162E"/>
    <w:rsid w:val="00A7195A"/>
    <w:rsid w:val="00A72D71"/>
    <w:rsid w:val="00A7519C"/>
    <w:rsid w:val="00A75705"/>
    <w:rsid w:val="00A77C69"/>
    <w:rsid w:val="00A83953"/>
    <w:rsid w:val="00A83A77"/>
    <w:rsid w:val="00A85AF5"/>
    <w:rsid w:val="00A900E7"/>
    <w:rsid w:val="00A903B6"/>
    <w:rsid w:val="00A90F4F"/>
    <w:rsid w:val="00A92E44"/>
    <w:rsid w:val="00A9418A"/>
    <w:rsid w:val="00A947AA"/>
    <w:rsid w:val="00A9769C"/>
    <w:rsid w:val="00AA1B53"/>
    <w:rsid w:val="00AA3556"/>
    <w:rsid w:val="00AA35FD"/>
    <w:rsid w:val="00AA3DB7"/>
    <w:rsid w:val="00AB0340"/>
    <w:rsid w:val="00AB3012"/>
    <w:rsid w:val="00AB321C"/>
    <w:rsid w:val="00AB5B99"/>
    <w:rsid w:val="00AB688F"/>
    <w:rsid w:val="00AB75EA"/>
    <w:rsid w:val="00AB7AA2"/>
    <w:rsid w:val="00AB7BE2"/>
    <w:rsid w:val="00AC4BC1"/>
    <w:rsid w:val="00AD04BD"/>
    <w:rsid w:val="00AD1C72"/>
    <w:rsid w:val="00AD25F6"/>
    <w:rsid w:val="00AD46E6"/>
    <w:rsid w:val="00AD7214"/>
    <w:rsid w:val="00AE1066"/>
    <w:rsid w:val="00AE2AD2"/>
    <w:rsid w:val="00AE4518"/>
    <w:rsid w:val="00AE5D7F"/>
    <w:rsid w:val="00AE79F0"/>
    <w:rsid w:val="00AF2089"/>
    <w:rsid w:val="00AF3350"/>
    <w:rsid w:val="00AF4305"/>
    <w:rsid w:val="00AF5585"/>
    <w:rsid w:val="00AF561C"/>
    <w:rsid w:val="00AF6EC1"/>
    <w:rsid w:val="00B00331"/>
    <w:rsid w:val="00B01A80"/>
    <w:rsid w:val="00B02675"/>
    <w:rsid w:val="00B07C27"/>
    <w:rsid w:val="00B10017"/>
    <w:rsid w:val="00B10DE1"/>
    <w:rsid w:val="00B10FF8"/>
    <w:rsid w:val="00B11A5B"/>
    <w:rsid w:val="00B203C4"/>
    <w:rsid w:val="00B20A27"/>
    <w:rsid w:val="00B22E81"/>
    <w:rsid w:val="00B23996"/>
    <w:rsid w:val="00B23CB2"/>
    <w:rsid w:val="00B24946"/>
    <w:rsid w:val="00B2561A"/>
    <w:rsid w:val="00B25A64"/>
    <w:rsid w:val="00B306AA"/>
    <w:rsid w:val="00B32AB3"/>
    <w:rsid w:val="00B34E7C"/>
    <w:rsid w:val="00B368EA"/>
    <w:rsid w:val="00B37EEF"/>
    <w:rsid w:val="00B424F8"/>
    <w:rsid w:val="00B46E00"/>
    <w:rsid w:val="00B52B4A"/>
    <w:rsid w:val="00B54370"/>
    <w:rsid w:val="00B55185"/>
    <w:rsid w:val="00B55281"/>
    <w:rsid w:val="00B60FD1"/>
    <w:rsid w:val="00B61923"/>
    <w:rsid w:val="00B621D6"/>
    <w:rsid w:val="00B63EF5"/>
    <w:rsid w:val="00B65D6F"/>
    <w:rsid w:val="00B67C23"/>
    <w:rsid w:val="00B70DC7"/>
    <w:rsid w:val="00B715FD"/>
    <w:rsid w:val="00B73042"/>
    <w:rsid w:val="00B74BB9"/>
    <w:rsid w:val="00B75283"/>
    <w:rsid w:val="00B75735"/>
    <w:rsid w:val="00B77142"/>
    <w:rsid w:val="00B807F5"/>
    <w:rsid w:val="00B80A2C"/>
    <w:rsid w:val="00B81F60"/>
    <w:rsid w:val="00B841AC"/>
    <w:rsid w:val="00B843ED"/>
    <w:rsid w:val="00B865B0"/>
    <w:rsid w:val="00B90497"/>
    <w:rsid w:val="00B90780"/>
    <w:rsid w:val="00B91F9C"/>
    <w:rsid w:val="00B9240D"/>
    <w:rsid w:val="00B97681"/>
    <w:rsid w:val="00BA08A9"/>
    <w:rsid w:val="00BA22A8"/>
    <w:rsid w:val="00BA3E48"/>
    <w:rsid w:val="00BA4BD3"/>
    <w:rsid w:val="00BB0187"/>
    <w:rsid w:val="00BB1EB3"/>
    <w:rsid w:val="00BB2678"/>
    <w:rsid w:val="00BC013A"/>
    <w:rsid w:val="00BC1F94"/>
    <w:rsid w:val="00BC2343"/>
    <w:rsid w:val="00BC41FB"/>
    <w:rsid w:val="00BD30C8"/>
    <w:rsid w:val="00BD32FA"/>
    <w:rsid w:val="00BD3EB4"/>
    <w:rsid w:val="00BD5C65"/>
    <w:rsid w:val="00BD71EE"/>
    <w:rsid w:val="00BE6018"/>
    <w:rsid w:val="00BF1F57"/>
    <w:rsid w:val="00BF4086"/>
    <w:rsid w:val="00BF426C"/>
    <w:rsid w:val="00BF58D0"/>
    <w:rsid w:val="00BF63AF"/>
    <w:rsid w:val="00BF7D6A"/>
    <w:rsid w:val="00C013E1"/>
    <w:rsid w:val="00C01611"/>
    <w:rsid w:val="00C02D59"/>
    <w:rsid w:val="00C030B6"/>
    <w:rsid w:val="00C03284"/>
    <w:rsid w:val="00C050D7"/>
    <w:rsid w:val="00C05B5F"/>
    <w:rsid w:val="00C06911"/>
    <w:rsid w:val="00C104CC"/>
    <w:rsid w:val="00C12898"/>
    <w:rsid w:val="00C152FE"/>
    <w:rsid w:val="00C16739"/>
    <w:rsid w:val="00C22C7D"/>
    <w:rsid w:val="00C22CCE"/>
    <w:rsid w:val="00C231D6"/>
    <w:rsid w:val="00C23BA2"/>
    <w:rsid w:val="00C272C4"/>
    <w:rsid w:val="00C31C12"/>
    <w:rsid w:val="00C32AF2"/>
    <w:rsid w:val="00C33204"/>
    <w:rsid w:val="00C338EB"/>
    <w:rsid w:val="00C3465D"/>
    <w:rsid w:val="00C35643"/>
    <w:rsid w:val="00C379E9"/>
    <w:rsid w:val="00C439FB"/>
    <w:rsid w:val="00C43F23"/>
    <w:rsid w:val="00C50011"/>
    <w:rsid w:val="00C52CA1"/>
    <w:rsid w:val="00C5755E"/>
    <w:rsid w:val="00C6379C"/>
    <w:rsid w:val="00C645E6"/>
    <w:rsid w:val="00C64D82"/>
    <w:rsid w:val="00C64FBC"/>
    <w:rsid w:val="00C65A83"/>
    <w:rsid w:val="00C724F2"/>
    <w:rsid w:val="00C72C6F"/>
    <w:rsid w:val="00C75057"/>
    <w:rsid w:val="00C77034"/>
    <w:rsid w:val="00C80F23"/>
    <w:rsid w:val="00C81151"/>
    <w:rsid w:val="00C81EFA"/>
    <w:rsid w:val="00C82CC6"/>
    <w:rsid w:val="00C850A3"/>
    <w:rsid w:val="00C85C32"/>
    <w:rsid w:val="00C87568"/>
    <w:rsid w:val="00C90DB6"/>
    <w:rsid w:val="00C913B6"/>
    <w:rsid w:val="00C9394F"/>
    <w:rsid w:val="00C93B1A"/>
    <w:rsid w:val="00C96F5F"/>
    <w:rsid w:val="00CA4126"/>
    <w:rsid w:val="00CA4574"/>
    <w:rsid w:val="00CA5927"/>
    <w:rsid w:val="00CA79EC"/>
    <w:rsid w:val="00CB041A"/>
    <w:rsid w:val="00CB39C2"/>
    <w:rsid w:val="00CB4664"/>
    <w:rsid w:val="00CB4C8C"/>
    <w:rsid w:val="00CB6782"/>
    <w:rsid w:val="00CC080A"/>
    <w:rsid w:val="00CC0994"/>
    <w:rsid w:val="00CC0C03"/>
    <w:rsid w:val="00CD0AAD"/>
    <w:rsid w:val="00CD6177"/>
    <w:rsid w:val="00CE182E"/>
    <w:rsid w:val="00CE2DAB"/>
    <w:rsid w:val="00CE2DE4"/>
    <w:rsid w:val="00CE2E79"/>
    <w:rsid w:val="00CE5277"/>
    <w:rsid w:val="00CE5A79"/>
    <w:rsid w:val="00CE6358"/>
    <w:rsid w:val="00CF2D54"/>
    <w:rsid w:val="00CF592C"/>
    <w:rsid w:val="00CF6992"/>
    <w:rsid w:val="00CF6AD7"/>
    <w:rsid w:val="00CF7B8C"/>
    <w:rsid w:val="00D03538"/>
    <w:rsid w:val="00D049B8"/>
    <w:rsid w:val="00D0516C"/>
    <w:rsid w:val="00D05EE7"/>
    <w:rsid w:val="00D068D0"/>
    <w:rsid w:val="00D078D1"/>
    <w:rsid w:val="00D129A8"/>
    <w:rsid w:val="00D12FB9"/>
    <w:rsid w:val="00D13FE2"/>
    <w:rsid w:val="00D200BD"/>
    <w:rsid w:val="00D22399"/>
    <w:rsid w:val="00D24B11"/>
    <w:rsid w:val="00D310BA"/>
    <w:rsid w:val="00D32C0A"/>
    <w:rsid w:val="00D33751"/>
    <w:rsid w:val="00D3382F"/>
    <w:rsid w:val="00D33924"/>
    <w:rsid w:val="00D34559"/>
    <w:rsid w:val="00D36F6E"/>
    <w:rsid w:val="00D3705B"/>
    <w:rsid w:val="00D37343"/>
    <w:rsid w:val="00D4205E"/>
    <w:rsid w:val="00D45DB6"/>
    <w:rsid w:val="00D5574C"/>
    <w:rsid w:val="00D604CE"/>
    <w:rsid w:val="00D61982"/>
    <w:rsid w:val="00D6267A"/>
    <w:rsid w:val="00D67D12"/>
    <w:rsid w:val="00D7585A"/>
    <w:rsid w:val="00D77B06"/>
    <w:rsid w:val="00D80618"/>
    <w:rsid w:val="00D8121C"/>
    <w:rsid w:val="00D82494"/>
    <w:rsid w:val="00D84A4B"/>
    <w:rsid w:val="00D92168"/>
    <w:rsid w:val="00D940B5"/>
    <w:rsid w:val="00D95CB0"/>
    <w:rsid w:val="00D977C0"/>
    <w:rsid w:val="00DA00A3"/>
    <w:rsid w:val="00DA13F3"/>
    <w:rsid w:val="00DA23C3"/>
    <w:rsid w:val="00DA2DE3"/>
    <w:rsid w:val="00DA475D"/>
    <w:rsid w:val="00DA7146"/>
    <w:rsid w:val="00DA716A"/>
    <w:rsid w:val="00DB1F4F"/>
    <w:rsid w:val="00DB37EE"/>
    <w:rsid w:val="00DB4450"/>
    <w:rsid w:val="00DB7B69"/>
    <w:rsid w:val="00DC234A"/>
    <w:rsid w:val="00DC27AD"/>
    <w:rsid w:val="00DC41E4"/>
    <w:rsid w:val="00DC5116"/>
    <w:rsid w:val="00DC7C77"/>
    <w:rsid w:val="00DD074A"/>
    <w:rsid w:val="00DD2417"/>
    <w:rsid w:val="00DD47BB"/>
    <w:rsid w:val="00DD7251"/>
    <w:rsid w:val="00DD7EA2"/>
    <w:rsid w:val="00DE00F2"/>
    <w:rsid w:val="00DE117F"/>
    <w:rsid w:val="00DE401C"/>
    <w:rsid w:val="00DF22DF"/>
    <w:rsid w:val="00DF63FA"/>
    <w:rsid w:val="00DF7589"/>
    <w:rsid w:val="00E00A1C"/>
    <w:rsid w:val="00E012CC"/>
    <w:rsid w:val="00E02818"/>
    <w:rsid w:val="00E02B71"/>
    <w:rsid w:val="00E02DEB"/>
    <w:rsid w:val="00E042A1"/>
    <w:rsid w:val="00E05A9C"/>
    <w:rsid w:val="00E067FB"/>
    <w:rsid w:val="00E104FA"/>
    <w:rsid w:val="00E1082A"/>
    <w:rsid w:val="00E11166"/>
    <w:rsid w:val="00E13182"/>
    <w:rsid w:val="00E15383"/>
    <w:rsid w:val="00E16313"/>
    <w:rsid w:val="00E1738C"/>
    <w:rsid w:val="00E207A1"/>
    <w:rsid w:val="00E22D28"/>
    <w:rsid w:val="00E230E3"/>
    <w:rsid w:val="00E27A14"/>
    <w:rsid w:val="00E30EDF"/>
    <w:rsid w:val="00E30F3C"/>
    <w:rsid w:val="00E31EC2"/>
    <w:rsid w:val="00E31FBA"/>
    <w:rsid w:val="00E32CB6"/>
    <w:rsid w:val="00E34042"/>
    <w:rsid w:val="00E34CDF"/>
    <w:rsid w:val="00E36AAE"/>
    <w:rsid w:val="00E41773"/>
    <w:rsid w:val="00E428DD"/>
    <w:rsid w:val="00E43B0B"/>
    <w:rsid w:val="00E44A50"/>
    <w:rsid w:val="00E477F6"/>
    <w:rsid w:val="00E50841"/>
    <w:rsid w:val="00E513F6"/>
    <w:rsid w:val="00E52F3B"/>
    <w:rsid w:val="00E53A45"/>
    <w:rsid w:val="00E53D94"/>
    <w:rsid w:val="00E53DEA"/>
    <w:rsid w:val="00E548E9"/>
    <w:rsid w:val="00E553CC"/>
    <w:rsid w:val="00E55667"/>
    <w:rsid w:val="00E57068"/>
    <w:rsid w:val="00E57630"/>
    <w:rsid w:val="00E616DB"/>
    <w:rsid w:val="00E627A4"/>
    <w:rsid w:val="00E630ED"/>
    <w:rsid w:val="00E74EC5"/>
    <w:rsid w:val="00E75FDC"/>
    <w:rsid w:val="00E76B86"/>
    <w:rsid w:val="00E8342F"/>
    <w:rsid w:val="00E847A7"/>
    <w:rsid w:val="00E85E29"/>
    <w:rsid w:val="00E85F25"/>
    <w:rsid w:val="00E86E79"/>
    <w:rsid w:val="00E87313"/>
    <w:rsid w:val="00E906B4"/>
    <w:rsid w:val="00E9095B"/>
    <w:rsid w:val="00E926B8"/>
    <w:rsid w:val="00E9399B"/>
    <w:rsid w:val="00E94008"/>
    <w:rsid w:val="00E94762"/>
    <w:rsid w:val="00E9588D"/>
    <w:rsid w:val="00E95CDA"/>
    <w:rsid w:val="00E96B52"/>
    <w:rsid w:val="00EA2244"/>
    <w:rsid w:val="00EA5D6D"/>
    <w:rsid w:val="00EA6FA7"/>
    <w:rsid w:val="00EB067F"/>
    <w:rsid w:val="00EB0BF5"/>
    <w:rsid w:val="00EB1F02"/>
    <w:rsid w:val="00EB3E72"/>
    <w:rsid w:val="00EB5BC5"/>
    <w:rsid w:val="00EC086C"/>
    <w:rsid w:val="00EC42D0"/>
    <w:rsid w:val="00EC58C8"/>
    <w:rsid w:val="00EC638F"/>
    <w:rsid w:val="00EC64D3"/>
    <w:rsid w:val="00ED0183"/>
    <w:rsid w:val="00ED48AC"/>
    <w:rsid w:val="00EE01D9"/>
    <w:rsid w:val="00EE224C"/>
    <w:rsid w:val="00EE4874"/>
    <w:rsid w:val="00EE79A6"/>
    <w:rsid w:val="00EF063B"/>
    <w:rsid w:val="00EF6111"/>
    <w:rsid w:val="00EF6232"/>
    <w:rsid w:val="00EF698A"/>
    <w:rsid w:val="00F005A0"/>
    <w:rsid w:val="00F006CC"/>
    <w:rsid w:val="00F05EAD"/>
    <w:rsid w:val="00F06616"/>
    <w:rsid w:val="00F11352"/>
    <w:rsid w:val="00F1498D"/>
    <w:rsid w:val="00F14DDF"/>
    <w:rsid w:val="00F152AD"/>
    <w:rsid w:val="00F2285F"/>
    <w:rsid w:val="00F23155"/>
    <w:rsid w:val="00F24236"/>
    <w:rsid w:val="00F24E0E"/>
    <w:rsid w:val="00F26693"/>
    <w:rsid w:val="00F27C38"/>
    <w:rsid w:val="00F36130"/>
    <w:rsid w:val="00F40444"/>
    <w:rsid w:val="00F40868"/>
    <w:rsid w:val="00F423BD"/>
    <w:rsid w:val="00F4255D"/>
    <w:rsid w:val="00F432FF"/>
    <w:rsid w:val="00F46DF9"/>
    <w:rsid w:val="00F4715C"/>
    <w:rsid w:val="00F54869"/>
    <w:rsid w:val="00F556B2"/>
    <w:rsid w:val="00F57252"/>
    <w:rsid w:val="00F5754B"/>
    <w:rsid w:val="00F576DE"/>
    <w:rsid w:val="00F63BF7"/>
    <w:rsid w:val="00F64563"/>
    <w:rsid w:val="00F65617"/>
    <w:rsid w:val="00F65D71"/>
    <w:rsid w:val="00F70112"/>
    <w:rsid w:val="00F710BE"/>
    <w:rsid w:val="00F723B1"/>
    <w:rsid w:val="00F736D2"/>
    <w:rsid w:val="00F7564C"/>
    <w:rsid w:val="00F76220"/>
    <w:rsid w:val="00F769BE"/>
    <w:rsid w:val="00F81C33"/>
    <w:rsid w:val="00F82A1D"/>
    <w:rsid w:val="00F82E6B"/>
    <w:rsid w:val="00F91F6D"/>
    <w:rsid w:val="00F97B71"/>
    <w:rsid w:val="00FA2DDA"/>
    <w:rsid w:val="00FA34CA"/>
    <w:rsid w:val="00FA4A55"/>
    <w:rsid w:val="00FA4D4F"/>
    <w:rsid w:val="00FA54E8"/>
    <w:rsid w:val="00FA7193"/>
    <w:rsid w:val="00FA7910"/>
    <w:rsid w:val="00FB2D17"/>
    <w:rsid w:val="00FB2F69"/>
    <w:rsid w:val="00FB368B"/>
    <w:rsid w:val="00FB45FF"/>
    <w:rsid w:val="00FB572A"/>
    <w:rsid w:val="00FB5D97"/>
    <w:rsid w:val="00FC1CA5"/>
    <w:rsid w:val="00FC2098"/>
    <w:rsid w:val="00FC219C"/>
    <w:rsid w:val="00FC2979"/>
    <w:rsid w:val="00FD1C3C"/>
    <w:rsid w:val="00FD1E02"/>
    <w:rsid w:val="00FD38A8"/>
    <w:rsid w:val="00FD6AC8"/>
    <w:rsid w:val="00FE3EA1"/>
    <w:rsid w:val="00FE4818"/>
    <w:rsid w:val="00FE4BF2"/>
    <w:rsid w:val="00FE5D80"/>
    <w:rsid w:val="00FE67F1"/>
    <w:rsid w:val="00FF1577"/>
    <w:rsid w:val="00FF3515"/>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locked="1" w:name="HTML Preformatted"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FD1E0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C1289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FD1E02"/>
    <w:rPr>
      <w:rFonts w:cs="Times New Roman"/>
      <w:b/>
      <w:bCs/>
      <w:kern w:val="44"/>
      <w:sz w:val="44"/>
      <w:szCs w:val="44"/>
    </w:rPr>
  </w:style>
  <w:style w:customStyle="1" w:styleId="2Char" w:type="character">
    <w:name w:val="标题 2 Char"/>
    <w:link w:val="2"/>
    <w:uiPriority w:val="99"/>
    <w:semiHidden/>
    <w:locked/>
    <w:rsid w:val="00140FF8"/>
    <w:rPr>
      <w:rFonts w:ascii="Cambria" w:cs="Times New Roman" w:eastAsia="宋体" w:hAnsi="Cambria"/>
      <w:b/>
      <w:bCs/>
      <w:sz w:val="32"/>
      <w:szCs w:val="32"/>
    </w:rPr>
  </w:style>
  <w:style w:styleId="a0" w:type="paragraph">
    <w:name w:val="Normal Indent"/>
    <w:basedOn w:val="a"/>
    <w:uiPriority w:val="99"/>
    <w:rsid w:val="00C12898"/>
    <w:pPr>
      <w:ind w:firstLine="420" w:firstLineChars="200"/>
    </w:pPr>
  </w:style>
  <w:style w:styleId="a4" w:type="paragraph">
    <w:name w:val="Body Text Indent"/>
    <w:basedOn w:val="a"/>
    <w:link w:val="Char"/>
    <w:uiPriority w:val="99"/>
    <w:rsid w:val="00C12898"/>
    <w:pPr>
      <w:widowControl/>
      <w:spacing w:after="100" w:afterAutospacing="1" w:before="100" w:beforeAutospacing="1"/>
      <w:jc w:val="left"/>
    </w:pPr>
    <w:rPr>
      <w:rFonts w:ascii="Arial Unicode MS" w:cs="Arial Unicode MS" w:eastAsia="Arial Unicode MS" w:hAnsi="Arial Unicode MS"/>
      <w:kern w:val="0"/>
      <w:sz w:val="24"/>
    </w:rPr>
  </w:style>
  <w:style w:customStyle="1" w:styleId="Char" w:type="character">
    <w:name w:val="正文文本缩进 Char"/>
    <w:link w:val="a4"/>
    <w:uiPriority w:val="99"/>
    <w:semiHidden/>
    <w:locked/>
    <w:rsid w:val="00140FF8"/>
    <w:rPr>
      <w:rFonts w:cs="Times New Roman"/>
      <w:sz w:val="24"/>
      <w:szCs w:val="24"/>
    </w:rPr>
  </w:style>
  <w:style w:styleId="a5" w:type="paragraph">
    <w:name w:val="Plain Text"/>
    <w:basedOn w:val="a"/>
    <w:link w:val="Char0"/>
    <w:uiPriority w:val="99"/>
    <w:rsid w:val="00C12898"/>
    <w:rPr>
      <w:rFonts w:ascii="宋体" w:hAnsi="Courier New"/>
      <w:szCs w:val="21"/>
    </w:rPr>
  </w:style>
  <w:style w:customStyle="1" w:styleId="Char0" w:type="character">
    <w:name w:val="纯文本 Char"/>
    <w:link w:val="a5"/>
    <w:uiPriority w:val="99"/>
    <w:locked/>
    <w:rsid w:val="0042253F"/>
    <w:rPr>
      <w:rFonts w:ascii="宋体" w:cs="Times New Roman" w:hAnsi="Courier New"/>
      <w:kern w:val="2"/>
      <w:sz w:val="21"/>
    </w:rPr>
  </w:style>
  <w:style w:styleId="20" w:type="paragraph">
    <w:name w:val="Body Text Indent 2"/>
    <w:basedOn w:val="a"/>
    <w:link w:val="2Char0"/>
    <w:uiPriority w:val="99"/>
    <w:rsid w:val="00C12898"/>
    <w:pPr>
      <w:spacing w:line="560" w:lineRule="exact"/>
      <w:ind w:firstLine="480" w:firstLineChars="200"/>
    </w:pPr>
    <w:rPr>
      <w:rFonts w:ascii="宋体" w:hAnsi="宋体"/>
      <w:color w:val="FF0000"/>
      <w:sz w:val="24"/>
    </w:rPr>
  </w:style>
  <w:style w:customStyle="1" w:styleId="2Char0" w:type="character">
    <w:name w:val="正文文本缩进 2 Char"/>
    <w:link w:val="20"/>
    <w:uiPriority w:val="99"/>
    <w:semiHidden/>
    <w:locked/>
    <w:rsid w:val="00140FF8"/>
    <w:rPr>
      <w:rFonts w:cs="Times New Roman"/>
      <w:sz w:val="24"/>
      <w:szCs w:val="24"/>
    </w:rPr>
  </w:style>
  <w:style w:styleId="a6" w:type="paragraph">
    <w:name w:val="footer"/>
    <w:basedOn w:val="a"/>
    <w:link w:val="Char1"/>
    <w:uiPriority w:val="99"/>
    <w:rsid w:val="00C12898"/>
    <w:pPr>
      <w:tabs>
        <w:tab w:pos="4153" w:val="center"/>
        <w:tab w:pos="8306" w:val="right"/>
      </w:tabs>
      <w:snapToGrid w:val="0"/>
      <w:jc w:val="left"/>
    </w:pPr>
    <w:rPr>
      <w:sz w:val="18"/>
      <w:szCs w:val="18"/>
    </w:rPr>
  </w:style>
  <w:style w:customStyle="1" w:styleId="Char1" w:type="character">
    <w:name w:val="页脚 Char"/>
    <w:link w:val="a6"/>
    <w:uiPriority w:val="99"/>
    <w:semiHidden/>
    <w:locked/>
    <w:rsid w:val="00140FF8"/>
    <w:rPr>
      <w:rFonts w:cs="Times New Roman"/>
      <w:sz w:val="18"/>
      <w:szCs w:val="18"/>
    </w:rPr>
  </w:style>
  <w:style w:styleId="a7" w:type="character">
    <w:name w:val="page number"/>
    <w:uiPriority w:val="99"/>
    <w:rsid w:val="00C12898"/>
    <w:rPr>
      <w:rFonts w:cs="Times New Roman"/>
    </w:rPr>
  </w:style>
  <w:style w:styleId="a8" w:type="character">
    <w:name w:val="Hyperlink"/>
    <w:uiPriority w:val="99"/>
    <w:rsid w:val="00C12898"/>
    <w:rPr>
      <w:rFonts w:cs="Times New Roman"/>
      <w:color w:val="0000FF"/>
      <w:u w:val="single"/>
    </w:rPr>
  </w:style>
  <w:style w:styleId="3" w:type="paragraph">
    <w:name w:val="Body Text Indent 3"/>
    <w:basedOn w:val="a"/>
    <w:link w:val="3Char"/>
    <w:uiPriority w:val="99"/>
    <w:rsid w:val="00C12898"/>
    <w:pPr>
      <w:spacing w:line="560" w:lineRule="exact"/>
      <w:ind w:firstLine="420" w:firstLineChars="200"/>
    </w:pPr>
    <w:rPr>
      <w:rFonts w:ascii="Arial" w:cs="Arial" w:hAnsi="Arial"/>
      <w:color w:val="FF0000"/>
    </w:rPr>
  </w:style>
  <w:style w:customStyle="1" w:styleId="3Char" w:type="character">
    <w:name w:val="正文文本缩进 3 Char"/>
    <w:link w:val="3"/>
    <w:uiPriority w:val="99"/>
    <w:semiHidden/>
    <w:locked/>
    <w:rsid w:val="00140FF8"/>
    <w:rPr>
      <w:rFonts w:cs="Times New Roman"/>
      <w:sz w:val="16"/>
      <w:szCs w:val="16"/>
    </w:rPr>
  </w:style>
  <w:style w:styleId="a9" w:type="paragraph">
    <w:name w:val="header"/>
    <w:basedOn w:val="a"/>
    <w:link w:val="Char2"/>
    <w:uiPriority w:val="99"/>
    <w:rsid w:val="00C1289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FB572A"/>
    <w:rPr>
      <w:rFonts w:cs="Times New Roman"/>
      <w:kern w:val="2"/>
      <w:sz w:val="18"/>
      <w:szCs w:val="18"/>
    </w:rPr>
  </w:style>
  <w:style w:styleId="aa" w:type="character">
    <w:name w:val="FollowedHyperlink"/>
    <w:uiPriority w:val="99"/>
    <w:rsid w:val="00C12898"/>
    <w:rPr>
      <w:rFonts w:cs="Times New Roman"/>
      <w:color w:val="800080"/>
      <w:u w:val="single"/>
    </w:rPr>
  </w:style>
  <w:style w:styleId="ab" w:type="paragraph">
    <w:name w:val="List"/>
    <w:basedOn w:val="ac"/>
    <w:uiPriority w:val="99"/>
    <w:rsid w:val="00C12898"/>
    <w:pPr>
      <w:spacing w:after="220" w:line="220" w:lineRule="atLeast"/>
      <w:ind w:hanging="360" w:left="1440"/>
    </w:pPr>
    <w:rPr>
      <w:szCs w:val="20"/>
    </w:rPr>
  </w:style>
  <w:style w:styleId="ac" w:type="paragraph">
    <w:name w:val="Body Text"/>
    <w:basedOn w:val="a"/>
    <w:link w:val="Char3"/>
    <w:uiPriority w:val="99"/>
    <w:rsid w:val="00C12898"/>
    <w:pPr>
      <w:spacing w:after="120"/>
    </w:pPr>
  </w:style>
  <w:style w:customStyle="1" w:styleId="Char3" w:type="character">
    <w:name w:val="正文文本 Char"/>
    <w:link w:val="ac"/>
    <w:uiPriority w:val="99"/>
    <w:semiHidden/>
    <w:locked/>
    <w:rsid w:val="00140FF8"/>
    <w:rPr>
      <w:rFonts w:cs="Times New Roman"/>
      <w:sz w:val="24"/>
      <w:szCs w:val="24"/>
    </w:rPr>
  </w:style>
  <w:style w:styleId="ad" w:type="paragraph">
    <w:name w:val="Date"/>
    <w:basedOn w:val="a"/>
    <w:next w:val="a"/>
    <w:link w:val="Char4"/>
    <w:uiPriority w:val="99"/>
    <w:rsid w:val="00C12898"/>
    <w:rPr>
      <w:sz w:val="24"/>
      <w:szCs w:val="20"/>
    </w:rPr>
  </w:style>
  <w:style w:customStyle="1" w:styleId="Char4" w:type="character">
    <w:name w:val="日期 Char"/>
    <w:link w:val="ad"/>
    <w:uiPriority w:val="99"/>
    <w:locked/>
    <w:rsid w:val="00F27C38"/>
    <w:rPr>
      <w:rFonts w:cs="Times New Roman"/>
      <w:kern w:val="2"/>
      <w:sz w:val="24"/>
    </w:rPr>
  </w:style>
  <w:style w:customStyle="1" w:styleId="c1" w:type="character">
    <w:name w:val="c1"/>
    <w:uiPriority w:val="99"/>
    <w:rsid w:val="00C12898"/>
    <w:rPr>
      <w:rFonts w:cs="Times New Roman"/>
      <w:color w:val="000000"/>
      <w:sz w:val="18"/>
      <w:szCs w:val="18"/>
    </w:rPr>
  </w:style>
  <w:style w:styleId="10" w:type="paragraph">
    <w:name w:val="index 1"/>
    <w:basedOn w:val="a"/>
    <w:next w:val="a"/>
    <w:autoRedefine/>
    <w:uiPriority w:val="99"/>
    <w:semiHidden/>
    <w:rsid w:val="00C12898"/>
    <w:pPr>
      <w:jc w:val="right"/>
    </w:pPr>
    <w:rPr>
      <w:color w:val="008000"/>
    </w:rPr>
  </w:style>
  <w:style w:customStyle="1" w:styleId="font5" w:type="paragraph">
    <w:name w:val="font5"/>
    <w:basedOn w:val="a"/>
    <w:uiPriority w:val="99"/>
    <w:rsid w:val="00C1289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C1289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C12898"/>
    <w:rPr>
      <w:sz w:val="18"/>
      <w:szCs w:val="18"/>
    </w:rPr>
  </w:style>
  <w:style w:customStyle="1" w:styleId="Char5" w:type="character">
    <w:name w:val="批注框文本 Char"/>
    <w:link w:val="ae"/>
    <w:uiPriority w:val="99"/>
    <w:semiHidden/>
    <w:locked/>
    <w:rsid w:val="00140FF8"/>
    <w:rPr>
      <w:rFonts w:cs="Times New Roman"/>
      <w:sz w:val="2"/>
    </w:rPr>
  </w:style>
  <w:style w:styleId="af" w:type="character">
    <w:name w:val="annotation reference"/>
    <w:uiPriority w:val="99"/>
    <w:semiHidden/>
    <w:rsid w:val="00C12898"/>
    <w:rPr>
      <w:rFonts w:cs="Times New Roman"/>
      <w:sz w:val="21"/>
      <w:szCs w:val="21"/>
    </w:rPr>
  </w:style>
  <w:style w:styleId="af0" w:type="paragraph">
    <w:name w:val="annotation text"/>
    <w:basedOn w:val="a"/>
    <w:link w:val="Char6"/>
    <w:uiPriority w:val="99"/>
    <w:semiHidden/>
    <w:rsid w:val="00C12898"/>
    <w:pPr>
      <w:jc w:val="left"/>
    </w:pPr>
  </w:style>
  <w:style w:customStyle="1" w:styleId="Char6" w:type="character">
    <w:name w:val="批注文字 Char"/>
    <w:link w:val="af0"/>
    <w:uiPriority w:val="99"/>
    <w:semiHidden/>
    <w:locked/>
    <w:rsid w:val="00140FF8"/>
    <w:rPr>
      <w:rFonts w:cs="Times New Roman"/>
      <w:sz w:val="24"/>
      <w:szCs w:val="24"/>
    </w:rPr>
  </w:style>
  <w:style w:styleId="af1" w:type="paragraph">
    <w:name w:val="annotation subject"/>
    <w:basedOn w:val="af0"/>
    <w:next w:val="af0"/>
    <w:link w:val="Char7"/>
    <w:uiPriority w:val="99"/>
    <w:semiHidden/>
    <w:rsid w:val="00C12898"/>
    <w:rPr>
      <w:b/>
      <w:bCs/>
    </w:rPr>
  </w:style>
  <w:style w:customStyle="1" w:styleId="Char7" w:type="character">
    <w:name w:val="批注主题 Char"/>
    <w:link w:val="af1"/>
    <w:uiPriority w:val="99"/>
    <w:semiHidden/>
    <w:locked/>
    <w:rsid w:val="00140FF8"/>
    <w:rPr>
      <w:rFonts w:cs="Times New Roman"/>
      <w:b/>
      <w:bCs/>
      <w:sz w:val="24"/>
      <w:szCs w:val="24"/>
    </w:rPr>
  </w:style>
  <w:style w:customStyle="1" w:styleId="Char8" w:type="paragraph">
    <w:name w:val="Char"/>
    <w:basedOn w:val="a"/>
    <w:uiPriority w:val="99"/>
    <w:rsid w:val="00C12898"/>
  </w:style>
  <w:style w:styleId="af2" w:type="paragraph">
    <w:name w:val="Document Map"/>
    <w:basedOn w:val="a"/>
    <w:link w:val="Char9"/>
    <w:uiPriority w:val="99"/>
    <w:semiHidden/>
    <w:rsid w:val="000A549A"/>
    <w:pPr>
      <w:shd w:color="auto" w:fill="000080" w:val="clear"/>
    </w:pPr>
  </w:style>
  <w:style w:customStyle="1" w:styleId="Char9" w:type="character">
    <w:name w:val="文档结构图 Char"/>
    <w:link w:val="af2"/>
    <w:uiPriority w:val="99"/>
    <w:semiHidden/>
    <w:locked/>
    <w:rsid w:val="00140FF8"/>
    <w:rPr>
      <w:rFonts w:cs="Times New Roman"/>
      <w:sz w:val="2"/>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sz w:val="18"/>
      <w:szCs w:val="18"/>
    </w:rPr>
  </w:style>
  <w:style w:customStyle="1" w:styleId="Chara" w:type="character">
    <w:name w:val="脚注文本 Char"/>
    <w:link w:val="af4"/>
    <w:uiPriority w:val="99"/>
    <w:semiHidden/>
    <w:locked/>
    <w:rsid w:val="00140FF8"/>
    <w:rPr>
      <w:rFonts w:cs="Times New Roman"/>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Default" w:type="paragraph">
    <w:name w:val="Default"/>
    <w:uiPriority w:val="99"/>
    <w:rsid w:val="00695296"/>
    <w:pPr>
      <w:widowControl w:val="0"/>
      <w:autoSpaceDE w:val="0"/>
      <w:autoSpaceDN w:val="0"/>
      <w:adjustRightInd w:val="0"/>
    </w:pPr>
    <w:rPr>
      <w:rFonts w:ascii="FangSong" w:cs="FangSong" w:hAnsi="FangSong"/>
      <w:color w:val="000000"/>
      <w:sz w:val="24"/>
      <w:szCs w:val="24"/>
    </w:rPr>
  </w:style>
  <w:style w:styleId="HTML" w:type="paragraph">
    <w:name w:val="HTML Preformatted"/>
    <w:basedOn w:val="a"/>
    <w:link w:val="HTMLChar"/>
    <w:uiPriority w:val="99"/>
    <w:rsid w:val="00634900"/>
    <w:pPr>
      <w:widowControl/>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cs="宋体" w:hAnsi="宋体"/>
      <w:kern w:val="0"/>
      <w:sz w:val="24"/>
    </w:rPr>
  </w:style>
  <w:style w:customStyle="1" w:styleId="HTMLChar" w:type="character">
    <w:name w:val="HTML 预设格式 Char"/>
    <w:link w:val="HTML"/>
    <w:uiPriority w:val="99"/>
    <w:locked/>
    <w:rsid w:val="00634900"/>
    <w:rPr>
      <w:rFonts w:ascii="宋体" w:cs="宋体" w:eastAsia="宋体"/>
      <w:sz w:val="24"/>
      <w:szCs w:val="24"/>
    </w:rPr>
  </w:style>
  <w:style w:styleId="af8" w:type="character">
    <w:name w:val="Strong"/>
    <w:basedOn w:val="a1"/>
    <w:uiPriority w:val="22"/>
    <w:qFormat/>
    <w:locked/>
    <w:rsid w:val="00193F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413930">
      <w:bodyDiv w:val="1"/>
      <w:marLeft w:val="0"/>
      <w:marRight w:val="0"/>
      <w:marTop w:val="0"/>
      <w:marBottom w:val="0"/>
      <w:divBdr>
        <w:top w:val="none" w:sz="0" w:space="0" w:color="auto"/>
        <w:left w:val="none" w:sz="0" w:space="0" w:color="auto"/>
        <w:bottom w:val="none" w:sz="0" w:space="0" w:color="auto"/>
        <w:right w:val="none" w:sz="0" w:space="0" w:color="auto"/>
      </w:divBdr>
    </w:div>
    <w:div w:id="1077090524">
      <w:bodyDiv w:val="1"/>
      <w:marLeft w:val="0"/>
      <w:marRight w:val="0"/>
      <w:marTop w:val="0"/>
      <w:marBottom w:val="0"/>
      <w:divBdr>
        <w:top w:val="none" w:sz="0" w:space="0" w:color="auto"/>
        <w:left w:val="none" w:sz="0" w:space="0" w:color="auto"/>
        <w:bottom w:val="none" w:sz="0" w:space="0" w:color="auto"/>
        <w:right w:val="none" w:sz="0" w:space="0" w:color="auto"/>
      </w:divBdr>
    </w:div>
    <w:div w:id="1682857254">
      <w:marLeft w:val="0"/>
      <w:marRight w:val="0"/>
      <w:marTop w:val="0"/>
      <w:marBottom w:val="0"/>
      <w:divBdr>
        <w:top w:val="none" w:sz="0" w:space="0" w:color="auto"/>
        <w:left w:val="none" w:sz="0" w:space="0" w:color="auto"/>
        <w:bottom w:val="none" w:sz="0" w:space="0" w:color="auto"/>
        <w:right w:val="none" w:sz="0" w:space="0" w:color="auto"/>
      </w:divBdr>
    </w:div>
    <w:div w:id="1682857255">
      <w:marLeft w:val="0"/>
      <w:marRight w:val="0"/>
      <w:marTop w:val="0"/>
      <w:marBottom w:val="0"/>
      <w:divBdr>
        <w:top w:val="none" w:sz="0" w:space="0" w:color="auto"/>
        <w:left w:val="none" w:sz="0" w:space="0" w:color="auto"/>
        <w:bottom w:val="none" w:sz="0" w:space="0" w:color="auto"/>
        <w:right w:val="none" w:sz="0" w:space="0" w:color="auto"/>
      </w:divBdr>
    </w:div>
    <w:div w:id="1682857256">
      <w:marLeft w:val="0"/>
      <w:marRight w:val="0"/>
      <w:marTop w:val="0"/>
      <w:marBottom w:val="0"/>
      <w:divBdr>
        <w:top w:val="none" w:sz="0" w:space="0" w:color="auto"/>
        <w:left w:val="none" w:sz="0" w:space="0" w:color="auto"/>
        <w:bottom w:val="none" w:sz="0" w:space="0" w:color="auto"/>
        <w:right w:val="none" w:sz="0" w:space="0" w:color="auto"/>
      </w:divBdr>
    </w:div>
    <w:div w:id="1682857257">
      <w:marLeft w:val="0"/>
      <w:marRight w:val="0"/>
      <w:marTop w:val="0"/>
      <w:marBottom w:val="0"/>
      <w:divBdr>
        <w:top w:val="none" w:sz="0" w:space="0" w:color="auto"/>
        <w:left w:val="none" w:sz="0" w:space="0" w:color="auto"/>
        <w:bottom w:val="none" w:sz="0" w:space="0" w:color="auto"/>
        <w:right w:val="none" w:sz="0" w:space="0" w:color="auto"/>
      </w:divBdr>
    </w:div>
    <w:div w:id="1682857258">
      <w:marLeft w:val="0"/>
      <w:marRight w:val="0"/>
      <w:marTop w:val="0"/>
      <w:marBottom w:val="0"/>
      <w:divBdr>
        <w:top w:val="none" w:sz="0" w:space="0" w:color="auto"/>
        <w:left w:val="none" w:sz="0" w:space="0" w:color="auto"/>
        <w:bottom w:val="none" w:sz="0" w:space="0" w:color="auto"/>
        <w:right w:val="none" w:sz="0" w:space="0" w:color="auto"/>
      </w:divBdr>
    </w:div>
    <w:div w:id="1682857259">
      <w:marLeft w:val="0"/>
      <w:marRight w:val="0"/>
      <w:marTop w:val="0"/>
      <w:marBottom w:val="0"/>
      <w:divBdr>
        <w:top w:val="none" w:sz="0" w:space="0" w:color="auto"/>
        <w:left w:val="none" w:sz="0" w:space="0" w:color="auto"/>
        <w:bottom w:val="none" w:sz="0" w:space="0" w:color="auto"/>
        <w:right w:val="none" w:sz="0" w:space="0" w:color="auto"/>
      </w:divBdr>
    </w:div>
    <w:div w:id="1682857260">
      <w:marLeft w:val="0"/>
      <w:marRight w:val="0"/>
      <w:marTop w:val="0"/>
      <w:marBottom w:val="0"/>
      <w:divBdr>
        <w:top w:val="none" w:sz="0" w:space="0" w:color="auto"/>
        <w:left w:val="none" w:sz="0" w:space="0" w:color="auto"/>
        <w:bottom w:val="none" w:sz="0" w:space="0" w:color="auto"/>
        <w:right w:val="none" w:sz="0" w:space="0" w:color="auto"/>
      </w:divBdr>
    </w:div>
    <w:div w:id="1682857261">
      <w:marLeft w:val="0"/>
      <w:marRight w:val="0"/>
      <w:marTop w:val="0"/>
      <w:marBottom w:val="0"/>
      <w:divBdr>
        <w:top w:val="none" w:sz="0" w:space="0" w:color="auto"/>
        <w:left w:val="none" w:sz="0" w:space="0" w:color="auto"/>
        <w:bottom w:val="none" w:sz="0" w:space="0" w:color="auto"/>
        <w:right w:val="none" w:sz="0" w:space="0" w:color="auto"/>
      </w:divBdr>
    </w:div>
    <w:div w:id="1682857262">
      <w:marLeft w:val="0"/>
      <w:marRight w:val="0"/>
      <w:marTop w:val="0"/>
      <w:marBottom w:val="0"/>
      <w:divBdr>
        <w:top w:val="none" w:sz="0" w:space="0" w:color="auto"/>
        <w:left w:val="none" w:sz="0" w:space="0" w:color="auto"/>
        <w:bottom w:val="none" w:sz="0" w:space="0" w:color="auto"/>
        <w:right w:val="none" w:sz="0" w:space="0" w:color="auto"/>
      </w:divBdr>
    </w:div>
    <w:div w:id="1682857263">
      <w:marLeft w:val="0"/>
      <w:marRight w:val="0"/>
      <w:marTop w:val="0"/>
      <w:marBottom w:val="0"/>
      <w:divBdr>
        <w:top w:val="none" w:sz="0" w:space="0" w:color="auto"/>
        <w:left w:val="none" w:sz="0" w:space="0" w:color="auto"/>
        <w:bottom w:val="none" w:sz="0" w:space="0" w:color="auto"/>
        <w:right w:val="none" w:sz="0" w:space="0" w:color="auto"/>
      </w:divBdr>
    </w:div>
    <w:div w:id="1682857264">
      <w:marLeft w:val="0"/>
      <w:marRight w:val="0"/>
      <w:marTop w:val="0"/>
      <w:marBottom w:val="0"/>
      <w:divBdr>
        <w:top w:val="none" w:sz="0" w:space="0" w:color="auto"/>
        <w:left w:val="none" w:sz="0" w:space="0" w:color="auto"/>
        <w:bottom w:val="none" w:sz="0" w:space="0" w:color="auto"/>
        <w:right w:val="none" w:sz="0" w:space="0" w:color="auto"/>
      </w:divBdr>
    </w:div>
    <w:div w:id="16828572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footer2.xml" Type="http://schemas.openxmlformats.org/officeDocument/2006/relationships/footer"/>
<Relationship Id="rId12" Target="footer3.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28</Pages>
  <Words>4041</Words>
  <Characters>23040</Characters>
  <Application>Microsoft Office Word</Application>
  <DocSecurity>0</DocSecurity>
  <Lines>192</Lines>
  <Paragraphs>54</Paragraphs>
  <ScaleCrop>false</ScaleCrop>
  <Company>TRT. Ltd. Co.</Company>
  <LinksUpToDate>false</LinksUpToDate>
  <CharactersWithSpaces>27027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2012-11-28T02:28:00Z</dcterms:created>
  <cp:lastModifiedBy>sirong han</cp:lastModifiedBy>
  <cp:lastPrinted>2007-07-19T00:46:00Z</cp:lastPrinted>
  <dcterms:modified xsi:type="dcterms:W3CDTF">2020-07-09T02:50:00Z</dcterms:modified>
  <cp:revision>186</cp:revision>
</cp:coreProperties>
</file>