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易方达科顺定期开放灵活配置混合型证券投资基金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易方达科顺定开混合（LOF）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易基科顺</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161132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161132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2018年10月26日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291,673,051.53</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本基金在控制风险的前提下，追求基金资产的稳健增值。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基于定量与定性相结合的宏观及市场分析，确定组合中股票、债券等资产类别的配置比例。股票投资方面，本基金将通过分析行业景气度及竞争格局，对各行业的投资价值进行综合评估后确定并动态调整行业配置比例；在行业配置基础上，本基金将根据公司基本面和估值水平分析，进行股票组合的构建与调整。债券投资方面，本基金将主要通过类属配置与券种选择两个层次进行投资管理。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中证800指数收益率×40%+中证港股通综合指数收益率×20%+中债总指数收益率×40%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本基金为混合型基金，理论上其预期风险与预期收益水平低于股票型基金，高于债券型基金和货币市场基金。</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11,083,297.26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78,094,715.80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0.2677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434,316,848.29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1.4891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21.93%</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6.58%</w:t>
            </w:r>
          </w:p>
        </w:tc>
        <w:tc>
          <w:tcPr>
            <w:vAlign w:val="center"/>
          </w:tcPr>
          <w:p>
            <w:pPr>
              <w:jc w:val="center"/>
            </w:pPr>
            <w:r>
              <w:rPr>
                <w:color w:val="000000"/>
                <w:kern w:val="0"/>
                <w:sz w:val="24"/>
                <w:szCs w:val="24"/>
              </w:rPr>
              <w:t>0.60%</w:t>
            </w:r>
          </w:p>
        </w:tc>
        <w:tc>
          <w:tcPr>
            <w:vAlign w:val="center"/>
          </w:tcPr>
          <w:p>
            <w:pPr>
              <w:jc w:val="center"/>
            </w:pPr>
            <w:r>
              <w:rPr>
                <w:color w:val="000000"/>
                <w:kern w:val="0"/>
                <w:sz w:val="24"/>
                <w:szCs w:val="24"/>
              </w:rPr>
              <w:t>15.35%</w:t>
            </w:r>
          </w:p>
        </w:tc>
        <w:tc>
          <w:tcPr>
            <w:vAlign w:val="center"/>
          </w:tcPr>
          <w:p>
            <w:pPr>
              <w:jc w:val="center"/>
            </w:pPr>
            <w:r>
              <w:rPr>
                <w:color w:val="000000"/>
                <w:kern w:val="0"/>
                <w:sz w:val="24"/>
                <w:szCs w:val="24"/>
              </w:rPr>
              <w:t>0.46%</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14.02%</w:t>
            </w:r>
          </w:p>
        </w:tc>
        <w:tc>
          <w:tcPr>
            <w:vAlign w:val="center"/>
          </w:tcPr>
          <w:p>
            <w:pPr>
              <w:jc w:val="center"/>
            </w:pPr>
            <w:r>
              <w:rPr>
                <w:color w:val="000000"/>
                <w:kern w:val="0"/>
                <w:sz w:val="24"/>
                <w:szCs w:val="24"/>
              </w:rPr>
              <w:t>1.57%</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0.90%</w:t>
            </w:r>
          </w:p>
        </w:tc>
        <w:tc>
          <w:tcPr>
            <w:vAlign w:val="center"/>
          </w:tcPr>
          <w:p>
            <w:pPr>
              <w:jc w:val="center"/>
            </w:pPr>
            <w:r>
              <w:rPr>
                <w:color w:val="000000"/>
                <w:kern w:val="0"/>
                <w:sz w:val="24"/>
                <w:szCs w:val="24"/>
              </w:rPr>
              <w:t>12.71%</w:t>
            </w:r>
          </w:p>
        </w:tc>
        <w:tc>
          <w:tcPr>
            <w:vAlign w:val="center"/>
          </w:tcPr>
          <w:p>
            <w:pPr>
              <w:jc w:val="center"/>
            </w:pPr>
            <w:r>
              <w:rPr>
                <w:color w:val="000000"/>
                <w:kern w:val="0"/>
                <w:sz w:val="24"/>
                <w:szCs w:val="24"/>
              </w:rPr>
              <w:t>0.67%</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27.24%</w:t>
            </w:r>
          </w:p>
        </w:tc>
        <w:tc>
          <w:tcPr>
            <w:vAlign w:val="center"/>
          </w:tcPr>
          <w:p>
            <w:pPr>
              <w:jc w:val="center"/>
            </w:pPr>
            <w:r>
              <w:rPr>
                <w:color w:val="000000"/>
                <w:kern w:val="0"/>
                <w:sz w:val="24"/>
                <w:szCs w:val="24"/>
              </w:rPr>
              <w:t>1.26%</w:t>
            </w:r>
          </w:p>
        </w:tc>
        <w:tc>
          <w:tcPr>
            <w:vAlign w:val="center"/>
          </w:tcPr>
          <w:p>
            <w:pPr>
              <w:jc w:val="center"/>
            </w:pPr>
            <w:r>
              <w:rPr>
                <w:color w:val="000000"/>
                <w:kern w:val="0"/>
                <w:sz w:val="24"/>
                <w:szCs w:val="24"/>
              </w:rPr>
              <w:t>5.37%</w:t>
            </w:r>
          </w:p>
        </w:tc>
        <w:tc>
          <w:tcPr>
            <w:vAlign w:val="center"/>
          </w:tcPr>
          <w:p>
            <w:pPr>
              <w:jc w:val="center"/>
            </w:pPr>
            <w:r>
              <w:rPr>
                <w:color w:val="000000"/>
                <w:kern w:val="0"/>
                <w:sz w:val="24"/>
                <w:szCs w:val="24"/>
              </w:rPr>
              <w:t>0.71%</w:t>
            </w:r>
          </w:p>
        </w:tc>
        <w:tc>
          <w:tcPr>
            <w:vAlign w:val="center"/>
          </w:tcPr>
          <w:p>
            <w:pPr>
              <w:jc w:val="center"/>
            </w:pPr>
            <w:r>
              <w:rPr>
                <w:color w:val="000000"/>
                <w:kern w:val="0"/>
                <w:sz w:val="24"/>
                <w:szCs w:val="24"/>
              </w:rPr>
              <w:t>21.87%</w:t>
            </w:r>
          </w:p>
        </w:tc>
        <w:tc>
          <w:tcPr>
            <w:vAlign w:val="center"/>
          </w:tcPr>
          <w:p>
            <w:pPr>
              <w:jc w:val="center"/>
            </w:pPr>
            <w:r>
              <w:rPr>
                <w:color w:val="000000"/>
                <w:kern w:val="0"/>
                <w:sz w:val="24"/>
                <w:szCs w:val="24"/>
              </w:rPr>
              <w:t>0.55%</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48.91%</w:t>
            </w:r>
          </w:p>
        </w:tc>
        <w:tc>
          <w:tcPr>
            <w:vAlign w:val="center"/>
          </w:tcPr>
          <w:p>
            <w:pPr>
              <w:jc w:val="center"/>
            </w:pPr>
            <w:r>
              <w:rPr>
                <w:color w:val="000000"/>
                <w:kern w:val="0"/>
                <w:sz w:val="24"/>
                <w:szCs w:val="24"/>
              </w:rPr>
              <w:t>1.12%</w:t>
            </w:r>
          </w:p>
        </w:tc>
        <w:tc>
          <w:tcPr>
            <w:vAlign w:val="center"/>
          </w:tcPr>
          <w:p>
            <w:pPr>
              <w:jc w:val="center"/>
            </w:pPr>
            <w:r>
              <w:rPr>
                <w:color w:val="000000"/>
                <w:kern w:val="0"/>
                <w:sz w:val="24"/>
                <w:szCs w:val="24"/>
              </w:rPr>
              <w:t>17.07%</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31.84%</w:t>
            </w:r>
          </w:p>
        </w:tc>
        <w:tc>
          <w:tcPr>
            <w:vAlign w:val="center"/>
          </w:tcPr>
          <w:p>
            <w:pPr>
              <w:jc w:val="center"/>
            </w:pPr>
            <w:r>
              <w:rPr>
                <w:color w:val="000000"/>
                <w:kern w:val="0"/>
                <w:sz w:val="24"/>
                <w:szCs w:val="24"/>
              </w:rPr>
              <w:t>0.40%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易方达科顺定期开放灵活配置混合型证券投资基金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2018年10月26日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注：自基金合同生效至报告期末，基金份额净值增长率为48.91%，同期业绩比较基准收益率为17.07%。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萧楠</w:t>
            </w:r>
          </w:p>
        </w:tc>
        <w:tc>
          <w:tcPr>
            <w:vAlign w:val="center"/>
          </w:tcPr>
          <w:p>
            <w:pPr>
              <w:jc w:val="left"/>
            </w:pPr>
            <w:r>
              <w:rPr>
                <w:color w:val="000000"/>
                <w:sz w:val="24"/>
              </w:rPr>
              <w:t>本基金的基金经理、易方达消费行业股票型证券投资基金的基金经理、易方达大健康主题灵活配置混合型证券投资基金的基金经理、易方达现代服务业灵活配置混合型证券投资基金的基金经理（自2017年11月22日至2020年06月05日）、易方达瑞恒灵活配置混合型证券投资基金的基金经理、易方达消费精选股票型证券投资基金的基金经理、投资三部总经理、研究部副总经理</w:t>
            </w:r>
          </w:p>
        </w:tc>
        <w:tc>
          <w:tcPr>
            <w:vAlign w:val="center"/>
          </w:tcPr>
          <w:p>
            <w:pPr>
              <w:jc w:val="center"/>
            </w:pPr>
            <w:r>
              <w:rPr>
                <w:color w:val="000000"/>
                <w:sz w:val="24"/>
              </w:rPr>
              <w:t>2018-10-26</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政策的主线从抗击疫情转向扶持经济，流动性不断宽松，刺激了资本市场估值水平不断提高，市场风险偏好有较明显的提升。上证综指上涨8.52%，上证50指数上涨9.40%，创业板指数上涨30.25%，恒生指数涨3.49%。医药、科技板块继续成为市场主线，港股方面则只有个股行情，整体上处于窄幅波动中。</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我们二季度沿着自下而上寻找具备核心壁垒的企业的思路，加大了对港股的配置力度。此外，随着A股估值水平不断提高，未来我们会考虑逐步加强港股配置，以控制组合整体估值水平。</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截至报告期末，本基金份额净值为1.4891元，本报告期份额净值增长率为21.93%，同期业绩比较基准收益率为6.58%。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388,269,544.05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388,269,544.05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408,753.30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408,753.30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66,615,978.95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14.58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1,565,730.69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0.34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456,860,006.99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注：本基金本报告期末通过港股通交易机制投资的港股市值为90,253,727.15元,占净值比例20.78%。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292,218,991.69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67.28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298,015,816.90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68.62</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32,456,541.91</w:t>
            </w:r>
          </w:p>
        </w:tc>
        <w:tc>
          <w:tcPr>
            <w:vAlign w:val="center"/>
          </w:tcPr>
          <w:p>
            <w:pPr>
              <w:jc w:val="center"/>
            </w:pPr>
            <w:r>
              <w:rPr>
                <w:rFonts w:eastAsiaTheme="minorEastAsia"/>
                <w:color w:themeColor="text1" w:val="000000"/>
                <w:kern w:val="0"/>
                <w:sz w:val="24"/>
                <w:szCs w:val="24"/>
              </w:rPr>
              <w:t>7.47</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45,571,631.21</w:t>
            </w:r>
          </w:p>
        </w:tc>
        <w:tc>
          <w:tcPr>
            <w:vAlign w:val="center"/>
          </w:tcPr>
          <w:p>
            <w:pPr>
              <w:jc w:val="center"/>
            </w:pPr>
            <w:r>
              <w:rPr>
                <w:rFonts w:eastAsiaTheme="minorEastAsia"/>
                <w:color w:themeColor="text1" w:val="000000"/>
                <w:kern w:val="0"/>
                <w:sz w:val="24"/>
                <w:szCs w:val="24"/>
              </w:rPr>
              <w:t>10.49</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3,526,627.42</w:t>
            </w:r>
          </w:p>
        </w:tc>
        <w:tc>
          <w:tcPr>
            <w:vAlign w:val="center"/>
          </w:tcPr>
          <w:p>
            <w:pPr>
              <w:jc w:val="center"/>
            </w:pPr>
            <w:r>
              <w:rPr>
                <w:rFonts w:eastAsiaTheme="minorEastAsia"/>
                <w:color w:themeColor="text1" w:val="000000"/>
                <w:kern w:val="0"/>
                <w:sz w:val="24"/>
                <w:szCs w:val="24"/>
              </w:rPr>
              <w:t>0.81</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8,698,926.61</w:t>
            </w:r>
          </w:p>
        </w:tc>
        <w:tc>
          <w:tcPr>
            <w:vAlign w:val="center"/>
          </w:tcPr>
          <w:p>
            <w:pPr>
              <w:jc w:val="center"/>
            </w:pPr>
            <w:r>
              <w:rPr>
                <w:rFonts w:eastAsiaTheme="minorEastAsia"/>
                <w:color w:themeColor="text1" w:val="000000"/>
                <w:kern w:val="0"/>
                <w:sz w:val="24"/>
                <w:szCs w:val="24"/>
              </w:rPr>
              <w:t>2.00</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90,253,727.15</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20.78</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258,900</w:t>
            </w:r>
          </w:p>
        </w:tc>
        <w:tc>
          <w:tcPr>
            <w:vAlign w:val="center"/>
          </w:tcPr>
          <w:p>
            <w:pPr>
              <w:jc w:val="right"/>
            </w:pPr>
            <w:r>
              <w:rPr>
                <w:color w:val="000000"/>
                <w:kern w:val="0"/>
                <w:sz w:val="24"/>
                <w:szCs w:val="24"/>
              </w:rPr>
              <w:t>44,302,968.00</w:t>
            </w:r>
          </w:p>
        </w:tc>
        <w:tc>
          <w:tcPr>
            <w:vAlign w:val="center"/>
          </w:tcPr>
          <w:p>
            <w:pPr>
              <w:jc w:val="right"/>
            </w:pPr>
            <w:r>
              <w:rPr>
                <w:color w:val="000000"/>
                <w:kern w:val="0"/>
                <w:sz w:val="24"/>
                <w:szCs w:val="24"/>
              </w:rPr>
              <w:t>10.20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28,900</w:t>
            </w:r>
          </w:p>
        </w:tc>
        <w:tc>
          <w:tcPr>
            <w:vAlign w:val="center"/>
          </w:tcPr>
          <w:p>
            <w:pPr>
              <w:jc w:val="right"/>
            </w:pPr>
            <w:r>
              <w:rPr>
                <w:color w:val="000000"/>
                <w:kern w:val="0"/>
                <w:sz w:val="24"/>
                <w:szCs w:val="24"/>
              </w:rPr>
              <w:t>42,277,232.00</w:t>
            </w:r>
          </w:p>
        </w:tc>
        <w:tc>
          <w:tcPr>
            <w:vAlign w:val="center"/>
          </w:tcPr>
          <w:p>
            <w:pPr>
              <w:jc w:val="right"/>
            </w:pPr>
            <w:r>
              <w:rPr>
                <w:color w:val="000000"/>
                <w:kern w:val="0"/>
                <w:sz w:val="24"/>
                <w:szCs w:val="24"/>
              </w:rPr>
              <w:t>9.73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617,600</w:t>
            </w:r>
          </w:p>
        </w:tc>
        <w:tc>
          <w:tcPr>
            <w:vAlign w:val="center"/>
          </w:tcPr>
          <w:p>
            <w:pPr>
              <w:jc w:val="right"/>
            </w:pPr>
            <w:r>
              <w:rPr>
                <w:color w:val="000000"/>
                <w:kern w:val="0"/>
                <w:sz w:val="24"/>
                <w:szCs w:val="24"/>
              </w:rPr>
              <w:t>34,937,632.00</w:t>
            </w:r>
          </w:p>
        </w:tc>
        <w:tc>
          <w:tcPr>
            <w:vAlign w:val="center"/>
          </w:tcPr>
          <w:p>
            <w:pPr>
              <w:jc w:val="right"/>
            </w:pPr>
            <w:r>
              <w:rPr>
                <w:color w:val="000000"/>
                <w:kern w:val="0"/>
                <w:sz w:val="24"/>
                <w:szCs w:val="24"/>
              </w:rPr>
              <w:t>8.04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000860</w:t>
            </w:r>
          </w:p>
        </w:tc>
        <w:tc>
          <w:tcPr>
            <w:vAlign w:val="center"/>
          </w:tcPr>
          <w:p>
            <w:pPr>
              <w:jc w:val="center"/>
            </w:pPr>
            <w:r>
              <w:rPr>
                <w:color w:val="000000"/>
                <w:kern w:val="0"/>
                <w:sz w:val="24"/>
                <w:szCs w:val="24"/>
              </w:rPr>
              <w:t>顺鑫农业</w:t>
            </w:r>
          </w:p>
        </w:tc>
        <w:tc>
          <w:tcPr>
            <w:vAlign w:val="center"/>
          </w:tcPr>
          <w:p>
            <w:pPr>
              <w:jc w:val="right"/>
            </w:pPr>
            <w:r>
              <w:rPr>
                <w:color w:val="000000"/>
                <w:kern w:val="0"/>
                <w:sz w:val="24"/>
                <w:szCs w:val="24"/>
              </w:rPr>
              <w:t>577,418</w:t>
            </w:r>
          </w:p>
        </w:tc>
        <w:tc>
          <w:tcPr>
            <w:vAlign w:val="center"/>
          </w:tcPr>
          <w:p>
            <w:pPr>
              <w:jc w:val="right"/>
            </w:pPr>
            <w:r>
              <w:rPr>
                <w:color w:val="000000"/>
                <w:kern w:val="0"/>
                <w:sz w:val="24"/>
                <w:szCs w:val="24"/>
              </w:rPr>
              <w:t>32,901,277.64</w:t>
            </w:r>
          </w:p>
        </w:tc>
        <w:tc>
          <w:tcPr>
            <w:vAlign w:val="center"/>
          </w:tcPr>
          <w:p>
            <w:pPr>
              <w:jc w:val="right"/>
            </w:pPr>
            <w:r>
              <w:rPr>
                <w:color w:val="000000"/>
                <w:kern w:val="0"/>
                <w:sz w:val="24"/>
                <w:szCs w:val="24"/>
              </w:rPr>
              <w:t>7.58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382,581</w:t>
            </w:r>
          </w:p>
        </w:tc>
        <w:tc>
          <w:tcPr>
            <w:vAlign w:val="center"/>
          </w:tcPr>
          <w:p>
            <w:pPr>
              <w:jc w:val="right"/>
            </w:pPr>
            <w:r>
              <w:rPr>
                <w:color w:val="000000"/>
                <w:kern w:val="0"/>
                <w:sz w:val="24"/>
                <w:szCs w:val="24"/>
              </w:rPr>
              <w:t>31,562,932.50</w:t>
            </w:r>
          </w:p>
        </w:tc>
        <w:tc>
          <w:tcPr>
            <w:vAlign w:val="center"/>
          </w:tcPr>
          <w:p>
            <w:pPr>
              <w:jc w:val="right"/>
            </w:pPr>
            <w:r>
              <w:rPr>
                <w:color w:val="000000"/>
                <w:kern w:val="0"/>
                <w:sz w:val="24"/>
                <w:szCs w:val="24"/>
              </w:rPr>
              <w:t>7.27</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600809</w:t>
            </w:r>
          </w:p>
        </w:tc>
        <w:tc>
          <w:tcPr>
            <w:vAlign w:val="center"/>
          </w:tcPr>
          <w:p>
            <w:pPr>
              <w:jc w:val="center"/>
            </w:pPr>
            <w:r>
              <w:rPr>
                <w:color w:val="000000"/>
                <w:kern w:val="0"/>
                <w:sz w:val="24"/>
                <w:szCs w:val="24"/>
              </w:rPr>
              <w:t>山西汾酒</w:t>
            </w:r>
          </w:p>
        </w:tc>
        <w:tc>
          <w:tcPr>
            <w:vAlign w:val="center"/>
          </w:tcPr>
          <w:p>
            <w:pPr>
              <w:jc w:val="right"/>
            </w:pPr>
            <w:r>
              <w:rPr>
                <w:color w:val="000000"/>
                <w:kern w:val="0"/>
                <w:sz w:val="24"/>
                <w:szCs w:val="24"/>
              </w:rPr>
              <w:t>215,103</w:t>
            </w:r>
          </w:p>
        </w:tc>
        <w:tc>
          <w:tcPr>
            <w:vAlign w:val="center"/>
          </w:tcPr>
          <w:p>
            <w:pPr>
              <w:jc w:val="right"/>
            </w:pPr>
            <w:r>
              <w:rPr>
                <w:color w:val="000000"/>
                <w:kern w:val="0"/>
                <w:sz w:val="24"/>
                <w:szCs w:val="24"/>
              </w:rPr>
              <w:t>31,189,935.00</w:t>
            </w:r>
          </w:p>
        </w:tc>
        <w:tc>
          <w:tcPr>
            <w:vAlign w:val="center"/>
          </w:tcPr>
          <w:p>
            <w:pPr>
              <w:jc w:val="right"/>
            </w:pPr>
            <w:r>
              <w:rPr>
                <w:color w:val="000000"/>
                <w:kern w:val="0"/>
                <w:sz w:val="24"/>
                <w:szCs w:val="24"/>
              </w:rPr>
              <w:t>7.18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000596</w:t>
            </w:r>
          </w:p>
        </w:tc>
        <w:tc>
          <w:tcPr>
            <w:vAlign w:val="center"/>
          </w:tcPr>
          <w:p>
            <w:pPr>
              <w:jc w:val="center"/>
            </w:pPr>
            <w:r>
              <w:rPr>
                <w:color w:val="000000"/>
                <w:kern w:val="0"/>
                <w:sz w:val="24"/>
                <w:szCs w:val="24"/>
              </w:rPr>
              <w:t>古井贡酒</w:t>
            </w:r>
          </w:p>
        </w:tc>
        <w:tc>
          <w:tcPr>
            <w:vAlign w:val="center"/>
          </w:tcPr>
          <w:p>
            <w:pPr>
              <w:jc w:val="right"/>
            </w:pPr>
            <w:r>
              <w:rPr>
                <w:color w:val="000000"/>
                <w:kern w:val="0"/>
                <w:sz w:val="24"/>
                <w:szCs w:val="24"/>
              </w:rPr>
              <w:t>200,139</w:t>
            </w:r>
          </w:p>
        </w:tc>
        <w:tc>
          <w:tcPr>
            <w:vAlign w:val="center"/>
          </w:tcPr>
          <w:p>
            <w:pPr>
              <w:jc w:val="right"/>
            </w:pPr>
            <w:r>
              <w:rPr>
                <w:color w:val="000000"/>
                <w:kern w:val="0"/>
                <w:sz w:val="24"/>
                <w:szCs w:val="24"/>
              </w:rPr>
              <w:t>30,068,883.36</w:t>
            </w:r>
          </w:p>
        </w:tc>
        <w:tc>
          <w:tcPr>
            <w:vAlign w:val="center"/>
          </w:tcPr>
          <w:p>
            <w:pPr>
              <w:jc w:val="right"/>
            </w:pPr>
            <w:r>
              <w:rPr>
                <w:color w:val="000000"/>
                <w:kern w:val="0"/>
                <w:sz w:val="24"/>
                <w:szCs w:val="24"/>
              </w:rPr>
              <w:t>6.92</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03690</w:t>
            </w:r>
          </w:p>
        </w:tc>
        <w:tc>
          <w:tcPr>
            <w:vAlign w:val="center"/>
          </w:tcPr>
          <w:p>
            <w:pPr>
              <w:jc w:val="center"/>
            </w:pPr>
            <w:r>
              <w:rPr>
                <w:color w:val="000000"/>
                <w:kern w:val="0"/>
                <w:sz w:val="24"/>
                <w:szCs w:val="24"/>
              </w:rPr>
              <w:t>美团点评－Ｗ</w:t>
            </w:r>
          </w:p>
        </w:tc>
        <w:tc>
          <w:tcPr>
            <w:vAlign w:val="center"/>
          </w:tcPr>
          <w:p>
            <w:pPr>
              <w:jc w:val="right"/>
            </w:pPr>
            <w:r>
              <w:rPr>
                <w:color w:val="000000"/>
                <w:kern w:val="0"/>
                <w:sz w:val="24"/>
                <w:szCs w:val="24"/>
              </w:rPr>
              <w:t>132,700</w:t>
            </w:r>
          </w:p>
        </w:tc>
        <w:tc>
          <w:tcPr>
            <w:vAlign w:val="center"/>
          </w:tcPr>
          <w:p>
            <w:pPr>
              <w:jc w:val="right"/>
            </w:pPr>
            <w:r>
              <w:rPr>
                <w:color w:val="000000"/>
                <w:kern w:val="0"/>
                <w:sz w:val="24"/>
                <w:szCs w:val="24"/>
              </w:rPr>
              <w:t>20,836,598.59</w:t>
            </w:r>
          </w:p>
        </w:tc>
        <w:tc>
          <w:tcPr>
            <w:vAlign w:val="center"/>
          </w:tcPr>
          <w:p>
            <w:pPr>
              <w:jc w:val="right"/>
            </w:pPr>
            <w:r>
              <w:rPr>
                <w:color w:val="000000"/>
                <w:kern w:val="0"/>
                <w:sz w:val="24"/>
                <w:szCs w:val="24"/>
              </w:rPr>
              <w:t>4.80</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223,600</w:t>
            </w:r>
          </w:p>
        </w:tc>
        <w:tc>
          <w:tcPr>
            <w:vAlign w:val="center"/>
          </w:tcPr>
          <w:p>
            <w:pPr>
              <w:jc w:val="right"/>
            </w:pPr>
            <w:r>
              <w:rPr>
                <w:color w:val="000000"/>
                <w:kern w:val="0"/>
                <w:sz w:val="24"/>
                <w:szCs w:val="24"/>
              </w:rPr>
              <w:t>20,374,432.00</w:t>
            </w:r>
          </w:p>
        </w:tc>
        <w:tc>
          <w:tcPr>
            <w:vAlign w:val="center"/>
          </w:tcPr>
          <w:p>
            <w:pPr>
              <w:jc w:val="right"/>
            </w:pPr>
            <w:r>
              <w:rPr>
                <w:color w:val="000000"/>
                <w:kern w:val="0"/>
                <w:sz w:val="24"/>
                <w:szCs w:val="24"/>
              </w:rPr>
              <w:t>4.69</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06186</w:t>
            </w:r>
          </w:p>
        </w:tc>
        <w:tc>
          <w:tcPr>
            <w:vAlign w:val="center"/>
          </w:tcPr>
          <w:p>
            <w:pPr>
              <w:jc w:val="center"/>
            </w:pPr>
            <w:r>
              <w:rPr>
                <w:color w:val="000000"/>
                <w:kern w:val="0"/>
                <w:sz w:val="24"/>
                <w:szCs w:val="24"/>
              </w:rPr>
              <w:t>中国飞鹤</w:t>
            </w:r>
          </w:p>
        </w:tc>
        <w:tc>
          <w:tcPr>
            <w:vAlign w:val="center"/>
          </w:tcPr>
          <w:p>
            <w:pPr>
              <w:jc w:val="right"/>
            </w:pPr>
            <w:r>
              <w:rPr>
                <w:color w:val="000000"/>
                <w:kern w:val="0"/>
                <w:sz w:val="24"/>
                <w:szCs w:val="24"/>
              </w:rPr>
              <w:t>1,251,000</w:t>
            </w:r>
          </w:p>
        </w:tc>
        <w:tc>
          <w:tcPr>
            <w:vAlign w:val="center"/>
          </w:tcPr>
          <w:p>
            <w:pPr>
              <w:jc w:val="right"/>
            </w:pPr>
            <w:r>
              <w:rPr>
                <w:color w:val="000000"/>
                <w:kern w:val="0"/>
                <w:sz w:val="24"/>
                <w:szCs w:val="24"/>
              </w:rPr>
              <w:t>17,734,912.59</w:t>
            </w:r>
          </w:p>
        </w:tc>
        <w:tc>
          <w:tcPr>
            <w:vAlign w:val="center"/>
          </w:tcPr>
          <w:p>
            <w:pPr>
              <w:jc w:val="right"/>
            </w:pPr>
            <w:r>
              <w:rPr>
                <w:color w:val="000000"/>
                <w:kern w:val="0"/>
                <w:sz w:val="24"/>
                <w:szCs w:val="24"/>
              </w:rPr>
              <w:t>4.08</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注：本报告期末本基金投资五粮液占基金资产净值比例超过10%,属于被动超标。 </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408,753.30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408,753.30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113543</w:t>
            </w:r>
          </w:p>
        </w:tc>
        <w:tc>
          <w:tcPr>
            <w:vAlign w:val="center"/>
          </w:tcPr>
          <w:p>
            <w:pPr>
              <w:jc w:val="center"/>
            </w:pPr>
            <w:r>
              <w:rPr>
                <w:color w:val="000000"/>
                <w:kern w:val="0"/>
                <w:sz w:val="24"/>
                <w:szCs w:val="24"/>
              </w:rPr>
              <w:t>欧派转债</w:t>
            </w:r>
          </w:p>
        </w:tc>
        <w:tc>
          <w:tcPr>
            <w:vAlign w:val="center"/>
          </w:tcPr>
          <w:p>
            <w:pPr>
              <w:jc w:val="right"/>
            </w:pPr>
            <w:r>
              <w:rPr>
                <w:color w:val="000000"/>
                <w:kern w:val="0"/>
                <w:sz w:val="24"/>
                <w:szCs w:val="24"/>
              </w:rPr>
              <w:t>2,840</w:t>
            </w:r>
          </w:p>
        </w:tc>
        <w:tc>
          <w:tcPr>
            <w:vAlign w:val="center"/>
          </w:tcPr>
          <w:p>
            <w:pPr>
              <w:jc w:val="right"/>
            </w:pPr>
            <w:r>
              <w:rPr>
                <w:color w:val="000000"/>
                <w:kern w:val="0"/>
                <w:sz w:val="24"/>
                <w:szCs w:val="24"/>
              </w:rPr>
              <w:t>353,267.60</w:t>
            </w:r>
          </w:p>
        </w:tc>
        <w:tc>
          <w:tcPr>
            <w:vAlign w:val="center"/>
          </w:tcPr>
          <w:p>
            <w:pPr>
              <w:jc w:val="right"/>
            </w:pPr>
            <w:r>
              <w:rPr>
                <w:color w:val="000000"/>
                <w:kern w:val="0"/>
                <w:sz w:val="24"/>
                <w:szCs w:val="24"/>
              </w:rPr>
              <w:t>0.08</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530</w:t>
            </w:r>
          </w:p>
        </w:tc>
        <w:tc>
          <w:tcPr>
            <w:vAlign w:val="center"/>
          </w:tcPr>
          <w:p>
            <w:pPr>
              <w:jc w:val="right"/>
            </w:pPr>
            <w:r>
              <w:rPr>
                <w:color w:val="000000"/>
                <w:kern w:val="0"/>
                <w:sz w:val="24"/>
                <w:szCs w:val="24"/>
              </w:rPr>
              <w:t>55,485.70</w:t>
            </w:r>
          </w:p>
        </w:tc>
        <w:tc>
          <w:tcPr>
            <w:vAlign w:val="center"/>
          </w:tcPr>
          <w:p>
            <w:pPr>
              <w:jc w:val="right"/>
            </w:pPr>
            <w:r>
              <w:rPr>
                <w:color w:val="000000"/>
                <w:kern w:val="0"/>
                <w:sz w:val="24"/>
                <w:szCs w:val="24"/>
              </w:rPr>
              <w:t>0.01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13,129.91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1,368,867.54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177,026.40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6,706.84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1,565,730.69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113543</w:t>
            </w:r>
          </w:p>
        </w:tc>
        <w:tc>
          <w:tcPr>
            <w:vAlign w:val="center"/>
          </w:tcPr>
          <w:p>
            <w:pPr>
              <w:jc w:val="center"/>
            </w:pPr>
            <w:r>
              <w:rPr>
                <w:color w:val="000000"/>
                <w:kern w:val="0"/>
                <w:sz w:val="24"/>
                <w:szCs w:val="24"/>
              </w:rPr>
              <w:t>欧派转债</w:t>
            </w:r>
          </w:p>
        </w:tc>
        <w:tc>
          <w:tcPr>
            <w:vAlign w:val="center"/>
          </w:tcPr>
          <w:p>
            <w:pPr>
              <w:jc w:val="right"/>
            </w:pPr>
            <w:r>
              <w:rPr>
                <w:color w:val="000000"/>
                <w:kern w:val="0"/>
                <w:sz w:val="24"/>
                <w:szCs w:val="24"/>
              </w:rPr>
              <w:t>353,267.60</w:t>
            </w:r>
          </w:p>
        </w:tc>
        <w:tc>
          <w:tcPr>
            <w:vAlign w:val="center"/>
          </w:tcPr>
          <w:p>
            <w:pPr>
              <w:jc w:val="right"/>
            </w:pPr>
            <w:r>
              <w:rPr>
                <w:color w:val="000000"/>
                <w:kern w:val="0"/>
                <w:sz w:val="24"/>
                <w:szCs w:val="24"/>
              </w:rPr>
              <w:t>0.08</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55,485.70</w:t>
            </w:r>
          </w:p>
        </w:tc>
        <w:tc>
          <w:tcPr>
            <w:vAlign w:val="center"/>
          </w:tcPr>
          <w:p>
            <w:pPr>
              <w:jc w:val="right"/>
            </w:pPr>
            <w:r>
              <w:rPr>
                <w:color w:val="000000"/>
                <w:kern w:val="0"/>
                <w:sz w:val="24"/>
                <w:szCs w:val="24"/>
              </w:rPr>
              <w:t>0.01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291,673,051.53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291,673,051.53</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1.中国证监会准予易方达科顺定期开放灵活配置混合型证券投资基金注册的文件；</w:t>
      </w:r>
    </w:p>
    <w:p>
      <w:pPr>
        <w:spacing w:line="360" w:lineRule="auto"/>
        <w:ind w:firstLine="480" w:firstLineChars="200"/>
        <w:rPr>
          <w:color w:val="000000"/>
          <w:sz w:val="24"/>
          <w:szCs w:val="24"/>
        </w:rPr>
      </w:pPr>
      <w:r>
        <w:rPr>
          <w:color w:val="000000"/>
          <w:sz w:val="24"/>
          <w:szCs w:val="24"/>
        </w:rPr>
        <w:t>2.《易方达科顺定期开放灵活配置混合型证券投资基金基金合同》；</w:t>
      </w:r>
    </w:p>
    <w:p>
      <w:pPr>
        <w:spacing w:line="360" w:lineRule="auto"/>
        <w:ind w:firstLine="480" w:firstLineChars="200"/>
        <w:rPr>
          <w:color w:val="000000"/>
          <w:sz w:val="24"/>
          <w:szCs w:val="24"/>
        </w:rPr>
      </w:pPr>
      <w:r>
        <w:rPr>
          <w:color w:val="000000"/>
          <w:sz w:val="24"/>
          <w:szCs w:val="24"/>
        </w:rPr>
        <w:t>3.《易方达科顺定期开放灵活配置混合型证券投资基金托管协议》；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易方达科顺定期开放灵活配置混合型证券投资基金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