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易方达3年封闭运作战略配售灵活配置混合型证券投资基金（LOF）</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中国建设银行股份有限公司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AA0FEE" w:rsidRDefault="00281D83">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AA0FEE" w:rsidRDefault="00281D83">
      <w:pPr>
        <w:spacing w:line="360" w:lineRule="auto"/>
        <w:ind w:firstLineChars="200" w:firstLine="480"/>
        <w:rPr>
          <w:color w:val="000000"/>
          <w:sz w:val="24"/>
          <w:szCs w:val="24"/>
        </w:rPr>
      </w:pPr>
      <w:r>
        <w:rPr>
          <w:color w:val="000000"/>
          <w:sz w:val="24"/>
          <w:szCs w:val="24"/>
        </w:rPr>
        <w:t>基金托管人中国建设银行股份有限公司根据本基金合同规定，于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AA0FEE" w:rsidRDefault="00281D83">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AA0FEE" w:rsidRDefault="00281D83">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AA0FEE" w:rsidRDefault="00281D83">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w:t>
            </w:r>
            <w:r w:rsidRPr="00232B03">
              <w:rPr>
                <w:color w:val="000000"/>
                <w:kern w:val="0"/>
                <w:sz w:val="24"/>
                <w:szCs w:val="24"/>
              </w:rPr>
              <w:t>3</w:t>
            </w:r>
            <w:r w:rsidRPr="00232B03">
              <w:rPr>
                <w:color w:val="000000"/>
                <w:kern w:val="0"/>
                <w:sz w:val="24"/>
                <w:szCs w:val="24"/>
              </w:rPr>
              <w:t>年封闭战略配售混合（</w:t>
            </w:r>
            <w:r w:rsidRPr="00232B03">
              <w:rPr>
                <w:color w:val="000000"/>
                <w:kern w:val="0"/>
                <w:sz w:val="24"/>
                <w:szCs w:val="24"/>
              </w:rPr>
              <w:t>LOF</w:t>
            </w:r>
            <w:r w:rsidRPr="00232B03">
              <w:rPr>
                <w:color w:val="000000"/>
                <w:kern w:val="0"/>
                <w:sz w:val="24"/>
                <w:szCs w:val="24"/>
              </w:rPr>
              <w:t>）</w:t>
            </w:r>
          </w:p>
        </w:tc>
      </w:tr>
      <w:tr w:rsidR="00815999" w:rsidRPr="00264E55" w:rsidTr="003328D9">
        <w:tc>
          <w:tcPr>
            <w:tcW w:w="2835" w:type="dxa"/>
            <w:vAlign w:val="center"/>
          </w:tcPr>
          <w:p w:rsidR="00815999" w:rsidRPr="00232B03" w:rsidRDefault="00815999" w:rsidP="00815999">
            <w:pPr>
              <w:adjustRightInd w:val="0"/>
              <w:spacing w:before="29" w:line="360" w:lineRule="auto"/>
              <w:ind w:left="17"/>
              <w:jc w:val="left"/>
              <w:rPr>
                <w:kern w:val="0"/>
                <w:sz w:val="24"/>
                <w:szCs w:val="24"/>
              </w:rPr>
            </w:pPr>
            <w:r w:rsidRPr="00232B03">
              <w:rPr>
                <w:kern w:val="0"/>
                <w:sz w:val="24"/>
                <w:szCs w:val="24"/>
              </w:rPr>
              <w:t>场内简称</w:t>
            </w:r>
          </w:p>
        </w:tc>
        <w:tc>
          <w:tcPr>
            <w:tcW w:w="5479" w:type="dxa"/>
            <w:vAlign w:val="center"/>
          </w:tcPr>
          <w:p w:rsidR="00815999" w:rsidRPr="00232B03" w:rsidRDefault="00815999" w:rsidP="00815999">
            <w:pPr>
              <w:adjustRightInd w:val="0"/>
              <w:spacing w:before="29" w:line="360" w:lineRule="auto"/>
              <w:ind w:left="17"/>
              <w:jc w:val="left"/>
              <w:rPr>
                <w:kern w:val="0"/>
                <w:sz w:val="24"/>
                <w:szCs w:val="24"/>
              </w:rPr>
            </w:pPr>
            <w:r w:rsidRPr="00232B03">
              <w:rPr>
                <w:kern w:val="0"/>
                <w:sz w:val="24"/>
                <w:szCs w:val="24"/>
              </w:rPr>
              <w:t>易基配售</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161131</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161131</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2018</w:t>
            </w:r>
            <w:r w:rsidRPr="00232B03">
              <w:rPr>
                <w:color w:val="000000"/>
                <w:kern w:val="0"/>
                <w:sz w:val="24"/>
                <w:szCs w:val="24"/>
              </w:rPr>
              <w:t>年</w:t>
            </w:r>
            <w:r w:rsidRPr="00232B03">
              <w:rPr>
                <w:color w:val="000000"/>
                <w:kern w:val="0"/>
                <w:sz w:val="24"/>
                <w:szCs w:val="24"/>
              </w:rPr>
              <w:t>7</w:t>
            </w:r>
            <w:r w:rsidRPr="00232B03">
              <w:rPr>
                <w:color w:val="000000"/>
                <w:kern w:val="0"/>
                <w:sz w:val="24"/>
                <w:szCs w:val="24"/>
              </w:rPr>
              <w:t>月</w:t>
            </w:r>
            <w:r w:rsidRPr="00232B03">
              <w:rPr>
                <w:color w:val="000000"/>
                <w:kern w:val="0"/>
                <w:sz w:val="24"/>
                <w:szCs w:val="24"/>
              </w:rPr>
              <w:t>5</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24,458,013,050.22</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在严格控制风险的前提下，追求超越业绩比较基准的投资回报，力争实现基金资产的长期稳健增值。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本基金在封闭运作期内主要采用战略配售和固定收益两种投资策略。基金将深入分析战略配售股票的投资机会，通过综合分析行业景气度、行业竞争格局、公司基本面、治理状况、估值水平、业务持</w:t>
            </w:r>
            <w:r w:rsidRPr="00232B03">
              <w:rPr>
                <w:color w:val="000000"/>
                <w:kern w:val="0"/>
                <w:sz w:val="24"/>
                <w:szCs w:val="24"/>
              </w:rPr>
              <w:lastRenderedPageBreak/>
              <w:t>续性和盈利确定性等多方面因素，结合市场未来走势等判断，精选战略配售个股，并在锁定期结束后选择适当的时机卖出。在债券投资方面主要通过类属配置与券种选择进行投资管理。类属配置方面，基金结合对宏观经济、市场利率、供求变化等因素的综合分析，定期对投资组合类属资产进行优化配置和调整；在券种选择上，基金以长期利率趋势分析为基础，结合经济变化趋势、货币政策及不同债券品种的收益率水平、流动性和信用风险等因素，实施积极主动的债券投资管理。本基金还将积极关注银行存款、同业存单的投资机会并进行合理配置。</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沪深</w:t>
            </w:r>
            <w:r w:rsidRPr="00232B03">
              <w:rPr>
                <w:color w:val="000000"/>
                <w:kern w:val="0"/>
                <w:sz w:val="24"/>
                <w:szCs w:val="24"/>
              </w:rPr>
              <w:t>300</w:t>
            </w:r>
            <w:r w:rsidRPr="00232B03">
              <w:rPr>
                <w:color w:val="000000"/>
                <w:kern w:val="0"/>
                <w:sz w:val="24"/>
                <w:szCs w:val="24"/>
              </w:rPr>
              <w:t>指数收益率</w:t>
            </w:r>
            <w:r w:rsidRPr="00232B03">
              <w:rPr>
                <w:color w:val="000000"/>
                <w:kern w:val="0"/>
                <w:sz w:val="24"/>
                <w:szCs w:val="24"/>
              </w:rPr>
              <w:t>×60%+</w:t>
            </w:r>
            <w:r w:rsidRPr="00232B03">
              <w:rPr>
                <w:color w:val="000000"/>
                <w:kern w:val="0"/>
                <w:sz w:val="24"/>
                <w:szCs w:val="24"/>
              </w:rPr>
              <w:t>中债总指数收益率</w:t>
            </w:r>
            <w:r w:rsidRPr="00232B03">
              <w:rPr>
                <w:color w:val="000000"/>
                <w:kern w:val="0"/>
                <w:sz w:val="24"/>
                <w:szCs w:val="24"/>
              </w:rPr>
              <w:t>×40%</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本基金为混合型证券投资基金，其预期风险与预期收益水平低于股票型基金，高于债券型基金和货币市场基金。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中国建设银行股份有限公司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0B309E" w:rsidRPr="006506EF" w:rsidTr="000B309E">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0B309E" w:rsidRPr="006506EF" w:rsidTr="000B309E">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351,256,661.62</w:t>
            </w:r>
          </w:p>
        </w:tc>
      </w:tr>
      <w:tr w:rsidR="000B309E" w:rsidRPr="006506EF" w:rsidTr="000B309E">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346,235,685.45</w:t>
            </w:r>
          </w:p>
        </w:tc>
      </w:tr>
      <w:tr w:rsidR="000B309E" w:rsidRPr="006506EF" w:rsidTr="000B309E">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0.0142</w:t>
            </w:r>
          </w:p>
        </w:tc>
      </w:tr>
      <w:tr w:rsidR="000B309E" w:rsidRPr="006506EF" w:rsidTr="000B309E">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lastRenderedPageBreak/>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26,558,152,725.48</w:t>
            </w:r>
          </w:p>
        </w:tc>
      </w:tr>
      <w:tr w:rsidR="000B309E" w:rsidRPr="006506EF" w:rsidTr="000B309E">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1.0859</w:t>
            </w:r>
          </w:p>
        </w:tc>
      </w:tr>
    </w:tbl>
    <w:p w:rsidR="00AA0FEE" w:rsidRDefault="00281D83">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AA0FEE">
        <w:tc>
          <w:tcPr>
            <w:tcW w:w="1395" w:type="dxa"/>
            <w:vAlign w:val="center"/>
          </w:tcPr>
          <w:p w:rsidR="00AA0FEE" w:rsidRDefault="00281D83">
            <w:pPr>
              <w:jc w:val="left"/>
            </w:pPr>
            <w:r>
              <w:rPr>
                <w:color w:val="000000"/>
                <w:kern w:val="0"/>
                <w:sz w:val="24"/>
                <w:szCs w:val="24"/>
              </w:rPr>
              <w:t>过去三个月</w:t>
            </w:r>
          </w:p>
        </w:tc>
        <w:tc>
          <w:tcPr>
            <w:tcW w:w="1092" w:type="dxa"/>
            <w:vAlign w:val="center"/>
          </w:tcPr>
          <w:p w:rsidR="00AA0FEE" w:rsidRDefault="00281D83">
            <w:pPr>
              <w:jc w:val="center"/>
            </w:pPr>
            <w:r>
              <w:rPr>
                <w:color w:val="000000"/>
                <w:kern w:val="0"/>
                <w:sz w:val="24"/>
                <w:szCs w:val="24"/>
              </w:rPr>
              <w:t>1.32%</w:t>
            </w:r>
          </w:p>
        </w:tc>
        <w:tc>
          <w:tcPr>
            <w:tcW w:w="1161" w:type="dxa"/>
            <w:vAlign w:val="center"/>
          </w:tcPr>
          <w:p w:rsidR="00AA0FEE" w:rsidRDefault="00281D83">
            <w:pPr>
              <w:jc w:val="center"/>
            </w:pPr>
            <w:r>
              <w:rPr>
                <w:color w:val="000000"/>
                <w:kern w:val="0"/>
                <w:sz w:val="24"/>
                <w:szCs w:val="24"/>
              </w:rPr>
              <w:t>0.19%</w:t>
            </w:r>
          </w:p>
        </w:tc>
        <w:tc>
          <w:tcPr>
            <w:tcW w:w="1181" w:type="dxa"/>
            <w:vAlign w:val="center"/>
          </w:tcPr>
          <w:p w:rsidR="00AA0FEE" w:rsidRDefault="00281D83">
            <w:pPr>
              <w:jc w:val="center"/>
            </w:pPr>
            <w:r>
              <w:rPr>
                <w:color w:val="000000"/>
                <w:kern w:val="0"/>
                <w:sz w:val="24"/>
                <w:szCs w:val="24"/>
              </w:rPr>
              <w:t>7.10%</w:t>
            </w:r>
          </w:p>
        </w:tc>
        <w:tc>
          <w:tcPr>
            <w:tcW w:w="1188" w:type="dxa"/>
            <w:vAlign w:val="center"/>
          </w:tcPr>
          <w:p w:rsidR="00AA0FEE" w:rsidRDefault="00281D83">
            <w:pPr>
              <w:jc w:val="center"/>
            </w:pPr>
            <w:r>
              <w:rPr>
                <w:color w:val="000000"/>
                <w:kern w:val="0"/>
                <w:sz w:val="24"/>
                <w:szCs w:val="24"/>
              </w:rPr>
              <w:t>0.54%</w:t>
            </w:r>
          </w:p>
        </w:tc>
        <w:tc>
          <w:tcPr>
            <w:tcW w:w="1199" w:type="dxa"/>
            <w:vAlign w:val="center"/>
          </w:tcPr>
          <w:p w:rsidR="00AA0FEE" w:rsidRDefault="00281D83">
            <w:pPr>
              <w:jc w:val="center"/>
            </w:pPr>
            <w:r>
              <w:rPr>
                <w:color w:val="000000"/>
                <w:kern w:val="0"/>
                <w:sz w:val="24"/>
                <w:szCs w:val="24"/>
              </w:rPr>
              <w:t>-5.78%</w:t>
            </w:r>
          </w:p>
        </w:tc>
        <w:tc>
          <w:tcPr>
            <w:tcW w:w="1204" w:type="dxa"/>
            <w:vAlign w:val="center"/>
          </w:tcPr>
          <w:p w:rsidR="00AA0FEE" w:rsidRDefault="00281D83">
            <w:pPr>
              <w:jc w:val="center"/>
            </w:pPr>
            <w:r>
              <w:rPr>
                <w:color w:val="000000"/>
                <w:kern w:val="0"/>
                <w:sz w:val="24"/>
                <w:szCs w:val="24"/>
              </w:rPr>
              <w:t>-0.35%</w:t>
            </w:r>
          </w:p>
        </w:tc>
      </w:tr>
      <w:tr w:rsidR="00AA0FEE">
        <w:tc>
          <w:tcPr>
            <w:tcW w:w="1395" w:type="dxa"/>
            <w:vAlign w:val="center"/>
          </w:tcPr>
          <w:p w:rsidR="00AA0FEE" w:rsidRDefault="00281D83">
            <w:pPr>
              <w:jc w:val="left"/>
            </w:pPr>
            <w:r>
              <w:rPr>
                <w:color w:val="000000"/>
                <w:kern w:val="0"/>
                <w:sz w:val="24"/>
                <w:szCs w:val="24"/>
              </w:rPr>
              <w:t>过去六个月</w:t>
            </w:r>
          </w:p>
        </w:tc>
        <w:tc>
          <w:tcPr>
            <w:tcW w:w="1092" w:type="dxa"/>
            <w:vAlign w:val="center"/>
          </w:tcPr>
          <w:p w:rsidR="00AA0FEE" w:rsidRDefault="00281D83">
            <w:pPr>
              <w:jc w:val="center"/>
            </w:pPr>
            <w:r>
              <w:rPr>
                <w:color w:val="000000"/>
                <w:kern w:val="0"/>
                <w:sz w:val="24"/>
                <w:szCs w:val="24"/>
              </w:rPr>
              <w:t>-0.36%</w:t>
            </w:r>
          </w:p>
        </w:tc>
        <w:tc>
          <w:tcPr>
            <w:tcW w:w="1161" w:type="dxa"/>
            <w:vAlign w:val="center"/>
          </w:tcPr>
          <w:p w:rsidR="00AA0FEE" w:rsidRDefault="00281D83">
            <w:pPr>
              <w:jc w:val="center"/>
            </w:pPr>
            <w:r>
              <w:rPr>
                <w:color w:val="000000"/>
                <w:kern w:val="0"/>
                <w:sz w:val="24"/>
                <w:szCs w:val="24"/>
              </w:rPr>
              <w:t>0.33%</w:t>
            </w:r>
          </w:p>
        </w:tc>
        <w:tc>
          <w:tcPr>
            <w:tcW w:w="1181" w:type="dxa"/>
            <w:vAlign w:val="center"/>
          </w:tcPr>
          <w:p w:rsidR="00AA0FEE" w:rsidRDefault="00281D83">
            <w:pPr>
              <w:jc w:val="center"/>
            </w:pPr>
            <w:r>
              <w:rPr>
                <w:color w:val="000000"/>
                <w:kern w:val="0"/>
                <w:sz w:val="24"/>
                <w:szCs w:val="24"/>
              </w:rPr>
              <w:t>1.32%</w:t>
            </w:r>
          </w:p>
        </w:tc>
        <w:tc>
          <w:tcPr>
            <w:tcW w:w="1188" w:type="dxa"/>
            <w:vAlign w:val="center"/>
          </w:tcPr>
          <w:p w:rsidR="00AA0FEE" w:rsidRDefault="00281D83">
            <w:pPr>
              <w:jc w:val="center"/>
            </w:pPr>
            <w:r>
              <w:rPr>
                <w:color w:val="000000"/>
                <w:kern w:val="0"/>
                <w:sz w:val="24"/>
                <w:szCs w:val="24"/>
              </w:rPr>
              <w:t>0.89%</w:t>
            </w:r>
          </w:p>
        </w:tc>
        <w:tc>
          <w:tcPr>
            <w:tcW w:w="1199" w:type="dxa"/>
            <w:vAlign w:val="center"/>
          </w:tcPr>
          <w:p w:rsidR="00AA0FEE" w:rsidRDefault="00281D83">
            <w:pPr>
              <w:jc w:val="center"/>
            </w:pPr>
            <w:r>
              <w:rPr>
                <w:color w:val="000000"/>
                <w:kern w:val="0"/>
                <w:sz w:val="24"/>
                <w:szCs w:val="24"/>
              </w:rPr>
              <w:t>-1.68%</w:t>
            </w:r>
          </w:p>
        </w:tc>
        <w:tc>
          <w:tcPr>
            <w:tcW w:w="1204" w:type="dxa"/>
            <w:vAlign w:val="center"/>
          </w:tcPr>
          <w:p w:rsidR="00AA0FEE" w:rsidRDefault="00281D83">
            <w:pPr>
              <w:jc w:val="center"/>
            </w:pPr>
            <w:r>
              <w:rPr>
                <w:color w:val="000000"/>
                <w:kern w:val="0"/>
                <w:sz w:val="24"/>
                <w:szCs w:val="24"/>
              </w:rPr>
              <w:t>-0.56%</w:t>
            </w:r>
          </w:p>
        </w:tc>
      </w:tr>
      <w:tr w:rsidR="00AA0FEE">
        <w:tc>
          <w:tcPr>
            <w:tcW w:w="1395" w:type="dxa"/>
            <w:vAlign w:val="center"/>
          </w:tcPr>
          <w:p w:rsidR="00AA0FEE" w:rsidRDefault="00281D83">
            <w:pPr>
              <w:jc w:val="left"/>
            </w:pPr>
            <w:r>
              <w:rPr>
                <w:color w:val="000000"/>
                <w:kern w:val="0"/>
                <w:sz w:val="24"/>
                <w:szCs w:val="24"/>
              </w:rPr>
              <w:t>过去一年</w:t>
            </w:r>
          </w:p>
        </w:tc>
        <w:tc>
          <w:tcPr>
            <w:tcW w:w="1092" w:type="dxa"/>
            <w:vAlign w:val="center"/>
          </w:tcPr>
          <w:p w:rsidR="00AA0FEE" w:rsidRDefault="00281D83">
            <w:pPr>
              <w:jc w:val="center"/>
            </w:pPr>
            <w:r>
              <w:rPr>
                <w:color w:val="000000"/>
                <w:kern w:val="0"/>
                <w:sz w:val="24"/>
                <w:szCs w:val="24"/>
              </w:rPr>
              <w:t>2.76%</w:t>
            </w:r>
          </w:p>
        </w:tc>
        <w:tc>
          <w:tcPr>
            <w:tcW w:w="1161" w:type="dxa"/>
            <w:vAlign w:val="center"/>
          </w:tcPr>
          <w:p w:rsidR="00AA0FEE" w:rsidRDefault="00281D83">
            <w:pPr>
              <w:jc w:val="center"/>
            </w:pPr>
            <w:r>
              <w:rPr>
                <w:color w:val="000000"/>
                <w:kern w:val="0"/>
                <w:sz w:val="24"/>
                <w:szCs w:val="24"/>
              </w:rPr>
              <w:t>0.29%</w:t>
            </w:r>
          </w:p>
        </w:tc>
        <w:tc>
          <w:tcPr>
            <w:tcW w:w="1181" w:type="dxa"/>
            <w:vAlign w:val="center"/>
          </w:tcPr>
          <w:p w:rsidR="00AA0FEE" w:rsidRDefault="00281D83">
            <w:pPr>
              <w:jc w:val="center"/>
            </w:pPr>
            <w:r>
              <w:rPr>
                <w:color w:val="000000"/>
                <w:kern w:val="0"/>
                <w:sz w:val="24"/>
                <w:szCs w:val="24"/>
              </w:rPr>
              <w:t>6.24%</w:t>
            </w:r>
          </w:p>
        </w:tc>
        <w:tc>
          <w:tcPr>
            <w:tcW w:w="1188" w:type="dxa"/>
            <w:vAlign w:val="center"/>
          </w:tcPr>
          <w:p w:rsidR="00AA0FEE" w:rsidRDefault="00281D83">
            <w:pPr>
              <w:jc w:val="center"/>
            </w:pPr>
            <w:r>
              <w:rPr>
                <w:color w:val="000000"/>
                <w:kern w:val="0"/>
                <w:sz w:val="24"/>
                <w:szCs w:val="24"/>
              </w:rPr>
              <w:t>0.72%</w:t>
            </w:r>
          </w:p>
        </w:tc>
        <w:tc>
          <w:tcPr>
            <w:tcW w:w="1199" w:type="dxa"/>
            <w:vAlign w:val="center"/>
          </w:tcPr>
          <w:p w:rsidR="00AA0FEE" w:rsidRDefault="00281D83">
            <w:pPr>
              <w:jc w:val="center"/>
            </w:pPr>
            <w:r>
              <w:rPr>
                <w:color w:val="000000"/>
                <w:kern w:val="0"/>
                <w:sz w:val="24"/>
                <w:szCs w:val="24"/>
              </w:rPr>
              <w:t>-3.48%</w:t>
            </w:r>
          </w:p>
        </w:tc>
        <w:tc>
          <w:tcPr>
            <w:tcW w:w="1204" w:type="dxa"/>
            <w:vAlign w:val="center"/>
          </w:tcPr>
          <w:p w:rsidR="00AA0FEE" w:rsidRDefault="00281D83">
            <w:pPr>
              <w:jc w:val="center"/>
            </w:pPr>
            <w:r>
              <w:rPr>
                <w:color w:val="000000"/>
                <w:kern w:val="0"/>
                <w:sz w:val="24"/>
                <w:szCs w:val="24"/>
              </w:rPr>
              <w:t>-0.43%</w:t>
            </w:r>
          </w:p>
        </w:tc>
      </w:tr>
      <w:tr w:rsidR="00AA0FEE">
        <w:tc>
          <w:tcPr>
            <w:tcW w:w="1395" w:type="dxa"/>
            <w:vAlign w:val="center"/>
          </w:tcPr>
          <w:p w:rsidR="00AA0FEE" w:rsidRDefault="00281D83">
            <w:pPr>
              <w:jc w:val="left"/>
            </w:pPr>
            <w:r>
              <w:rPr>
                <w:color w:val="000000"/>
                <w:kern w:val="0"/>
                <w:sz w:val="24"/>
                <w:szCs w:val="24"/>
              </w:rPr>
              <w:t>过去三年</w:t>
            </w:r>
          </w:p>
        </w:tc>
        <w:tc>
          <w:tcPr>
            <w:tcW w:w="1092" w:type="dxa"/>
            <w:vAlign w:val="center"/>
          </w:tcPr>
          <w:p w:rsidR="00AA0FEE" w:rsidRDefault="00281D83">
            <w:pPr>
              <w:jc w:val="center"/>
            </w:pPr>
            <w:r>
              <w:rPr>
                <w:color w:val="000000"/>
                <w:kern w:val="0"/>
                <w:sz w:val="24"/>
                <w:szCs w:val="24"/>
              </w:rPr>
              <w:t>-</w:t>
            </w:r>
          </w:p>
        </w:tc>
        <w:tc>
          <w:tcPr>
            <w:tcW w:w="1161" w:type="dxa"/>
            <w:vAlign w:val="center"/>
          </w:tcPr>
          <w:p w:rsidR="00AA0FEE" w:rsidRDefault="00281D83">
            <w:pPr>
              <w:jc w:val="center"/>
            </w:pPr>
            <w:r>
              <w:rPr>
                <w:color w:val="000000"/>
                <w:kern w:val="0"/>
                <w:sz w:val="24"/>
                <w:szCs w:val="24"/>
              </w:rPr>
              <w:t>-</w:t>
            </w:r>
          </w:p>
        </w:tc>
        <w:tc>
          <w:tcPr>
            <w:tcW w:w="1181" w:type="dxa"/>
            <w:vAlign w:val="center"/>
          </w:tcPr>
          <w:p w:rsidR="00AA0FEE" w:rsidRDefault="00281D83">
            <w:pPr>
              <w:jc w:val="center"/>
            </w:pPr>
            <w:r>
              <w:rPr>
                <w:color w:val="000000"/>
                <w:kern w:val="0"/>
                <w:sz w:val="24"/>
                <w:szCs w:val="24"/>
              </w:rPr>
              <w:t>-</w:t>
            </w:r>
          </w:p>
        </w:tc>
        <w:tc>
          <w:tcPr>
            <w:tcW w:w="1188" w:type="dxa"/>
            <w:vAlign w:val="center"/>
          </w:tcPr>
          <w:p w:rsidR="00AA0FEE" w:rsidRDefault="00281D83">
            <w:pPr>
              <w:jc w:val="center"/>
            </w:pPr>
            <w:r>
              <w:rPr>
                <w:color w:val="000000"/>
                <w:kern w:val="0"/>
                <w:sz w:val="24"/>
                <w:szCs w:val="24"/>
              </w:rPr>
              <w:t>-</w:t>
            </w:r>
          </w:p>
        </w:tc>
        <w:tc>
          <w:tcPr>
            <w:tcW w:w="1199" w:type="dxa"/>
            <w:vAlign w:val="center"/>
          </w:tcPr>
          <w:p w:rsidR="00AA0FEE" w:rsidRDefault="00281D83">
            <w:pPr>
              <w:jc w:val="center"/>
            </w:pPr>
            <w:r>
              <w:rPr>
                <w:color w:val="000000"/>
                <w:kern w:val="0"/>
                <w:sz w:val="24"/>
                <w:szCs w:val="24"/>
              </w:rPr>
              <w:t>-</w:t>
            </w:r>
          </w:p>
        </w:tc>
        <w:tc>
          <w:tcPr>
            <w:tcW w:w="1204" w:type="dxa"/>
            <w:vAlign w:val="center"/>
          </w:tcPr>
          <w:p w:rsidR="00AA0FEE" w:rsidRDefault="00281D83">
            <w:pPr>
              <w:jc w:val="center"/>
            </w:pPr>
            <w:r>
              <w:rPr>
                <w:color w:val="000000"/>
                <w:kern w:val="0"/>
                <w:sz w:val="24"/>
                <w:szCs w:val="24"/>
              </w:rPr>
              <w:t>-</w:t>
            </w:r>
          </w:p>
        </w:tc>
      </w:tr>
      <w:tr w:rsidR="00AA0FEE">
        <w:tc>
          <w:tcPr>
            <w:tcW w:w="1395" w:type="dxa"/>
            <w:vAlign w:val="center"/>
          </w:tcPr>
          <w:p w:rsidR="00AA0FEE" w:rsidRDefault="00281D83">
            <w:pPr>
              <w:jc w:val="left"/>
            </w:pPr>
            <w:r>
              <w:rPr>
                <w:color w:val="000000"/>
                <w:kern w:val="0"/>
                <w:sz w:val="24"/>
                <w:szCs w:val="24"/>
              </w:rPr>
              <w:t>过去五年</w:t>
            </w:r>
          </w:p>
        </w:tc>
        <w:tc>
          <w:tcPr>
            <w:tcW w:w="1092" w:type="dxa"/>
            <w:vAlign w:val="center"/>
          </w:tcPr>
          <w:p w:rsidR="00AA0FEE" w:rsidRDefault="00281D83">
            <w:pPr>
              <w:jc w:val="center"/>
            </w:pPr>
            <w:r>
              <w:rPr>
                <w:color w:val="000000"/>
                <w:kern w:val="0"/>
                <w:sz w:val="24"/>
                <w:szCs w:val="24"/>
              </w:rPr>
              <w:t>-</w:t>
            </w:r>
          </w:p>
        </w:tc>
        <w:tc>
          <w:tcPr>
            <w:tcW w:w="1161" w:type="dxa"/>
            <w:vAlign w:val="center"/>
          </w:tcPr>
          <w:p w:rsidR="00AA0FEE" w:rsidRDefault="00281D83">
            <w:pPr>
              <w:jc w:val="center"/>
            </w:pPr>
            <w:r>
              <w:rPr>
                <w:color w:val="000000"/>
                <w:kern w:val="0"/>
                <w:sz w:val="24"/>
                <w:szCs w:val="24"/>
              </w:rPr>
              <w:t>-</w:t>
            </w:r>
          </w:p>
        </w:tc>
        <w:tc>
          <w:tcPr>
            <w:tcW w:w="1181" w:type="dxa"/>
            <w:vAlign w:val="center"/>
          </w:tcPr>
          <w:p w:rsidR="00AA0FEE" w:rsidRDefault="00281D83">
            <w:pPr>
              <w:jc w:val="center"/>
            </w:pPr>
            <w:r>
              <w:rPr>
                <w:color w:val="000000"/>
                <w:kern w:val="0"/>
                <w:sz w:val="24"/>
                <w:szCs w:val="24"/>
              </w:rPr>
              <w:t>-</w:t>
            </w:r>
          </w:p>
        </w:tc>
        <w:tc>
          <w:tcPr>
            <w:tcW w:w="1188" w:type="dxa"/>
            <w:vAlign w:val="center"/>
          </w:tcPr>
          <w:p w:rsidR="00AA0FEE" w:rsidRDefault="00281D83">
            <w:pPr>
              <w:jc w:val="center"/>
            </w:pPr>
            <w:r>
              <w:rPr>
                <w:color w:val="000000"/>
                <w:kern w:val="0"/>
                <w:sz w:val="24"/>
                <w:szCs w:val="24"/>
              </w:rPr>
              <w:t>-</w:t>
            </w:r>
          </w:p>
        </w:tc>
        <w:tc>
          <w:tcPr>
            <w:tcW w:w="1199" w:type="dxa"/>
            <w:vAlign w:val="center"/>
          </w:tcPr>
          <w:p w:rsidR="00AA0FEE" w:rsidRDefault="00281D83">
            <w:pPr>
              <w:jc w:val="center"/>
            </w:pPr>
            <w:r>
              <w:rPr>
                <w:color w:val="000000"/>
                <w:kern w:val="0"/>
                <w:sz w:val="24"/>
                <w:szCs w:val="24"/>
              </w:rPr>
              <w:t>-</w:t>
            </w:r>
          </w:p>
        </w:tc>
        <w:tc>
          <w:tcPr>
            <w:tcW w:w="1204" w:type="dxa"/>
            <w:vAlign w:val="center"/>
          </w:tcPr>
          <w:p w:rsidR="00AA0FEE" w:rsidRDefault="00281D83">
            <w:pPr>
              <w:jc w:val="center"/>
            </w:pPr>
            <w:r>
              <w:rPr>
                <w:color w:val="000000"/>
                <w:kern w:val="0"/>
                <w:sz w:val="24"/>
                <w:szCs w:val="24"/>
              </w:rPr>
              <w:t>-</w:t>
            </w:r>
          </w:p>
        </w:tc>
      </w:tr>
      <w:tr w:rsidR="00AA0FEE">
        <w:tc>
          <w:tcPr>
            <w:tcW w:w="1395" w:type="dxa"/>
            <w:vAlign w:val="center"/>
          </w:tcPr>
          <w:p w:rsidR="00AA0FEE" w:rsidRDefault="00281D83">
            <w:pPr>
              <w:jc w:val="left"/>
            </w:pPr>
            <w:r>
              <w:rPr>
                <w:color w:val="000000"/>
                <w:kern w:val="0"/>
                <w:sz w:val="24"/>
                <w:szCs w:val="24"/>
              </w:rPr>
              <w:t>自基金合同生效起至今</w:t>
            </w:r>
          </w:p>
        </w:tc>
        <w:tc>
          <w:tcPr>
            <w:tcW w:w="1092" w:type="dxa"/>
            <w:vAlign w:val="center"/>
          </w:tcPr>
          <w:p w:rsidR="00AA0FEE" w:rsidRDefault="00281D83">
            <w:pPr>
              <w:jc w:val="center"/>
            </w:pPr>
            <w:r>
              <w:rPr>
                <w:color w:val="000000"/>
                <w:kern w:val="0"/>
                <w:sz w:val="24"/>
                <w:szCs w:val="24"/>
              </w:rPr>
              <w:t>8.59%</w:t>
            </w:r>
          </w:p>
        </w:tc>
        <w:tc>
          <w:tcPr>
            <w:tcW w:w="1161" w:type="dxa"/>
            <w:vAlign w:val="center"/>
          </w:tcPr>
          <w:p w:rsidR="00AA0FEE" w:rsidRDefault="00281D83">
            <w:pPr>
              <w:jc w:val="center"/>
            </w:pPr>
            <w:r>
              <w:rPr>
                <w:color w:val="000000"/>
                <w:kern w:val="0"/>
                <w:sz w:val="24"/>
                <w:szCs w:val="24"/>
              </w:rPr>
              <w:t>0.21%</w:t>
            </w:r>
          </w:p>
        </w:tc>
        <w:tc>
          <w:tcPr>
            <w:tcW w:w="1181" w:type="dxa"/>
            <w:vAlign w:val="center"/>
          </w:tcPr>
          <w:p w:rsidR="00AA0FEE" w:rsidRDefault="00281D83">
            <w:pPr>
              <w:jc w:val="center"/>
            </w:pPr>
            <w:r>
              <w:rPr>
                <w:color w:val="000000"/>
                <w:kern w:val="0"/>
                <w:sz w:val="24"/>
                <w:szCs w:val="24"/>
              </w:rPr>
              <w:t>16.24%</w:t>
            </w:r>
          </w:p>
        </w:tc>
        <w:tc>
          <w:tcPr>
            <w:tcW w:w="1188" w:type="dxa"/>
            <w:vAlign w:val="center"/>
          </w:tcPr>
          <w:p w:rsidR="00AA0FEE" w:rsidRDefault="00281D83">
            <w:pPr>
              <w:jc w:val="center"/>
            </w:pPr>
            <w:r>
              <w:rPr>
                <w:color w:val="000000"/>
                <w:kern w:val="0"/>
                <w:sz w:val="24"/>
                <w:szCs w:val="24"/>
              </w:rPr>
              <w:t>0.81%</w:t>
            </w:r>
          </w:p>
        </w:tc>
        <w:tc>
          <w:tcPr>
            <w:tcW w:w="1199" w:type="dxa"/>
            <w:vAlign w:val="center"/>
          </w:tcPr>
          <w:p w:rsidR="00AA0FEE" w:rsidRDefault="00281D83">
            <w:pPr>
              <w:jc w:val="center"/>
            </w:pPr>
            <w:r>
              <w:rPr>
                <w:color w:val="000000"/>
                <w:kern w:val="0"/>
                <w:sz w:val="24"/>
                <w:szCs w:val="24"/>
              </w:rPr>
              <w:t>-7.65%</w:t>
            </w:r>
          </w:p>
        </w:tc>
        <w:tc>
          <w:tcPr>
            <w:tcW w:w="1204" w:type="dxa"/>
            <w:vAlign w:val="center"/>
          </w:tcPr>
          <w:p w:rsidR="00AA0FEE" w:rsidRDefault="00281D83">
            <w:pPr>
              <w:jc w:val="center"/>
            </w:pPr>
            <w:r>
              <w:rPr>
                <w:color w:val="000000"/>
                <w:kern w:val="0"/>
                <w:sz w:val="24"/>
                <w:szCs w:val="24"/>
              </w:rPr>
              <w:t>-0.60%</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w:t>
      </w:r>
      <w:r w:rsidRPr="0074694E">
        <w:rPr>
          <w:color w:val="000000"/>
          <w:sz w:val="24"/>
          <w:szCs w:val="24"/>
        </w:rPr>
        <w:t>3</w:t>
      </w:r>
      <w:r w:rsidRPr="0074694E">
        <w:rPr>
          <w:color w:val="000000"/>
          <w:sz w:val="24"/>
          <w:szCs w:val="24"/>
        </w:rPr>
        <w:t>年封闭运作战略配售灵活配置混合型证券投资基金（</w:t>
      </w:r>
      <w:r w:rsidRPr="0074694E">
        <w:rPr>
          <w:color w:val="000000"/>
          <w:sz w:val="24"/>
          <w:szCs w:val="24"/>
        </w:rPr>
        <w:t>LOF</w:t>
      </w:r>
      <w:r w:rsidRPr="0074694E">
        <w:rPr>
          <w:color w:val="000000"/>
          <w:sz w:val="24"/>
          <w:szCs w:val="24"/>
        </w:rPr>
        <w:t>）</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2018</w:t>
      </w:r>
      <w:r w:rsidRPr="0074694E">
        <w:rPr>
          <w:rFonts w:ascii="Times New Roman" w:hAnsi="Times New Roman"/>
          <w:sz w:val="24"/>
          <w:szCs w:val="24"/>
        </w:rPr>
        <w:t>年</w:t>
      </w:r>
      <w:r w:rsidRPr="0074694E">
        <w:rPr>
          <w:rFonts w:ascii="Times New Roman" w:hAnsi="Times New Roman"/>
          <w:sz w:val="24"/>
          <w:szCs w:val="24"/>
        </w:rPr>
        <w:t>7</w:t>
      </w:r>
      <w:r w:rsidRPr="0074694E">
        <w:rPr>
          <w:rFonts w:ascii="Times New Roman" w:hAnsi="Times New Roman"/>
          <w:sz w:val="24"/>
          <w:szCs w:val="24"/>
        </w:rPr>
        <w:t>月</w:t>
      </w:r>
      <w:r w:rsidRPr="0074694E">
        <w:rPr>
          <w:rFonts w:ascii="Times New Roman" w:hAnsi="Times New Roman"/>
          <w:sz w:val="24"/>
          <w:szCs w:val="24"/>
        </w:rPr>
        <w:t>5</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D108AF" w:rsidP="004061AC">
      <w:pPr>
        <w:pStyle w:val="a5"/>
        <w:snapToGrid w:val="0"/>
        <w:spacing w:before="120" w:line="360" w:lineRule="auto"/>
        <w:jc w:val="center"/>
        <w:rPr>
          <w:rFonts w:hAnsi="宋体"/>
          <w:color w:val="000000"/>
          <w:sz w:val="24"/>
          <w:szCs w:val="24"/>
        </w:rPr>
      </w:pPr>
      <w:r>
        <w:rPr>
          <w:rFonts w:hAnsi="宋体"/>
          <w:noProof/>
          <w:color w:val="000000"/>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8.59%</w:t>
      </w:r>
      <w:r w:rsidRPr="006C56AA">
        <w:rPr>
          <w:color w:val="000000"/>
          <w:sz w:val="24"/>
          <w:szCs w:val="24"/>
        </w:rPr>
        <w:t>，同期业绩比较基准收益率为</w:t>
      </w:r>
      <w:r w:rsidRPr="006C56AA">
        <w:rPr>
          <w:color w:val="000000"/>
          <w:sz w:val="24"/>
          <w:szCs w:val="24"/>
        </w:rPr>
        <w:t>16.24%</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AA0FEE">
        <w:tc>
          <w:tcPr>
            <w:tcW w:w="567" w:type="dxa"/>
            <w:vAlign w:val="center"/>
          </w:tcPr>
          <w:p w:rsidR="00AA0FEE" w:rsidRDefault="00281D83">
            <w:pPr>
              <w:jc w:val="center"/>
            </w:pPr>
            <w:r>
              <w:rPr>
                <w:color w:val="000000"/>
                <w:sz w:val="24"/>
              </w:rPr>
              <w:t>付浩</w:t>
            </w:r>
          </w:p>
        </w:tc>
        <w:tc>
          <w:tcPr>
            <w:tcW w:w="2835" w:type="dxa"/>
            <w:vAlign w:val="center"/>
          </w:tcPr>
          <w:p w:rsidR="00AA0FEE" w:rsidRDefault="00281D83">
            <w:pPr>
              <w:jc w:val="left"/>
            </w:pPr>
            <w:r>
              <w:rPr>
                <w:color w:val="000000"/>
                <w:sz w:val="24"/>
              </w:rPr>
              <w:t>本基金的基金经理、权益投资管理部总经理、投资经理</w:t>
            </w:r>
          </w:p>
        </w:tc>
        <w:tc>
          <w:tcPr>
            <w:tcW w:w="851" w:type="dxa"/>
            <w:vAlign w:val="center"/>
          </w:tcPr>
          <w:p w:rsidR="00AA0FEE" w:rsidRDefault="00281D83">
            <w:pPr>
              <w:jc w:val="center"/>
            </w:pPr>
            <w:r>
              <w:rPr>
                <w:color w:val="000000"/>
                <w:sz w:val="24"/>
              </w:rPr>
              <w:t>2018-07-05</w:t>
            </w:r>
          </w:p>
        </w:tc>
        <w:tc>
          <w:tcPr>
            <w:tcW w:w="850" w:type="dxa"/>
            <w:vAlign w:val="center"/>
          </w:tcPr>
          <w:p w:rsidR="00AA0FEE" w:rsidRDefault="00281D83">
            <w:pPr>
              <w:jc w:val="center"/>
            </w:pPr>
            <w:r>
              <w:rPr>
                <w:color w:val="000000"/>
                <w:sz w:val="24"/>
              </w:rPr>
              <w:t>-</w:t>
            </w:r>
          </w:p>
        </w:tc>
        <w:tc>
          <w:tcPr>
            <w:tcW w:w="851" w:type="dxa"/>
            <w:vAlign w:val="center"/>
          </w:tcPr>
          <w:p w:rsidR="00AA0FEE" w:rsidRDefault="00281D83">
            <w:pPr>
              <w:jc w:val="center"/>
            </w:pPr>
            <w:r>
              <w:rPr>
                <w:color w:val="000000"/>
                <w:sz w:val="24"/>
              </w:rPr>
              <w:t>23</w:t>
            </w:r>
            <w:r>
              <w:rPr>
                <w:color w:val="000000"/>
                <w:sz w:val="24"/>
              </w:rPr>
              <w:t>年</w:t>
            </w:r>
          </w:p>
        </w:tc>
        <w:tc>
          <w:tcPr>
            <w:tcW w:w="2977" w:type="dxa"/>
            <w:vAlign w:val="center"/>
          </w:tcPr>
          <w:p w:rsidR="00AA0FEE" w:rsidRDefault="00281D83">
            <w:r>
              <w:rPr>
                <w:color w:val="000000"/>
                <w:sz w:val="24"/>
              </w:rPr>
              <w:t>硕士研究生，具有基金从业资格。曾任广东粤财信托投资有限公司国际金融部职员，深圳和君创业研究咨询有限公司管理咨询项目经理，湖南证券投资银行总部项目经理，融通基金管理有限公司研究策划部研究员，易方达基金管理有限公司权益投资总部副总经理、养老金与专户权益投资部副总经理、公募基金投资部总经理、基金经理助理、易方达策略成长证券投资基金</w:t>
            </w:r>
            <w:r>
              <w:rPr>
                <w:color w:val="000000"/>
                <w:sz w:val="24"/>
              </w:rPr>
              <w:lastRenderedPageBreak/>
              <w:t>基金经理、科瑞证券投资基金基金经理、易方达科翔股票型证券投资基金基金经理、易方达科汇灵活配置混合型证券投资基金基金经理。</w:t>
            </w:r>
          </w:p>
        </w:tc>
      </w:tr>
      <w:tr w:rsidR="00AA0FEE">
        <w:tc>
          <w:tcPr>
            <w:tcW w:w="567" w:type="dxa"/>
            <w:vAlign w:val="center"/>
          </w:tcPr>
          <w:p w:rsidR="00AA0FEE" w:rsidRDefault="00281D83">
            <w:pPr>
              <w:jc w:val="center"/>
            </w:pPr>
            <w:r>
              <w:rPr>
                <w:color w:val="000000"/>
                <w:sz w:val="24"/>
              </w:rPr>
              <w:lastRenderedPageBreak/>
              <w:t>纪玲云</w:t>
            </w:r>
          </w:p>
        </w:tc>
        <w:tc>
          <w:tcPr>
            <w:tcW w:w="2835" w:type="dxa"/>
            <w:vAlign w:val="center"/>
          </w:tcPr>
          <w:p w:rsidR="00AA0FEE" w:rsidRDefault="00281D83">
            <w:pPr>
              <w:jc w:val="left"/>
            </w:pPr>
            <w:r>
              <w:rPr>
                <w:color w:val="000000"/>
                <w:sz w:val="24"/>
              </w:rPr>
              <w:t>本基金的基金经理、易方达信用债债券型证券投资基金的基金经理、易方达瑞财灵活配置混合型证券投资基金的基金经理、易方达恒利</w:t>
            </w:r>
            <w:r>
              <w:rPr>
                <w:color w:val="000000"/>
                <w:sz w:val="24"/>
              </w:rPr>
              <w:t>3</w:t>
            </w:r>
            <w:r>
              <w:rPr>
                <w:color w:val="000000"/>
                <w:sz w:val="24"/>
              </w:rPr>
              <w:t>个月定期开放债券型发起式证券投资基金的基金经理、易方达恒盛</w:t>
            </w:r>
            <w:r>
              <w:rPr>
                <w:color w:val="000000"/>
                <w:sz w:val="24"/>
              </w:rPr>
              <w:t>3</w:t>
            </w:r>
            <w:r>
              <w:rPr>
                <w:color w:val="000000"/>
                <w:sz w:val="24"/>
              </w:rPr>
              <w:t>个月定期开放混合型发起式证券投资基金的基金经理、易方达恒裕一年定期开放债券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AA0FEE" w:rsidRDefault="00281D83">
            <w:pPr>
              <w:jc w:val="center"/>
            </w:pPr>
            <w:r>
              <w:rPr>
                <w:color w:val="000000"/>
                <w:sz w:val="24"/>
              </w:rPr>
              <w:t>2018-07-05</w:t>
            </w:r>
          </w:p>
        </w:tc>
        <w:tc>
          <w:tcPr>
            <w:tcW w:w="850" w:type="dxa"/>
            <w:vAlign w:val="center"/>
          </w:tcPr>
          <w:p w:rsidR="00AA0FEE" w:rsidRDefault="00281D83">
            <w:pPr>
              <w:jc w:val="center"/>
            </w:pPr>
            <w:r>
              <w:rPr>
                <w:color w:val="000000"/>
                <w:sz w:val="24"/>
              </w:rPr>
              <w:t>-</w:t>
            </w:r>
          </w:p>
        </w:tc>
        <w:tc>
          <w:tcPr>
            <w:tcW w:w="851" w:type="dxa"/>
            <w:vAlign w:val="center"/>
          </w:tcPr>
          <w:p w:rsidR="00AA0FEE" w:rsidRDefault="00281D83">
            <w:pPr>
              <w:jc w:val="center"/>
            </w:pPr>
            <w:r>
              <w:rPr>
                <w:color w:val="000000"/>
                <w:sz w:val="24"/>
              </w:rPr>
              <w:t>11</w:t>
            </w:r>
            <w:r>
              <w:rPr>
                <w:color w:val="000000"/>
                <w:sz w:val="24"/>
              </w:rPr>
              <w:t>年</w:t>
            </w:r>
          </w:p>
        </w:tc>
        <w:tc>
          <w:tcPr>
            <w:tcW w:w="2977" w:type="dxa"/>
            <w:vAlign w:val="center"/>
          </w:tcPr>
          <w:p w:rsidR="00AA0FEE" w:rsidRDefault="00281D83">
            <w:r>
              <w:rPr>
                <w:color w:val="000000"/>
                <w:sz w:val="24"/>
              </w:rPr>
              <w:t>硕士研究生，具有基金从业资格。曾任易方达基金管理有限公司固定收益研究员、投资经理助理。</w:t>
            </w:r>
          </w:p>
        </w:tc>
      </w:tr>
      <w:tr w:rsidR="00AA0FEE">
        <w:tc>
          <w:tcPr>
            <w:tcW w:w="567" w:type="dxa"/>
            <w:vAlign w:val="center"/>
          </w:tcPr>
          <w:p w:rsidR="00AA0FEE" w:rsidRDefault="00281D83">
            <w:pPr>
              <w:jc w:val="center"/>
            </w:pPr>
            <w:r>
              <w:rPr>
                <w:color w:val="000000"/>
                <w:sz w:val="24"/>
              </w:rPr>
              <w:t>胡剑</w:t>
            </w:r>
          </w:p>
        </w:tc>
        <w:tc>
          <w:tcPr>
            <w:tcW w:w="2835" w:type="dxa"/>
            <w:vAlign w:val="center"/>
          </w:tcPr>
          <w:p w:rsidR="00AA0FEE" w:rsidRDefault="00281D83">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 w:val="24"/>
              </w:rPr>
              <w:t>2017</w:t>
            </w:r>
            <w:r>
              <w:rPr>
                <w:color w:val="000000"/>
                <w:sz w:val="24"/>
              </w:rPr>
              <w:t>年</w:t>
            </w:r>
            <w:r>
              <w:rPr>
                <w:color w:val="000000"/>
                <w:sz w:val="24"/>
              </w:rPr>
              <w:t>03</w:t>
            </w:r>
            <w:r>
              <w:rPr>
                <w:color w:val="000000"/>
                <w:sz w:val="24"/>
              </w:rPr>
              <w:t>月</w:t>
            </w:r>
            <w:r>
              <w:rPr>
                <w:color w:val="000000"/>
                <w:sz w:val="24"/>
              </w:rPr>
              <w:t>24</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08</w:t>
            </w:r>
            <w:r>
              <w:rPr>
                <w:color w:val="000000"/>
                <w:sz w:val="24"/>
              </w:rPr>
              <w:t>日）、易方达瑞富灵活配置混合型证券投资基金的基金经理、易方达岁丰添利债券型证券投资基金的基金经理、易</w:t>
            </w:r>
            <w:r>
              <w:rPr>
                <w:color w:val="000000"/>
                <w:sz w:val="24"/>
              </w:rPr>
              <w:lastRenderedPageBreak/>
              <w:t>方达恒利</w:t>
            </w:r>
            <w:r>
              <w:rPr>
                <w:color w:val="000000"/>
                <w:sz w:val="24"/>
              </w:rPr>
              <w:t>3</w:t>
            </w:r>
            <w:r>
              <w:rPr>
                <w:color w:val="000000"/>
                <w:sz w:val="24"/>
              </w:rPr>
              <w:t>个月定期开放债券型发起式证券投资基金的基金经理、易方达恒益定期开放债券型发起式证券投资基金的基金经理、易方达恒盛</w:t>
            </w:r>
            <w:r>
              <w:rPr>
                <w:color w:val="000000"/>
                <w:sz w:val="24"/>
              </w:rPr>
              <w:t>3</w:t>
            </w:r>
            <w:r>
              <w:rPr>
                <w:color w:val="000000"/>
                <w:sz w:val="24"/>
              </w:rPr>
              <w:t>个月定期开放混合型发起式证券投资基金的基金经理、易方达富惠纯债债券型证券投资基金的基金经理、易方达中债</w:t>
            </w:r>
            <w:r>
              <w:rPr>
                <w:color w:val="000000"/>
                <w:sz w:val="24"/>
              </w:rPr>
              <w:t>7-10</w:t>
            </w:r>
            <w:r>
              <w:rPr>
                <w:color w:val="000000"/>
                <w:sz w:val="24"/>
              </w:rPr>
              <w:t>年期国开行债券指数证券投资基金的基金经理、易方达中债</w:t>
            </w:r>
            <w:r>
              <w:rPr>
                <w:color w:val="000000"/>
                <w:sz w:val="24"/>
              </w:rPr>
              <w:t>3-5</w:t>
            </w:r>
            <w:r>
              <w:rPr>
                <w:color w:val="000000"/>
                <w:sz w:val="24"/>
              </w:rPr>
              <w:t>年期国债指数证券投资基金的基金经理、固定收益研究部总经理、固定收益投资部总经理</w:t>
            </w:r>
          </w:p>
        </w:tc>
        <w:tc>
          <w:tcPr>
            <w:tcW w:w="851" w:type="dxa"/>
            <w:vAlign w:val="center"/>
          </w:tcPr>
          <w:p w:rsidR="00AA0FEE" w:rsidRDefault="00281D83">
            <w:pPr>
              <w:jc w:val="center"/>
            </w:pPr>
            <w:r>
              <w:rPr>
                <w:color w:val="000000"/>
                <w:sz w:val="24"/>
              </w:rPr>
              <w:lastRenderedPageBreak/>
              <w:t>2018-07-05</w:t>
            </w:r>
          </w:p>
        </w:tc>
        <w:tc>
          <w:tcPr>
            <w:tcW w:w="850" w:type="dxa"/>
            <w:vAlign w:val="center"/>
          </w:tcPr>
          <w:p w:rsidR="00AA0FEE" w:rsidRDefault="00281D83">
            <w:pPr>
              <w:jc w:val="center"/>
            </w:pPr>
            <w:r>
              <w:rPr>
                <w:color w:val="000000"/>
                <w:sz w:val="24"/>
              </w:rPr>
              <w:t>-</w:t>
            </w:r>
          </w:p>
        </w:tc>
        <w:tc>
          <w:tcPr>
            <w:tcW w:w="851" w:type="dxa"/>
            <w:vAlign w:val="center"/>
          </w:tcPr>
          <w:p w:rsidR="00AA0FEE" w:rsidRDefault="00281D83">
            <w:pPr>
              <w:jc w:val="center"/>
            </w:pPr>
            <w:r>
              <w:rPr>
                <w:color w:val="000000"/>
                <w:sz w:val="24"/>
              </w:rPr>
              <w:t>14</w:t>
            </w:r>
            <w:r>
              <w:rPr>
                <w:color w:val="000000"/>
                <w:sz w:val="24"/>
              </w:rPr>
              <w:t>年</w:t>
            </w:r>
          </w:p>
        </w:tc>
        <w:tc>
          <w:tcPr>
            <w:tcW w:w="2977" w:type="dxa"/>
            <w:vAlign w:val="center"/>
          </w:tcPr>
          <w:p w:rsidR="00AA0FEE" w:rsidRDefault="00281D83">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w:t>
            </w:r>
            <w:r>
              <w:rPr>
                <w:color w:val="000000"/>
                <w:sz w:val="24"/>
              </w:rPr>
              <w:t>LOF</w:t>
            </w:r>
            <w:r>
              <w:rPr>
                <w:color w:val="000000"/>
                <w:sz w:val="24"/>
              </w:rPr>
              <w:t>）基金经理、易方达纯债债券型证券投资基金基金经理、易方达永旭添利定期开放债券型证券投资基金基金经理、易方达纯债</w:t>
            </w:r>
            <w:r>
              <w:rPr>
                <w:color w:val="000000"/>
                <w:sz w:val="24"/>
              </w:rPr>
              <w:t>1</w:t>
            </w:r>
            <w:r>
              <w:rPr>
                <w:color w:val="000000"/>
                <w:sz w:val="24"/>
              </w:rPr>
              <w:t>年定期开放债券型证券投资基金基金经理、易方达裕景添利</w:t>
            </w:r>
            <w:r>
              <w:rPr>
                <w:color w:val="000000"/>
                <w:sz w:val="24"/>
              </w:rPr>
              <w:t>6</w:t>
            </w:r>
            <w:r>
              <w:rPr>
                <w:color w:val="000000"/>
                <w:sz w:val="24"/>
              </w:rPr>
              <w:t>个月定期开放债券型证</w:t>
            </w:r>
            <w:r>
              <w:rPr>
                <w:color w:val="000000"/>
                <w:sz w:val="24"/>
              </w:rPr>
              <w:lastRenderedPageBreak/>
              <w:t>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rsidR="00750D48" w:rsidRPr="00D108AF" w:rsidRDefault="00D108AF" w:rsidP="000B309E">
      <w:pPr>
        <w:spacing w:line="360" w:lineRule="auto"/>
        <w:rPr>
          <w:color w:val="000000"/>
          <w:sz w:val="24"/>
          <w:szCs w:val="24"/>
        </w:rPr>
      </w:pPr>
      <w:r w:rsidRPr="00D108AF">
        <w:rPr>
          <w:noProof/>
          <w:color w:val="000000"/>
          <w:sz w:val="24"/>
          <w:szCs w:val="24"/>
        </w:rPr>
        <w:lastRenderedPageBreak/>
        <w:drawing>
          <wp:inline distT="0" distB="0" distL="0" distR="0">
            <wp:extent cx="5278120" cy="4361405"/>
            <wp:effectExtent l="0" t="0" r="0" b="0"/>
            <wp:docPr id="2" name="图片 2" descr="d:\Users\wenxueqian\Desktop\20200716-截图更新\付浩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付浩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4361405"/>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w:t>
      </w:r>
      <w:r w:rsidRPr="006C56AA">
        <w:rPr>
          <w:color w:val="000000"/>
          <w:sz w:val="24"/>
          <w:szCs w:val="24"/>
        </w:rPr>
        <w:lastRenderedPageBreak/>
        <w:t>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AA0FEE" w:rsidRDefault="00281D83">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AA0FEE" w:rsidRDefault="00281D83">
      <w:pPr>
        <w:spacing w:line="360" w:lineRule="auto"/>
        <w:ind w:firstLineChars="200" w:firstLine="480"/>
        <w:rPr>
          <w:color w:val="000000"/>
          <w:sz w:val="24"/>
          <w:szCs w:val="24"/>
        </w:rPr>
      </w:pPr>
      <w:r>
        <w:rPr>
          <w:color w:val="000000"/>
          <w:sz w:val="24"/>
          <w:szCs w:val="24"/>
        </w:rPr>
        <w:t>2020</w:t>
      </w:r>
      <w:r>
        <w:rPr>
          <w:color w:val="000000"/>
          <w:sz w:val="24"/>
          <w:szCs w:val="24"/>
        </w:rPr>
        <w:t>年二季度经济基本面进入疫情后的回升阶段。</w:t>
      </w:r>
      <w:r>
        <w:rPr>
          <w:color w:val="000000"/>
          <w:sz w:val="24"/>
          <w:szCs w:val="24"/>
        </w:rPr>
        <w:t>4</w:t>
      </w:r>
      <w:r>
        <w:rPr>
          <w:color w:val="000000"/>
          <w:sz w:val="24"/>
          <w:szCs w:val="24"/>
        </w:rPr>
        <w:t>月份经济增长出现较为快速的回升，结构上表现为工业增速好于投资增速、投资增速好于需求增速的特点。进入</w:t>
      </w:r>
      <w:r>
        <w:rPr>
          <w:color w:val="000000"/>
          <w:sz w:val="24"/>
          <w:szCs w:val="24"/>
        </w:rPr>
        <w:t>5</w:t>
      </w:r>
      <w:r>
        <w:rPr>
          <w:color w:val="000000"/>
          <w:sz w:val="24"/>
          <w:szCs w:val="24"/>
        </w:rPr>
        <w:t>月份之后经济回升速度有所放缓，但是下游需求恢复有所加强。从细分情况来看，基建投资和房地产投资恢复较快，房地产和汽车等非必须消费品销售恢复较快；制造业投资恢复较慢，截至</w:t>
      </w:r>
      <w:r>
        <w:rPr>
          <w:color w:val="000000"/>
          <w:sz w:val="24"/>
          <w:szCs w:val="24"/>
        </w:rPr>
        <w:t>5</w:t>
      </w:r>
      <w:r>
        <w:rPr>
          <w:color w:val="000000"/>
          <w:sz w:val="24"/>
          <w:szCs w:val="24"/>
        </w:rPr>
        <w:t>月份较疫情前仍有</w:t>
      </w:r>
      <w:r>
        <w:rPr>
          <w:color w:val="000000"/>
          <w:sz w:val="24"/>
          <w:szCs w:val="24"/>
        </w:rPr>
        <w:t>15%</w:t>
      </w:r>
      <w:r>
        <w:rPr>
          <w:color w:val="000000"/>
          <w:sz w:val="24"/>
          <w:szCs w:val="24"/>
        </w:rPr>
        <w:t>左右的降幅，零售中的餐饮恢复也相对较慢，截至</w:t>
      </w:r>
      <w:r>
        <w:rPr>
          <w:color w:val="000000"/>
          <w:sz w:val="24"/>
          <w:szCs w:val="24"/>
        </w:rPr>
        <w:t>5</w:t>
      </w:r>
      <w:r>
        <w:rPr>
          <w:color w:val="000000"/>
          <w:sz w:val="24"/>
          <w:szCs w:val="24"/>
        </w:rPr>
        <w:t>月份较疫情前仍有</w:t>
      </w:r>
      <w:r>
        <w:rPr>
          <w:color w:val="000000"/>
          <w:sz w:val="24"/>
          <w:szCs w:val="24"/>
        </w:rPr>
        <w:t>23%</w:t>
      </w:r>
      <w:r>
        <w:rPr>
          <w:color w:val="000000"/>
          <w:sz w:val="24"/>
          <w:szCs w:val="24"/>
        </w:rPr>
        <w:t>的降幅。</w:t>
      </w:r>
    </w:p>
    <w:p w:rsidR="00AA0FEE" w:rsidRDefault="00281D83">
      <w:pPr>
        <w:spacing w:line="360" w:lineRule="auto"/>
        <w:ind w:firstLineChars="200" w:firstLine="480"/>
        <w:rPr>
          <w:color w:val="000000"/>
          <w:sz w:val="24"/>
          <w:szCs w:val="24"/>
        </w:rPr>
      </w:pPr>
      <w:r>
        <w:rPr>
          <w:color w:val="000000"/>
          <w:sz w:val="24"/>
          <w:szCs w:val="24"/>
        </w:rPr>
        <w:t>政策对冲在二季度有所加码，财政方面通过增加发行特别国债、增加专项债额度和提高赤字率的方式在短期内快速提升基建投资力度。货币政策则通过增加银行信贷额度、增加专项再贷款额度等方式侧重进行结构性宽松，并探索开发直达实体经济的货币宽松工具。总量货币政策在</w:t>
      </w:r>
      <w:r>
        <w:rPr>
          <w:color w:val="000000"/>
          <w:sz w:val="24"/>
          <w:szCs w:val="24"/>
        </w:rPr>
        <w:t>3</w:t>
      </w:r>
      <w:r>
        <w:rPr>
          <w:color w:val="000000"/>
          <w:sz w:val="24"/>
          <w:szCs w:val="24"/>
        </w:rPr>
        <w:t>、</w:t>
      </w:r>
      <w:r>
        <w:rPr>
          <w:color w:val="000000"/>
          <w:sz w:val="24"/>
          <w:szCs w:val="24"/>
        </w:rPr>
        <w:t>4</w:t>
      </w:r>
      <w:r>
        <w:rPr>
          <w:color w:val="000000"/>
          <w:sz w:val="24"/>
          <w:szCs w:val="24"/>
        </w:rPr>
        <w:t>月份宽松后，随即在</w:t>
      </w:r>
      <w:r>
        <w:rPr>
          <w:color w:val="000000"/>
          <w:sz w:val="24"/>
          <w:szCs w:val="24"/>
        </w:rPr>
        <w:t>5</w:t>
      </w:r>
      <w:r>
        <w:rPr>
          <w:color w:val="000000"/>
          <w:sz w:val="24"/>
          <w:szCs w:val="24"/>
        </w:rPr>
        <w:t>月份</w:t>
      </w:r>
      <w:r>
        <w:rPr>
          <w:color w:val="000000"/>
          <w:sz w:val="24"/>
          <w:szCs w:val="24"/>
        </w:rPr>
        <w:lastRenderedPageBreak/>
        <w:t>快速边际收紧，银行间融资成本从最低的</w:t>
      </w:r>
      <w:r>
        <w:rPr>
          <w:color w:val="000000"/>
          <w:sz w:val="24"/>
          <w:szCs w:val="24"/>
        </w:rPr>
        <w:t>1%</w:t>
      </w:r>
      <w:r>
        <w:rPr>
          <w:color w:val="000000"/>
          <w:sz w:val="24"/>
          <w:szCs w:val="24"/>
        </w:rPr>
        <w:t>以下的水平回升至</w:t>
      </w:r>
      <w:r>
        <w:rPr>
          <w:color w:val="000000"/>
          <w:sz w:val="24"/>
          <w:szCs w:val="24"/>
        </w:rPr>
        <w:t>2.2%</w:t>
      </w:r>
      <w:r>
        <w:rPr>
          <w:color w:val="000000"/>
          <w:sz w:val="24"/>
          <w:szCs w:val="24"/>
        </w:rPr>
        <w:t>附近。</w:t>
      </w:r>
    </w:p>
    <w:p w:rsidR="00AA0FEE" w:rsidRDefault="00281D83">
      <w:pPr>
        <w:spacing w:line="360" w:lineRule="auto"/>
        <w:ind w:firstLineChars="200" w:firstLine="480"/>
        <w:rPr>
          <w:color w:val="000000"/>
          <w:sz w:val="24"/>
          <w:szCs w:val="24"/>
        </w:rPr>
      </w:pPr>
      <w:r>
        <w:rPr>
          <w:color w:val="000000"/>
          <w:sz w:val="24"/>
          <w:szCs w:val="24"/>
        </w:rPr>
        <w:t>债券市场收益率中枢和期限利差水平受货币政策变化影响，出现较为明显的波动。收益率曲线先陡峭化下行，</w:t>
      </w:r>
      <w:r>
        <w:rPr>
          <w:color w:val="000000"/>
          <w:sz w:val="24"/>
          <w:szCs w:val="24"/>
        </w:rPr>
        <w:t>5</w:t>
      </w:r>
      <w:r>
        <w:rPr>
          <w:color w:val="000000"/>
          <w:sz w:val="24"/>
          <w:szCs w:val="24"/>
        </w:rPr>
        <w:t>月之后出现快速的熊平走势，至</w:t>
      </w:r>
      <w:r>
        <w:rPr>
          <w:color w:val="000000"/>
          <w:sz w:val="24"/>
          <w:szCs w:val="24"/>
        </w:rPr>
        <w:t>6</w:t>
      </w:r>
      <w:r>
        <w:rPr>
          <w:color w:val="000000"/>
          <w:sz w:val="24"/>
          <w:szCs w:val="24"/>
        </w:rPr>
        <w:t>月底收益率水平基本达到疫情之后第一个工作日的水平。单看二季度的情况，</w:t>
      </w:r>
      <w:r>
        <w:rPr>
          <w:color w:val="000000"/>
          <w:sz w:val="24"/>
          <w:szCs w:val="24"/>
        </w:rPr>
        <w:t>10</w:t>
      </w:r>
      <w:r>
        <w:rPr>
          <w:color w:val="000000"/>
          <w:sz w:val="24"/>
          <w:szCs w:val="24"/>
        </w:rPr>
        <w:t>年金融债收益率上行</w:t>
      </w:r>
      <w:r>
        <w:rPr>
          <w:color w:val="000000"/>
          <w:sz w:val="24"/>
          <w:szCs w:val="24"/>
        </w:rPr>
        <w:t>15BP</w:t>
      </w:r>
      <w:r>
        <w:rPr>
          <w:color w:val="000000"/>
          <w:sz w:val="24"/>
          <w:szCs w:val="24"/>
        </w:rPr>
        <w:t>，</w:t>
      </w:r>
      <w:r>
        <w:rPr>
          <w:color w:val="000000"/>
          <w:sz w:val="24"/>
          <w:szCs w:val="24"/>
        </w:rPr>
        <w:t>3-5</w:t>
      </w:r>
      <w:r>
        <w:rPr>
          <w:color w:val="000000"/>
          <w:sz w:val="24"/>
          <w:szCs w:val="24"/>
        </w:rPr>
        <w:t>年金融债收益率上行</w:t>
      </w:r>
      <w:r>
        <w:rPr>
          <w:color w:val="000000"/>
          <w:sz w:val="24"/>
          <w:szCs w:val="24"/>
        </w:rPr>
        <w:t>30-40BP</w:t>
      </w:r>
      <w:r>
        <w:rPr>
          <w:color w:val="000000"/>
          <w:sz w:val="24"/>
          <w:szCs w:val="24"/>
        </w:rPr>
        <w:t>。信用债券的利差同样出现先走扩后收缩的走势，高等级利差波动达到</w:t>
      </w:r>
      <w:r>
        <w:rPr>
          <w:color w:val="000000"/>
          <w:sz w:val="24"/>
          <w:szCs w:val="24"/>
        </w:rPr>
        <w:t>20-30BP</w:t>
      </w:r>
      <w:r>
        <w:rPr>
          <w:color w:val="000000"/>
          <w:sz w:val="24"/>
          <w:szCs w:val="24"/>
        </w:rPr>
        <w:t>。</w:t>
      </w:r>
      <w:r>
        <w:rPr>
          <w:color w:val="000000"/>
          <w:sz w:val="24"/>
          <w:szCs w:val="24"/>
        </w:rPr>
        <w:t>3</w:t>
      </w:r>
      <w:r>
        <w:rPr>
          <w:color w:val="000000"/>
          <w:sz w:val="24"/>
          <w:szCs w:val="24"/>
        </w:rPr>
        <w:t>、</w:t>
      </w:r>
      <w:r>
        <w:rPr>
          <w:color w:val="000000"/>
          <w:sz w:val="24"/>
          <w:szCs w:val="24"/>
        </w:rPr>
        <w:t>4</w:t>
      </w:r>
      <w:r>
        <w:rPr>
          <w:color w:val="000000"/>
          <w:sz w:val="24"/>
          <w:szCs w:val="24"/>
        </w:rPr>
        <w:t>月份基于货币政策宽松带来的期限利差和信用利差的拉升体现出市场更多地将疫情的影响视为短期负面冲击。</w:t>
      </w:r>
    </w:p>
    <w:p w:rsidR="00AA0FEE" w:rsidRDefault="00281D83">
      <w:pPr>
        <w:spacing w:line="360" w:lineRule="auto"/>
        <w:ind w:firstLineChars="200" w:firstLine="480"/>
        <w:rPr>
          <w:color w:val="000000"/>
          <w:sz w:val="24"/>
          <w:szCs w:val="24"/>
        </w:rPr>
      </w:pPr>
      <w:r>
        <w:rPr>
          <w:color w:val="000000"/>
          <w:sz w:val="24"/>
          <w:szCs w:val="24"/>
        </w:rPr>
        <w:t>权益市场二季度跟随经济复苏出现上涨行情，沪深</w:t>
      </w:r>
      <w:r>
        <w:rPr>
          <w:color w:val="000000"/>
          <w:sz w:val="24"/>
          <w:szCs w:val="24"/>
        </w:rPr>
        <w:t>300</w:t>
      </w:r>
      <w:r>
        <w:rPr>
          <w:color w:val="000000"/>
          <w:sz w:val="24"/>
          <w:szCs w:val="24"/>
        </w:rPr>
        <w:t>指数上涨</w:t>
      </w:r>
      <w:r>
        <w:rPr>
          <w:color w:val="000000"/>
          <w:sz w:val="24"/>
          <w:szCs w:val="24"/>
        </w:rPr>
        <w:t>12.96%</w:t>
      </w:r>
      <w:r>
        <w:rPr>
          <w:color w:val="000000"/>
          <w:sz w:val="24"/>
          <w:szCs w:val="24"/>
        </w:rPr>
        <w:t>，创业板指上涨</w:t>
      </w:r>
      <w:r>
        <w:rPr>
          <w:color w:val="000000"/>
          <w:sz w:val="24"/>
          <w:szCs w:val="24"/>
        </w:rPr>
        <w:t>30.25%</w:t>
      </w:r>
      <w:r>
        <w:rPr>
          <w:color w:val="000000"/>
          <w:sz w:val="24"/>
          <w:szCs w:val="24"/>
        </w:rPr>
        <w:t>。股票市场在二季度体现出明显的行业分化，表现相对较好的电子、医药、食品饮料等行业上涨在</w:t>
      </w:r>
      <w:r>
        <w:rPr>
          <w:color w:val="000000"/>
          <w:sz w:val="24"/>
          <w:szCs w:val="24"/>
        </w:rPr>
        <w:t>30%</w:t>
      </w:r>
      <w:r>
        <w:rPr>
          <w:color w:val="000000"/>
          <w:sz w:val="24"/>
          <w:szCs w:val="24"/>
        </w:rPr>
        <w:t>左右，而表现较差的建筑装饰、采掘、银行等行业分别下跌</w:t>
      </w:r>
      <w:r>
        <w:rPr>
          <w:color w:val="000000"/>
          <w:sz w:val="24"/>
          <w:szCs w:val="24"/>
        </w:rPr>
        <w:t>4%</w:t>
      </w:r>
      <w:r>
        <w:rPr>
          <w:color w:val="000000"/>
          <w:sz w:val="24"/>
          <w:szCs w:val="24"/>
        </w:rPr>
        <w:t>、</w:t>
      </w:r>
      <w:r>
        <w:rPr>
          <w:color w:val="000000"/>
          <w:sz w:val="24"/>
          <w:szCs w:val="24"/>
        </w:rPr>
        <w:t>1.7%</w:t>
      </w:r>
      <w:r>
        <w:rPr>
          <w:color w:val="000000"/>
          <w:sz w:val="24"/>
          <w:szCs w:val="24"/>
        </w:rPr>
        <w:t>和上涨</w:t>
      </w:r>
      <w:r>
        <w:rPr>
          <w:color w:val="000000"/>
          <w:sz w:val="24"/>
          <w:szCs w:val="24"/>
        </w:rPr>
        <w:t>0.97%</w:t>
      </w:r>
      <w:r>
        <w:rPr>
          <w:color w:val="000000"/>
          <w:sz w:val="24"/>
          <w:szCs w:val="24"/>
        </w:rPr>
        <w:t>。</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在债券方面维持了中短端、高流动性资产为主的配置思路，在给组合提供流动性的同时获取安全的票息收益。权益投资方面，虽然疫情、国际经济环境影响很大，但我们仍然坚持深度研究，长期投资的理念，不断寻找优质股票，争取为持有人获取更大收益。</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1.0859</w:t>
      </w:r>
      <w:r w:rsidRPr="006C56AA">
        <w:rPr>
          <w:color w:val="000000"/>
          <w:sz w:val="24"/>
          <w:szCs w:val="24"/>
        </w:rPr>
        <w:t>元，本报告期份额净值增长率为</w:t>
      </w:r>
      <w:r w:rsidRPr="006C56AA">
        <w:rPr>
          <w:color w:val="000000"/>
          <w:sz w:val="24"/>
          <w:szCs w:val="24"/>
        </w:rPr>
        <w:t>1.32%</w:t>
      </w:r>
      <w:r w:rsidRPr="006C56AA">
        <w:rPr>
          <w:color w:val="000000"/>
          <w:sz w:val="24"/>
          <w:szCs w:val="24"/>
        </w:rPr>
        <w:t>，同期业绩比较基准收益率为</w:t>
      </w:r>
      <w:r w:rsidRPr="006C56AA">
        <w:rPr>
          <w:color w:val="000000"/>
          <w:sz w:val="24"/>
          <w:szCs w:val="24"/>
        </w:rPr>
        <w:t>7.10%</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7,346,010,235.37</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27.66</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7,346,010,235.37</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27.66</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17,326,361,400.00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65.23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17,326,361,400.00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65.23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1,499,501,769.75</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5.65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10,828,000.75</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0.04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379,670,333.08</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1.43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26,562,371,738.95</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1,839,052,593.44</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6.92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1,744,054,829.66</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6.57</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646,072,778.74</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2.43</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1,461,466.85</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2,548,134,930.00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9.59</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311,019,814.48</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1.17</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256,213,822.20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0.96</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lastRenderedPageBreak/>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7,346,010,235.37</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27.66</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AA0FEE">
        <w:tc>
          <w:tcPr>
            <w:tcW w:w="851" w:type="dxa"/>
            <w:vAlign w:val="center"/>
          </w:tcPr>
          <w:p w:rsidR="00AA0FEE" w:rsidRDefault="00281D83">
            <w:pPr>
              <w:jc w:val="center"/>
            </w:pPr>
            <w:r>
              <w:rPr>
                <w:color w:val="000000"/>
                <w:kern w:val="0"/>
                <w:sz w:val="24"/>
                <w:szCs w:val="24"/>
              </w:rPr>
              <w:t>1</w:t>
            </w:r>
          </w:p>
        </w:tc>
        <w:tc>
          <w:tcPr>
            <w:tcW w:w="1276" w:type="dxa"/>
            <w:vAlign w:val="center"/>
          </w:tcPr>
          <w:p w:rsidR="00AA0FEE" w:rsidRDefault="00281D83">
            <w:pPr>
              <w:jc w:val="center"/>
            </w:pPr>
            <w:r>
              <w:rPr>
                <w:color w:val="000000"/>
                <w:kern w:val="0"/>
                <w:sz w:val="24"/>
                <w:szCs w:val="24"/>
              </w:rPr>
              <w:t>601658</w:t>
            </w:r>
          </w:p>
        </w:tc>
        <w:tc>
          <w:tcPr>
            <w:tcW w:w="1418" w:type="dxa"/>
            <w:vAlign w:val="center"/>
          </w:tcPr>
          <w:p w:rsidR="00AA0FEE" w:rsidRDefault="00281D83">
            <w:pPr>
              <w:jc w:val="center"/>
            </w:pPr>
            <w:r>
              <w:rPr>
                <w:color w:val="000000"/>
                <w:kern w:val="0"/>
                <w:sz w:val="24"/>
                <w:szCs w:val="24"/>
              </w:rPr>
              <w:t>邮储银行</w:t>
            </w:r>
          </w:p>
        </w:tc>
        <w:tc>
          <w:tcPr>
            <w:tcW w:w="1701" w:type="dxa"/>
            <w:vAlign w:val="center"/>
          </w:tcPr>
          <w:p w:rsidR="00AA0FEE" w:rsidRDefault="00281D83">
            <w:pPr>
              <w:jc w:val="right"/>
            </w:pPr>
            <w:r>
              <w:rPr>
                <w:color w:val="000000"/>
                <w:kern w:val="0"/>
                <w:sz w:val="24"/>
                <w:szCs w:val="24"/>
              </w:rPr>
              <w:t>461,009,000</w:t>
            </w:r>
          </w:p>
        </w:tc>
        <w:tc>
          <w:tcPr>
            <w:tcW w:w="1984" w:type="dxa"/>
            <w:vAlign w:val="center"/>
          </w:tcPr>
          <w:p w:rsidR="00AA0FEE" w:rsidRDefault="00281D83">
            <w:pPr>
              <w:jc w:val="right"/>
            </w:pPr>
            <w:r>
              <w:rPr>
                <w:color w:val="000000"/>
                <w:kern w:val="0"/>
                <w:sz w:val="24"/>
                <w:szCs w:val="24"/>
              </w:rPr>
              <w:t>2,060,710,230.00</w:t>
            </w:r>
          </w:p>
        </w:tc>
        <w:tc>
          <w:tcPr>
            <w:tcW w:w="1559" w:type="dxa"/>
            <w:vAlign w:val="center"/>
          </w:tcPr>
          <w:p w:rsidR="00AA0FEE" w:rsidRDefault="00281D83">
            <w:pPr>
              <w:jc w:val="right"/>
            </w:pPr>
            <w:r>
              <w:rPr>
                <w:color w:val="000000"/>
                <w:kern w:val="0"/>
                <w:sz w:val="24"/>
                <w:szCs w:val="24"/>
              </w:rPr>
              <w:t>7.76</w:t>
            </w:r>
          </w:p>
        </w:tc>
      </w:tr>
      <w:tr w:rsidR="00AA0FEE">
        <w:tc>
          <w:tcPr>
            <w:tcW w:w="851" w:type="dxa"/>
            <w:vAlign w:val="center"/>
          </w:tcPr>
          <w:p w:rsidR="00AA0FEE" w:rsidRDefault="00281D83">
            <w:pPr>
              <w:jc w:val="center"/>
            </w:pPr>
            <w:r>
              <w:rPr>
                <w:color w:val="000000"/>
                <w:kern w:val="0"/>
                <w:sz w:val="24"/>
                <w:szCs w:val="24"/>
              </w:rPr>
              <w:t>2</w:t>
            </w:r>
          </w:p>
        </w:tc>
        <w:tc>
          <w:tcPr>
            <w:tcW w:w="1276" w:type="dxa"/>
            <w:vAlign w:val="center"/>
          </w:tcPr>
          <w:p w:rsidR="00AA0FEE" w:rsidRDefault="00281D83">
            <w:pPr>
              <w:jc w:val="center"/>
            </w:pPr>
            <w:r>
              <w:rPr>
                <w:color w:val="000000"/>
                <w:kern w:val="0"/>
                <w:sz w:val="24"/>
                <w:szCs w:val="24"/>
              </w:rPr>
              <w:t>003816</w:t>
            </w:r>
          </w:p>
        </w:tc>
        <w:tc>
          <w:tcPr>
            <w:tcW w:w="1418" w:type="dxa"/>
            <w:vAlign w:val="center"/>
          </w:tcPr>
          <w:p w:rsidR="00AA0FEE" w:rsidRDefault="00281D83">
            <w:pPr>
              <w:jc w:val="center"/>
            </w:pPr>
            <w:r>
              <w:rPr>
                <w:color w:val="000000"/>
                <w:kern w:val="0"/>
                <w:sz w:val="24"/>
                <w:szCs w:val="24"/>
              </w:rPr>
              <w:t>中国广核</w:t>
            </w:r>
          </w:p>
        </w:tc>
        <w:tc>
          <w:tcPr>
            <w:tcW w:w="1701" w:type="dxa"/>
            <w:vAlign w:val="center"/>
          </w:tcPr>
          <w:p w:rsidR="00AA0FEE" w:rsidRDefault="00281D83">
            <w:pPr>
              <w:jc w:val="right"/>
            </w:pPr>
            <w:r>
              <w:rPr>
                <w:color w:val="000000"/>
                <w:kern w:val="0"/>
                <w:sz w:val="24"/>
                <w:szCs w:val="24"/>
              </w:rPr>
              <w:t>555,485,000</w:t>
            </w:r>
          </w:p>
        </w:tc>
        <w:tc>
          <w:tcPr>
            <w:tcW w:w="1984" w:type="dxa"/>
            <w:vAlign w:val="center"/>
          </w:tcPr>
          <w:p w:rsidR="00AA0FEE" w:rsidRDefault="00281D83">
            <w:pPr>
              <w:jc w:val="right"/>
            </w:pPr>
            <w:r>
              <w:rPr>
                <w:color w:val="000000"/>
                <w:kern w:val="0"/>
                <w:sz w:val="24"/>
                <w:szCs w:val="24"/>
              </w:rPr>
              <w:t>1,622,016,200.00</w:t>
            </w:r>
          </w:p>
        </w:tc>
        <w:tc>
          <w:tcPr>
            <w:tcW w:w="1559" w:type="dxa"/>
            <w:vAlign w:val="center"/>
          </w:tcPr>
          <w:p w:rsidR="00AA0FEE" w:rsidRDefault="00281D83">
            <w:pPr>
              <w:jc w:val="right"/>
            </w:pPr>
            <w:r>
              <w:rPr>
                <w:color w:val="000000"/>
                <w:kern w:val="0"/>
                <w:sz w:val="24"/>
                <w:szCs w:val="24"/>
              </w:rPr>
              <w:t>6.11</w:t>
            </w:r>
          </w:p>
        </w:tc>
      </w:tr>
      <w:tr w:rsidR="00AA0FEE">
        <w:tc>
          <w:tcPr>
            <w:tcW w:w="851" w:type="dxa"/>
            <w:vAlign w:val="center"/>
          </w:tcPr>
          <w:p w:rsidR="00AA0FEE" w:rsidRDefault="00281D83">
            <w:pPr>
              <w:jc w:val="center"/>
            </w:pPr>
            <w:r>
              <w:rPr>
                <w:color w:val="000000"/>
                <w:kern w:val="0"/>
                <w:sz w:val="24"/>
                <w:szCs w:val="24"/>
              </w:rPr>
              <w:t>3</w:t>
            </w:r>
          </w:p>
        </w:tc>
        <w:tc>
          <w:tcPr>
            <w:tcW w:w="1276" w:type="dxa"/>
            <w:vAlign w:val="center"/>
          </w:tcPr>
          <w:p w:rsidR="00AA0FEE" w:rsidRDefault="00281D83">
            <w:pPr>
              <w:jc w:val="center"/>
            </w:pPr>
            <w:r>
              <w:rPr>
                <w:color w:val="000000"/>
                <w:kern w:val="0"/>
                <w:sz w:val="24"/>
                <w:szCs w:val="24"/>
              </w:rPr>
              <w:t>601816</w:t>
            </w:r>
          </w:p>
        </w:tc>
        <w:tc>
          <w:tcPr>
            <w:tcW w:w="1418" w:type="dxa"/>
            <w:vAlign w:val="center"/>
          </w:tcPr>
          <w:p w:rsidR="00AA0FEE" w:rsidRDefault="00281D83">
            <w:pPr>
              <w:jc w:val="center"/>
            </w:pPr>
            <w:r>
              <w:rPr>
                <w:color w:val="000000"/>
                <w:kern w:val="0"/>
                <w:sz w:val="24"/>
                <w:szCs w:val="24"/>
              </w:rPr>
              <w:t>京沪高铁</w:t>
            </w:r>
          </w:p>
        </w:tc>
        <w:tc>
          <w:tcPr>
            <w:tcW w:w="1701" w:type="dxa"/>
            <w:vAlign w:val="center"/>
          </w:tcPr>
          <w:p w:rsidR="00AA0FEE" w:rsidRDefault="00281D83">
            <w:pPr>
              <w:jc w:val="right"/>
            </w:pPr>
            <w:r>
              <w:rPr>
                <w:color w:val="000000"/>
                <w:kern w:val="0"/>
                <w:sz w:val="24"/>
                <w:szCs w:val="24"/>
              </w:rPr>
              <w:t>114,754,098</w:t>
            </w:r>
          </w:p>
        </w:tc>
        <w:tc>
          <w:tcPr>
            <w:tcW w:w="1984" w:type="dxa"/>
            <w:vAlign w:val="center"/>
          </w:tcPr>
          <w:p w:rsidR="00AA0FEE" w:rsidRDefault="00281D83">
            <w:pPr>
              <w:jc w:val="right"/>
            </w:pPr>
            <w:r>
              <w:rPr>
                <w:color w:val="000000"/>
                <w:kern w:val="0"/>
                <w:sz w:val="24"/>
                <w:szCs w:val="24"/>
              </w:rPr>
              <w:t>646,065,571.74</w:t>
            </w:r>
          </w:p>
        </w:tc>
        <w:tc>
          <w:tcPr>
            <w:tcW w:w="1559" w:type="dxa"/>
            <w:vAlign w:val="center"/>
          </w:tcPr>
          <w:p w:rsidR="00AA0FEE" w:rsidRDefault="00281D83">
            <w:pPr>
              <w:jc w:val="right"/>
            </w:pPr>
            <w:r>
              <w:rPr>
                <w:color w:val="000000"/>
                <w:kern w:val="0"/>
                <w:sz w:val="24"/>
                <w:szCs w:val="24"/>
              </w:rPr>
              <w:t>2.43</w:t>
            </w:r>
          </w:p>
        </w:tc>
      </w:tr>
      <w:tr w:rsidR="00AA0FEE">
        <w:tc>
          <w:tcPr>
            <w:tcW w:w="851" w:type="dxa"/>
            <w:vAlign w:val="center"/>
          </w:tcPr>
          <w:p w:rsidR="00AA0FEE" w:rsidRDefault="00281D83">
            <w:pPr>
              <w:jc w:val="center"/>
            </w:pPr>
            <w:r>
              <w:rPr>
                <w:color w:val="000000"/>
                <w:kern w:val="0"/>
                <w:sz w:val="24"/>
                <w:szCs w:val="24"/>
              </w:rPr>
              <w:t>4</w:t>
            </w:r>
          </w:p>
        </w:tc>
        <w:tc>
          <w:tcPr>
            <w:tcW w:w="1276" w:type="dxa"/>
            <w:vAlign w:val="center"/>
          </w:tcPr>
          <w:p w:rsidR="00AA0FEE" w:rsidRDefault="00281D83">
            <w:pPr>
              <w:jc w:val="center"/>
            </w:pPr>
            <w:r>
              <w:rPr>
                <w:color w:val="000000"/>
                <w:kern w:val="0"/>
                <w:sz w:val="24"/>
                <w:szCs w:val="24"/>
              </w:rPr>
              <w:t>601319</w:t>
            </w:r>
          </w:p>
        </w:tc>
        <w:tc>
          <w:tcPr>
            <w:tcW w:w="1418" w:type="dxa"/>
            <w:vAlign w:val="center"/>
          </w:tcPr>
          <w:p w:rsidR="00AA0FEE" w:rsidRDefault="00281D83">
            <w:pPr>
              <w:jc w:val="center"/>
            </w:pPr>
            <w:r>
              <w:rPr>
                <w:color w:val="000000"/>
                <w:kern w:val="0"/>
                <w:sz w:val="24"/>
                <w:szCs w:val="24"/>
              </w:rPr>
              <w:t>中国人保</w:t>
            </w:r>
          </w:p>
        </w:tc>
        <w:tc>
          <w:tcPr>
            <w:tcW w:w="1701" w:type="dxa"/>
            <w:vAlign w:val="center"/>
          </w:tcPr>
          <w:p w:rsidR="00AA0FEE" w:rsidRDefault="00281D83">
            <w:pPr>
              <w:jc w:val="right"/>
            </w:pPr>
            <w:r>
              <w:rPr>
                <w:color w:val="000000"/>
                <w:kern w:val="0"/>
                <w:sz w:val="24"/>
                <w:szCs w:val="24"/>
              </w:rPr>
              <w:t>74,850,000</w:t>
            </w:r>
          </w:p>
        </w:tc>
        <w:tc>
          <w:tcPr>
            <w:tcW w:w="1984" w:type="dxa"/>
            <w:vAlign w:val="center"/>
          </w:tcPr>
          <w:p w:rsidR="00AA0FEE" w:rsidRDefault="00281D83">
            <w:pPr>
              <w:jc w:val="right"/>
            </w:pPr>
            <w:r>
              <w:rPr>
                <w:color w:val="000000"/>
                <w:kern w:val="0"/>
                <w:sz w:val="24"/>
                <w:szCs w:val="24"/>
              </w:rPr>
              <w:t>482,034,000.00</w:t>
            </w:r>
          </w:p>
        </w:tc>
        <w:tc>
          <w:tcPr>
            <w:tcW w:w="1559" w:type="dxa"/>
            <w:vAlign w:val="center"/>
          </w:tcPr>
          <w:p w:rsidR="00AA0FEE" w:rsidRDefault="00281D83">
            <w:pPr>
              <w:jc w:val="right"/>
            </w:pPr>
            <w:r>
              <w:rPr>
                <w:color w:val="000000"/>
                <w:kern w:val="0"/>
                <w:sz w:val="24"/>
                <w:szCs w:val="24"/>
              </w:rPr>
              <w:t>1.82</w:t>
            </w:r>
          </w:p>
        </w:tc>
      </w:tr>
      <w:tr w:rsidR="00AA0FEE">
        <w:tc>
          <w:tcPr>
            <w:tcW w:w="851" w:type="dxa"/>
            <w:vAlign w:val="center"/>
          </w:tcPr>
          <w:p w:rsidR="00AA0FEE" w:rsidRDefault="00281D83">
            <w:pPr>
              <w:jc w:val="center"/>
            </w:pPr>
            <w:r>
              <w:rPr>
                <w:color w:val="000000"/>
                <w:kern w:val="0"/>
                <w:sz w:val="24"/>
                <w:szCs w:val="24"/>
              </w:rPr>
              <w:t>5</w:t>
            </w:r>
          </w:p>
        </w:tc>
        <w:tc>
          <w:tcPr>
            <w:tcW w:w="1276" w:type="dxa"/>
            <w:vAlign w:val="center"/>
          </w:tcPr>
          <w:p w:rsidR="00AA0FEE" w:rsidRDefault="00281D83">
            <w:pPr>
              <w:jc w:val="center"/>
            </w:pPr>
            <w:r>
              <w:rPr>
                <w:color w:val="000000"/>
                <w:kern w:val="0"/>
                <w:sz w:val="24"/>
                <w:szCs w:val="24"/>
              </w:rPr>
              <w:t>000651</w:t>
            </w:r>
          </w:p>
        </w:tc>
        <w:tc>
          <w:tcPr>
            <w:tcW w:w="1418" w:type="dxa"/>
            <w:vAlign w:val="center"/>
          </w:tcPr>
          <w:p w:rsidR="00AA0FEE" w:rsidRDefault="00281D83">
            <w:pPr>
              <w:jc w:val="center"/>
            </w:pPr>
            <w:r>
              <w:rPr>
                <w:color w:val="000000"/>
                <w:kern w:val="0"/>
                <w:sz w:val="24"/>
                <w:szCs w:val="24"/>
              </w:rPr>
              <w:t>格力电器</w:t>
            </w:r>
          </w:p>
        </w:tc>
        <w:tc>
          <w:tcPr>
            <w:tcW w:w="1701" w:type="dxa"/>
            <w:vAlign w:val="center"/>
          </w:tcPr>
          <w:p w:rsidR="00AA0FEE" w:rsidRDefault="00281D83">
            <w:pPr>
              <w:jc w:val="right"/>
            </w:pPr>
            <w:r>
              <w:rPr>
                <w:color w:val="000000"/>
                <w:kern w:val="0"/>
                <w:sz w:val="24"/>
                <w:szCs w:val="24"/>
              </w:rPr>
              <w:t>6,322,443</w:t>
            </w:r>
          </w:p>
        </w:tc>
        <w:tc>
          <w:tcPr>
            <w:tcW w:w="1984" w:type="dxa"/>
            <w:vAlign w:val="center"/>
          </w:tcPr>
          <w:p w:rsidR="00AA0FEE" w:rsidRDefault="00281D83">
            <w:pPr>
              <w:jc w:val="right"/>
            </w:pPr>
            <w:r>
              <w:rPr>
                <w:color w:val="000000"/>
                <w:kern w:val="0"/>
                <w:sz w:val="24"/>
                <w:szCs w:val="24"/>
              </w:rPr>
              <w:t>357,660,600.51</w:t>
            </w:r>
          </w:p>
        </w:tc>
        <w:tc>
          <w:tcPr>
            <w:tcW w:w="1559" w:type="dxa"/>
            <w:vAlign w:val="center"/>
          </w:tcPr>
          <w:p w:rsidR="00AA0FEE" w:rsidRDefault="00281D83">
            <w:pPr>
              <w:jc w:val="right"/>
            </w:pPr>
            <w:r>
              <w:rPr>
                <w:color w:val="000000"/>
                <w:kern w:val="0"/>
                <w:sz w:val="24"/>
                <w:szCs w:val="24"/>
              </w:rPr>
              <w:t>1.35</w:t>
            </w:r>
          </w:p>
        </w:tc>
      </w:tr>
      <w:tr w:rsidR="00AA0FEE">
        <w:tc>
          <w:tcPr>
            <w:tcW w:w="851" w:type="dxa"/>
            <w:vAlign w:val="center"/>
          </w:tcPr>
          <w:p w:rsidR="00AA0FEE" w:rsidRDefault="00281D83">
            <w:pPr>
              <w:jc w:val="center"/>
            </w:pPr>
            <w:r>
              <w:rPr>
                <w:color w:val="000000"/>
                <w:kern w:val="0"/>
                <w:sz w:val="24"/>
                <w:szCs w:val="24"/>
              </w:rPr>
              <w:t>6</w:t>
            </w:r>
          </w:p>
        </w:tc>
        <w:tc>
          <w:tcPr>
            <w:tcW w:w="1276" w:type="dxa"/>
            <w:vAlign w:val="center"/>
          </w:tcPr>
          <w:p w:rsidR="00AA0FEE" w:rsidRDefault="00281D83">
            <w:pPr>
              <w:jc w:val="center"/>
            </w:pPr>
            <w:r>
              <w:rPr>
                <w:color w:val="000000"/>
                <w:kern w:val="0"/>
                <w:sz w:val="24"/>
                <w:szCs w:val="24"/>
              </w:rPr>
              <w:t>000333</w:t>
            </w:r>
          </w:p>
        </w:tc>
        <w:tc>
          <w:tcPr>
            <w:tcW w:w="1418" w:type="dxa"/>
            <w:vAlign w:val="center"/>
          </w:tcPr>
          <w:p w:rsidR="00AA0FEE" w:rsidRDefault="00281D83">
            <w:pPr>
              <w:jc w:val="center"/>
            </w:pPr>
            <w:r>
              <w:rPr>
                <w:color w:val="000000"/>
                <w:kern w:val="0"/>
                <w:sz w:val="24"/>
                <w:szCs w:val="24"/>
              </w:rPr>
              <w:t>美的集团</w:t>
            </w:r>
          </w:p>
        </w:tc>
        <w:tc>
          <w:tcPr>
            <w:tcW w:w="1701" w:type="dxa"/>
            <w:vAlign w:val="center"/>
          </w:tcPr>
          <w:p w:rsidR="00AA0FEE" w:rsidRDefault="00281D83">
            <w:pPr>
              <w:jc w:val="right"/>
            </w:pPr>
            <w:r>
              <w:rPr>
                <w:color w:val="000000"/>
                <w:kern w:val="0"/>
                <w:sz w:val="24"/>
                <w:szCs w:val="24"/>
              </w:rPr>
              <w:t>5,381,116</w:t>
            </w:r>
          </w:p>
        </w:tc>
        <w:tc>
          <w:tcPr>
            <w:tcW w:w="1984" w:type="dxa"/>
            <w:vAlign w:val="center"/>
          </w:tcPr>
          <w:p w:rsidR="00AA0FEE" w:rsidRDefault="00281D83">
            <w:pPr>
              <w:jc w:val="right"/>
            </w:pPr>
            <w:r>
              <w:rPr>
                <w:color w:val="000000"/>
                <w:kern w:val="0"/>
                <w:sz w:val="24"/>
                <w:szCs w:val="24"/>
              </w:rPr>
              <w:t>321,736,925.64</w:t>
            </w:r>
          </w:p>
        </w:tc>
        <w:tc>
          <w:tcPr>
            <w:tcW w:w="1559" w:type="dxa"/>
            <w:vAlign w:val="center"/>
          </w:tcPr>
          <w:p w:rsidR="00AA0FEE" w:rsidRDefault="00281D83">
            <w:pPr>
              <w:jc w:val="right"/>
            </w:pPr>
            <w:r>
              <w:rPr>
                <w:color w:val="000000"/>
                <w:kern w:val="0"/>
                <w:sz w:val="24"/>
                <w:szCs w:val="24"/>
              </w:rPr>
              <w:t>1.21</w:t>
            </w:r>
          </w:p>
        </w:tc>
      </w:tr>
      <w:tr w:rsidR="00AA0FEE">
        <w:tc>
          <w:tcPr>
            <w:tcW w:w="851" w:type="dxa"/>
            <w:vAlign w:val="center"/>
          </w:tcPr>
          <w:p w:rsidR="00AA0FEE" w:rsidRDefault="00281D83">
            <w:pPr>
              <w:jc w:val="center"/>
            </w:pPr>
            <w:r>
              <w:rPr>
                <w:color w:val="000000"/>
                <w:kern w:val="0"/>
                <w:sz w:val="24"/>
                <w:szCs w:val="24"/>
              </w:rPr>
              <w:t>7</w:t>
            </w:r>
          </w:p>
        </w:tc>
        <w:tc>
          <w:tcPr>
            <w:tcW w:w="1276" w:type="dxa"/>
            <w:vAlign w:val="center"/>
          </w:tcPr>
          <w:p w:rsidR="00AA0FEE" w:rsidRDefault="00281D83">
            <w:pPr>
              <w:jc w:val="center"/>
            </w:pPr>
            <w:r>
              <w:rPr>
                <w:color w:val="000000"/>
                <w:kern w:val="0"/>
                <w:sz w:val="24"/>
                <w:szCs w:val="24"/>
              </w:rPr>
              <w:t>600519</w:t>
            </w:r>
          </w:p>
        </w:tc>
        <w:tc>
          <w:tcPr>
            <w:tcW w:w="1418" w:type="dxa"/>
            <w:vAlign w:val="center"/>
          </w:tcPr>
          <w:p w:rsidR="00AA0FEE" w:rsidRDefault="00281D83">
            <w:pPr>
              <w:jc w:val="center"/>
            </w:pPr>
            <w:r>
              <w:rPr>
                <w:color w:val="000000"/>
                <w:kern w:val="0"/>
                <w:sz w:val="24"/>
                <w:szCs w:val="24"/>
              </w:rPr>
              <w:t>贵州茅台</w:t>
            </w:r>
          </w:p>
        </w:tc>
        <w:tc>
          <w:tcPr>
            <w:tcW w:w="1701" w:type="dxa"/>
            <w:vAlign w:val="center"/>
          </w:tcPr>
          <w:p w:rsidR="00AA0FEE" w:rsidRDefault="00281D83">
            <w:pPr>
              <w:jc w:val="right"/>
            </w:pPr>
            <w:r>
              <w:rPr>
                <w:color w:val="000000"/>
                <w:kern w:val="0"/>
                <w:sz w:val="24"/>
                <w:szCs w:val="24"/>
              </w:rPr>
              <w:t>183,538</w:t>
            </w:r>
          </w:p>
        </w:tc>
        <w:tc>
          <w:tcPr>
            <w:tcW w:w="1984" w:type="dxa"/>
            <w:vAlign w:val="center"/>
          </w:tcPr>
          <w:p w:rsidR="00AA0FEE" w:rsidRDefault="00281D83">
            <w:pPr>
              <w:jc w:val="right"/>
            </w:pPr>
            <w:r>
              <w:rPr>
                <w:color w:val="000000"/>
                <w:kern w:val="0"/>
                <w:sz w:val="24"/>
                <w:szCs w:val="24"/>
              </w:rPr>
              <w:t>268,494,069.44</w:t>
            </w:r>
          </w:p>
        </w:tc>
        <w:tc>
          <w:tcPr>
            <w:tcW w:w="1559" w:type="dxa"/>
            <w:vAlign w:val="center"/>
          </w:tcPr>
          <w:p w:rsidR="00AA0FEE" w:rsidRDefault="00281D83">
            <w:pPr>
              <w:jc w:val="right"/>
            </w:pPr>
            <w:r>
              <w:rPr>
                <w:color w:val="000000"/>
                <w:kern w:val="0"/>
                <w:sz w:val="24"/>
                <w:szCs w:val="24"/>
              </w:rPr>
              <w:t>1.01</w:t>
            </w:r>
          </w:p>
        </w:tc>
      </w:tr>
      <w:tr w:rsidR="00AA0FEE">
        <w:tc>
          <w:tcPr>
            <w:tcW w:w="851" w:type="dxa"/>
            <w:vAlign w:val="center"/>
          </w:tcPr>
          <w:p w:rsidR="00AA0FEE" w:rsidRDefault="00281D83">
            <w:pPr>
              <w:jc w:val="center"/>
            </w:pPr>
            <w:r>
              <w:rPr>
                <w:color w:val="000000"/>
                <w:kern w:val="0"/>
                <w:sz w:val="24"/>
                <w:szCs w:val="24"/>
              </w:rPr>
              <w:t>8</w:t>
            </w:r>
          </w:p>
        </w:tc>
        <w:tc>
          <w:tcPr>
            <w:tcW w:w="1276" w:type="dxa"/>
            <w:vAlign w:val="center"/>
          </w:tcPr>
          <w:p w:rsidR="00AA0FEE" w:rsidRDefault="00281D83">
            <w:pPr>
              <w:jc w:val="center"/>
            </w:pPr>
            <w:r>
              <w:rPr>
                <w:color w:val="000000"/>
                <w:kern w:val="0"/>
                <w:sz w:val="24"/>
                <w:szCs w:val="24"/>
              </w:rPr>
              <w:t>603259</w:t>
            </w:r>
          </w:p>
        </w:tc>
        <w:tc>
          <w:tcPr>
            <w:tcW w:w="1418" w:type="dxa"/>
            <w:vAlign w:val="center"/>
          </w:tcPr>
          <w:p w:rsidR="00AA0FEE" w:rsidRDefault="00281D83">
            <w:pPr>
              <w:jc w:val="center"/>
            </w:pPr>
            <w:r>
              <w:rPr>
                <w:color w:val="000000"/>
                <w:kern w:val="0"/>
                <w:sz w:val="24"/>
                <w:szCs w:val="24"/>
              </w:rPr>
              <w:t>药明康德</w:t>
            </w:r>
          </w:p>
        </w:tc>
        <w:tc>
          <w:tcPr>
            <w:tcW w:w="1701" w:type="dxa"/>
            <w:vAlign w:val="center"/>
          </w:tcPr>
          <w:p w:rsidR="00AA0FEE" w:rsidRDefault="00281D83">
            <w:pPr>
              <w:jc w:val="right"/>
            </w:pPr>
            <w:r>
              <w:rPr>
                <w:color w:val="000000"/>
                <w:kern w:val="0"/>
                <w:sz w:val="24"/>
                <w:szCs w:val="24"/>
              </w:rPr>
              <w:t>2,652,317</w:t>
            </w:r>
          </w:p>
        </w:tc>
        <w:tc>
          <w:tcPr>
            <w:tcW w:w="1984" w:type="dxa"/>
            <w:vAlign w:val="center"/>
          </w:tcPr>
          <w:p w:rsidR="00AA0FEE" w:rsidRDefault="00281D83">
            <w:pPr>
              <w:jc w:val="right"/>
            </w:pPr>
            <w:r>
              <w:rPr>
                <w:color w:val="000000"/>
                <w:kern w:val="0"/>
                <w:sz w:val="24"/>
                <w:szCs w:val="24"/>
              </w:rPr>
              <w:t>256,213,822.20</w:t>
            </w:r>
          </w:p>
        </w:tc>
        <w:tc>
          <w:tcPr>
            <w:tcW w:w="1559" w:type="dxa"/>
            <w:vAlign w:val="center"/>
          </w:tcPr>
          <w:p w:rsidR="00AA0FEE" w:rsidRDefault="00281D83">
            <w:pPr>
              <w:jc w:val="right"/>
            </w:pPr>
            <w:r>
              <w:rPr>
                <w:color w:val="000000"/>
                <w:kern w:val="0"/>
                <w:sz w:val="24"/>
                <w:szCs w:val="24"/>
              </w:rPr>
              <w:t>0.96</w:t>
            </w:r>
          </w:p>
        </w:tc>
      </w:tr>
      <w:tr w:rsidR="00AA0FEE">
        <w:tc>
          <w:tcPr>
            <w:tcW w:w="851" w:type="dxa"/>
            <w:vAlign w:val="center"/>
          </w:tcPr>
          <w:p w:rsidR="00AA0FEE" w:rsidRDefault="00281D83">
            <w:pPr>
              <w:jc w:val="center"/>
            </w:pPr>
            <w:r>
              <w:rPr>
                <w:color w:val="000000"/>
                <w:kern w:val="0"/>
                <w:sz w:val="24"/>
                <w:szCs w:val="24"/>
              </w:rPr>
              <w:t>9</w:t>
            </w:r>
          </w:p>
        </w:tc>
        <w:tc>
          <w:tcPr>
            <w:tcW w:w="1276" w:type="dxa"/>
            <w:vAlign w:val="center"/>
          </w:tcPr>
          <w:p w:rsidR="00AA0FEE" w:rsidRDefault="00281D83">
            <w:pPr>
              <w:jc w:val="center"/>
            </w:pPr>
            <w:r>
              <w:rPr>
                <w:color w:val="000000"/>
                <w:kern w:val="0"/>
                <w:sz w:val="24"/>
                <w:szCs w:val="24"/>
              </w:rPr>
              <w:t>600887</w:t>
            </w:r>
          </w:p>
        </w:tc>
        <w:tc>
          <w:tcPr>
            <w:tcW w:w="1418" w:type="dxa"/>
            <w:vAlign w:val="center"/>
          </w:tcPr>
          <w:p w:rsidR="00AA0FEE" w:rsidRDefault="00281D83">
            <w:pPr>
              <w:jc w:val="center"/>
            </w:pPr>
            <w:r>
              <w:rPr>
                <w:color w:val="000000"/>
                <w:kern w:val="0"/>
                <w:sz w:val="24"/>
                <w:szCs w:val="24"/>
              </w:rPr>
              <w:t>伊利股份</w:t>
            </w:r>
          </w:p>
        </w:tc>
        <w:tc>
          <w:tcPr>
            <w:tcW w:w="1701" w:type="dxa"/>
            <w:vAlign w:val="center"/>
          </w:tcPr>
          <w:p w:rsidR="00AA0FEE" w:rsidRDefault="00281D83">
            <w:pPr>
              <w:jc w:val="right"/>
            </w:pPr>
            <w:r>
              <w:rPr>
                <w:color w:val="000000"/>
                <w:kern w:val="0"/>
                <w:sz w:val="24"/>
                <w:szCs w:val="24"/>
              </w:rPr>
              <w:t>6,479,994</w:t>
            </w:r>
          </w:p>
        </w:tc>
        <w:tc>
          <w:tcPr>
            <w:tcW w:w="1984" w:type="dxa"/>
            <w:vAlign w:val="center"/>
          </w:tcPr>
          <w:p w:rsidR="00AA0FEE" w:rsidRDefault="00281D83">
            <w:pPr>
              <w:jc w:val="right"/>
            </w:pPr>
            <w:r>
              <w:rPr>
                <w:color w:val="000000"/>
                <w:kern w:val="0"/>
                <w:sz w:val="24"/>
                <w:szCs w:val="24"/>
              </w:rPr>
              <w:t>201,722,213.22</w:t>
            </w:r>
          </w:p>
        </w:tc>
        <w:tc>
          <w:tcPr>
            <w:tcW w:w="1559" w:type="dxa"/>
            <w:vAlign w:val="center"/>
          </w:tcPr>
          <w:p w:rsidR="00AA0FEE" w:rsidRDefault="00281D83">
            <w:pPr>
              <w:jc w:val="right"/>
            </w:pPr>
            <w:r>
              <w:rPr>
                <w:color w:val="000000"/>
                <w:kern w:val="0"/>
                <w:sz w:val="24"/>
                <w:szCs w:val="24"/>
              </w:rPr>
              <w:t>0.76</w:t>
            </w:r>
          </w:p>
        </w:tc>
      </w:tr>
      <w:tr w:rsidR="00AA0FEE">
        <w:tc>
          <w:tcPr>
            <w:tcW w:w="851" w:type="dxa"/>
            <w:vAlign w:val="center"/>
          </w:tcPr>
          <w:p w:rsidR="00AA0FEE" w:rsidRDefault="00281D83">
            <w:pPr>
              <w:jc w:val="center"/>
            </w:pPr>
            <w:r>
              <w:rPr>
                <w:color w:val="000000"/>
                <w:kern w:val="0"/>
                <w:sz w:val="24"/>
                <w:szCs w:val="24"/>
              </w:rPr>
              <w:t>10</w:t>
            </w:r>
          </w:p>
        </w:tc>
        <w:tc>
          <w:tcPr>
            <w:tcW w:w="1276" w:type="dxa"/>
            <w:vAlign w:val="center"/>
          </w:tcPr>
          <w:p w:rsidR="00AA0FEE" w:rsidRDefault="00281D83">
            <w:pPr>
              <w:jc w:val="center"/>
            </w:pPr>
            <w:r>
              <w:rPr>
                <w:color w:val="000000"/>
                <w:kern w:val="0"/>
                <w:sz w:val="24"/>
                <w:szCs w:val="24"/>
              </w:rPr>
              <w:t>000538</w:t>
            </w:r>
          </w:p>
        </w:tc>
        <w:tc>
          <w:tcPr>
            <w:tcW w:w="1418" w:type="dxa"/>
            <w:vAlign w:val="center"/>
          </w:tcPr>
          <w:p w:rsidR="00AA0FEE" w:rsidRDefault="00281D83">
            <w:pPr>
              <w:jc w:val="center"/>
            </w:pPr>
            <w:r>
              <w:rPr>
                <w:color w:val="000000"/>
                <w:kern w:val="0"/>
                <w:sz w:val="24"/>
                <w:szCs w:val="24"/>
              </w:rPr>
              <w:t>云南白药</w:t>
            </w:r>
          </w:p>
        </w:tc>
        <w:tc>
          <w:tcPr>
            <w:tcW w:w="1701" w:type="dxa"/>
            <w:vAlign w:val="center"/>
          </w:tcPr>
          <w:p w:rsidR="00AA0FEE" w:rsidRDefault="00281D83">
            <w:pPr>
              <w:jc w:val="right"/>
            </w:pPr>
            <w:r>
              <w:rPr>
                <w:color w:val="000000"/>
                <w:kern w:val="0"/>
                <w:sz w:val="24"/>
                <w:szCs w:val="24"/>
              </w:rPr>
              <w:t>1,884,146</w:t>
            </w:r>
          </w:p>
        </w:tc>
        <w:tc>
          <w:tcPr>
            <w:tcW w:w="1984" w:type="dxa"/>
            <w:vAlign w:val="center"/>
          </w:tcPr>
          <w:p w:rsidR="00AA0FEE" w:rsidRDefault="00281D83">
            <w:pPr>
              <w:jc w:val="right"/>
            </w:pPr>
            <w:r>
              <w:rPr>
                <w:color w:val="000000"/>
                <w:kern w:val="0"/>
                <w:sz w:val="24"/>
                <w:szCs w:val="24"/>
              </w:rPr>
              <w:t>176,751,736.26</w:t>
            </w:r>
          </w:p>
        </w:tc>
        <w:tc>
          <w:tcPr>
            <w:tcW w:w="1559" w:type="dxa"/>
            <w:vAlign w:val="center"/>
          </w:tcPr>
          <w:p w:rsidR="00AA0FEE" w:rsidRDefault="00281D83">
            <w:pPr>
              <w:jc w:val="right"/>
            </w:pPr>
            <w:r>
              <w:rPr>
                <w:color w:val="000000"/>
                <w:kern w:val="0"/>
                <w:sz w:val="24"/>
                <w:szCs w:val="24"/>
              </w:rPr>
              <w:t>0.67</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3,059,437,000.00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11.52</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3,059,437,000.00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11.52</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2,340,967,400.00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8.81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3,307,822,000.00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12.46</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8,618,135,000.00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32.45</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17,326,361,400.00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65.24</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lastRenderedPageBreak/>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AA0FEE">
        <w:tc>
          <w:tcPr>
            <w:tcW w:w="959" w:type="dxa"/>
            <w:vAlign w:val="center"/>
          </w:tcPr>
          <w:p w:rsidR="00AA0FEE" w:rsidRDefault="00281D83">
            <w:pPr>
              <w:jc w:val="center"/>
            </w:pPr>
            <w:r>
              <w:rPr>
                <w:color w:val="000000"/>
                <w:kern w:val="0"/>
                <w:sz w:val="24"/>
                <w:szCs w:val="24"/>
              </w:rPr>
              <w:t>1</w:t>
            </w:r>
          </w:p>
        </w:tc>
        <w:tc>
          <w:tcPr>
            <w:tcW w:w="1276" w:type="dxa"/>
            <w:vAlign w:val="center"/>
          </w:tcPr>
          <w:p w:rsidR="00AA0FEE" w:rsidRDefault="00281D83">
            <w:pPr>
              <w:jc w:val="center"/>
            </w:pPr>
            <w:r>
              <w:rPr>
                <w:color w:val="000000"/>
                <w:kern w:val="0"/>
                <w:sz w:val="24"/>
                <w:szCs w:val="24"/>
              </w:rPr>
              <w:t>180212</w:t>
            </w:r>
          </w:p>
        </w:tc>
        <w:tc>
          <w:tcPr>
            <w:tcW w:w="1275" w:type="dxa"/>
            <w:vAlign w:val="center"/>
          </w:tcPr>
          <w:p w:rsidR="00AA0FEE" w:rsidRDefault="00281D83">
            <w:pPr>
              <w:jc w:val="center"/>
            </w:pPr>
            <w:r>
              <w:rPr>
                <w:color w:val="000000"/>
                <w:kern w:val="0"/>
                <w:sz w:val="24"/>
                <w:szCs w:val="24"/>
              </w:rPr>
              <w:t>18</w:t>
            </w:r>
            <w:r>
              <w:rPr>
                <w:color w:val="000000"/>
                <w:kern w:val="0"/>
                <w:sz w:val="24"/>
                <w:szCs w:val="24"/>
              </w:rPr>
              <w:t>国开</w:t>
            </w:r>
            <w:r>
              <w:rPr>
                <w:color w:val="000000"/>
                <w:kern w:val="0"/>
                <w:sz w:val="24"/>
                <w:szCs w:val="24"/>
              </w:rPr>
              <w:t>12</w:t>
            </w:r>
          </w:p>
        </w:tc>
        <w:tc>
          <w:tcPr>
            <w:tcW w:w="1560" w:type="dxa"/>
            <w:vAlign w:val="center"/>
          </w:tcPr>
          <w:p w:rsidR="00AA0FEE" w:rsidRDefault="00281D83">
            <w:pPr>
              <w:jc w:val="right"/>
            </w:pPr>
            <w:r>
              <w:rPr>
                <w:color w:val="000000"/>
                <w:kern w:val="0"/>
                <w:sz w:val="24"/>
                <w:szCs w:val="24"/>
              </w:rPr>
              <w:t>18,600,000</w:t>
            </w:r>
          </w:p>
        </w:tc>
        <w:tc>
          <w:tcPr>
            <w:tcW w:w="1984" w:type="dxa"/>
            <w:vAlign w:val="center"/>
          </w:tcPr>
          <w:p w:rsidR="00AA0FEE" w:rsidRDefault="00281D83">
            <w:pPr>
              <w:jc w:val="right"/>
            </w:pPr>
            <w:r>
              <w:rPr>
                <w:color w:val="000000"/>
                <w:kern w:val="0"/>
                <w:sz w:val="24"/>
                <w:szCs w:val="24"/>
              </w:rPr>
              <w:t>1,889,202,000.00</w:t>
            </w:r>
          </w:p>
        </w:tc>
        <w:tc>
          <w:tcPr>
            <w:tcW w:w="1474" w:type="dxa"/>
            <w:vAlign w:val="center"/>
          </w:tcPr>
          <w:p w:rsidR="00AA0FEE" w:rsidRDefault="00281D83">
            <w:pPr>
              <w:jc w:val="right"/>
            </w:pPr>
            <w:r>
              <w:rPr>
                <w:color w:val="000000"/>
                <w:kern w:val="0"/>
                <w:sz w:val="24"/>
                <w:szCs w:val="24"/>
              </w:rPr>
              <w:t>7.11</w:t>
            </w:r>
          </w:p>
        </w:tc>
      </w:tr>
      <w:tr w:rsidR="00AA0FEE">
        <w:tc>
          <w:tcPr>
            <w:tcW w:w="959" w:type="dxa"/>
            <w:vAlign w:val="center"/>
          </w:tcPr>
          <w:p w:rsidR="00AA0FEE" w:rsidRDefault="00281D83">
            <w:pPr>
              <w:jc w:val="center"/>
            </w:pPr>
            <w:r>
              <w:rPr>
                <w:color w:val="000000"/>
                <w:kern w:val="0"/>
                <w:sz w:val="24"/>
                <w:szCs w:val="24"/>
              </w:rPr>
              <w:t>2</w:t>
            </w:r>
          </w:p>
        </w:tc>
        <w:tc>
          <w:tcPr>
            <w:tcW w:w="1276" w:type="dxa"/>
            <w:vAlign w:val="center"/>
          </w:tcPr>
          <w:p w:rsidR="00AA0FEE" w:rsidRDefault="00281D83">
            <w:pPr>
              <w:jc w:val="center"/>
            </w:pPr>
            <w:r>
              <w:rPr>
                <w:color w:val="000000"/>
                <w:kern w:val="0"/>
                <w:sz w:val="24"/>
                <w:szCs w:val="24"/>
              </w:rPr>
              <w:t>112004019</w:t>
            </w:r>
          </w:p>
        </w:tc>
        <w:tc>
          <w:tcPr>
            <w:tcW w:w="1275" w:type="dxa"/>
            <w:vAlign w:val="center"/>
          </w:tcPr>
          <w:p w:rsidR="00AA0FEE" w:rsidRDefault="00281D83">
            <w:pPr>
              <w:jc w:val="center"/>
            </w:pPr>
            <w:r>
              <w:rPr>
                <w:color w:val="000000"/>
                <w:kern w:val="0"/>
                <w:sz w:val="24"/>
                <w:szCs w:val="24"/>
              </w:rPr>
              <w:t>20</w:t>
            </w:r>
            <w:r>
              <w:rPr>
                <w:color w:val="000000"/>
                <w:kern w:val="0"/>
                <w:sz w:val="24"/>
                <w:szCs w:val="24"/>
              </w:rPr>
              <w:t>中国银行</w:t>
            </w:r>
            <w:r>
              <w:rPr>
                <w:color w:val="000000"/>
                <w:kern w:val="0"/>
                <w:sz w:val="24"/>
                <w:szCs w:val="24"/>
              </w:rPr>
              <w:t>CD019</w:t>
            </w:r>
          </w:p>
        </w:tc>
        <w:tc>
          <w:tcPr>
            <w:tcW w:w="1560" w:type="dxa"/>
            <w:vAlign w:val="center"/>
          </w:tcPr>
          <w:p w:rsidR="00AA0FEE" w:rsidRDefault="00281D83">
            <w:pPr>
              <w:jc w:val="right"/>
            </w:pPr>
            <w:r>
              <w:rPr>
                <w:color w:val="000000"/>
                <w:kern w:val="0"/>
                <w:sz w:val="24"/>
                <w:szCs w:val="24"/>
              </w:rPr>
              <w:t>10,000,000</w:t>
            </w:r>
          </w:p>
        </w:tc>
        <w:tc>
          <w:tcPr>
            <w:tcW w:w="1984" w:type="dxa"/>
            <w:vAlign w:val="center"/>
          </w:tcPr>
          <w:p w:rsidR="00AA0FEE" w:rsidRDefault="00281D83">
            <w:pPr>
              <w:jc w:val="right"/>
            </w:pPr>
            <w:r>
              <w:rPr>
                <w:color w:val="000000"/>
                <w:kern w:val="0"/>
                <w:sz w:val="24"/>
                <w:szCs w:val="24"/>
              </w:rPr>
              <w:t>977,100,000.00</w:t>
            </w:r>
          </w:p>
        </w:tc>
        <w:tc>
          <w:tcPr>
            <w:tcW w:w="1474" w:type="dxa"/>
            <w:vAlign w:val="center"/>
          </w:tcPr>
          <w:p w:rsidR="00AA0FEE" w:rsidRDefault="00281D83">
            <w:pPr>
              <w:jc w:val="right"/>
            </w:pPr>
            <w:r>
              <w:rPr>
                <w:color w:val="000000"/>
                <w:kern w:val="0"/>
                <w:sz w:val="24"/>
                <w:szCs w:val="24"/>
              </w:rPr>
              <w:t>3.68</w:t>
            </w:r>
          </w:p>
        </w:tc>
      </w:tr>
      <w:tr w:rsidR="00AA0FEE">
        <w:tc>
          <w:tcPr>
            <w:tcW w:w="959" w:type="dxa"/>
            <w:vAlign w:val="center"/>
          </w:tcPr>
          <w:p w:rsidR="00AA0FEE" w:rsidRDefault="00281D83">
            <w:pPr>
              <w:jc w:val="center"/>
            </w:pPr>
            <w:r>
              <w:rPr>
                <w:color w:val="000000"/>
                <w:kern w:val="0"/>
                <w:sz w:val="24"/>
                <w:szCs w:val="24"/>
              </w:rPr>
              <w:t>3</w:t>
            </w:r>
          </w:p>
        </w:tc>
        <w:tc>
          <w:tcPr>
            <w:tcW w:w="1276" w:type="dxa"/>
            <w:vAlign w:val="center"/>
          </w:tcPr>
          <w:p w:rsidR="00AA0FEE" w:rsidRDefault="00281D83">
            <w:pPr>
              <w:jc w:val="center"/>
            </w:pPr>
            <w:r>
              <w:rPr>
                <w:color w:val="000000"/>
                <w:kern w:val="0"/>
                <w:sz w:val="24"/>
                <w:szCs w:val="24"/>
              </w:rPr>
              <w:t>112006065</w:t>
            </w:r>
          </w:p>
        </w:tc>
        <w:tc>
          <w:tcPr>
            <w:tcW w:w="1275" w:type="dxa"/>
            <w:vAlign w:val="center"/>
          </w:tcPr>
          <w:p w:rsidR="00AA0FEE" w:rsidRDefault="00281D83">
            <w:pPr>
              <w:jc w:val="center"/>
            </w:pPr>
            <w:r>
              <w:rPr>
                <w:color w:val="000000"/>
                <w:kern w:val="0"/>
                <w:sz w:val="24"/>
                <w:szCs w:val="24"/>
              </w:rPr>
              <w:t>20</w:t>
            </w:r>
            <w:r>
              <w:rPr>
                <w:color w:val="000000"/>
                <w:kern w:val="0"/>
                <w:sz w:val="24"/>
                <w:szCs w:val="24"/>
              </w:rPr>
              <w:t>交通银行</w:t>
            </w:r>
            <w:r>
              <w:rPr>
                <w:color w:val="000000"/>
                <w:kern w:val="0"/>
                <w:sz w:val="24"/>
                <w:szCs w:val="24"/>
              </w:rPr>
              <w:t>CD065</w:t>
            </w:r>
          </w:p>
        </w:tc>
        <w:tc>
          <w:tcPr>
            <w:tcW w:w="1560" w:type="dxa"/>
            <w:vAlign w:val="center"/>
          </w:tcPr>
          <w:p w:rsidR="00AA0FEE" w:rsidRDefault="00281D83">
            <w:pPr>
              <w:jc w:val="right"/>
            </w:pPr>
            <w:r>
              <w:rPr>
                <w:color w:val="000000"/>
                <w:kern w:val="0"/>
                <w:sz w:val="24"/>
                <w:szCs w:val="24"/>
              </w:rPr>
              <w:t>10,000,000</w:t>
            </w:r>
          </w:p>
        </w:tc>
        <w:tc>
          <w:tcPr>
            <w:tcW w:w="1984" w:type="dxa"/>
            <w:vAlign w:val="center"/>
          </w:tcPr>
          <w:p w:rsidR="00AA0FEE" w:rsidRDefault="00281D83">
            <w:pPr>
              <w:jc w:val="right"/>
            </w:pPr>
            <w:r>
              <w:rPr>
                <w:color w:val="000000"/>
                <w:kern w:val="0"/>
                <w:sz w:val="24"/>
                <w:szCs w:val="24"/>
              </w:rPr>
              <w:t>976,900,000.00</w:t>
            </w:r>
          </w:p>
        </w:tc>
        <w:tc>
          <w:tcPr>
            <w:tcW w:w="1474" w:type="dxa"/>
            <w:vAlign w:val="center"/>
          </w:tcPr>
          <w:p w:rsidR="00AA0FEE" w:rsidRDefault="00281D83">
            <w:pPr>
              <w:jc w:val="right"/>
            </w:pPr>
            <w:r>
              <w:rPr>
                <w:color w:val="000000"/>
                <w:kern w:val="0"/>
                <w:sz w:val="24"/>
                <w:szCs w:val="24"/>
              </w:rPr>
              <w:t>3.68</w:t>
            </w:r>
          </w:p>
        </w:tc>
      </w:tr>
      <w:tr w:rsidR="00AA0FEE">
        <w:tc>
          <w:tcPr>
            <w:tcW w:w="959" w:type="dxa"/>
            <w:vAlign w:val="center"/>
          </w:tcPr>
          <w:p w:rsidR="00AA0FEE" w:rsidRDefault="00281D83">
            <w:pPr>
              <w:jc w:val="center"/>
            </w:pPr>
            <w:r>
              <w:rPr>
                <w:color w:val="000000"/>
                <w:kern w:val="0"/>
                <w:sz w:val="24"/>
                <w:szCs w:val="24"/>
              </w:rPr>
              <w:t>4</w:t>
            </w:r>
          </w:p>
        </w:tc>
        <w:tc>
          <w:tcPr>
            <w:tcW w:w="1276" w:type="dxa"/>
            <w:vAlign w:val="center"/>
          </w:tcPr>
          <w:p w:rsidR="00AA0FEE" w:rsidRDefault="00281D83">
            <w:pPr>
              <w:jc w:val="center"/>
            </w:pPr>
            <w:r>
              <w:rPr>
                <w:color w:val="000000"/>
                <w:kern w:val="0"/>
                <w:sz w:val="24"/>
                <w:szCs w:val="24"/>
              </w:rPr>
              <w:t>180409</w:t>
            </w:r>
          </w:p>
        </w:tc>
        <w:tc>
          <w:tcPr>
            <w:tcW w:w="1275" w:type="dxa"/>
            <w:vAlign w:val="center"/>
          </w:tcPr>
          <w:p w:rsidR="00AA0FEE" w:rsidRDefault="00281D83">
            <w:pPr>
              <w:jc w:val="center"/>
            </w:pPr>
            <w:r>
              <w:rPr>
                <w:color w:val="000000"/>
                <w:kern w:val="0"/>
                <w:sz w:val="24"/>
                <w:szCs w:val="24"/>
              </w:rPr>
              <w:t>18</w:t>
            </w:r>
            <w:r>
              <w:rPr>
                <w:color w:val="000000"/>
                <w:kern w:val="0"/>
                <w:sz w:val="24"/>
                <w:szCs w:val="24"/>
              </w:rPr>
              <w:t>农发</w:t>
            </w:r>
            <w:r>
              <w:rPr>
                <w:color w:val="000000"/>
                <w:kern w:val="0"/>
                <w:sz w:val="24"/>
                <w:szCs w:val="24"/>
              </w:rPr>
              <w:t>09</w:t>
            </w:r>
          </w:p>
        </w:tc>
        <w:tc>
          <w:tcPr>
            <w:tcW w:w="1560" w:type="dxa"/>
            <w:vAlign w:val="center"/>
          </w:tcPr>
          <w:p w:rsidR="00AA0FEE" w:rsidRDefault="00281D83">
            <w:pPr>
              <w:jc w:val="right"/>
            </w:pPr>
            <w:r>
              <w:rPr>
                <w:color w:val="000000"/>
                <w:kern w:val="0"/>
                <w:sz w:val="24"/>
                <w:szCs w:val="24"/>
              </w:rPr>
              <w:t>8,500,000</w:t>
            </w:r>
          </w:p>
        </w:tc>
        <w:tc>
          <w:tcPr>
            <w:tcW w:w="1984" w:type="dxa"/>
            <w:vAlign w:val="center"/>
          </w:tcPr>
          <w:p w:rsidR="00AA0FEE" w:rsidRDefault="00281D83">
            <w:pPr>
              <w:jc w:val="right"/>
            </w:pPr>
            <w:r>
              <w:rPr>
                <w:color w:val="000000"/>
                <w:kern w:val="0"/>
                <w:sz w:val="24"/>
                <w:szCs w:val="24"/>
              </w:rPr>
              <w:t>865,555,000.00</w:t>
            </w:r>
          </w:p>
        </w:tc>
        <w:tc>
          <w:tcPr>
            <w:tcW w:w="1474" w:type="dxa"/>
            <w:vAlign w:val="center"/>
          </w:tcPr>
          <w:p w:rsidR="00AA0FEE" w:rsidRDefault="00281D83">
            <w:pPr>
              <w:jc w:val="right"/>
            </w:pPr>
            <w:r>
              <w:rPr>
                <w:color w:val="000000"/>
                <w:kern w:val="0"/>
                <w:sz w:val="24"/>
                <w:szCs w:val="24"/>
              </w:rPr>
              <w:t>3.26</w:t>
            </w:r>
          </w:p>
        </w:tc>
      </w:tr>
      <w:tr w:rsidR="00AA0FEE">
        <w:tc>
          <w:tcPr>
            <w:tcW w:w="959" w:type="dxa"/>
            <w:vAlign w:val="center"/>
          </w:tcPr>
          <w:p w:rsidR="00AA0FEE" w:rsidRDefault="00281D83">
            <w:pPr>
              <w:jc w:val="center"/>
            </w:pPr>
            <w:r>
              <w:rPr>
                <w:color w:val="000000"/>
                <w:kern w:val="0"/>
                <w:sz w:val="24"/>
                <w:szCs w:val="24"/>
              </w:rPr>
              <w:t>5</w:t>
            </w:r>
          </w:p>
        </w:tc>
        <w:tc>
          <w:tcPr>
            <w:tcW w:w="1276" w:type="dxa"/>
            <w:vAlign w:val="center"/>
          </w:tcPr>
          <w:p w:rsidR="00AA0FEE" w:rsidRDefault="00281D83">
            <w:pPr>
              <w:jc w:val="center"/>
            </w:pPr>
            <w:r>
              <w:rPr>
                <w:color w:val="000000"/>
                <w:kern w:val="0"/>
                <w:sz w:val="24"/>
                <w:szCs w:val="24"/>
              </w:rPr>
              <w:t>111917054</w:t>
            </w:r>
          </w:p>
        </w:tc>
        <w:tc>
          <w:tcPr>
            <w:tcW w:w="1275" w:type="dxa"/>
            <w:vAlign w:val="center"/>
          </w:tcPr>
          <w:p w:rsidR="00AA0FEE" w:rsidRDefault="00281D83">
            <w:pPr>
              <w:jc w:val="center"/>
            </w:pPr>
            <w:r>
              <w:rPr>
                <w:color w:val="000000"/>
                <w:kern w:val="0"/>
                <w:sz w:val="24"/>
                <w:szCs w:val="24"/>
              </w:rPr>
              <w:t>19</w:t>
            </w:r>
            <w:r>
              <w:rPr>
                <w:color w:val="000000"/>
                <w:kern w:val="0"/>
                <w:sz w:val="24"/>
                <w:szCs w:val="24"/>
              </w:rPr>
              <w:t>光大银行</w:t>
            </w:r>
            <w:r>
              <w:rPr>
                <w:color w:val="000000"/>
                <w:kern w:val="0"/>
                <w:sz w:val="24"/>
                <w:szCs w:val="24"/>
              </w:rPr>
              <w:t>CD054</w:t>
            </w:r>
          </w:p>
        </w:tc>
        <w:tc>
          <w:tcPr>
            <w:tcW w:w="1560" w:type="dxa"/>
            <w:vAlign w:val="center"/>
          </w:tcPr>
          <w:p w:rsidR="00AA0FEE" w:rsidRDefault="00281D83">
            <w:pPr>
              <w:jc w:val="right"/>
            </w:pPr>
            <w:r>
              <w:rPr>
                <w:color w:val="000000"/>
                <w:kern w:val="0"/>
                <w:sz w:val="24"/>
                <w:szCs w:val="24"/>
              </w:rPr>
              <w:t>8,000,000</w:t>
            </w:r>
          </w:p>
        </w:tc>
        <w:tc>
          <w:tcPr>
            <w:tcW w:w="1984" w:type="dxa"/>
            <w:vAlign w:val="center"/>
          </w:tcPr>
          <w:p w:rsidR="00AA0FEE" w:rsidRDefault="00281D83">
            <w:pPr>
              <w:jc w:val="right"/>
            </w:pPr>
            <w:r>
              <w:rPr>
                <w:color w:val="000000"/>
                <w:kern w:val="0"/>
                <w:sz w:val="24"/>
                <w:szCs w:val="24"/>
              </w:rPr>
              <w:t>776,560,000.00</w:t>
            </w:r>
          </w:p>
        </w:tc>
        <w:tc>
          <w:tcPr>
            <w:tcW w:w="1474" w:type="dxa"/>
            <w:vAlign w:val="center"/>
          </w:tcPr>
          <w:p w:rsidR="00AA0FEE" w:rsidRDefault="00281D83">
            <w:pPr>
              <w:jc w:val="right"/>
            </w:pPr>
            <w:r>
              <w:rPr>
                <w:color w:val="000000"/>
                <w:kern w:val="0"/>
                <w:sz w:val="24"/>
                <w:szCs w:val="24"/>
              </w:rPr>
              <w:t>2.92</w:t>
            </w:r>
          </w:p>
        </w:tc>
      </w:tr>
      <w:tr w:rsidR="00AA0FEE">
        <w:tc>
          <w:tcPr>
            <w:tcW w:w="959" w:type="dxa"/>
            <w:vAlign w:val="center"/>
          </w:tcPr>
          <w:p w:rsidR="00AA0FEE" w:rsidRDefault="00281D83">
            <w:pPr>
              <w:jc w:val="center"/>
            </w:pPr>
            <w:r>
              <w:rPr>
                <w:color w:val="000000"/>
                <w:kern w:val="0"/>
                <w:sz w:val="24"/>
                <w:szCs w:val="24"/>
              </w:rPr>
              <w:t>5</w:t>
            </w:r>
          </w:p>
        </w:tc>
        <w:tc>
          <w:tcPr>
            <w:tcW w:w="1276" w:type="dxa"/>
            <w:vAlign w:val="center"/>
          </w:tcPr>
          <w:p w:rsidR="00AA0FEE" w:rsidRDefault="00281D83">
            <w:pPr>
              <w:jc w:val="center"/>
            </w:pPr>
            <w:r>
              <w:rPr>
                <w:color w:val="000000"/>
                <w:kern w:val="0"/>
                <w:sz w:val="24"/>
                <w:szCs w:val="24"/>
              </w:rPr>
              <w:t>111918250</w:t>
            </w:r>
          </w:p>
        </w:tc>
        <w:tc>
          <w:tcPr>
            <w:tcW w:w="1275" w:type="dxa"/>
            <w:vAlign w:val="center"/>
          </w:tcPr>
          <w:p w:rsidR="00AA0FEE" w:rsidRDefault="00281D83">
            <w:pPr>
              <w:jc w:val="center"/>
            </w:pPr>
            <w:r>
              <w:rPr>
                <w:color w:val="000000"/>
                <w:kern w:val="0"/>
                <w:sz w:val="24"/>
                <w:szCs w:val="24"/>
              </w:rPr>
              <w:t>19</w:t>
            </w:r>
            <w:r>
              <w:rPr>
                <w:color w:val="000000"/>
                <w:kern w:val="0"/>
                <w:sz w:val="24"/>
                <w:szCs w:val="24"/>
              </w:rPr>
              <w:t>华夏银行</w:t>
            </w:r>
            <w:r>
              <w:rPr>
                <w:color w:val="000000"/>
                <w:kern w:val="0"/>
                <w:sz w:val="24"/>
                <w:szCs w:val="24"/>
              </w:rPr>
              <w:t>CD250</w:t>
            </w:r>
          </w:p>
        </w:tc>
        <w:tc>
          <w:tcPr>
            <w:tcW w:w="1560" w:type="dxa"/>
            <w:vAlign w:val="center"/>
          </w:tcPr>
          <w:p w:rsidR="00AA0FEE" w:rsidRDefault="00281D83">
            <w:pPr>
              <w:jc w:val="right"/>
            </w:pPr>
            <w:r>
              <w:rPr>
                <w:color w:val="000000"/>
                <w:kern w:val="0"/>
                <w:sz w:val="24"/>
                <w:szCs w:val="24"/>
              </w:rPr>
              <w:t>8,000,000</w:t>
            </w:r>
          </w:p>
        </w:tc>
        <w:tc>
          <w:tcPr>
            <w:tcW w:w="1984" w:type="dxa"/>
            <w:vAlign w:val="center"/>
          </w:tcPr>
          <w:p w:rsidR="00AA0FEE" w:rsidRDefault="00281D83">
            <w:pPr>
              <w:jc w:val="right"/>
            </w:pPr>
            <w:r>
              <w:rPr>
                <w:color w:val="000000"/>
                <w:kern w:val="0"/>
                <w:sz w:val="24"/>
                <w:szCs w:val="24"/>
              </w:rPr>
              <w:t>776,560,000.00</w:t>
            </w:r>
          </w:p>
        </w:tc>
        <w:tc>
          <w:tcPr>
            <w:tcW w:w="1474" w:type="dxa"/>
            <w:vAlign w:val="center"/>
          </w:tcPr>
          <w:p w:rsidR="00AA0FEE" w:rsidRDefault="00281D83">
            <w:pPr>
              <w:jc w:val="right"/>
            </w:pPr>
            <w:r>
              <w:rPr>
                <w:color w:val="000000"/>
                <w:kern w:val="0"/>
                <w:sz w:val="24"/>
                <w:szCs w:val="24"/>
              </w:rPr>
              <w:t>2.92</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本基金本报告期末未持有资产支持证券。</w:t>
      </w:r>
    </w:p>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7月3日，中国银行保险监督管理委员会对中国邮政储蓄银行股份有限公司的如下违法违规行为作出罚款140万元的决定：1、未按要求对代理营业机构进行考核；2、劳务派遣工违规担任综合柜员；3、员工信息管理不到位；4、未按规定开展审计工作。2020年3月9日，中国银行保险监督管理委员会对中国邮政储蓄银行股份有限公司的如下违法违规行为作出罚款50万元的行政处罚决定：可回溯制度执行不到位、可回溯基础管理不到位、未传递或缺失可回溯</w:t>
      </w:r>
      <w:r w:rsidRPr="00264E55">
        <w:rPr>
          <w:rFonts w:ascii="宋体" w:hAnsi="宋体"/>
          <w:color w:val="000000"/>
          <w:sz w:val="24"/>
          <w:szCs w:val="24"/>
        </w:rPr>
        <w:lastRenderedPageBreak/>
        <w:t>视频资料、质检不合格业务占比较高。2020年4月20日，中国银行保险监督管理委员会对中国邮政储蓄银行股份有限公司的如下违法违规行为作出罚款190万元的行政处罚决定：邮储银行监管标准化数据（EAST）系统数据质量及数据报送存在（一）资金交易信息漏报严重；（二）贷款核销业务漏报或错报；（三）贸易融资业务漏报；（四）分户账明细记录应报未报；（五）分户账账户数据应报未报；（六）错报总账会计数据；（七）关键且应报字段漏报或填报错误。</w:t>
      </w:r>
    </w:p>
    <w:p w:rsidR="00AA0FEE" w:rsidRDefault="00281D83">
      <w:pPr>
        <w:spacing w:line="360" w:lineRule="auto"/>
        <w:rPr>
          <w:rFonts w:ascii="宋体" w:hAnsi="宋体"/>
          <w:color w:val="000000"/>
          <w:sz w:val="24"/>
          <w:szCs w:val="24"/>
        </w:rPr>
      </w:pPr>
      <w:r>
        <w:rPr>
          <w:rFonts w:ascii="宋体" w:hAnsi="宋体"/>
          <w:color w:val="000000"/>
          <w:sz w:val="24"/>
          <w:szCs w:val="24"/>
        </w:rPr>
        <w:t>2020年4月20日，中国银行保险监督管理委员会对中国银行股份有限公司的如下违法违规行为作出罚款270万元的行政处罚决定：中国银行监管标准化数据（EAST）系统数据质量及数据报送存在（一）理财产品数量漏报；（二）资金交易信息漏报严重；（三）贸易融资业务漏报；（四）分户账明细记录应报未报；（五）分户账账户数据应报未报；（六）关键且应报字段漏报或填报错误。</w:t>
      </w:r>
    </w:p>
    <w:p w:rsidR="00AA0FEE" w:rsidRDefault="00281D83">
      <w:pPr>
        <w:spacing w:line="360" w:lineRule="auto"/>
        <w:rPr>
          <w:rFonts w:ascii="宋体" w:hAnsi="宋体"/>
          <w:color w:val="000000"/>
          <w:sz w:val="24"/>
          <w:szCs w:val="24"/>
        </w:rPr>
      </w:pPr>
      <w:r>
        <w:rPr>
          <w:rFonts w:ascii="宋体" w:hAnsi="宋体"/>
          <w:color w:val="000000"/>
          <w:sz w:val="24"/>
          <w:szCs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rsidR="00AA0FEE" w:rsidRDefault="00281D83">
      <w:pPr>
        <w:spacing w:line="360" w:lineRule="auto"/>
        <w:rPr>
          <w:rFonts w:ascii="宋体" w:hAnsi="宋体"/>
          <w:color w:val="000000"/>
          <w:sz w:val="24"/>
          <w:szCs w:val="24"/>
        </w:rPr>
      </w:pPr>
      <w:r>
        <w:rPr>
          <w:rFonts w:ascii="宋体" w:hAnsi="宋体"/>
          <w:color w:val="000000"/>
          <w:sz w:val="24"/>
          <w:szCs w:val="24"/>
        </w:rPr>
        <w:t>2020年4月30日，北京市西城区卫生健康委员会对中国农业发展银行违反《北京市生活饮用水卫生监督管理条例》第二十一条第（三）项的行为作出“罚款5000元”的行政处罚决定。</w:t>
      </w:r>
    </w:p>
    <w:p w:rsidR="00AA0FEE" w:rsidRDefault="00281D83">
      <w:pPr>
        <w:spacing w:line="360" w:lineRule="auto"/>
        <w:rPr>
          <w:rFonts w:ascii="宋体" w:hAnsi="宋体"/>
          <w:color w:val="000000"/>
          <w:sz w:val="24"/>
          <w:szCs w:val="24"/>
        </w:rPr>
      </w:pPr>
      <w:r>
        <w:rPr>
          <w:rFonts w:ascii="宋体" w:hAnsi="宋体"/>
          <w:color w:val="000000"/>
          <w:sz w:val="24"/>
          <w:szCs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w:t>
      </w:r>
      <w:r>
        <w:rPr>
          <w:rFonts w:ascii="宋体" w:hAnsi="宋体"/>
          <w:color w:val="000000"/>
          <w:sz w:val="24"/>
          <w:szCs w:val="24"/>
        </w:rPr>
        <w:lastRenderedPageBreak/>
        <w:t>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AA0FEE" w:rsidRDefault="00281D83">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rsidR="00AA0FEE" w:rsidRDefault="00281D83">
      <w:pPr>
        <w:spacing w:line="360" w:lineRule="auto"/>
        <w:rPr>
          <w:rFonts w:ascii="宋体" w:hAnsi="宋体"/>
          <w:color w:val="000000"/>
          <w:sz w:val="24"/>
          <w:szCs w:val="24"/>
        </w:rPr>
      </w:pPr>
      <w:r>
        <w:rPr>
          <w:rFonts w:ascii="宋体" w:hAnsi="宋体"/>
          <w:color w:val="000000"/>
          <w:sz w:val="24"/>
          <w:szCs w:val="24"/>
        </w:rPr>
        <w:t>本基金投资邮储银行、20中国银行CD019、20交通银行CD065、18农发09、19光大银行CD054、19浦发银行CD245的投资决策程序符合公司投资制度的规定。</w:t>
      </w:r>
    </w:p>
    <w:p w:rsidR="00AA0FEE" w:rsidRDefault="00281D83">
      <w:pPr>
        <w:spacing w:line="360" w:lineRule="auto"/>
        <w:rPr>
          <w:rFonts w:ascii="宋体" w:hAnsi="宋体"/>
          <w:color w:val="000000"/>
          <w:sz w:val="24"/>
          <w:szCs w:val="24"/>
        </w:rPr>
      </w:pPr>
      <w:r>
        <w:rPr>
          <w:rFonts w:ascii="宋体" w:hAnsi="宋体"/>
          <w:color w:val="000000"/>
          <w:sz w:val="24"/>
          <w:szCs w:val="24"/>
        </w:rPr>
        <w:t>除邮储银行、20中国银行CD019、20交通银行CD065、18农发09、19光大银行CD054、19浦发银行CD245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775,531.75</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24,999,982.29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353,894,819.04</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379,670,333.08</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本基金本报告期末未持有处于转股期的可转换债券。</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750D48" w:rsidRPr="00264E55" w:rsidTr="00B05049">
        <w:tc>
          <w:tcPr>
            <w:tcW w:w="1083"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302"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股票代码</w:t>
            </w:r>
          </w:p>
        </w:tc>
        <w:tc>
          <w:tcPr>
            <w:tcW w:w="1301"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股票名称</w:t>
            </w:r>
          </w:p>
        </w:tc>
        <w:tc>
          <w:tcPr>
            <w:tcW w:w="1805"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w="1655"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w="1367"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流通受限情况说明</w:t>
            </w:r>
          </w:p>
        </w:tc>
      </w:tr>
      <w:tr w:rsidR="00AA0FEE">
        <w:tc>
          <w:tcPr>
            <w:tcW w:w="1083" w:type="dxa"/>
            <w:vAlign w:val="center"/>
          </w:tcPr>
          <w:p w:rsidR="00AA0FEE" w:rsidRDefault="00281D83">
            <w:pPr>
              <w:jc w:val="center"/>
            </w:pPr>
            <w:r>
              <w:rPr>
                <w:color w:val="000000"/>
                <w:kern w:val="0"/>
                <w:sz w:val="24"/>
                <w:szCs w:val="24"/>
              </w:rPr>
              <w:t>1</w:t>
            </w:r>
          </w:p>
        </w:tc>
        <w:tc>
          <w:tcPr>
            <w:tcW w:w="1302" w:type="dxa"/>
            <w:vAlign w:val="center"/>
          </w:tcPr>
          <w:p w:rsidR="00AA0FEE" w:rsidRDefault="00281D83">
            <w:pPr>
              <w:jc w:val="center"/>
            </w:pPr>
            <w:r>
              <w:rPr>
                <w:color w:val="000000"/>
                <w:kern w:val="0"/>
                <w:sz w:val="24"/>
                <w:szCs w:val="24"/>
              </w:rPr>
              <w:t>601658</w:t>
            </w:r>
          </w:p>
        </w:tc>
        <w:tc>
          <w:tcPr>
            <w:tcW w:w="1301" w:type="dxa"/>
            <w:vAlign w:val="center"/>
          </w:tcPr>
          <w:p w:rsidR="00AA0FEE" w:rsidRDefault="00281D83">
            <w:pPr>
              <w:jc w:val="center"/>
            </w:pPr>
            <w:r>
              <w:rPr>
                <w:color w:val="000000"/>
                <w:kern w:val="0"/>
                <w:sz w:val="24"/>
                <w:szCs w:val="24"/>
              </w:rPr>
              <w:t>邮储银行</w:t>
            </w:r>
          </w:p>
        </w:tc>
        <w:tc>
          <w:tcPr>
            <w:tcW w:w="1805" w:type="dxa"/>
            <w:vAlign w:val="center"/>
          </w:tcPr>
          <w:p w:rsidR="00AA0FEE" w:rsidRDefault="00281D83">
            <w:pPr>
              <w:jc w:val="right"/>
            </w:pPr>
            <w:r>
              <w:rPr>
                <w:color w:val="000000"/>
                <w:kern w:val="0"/>
                <w:sz w:val="24"/>
                <w:szCs w:val="24"/>
              </w:rPr>
              <w:t>2,060,710,230.00</w:t>
            </w:r>
          </w:p>
        </w:tc>
        <w:tc>
          <w:tcPr>
            <w:tcW w:w="1655" w:type="dxa"/>
            <w:vAlign w:val="center"/>
          </w:tcPr>
          <w:p w:rsidR="00AA0FEE" w:rsidRDefault="00281D83">
            <w:pPr>
              <w:jc w:val="right"/>
            </w:pPr>
            <w:r>
              <w:rPr>
                <w:color w:val="000000"/>
                <w:kern w:val="0"/>
                <w:sz w:val="24"/>
                <w:szCs w:val="24"/>
              </w:rPr>
              <w:t>7.76</w:t>
            </w:r>
          </w:p>
        </w:tc>
        <w:tc>
          <w:tcPr>
            <w:tcW w:w="1367" w:type="dxa"/>
            <w:vAlign w:val="center"/>
          </w:tcPr>
          <w:p w:rsidR="00AA0FEE" w:rsidRDefault="00281D83">
            <w:pPr>
              <w:jc w:val="right"/>
            </w:pPr>
            <w:r>
              <w:rPr>
                <w:color w:val="000000"/>
                <w:kern w:val="0"/>
                <w:sz w:val="24"/>
                <w:szCs w:val="24"/>
              </w:rPr>
              <w:t>新股战略配售流通受限</w:t>
            </w:r>
          </w:p>
        </w:tc>
      </w:tr>
      <w:tr w:rsidR="00AA0FEE">
        <w:tc>
          <w:tcPr>
            <w:tcW w:w="1083" w:type="dxa"/>
            <w:vAlign w:val="center"/>
          </w:tcPr>
          <w:p w:rsidR="00AA0FEE" w:rsidRDefault="00281D83">
            <w:pPr>
              <w:jc w:val="center"/>
            </w:pPr>
            <w:r>
              <w:rPr>
                <w:color w:val="000000"/>
                <w:kern w:val="0"/>
                <w:sz w:val="24"/>
                <w:szCs w:val="24"/>
              </w:rPr>
              <w:t>2</w:t>
            </w:r>
          </w:p>
        </w:tc>
        <w:tc>
          <w:tcPr>
            <w:tcW w:w="1302" w:type="dxa"/>
            <w:vAlign w:val="center"/>
          </w:tcPr>
          <w:p w:rsidR="00AA0FEE" w:rsidRDefault="00281D83">
            <w:pPr>
              <w:jc w:val="center"/>
            </w:pPr>
            <w:r>
              <w:rPr>
                <w:color w:val="000000"/>
                <w:kern w:val="0"/>
                <w:sz w:val="24"/>
                <w:szCs w:val="24"/>
              </w:rPr>
              <w:t>003816</w:t>
            </w:r>
          </w:p>
        </w:tc>
        <w:tc>
          <w:tcPr>
            <w:tcW w:w="1301" w:type="dxa"/>
            <w:vAlign w:val="center"/>
          </w:tcPr>
          <w:p w:rsidR="00AA0FEE" w:rsidRDefault="00281D83">
            <w:pPr>
              <w:jc w:val="center"/>
            </w:pPr>
            <w:r>
              <w:rPr>
                <w:color w:val="000000"/>
                <w:kern w:val="0"/>
                <w:sz w:val="24"/>
                <w:szCs w:val="24"/>
              </w:rPr>
              <w:t>中国广核</w:t>
            </w:r>
          </w:p>
        </w:tc>
        <w:tc>
          <w:tcPr>
            <w:tcW w:w="1805" w:type="dxa"/>
            <w:vAlign w:val="center"/>
          </w:tcPr>
          <w:p w:rsidR="00AA0FEE" w:rsidRDefault="00281D83">
            <w:pPr>
              <w:jc w:val="right"/>
            </w:pPr>
            <w:r>
              <w:rPr>
                <w:color w:val="000000"/>
                <w:kern w:val="0"/>
                <w:sz w:val="24"/>
                <w:szCs w:val="24"/>
              </w:rPr>
              <w:t>1,622,016,200.00</w:t>
            </w:r>
          </w:p>
        </w:tc>
        <w:tc>
          <w:tcPr>
            <w:tcW w:w="1655" w:type="dxa"/>
            <w:vAlign w:val="center"/>
          </w:tcPr>
          <w:p w:rsidR="00AA0FEE" w:rsidRDefault="00281D83">
            <w:pPr>
              <w:jc w:val="right"/>
            </w:pPr>
            <w:r>
              <w:rPr>
                <w:color w:val="000000"/>
                <w:kern w:val="0"/>
                <w:sz w:val="24"/>
                <w:szCs w:val="24"/>
              </w:rPr>
              <w:t>6.11</w:t>
            </w:r>
          </w:p>
        </w:tc>
        <w:tc>
          <w:tcPr>
            <w:tcW w:w="1367" w:type="dxa"/>
            <w:vAlign w:val="center"/>
          </w:tcPr>
          <w:p w:rsidR="00AA0FEE" w:rsidRDefault="00281D83">
            <w:pPr>
              <w:jc w:val="right"/>
            </w:pPr>
            <w:r>
              <w:rPr>
                <w:color w:val="000000"/>
                <w:kern w:val="0"/>
                <w:sz w:val="24"/>
                <w:szCs w:val="24"/>
              </w:rPr>
              <w:t>新股战略配售流通受限</w:t>
            </w:r>
          </w:p>
        </w:tc>
      </w:tr>
      <w:tr w:rsidR="00AA0FEE">
        <w:tc>
          <w:tcPr>
            <w:tcW w:w="1083" w:type="dxa"/>
            <w:vAlign w:val="center"/>
          </w:tcPr>
          <w:p w:rsidR="00AA0FEE" w:rsidRDefault="00281D83">
            <w:pPr>
              <w:jc w:val="center"/>
            </w:pPr>
            <w:r>
              <w:rPr>
                <w:color w:val="000000"/>
                <w:kern w:val="0"/>
                <w:sz w:val="24"/>
                <w:szCs w:val="24"/>
              </w:rPr>
              <w:t>3</w:t>
            </w:r>
          </w:p>
        </w:tc>
        <w:tc>
          <w:tcPr>
            <w:tcW w:w="1302" w:type="dxa"/>
            <w:vAlign w:val="center"/>
          </w:tcPr>
          <w:p w:rsidR="00AA0FEE" w:rsidRDefault="00281D83">
            <w:pPr>
              <w:jc w:val="center"/>
            </w:pPr>
            <w:r>
              <w:rPr>
                <w:color w:val="000000"/>
                <w:kern w:val="0"/>
                <w:sz w:val="24"/>
                <w:szCs w:val="24"/>
              </w:rPr>
              <w:t>601816</w:t>
            </w:r>
          </w:p>
        </w:tc>
        <w:tc>
          <w:tcPr>
            <w:tcW w:w="1301" w:type="dxa"/>
            <w:vAlign w:val="center"/>
          </w:tcPr>
          <w:p w:rsidR="00AA0FEE" w:rsidRDefault="00281D83">
            <w:pPr>
              <w:jc w:val="center"/>
            </w:pPr>
            <w:r>
              <w:rPr>
                <w:color w:val="000000"/>
                <w:kern w:val="0"/>
                <w:sz w:val="24"/>
                <w:szCs w:val="24"/>
              </w:rPr>
              <w:t>京沪高铁</w:t>
            </w:r>
          </w:p>
        </w:tc>
        <w:tc>
          <w:tcPr>
            <w:tcW w:w="1805" w:type="dxa"/>
            <w:vAlign w:val="center"/>
          </w:tcPr>
          <w:p w:rsidR="00AA0FEE" w:rsidRDefault="00281D83">
            <w:pPr>
              <w:jc w:val="right"/>
            </w:pPr>
            <w:r>
              <w:rPr>
                <w:color w:val="000000"/>
                <w:kern w:val="0"/>
                <w:sz w:val="24"/>
                <w:szCs w:val="24"/>
              </w:rPr>
              <w:t>646,065,571.74</w:t>
            </w:r>
          </w:p>
        </w:tc>
        <w:tc>
          <w:tcPr>
            <w:tcW w:w="1655" w:type="dxa"/>
            <w:vAlign w:val="center"/>
          </w:tcPr>
          <w:p w:rsidR="00AA0FEE" w:rsidRDefault="00281D83">
            <w:pPr>
              <w:jc w:val="right"/>
            </w:pPr>
            <w:r>
              <w:rPr>
                <w:color w:val="000000"/>
                <w:kern w:val="0"/>
                <w:sz w:val="24"/>
                <w:szCs w:val="24"/>
              </w:rPr>
              <w:t>2.43</w:t>
            </w:r>
          </w:p>
        </w:tc>
        <w:tc>
          <w:tcPr>
            <w:tcW w:w="1367" w:type="dxa"/>
            <w:vAlign w:val="center"/>
          </w:tcPr>
          <w:p w:rsidR="00AA0FEE" w:rsidRDefault="00281D83">
            <w:pPr>
              <w:jc w:val="right"/>
            </w:pPr>
            <w:r>
              <w:rPr>
                <w:color w:val="000000"/>
                <w:kern w:val="0"/>
                <w:sz w:val="24"/>
                <w:szCs w:val="24"/>
              </w:rPr>
              <w:t>新股战略配售流通受限</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24,458,013,050.22</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24,458,013,050.22</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lastRenderedPageBreak/>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rsidR="00AA0FEE" w:rsidRDefault="00281D83">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w:t>
      </w:r>
      <w:r>
        <w:rPr>
          <w:color w:val="000000"/>
          <w:sz w:val="24"/>
          <w:szCs w:val="24"/>
        </w:rPr>
        <w:t>3</w:t>
      </w:r>
      <w:r>
        <w:rPr>
          <w:color w:val="000000"/>
          <w:sz w:val="24"/>
          <w:szCs w:val="24"/>
        </w:rPr>
        <w:t>年封闭运作战略配售灵活配置混合型证券投资基金（</w:t>
      </w:r>
      <w:r>
        <w:rPr>
          <w:color w:val="000000"/>
          <w:sz w:val="24"/>
          <w:szCs w:val="24"/>
        </w:rPr>
        <w:t>LOF</w:t>
      </w:r>
      <w:r>
        <w:rPr>
          <w:color w:val="000000"/>
          <w:sz w:val="24"/>
          <w:szCs w:val="24"/>
        </w:rPr>
        <w:t>）注册的文件；</w:t>
      </w:r>
    </w:p>
    <w:p w:rsidR="00AA0FEE" w:rsidRDefault="00281D83">
      <w:pPr>
        <w:spacing w:line="360" w:lineRule="auto"/>
        <w:ind w:firstLineChars="200" w:firstLine="480"/>
        <w:rPr>
          <w:color w:val="000000"/>
          <w:sz w:val="24"/>
          <w:szCs w:val="24"/>
        </w:rPr>
      </w:pPr>
      <w:r>
        <w:rPr>
          <w:color w:val="000000"/>
          <w:sz w:val="24"/>
          <w:szCs w:val="24"/>
        </w:rPr>
        <w:t>2.</w:t>
      </w:r>
      <w:r>
        <w:rPr>
          <w:color w:val="000000"/>
          <w:sz w:val="24"/>
          <w:szCs w:val="24"/>
        </w:rPr>
        <w:t>《易方达</w:t>
      </w:r>
      <w:r>
        <w:rPr>
          <w:color w:val="000000"/>
          <w:sz w:val="24"/>
          <w:szCs w:val="24"/>
        </w:rPr>
        <w:t>3</w:t>
      </w:r>
      <w:r>
        <w:rPr>
          <w:color w:val="000000"/>
          <w:sz w:val="24"/>
          <w:szCs w:val="24"/>
        </w:rPr>
        <w:t>年封闭运作战略配售灵活配置混合型证券投资基金（</w:t>
      </w:r>
      <w:r>
        <w:rPr>
          <w:color w:val="000000"/>
          <w:sz w:val="24"/>
          <w:szCs w:val="24"/>
        </w:rPr>
        <w:t>LOF</w:t>
      </w:r>
      <w:r>
        <w:rPr>
          <w:color w:val="000000"/>
          <w:sz w:val="24"/>
          <w:szCs w:val="24"/>
        </w:rPr>
        <w:t>）基金合同》；</w:t>
      </w:r>
    </w:p>
    <w:p w:rsidR="00AA0FEE" w:rsidRDefault="00281D83">
      <w:pPr>
        <w:spacing w:line="360" w:lineRule="auto"/>
        <w:ind w:firstLineChars="200" w:firstLine="480"/>
        <w:rPr>
          <w:color w:val="000000"/>
          <w:sz w:val="24"/>
          <w:szCs w:val="24"/>
        </w:rPr>
      </w:pPr>
      <w:r>
        <w:rPr>
          <w:color w:val="000000"/>
          <w:sz w:val="24"/>
          <w:szCs w:val="24"/>
        </w:rPr>
        <w:t>3.</w:t>
      </w:r>
      <w:r>
        <w:rPr>
          <w:color w:val="000000"/>
          <w:sz w:val="24"/>
          <w:szCs w:val="24"/>
        </w:rPr>
        <w:t>《易方达</w:t>
      </w:r>
      <w:r>
        <w:rPr>
          <w:color w:val="000000"/>
          <w:sz w:val="24"/>
          <w:szCs w:val="24"/>
        </w:rPr>
        <w:t>3</w:t>
      </w:r>
      <w:r>
        <w:rPr>
          <w:color w:val="000000"/>
          <w:sz w:val="24"/>
          <w:szCs w:val="24"/>
        </w:rPr>
        <w:t>年封闭运作战略配售灵活配置混合型证券投资基金（</w:t>
      </w:r>
      <w:r>
        <w:rPr>
          <w:color w:val="000000"/>
          <w:sz w:val="24"/>
          <w:szCs w:val="24"/>
        </w:rPr>
        <w:t>LOF</w:t>
      </w:r>
      <w:r>
        <w:rPr>
          <w:color w:val="000000"/>
          <w:sz w:val="24"/>
          <w:szCs w:val="24"/>
        </w:rPr>
        <w:t>）托管协议》；</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4.</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26A" w:rsidRDefault="0023726A" w:rsidP="00876D65">
      <w:r>
        <w:separator/>
      </w:r>
    </w:p>
  </w:endnote>
  <w:endnote w:type="continuationSeparator" w:id="0">
    <w:p w:rsidR="0023726A" w:rsidRDefault="0023726A"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108AF">
      <w:rPr>
        <w:rStyle w:val="a7"/>
        <w:noProof/>
      </w:rPr>
      <w:t>1</w:t>
    </w:r>
    <w:r>
      <w:rPr>
        <w:rStyle w:val="a7"/>
      </w:rPr>
      <w:fldChar w:fldCharType="end"/>
    </w:r>
    <w:r>
      <w:rPr>
        <w:rStyle w:val="a7"/>
        <w:rFonts w:hint="eastAsia"/>
      </w:rPr>
      <w:t>页共</w:t>
    </w:r>
    <w:r w:rsidR="0023726A">
      <w:fldChar w:fldCharType="begin"/>
    </w:r>
    <w:r w:rsidR="0023726A">
      <w:instrText xml:space="preserve"> NUMPAGES  \* Arabic  \* MERGEFORMAT </w:instrText>
    </w:r>
    <w:r w:rsidR="0023726A">
      <w:fldChar w:fldCharType="separate"/>
    </w:r>
    <w:r w:rsidR="00D108AF" w:rsidRPr="00D108AF">
      <w:rPr>
        <w:rStyle w:val="a7"/>
        <w:noProof/>
      </w:rPr>
      <w:t>16</w:t>
    </w:r>
    <w:r w:rsidR="0023726A">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108AF">
      <w:rPr>
        <w:rStyle w:val="a7"/>
        <w:noProof/>
      </w:rPr>
      <w:t>7</w:t>
    </w:r>
    <w:r>
      <w:rPr>
        <w:rStyle w:val="a7"/>
      </w:rPr>
      <w:fldChar w:fldCharType="end"/>
    </w:r>
    <w:r>
      <w:rPr>
        <w:rStyle w:val="a7"/>
        <w:rFonts w:hint="eastAsia"/>
      </w:rPr>
      <w:t>页共</w:t>
    </w:r>
    <w:fldSimple w:instr=" NUMPAGES  \* Arabic  \* MERGEFORMAT ">
      <w:r w:rsidR="00D108AF" w:rsidRPr="00D108AF">
        <w:rPr>
          <w:rStyle w:val="a7"/>
          <w:noProof/>
        </w:rPr>
        <w:t>16</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26A" w:rsidRDefault="0023726A" w:rsidP="00876D65">
      <w:r>
        <w:separator/>
      </w:r>
    </w:p>
  </w:footnote>
  <w:footnote w:type="continuationSeparator" w:id="0">
    <w:p w:rsidR="0023726A" w:rsidRDefault="0023726A"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w:t>
    </w:r>
    <w:r w:rsidRPr="00093704">
      <w:t>3</w:t>
    </w:r>
    <w:r w:rsidRPr="00093704">
      <w:t>年封闭运作战略配售灵活配置混合型证券投资基金（</w:t>
    </w:r>
    <w:r w:rsidRPr="00093704">
      <w:t>LOF</w:t>
    </w:r>
    <w:r w:rsidRPr="00093704">
      <w:t>）</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309E"/>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3726A"/>
    <w:rsid w:val="00240248"/>
    <w:rsid w:val="0024363B"/>
    <w:rsid w:val="00261111"/>
    <w:rsid w:val="00264E55"/>
    <w:rsid w:val="002661ED"/>
    <w:rsid w:val="00266337"/>
    <w:rsid w:val="00275745"/>
    <w:rsid w:val="0027688F"/>
    <w:rsid w:val="00276E44"/>
    <w:rsid w:val="00277FAE"/>
    <w:rsid w:val="00280C9F"/>
    <w:rsid w:val="00281D83"/>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0FEE"/>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08AF"/>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FE8BB61C-2916-4C09-AE58-4B382FA15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7231-E650-4B78-8F4B-807353063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16</Pages>
  <Words>1521</Words>
  <Characters>8672</Characters>
  <Application>Microsoft Office Word</Application>
  <DocSecurity>0</DocSecurity>
  <Lines>72</Lines>
  <Paragraphs>20</Paragraphs>
  <ScaleCrop>false</ScaleCrop>
  <Company/>
  <LinksUpToDate>false</LinksUpToDate>
  <CharactersWithSpaces>10173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346</cp:revision>
  <dcterms:created xsi:type="dcterms:W3CDTF">2012-10-16T06:07:00Z</dcterms:created>
  <dcterms:modified xsi:type="dcterms:W3CDTF">2020-07-16T10:55:00Z</dcterms:modified>
</cp:coreProperties>
</file>