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4A355B" w:rsidR="00F13451" w:rsidRDefault="00F13451" w:rsidRPr="00820253">
      <w:pPr>
        <w:autoSpaceDE w:val="0"/>
        <w:autoSpaceDN w:val="0"/>
        <w:adjustRightInd w:val="0"/>
        <w:spacing w:line="360" w:lineRule="auto"/>
        <w:jc w:val="left"/>
        <w:rPr>
          <w:rFonts w:ascii="宋体" w:cs="Arial"/>
          <w:color w:val="000000"/>
          <w:kern w:val="0"/>
          <w:sz w:val="24"/>
        </w:rPr>
      </w:pPr>
    </w:p>
    <w:p w:rsidP="001A149A" w:rsidR="00F13451" w:rsidRDefault="00F13451" w:rsidRPr="00820253">
      <w:pPr>
        <w:spacing w:line="360" w:lineRule="auto"/>
        <w:jc w:val="center"/>
        <w:rPr>
          <w:rFonts w:ascii="宋体" w:hAnsi="宋体"/>
          <w:b/>
          <w:sz w:val="36"/>
          <w:szCs w:val="36"/>
        </w:rPr>
      </w:pPr>
      <w:r w:rsidRPr="00820253">
        <w:rPr>
          <w:rFonts w:ascii="宋体"/>
          <w:b/>
          <w:sz w:val="36"/>
          <w:szCs w:val="36"/>
        </w:rPr>
        <w:t/>
      </w:r>
      <w:proofErr w:type="spellStart"/>
      <w:proofErr w:type="gramStart"/>
      <w:r w:rsidRPr="00820253">
        <w:rPr>
          <w:rFonts w:ascii="宋体" w:hAnsi="宋体"/>
          <w:b/>
          <w:sz w:val="36"/>
          <w:szCs w:val="36"/>
        </w:rPr>
        <w:t/>
      </w:r>
      <w:proofErr w:type="spellEnd"/>
      <w:proofErr w:type="gramEnd"/>
      <w:r w:rsidRPr="00820253">
        <w:rPr>
          <w:rFonts w:ascii="宋体" w:hAnsi="宋体"/>
          <w:b/>
          <w:sz w:val="36"/>
          <w:szCs w:val="36"/>
        </w:rPr>
        <w:t>易方达标普生物科技指数证券投资基金（LOF）</w:t>
      </w:r>
    </w:p>
    <w:p w:rsidP="001A149A" w:rsidR="00F13451" w:rsidRDefault="00F13451" w:rsidRPr="00820253">
      <w:pPr>
        <w:spacing w:line="360" w:lineRule="auto"/>
        <w:jc w:val="center"/>
        <w:rPr>
          <w:rFonts w:ascii="宋体" w:hAnsi="宋体"/>
          <w:b/>
          <w:sz w:val="36"/>
          <w:szCs w:val="36"/>
        </w:rPr>
      </w:pPr>
      <w:r w:rsidRPr="00820253">
        <w:rPr>
          <w:rFonts w:ascii="宋体" w:hAnsi="宋体"/>
          <w:b/>
          <w:sz w:val="36"/>
          <w:szCs w:val="36"/>
        </w:rPr>
        <w:t/>
      </w:r>
      <w:proofErr w:type="spellStart"/>
      <w:r w:rsidRPr="00820253">
        <w:rPr>
          <w:rFonts w:ascii="宋体" w:hAnsi="宋体"/>
          <w:b/>
          <w:sz w:val="36"/>
          <w:szCs w:val="36"/>
        </w:rPr>
        <w:t/>
      </w:r>
      <w:proofErr w:type="spellEnd"/>
      <w:r w:rsidRPr="00820253">
        <w:rPr>
          <w:rFonts w:ascii="宋体" w:hAnsi="宋体"/>
          <w:b/>
          <w:sz w:val="36"/>
          <w:szCs w:val="36"/>
        </w:rPr>
        <w:t>2020年第2季度报告</w:t>
      </w:r>
    </w:p>
    <w:p w:rsidP="001A149A" w:rsidR="00F13451" w:rsidRDefault="00F13451" w:rsidRPr="005771AC">
      <w:pPr>
        <w:spacing w:line="360" w:lineRule="auto"/>
        <w:jc w:val="center"/>
        <w:rPr>
          <w:rFonts w:ascii="宋体" w:hAnsi="宋体"/>
          <w:b/>
          <w:sz w:val="24"/>
          <w:szCs w:val="36"/>
        </w:rPr>
      </w:pPr>
      <w:r w:rsidRPr="005771AC">
        <w:rPr>
          <w:rFonts w:ascii="宋体"/>
          <w:b/>
          <w:sz w:val="24"/>
          <w:szCs w:val="36"/>
        </w:rPr>
        <w:t/>
      </w:r>
      <w:proofErr w:type="spellStart"/>
      <w:proofErr w:type="gramStart"/>
      <w:r w:rsidRPr="005771AC">
        <w:rPr>
          <w:rFonts w:ascii="宋体" w:hAnsi="宋体"/>
          <w:b/>
          <w:sz w:val="24"/>
          <w:szCs w:val="36"/>
        </w:rPr>
        <w:t/>
      </w:r>
      <w:proofErr w:type="spellEnd"/>
      <w:proofErr w:type="gramEnd"/>
      <w:r w:rsidRPr="005771AC">
        <w:rPr>
          <w:rFonts w:ascii="宋体" w:hAnsi="宋体"/>
          <w:b/>
          <w:sz w:val="24"/>
          <w:szCs w:val="36"/>
        </w:rPr>
        <w:t>2020年6月30日</w:t>
      </w: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rPr>
          <w:rFonts w:ascii="宋体"/>
          <w:b/>
          <w:color w:val="000000"/>
          <w:sz w:val="24"/>
        </w:rPr>
      </w:pP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基金管理人：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易方达基金管理有限公司</w:t>
      </w: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基金托管人：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中国建设银行股份有限公司</w:t>
      </w:r>
    </w:p>
    <w:p w:rsidP="00476756" w:rsidR="00F13451" w:rsidRDefault="00F13451" w:rsidRPr="00820253">
      <w:pPr>
        <w:spacing w:line="360" w:lineRule="auto"/>
        <w:ind w:firstLine="2168" w:firstLineChars="900"/>
        <w:rPr>
          <w:rFonts w:ascii="宋体" w:hAnsi="宋体"/>
          <w:b/>
          <w:color w:val="000000"/>
          <w:sz w:val="24"/>
        </w:rPr>
        <w:sectPr w:rsidR="00F13451" w:rsidRPr="00820253" w:rsidSect="00D6226F">
          <w:headerReference r:id="rId8" w:type="default"/>
          <w:footerReference r:id="rId9" w:type="default"/>
          <w:pgSz w:h="15840" w:w="11926"/>
          <w:pgMar w:bottom="851" w:footer="992" w:gutter="0" w:header="851" w:left="1418" w:right="1418" w:top="1418"/>
          <w:cols w:space="720"/>
          <w:noEndnote/>
        </w:sectPr>
      </w:pPr>
      <w:r w:rsidRPr="00820253">
        <w:rPr>
          <w:rFonts w:ascii="宋体" w:hAnsi="宋体" w:hint="eastAsia"/>
          <w:b/>
          <w:color w:val="000000"/>
          <w:sz w:val="24"/>
        </w:rPr>
        <w:t>报告送出日期：</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二〇二〇年七月二十一日</w:t>
      </w:r>
    </w:p>
    <w:p w:rsidP="008B041C" w:rsidR="00F13451" w:rsidRDefault="00F13451" w:rsidRPr="00820253">
      <w:pPr>
        <w:pStyle w:val="1"/>
        <w:spacing w:after="312" w:afterLines="100" w:before="312" w:beforeLines="100" w:line="360" w:lineRule="auto"/>
        <w:jc w:val="center"/>
        <w:rPr>
          <w:rFonts w:ascii="宋体" w:cs="Arial"/>
          <w:b w:val="0"/>
          <w:color w:val="000000"/>
          <w:kern w:val="0"/>
          <w:sz w:val="24"/>
          <w:szCs w:val="24"/>
        </w:rPr>
      </w:pPr>
      <w:r w:rsidRPr="00820253">
        <w:rPr>
          <w:rFonts w:ascii="宋体" w:cs="Arial" w:hAnsi="宋体" w:hint="eastAsia"/>
          <w:color w:val="000000"/>
          <w:kern w:val="0"/>
          <w:sz w:val="24"/>
          <w:szCs w:val="24"/>
        </w:rPr>
        <w:lastRenderedPageBreak/>
        <w:t>§</w:t>
      </w:r>
      <w:r w:rsidRPr="00820253">
        <w:rPr>
          <w:rFonts w:ascii="宋体" w:cs="Arial" w:hAnsi="宋体"/>
          <w:color w:val="000000"/>
          <w:kern w:val="0"/>
          <w:sz w:val="24"/>
          <w:szCs w:val="24"/>
        </w:rPr>
        <w:t xml:space="preserve">1  </w:t>
      </w:r>
      <w:r w:rsidRPr="00820253">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本报告期自2020年4月1日起至6月30日止。</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2  </w:t>
      </w:r>
      <w:r w:rsidRPr="00820253">
        <w:rPr>
          <w:rFonts w:ascii="宋体" w:cs="Arial" w:hAnsi="宋体" w:hint="eastAsia"/>
          <w:color w:val="000000"/>
          <w:kern w:val="0"/>
          <w:sz w:val="24"/>
          <w:szCs w:val="24"/>
        </w:rPr>
        <w:t>基金产品概况</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597"/>
        <w:gridCol w:w="2790"/>
      </w:tblGrid>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kern w:val="0"/>
                <w:sz w:val="24"/>
              </w:rPr>
            </w:pPr>
            <w:r w:rsidRPr="0040658E">
              <w:rPr>
                <w:kern w:val="0"/>
                <w:sz w:val="24"/>
              </w:rPr>
              <w:t>基金简称</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易方达标普生物科技指数（QDII-LOF）</w:t>
            </w:r>
          </w:p>
        </w:tc>
      </w:tr>
      <w:tr w:rsidR="00C81A11" w:rsidRPr="00820253" w:rsidTr="0024781E">
        <w:tc>
          <w:tcPr>
            <w:tcW w:type="dxa" w:w="2977"/>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场内简称</w:t>
            </w:r>
          </w:p>
        </w:tc>
        <w:tc>
          <w:tcPr>
            <w:tcW w:type="dxa" w:w="5387"/>
            <w:gridSpan w:val="2"/>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标普生物</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基金主代码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161127</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交易代码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161127</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基金运作方式</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契约型、上市开放式（LOF）</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基金合同生效日</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2016年12月13日</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报告期末基金份额总额</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62,624,647.51</w:t>
            </w:r>
            <w:r w:rsidRPr="0040658E">
              <w:rPr>
                <w:color w:val="000000"/>
                <w:kern w:val="0"/>
                <w:sz w:val="24"/>
              </w:rPr>
              <w:t>份</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投资目标</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 xml:space="preserve">紧密跟踪业绩比较基准，追求跟踪偏离度及跟踪误差的最小化。 </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投资策略</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作为追踪标普生物指数的被动式海外指数基金，本基金采用完全复制法，力求追踪误差最小化。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业绩比较基准</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标普生物科技精选行业指数收益率（使用估值汇率折算）×95%+活期存款利率（税后）×5%</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风险收益特征</w:t>
            </w:r>
          </w:p>
        </w:tc>
        <w:tc>
          <w:tcPr>
            <w:tcW w:type="dxa" w:w="5387"/>
            <w:gridSpan w:val="2"/>
            <w:vAlign w:val="center"/>
          </w:tcPr>
          <w:p>
            <w:pPr>
              <w:adjustRightInd w:val="0"/>
              <w:spacing w:before="29" w:line="360" w:lineRule="auto"/>
              <w:ind w:left="17"/>
              <w:jc w:val="left"/>
              <w:rPr>
                <w:color w:val="000000"/>
                <w:sz w:val="24"/>
              </w:rPr>
            </w:pPr>
            <w:r>
              <w:rPr>
                <w:color w:val="000000"/>
                <w:kern w:val="0"/>
                <w:sz w:val="24"/>
              </w:rPr>
              <w:t xml:space="preserve">本基金属股票指数基金，预期风险与收益水平高于混合基金、债券基金与货币市场基金。本基金主要采用组合复制策略和适当的替代性策略实现对标的指数的紧密跟踪，具有与标的指数相似的风险收益特征。 </w:t>
            </w:r>
          </w:p>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本基金主要投资美国证券市场，需承担汇率风险以及境外市场的风险。</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基金管理人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易方达基金管理有限公司</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基金托管人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中国建设银行股份有限公司</w:t>
            </w:r>
          </w:p>
        </w:tc>
      </w:tr>
      <w:tr w:rsidR="00E83302" w:rsidRPr="00820253" w:rsidTr="00780E33">
        <w:tc>
          <w:tcPr>
            <w:tcW w:type="dxa" w:w="2977"/>
            <w:vMerge w:val="restart"/>
            <w:vAlign w:val="center"/>
          </w:tcPr>
          <w:p w:rsidP="00510BB5" w:rsidR="00E83302" w:rsidRDefault="00E83302" w:rsidRPr="0040658E">
            <w:pPr>
              <w:adjustRightInd w:val="0"/>
              <w:spacing w:before="29" w:line="360" w:lineRule="auto"/>
              <w:ind w:left="17"/>
              <w:jc w:val="left"/>
              <w:rPr>
                <w:kern w:val="0"/>
                <w:sz w:val="24"/>
              </w:rPr>
            </w:pPr>
            <w:r w:rsidRPr="0040658E">
              <w:rPr>
                <w:kern w:val="0"/>
                <w:sz w:val="24"/>
              </w:rPr>
              <w:t>境外投资顾问</w:t>
            </w: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英文名称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E83302" w:rsidRPr="00820253" w:rsidTr="00780E33">
        <w:tc>
          <w:tcPr>
            <w:tcW w:type="dxa" w:w="2977"/>
            <w:vMerge/>
            <w:vAlign w:val="center"/>
          </w:tcPr>
          <w:p w:rsidP="00510BB5" w:rsidR="00E83302" w:rsidRDefault="00E83302" w:rsidRPr="0040658E">
            <w:pPr>
              <w:adjustRightInd w:val="0"/>
              <w:spacing w:before="29" w:line="360" w:lineRule="auto"/>
              <w:ind w:left="17"/>
              <w:jc w:val="left"/>
              <w:rPr>
                <w:kern w:val="0"/>
                <w:sz w:val="24"/>
              </w:rPr>
            </w:pP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中文名称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0C6F3E" w:rsidRPr="00820253" w:rsidTr="00780E33">
        <w:tc>
          <w:tcPr>
            <w:tcW w:type="dxa" w:w="2977"/>
            <w:vMerge w:val="restart"/>
            <w:vAlign w:val="center"/>
          </w:tcPr>
          <w:p w:rsidP="00510BB5" w:rsidR="000C6F3E" w:rsidRDefault="000C6F3E" w:rsidRPr="0040658E">
            <w:pPr>
              <w:adjustRightInd w:val="0"/>
              <w:spacing w:before="29" w:line="360" w:lineRule="auto"/>
              <w:ind w:left="17"/>
              <w:jc w:val="left"/>
              <w:rPr>
                <w:kern w:val="0"/>
                <w:sz w:val="24"/>
              </w:rPr>
            </w:pPr>
            <w:r w:rsidRPr="0040658E">
              <w:rPr>
                <w:kern w:val="0"/>
                <w:sz w:val="24"/>
              </w:rPr>
              <w:t>境外资产托管人</w:t>
            </w: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英文名称</w:t>
            </w:r>
            <w:r>
              <w:rPr>
                <w:rFonts w:hint="eastAsia"/>
                <w:color w:val="000000"/>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State Street Bank and Trust Company</w:t>
            </w:r>
          </w:p>
        </w:tc>
      </w:tr>
      <w:tr w:rsidR="000C6F3E" w:rsidRPr="00820253" w:rsidTr="00780E33">
        <w:tc>
          <w:tcPr>
            <w:tcW w:type="dxa" w:w="2977"/>
            <w:vMerge/>
            <w:vAlign w:val="center"/>
          </w:tcPr>
          <w:p w:rsidP="00CA3C4F" w:rsidR="000C6F3E" w:rsidRDefault="000C6F3E" w:rsidRPr="0040658E">
            <w:pPr>
              <w:adjustRightInd w:val="0"/>
              <w:spacing w:before="29" w:line="360" w:lineRule="auto"/>
              <w:ind w:left="17"/>
              <w:jc w:val="left"/>
              <w:rPr>
                <w:kern w:val="0"/>
                <w:sz w:val="24"/>
              </w:rPr>
            </w:pP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中文名称</w:t>
            </w:r>
            <w:r>
              <w:rPr>
                <w:rFonts w:hint="eastAsia"/>
                <w:kern w:val="0"/>
                <w:sz w:val="24"/>
              </w:rPr>
              <w:t>：</w:t>
            </w:r>
            <w:r w:rsidRPr="0040658E">
              <w:rPr>
                <w:color w:val="000000"/>
                <w:kern w:val="0"/>
                <w:sz w:val="24"/>
              </w:rPr>
              <w:t xml:space="preserve"> </w:t>
            </w:r>
            <w:proofErr w:type="spellStart"/>
            <w:r w:rsidRPr="0040658E">
              <w:rPr>
                <w:color w:val="000000"/>
                <w:kern w:val="0"/>
                <w:sz w:val="24"/>
              </w:rPr>
              <w:t/>
            </w:r>
            <w:proofErr w:type="spellEnd"/>
            <w:r w:rsidRPr="0040658E">
              <w:rPr>
                <w:color w:val="000000"/>
                <w:kern w:val="0"/>
                <w:sz w:val="24"/>
              </w:rPr>
              <w:t>道富银行</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注：易方达标普生物科技指数（QDII-LOF）含人民币份额（份额代码：161127）及美元现汇份额（份额代码：003720），交易代码仅列示人民币份额代码。</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3  </w:t>
      </w:r>
      <w:r w:rsidRPr="00820253">
        <w:rPr>
          <w:rFonts w:ascii="宋体" w:cs="Arial" w:hAnsi="宋体" w:hint="eastAsia"/>
          <w:color w:val="000000"/>
          <w:kern w:val="0"/>
          <w:sz w:val="24"/>
          <w:szCs w:val="24"/>
        </w:rPr>
        <w:t>主要财务指标和基金净值表现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3.1 </w:t>
      </w:r>
      <w:r w:rsidRPr="00820253">
        <w:rPr>
          <w:rFonts w:ascii="宋体" w:cs="Arial" w:hAnsi="宋体" w:hint="eastAsia"/>
          <w:b/>
          <w:color w:val="000000"/>
          <w:kern w:val="0"/>
          <w:sz w:val="24"/>
        </w:rPr>
        <w:t>主要财务指标</w:t>
      </w:r>
    </w:p>
    <w:p w:rsidP="00B41C16" w:rsidR="00B41C16" w:rsidRDefault="00B41C16"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B41C16" w:rsidRPr="006506EF" w:rsidTr="00C3442A">
        <w:tc>
          <w:tcPr>
            <w:tcW w:type="dxa" w:w="3402"/>
            <w:vAlign w:val="center"/>
          </w:tcPr>
          <w:p w:rsidP="00C3442A" w:rsidR="00B41C16" w:rsidRDefault="00B41C16"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报告期</w:t>
            </w:r>
          </w:p>
          <w:p w:rsidP="00C3442A" w:rsidR="00B41C16" w:rsidRDefault="00B41C16"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8,313,729.80</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29,510,319.76</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0.4670</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103,707,070.56</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B41C16" w:rsidRPr="006506EF" w:rsidTr="00C3442A">
        <w:trPr>
          <w:trHeight w:val="158"/>
        </w:trPr>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1.6560</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8B041C" w:rsidR="00F13451" w:rsidRDefault="00B41C16" w:rsidRPr="008B041C">
      <w:pPr>
        <w:spacing w:line="360" w:lineRule="auto"/>
        <w:ind w:firstLine="480" w:firstLineChars="200"/>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3.2 </w:t>
      </w:r>
      <w:r w:rsidRPr="00820253">
        <w:rPr>
          <w:rFonts w:ascii="宋体" w:cs="Arial" w:hAnsi="宋体" w:hint="eastAsia"/>
          <w:b/>
          <w:color w:val="000000"/>
          <w:kern w:val="0"/>
          <w:sz w:val="24"/>
        </w:rPr>
        <w:t>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3.2.1</w:t>
        </w:r>
      </w:smartTag>
      <w:r w:rsidRPr="00820253">
        <w:rPr>
          <w:rFonts w:ascii="宋体" w:cs="Arial" w:hAnsi="宋体" w:hint="eastAsia"/>
          <w:b/>
          <w:color w:val="000000"/>
          <w:kern w:val="0"/>
          <w:sz w:val="24"/>
        </w:rPr>
        <w:t>本报告</w:t>
      </w:r>
      <w:proofErr w:type="gramStart"/>
      <w:r w:rsidRPr="00820253">
        <w:rPr>
          <w:rFonts w:ascii="宋体" w:cs="Arial" w:hAnsi="宋体" w:hint="eastAsia"/>
          <w:b/>
          <w:color w:val="000000"/>
          <w:kern w:val="0"/>
          <w:sz w:val="24"/>
        </w:rPr>
        <w:t>期基金</w:t>
      </w:r>
      <w:proofErr w:type="gramEnd"/>
      <w:r w:rsidRPr="00820253">
        <w:rPr>
          <w:rFonts w:ascii="宋体" w:cs="Arial" w:hAnsi="宋体" w:hint="eastAsia"/>
          <w:b/>
          <w:color w:val="000000"/>
          <w:kern w:val="0"/>
          <w:sz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13451" w:rsidRPr="00820253" w:rsidTr="00E35496">
        <w:tc>
          <w:tcPr>
            <w:tcW w:type="dxa" w:w="1395"/>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阶段</w:t>
            </w:r>
            <w:r w:rsidRPr="00431EE1">
              <w:rPr>
                <w:color w:val="000000"/>
                <w:sz w:val="24"/>
              </w:rPr>
              <w:t/>
            </w:r>
            <w:proofErr w:type="spellStart"/>
            <w:r w:rsidRPr="00431EE1">
              <w:rPr>
                <w:color w:val="000000"/>
                <w:sz w:val="24"/>
              </w:rPr>
              <w:t/>
            </w:r>
            <w:proofErr w:type="spellEnd"/>
            <w:r w:rsidRPr="00431EE1">
              <w:rPr>
                <w:color w:val="000000"/>
                <w:sz w:val="24"/>
              </w:rPr>
              <w:t/>
            </w:r>
          </w:p>
        </w:tc>
        <w:tc>
          <w:tcPr>
            <w:tcW w:type="dxa" w:w="1092"/>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w:t>
            </w:r>
            <w:r w:rsidRPr="00431EE1">
              <w:rPr>
                <w:rFonts w:ascii="宋体" w:cs="宋体" w:hAnsi="宋体" w:hint="eastAsia"/>
                <w:color w:val="000000"/>
                <w:sz w:val="24"/>
              </w:rPr>
              <w:t>①</w:t>
            </w:r>
          </w:p>
        </w:tc>
        <w:tc>
          <w:tcPr>
            <w:tcW w:type="dxa" w:w="116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净值增长率标准差</w:t>
            </w:r>
            <w:r w:rsidRPr="00431EE1">
              <w:rPr>
                <w:rFonts w:ascii="宋体" w:cs="宋体" w:hAnsi="宋体" w:hint="eastAsia"/>
                <w:color w:val="000000"/>
                <w:sz w:val="24"/>
              </w:rPr>
              <w:t>②</w:t>
            </w:r>
          </w:p>
        </w:tc>
        <w:tc>
          <w:tcPr>
            <w:tcW w:type="dxa" w:w="118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w:t>
            </w:r>
            <w:r w:rsidRPr="00431EE1">
              <w:rPr>
                <w:rFonts w:ascii="宋体" w:cs="宋体" w:hAnsi="宋体" w:hint="eastAsia"/>
                <w:color w:val="000000"/>
                <w:sz w:val="24"/>
              </w:rPr>
              <w:t>③</w:t>
            </w:r>
          </w:p>
        </w:tc>
        <w:tc>
          <w:tcPr>
            <w:tcW w:type="dxa" w:w="1188"/>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业绩比较基准收益率标准差</w:t>
            </w:r>
            <w:r w:rsidRPr="00431EE1">
              <w:rPr>
                <w:rFonts w:ascii="宋体" w:cs="宋体" w:hAnsi="宋体" w:hint="eastAsia"/>
                <w:color w:val="000000"/>
                <w:sz w:val="24"/>
              </w:rPr>
              <w:t>④</w:t>
            </w:r>
          </w:p>
        </w:tc>
        <w:tc>
          <w:tcPr>
            <w:tcW w:type="dxa" w:w="1199"/>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①</w:t>
            </w:r>
            <w:r w:rsidRPr="00431EE1">
              <w:rPr>
                <w:color w:val="000000"/>
                <w:sz w:val="24"/>
              </w:rPr>
              <w:t>-</w:t>
            </w:r>
            <w:r w:rsidRPr="00431EE1">
              <w:rPr>
                <w:rFonts w:ascii="宋体" w:cs="宋体" w:hAnsi="宋体" w:hint="eastAsia"/>
                <w:color w:val="000000"/>
                <w:sz w:val="24"/>
              </w:rPr>
              <w:t>③</w:t>
            </w:r>
          </w:p>
        </w:tc>
        <w:tc>
          <w:tcPr>
            <w:tcW w:type="dxa" w:w="1204"/>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②</w:t>
            </w:r>
            <w:r w:rsidRPr="00431EE1">
              <w:rPr>
                <w:color w:val="000000"/>
                <w:sz w:val="24"/>
              </w:rPr>
              <w:t>-</w:t>
            </w:r>
            <w:r w:rsidRPr="00431EE1">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40.53%</w:t>
            </w:r>
          </w:p>
        </w:tc>
        <w:tc>
          <w:tcPr>
            <w:vAlign w:val="center"/>
          </w:tcPr>
          <w:p>
            <w:pPr>
              <w:jc w:val="center"/>
            </w:pPr>
            <w:r>
              <w:rPr>
                <w:color w:val="000000"/>
                <w:sz w:val="24"/>
              </w:rPr>
              <w:t>2.40%</w:t>
            </w:r>
          </w:p>
        </w:tc>
        <w:tc>
          <w:tcPr>
            <w:vAlign w:val="center"/>
          </w:tcPr>
          <w:p>
            <w:pPr>
              <w:jc w:val="center"/>
            </w:pPr>
            <w:r>
              <w:rPr>
                <w:color w:val="000000"/>
                <w:sz w:val="24"/>
              </w:rPr>
              <w:t>41.82%</w:t>
            </w:r>
          </w:p>
        </w:tc>
        <w:tc>
          <w:tcPr>
            <w:vAlign w:val="center"/>
          </w:tcPr>
          <w:p>
            <w:pPr>
              <w:jc w:val="center"/>
            </w:pPr>
            <w:r>
              <w:rPr>
                <w:color w:val="000000"/>
                <w:sz w:val="24"/>
              </w:rPr>
              <w:t>2.42%</w:t>
            </w:r>
          </w:p>
        </w:tc>
        <w:tc>
          <w:tcPr>
            <w:vAlign w:val="center"/>
          </w:tcPr>
          <w:p>
            <w:pPr>
              <w:jc w:val="center"/>
            </w:pPr>
            <w:r>
              <w:rPr>
                <w:color w:val="000000"/>
                <w:sz w:val="24"/>
              </w:rPr>
              <w:t>-1.29%</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16.69%</w:t>
            </w:r>
          </w:p>
        </w:tc>
        <w:tc>
          <w:tcPr>
            <w:vAlign w:val="center"/>
          </w:tcPr>
          <w:p>
            <w:pPr>
              <w:jc w:val="center"/>
            </w:pPr>
            <w:r>
              <w:rPr>
                <w:color w:val="000000"/>
                <w:sz w:val="24"/>
              </w:rPr>
              <w:t>3.09%</w:t>
            </w:r>
          </w:p>
        </w:tc>
        <w:tc>
          <w:tcPr>
            <w:vAlign w:val="center"/>
          </w:tcPr>
          <w:p>
            <w:pPr>
              <w:jc w:val="center"/>
            </w:pPr>
            <w:r>
              <w:rPr>
                <w:color w:val="000000"/>
                <w:sz w:val="24"/>
              </w:rPr>
              <w:t>18.67%</w:t>
            </w:r>
          </w:p>
        </w:tc>
        <w:tc>
          <w:tcPr>
            <w:vAlign w:val="center"/>
          </w:tcPr>
          <w:p>
            <w:pPr>
              <w:jc w:val="center"/>
            </w:pPr>
            <w:r>
              <w:rPr>
                <w:color w:val="000000"/>
                <w:sz w:val="24"/>
              </w:rPr>
              <w:t>3.10%</w:t>
            </w:r>
          </w:p>
        </w:tc>
        <w:tc>
          <w:tcPr>
            <w:vAlign w:val="center"/>
          </w:tcPr>
          <w:p>
            <w:pPr>
              <w:jc w:val="center"/>
            </w:pPr>
            <w:r>
              <w:rPr>
                <w:color w:val="000000"/>
                <w:sz w:val="24"/>
              </w:rPr>
              <w:t>-1.98%</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26.54%</w:t>
            </w:r>
          </w:p>
        </w:tc>
        <w:tc>
          <w:tcPr>
            <w:vAlign w:val="center"/>
          </w:tcPr>
          <w:p>
            <w:pPr>
              <w:jc w:val="center"/>
            </w:pPr>
            <w:r>
              <w:rPr>
                <w:color w:val="000000"/>
                <w:sz w:val="24"/>
              </w:rPr>
              <w:t>2.37%</w:t>
            </w:r>
          </w:p>
        </w:tc>
        <w:tc>
          <w:tcPr>
            <w:vAlign w:val="center"/>
          </w:tcPr>
          <w:p>
            <w:pPr>
              <w:jc w:val="center"/>
            </w:pPr>
            <w:r>
              <w:rPr>
                <w:color w:val="000000"/>
                <w:sz w:val="24"/>
              </w:rPr>
              <w:t>29.96%</w:t>
            </w:r>
          </w:p>
        </w:tc>
        <w:tc>
          <w:tcPr>
            <w:vAlign w:val="center"/>
          </w:tcPr>
          <w:p>
            <w:pPr>
              <w:jc w:val="center"/>
            </w:pPr>
            <w:r>
              <w:rPr>
                <w:color w:val="000000"/>
                <w:sz w:val="24"/>
              </w:rPr>
              <w:t>2.37%</w:t>
            </w:r>
          </w:p>
        </w:tc>
        <w:tc>
          <w:tcPr>
            <w:vAlign w:val="center"/>
          </w:tcPr>
          <w:p>
            <w:pPr>
              <w:jc w:val="center"/>
            </w:pPr>
            <w:r>
              <w:rPr>
                <w:color w:val="000000"/>
                <w:sz w:val="24"/>
              </w:rPr>
              <w:t>-3.42%</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41.65%</w:t>
            </w:r>
          </w:p>
        </w:tc>
        <w:tc>
          <w:tcPr>
            <w:vAlign w:val="center"/>
          </w:tcPr>
          <w:p>
            <w:pPr>
              <w:jc w:val="center"/>
            </w:pPr>
            <w:r>
              <w:rPr>
                <w:color w:val="000000"/>
                <w:sz w:val="24"/>
              </w:rPr>
              <w:t>2.00%</w:t>
            </w:r>
          </w:p>
        </w:tc>
        <w:tc>
          <w:tcPr>
            <w:vAlign w:val="center"/>
          </w:tcPr>
          <w:p>
            <w:pPr>
              <w:jc w:val="center"/>
            </w:pPr>
            <w:r>
              <w:rPr>
                <w:color w:val="000000"/>
                <w:sz w:val="24"/>
              </w:rPr>
              <w:t>49.65%</w:t>
            </w:r>
          </w:p>
        </w:tc>
        <w:tc>
          <w:tcPr>
            <w:vAlign w:val="center"/>
          </w:tcPr>
          <w:p>
            <w:pPr>
              <w:jc w:val="center"/>
            </w:pPr>
            <w:r>
              <w:rPr>
                <w:color w:val="000000"/>
                <w:sz w:val="24"/>
              </w:rPr>
              <w:t>2.00%</w:t>
            </w:r>
          </w:p>
        </w:tc>
        <w:tc>
          <w:tcPr>
            <w:vAlign w:val="center"/>
          </w:tcPr>
          <w:p>
            <w:pPr>
              <w:jc w:val="center"/>
            </w:pPr>
            <w:r>
              <w:rPr>
                <w:color w:val="000000"/>
                <w:sz w:val="24"/>
              </w:rPr>
              <w:t>-8.00%</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65.60%</w:t>
            </w:r>
          </w:p>
        </w:tc>
        <w:tc>
          <w:tcPr>
            <w:vAlign w:val="center"/>
          </w:tcPr>
          <w:p>
            <w:pPr>
              <w:jc w:val="center"/>
            </w:pPr>
            <w:r>
              <w:rPr>
                <w:color w:val="000000"/>
                <w:sz w:val="24"/>
              </w:rPr>
              <w:t>1.91%</w:t>
            </w:r>
          </w:p>
        </w:tc>
        <w:tc>
          <w:tcPr>
            <w:vAlign w:val="center"/>
          </w:tcPr>
          <w:p>
            <w:pPr>
              <w:jc w:val="center"/>
            </w:pPr>
            <w:r>
              <w:rPr>
                <w:color w:val="000000"/>
                <w:sz w:val="24"/>
              </w:rPr>
              <w:t>84.34%</w:t>
            </w:r>
          </w:p>
        </w:tc>
        <w:tc>
          <w:tcPr>
            <w:vAlign w:val="center"/>
          </w:tcPr>
          <w:p>
            <w:pPr>
              <w:jc w:val="center"/>
            </w:pPr>
            <w:r>
              <w:rPr>
                <w:color w:val="000000"/>
                <w:sz w:val="24"/>
              </w:rPr>
              <w:t>1.94%</w:t>
            </w:r>
          </w:p>
        </w:tc>
        <w:tc>
          <w:tcPr>
            <w:vAlign w:val="center"/>
          </w:tcPr>
          <w:p>
            <w:pPr>
              <w:jc w:val="center"/>
            </w:pPr>
            <w:r>
              <w:rPr>
                <w:color w:val="000000"/>
                <w:sz w:val="24"/>
              </w:rPr>
              <w:t>-18.74%</w:t>
            </w:r>
          </w:p>
        </w:tc>
        <w:tc>
          <w:tcPr>
            <w:vAlign w:val="center"/>
          </w:tcPr>
          <w:p>
            <w:pPr>
              <w:jc w:val="center"/>
            </w:pPr>
            <w:r>
              <w:rPr>
                <w:color w:val="000000"/>
                <w:sz w:val="24"/>
              </w:rPr>
              <w:t>-0.03%</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3.2.2</w:t>
        </w:r>
        <w:r w:rsidRPr="00820253">
          <w:rPr>
            <w:rFonts w:ascii="宋体" w:cs="Arial" w:hAnsi="宋体" w:hint="eastAsia"/>
            <w:b/>
            <w:color w:val="000000"/>
            <w:kern w:val="0"/>
            <w:sz w:val="24"/>
          </w:rPr>
          <w:t xml:space="preserve">　</w:t>
        </w:r>
        <w:r w:rsidR="001A4814" w:rsidRPr="00370BEA">
          <w:rPr>
            <w:rStyle w:val="af8"/>
            <w:rFonts w:hint="eastAsia"/>
            <w:color w:val="000000"/>
            <w:sz w:val="24"/>
            <w:shd w:color="auto" w:fill="FFFFFF" w:val="clear"/>
          </w:rPr>
          <w:t/>
        </w:r>
        <w:proofErr w:type="spellStart"/>
        <w:r w:rsidR="001A4814" w:rsidRPr="00370BEA">
          <w:rPr>
            <w:rStyle w:val="af8"/>
            <w:rFonts w:hint="eastAsia"/>
            <w:color w:val="000000"/>
            <w:sz w:val="24"/>
            <w:shd w:color="auto" w:fill="FFFFFF" w:val="clear"/>
          </w:rPr>
          <w:t/>
        </w:r>
        <w:proofErr w:type="spellEnd"/>
        <w:r w:rsidR="001A4814" w:rsidRPr="00370BEA">
          <w:rPr>
            <w:rStyle w:val="af8"/>
            <w:rFonts w:hint="eastAsia"/>
            <w:color w:val="000000"/>
            <w:sz w:val="24"/>
            <w:shd w:color="auto" w:fill="FFFFFF" w:val="clear"/>
          </w:rPr>
          <w:t>自基金合同生效以来</w:t>
        </w:r>
      </w:smartTag>
      <w:r w:rsidRPr="00820253">
        <w:rPr>
          <w:rFonts w:ascii="宋体" w:cs="Arial" w:hAnsi="宋体" w:hint="eastAsia"/>
          <w:b/>
          <w:color w:val="000000"/>
          <w:kern w:val="0"/>
          <w:sz w:val="24"/>
        </w:rPr>
        <w:t>基金累计</w:t>
      </w:r>
      <w:r w:rsidR="00CD5FBA" w:rsidRPr="00CD5FBA">
        <w:rPr>
          <w:rFonts w:ascii="宋体" w:cs="Arial" w:hAnsi="宋体" w:hint="eastAsia"/>
          <w:b/>
          <w:color w:val="000000"/>
          <w:kern w:val="0"/>
          <w:sz w:val="24"/>
        </w:rPr>
        <w:t>份额</w:t>
      </w:r>
      <w:r w:rsidRPr="00820253">
        <w:rPr>
          <w:rFonts w:ascii="宋体" w:cs="Arial" w:hAnsi="宋体" w:hint="eastAsia"/>
          <w:b/>
          <w:color w:val="000000"/>
          <w:kern w:val="0"/>
          <w:sz w:val="24"/>
        </w:rPr>
        <w:t>净值增长率变动及其与同期业绩比较基准收益率变动的比较</w:t>
      </w:r>
    </w:p>
    <w:p w:rsidP="0029671E" w:rsidR="00F13451" w:rsidRDefault="00F13451" w:rsidRPr="00431EE1">
      <w:pPr>
        <w:spacing w:line="360" w:lineRule="auto"/>
        <w:jc w:val="center"/>
        <w:rPr>
          <w:sz w:val="24"/>
        </w:rPr>
      </w:pPr>
      <w:r w:rsidRPr="00431EE1">
        <w:rPr>
          <w:sz w:val="24"/>
        </w:rPr>
        <w:t/>
      </w:r>
      <w:proofErr w:type="spellStart"/>
      <w:r w:rsidRPr="00431EE1">
        <w:rPr>
          <w:sz w:val="24"/>
        </w:rPr>
        <w:t/>
      </w:r>
      <w:proofErr w:type="spellEnd"/>
      <w:r w:rsidRPr="00431EE1">
        <w:rPr>
          <w:sz w:val="24"/>
        </w:rPr>
        <w:t>易方达标普生物科技指数证券投资基金（LOF）</w:t>
      </w:r>
    </w:p>
    <w:p w:rsidP="0029671E" w:rsidR="00F13451" w:rsidRDefault="00F13451" w:rsidRPr="00431EE1">
      <w:pPr>
        <w:pStyle w:val="a5"/>
        <w:snapToGrid w:val="0"/>
        <w:spacing w:line="360" w:lineRule="auto"/>
        <w:jc w:val="center"/>
        <w:rPr>
          <w:rFonts w:ascii="Times New Roman" w:hAnsi="Times New Roman"/>
          <w:sz w:val="24"/>
          <w:szCs w:val="24"/>
        </w:rPr>
      </w:pPr>
      <w:r w:rsidRPr="00431EE1">
        <w:rPr>
          <w:rFonts w:ascii="Times New Roman" w:hAnsi="Times New Roman"/>
          <w:sz w:val="24"/>
          <w:szCs w:val="24"/>
        </w:rPr>
        <w:t>累计净值增长率与业绩比较基准收益率的历史走势对比图</w:t>
      </w:r>
    </w:p>
    <w:p w:rsidP="0029671E" w:rsidR="00F13451" w:rsidRDefault="00F13451" w:rsidRPr="00431EE1">
      <w:pPr>
        <w:spacing w:line="360" w:lineRule="auto"/>
        <w:jc w:val="center"/>
        <w:rPr>
          <w:sz w:val="24"/>
        </w:rPr>
      </w:pPr>
      <w:r w:rsidRPr="00431EE1">
        <w:rPr>
          <w:color w:val="000000"/>
          <w:kern w:val="0"/>
          <w:sz w:val="24"/>
        </w:rPr>
        <w:t xml:space="preserve"> (</w:t>
      </w:r>
      <w:proofErr w:type="spellStart"/>
      <w:r w:rsidRPr="00431EE1">
        <w:rPr>
          <w:color w:val="000000"/>
          <w:kern w:val="0"/>
          <w:sz w:val="24"/>
        </w:rPr>
        <w:t/>
      </w:r>
      <w:proofErr w:type="spellEnd"/>
      <w:r w:rsidRPr="00431EE1">
        <w:rPr>
          <w:color w:val="000000"/>
          <w:kern w:val="0"/>
          <w:sz w:val="24"/>
        </w:rPr>
        <w:t>2016年12月13日</w:t>
      </w:r>
      <w:r w:rsidRPr="00431EE1">
        <w:rPr>
          <w:color w:val="000000"/>
          <w:kern w:val="0"/>
          <w:sz w:val="24"/>
        </w:rPr>
        <w:t>至</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2020年6月30日)</w:t>
      </w:r>
    </w:p>
    <w:p w:rsidP="00A726E0" w:rsidR="00F13451" w:rsidRDefault="00320493" w:rsidRPr="00820253">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11.4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2.自基金合同生效至报告期末，基金份额净值增长率为65.60% ，同期业绩比较基准收益率为84.34%。</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4  </w:t>
      </w:r>
      <w:r w:rsidRPr="00820253">
        <w:rPr>
          <w:rFonts w:ascii="宋体" w:cs="Arial" w:hAnsi="宋体" w:hint="eastAsia"/>
          <w:color w:val="000000"/>
          <w:kern w:val="0"/>
          <w:sz w:val="24"/>
          <w:szCs w:val="24"/>
        </w:rPr>
        <w:t>管理人报告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w:t>
      </w:r>
      <w:r>
        <w:rPr>
          <w:rFonts w:ascii="宋体" w:cs="Arial"/>
          <w:b/>
          <w:color w:val="000000"/>
          <w:kern w:val="0"/>
          <w:sz w:val="24"/>
        </w:rPr>
        <w:t/>
      </w:r>
      <w:r>
        <w:rPr>
          <w:rFonts w:ascii="宋体" w:cs="Arial" w:hAnsi="宋体"/>
          <w:b/>
          <w:color w:val="000000"/>
          <w:kern w:val="0"/>
          <w:sz w:val="24"/>
        </w:rPr>
        <w:t>1</w:t>
      </w:r>
      <w:r w:rsidRPr="00820253">
        <w:rPr>
          <w:rFonts w:ascii="宋体" w:cs="Arial" w:hAnsi="宋体" w:hint="eastAsia"/>
          <w:b/>
          <w:color w:val="000000"/>
          <w:kern w:val="0"/>
          <w:sz w:val="24"/>
        </w:rPr>
        <w:t>基金经理（或基金经理小组）简介</w:t>
      </w:r>
    </w:p>
    <w:tbl>
      <w:tblPr>
        <w:tblW w:type="dxa" w:w="8931"/>
        <w:jc w:val="center"/>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13451" w:rsidRPr="00820253" w:rsidTr="00C2237F">
        <w:trPr>
          <w:cantSplit/>
          <w:trHeight w:val="292"/>
          <w:jc w:val="center"/>
        </w:trPr>
        <w:tc>
          <w:tcPr>
            <w:tcW w:type="dxa" w:w="851"/>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姓名</w:t>
            </w:r>
          </w:p>
        </w:tc>
        <w:tc>
          <w:tcPr>
            <w:tcW w:type="dxa" w:w="3260"/>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职务</w:t>
            </w:r>
          </w:p>
        </w:tc>
        <w:tc>
          <w:tcPr>
            <w:tcW w:type="dxa" w:w="2552"/>
            <w:gridSpan w:val="2"/>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任本基金的基金经理期限</w:t>
            </w:r>
          </w:p>
        </w:tc>
        <w:tc>
          <w:tcPr>
            <w:tcW w:type="dxa" w:w="850"/>
            <w:vMerge w:val="restart"/>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证券从业年限</w:t>
            </w:r>
          </w:p>
        </w:tc>
        <w:tc>
          <w:tcPr>
            <w:tcW w:type="dxa" w:w="1418"/>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说明</w:t>
            </w:r>
          </w:p>
        </w:tc>
      </w:tr>
      <w:tr w:rsidR="00F13451" w:rsidRPr="00820253" w:rsidTr="00C2237F">
        <w:trPr>
          <w:cantSplit/>
          <w:jc w:val="center"/>
        </w:trPr>
        <w:tc>
          <w:tcPr>
            <w:tcW w:type="dxa" w:w="851"/>
            <w:vMerge/>
            <w:vAlign w:val="center"/>
          </w:tcPr>
          <w:p w:rsidP="00CA3C4F" w:rsidR="00F13451" w:rsidRDefault="00F13451" w:rsidRPr="00431EE1">
            <w:pPr>
              <w:widowControl/>
              <w:spacing w:line="360" w:lineRule="auto"/>
              <w:jc w:val="left"/>
              <w:rPr>
                <w:color w:val="000000"/>
                <w:kern w:val="0"/>
                <w:sz w:val="24"/>
              </w:rPr>
            </w:pPr>
          </w:p>
        </w:tc>
        <w:tc>
          <w:tcPr>
            <w:tcW w:type="dxa" w:w="3260"/>
            <w:vMerge/>
            <w:vAlign w:val="center"/>
          </w:tcPr>
          <w:p w:rsidP="00CA3C4F" w:rsidR="00F13451" w:rsidRDefault="00F13451" w:rsidRPr="00431EE1">
            <w:pPr>
              <w:widowControl/>
              <w:spacing w:line="360" w:lineRule="auto"/>
              <w:jc w:val="left"/>
              <w:rPr>
                <w:color w:val="000000"/>
                <w:kern w:val="0"/>
                <w:sz w:val="24"/>
              </w:rPr>
            </w:pP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任职日期</w:t>
            </w: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离任日期</w:t>
            </w:r>
          </w:p>
        </w:tc>
        <w:tc>
          <w:tcPr>
            <w:tcW w:type="dxa" w:w="850"/>
            <w:vMerge/>
            <w:vAlign w:val="center"/>
          </w:tcPr>
          <w:p w:rsidP="00CA3C4F" w:rsidR="00F13451" w:rsidRDefault="00F13451" w:rsidRPr="00431EE1">
            <w:pPr>
              <w:widowControl/>
              <w:spacing w:line="360" w:lineRule="auto"/>
              <w:jc w:val="left"/>
              <w:rPr>
                <w:color w:val="000000"/>
                <w:kern w:val="0"/>
                <w:sz w:val="24"/>
              </w:rPr>
            </w:pPr>
          </w:p>
        </w:tc>
        <w:tc>
          <w:tcPr>
            <w:tcW w:type="dxa" w:w="1418"/>
            <w:vMerge/>
            <w:vAlign w:val="center"/>
          </w:tcPr>
          <w:p w:rsidP="00CA3C4F" w:rsidR="00F13451" w:rsidRDefault="00F13451" w:rsidRPr="00431EE1">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黄金交易型开放式证券投资基金联接基金的基金经理、易方达标普信息科技指数证券投资基金（LOF）的基金经理、易方达标普医疗保健指数证券投资基金（LOF）的基金经理、易方达标普500指数证券投资基金（LOF）的基金经理、易方达黄金交易型开放式证券投资基金的基金经理、易方达中证海外中国互联网50交易型开放式指数证券投资基金的基金经理、易方达原油证券投资基金（QDII）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联接基金的基金经理、易方达生物科技指数分级证券投资基金的基金经理、易方达并购重组指数分级证券投资基金的基金经理、易方达深证100交易型开放式指数证券投资基金联接基金的基金经理、易方达银行指数分级证券投资基金的基金经理、易方达中小板指数证券投资基金（LOF）的基金经理、易方达创业板交易型开放式指数证券投资基金的基金经理、易方达深证100交易型开放式指数基金的基金经理、易方达上证中盘交易型开放式指数证券投资基金联接基金的基金经理、易方达香港恒生综合小型股指数证券投资基金（LOF）的基金经理、易方达标普500指数证券投资基金（LOF）的基金经理、易方达标普医疗保健指数证券投资基金（LOF）的基金经理（自2018年08月11日至2020年04月22日）、易方达上证中盘交易型开放式指数证券投资基金的基金经理、易方达标普信息科技指数证券投资基金（LOF）的基金经理（自2018年08月11日至2020年04月22日）、易方达中证800交易型开放式指数证券投资基金的基金经理、易方达中证800交易型开放式指数证券投资基金发起式联接基金的基金经理、易方达中证国企一带一路交易型开放式指数证券投资基金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2020-04-23</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31EE1" w:rsidR="00F13451" w:rsidRDefault="00F13451" w:rsidRPr="00431EE1">
      <w:pPr>
        <w:spacing w:line="360" w:lineRule="auto"/>
        <w:ind w:firstLine="480" w:firstLineChars="200"/>
        <w:rPr>
          <w:color w:val="000000"/>
          <w:sz w:val="24"/>
        </w:rPr>
      </w:pPr>
      <w:r w:rsidRPr="0040658E">
        <w:rPr>
          <w:color w:val="000000"/>
          <w:sz w:val="24"/>
        </w:rPr>
        <w:t>2.证券从业的含义遵从《证券业从业人员资格管理办法》的相关规定。</w:t>
      </w:r>
    </w:p>
    <w:p w:rsidP="0029671E" w:rsidR="00F13451" w:rsidRDefault="00F13451" w:rsidRPr="00820253">
      <w:pPr>
        <w:adjustRightInd w:val="0"/>
        <w:snapToGrid w:val="0"/>
        <w:spacing w:line="360" w:lineRule="auto"/>
        <w:rPr>
          <w:rFonts w:ascii="宋体"/>
          <w:b/>
          <w:bCs/>
          <w:color w:val="000000"/>
          <w:sz w:val="24"/>
        </w:rPr>
      </w:pPr>
      <w:r w:rsidRPr="00820253">
        <w:rPr>
          <w:rFonts w:ascii="宋体" w:hAnsi="宋体"/>
          <w:b/>
          <w:bCs/>
          <w:color w:val="000000"/>
          <w:sz w:val="24"/>
        </w:rPr>
        <w:t>4.</w:t>
      </w:r>
      <w:r>
        <w:rPr>
          <w:rFonts w:ascii="宋体" w:hAnsi="宋体"/>
          <w:b/>
          <w:bCs/>
          <w:color w:val="000000"/>
          <w:sz w:val="24"/>
        </w:rPr>
        <w:t/>
      </w:r>
      <w:r w:rsidRPr="00820253">
        <w:rPr>
          <w:rFonts w:ascii="宋体"/>
          <w:b/>
          <w:bCs/>
          <w:color w:val="000000"/>
          <w:sz w:val="24"/>
        </w:rPr>
        <w:t>2</w:t>
      </w:r>
      <w:r>
        <w:rPr>
          <w:rFonts w:ascii="宋体" w:cs="Arial"/>
          <w:b/>
          <w:color w:val="000000"/>
          <w:kern w:val="0"/>
          <w:sz w:val="24"/>
        </w:rPr>
        <w:t/>
      </w:r>
      <w:proofErr w:type="spellStart"/>
      <w:r>
        <w:rPr>
          <w:rFonts w:ascii="宋体" w:cs="Arial" w:hAnsi="宋体"/>
          <w:b/>
          <w:color w:val="000000"/>
          <w:kern w:val="0"/>
          <w:sz w:val="24"/>
        </w:rPr>
        <w:t/>
      </w:r>
      <w:r w:rsidRPr="00820253">
        <w:rPr>
          <w:rFonts w:ascii="宋体" w:cs="Arial" w:hAnsi="宋体"/>
          <w:b/>
          <w:color w:val="000000"/>
          <w:kern w:val="0"/>
          <w:sz w:val="24"/>
        </w:rPr>
        <w:t/>
      </w:r>
      <w:proofErr w:type="spellEnd"/>
      <w:r w:rsidRPr="00820253">
        <w:rPr>
          <w:rFonts w:ascii="宋体" w:cs="Arial" w:hAnsi="宋体"/>
          <w:b/>
          <w:color w:val="000000"/>
          <w:kern w:val="0"/>
          <w:sz w:val="24"/>
        </w:rPr>
        <w:t/>
      </w:r>
      <w:r w:rsidRPr="00820253">
        <w:rPr>
          <w:rFonts w:ascii="宋体" w:hAnsi="宋体" w:hint="eastAsia"/>
          <w:b/>
          <w:bCs/>
          <w:color w:val="000000"/>
          <w:sz w:val="24"/>
        </w:rPr>
        <w:t>境外投资顾问为本基金提供投资建议的主要成员简介</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本基金未聘请境外投资顾问。</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4.3</w:t>
      </w:r>
      <w:r w:rsidRPr="00820253">
        <w:rPr>
          <w:rFonts w:ascii="宋体" w:cs="Arial" w:hAnsi="宋体" w:hint="eastAsia"/>
          <w:b/>
          <w:color w:val="000000"/>
          <w:kern w:val="0"/>
          <w:sz w:val="24"/>
        </w:rPr>
        <w:t>报告期内本基金运作遵规守信情况说明</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4.4</w:t>
      </w:r>
      <w:r w:rsidRPr="00820253">
        <w:rPr>
          <w:rFonts w:ascii="宋体" w:cs="Arial" w:hAnsi="宋体" w:hint="eastAsia"/>
          <w:b/>
          <w:color w:val="000000"/>
          <w:kern w:val="0"/>
          <w:sz w:val="24"/>
        </w:rPr>
        <w:t>公平交易专项说明</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1</w:t>
      </w:r>
      <w:r w:rsidRPr="00820253">
        <w:rPr>
          <w:rFonts w:ascii="宋体" w:hAnsi="宋体" w:hint="eastAsia"/>
          <w:sz w:val="24"/>
        </w:rPr>
        <w:t>公平交易制度的执行情况</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2</w:t>
      </w:r>
      <w:r w:rsidRPr="00820253">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本报告期内，未发现本基金有可能导致不公平交易和利益输送的异常交易。</w:t>
      </w:r>
    </w:p>
    <w:p w:rsidP="003E3A5C" w:rsidR="003E3A5C" w:rsidRDefault="00F13451">
      <w:pPr>
        <w:autoSpaceDE w:val="0"/>
        <w:autoSpaceDN w:val="0"/>
        <w:adjustRightInd w:val="0"/>
        <w:spacing w:line="360" w:lineRule="auto"/>
        <w:jc w:val="left"/>
        <w:rPr>
          <w:sz w:val="24"/>
        </w:rPr>
      </w:pPr>
      <w:r w:rsidRPr="00820253">
        <w:rPr>
          <w:rFonts w:ascii="宋体" w:cs="Arial" w:hAnsi="宋体"/>
          <w:b/>
          <w:color w:val="000000"/>
          <w:kern w:val="0"/>
          <w:sz w:val="24"/>
        </w:rPr>
        <w:t>4.5</w:t>
      </w:r>
      <w:r w:rsidR="003E3A5C">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在货币及财政政策刺激下，美股出现明显反弹，美国重启经济，进一步提高了市场的风险偏好。美联储6月货币政策会议决议鸽派基调明显，符合市场预期，加息路径点阵图显示，利率预计将维持在当前水平直至2022年。美国经济前景仍然充满不确定性，但消费者信心有所回升。2020年6月以来，受疫情影响，美国多地撤回了经济重启计划，美国和中国及欧洲的贸易摩擦升温，再次对全球风险偏好形成压制，美股出现回调和震荡。以Moderna为代表的生物医药公司在新冠疫苗研制方面取得一定进展，带动生物医药板块在二季度明显跑赢美股大盘。</w:t>
      </w:r>
    </w:p>
    <w:p>
      <w:pPr>
        <w:spacing w:line="360" w:lineRule="auto"/>
        <w:ind w:firstLine="480" w:firstLineChars="200"/>
        <w:rPr>
          <w:color w:val="000000"/>
          <w:sz w:val="24"/>
        </w:rPr>
      </w:pPr>
      <w:r>
        <w:rPr>
          <w:color w:val="000000"/>
          <w:sz w:val="24"/>
        </w:rPr>
        <w:t>作为追踪标普生物指数的被动式海外指数基金，本基金采用完全复制法，力求追踪误差最小化。</w:t>
      </w:r>
    </w:p>
    <w:p w:rsidP="00F95B9D" w:rsidR="00F13451" w:rsidRDefault="003E3A5C" w:rsidRPr="00431EE1">
      <w:pPr>
        <w:spacing w:line="360" w:lineRule="auto"/>
        <w:ind w:firstLine="480" w:firstLineChars="200"/>
        <w:rPr>
          <w:color w:val="000000"/>
          <w:sz w:val="24"/>
        </w:rPr>
      </w:pPr>
      <w:r>
        <w:rPr>
          <w:color w:val="000000"/>
          <w:sz w:val="24"/>
        </w:rPr>
        <w:t/>
      </w:r>
      <w:proofErr w:type="spellStart"/>
      <w:r>
        <w:rPr>
          <w:color w:val="000000"/>
          <w:sz w:val="24"/>
        </w:rPr>
        <w:t/>
      </w:r>
      <w:proofErr w:type="spellEnd"/>
      <w:r>
        <w:rPr>
          <w:color w:val="000000"/>
          <w:sz w:val="24"/>
        </w:rPr>
        <w:t>截至报告期末，本基金份额净值为1.6560元，本报告期份额净值增长率为40.53%，同期业绩比较基准收益率为41.82%，年化跟踪误差0.653%，在合同规定的目标控制范围之内。</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5  </w:t>
      </w:r>
      <w:r w:rsidRPr="00820253">
        <w:rPr>
          <w:rFonts w:ascii="宋体" w:cs="Arial" w:hAnsi="宋体" w:hint="eastAsia"/>
          <w:color w:val="000000"/>
          <w:kern w:val="0"/>
          <w:sz w:val="24"/>
          <w:szCs w:val="24"/>
        </w:rPr>
        <w:t>投资组合报告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 </w:t>
      </w:r>
      <w:r w:rsidRPr="00820253">
        <w:rPr>
          <w:rFonts w:ascii="宋体" w:cs="Arial" w:hAnsi="宋体" w:hint="eastAsia"/>
          <w:b/>
          <w:color w:val="000000"/>
          <w:kern w:val="0"/>
          <w:sz w:val="24"/>
        </w:rPr>
        <w:t>报告期末基金资产组合情况</w:t>
      </w:r>
    </w:p>
    <w:tbl>
      <w:tblPr>
        <w:tblW w:type="dxa" w:w="8506"/>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2552"/>
        <w:gridCol w:w="3402"/>
        <w:gridCol w:w="1701"/>
      </w:tblGrid>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序号</w:t>
            </w:r>
          </w:p>
        </w:tc>
        <w:tc>
          <w:tcPr>
            <w:tcW w:type="dxa" w:w="2552"/>
            <w:vAlign w:val="center"/>
          </w:tcPr>
          <w:p w:rsidP="00780E33" w:rsidR="00F13451" w:rsidRDefault="00F13451" w:rsidRPr="00431EE1">
            <w:pPr>
              <w:spacing w:before="29" w:line="360" w:lineRule="auto"/>
              <w:ind w:left="17"/>
              <w:jc w:val="center"/>
              <w:rPr>
                <w:color w:val="000000"/>
                <w:sz w:val="24"/>
              </w:rPr>
            </w:pPr>
            <w:r w:rsidRPr="00431EE1">
              <w:rPr>
                <w:color w:val="000000"/>
                <w:sz w:val="24"/>
              </w:rPr>
              <w:t>项目</w:t>
            </w:r>
          </w:p>
        </w:tc>
        <w:tc>
          <w:tcPr>
            <w:tcW w:type="dxa" w:w="3402"/>
            <w:vAlign w:val="center"/>
          </w:tcPr>
          <w:p w:rsidP="00284EC5" w:rsidR="00F13451" w:rsidRDefault="00F13451" w:rsidRPr="00431EE1">
            <w:pPr>
              <w:spacing w:before="29" w:line="360" w:lineRule="auto"/>
              <w:ind w:left="17"/>
              <w:jc w:val="center"/>
              <w:rPr>
                <w:color w:val="000000"/>
                <w:sz w:val="24"/>
              </w:rPr>
            </w:pPr>
            <w:r w:rsidRPr="00431EE1">
              <w:rPr>
                <w:color w:val="000000"/>
                <w:sz w:val="24"/>
              </w:rPr>
              <w:t>金额</w:t>
            </w:r>
            <w:r w:rsidR="00284EC5" w:rsidRPr="00431EE1">
              <w:rPr>
                <w:color w:val="000000"/>
                <w:sz w:val="24"/>
              </w:rPr>
              <w:t>（</w:t>
            </w:r>
            <w:r w:rsidR="00284EC5" w:rsidRPr="00431EE1">
              <w:rPr>
                <w:color w:val="000000"/>
                <w:kern w:val="0"/>
                <w:sz w:val="24"/>
              </w:rPr>
              <w:t>人民币元</w:t>
            </w:r>
            <w:r w:rsidR="00284EC5" w:rsidRPr="00431EE1">
              <w:rPr>
                <w:color w:val="000000"/>
                <w:sz w:val="24"/>
              </w:rPr>
              <w:t>）</w:t>
            </w:r>
          </w:p>
        </w:tc>
        <w:tc>
          <w:tcPr>
            <w:tcW w:type="dxa" w:w="1701"/>
            <w:vAlign w:val="center"/>
          </w:tcPr>
          <w:p w:rsidP="00284EC5" w:rsidR="00F13451" w:rsidRDefault="00F13451" w:rsidRPr="00431EE1">
            <w:pPr>
              <w:spacing w:before="29" w:line="360" w:lineRule="auto"/>
              <w:ind w:left="17"/>
              <w:jc w:val="center"/>
              <w:rPr>
                <w:color w:val="000000"/>
                <w:sz w:val="24"/>
              </w:rPr>
            </w:pPr>
            <w:r w:rsidRPr="00431EE1">
              <w:rPr>
                <w:color w:val="000000"/>
                <w:sz w:val="24"/>
              </w:rPr>
              <w:t>占基金总资产的比例</w:t>
            </w:r>
            <w:r w:rsidR="00284EC5" w:rsidRPr="00431EE1">
              <w:rPr>
                <w:color w:val="000000"/>
                <w:sz w:val="24"/>
              </w:rPr>
              <w:t>（</w:t>
            </w:r>
            <w:r w:rsidR="00284EC5" w:rsidRPr="00431EE1">
              <w:rPr>
                <w:color w:val="000000"/>
                <w:sz w:val="24"/>
              </w:rPr>
              <w:t>%</w:t>
            </w:r>
            <w:r w:rsidR="00284EC5"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1</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权益投资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98,086,756.34</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88.19</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其中：普通股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98,086,756.34</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88.19</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存托凭证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优先股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房地产信托</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t>2</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基金投资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3</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固定收益投资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r w:rsidRPr="00431EE1">
              <w:rPr>
                <w:color w:val="000000"/>
                <w:sz w:val="24"/>
              </w:rPr>
              <w:lastRenderedPageBreak/>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lastRenderedPageBreak/>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其中：债券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476756" w:rsidR="00F13451" w:rsidRDefault="00F13451" w:rsidRPr="00431EE1">
            <w:pPr>
              <w:autoSpaceDE w:val="0"/>
              <w:autoSpaceDN w:val="0"/>
              <w:adjustRightInd w:val="0"/>
              <w:spacing w:before="29" w:line="360" w:lineRule="auto"/>
              <w:ind w:firstLine="720" w:firstLineChars="300" w:left="17"/>
              <w:jc w:val="left"/>
              <w:rPr>
                <w:color w:val="000000"/>
                <w:sz w:val="24"/>
              </w:rPr>
            </w:pPr>
            <w:r w:rsidRPr="00431EE1">
              <w:rPr>
                <w:color w:val="000000"/>
                <w:sz w:val="24"/>
              </w:rPr>
              <w:t>资产支持证券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4</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金融衍生品投资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其中：远期</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Del="00455464"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期权</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15" w:firstLineChars="298"/>
              <w:rPr>
                <w:color w:val="000000"/>
                <w:sz w:val="24"/>
              </w:rPr>
            </w:pPr>
            <w:r w:rsidRPr="00431EE1">
              <w:rPr>
                <w:color w:val="000000"/>
                <w:sz w:val="24"/>
              </w:rPr>
              <w:t>权证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5</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其中：买断式回购的买入返售金融资产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lastRenderedPageBreak/>
              <w:t>6</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货币市场工具</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7</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银行存款和结算备付金合计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11,437,515.32</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10.28</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8</w:t>
            </w:r>
          </w:p>
        </w:tc>
        <w:tc>
          <w:tcPr>
            <w:tcW w:type="dxa" w:w="2552"/>
            <w:vAlign w:val="center"/>
          </w:tcPr>
          <w:p w:rsidP="00780E33" w:rsidR="00F13451" w:rsidRDefault="00F13451" w:rsidRPr="00431EE1">
            <w:pPr>
              <w:jc w:val="left"/>
              <w:rPr>
                <w:sz w:val="24"/>
              </w:rPr>
            </w:pPr>
            <w:r w:rsidRPr="00431EE1">
              <w:rPr>
                <w:color w:val="000000"/>
                <w:sz w:val="24"/>
              </w:rPr>
              <w:t>其他资产</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1,695,734.34</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1.52</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9</w:t>
            </w:r>
          </w:p>
        </w:tc>
        <w:tc>
          <w:tcPr>
            <w:tcW w:type="dxa" w:w="2552"/>
            <w:vAlign w:val="center"/>
          </w:tcPr>
          <w:p w:rsidP="00780E33" w:rsidR="00F13451" w:rsidRDefault="00F13451" w:rsidRPr="00431EE1">
            <w:pPr>
              <w:jc w:val="left"/>
              <w:rPr>
                <w:sz w:val="24"/>
              </w:rPr>
            </w:pPr>
            <w:r w:rsidRPr="00431EE1">
              <w:rPr>
                <w:color w:val="000000"/>
                <w:sz w:val="24"/>
              </w:rPr>
              <w:t>合计</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111,220,006.00</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100.00</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5.2 </w:t>
      </w:r>
      <w:r w:rsidRPr="00820253">
        <w:rPr>
          <w:rFonts w:ascii="宋体" w:cs="Arial" w:hAnsi="宋体" w:hint="eastAsia"/>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13451" w:rsidTr="00E35496">
        <w:trPr>
          <w:jc w:val="center"/>
        </w:trPr>
        <w:tc>
          <w:tcPr>
            <w:tcW w:type="dxa" w:w="2410"/>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国家（地区）</w:t>
            </w:r>
          </w:p>
        </w:tc>
        <w:tc>
          <w:tcPr>
            <w:tcW w:type="dxa" w:w="3118"/>
            <w:vAlign w:val="center"/>
          </w:tcPr>
          <w:p w:rsidP="00284EC5"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r w:rsidR="00284EC5" w:rsidRPr="00431EE1">
              <w:rPr>
                <w:color w:val="000000"/>
                <w:kern w:val="0"/>
                <w:sz w:val="24"/>
              </w:rPr>
              <w:t>（人民币元）</w:t>
            </w:r>
          </w:p>
        </w:tc>
        <w:tc>
          <w:tcPr>
            <w:tcW w:type="dxa" w:w="3076"/>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占基金资产净值比例（％）</w:t>
            </w:r>
          </w:p>
        </w:tc>
      </w:tr>
      <w:tr>
        <w:tc>
          <w:tcPr>
            <w:vAlign w:val="center"/>
          </w:tcPr>
          <w:p>
            <w:pPr>
              <w:jc w:val="left"/>
            </w:pPr>
            <w:r>
              <w:rPr>
                <w:color w:val="000000"/>
                <w:sz w:val="24"/>
              </w:rPr>
              <w:t>美国</w:t>
            </w:r>
          </w:p>
        </w:tc>
        <w:tc>
          <w:tcPr>
            <w:vAlign w:val="center"/>
          </w:tcPr>
          <w:p>
            <w:pPr>
              <w:jc w:val="right"/>
            </w:pPr>
            <w:r>
              <w:rPr>
                <w:color w:val="000000"/>
                <w:sz w:val="24"/>
              </w:rPr>
              <w:t>98,086,756.34</w:t>
            </w:r>
          </w:p>
        </w:tc>
        <w:tc>
          <w:tcPr>
            <w:vAlign w:val="center"/>
          </w:tcPr>
          <w:p>
            <w:pPr>
              <w:jc w:val="right"/>
            </w:pPr>
            <w:r>
              <w:rPr>
                <w:color w:val="000000"/>
                <w:sz w:val="24"/>
              </w:rPr>
              <w:t>94.58</w:t>
            </w:r>
          </w:p>
        </w:tc>
      </w:tr>
      <w:tr w:rsidR="00F13451" w:rsidTr="00E35496">
        <w:trPr>
          <w:jc w:val="center"/>
        </w:trPr>
        <w:tc>
          <w:tcPr>
            <w:tcW w:type="dxa" w:w="2410"/>
          </w:tcPr>
          <w:p w:rsidP="00E35496" w:rsidR="00F13451" w:rsidRDefault="00F13451" w:rsidRPr="00431EE1">
            <w:pPr>
              <w:autoSpaceDE w:val="0"/>
              <w:autoSpaceDN w:val="0"/>
              <w:adjustRightInd w:val="0"/>
              <w:spacing w:before="29" w:line="360" w:lineRule="auto"/>
              <w:jc w:val="center"/>
              <w:rPr>
                <w:color w:val="000000"/>
                <w:sz w:val="24"/>
              </w:rPr>
            </w:pPr>
            <w:r w:rsidRPr="00431EE1">
              <w:rPr>
                <w:color w:val="000000"/>
                <w:sz w:val="24"/>
              </w:rPr>
              <w:t>合计</w:t>
            </w:r>
          </w:p>
        </w:tc>
        <w:tc>
          <w:tcPr>
            <w:tcW w:type="dxa" w:w="3118"/>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98,086,756.34</w:t>
            </w:r>
          </w:p>
        </w:tc>
        <w:tc>
          <w:tcPr>
            <w:tcW w:type="dxa" w:w="3076"/>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94.58</w:t>
            </w:r>
          </w:p>
        </w:tc>
      </w:tr>
    </w:tbl>
    <w:p>
      <w:pPr>
        <w:spacing w:line="360" w:lineRule="auto"/>
        <w:ind w:firstLine="480" w:firstLineChars="200"/>
        <w:rPr>
          <w:color w:val="000000"/>
          <w:sz w:val="24"/>
        </w:rPr>
      </w:pPr>
      <w:r>
        <w:rPr>
          <w:color w:val="000000"/>
          <w:sz w:val="24"/>
        </w:rPr>
        <w:t>注：1.国家（地区）类别根据其所在的证券交易所确定。</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2.ADR、GDR按照存托凭证本身挂牌的证券交易所确定。</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5.3 </w:t>
      </w:r>
      <w:r w:rsidRPr="002149AE">
        <w:rPr>
          <w:rFonts w:ascii="宋体" w:cs="Arial" w:hAnsi="宋体" w:hint="eastAsia"/>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行业类别</w:t>
            </w:r>
            <w:r w:rsidRPr="00A70EAB">
              <w:rPr>
                <w:color w:val="000000"/>
                <w:kern w:val="0"/>
                <w:sz w:val="24"/>
              </w:rPr>
              <w:t/>
            </w:r>
            <w:proofErr w:type="spellStart"/>
            <w:r w:rsidRPr="00A70EAB">
              <w:rPr>
                <w:color w:val="000000"/>
                <w:kern w:val="0"/>
                <w:sz w:val="24"/>
              </w:rPr>
              <w:t/>
            </w:r>
            <w:proofErr w:type="spellEnd"/>
            <w:r w:rsidRPr="00A70EAB">
              <w:rPr>
                <w:color w:val="000000"/>
                <w:kern w:val="0"/>
                <w:sz w:val="24"/>
              </w:rPr>
              <w:t/>
            </w:r>
          </w:p>
        </w:tc>
        <w:tc>
          <w:tcPr>
            <w:tcW w:type="dxa" w:w="2551"/>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3175"/>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材料</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工业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非必需消费品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保健</w:t>
            </w:r>
          </w:p>
        </w:tc>
        <w:tc>
          <w:tcPr>
            <w:vAlign w:val="center"/>
          </w:tcPr>
          <w:p>
            <w:pPr>
              <w:jc w:val="right"/>
            </w:pPr>
            <w:r>
              <w:rPr>
                <w:color w:val="000000"/>
                <w:sz w:val="24"/>
              </w:rPr>
              <w:t>98,086,756.34</w:t>
            </w:r>
          </w:p>
        </w:tc>
        <w:tc>
          <w:tcPr>
            <w:vAlign w:val="center"/>
          </w:tcPr>
          <w:p>
            <w:pPr>
              <w:jc w:val="right"/>
            </w:pPr>
            <w:r>
              <w:rPr>
                <w:color w:val="000000"/>
                <w:sz w:val="24"/>
              </w:rPr>
              <w:t>94.58</w:t>
            </w:r>
          </w:p>
        </w:tc>
      </w:tr>
      <w:tr>
        <w:tc>
          <w:tcPr>
            <w:vAlign w:val="center"/>
          </w:tcPr>
          <w:p>
            <w:pPr>
              <w:jc w:val="left"/>
            </w:pPr>
            <w:r>
              <w:rPr>
                <w:color w:val="000000"/>
                <w:sz w:val="24"/>
              </w:rPr>
              <w:t>金融</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信息技术</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电信服务</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公用事业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房地产</w:t>
            </w:r>
          </w:p>
        </w:tc>
        <w:tc>
          <w:tcPr>
            <w:vAlign w:val="center"/>
          </w:tcPr>
          <w:p>
            <w:pPr>
              <w:jc w:val="right"/>
            </w:pPr>
            <w:r>
              <w:rPr>
                <w:color w:val="000000"/>
                <w:sz w:val="24"/>
              </w:rPr>
              <w:t>-</w:t>
            </w:r>
          </w:p>
        </w:tc>
        <w:tc>
          <w:tcPr>
            <w:vAlign w:val="center"/>
          </w:tcPr>
          <w:p>
            <w:pPr>
              <w:jc w:val="right"/>
            </w:pPr>
            <w:r>
              <w:rPr>
                <w:color w:val="000000"/>
                <w:sz w:val="24"/>
              </w:rPr>
              <w:t>-</w:t>
            </w:r>
          </w:p>
        </w:tc>
      </w:tr>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sz w:val="24"/>
              </w:rPr>
            </w:pPr>
            <w:r w:rsidRPr="00A70EAB">
              <w:rPr>
                <w:color w:val="000000"/>
                <w:sz w:val="24"/>
              </w:rPr>
              <w:t>合计</w:t>
            </w:r>
          </w:p>
        </w:tc>
        <w:tc>
          <w:tcPr>
            <w:tcW w:type="dxa" w:w="2551"/>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
            </w:r>
            <w:proofErr w:type="spellStart"/>
            <w:r w:rsidRPr="00A70EAB">
              <w:rPr>
                <w:color w:val="000000"/>
                <w:sz w:val="24"/>
              </w:rPr>
              <w:t/>
            </w:r>
            <w:proofErr w:type="spellEnd"/>
            <w:r w:rsidRPr="00A70EAB">
              <w:rPr>
                <w:color w:val="000000"/>
                <w:sz w:val="24"/>
              </w:rPr>
              <w:t>98,086,756.34</w:t>
            </w:r>
          </w:p>
        </w:tc>
        <w:tc>
          <w:tcPr>
            <w:tcW w:type="dxa" w:w="3175"/>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94.58</w:t>
            </w:r>
          </w:p>
        </w:tc>
      </w:tr>
    </w:tbl>
    <w:p w:rsidP="00F33530" w:rsidR="00F33530" w:rsidRDefault="00F33530" w:rsidRPr="00A70EAB">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注：以上分类采用全球行业分类标准（GICS）。</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5.4 </w:t>
      </w:r>
      <w:r w:rsidRPr="002149AE">
        <w:rPr>
          <w:rFonts w:ascii="宋体" w:cs="Arial" w:hAnsi="宋体" w:hint="eastAsia"/>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33530" w:rsidRPr="002149AE" w:rsidTr="006D780B">
        <w:tc>
          <w:tcPr>
            <w:tcW w:type="dxa" w:w="794"/>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序号</w:t>
            </w:r>
          </w:p>
        </w:tc>
        <w:tc>
          <w:tcPr>
            <w:tcW w:type="dxa" w:w="974"/>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公司名称（英文）</w:t>
            </w:r>
          </w:p>
        </w:tc>
        <w:tc>
          <w:tcPr>
            <w:tcW w:type="dxa" w:w="1019"/>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公司名称（中文）</w:t>
            </w:r>
          </w:p>
        </w:tc>
        <w:tc>
          <w:tcPr>
            <w:tcW w:type="dxa" w:w="703"/>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证券代码</w:t>
            </w:r>
          </w:p>
        </w:tc>
        <w:tc>
          <w:tcPr>
            <w:tcW w:type="dxa" w:w="793"/>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所在证</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券市</w:t>
            </w:r>
            <w:r w:rsidRPr="00A70EAB">
              <w:rPr>
                <w:color w:val="000000"/>
                <w:kern w:val="0"/>
                <w:sz w:val="24"/>
              </w:rPr>
              <w:lastRenderedPageBreak/>
              <w:t>场</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所属国家</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（地</w:t>
            </w:r>
            <w:r w:rsidRPr="00A70EAB">
              <w:rPr>
                <w:color w:val="000000"/>
                <w:kern w:val="0"/>
                <w:sz w:val="24"/>
              </w:rPr>
              <w:lastRenderedPageBreak/>
              <w:t>区</w:t>
            </w:r>
            <w:r w:rsidRPr="00A70EAB">
              <w:rPr>
                <w:color w:val="000000"/>
                <w:kern w:val="0"/>
                <w:sz w:val="24"/>
              </w:rPr>
              <w:t>)</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数量</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（股）</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Inovio Pharmaceuticals Inc</w:t>
            </w:r>
          </w:p>
        </w:tc>
        <w:tc>
          <w:tcPr>
            <w:vAlign w:val="center"/>
          </w:tcPr>
          <w:p>
            <w:pPr>
              <w:jc w:val="center"/>
            </w:pPr>
            <w:r>
              <w:rPr>
                <w:color w:val="000000"/>
                <w:sz w:val="24"/>
              </w:rPr>
              <w:t>-</w:t>
            </w:r>
          </w:p>
        </w:tc>
        <w:tc>
          <w:tcPr>
            <w:vAlign w:val="center"/>
          </w:tcPr>
          <w:p>
            <w:pPr>
              <w:jc w:val="center"/>
            </w:pPr>
            <w:r>
              <w:rPr>
                <w:color w:val="000000"/>
                <w:sz w:val="24"/>
              </w:rPr>
              <w:t>INO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10,450</w:t>
            </w:r>
          </w:p>
        </w:tc>
        <w:tc>
          <w:tcPr>
            <w:vAlign w:val="center"/>
          </w:tcPr>
          <w:p>
            <w:pPr>
              <w:jc w:val="right"/>
            </w:pPr>
            <w:r>
              <w:rPr>
                <w:color w:val="000000"/>
                <w:sz w:val="24"/>
              </w:rPr>
              <w:t>1,993,781.89</w:t>
            </w:r>
          </w:p>
        </w:tc>
        <w:tc>
          <w:tcPr>
            <w:vAlign w:val="center"/>
          </w:tcPr>
          <w:p>
            <w:pPr>
              <w:jc w:val="right"/>
            </w:pPr>
            <w:r>
              <w:rPr>
                <w:color w:val="000000"/>
                <w:sz w:val="24"/>
              </w:rPr>
              <w:t>1.92</w:t>
            </w:r>
          </w:p>
        </w:tc>
      </w:tr>
      <w:tr>
        <w:tc>
          <w:tcPr>
            <w:vAlign w:val="center"/>
          </w:tcPr>
          <w:p>
            <w:pPr>
              <w:jc w:val="center"/>
            </w:pPr>
            <w:r>
              <w:rPr>
                <w:color w:val="000000"/>
                <w:sz w:val="24"/>
              </w:rPr>
              <w:t>2</w:t>
            </w:r>
          </w:p>
        </w:tc>
        <w:tc>
          <w:tcPr>
            <w:vAlign w:val="center"/>
          </w:tcPr>
          <w:p>
            <w:pPr>
              <w:jc w:val="center"/>
            </w:pPr>
            <w:r>
              <w:rPr>
                <w:color w:val="000000"/>
                <w:sz w:val="24"/>
              </w:rPr>
              <w:t>Invitae Corp</w:t>
            </w:r>
          </w:p>
        </w:tc>
        <w:tc>
          <w:tcPr>
            <w:vAlign w:val="center"/>
          </w:tcPr>
          <w:p>
            <w:pPr>
              <w:jc w:val="center"/>
            </w:pPr>
            <w:r>
              <w:rPr>
                <w:color w:val="000000"/>
                <w:sz w:val="24"/>
              </w:rPr>
              <w:t>-</w:t>
            </w:r>
          </w:p>
        </w:tc>
        <w:tc>
          <w:tcPr>
            <w:vAlign w:val="center"/>
          </w:tcPr>
          <w:p>
            <w:pPr>
              <w:jc w:val="center"/>
            </w:pPr>
            <w:r>
              <w:rPr>
                <w:color w:val="000000"/>
                <w:sz w:val="24"/>
              </w:rPr>
              <w:t>NVTA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8,414</w:t>
            </w:r>
          </w:p>
        </w:tc>
        <w:tc>
          <w:tcPr>
            <w:vAlign w:val="center"/>
          </w:tcPr>
          <w:p>
            <w:pPr>
              <w:jc w:val="right"/>
            </w:pPr>
            <w:r>
              <w:rPr>
                <w:color w:val="000000"/>
                <w:sz w:val="24"/>
              </w:rPr>
              <w:t>1,804,281.79</w:t>
            </w:r>
          </w:p>
        </w:tc>
        <w:tc>
          <w:tcPr>
            <w:vAlign w:val="center"/>
          </w:tcPr>
          <w:p>
            <w:pPr>
              <w:jc w:val="right"/>
            </w:pPr>
            <w:r>
              <w:rPr>
                <w:color w:val="000000"/>
                <w:sz w:val="24"/>
              </w:rPr>
              <w:t>1.74</w:t>
            </w:r>
          </w:p>
        </w:tc>
      </w:tr>
      <w:tr>
        <w:tc>
          <w:tcPr>
            <w:vAlign w:val="center"/>
          </w:tcPr>
          <w:p>
            <w:pPr>
              <w:jc w:val="center"/>
            </w:pPr>
            <w:r>
              <w:rPr>
                <w:color w:val="000000"/>
                <w:sz w:val="24"/>
              </w:rPr>
              <w:t>3</w:t>
            </w:r>
          </w:p>
        </w:tc>
        <w:tc>
          <w:tcPr>
            <w:vAlign w:val="center"/>
          </w:tcPr>
          <w:p>
            <w:pPr>
              <w:jc w:val="center"/>
            </w:pPr>
            <w:r>
              <w:rPr>
                <w:color w:val="000000"/>
                <w:sz w:val="24"/>
              </w:rPr>
              <w:t>Novavax Inc</w:t>
            </w:r>
          </w:p>
        </w:tc>
        <w:tc>
          <w:tcPr>
            <w:vAlign w:val="center"/>
          </w:tcPr>
          <w:p>
            <w:pPr>
              <w:jc w:val="center"/>
            </w:pPr>
            <w:r>
              <w:rPr>
                <w:color w:val="000000"/>
                <w:sz w:val="24"/>
              </w:rPr>
              <w:t>-</w:t>
            </w:r>
          </w:p>
        </w:tc>
        <w:tc>
          <w:tcPr>
            <w:vAlign w:val="center"/>
          </w:tcPr>
          <w:p>
            <w:pPr>
              <w:jc w:val="center"/>
            </w:pPr>
            <w:r>
              <w:rPr>
                <w:color w:val="000000"/>
                <w:sz w:val="24"/>
              </w:rPr>
              <w:t>NVAX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2,986</w:t>
            </w:r>
          </w:p>
        </w:tc>
        <w:tc>
          <w:tcPr>
            <w:vAlign w:val="center"/>
          </w:tcPr>
          <w:p>
            <w:pPr>
              <w:jc w:val="right"/>
            </w:pPr>
            <w:r>
              <w:rPr>
                <w:color w:val="000000"/>
                <w:sz w:val="24"/>
              </w:rPr>
              <w:t>1,761,967.91</w:t>
            </w:r>
          </w:p>
        </w:tc>
        <w:tc>
          <w:tcPr>
            <w:vAlign w:val="center"/>
          </w:tcPr>
          <w:p>
            <w:pPr>
              <w:jc w:val="right"/>
            </w:pPr>
            <w:r>
              <w:rPr>
                <w:color w:val="000000"/>
                <w:sz w:val="24"/>
              </w:rPr>
              <w:t>1.70</w:t>
            </w:r>
          </w:p>
        </w:tc>
      </w:tr>
      <w:tr>
        <w:tc>
          <w:tcPr>
            <w:vAlign w:val="center"/>
          </w:tcPr>
          <w:p>
            <w:pPr>
              <w:jc w:val="center"/>
            </w:pPr>
            <w:r>
              <w:rPr>
                <w:color w:val="000000"/>
                <w:sz w:val="24"/>
              </w:rPr>
              <w:t>4</w:t>
            </w:r>
          </w:p>
        </w:tc>
        <w:tc>
          <w:tcPr>
            <w:vAlign w:val="center"/>
          </w:tcPr>
          <w:p>
            <w:pPr>
              <w:jc w:val="center"/>
            </w:pPr>
            <w:r>
              <w:rPr>
                <w:color w:val="000000"/>
                <w:sz w:val="24"/>
              </w:rPr>
              <w:t>Amicus Therapeutics Inc</w:t>
            </w:r>
          </w:p>
        </w:tc>
        <w:tc>
          <w:tcPr>
            <w:vAlign w:val="center"/>
          </w:tcPr>
          <w:p>
            <w:pPr>
              <w:jc w:val="center"/>
            </w:pPr>
            <w:r>
              <w:rPr>
                <w:color w:val="000000"/>
                <w:sz w:val="24"/>
              </w:rPr>
              <w:t>-</w:t>
            </w:r>
          </w:p>
        </w:tc>
        <w:tc>
          <w:tcPr>
            <w:vAlign w:val="center"/>
          </w:tcPr>
          <w:p>
            <w:pPr>
              <w:jc w:val="center"/>
            </w:pPr>
            <w:r>
              <w:rPr>
                <w:color w:val="000000"/>
                <w:sz w:val="24"/>
              </w:rPr>
              <w:t>FOLD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12,448</w:t>
            </w:r>
          </w:p>
        </w:tc>
        <w:tc>
          <w:tcPr>
            <w:vAlign w:val="center"/>
          </w:tcPr>
          <w:p>
            <w:pPr>
              <w:jc w:val="right"/>
            </w:pPr>
            <w:r>
              <w:rPr>
                <w:color w:val="000000"/>
                <w:sz w:val="24"/>
              </w:rPr>
              <w:t>1,328,934.29</w:t>
            </w:r>
          </w:p>
        </w:tc>
        <w:tc>
          <w:tcPr>
            <w:vAlign w:val="center"/>
          </w:tcPr>
          <w:p>
            <w:pPr>
              <w:jc w:val="right"/>
            </w:pPr>
            <w:r>
              <w:rPr>
                <w:color w:val="000000"/>
                <w:sz w:val="24"/>
              </w:rPr>
              <w:t>1.28</w:t>
            </w:r>
          </w:p>
        </w:tc>
      </w:tr>
      <w:tr>
        <w:tc>
          <w:tcPr>
            <w:vAlign w:val="center"/>
          </w:tcPr>
          <w:p>
            <w:pPr>
              <w:jc w:val="center"/>
            </w:pPr>
            <w:r>
              <w:rPr>
                <w:color w:val="000000"/>
                <w:sz w:val="24"/>
              </w:rPr>
              <w:t>5</w:t>
            </w:r>
          </w:p>
        </w:tc>
        <w:tc>
          <w:tcPr>
            <w:vAlign w:val="center"/>
          </w:tcPr>
          <w:p>
            <w:pPr>
              <w:jc w:val="center"/>
            </w:pPr>
            <w:r>
              <w:rPr>
                <w:color w:val="000000"/>
                <w:sz w:val="24"/>
              </w:rPr>
              <w:t>OPKO Health Inc</w:t>
            </w:r>
          </w:p>
        </w:tc>
        <w:tc>
          <w:tcPr>
            <w:vAlign w:val="center"/>
          </w:tcPr>
          <w:p>
            <w:pPr>
              <w:jc w:val="center"/>
            </w:pPr>
            <w:r>
              <w:rPr>
                <w:color w:val="000000"/>
                <w:sz w:val="24"/>
              </w:rPr>
              <w:t>-</w:t>
            </w:r>
          </w:p>
        </w:tc>
        <w:tc>
          <w:tcPr>
            <w:vAlign w:val="center"/>
          </w:tcPr>
          <w:p>
            <w:pPr>
              <w:jc w:val="center"/>
            </w:pPr>
            <w:r>
              <w:rPr>
                <w:color w:val="000000"/>
                <w:sz w:val="24"/>
              </w:rPr>
              <w:t>OPK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54,858</w:t>
            </w:r>
          </w:p>
        </w:tc>
        <w:tc>
          <w:tcPr>
            <w:vAlign w:val="center"/>
          </w:tcPr>
          <w:p>
            <w:pPr>
              <w:jc w:val="right"/>
            </w:pPr>
            <w:r>
              <w:rPr>
                <w:color w:val="000000"/>
                <w:sz w:val="24"/>
              </w:rPr>
              <w:t>1,324,332.19</w:t>
            </w:r>
          </w:p>
        </w:tc>
        <w:tc>
          <w:tcPr>
            <w:vAlign w:val="center"/>
          </w:tcPr>
          <w:p>
            <w:pPr>
              <w:jc w:val="right"/>
            </w:pPr>
            <w:r>
              <w:rPr>
                <w:color w:val="000000"/>
                <w:sz w:val="24"/>
              </w:rPr>
              <w:t>1.28</w:t>
            </w:r>
          </w:p>
        </w:tc>
      </w:tr>
      <w:tr>
        <w:tc>
          <w:tcPr>
            <w:vAlign w:val="center"/>
          </w:tcPr>
          <w:p>
            <w:pPr>
              <w:jc w:val="center"/>
            </w:pPr>
            <w:r>
              <w:rPr>
                <w:color w:val="000000"/>
                <w:sz w:val="24"/>
              </w:rPr>
              <w:t>6</w:t>
            </w:r>
          </w:p>
        </w:tc>
        <w:tc>
          <w:tcPr>
            <w:vAlign w:val="center"/>
          </w:tcPr>
          <w:p>
            <w:pPr>
              <w:jc w:val="center"/>
            </w:pPr>
            <w:r>
              <w:rPr>
                <w:color w:val="000000"/>
                <w:sz w:val="24"/>
              </w:rPr>
              <w:t>Arrowhead Pharmaceuticals Inc</w:t>
            </w:r>
          </w:p>
        </w:tc>
        <w:tc>
          <w:tcPr>
            <w:vAlign w:val="center"/>
          </w:tcPr>
          <w:p>
            <w:pPr>
              <w:jc w:val="center"/>
            </w:pPr>
            <w:r>
              <w:rPr>
                <w:color w:val="000000"/>
                <w:sz w:val="24"/>
              </w:rPr>
              <w:t>-</w:t>
            </w:r>
          </w:p>
        </w:tc>
        <w:tc>
          <w:tcPr>
            <w:vAlign w:val="center"/>
          </w:tcPr>
          <w:p>
            <w:pPr>
              <w:jc w:val="center"/>
            </w:pPr>
            <w:r>
              <w:rPr>
                <w:color w:val="000000"/>
                <w:sz w:val="24"/>
              </w:rPr>
              <w:t>ARWR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4,157</w:t>
            </w:r>
          </w:p>
        </w:tc>
        <w:tc>
          <w:tcPr>
            <w:vAlign w:val="center"/>
          </w:tcPr>
          <w:p>
            <w:pPr>
              <w:jc w:val="right"/>
            </w:pPr>
            <w:r>
              <w:rPr>
                <w:color w:val="000000"/>
                <w:sz w:val="24"/>
              </w:rPr>
              <w:t>1,271,059.31</w:t>
            </w:r>
          </w:p>
        </w:tc>
        <w:tc>
          <w:tcPr>
            <w:vAlign w:val="center"/>
          </w:tcPr>
          <w:p>
            <w:pPr>
              <w:jc w:val="right"/>
            </w:pPr>
            <w:r>
              <w:rPr>
                <w:color w:val="000000"/>
                <w:sz w:val="24"/>
              </w:rPr>
              <w:t>1.23</w:t>
            </w:r>
          </w:p>
        </w:tc>
      </w:tr>
      <w:tr>
        <w:tc>
          <w:tcPr>
            <w:vAlign w:val="center"/>
          </w:tcPr>
          <w:p>
            <w:pPr>
              <w:jc w:val="center"/>
            </w:pPr>
            <w:r>
              <w:rPr>
                <w:color w:val="000000"/>
                <w:sz w:val="24"/>
              </w:rPr>
              <w:t>7</w:t>
            </w:r>
          </w:p>
        </w:tc>
        <w:tc>
          <w:tcPr>
            <w:vAlign w:val="center"/>
          </w:tcPr>
          <w:p>
            <w:pPr>
              <w:jc w:val="center"/>
            </w:pPr>
            <w:r>
              <w:rPr>
                <w:color w:val="000000"/>
                <w:sz w:val="24"/>
              </w:rPr>
              <w:t>Natera Inc</w:t>
            </w:r>
          </w:p>
        </w:tc>
        <w:tc>
          <w:tcPr>
            <w:vAlign w:val="center"/>
          </w:tcPr>
          <w:p>
            <w:pPr>
              <w:jc w:val="center"/>
            </w:pPr>
            <w:r>
              <w:rPr>
                <w:color w:val="000000"/>
                <w:sz w:val="24"/>
              </w:rPr>
              <w:t>-</w:t>
            </w:r>
          </w:p>
        </w:tc>
        <w:tc>
          <w:tcPr>
            <w:vAlign w:val="center"/>
          </w:tcPr>
          <w:p>
            <w:pPr>
              <w:jc w:val="center"/>
            </w:pPr>
            <w:r>
              <w:rPr>
                <w:color w:val="000000"/>
                <w:sz w:val="24"/>
              </w:rPr>
              <w:t>NTRA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3,324</w:t>
            </w:r>
          </w:p>
        </w:tc>
        <w:tc>
          <w:tcPr>
            <w:vAlign w:val="center"/>
          </w:tcPr>
          <w:p>
            <w:pPr>
              <w:jc w:val="right"/>
            </w:pPr>
            <w:r>
              <w:rPr>
                <w:color w:val="000000"/>
                <w:sz w:val="24"/>
              </w:rPr>
              <w:t>1,173,318.38</w:t>
            </w:r>
          </w:p>
        </w:tc>
        <w:tc>
          <w:tcPr>
            <w:vAlign w:val="center"/>
          </w:tcPr>
          <w:p>
            <w:pPr>
              <w:jc w:val="right"/>
            </w:pPr>
            <w:r>
              <w:rPr>
                <w:color w:val="000000"/>
                <w:sz w:val="24"/>
              </w:rPr>
              <w:t>1.13</w:t>
            </w:r>
          </w:p>
        </w:tc>
      </w:tr>
      <w:tr>
        <w:tc>
          <w:tcPr>
            <w:vAlign w:val="center"/>
          </w:tcPr>
          <w:p>
            <w:pPr>
              <w:jc w:val="center"/>
            </w:pPr>
            <w:r>
              <w:rPr>
                <w:color w:val="000000"/>
                <w:sz w:val="24"/>
              </w:rPr>
              <w:t>8</w:t>
            </w:r>
          </w:p>
        </w:tc>
        <w:tc>
          <w:tcPr>
            <w:vAlign w:val="center"/>
          </w:tcPr>
          <w:p>
            <w:pPr>
              <w:jc w:val="center"/>
            </w:pPr>
            <w:r>
              <w:rPr>
                <w:color w:val="000000"/>
                <w:sz w:val="24"/>
              </w:rPr>
              <w:t>Alkermes PLC</w:t>
            </w:r>
          </w:p>
        </w:tc>
        <w:tc>
          <w:tcPr>
            <w:vAlign w:val="center"/>
          </w:tcPr>
          <w:p>
            <w:pPr>
              <w:jc w:val="center"/>
            </w:pPr>
            <w:r>
              <w:rPr>
                <w:color w:val="000000"/>
                <w:sz w:val="24"/>
              </w:rPr>
              <w:t>-</w:t>
            </w:r>
          </w:p>
        </w:tc>
        <w:tc>
          <w:tcPr>
            <w:vAlign w:val="center"/>
          </w:tcPr>
          <w:p>
            <w:pPr>
              <w:jc w:val="center"/>
            </w:pPr>
            <w:r>
              <w:rPr>
                <w:color w:val="000000"/>
                <w:sz w:val="24"/>
              </w:rPr>
              <w:t>ALKS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8,316</w:t>
            </w:r>
          </w:p>
        </w:tc>
        <w:tc>
          <w:tcPr>
            <w:vAlign w:val="center"/>
          </w:tcPr>
          <w:p>
            <w:pPr>
              <w:jc w:val="right"/>
            </w:pPr>
            <w:r>
              <w:rPr>
                <w:color w:val="000000"/>
                <w:sz w:val="24"/>
              </w:rPr>
              <w:t>1,142,432.93</w:t>
            </w:r>
          </w:p>
        </w:tc>
        <w:tc>
          <w:tcPr>
            <w:vAlign w:val="center"/>
          </w:tcPr>
          <w:p>
            <w:pPr>
              <w:jc w:val="right"/>
            </w:pPr>
            <w:r>
              <w:rPr>
                <w:color w:val="000000"/>
                <w:sz w:val="24"/>
              </w:rPr>
              <w:t>1.10</w:t>
            </w:r>
          </w:p>
        </w:tc>
      </w:tr>
      <w:tr>
        <w:tc>
          <w:tcPr>
            <w:vAlign w:val="center"/>
          </w:tcPr>
          <w:p>
            <w:pPr>
              <w:jc w:val="center"/>
            </w:pPr>
            <w:r>
              <w:rPr>
                <w:color w:val="000000"/>
                <w:sz w:val="24"/>
              </w:rPr>
              <w:t>9</w:t>
            </w:r>
          </w:p>
        </w:tc>
        <w:tc>
          <w:tcPr>
            <w:vAlign w:val="center"/>
          </w:tcPr>
          <w:p>
            <w:pPr>
              <w:jc w:val="center"/>
            </w:pPr>
            <w:r>
              <w:rPr>
                <w:color w:val="000000"/>
                <w:sz w:val="24"/>
              </w:rPr>
              <w:t>Alnylam Pharmaceuticals Inc</w:t>
            </w:r>
          </w:p>
        </w:tc>
        <w:tc>
          <w:tcPr>
            <w:vAlign w:val="center"/>
          </w:tcPr>
          <w:p>
            <w:pPr>
              <w:jc w:val="center"/>
            </w:pPr>
            <w:r>
              <w:rPr>
                <w:color w:val="000000"/>
                <w:sz w:val="24"/>
              </w:rPr>
              <w:t>-</w:t>
            </w:r>
          </w:p>
        </w:tc>
        <w:tc>
          <w:tcPr>
            <w:vAlign w:val="center"/>
          </w:tcPr>
          <w:p>
            <w:pPr>
              <w:jc w:val="center"/>
            </w:pPr>
            <w:r>
              <w:rPr>
                <w:color w:val="000000"/>
                <w:sz w:val="24"/>
              </w:rPr>
              <w:t>ALNY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1,085</w:t>
            </w:r>
          </w:p>
        </w:tc>
        <w:tc>
          <w:tcPr>
            <w:vAlign w:val="center"/>
          </w:tcPr>
          <w:p>
            <w:pPr>
              <w:jc w:val="right"/>
            </w:pPr>
            <w:r>
              <w:rPr>
                <w:color w:val="000000"/>
                <w:sz w:val="24"/>
              </w:rPr>
              <w:t>1,137,671.05</w:t>
            </w:r>
          </w:p>
        </w:tc>
        <w:tc>
          <w:tcPr>
            <w:vAlign w:val="center"/>
          </w:tcPr>
          <w:p>
            <w:pPr>
              <w:jc w:val="right"/>
            </w:pPr>
            <w:r>
              <w:rPr>
                <w:color w:val="000000"/>
                <w:sz w:val="24"/>
              </w:rPr>
              <w:t>1.10</w:t>
            </w:r>
          </w:p>
        </w:tc>
      </w:tr>
      <w:tr>
        <w:tc>
          <w:tcPr>
            <w:vAlign w:val="center"/>
          </w:tcPr>
          <w:p>
            <w:pPr>
              <w:jc w:val="center"/>
            </w:pPr>
            <w:r>
              <w:rPr>
                <w:color w:val="000000"/>
                <w:sz w:val="24"/>
              </w:rPr>
              <w:t>10</w:t>
            </w:r>
          </w:p>
        </w:tc>
        <w:tc>
          <w:tcPr>
            <w:vAlign w:val="center"/>
          </w:tcPr>
          <w:p>
            <w:pPr>
              <w:jc w:val="center"/>
            </w:pPr>
            <w:r>
              <w:rPr>
                <w:color w:val="000000"/>
                <w:sz w:val="24"/>
              </w:rPr>
              <w:t>Esperion Therapeutics Inc</w:t>
            </w:r>
          </w:p>
        </w:tc>
        <w:tc>
          <w:tcPr>
            <w:vAlign w:val="center"/>
          </w:tcPr>
          <w:p>
            <w:pPr>
              <w:jc w:val="center"/>
            </w:pPr>
            <w:r>
              <w:rPr>
                <w:color w:val="000000"/>
                <w:sz w:val="24"/>
              </w:rPr>
              <w:t>-</w:t>
            </w:r>
          </w:p>
        </w:tc>
        <w:tc>
          <w:tcPr>
            <w:vAlign w:val="center"/>
          </w:tcPr>
          <w:p>
            <w:pPr>
              <w:jc w:val="center"/>
            </w:pPr>
            <w:r>
              <w:rPr>
                <w:color w:val="000000"/>
                <w:sz w:val="24"/>
              </w:rPr>
              <w:t>ESPR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3,129</w:t>
            </w:r>
          </w:p>
        </w:tc>
        <w:tc>
          <w:tcPr>
            <w:vAlign w:val="center"/>
          </w:tcPr>
          <w:p>
            <w:pPr>
              <w:jc w:val="right"/>
            </w:pPr>
            <w:r>
              <w:rPr>
                <w:color w:val="000000"/>
                <w:sz w:val="24"/>
              </w:rPr>
              <w:t>1,136,606.57</w:t>
            </w:r>
          </w:p>
        </w:tc>
        <w:tc>
          <w:tcPr>
            <w:vAlign w:val="center"/>
          </w:tcPr>
          <w:p>
            <w:pPr>
              <w:jc w:val="right"/>
            </w:pPr>
            <w:r>
              <w:rPr>
                <w:color w:val="000000"/>
                <w:sz w:val="24"/>
              </w:rPr>
              <w:t>1.10</w:t>
            </w:r>
          </w:p>
        </w:tc>
      </w:tr>
    </w:tbl>
    <w:p w:rsidP="0040658E" w:rsidR="00F13451" w:rsidRDefault="00F33530" w:rsidRPr="0040658E">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注：此处所用证券代码的类别是当地市场代码。</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5.5 </w:t>
      </w:r>
      <w:r w:rsidRPr="00820253">
        <w:rPr>
          <w:rFonts w:ascii="宋体" w:cs="Arial" w:hAnsi="宋体" w:hint="eastAsia"/>
          <w:b/>
          <w:color w:val="000000"/>
          <w:kern w:val="0"/>
          <w:sz w:val="24"/>
        </w:rPr>
        <w:t>报告期末按债券信用等级分类的债券投资组合</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5.6</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的前五名债券投资明细</w:t>
      </w:r>
    </w:p>
    <w:p w:rsidP="00431EE1" w:rsidR="00F13451" w:rsidRDefault="00F13451" w:rsidRPr="008B041C">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5.7</w:t>
      </w:r>
      <w:r w:rsidR="00476756">
        <w:rPr>
          <w:rFonts w:ascii="宋体" w:cs="Arial" w:hAnsi="宋体" w:hint="eastAsia"/>
          <w:b/>
          <w:color w:val="000000"/>
          <w:kern w:val="0"/>
          <w:sz w:val="24"/>
        </w:rPr>
        <w:t>报告期末按公允价值占基金资产净值比例大小排序</w:t>
      </w:r>
      <w:r w:rsidRPr="0029671E">
        <w:rPr>
          <w:rFonts w:ascii="宋体" w:cs="Arial" w:hAnsi="宋体" w:hint="eastAsia"/>
          <w:b/>
          <w:color w:val="000000"/>
          <w:kern w:val="0"/>
          <w:sz w:val="24"/>
        </w:rPr>
        <w:t>的前十名资产支持证券投资明细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本基金本报告期末未持有资产支持证券。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5.8 </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的前五名金融衍生品投资明细</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本基金本报告期末未持有金融衍生品。</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5.9</w:t>
      </w:r>
      <w:r w:rsidRPr="0029671E">
        <w:rPr>
          <w:rFonts w:ascii="宋体" w:cs="Arial" w:hAnsi="宋体" w:hint="eastAsia"/>
          <w:b/>
          <w:color w:val="000000"/>
          <w:kern w:val="0"/>
          <w:sz w:val="24"/>
        </w:rPr>
        <w:t>报告期末按公允价值占基金资产净值比例大小排序的前十名基金投资明细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本基金本报告期末未持有基金。</w:t>
      </w:r>
    </w:p>
    <w:p w:rsidP="00A33DF2"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5.10 </w:t>
      </w:r>
      <w:r w:rsidRPr="00820253">
        <w:rPr>
          <w:rFonts w:ascii="宋体" w:cs="Arial" w:hAnsi="宋体" w:hint="eastAsia"/>
          <w:b/>
          <w:color w:val="000000"/>
          <w:kern w:val="0"/>
          <w:sz w:val="24"/>
        </w:rPr>
        <w:t>投资组合报告附注</w:t>
      </w:r>
    </w:p>
    <w:p w:rsidP="00A33DF2" w:rsidR="00F13451" w:rsidRDefault="00F13451" w:rsidRPr="00820253">
      <w:pPr>
        <w:spacing w:line="360" w:lineRule="auto"/>
        <w:rPr>
          <w:rFonts w:ascii="宋体" w:hAnsi="宋体"/>
          <w:color w:val="000000"/>
          <w:sz w:val="24"/>
        </w:rPr>
      </w:pPr>
      <w:r w:rsidRPr="00820253">
        <w:rPr>
          <w:rFonts w:ascii="宋体" w:hAnsi="宋体"/>
          <w:color w:val="000000"/>
          <w:sz w:val="24"/>
        </w:rPr>
        <w:t>5.10.1</w:t>
      </w:r>
      <w:r w:rsidR="00D623A3">
        <w:rPr>
          <w:rFonts w:ascii="宋体" w:hAnsi="宋体" w:hint="eastAsia"/>
          <w:color w:val="000000"/>
          <w:sz w:val="24"/>
        </w:rPr>
        <w:t xml:space="preserve"> </w:t>
      </w:r>
      <w:r w:rsidRPr="00431EE1">
        <w:rPr>
          <w:color w:val="000000"/>
          <w:sz w:val="24"/>
        </w:rPr>
        <w:t/>
      </w:r>
      <w:proofErr w:type="gramStart"/>
      <w:r w:rsidRPr="00431EE1">
        <w:rPr>
          <w:color w:val="000000"/>
          <w:sz w:val="24"/>
        </w:rPr>
        <w:t/>
      </w:r>
      <w:proofErr w:type="gramEnd"/>
      <w:r w:rsidRPr="00431EE1">
        <w:rPr>
          <w:color w:val="000000"/>
          <w:sz w:val="24"/>
        </w:rPr>
        <w:t>本基金投资的前十名证券的发行主体本期没有出现被监管部门立案调查，或在报告编制日前一年内受到公开谴责、处罚的情形。</w:t>
      </w:r>
    </w:p>
    <w:p w:rsidP="00A33DF2" w:rsidR="00F13451" w:rsidRDefault="00F13451" w:rsidRPr="00431EE1">
      <w:pPr>
        <w:spacing w:line="360" w:lineRule="auto"/>
        <w:rPr>
          <w:rFonts w:ascii="Verdana" w:hAnsi="Verdana"/>
          <w:color w:val="000000"/>
          <w:sz w:val="24"/>
        </w:rPr>
      </w:pPr>
      <w:r w:rsidRPr="00820253">
        <w:rPr>
          <w:rFonts w:ascii="宋体" w:hAnsi="宋体"/>
          <w:color w:val="000000"/>
          <w:sz w:val="24"/>
        </w:rPr>
        <w:t>5.10.2</w:t>
      </w:r>
      <w:r w:rsidR="00D623A3">
        <w:rPr>
          <w:rFonts w:ascii="宋体" w:hAnsi="宋体" w:hint="eastAsia"/>
          <w:color w:val="000000"/>
          <w:sz w:val="24"/>
        </w:rPr>
        <w:t xml:space="preserve"> </w:t>
      </w:r>
      <w:r w:rsidRPr="00431EE1">
        <w:rPr>
          <w:color w:val="000000"/>
          <w:sz w:val="24"/>
        </w:rPr>
        <w:t>本基金投资的前十名股票没有超出基金合同规定的备选股票库。</w:t>
      </w:r>
    </w:p>
    <w:p w:rsidP="00A33DF2" w:rsidR="00F13451" w:rsidRDefault="00F13451" w:rsidRPr="005771AC">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5.10.3</w:t>
      </w:r>
      <w:r w:rsidR="00320493">
        <w:rPr>
          <w:rFonts w:ascii="宋体" w:cs="Arial" w:hAnsi="宋体" w:hint="eastAsia"/>
          <w:color w:val="000000"/>
          <w:kern w:val="0"/>
          <w:sz w:val="24"/>
        </w:rPr>
        <w:t>其他</w:t>
      </w:r>
      <w:bookmarkStart w:id="2" w:name="_GoBack"/>
      <w:bookmarkEnd w:id="2"/>
      <w:r w:rsidRPr="005771AC">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序号</w:t>
            </w:r>
          </w:p>
        </w:tc>
        <w:tc>
          <w:tcPr>
            <w:tcW w:type="dxa" w:w="2903"/>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名称</w:t>
            </w:r>
          </w:p>
        </w:tc>
        <w:tc>
          <w:tcPr>
            <w:tcW w:type="dxa" w:w="4808"/>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金额</w:t>
            </w:r>
            <w:r w:rsidRPr="00431EE1">
              <w:rPr>
                <w:color w:val="000000"/>
                <w:kern w:val="0"/>
                <w:sz w:val="24"/>
              </w:rPr>
              <w:t>(</w:t>
            </w:r>
            <w:r w:rsidRPr="00431EE1">
              <w:rPr>
                <w:color w:val="000000"/>
                <w:kern w:val="0"/>
                <w:sz w:val="24"/>
              </w:rPr>
              <w:t>人民币元</w:t>
            </w:r>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kern w:val="0"/>
                <w:sz w:val="24"/>
              </w:rPr>
            </w:pPr>
            <w:r w:rsidRPr="00431EE1">
              <w:rPr>
                <w:color w:val="000000"/>
                <w:sz w:val="24"/>
              </w:rPr>
              <w:t>1</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存出保证金</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2</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应收证券清算款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3</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应收股利</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4</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应收利息</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838.49</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lastRenderedPageBreak/>
              <w:t>5</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应收申购款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1,694,895.85</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6</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其他应收款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7</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sz w:val="24"/>
              </w:rPr>
            </w:pPr>
            <w:r w:rsidRPr="00431EE1">
              <w:rPr>
                <w:color w:val="000000"/>
                <w:sz w:val="24"/>
              </w:rPr>
              <w:t>待摊费用</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8</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9</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合计</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1,695,734.34</w:t>
            </w:r>
          </w:p>
        </w:tc>
      </w:tr>
    </w:tbl>
    <w:p w:rsidP="00A33DF2" w:rsidR="00F13451" w:rsidRDefault="00F13451" w:rsidRPr="005771AC">
      <w:pPr>
        <w:autoSpaceDE w:val="0"/>
        <w:autoSpaceDN w:val="0"/>
        <w:adjustRightInd w:val="0"/>
        <w:spacing w:line="360" w:lineRule="auto"/>
        <w:rPr>
          <w:rFonts w:ascii="宋体" w:cs="Arial"/>
          <w:color w:val="000000"/>
          <w:kern w:val="0"/>
          <w:sz w:val="24"/>
        </w:rPr>
      </w:pPr>
      <w:r w:rsidRPr="005771AC">
        <w:rPr>
          <w:rFonts w:ascii="宋体" w:cs="Arial" w:hAnsi="宋体"/>
          <w:color w:val="000000"/>
          <w:kern w:val="0"/>
          <w:sz w:val="24"/>
        </w:rPr>
        <w:t>5.10.4</w:t>
      </w:r>
      <w:r w:rsidRPr="005771AC">
        <w:rPr>
          <w:rFonts w:ascii="宋体" w:hAnsi="宋体" w:hint="eastAsia"/>
          <w:bCs/>
          <w:sz w:val="24"/>
        </w:rPr>
        <w:t>报告期末持有的处于转股期的可转换债券明细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本基金本报告期末未持有处于转股期的可转换债券。</w:t>
      </w:r>
    </w:p>
    <w:p w:rsidP="00F33530" w:rsidR="00F33530" w:rsidRDefault="00F13451" w:rsidRPr="00CA4176">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5.10.5</w:t>
      </w:r>
      <w:r w:rsidR="00F33530" w:rsidRPr="00CA4176">
        <w:rPr>
          <w:rFonts w:ascii="宋体" w:cs="Arial" w:hAnsi="宋体" w:hint="eastAsia"/>
          <w:color w:val="000000"/>
          <w:kern w:val="0"/>
          <w:sz w:val="24"/>
        </w:rPr>
        <w:t>报告期末前十名股票中存在流通受限情况的说明</w:t>
      </w:r>
    </w:p>
    <w:p w:rsidP="00F33530" w:rsidR="00F13451" w:rsidRDefault="00F33530" w:rsidRPr="00F33530">
      <w:pPr>
        <w:spacing w:line="360" w:lineRule="auto"/>
        <w:ind w:firstLine="480" w:firstLineChars="200"/>
        <w:rPr>
          <w:color w:val="000000"/>
          <w:sz w:val="24"/>
        </w:rPr>
      </w:pPr>
      <w:r w:rsidRPr="00DB3360">
        <w:rPr>
          <w:color w:val="000000"/>
          <w:sz w:val="24"/>
        </w:rPr>
        <w:lastRenderedPageBreak/>
        <w:t>本基金本报告期末前十名股票中不存在流通受限情况。</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开放式基金份额变动</w:t>
      </w:r>
    </w:p>
    <w:p w:rsidP="008B6A4A" w:rsidR="00F13451" w:rsidRDefault="00F13451" w:rsidRPr="00820253">
      <w:pPr>
        <w:autoSpaceDE w:val="0"/>
        <w:autoSpaceDN w:val="0"/>
        <w:adjustRightInd w:val="0"/>
        <w:spacing w:before="29" w:line="360" w:lineRule="auto"/>
        <w:ind w:left="15"/>
        <w:jc w:val="right"/>
        <w:rPr>
          <w:rFonts w:ascii="宋体" w:cs="Arial"/>
          <w:color w:val="000000"/>
          <w:kern w:val="0"/>
          <w:sz w:val="24"/>
        </w:rPr>
      </w:pPr>
      <w:r w:rsidRPr="00820253">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报告期期初基金份额总额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59,297,691.84</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基金总申购份额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29,687,100.03</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减：</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基金总赎回份额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26,360,144.36</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基金拆分变动份额</w:t>
            </w:r>
            <w:r w:rsidR="00492D67">
              <w:rPr>
                <w:rFonts w:hint="eastAsia"/>
                <w:color w:val="000000"/>
                <w:kern w:val="0"/>
                <w:sz w:val="24"/>
              </w:rPr>
              <w:t>（份额减少以“</w:t>
            </w:r>
            <w:r w:rsidR="00492D67">
              <w:rPr>
                <w:color w:val="000000"/>
                <w:kern w:val="0"/>
                <w:sz w:val="24"/>
              </w:rPr>
              <w:t>-</w:t>
            </w:r>
            <w:r w:rsidR="00492D67">
              <w:rPr>
                <w:rFonts w:hint="eastAsia"/>
                <w:color w:val="000000"/>
                <w:kern w:val="0"/>
                <w:sz w:val="24"/>
              </w:rPr>
              <w:t>”填列）</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报告期期末基金份额总额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62,624,647.51</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注：本基金份额变动含易方达标普生物科技指数（QDII-LOF）人民币份额及美元现汇份额。</w:t>
      </w:r>
    </w:p>
    <w:p w:rsidP="008B041C" w:rsidR="00F13451" w:rsidRDefault="00F13451"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FD0A58" w:rsidRPr="00820253">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本报告期内基金管理人未运用固有资金申购、赎回、买卖本基金份额。</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color w:val="000000"/>
          <w:kern w:val="0"/>
          <w:sz w:val="24"/>
          <w:szCs w:val="24"/>
        </w:rPr>
        <w:t/>
      </w:r>
      <w:r w:rsidRPr="00820253">
        <w:rPr>
          <w:rFonts w:ascii="宋体" w:cs="Arial" w:hAnsi="宋体"/>
          <w:color w:val="000000"/>
          <w:kern w:val="0"/>
          <w:sz w:val="24"/>
          <w:szCs w:val="24"/>
        </w:rPr>
        <w:t>8</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备查文件目录</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8.1 </w:t>
      </w:r>
      <w:r w:rsidRPr="00D67E63">
        <w:rPr>
          <w:rFonts w:ascii="宋体" w:hAnsi="宋体" w:hint="eastAsia"/>
          <w:b/>
          <w:sz w:val="24"/>
        </w:rPr>
        <w:t>备查文件目录</w:t>
      </w:r>
    </w:p>
    <w:p>
      <w:pPr>
        <w:spacing w:line="360" w:lineRule="auto"/>
        <w:ind w:firstLine="480" w:firstLineChars="200"/>
        <w:rPr>
          <w:color w:val="000000"/>
          <w:sz w:val="24"/>
        </w:rPr>
      </w:pPr>
      <w:r>
        <w:rPr>
          <w:color w:val="000000"/>
          <w:sz w:val="24"/>
        </w:rPr>
        <w:t>1.中国证监会准予易方达标普生物科技指数证券投资基金（LOF）注册的文件；</w:t>
      </w:r>
    </w:p>
    <w:p>
      <w:pPr>
        <w:spacing w:line="360" w:lineRule="auto"/>
        <w:ind w:firstLine="480" w:firstLineChars="200"/>
        <w:rPr>
          <w:color w:val="000000"/>
          <w:sz w:val="24"/>
        </w:rPr>
      </w:pPr>
      <w:r>
        <w:rPr>
          <w:color w:val="000000"/>
          <w:sz w:val="24"/>
        </w:rPr>
        <w:t>2.《易方达标普生物科技指数证券投资基金（LOF）基金合同》；</w:t>
      </w:r>
    </w:p>
    <w:p>
      <w:pPr>
        <w:spacing w:line="360" w:lineRule="auto"/>
        <w:ind w:firstLine="480" w:firstLineChars="200"/>
        <w:rPr>
          <w:color w:val="000000"/>
          <w:sz w:val="24"/>
        </w:rPr>
      </w:pPr>
      <w:r>
        <w:rPr>
          <w:color w:val="000000"/>
          <w:sz w:val="24"/>
        </w:rPr>
        <w:t>3.《易方达标普生物科技指数证券投资基金（LOF）托管协议》；</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4.基金管理人业务资格批件和营业执照。</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8.2 </w:t>
      </w:r>
      <w:r w:rsidRPr="00D67E63">
        <w:rPr>
          <w:rFonts w:ascii="宋体" w:hAnsi="宋体" w:hint="eastAsia"/>
          <w:b/>
          <w:sz w:val="24"/>
        </w:rPr>
        <w:t>存放地点</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广州市天河区珠江新城珠江东路30号广州银行大厦40-43楼。</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8.3 </w:t>
      </w:r>
      <w:r w:rsidRPr="00D67E63">
        <w:rPr>
          <w:rFonts w:ascii="宋体" w:hAnsi="宋体" w:hint="eastAsia"/>
          <w:b/>
          <w:sz w:val="24"/>
        </w:rPr>
        <w:t>查阅方式</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投资者可在营业时间免费查阅，也可按工本费购买复印件。</w:t>
      </w:r>
    </w:p>
    <w:p w:rsidP="00476756" w:rsidR="00F13451" w:rsidRDefault="00F13451" w:rsidRPr="00820253">
      <w:pPr>
        <w:spacing w:line="360" w:lineRule="auto"/>
        <w:ind w:firstLine="480" w:firstLineChars="200"/>
        <w:rPr>
          <w:rFonts w:ascii="宋体" w:hAns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rsidRPr="00820253">
      <w:pPr>
        <w:spacing w:line="360" w:lineRule="auto"/>
        <w:ind w:firstLine="480" w:firstLineChars="200"/>
        <w:rPr>
          <w:rFonts w:ascii="宋体"/>
          <w:color w:val="000000"/>
          <w:sz w:val="24"/>
        </w:rPr>
      </w:pPr>
    </w:p>
    <w:p w:rsidP="00CF2C2A" w:rsidR="00F13451" w:rsidRDefault="00F13451" w:rsidRPr="00820253">
      <w:pPr>
        <w:spacing w:line="360" w:lineRule="auto"/>
        <w:jc w:val="right"/>
        <w:rPr>
          <w:rFonts w:ascii="宋体" w:hAnsi="宋体"/>
          <w:b/>
          <w:bCs/>
          <w:sz w:val="24"/>
        </w:rPr>
      </w:pPr>
      <w:r w:rsidRPr="00820253">
        <w:rPr>
          <w:rFonts w:ascii="宋体"/>
          <w:b/>
          <w:bCs/>
          <w:sz w:val="24"/>
        </w:rPr>
        <w:t/>
      </w:r>
      <w:proofErr w:type="spellStart"/>
      <w:r w:rsidRPr="00820253">
        <w:rPr>
          <w:rFonts w:ascii="宋体" w:hAnsi="宋体"/>
          <w:b/>
          <w:bCs/>
          <w:sz w:val="24"/>
        </w:rPr>
        <w:t/>
      </w:r>
      <w:proofErr w:type="spellEnd"/>
      <w:r w:rsidRPr="00820253">
        <w:rPr>
          <w:rFonts w:ascii="宋体" w:hAnsi="宋体"/>
          <w:b/>
          <w:bCs/>
          <w:sz w:val="24"/>
        </w:rPr>
        <w:t>易方达基金管理有限公司</w:t>
      </w:r>
    </w:p>
    <w:p w:rsidP="00CF2C2A" w:rsidR="00F13451" w:rsidRDefault="00F13451" w:rsidRPr="00820253">
      <w:pPr>
        <w:spacing w:line="360" w:lineRule="auto"/>
        <w:jc w:val="right"/>
        <w:rPr>
          <w:rFonts w:ascii="宋体" w:hAnsi="宋体"/>
          <w:b/>
          <w:bCs/>
          <w:sz w:val="24"/>
        </w:rPr>
      </w:pPr>
      <w:r w:rsidRPr="00820253">
        <w:rPr>
          <w:rFonts w:ascii="宋体" w:hAnsi="宋体"/>
          <w:b/>
          <w:bCs/>
          <w:sz w:val="24"/>
        </w:rPr>
        <w:t/>
      </w:r>
      <w:proofErr w:type="spellStart"/>
      <w:r w:rsidRPr="00820253">
        <w:rPr>
          <w:rFonts w:ascii="宋体" w:hAnsi="宋体"/>
          <w:b/>
          <w:bCs/>
          <w:sz w:val="24"/>
        </w:rPr>
        <w:t/>
      </w:r>
      <w:proofErr w:type="spellEnd"/>
      <w:r w:rsidRPr="00820253">
        <w:rPr>
          <w:rFonts w:ascii="宋体" w:hAnsi="宋体"/>
          <w:b/>
          <w:bCs/>
          <w:sz w:val="24"/>
        </w:rPr>
        <w:t>二〇二〇年七月二十一日</w:t>
      </w:r>
    </w:p>
    <w:sectPr w:rsidR="00F13451" w:rsidRPr="00820253"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D6226F" w:rsidR="00F13451" w:rsidRDefault="00F13451" w:rsidRPr="001D0DB0">
    <w:pPr>
      <w:pStyle w:val="a6"/>
      <w:jc w:val="center"/>
    </w:pPr>
    <w:r>
      <w:rPr>
        <w:rFonts w:hint="eastAsia"/>
        <w:szCs w:val="21"/>
      </w:rPr>
      <w:t>第</w:t>
    </w:r>
    <w:r w:rsidR="00D12F5B">
      <w:rPr>
        <w:szCs w:val="21"/>
      </w:rPr>
      <w:fldChar w:fldCharType="begin"/>
    </w:r>
    <w:r>
      <w:rPr>
        <w:szCs w:val="21"/>
      </w:rPr>
      <w:instrText xml:space="preserve"> PAGE </w:instrText>
    </w:r>
    <w:r w:rsidR="00D12F5B">
      <w:rPr>
        <w:szCs w:val="21"/>
      </w:rPr>
      <w:fldChar w:fldCharType="separate"/>
    </w:r>
    <w:r w:rsidR="00320493">
      <w:rPr>
        <w:noProof/>
        <w:szCs w:val="21"/>
      </w:rPr>
      <w:t>1</w:t>
    </w:r>
    <w:r w:rsidR="00D12F5B">
      <w:rPr>
        <w:szCs w:val="21"/>
      </w:rPr>
      <w:fldChar w:fldCharType="end"/>
    </w:r>
    <w:proofErr w:type="gramStart"/>
    <w:r>
      <w:rPr>
        <w:rFonts w:hint="eastAsia"/>
        <w:szCs w:val="21"/>
      </w:rPr>
      <w:t>页共</w:t>
    </w:r>
    <w:proofErr w:type="gramEnd"/>
    <w:r w:rsidR="00D12F5B">
      <w:rPr>
        <w:szCs w:val="21"/>
      </w:rPr>
      <w:fldChar w:fldCharType="begin"/>
    </w:r>
    <w:r>
      <w:rPr>
        <w:szCs w:val="21"/>
      </w:rPr>
      <w:instrText xml:space="preserve"> NUMPAGES </w:instrText>
    </w:r>
    <w:r w:rsidR="00D12F5B">
      <w:rPr>
        <w:szCs w:val="21"/>
      </w:rPr>
      <w:fldChar w:fldCharType="separate"/>
    </w:r>
    <w:r w:rsidR="00320493">
      <w:rPr>
        <w:noProof/>
        <w:szCs w:val="21"/>
      </w:rPr>
      <w:t>22</w:t>
    </w:r>
    <w:r w:rsidR="00D12F5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end"/>
    </w:r>
  </w:p>
  <w:p w:rsidR="00F13451" w:rsidRDefault="00F1345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separate"/>
    </w:r>
    <w:r w:rsidR="00320493">
      <w:rPr>
        <w:rStyle w:val="a7"/>
        <w:noProof/>
      </w:rPr>
      <w:t>14</w:t>
    </w:r>
    <w:r>
      <w:rPr>
        <w:rStyle w:val="a7"/>
      </w:rPr>
      <w:fldChar w:fldCharType="end"/>
    </w:r>
  </w:p>
  <w:p w:rsidR="00F13451" w:rsidRDefault="00F1345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15E7D" w:rsidRDefault="00815E7D">
      <w:r>
        <w:separator/>
      </w:r>
    </w:p>
  </w:footnote>
  <w:footnote w:id="0" w:type="continuationSeparator">
    <w:p w:rsidR="00815E7D" w:rsidRDefault="00815E7D">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4E30FB" w:rsidR="00F13451" w:rsidRDefault="00F13451" w:rsidRPr="005771AC">
    <w:pPr>
      <w:pStyle w:val="a9"/>
      <w:pBdr>
        <w:bottom w:color="auto" w:space="0" w:sz="6" w:val="single"/>
      </w:pBdr>
      <w:jc w:val="right"/>
      <w:rPr>
        <w:sz w:val="15"/>
      </w:rPr>
    </w:pPr>
    <w:r w:rsidRPr="005771AC">
      <w:rPr>
        <w:szCs w:val="21"/>
      </w:rPr>
      <w:t/>
    </w:r>
    <w:proofErr w:type="spellStart"/>
    <w:proofErr w:type="gramStart"/>
    <w:r w:rsidRPr="005771AC">
      <w:rPr>
        <w:szCs w:val="21"/>
      </w:rPr>
      <w:t/>
    </w:r>
    <w:proofErr w:type="spellEnd"/>
    <w:proofErr w:type="gramEnd"/>
    <w:r w:rsidRPr="005771AC">
      <w:rPr>
        <w:szCs w:val="21"/>
      </w:rPr>
      <w:t>易方达标普生物科技指数证券投资基金（LOF）</w:t>
    </w:r>
    <w:proofErr w:type="spellStart"/>
    <w:r w:rsidRPr="005771AC">
      <w:rPr>
        <w:szCs w:val="21"/>
      </w:rPr>
      <w:t/>
    </w:r>
    <w:proofErr w:type="spellEnd"/>
    <w:r w:rsidRPr="005771AC">
      <w:rPr>
        <w:szCs w:val="21"/>
      </w:rPr>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403B"/>
    <w:rsid w:val="00005911"/>
    <w:rsid w:val="00010A83"/>
    <w:rsid w:val="00010A8E"/>
    <w:rsid w:val="00010AC3"/>
    <w:rsid w:val="00011EB5"/>
    <w:rsid w:val="00015F91"/>
    <w:rsid w:val="00017581"/>
    <w:rsid w:val="00020583"/>
    <w:rsid w:val="00021DD4"/>
    <w:rsid w:val="00023BE7"/>
    <w:rsid w:val="0003337A"/>
    <w:rsid w:val="00037FCF"/>
    <w:rsid w:val="00041AB5"/>
    <w:rsid w:val="000421B8"/>
    <w:rsid w:val="00043ABF"/>
    <w:rsid w:val="000445E4"/>
    <w:rsid w:val="00045AE7"/>
    <w:rsid w:val="000510AB"/>
    <w:rsid w:val="00052312"/>
    <w:rsid w:val="00054EC2"/>
    <w:rsid w:val="00055AF1"/>
    <w:rsid w:val="00055B0F"/>
    <w:rsid w:val="00057A02"/>
    <w:rsid w:val="0006166B"/>
    <w:rsid w:val="00062875"/>
    <w:rsid w:val="00063A8D"/>
    <w:rsid w:val="00064AE3"/>
    <w:rsid w:val="00066524"/>
    <w:rsid w:val="0006691E"/>
    <w:rsid w:val="00067332"/>
    <w:rsid w:val="00070CD1"/>
    <w:rsid w:val="0007171B"/>
    <w:rsid w:val="00081D05"/>
    <w:rsid w:val="00087CF7"/>
    <w:rsid w:val="00094876"/>
    <w:rsid w:val="00094F45"/>
    <w:rsid w:val="00095912"/>
    <w:rsid w:val="00095CE0"/>
    <w:rsid w:val="00096933"/>
    <w:rsid w:val="00097230"/>
    <w:rsid w:val="000A19F3"/>
    <w:rsid w:val="000A457E"/>
    <w:rsid w:val="000A549A"/>
    <w:rsid w:val="000A72F2"/>
    <w:rsid w:val="000B0C56"/>
    <w:rsid w:val="000B22B8"/>
    <w:rsid w:val="000B270F"/>
    <w:rsid w:val="000B3274"/>
    <w:rsid w:val="000B3E43"/>
    <w:rsid w:val="000B69EF"/>
    <w:rsid w:val="000C1723"/>
    <w:rsid w:val="000C1B20"/>
    <w:rsid w:val="000C1B73"/>
    <w:rsid w:val="000C21D1"/>
    <w:rsid w:val="000C4107"/>
    <w:rsid w:val="000C4586"/>
    <w:rsid w:val="000C45E7"/>
    <w:rsid w:val="000C4E2D"/>
    <w:rsid w:val="000C6C23"/>
    <w:rsid w:val="000C6F3E"/>
    <w:rsid w:val="000D01F4"/>
    <w:rsid w:val="000D0BF3"/>
    <w:rsid w:val="000D121F"/>
    <w:rsid w:val="000D1519"/>
    <w:rsid w:val="000E237B"/>
    <w:rsid w:val="000E4456"/>
    <w:rsid w:val="000E5D28"/>
    <w:rsid w:val="000E6DC4"/>
    <w:rsid w:val="000F161C"/>
    <w:rsid w:val="000F175F"/>
    <w:rsid w:val="000F17D1"/>
    <w:rsid w:val="000F268E"/>
    <w:rsid w:val="000F5F24"/>
    <w:rsid w:val="000F60FF"/>
    <w:rsid w:val="000F635F"/>
    <w:rsid w:val="000F6C61"/>
    <w:rsid w:val="000F6EE9"/>
    <w:rsid w:val="00100C12"/>
    <w:rsid w:val="00100C16"/>
    <w:rsid w:val="00104514"/>
    <w:rsid w:val="001045AA"/>
    <w:rsid w:val="001049B6"/>
    <w:rsid w:val="001051C6"/>
    <w:rsid w:val="0010694D"/>
    <w:rsid w:val="0011177A"/>
    <w:rsid w:val="001120D4"/>
    <w:rsid w:val="00112E27"/>
    <w:rsid w:val="00114B31"/>
    <w:rsid w:val="00116E31"/>
    <w:rsid w:val="00120B9A"/>
    <w:rsid w:val="0012150F"/>
    <w:rsid w:val="0012304E"/>
    <w:rsid w:val="00123B10"/>
    <w:rsid w:val="001248EF"/>
    <w:rsid w:val="001257C7"/>
    <w:rsid w:val="001265C5"/>
    <w:rsid w:val="00126DDF"/>
    <w:rsid w:val="001270BF"/>
    <w:rsid w:val="00127BAC"/>
    <w:rsid w:val="00132AAE"/>
    <w:rsid w:val="00140E80"/>
    <w:rsid w:val="00142A56"/>
    <w:rsid w:val="00143B45"/>
    <w:rsid w:val="00144DF5"/>
    <w:rsid w:val="00145630"/>
    <w:rsid w:val="00145A97"/>
    <w:rsid w:val="00146485"/>
    <w:rsid w:val="00150AD6"/>
    <w:rsid w:val="001522EE"/>
    <w:rsid w:val="00154ADA"/>
    <w:rsid w:val="0015531A"/>
    <w:rsid w:val="0016041C"/>
    <w:rsid w:val="00163B27"/>
    <w:rsid w:val="00165317"/>
    <w:rsid w:val="0017043B"/>
    <w:rsid w:val="00171BAD"/>
    <w:rsid w:val="00172B84"/>
    <w:rsid w:val="0017526D"/>
    <w:rsid w:val="001756A1"/>
    <w:rsid w:val="001761EE"/>
    <w:rsid w:val="00176EAA"/>
    <w:rsid w:val="0017725A"/>
    <w:rsid w:val="00177C4B"/>
    <w:rsid w:val="0018154C"/>
    <w:rsid w:val="0018325A"/>
    <w:rsid w:val="00186199"/>
    <w:rsid w:val="001878B0"/>
    <w:rsid w:val="001928F7"/>
    <w:rsid w:val="00194537"/>
    <w:rsid w:val="00194F40"/>
    <w:rsid w:val="001A149A"/>
    <w:rsid w:val="001A21A9"/>
    <w:rsid w:val="001A4814"/>
    <w:rsid w:val="001A59D8"/>
    <w:rsid w:val="001A5FA6"/>
    <w:rsid w:val="001B2F0C"/>
    <w:rsid w:val="001B2FB1"/>
    <w:rsid w:val="001B63AB"/>
    <w:rsid w:val="001B7820"/>
    <w:rsid w:val="001B7E94"/>
    <w:rsid w:val="001C1984"/>
    <w:rsid w:val="001C37F6"/>
    <w:rsid w:val="001C6288"/>
    <w:rsid w:val="001C7614"/>
    <w:rsid w:val="001D0DB0"/>
    <w:rsid w:val="001D0F6A"/>
    <w:rsid w:val="001D161E"/>
    <w:rsid w:val="001D21BC"/>
    <w:rsid w:val="001D2FA5"/>
    <w:rsid w:val="001D35E0"/>
    <w:rsid w:val="001D5045"/>
    <w:rsid w:val="001D5A44"/>
    <w:rsid w:val="001D724B"/>
    <w:rsid w:val="001D7693"/>
    <w:rsid w:val="001D79D5"/>
    <w:rsid w:val="001E04A5"/>
    <w:rsid w:val="001E11D3"/>
    <w:rsid w:val="001E2A6A"/>
    <w:rsid w:val="001E3DC2"/>
    <w:rsid w:val="001E52F8"/>
    <w:rsid w:val="001E56FF"/>
    <w:rsid w:val="001E5C6B"/>
    <w:rsid w:val="001F03E1"/>
    <w:rsid w:val="001F3CC6"/>
    <w:rsid w:val="001F4530"/>
    <w:rsid w:val="002010DE"/>
    <w:rsid w:val="00202968"/>
    <w:rsid w:val="00202C32"/>
    <w:rsid w:val="00203AEF"/>
    <w:rsid w:val="00211A26"/>
    <w:rsid w:val="002125F7"/>
    <w:rsid w:val="00214463"/>
    <w:rsid w:val="00214756"/>
    <w:rsid w:val="00215CF2"/>
    <w:rsid w:val="00221174"/>
    <w:rsid w:val="0022167B"/>
    <w:rsid w:val="002267F8"/>
    <w:rsid w:val="002328FE"/>
    <w:rsid w:val="002359EB"/>
    <w:rsid w:val="002363AB"/>
    <w:rsid w:val="0024260D"/>
    <w:rsid w:val="00245012"/>
    <w:rsid w:val="0024504E"/>
    <w:rsid w:val="0024651F"/>
    <w:rsid w:val="0025007C"/>
    <w:rsid w:val="0025158D"/>
    <w:rsid w:val="0025281A"/>
    <w:rsid w:val="00253624"/>
    <w:rsid w:val="00253D3C"/>
    <w:rsid w:val="00254F37"/>
    <w:rsid w:val="00255292"/>
    <w:rsid w:val="00256097"/>
    <w:rsid w:val="00257D2B"/>
    <w:rsid w:val="00260200"/>
    <w:rsid w:val="00263405"/>
    <w:rsid w:val="002648D8"/>
    <w:rsid w:val="00264E55"/>
    <w:rsid w:val="00265865"/>
    <w:rsid w:val="00273C7E"/>
    <w:rsid w:val="00273F86"/>
    <w:rsid w:val="0027678D"/>
    <w:rsid w:val="002774F0"/>
    <w:rsid w:val="0028017D"/>
    <w:rsid w:val="0028459B"/>
    <w:rsid w:val="00284C5F"/>
    <w:rsid w:val="00284EC5"/>
    <w:rsid w:val="002873F0"/>
    <w:rsid w:val="002964F9"/>
    <w:rsid w:val="0029671E"/>
    <w:rsid w:val="00297B13"/>
    <w:rsid w:val="002A1F14"/>
    <w:rsid w:val="002A2678"/>
    <w:rsid w:val="002A2E01"/>
    <w:rsid w:val="002A398F"/>
    <w:rsid w:val="002A530F"/>
    <w:rsid w:val="002A5C6B"/>
    <w:rsid w:val="002A5D31"/>
    <w:rsid w:val="002A714F"/>
    <w:rsid w:val="002B1851"/>
    <w:rsid w:val="002B27FF"/>
    <w:rsid w:val="002B4320"/>
    <w:rsid w:val="002B61C3"/>
    <w:rsid w:val="002B6793"/>
    <w:rsid w:val="002C1726"/>
    <w:rsid w:val="002C21A6"/>
    <w:rsid w:val="002C26D5"/>
    <w:rsid w:val="002C5777"/>
    <w:rsid w:val="002D31BB"/>
    <w:rsid w:val="002D32E3"/>
    <w:rsid w:val="002E09F5"/>
    <w:rsid w:val="002E0FEB"/>
    <w:rsid w:val="002E26F5"/>
    <w:rsid w:val="002E5FE7"/>
    <w:rsid w:val="002F0F79"/>
    <w:rsid w:val="002F2234"/>
    <w:rsid w:val="002F235F"/>
    <w:rsid w:val="002F2713"/>
    <w:rsid w:val="002F280E"/>
    <w:rsid w:val="002F3709"/>
    <w:rsid w:val="002F3A6C"/>
    <w:rsid w:val="002F4296"/>
    <w:rsid w:val="002F5D32"/>
    <w:rsid w:val="002F7F82"/>
    <w:rsid w:val="00300951"/>
    <w:rsid w:val="00300E97"/>
    <w:rsid w:val="003019A8"/>
    <w:rsid w:val="00302CA8"/>
    <w:rsid w:val="00302DE9"/>
    <w:rsid w:val="00305084"/>
    <w:rsid w:val="00311094"/>
    <w:rsid w:val="0031598C"/>
    <w:rsid w:val="0031668C"/>
    <w:rsid w:val="00320493"/>
    <w:rsid w:val="003204E9"/>
    <w:rsid w:val="00321E8C"/>
    <w:rsid w:val="00322A86"/>
    <w:rsid w:val="00323AE8"/>
    <w:rsid w:val="00324548"/>
    <w:rsid w:val="0032500D"/>
    <w:rsid w:val="003251F4"/>
    <w:rsid w:val="003303E3"/>
    <w:rsid w:val="003329EA"/>
    <w:rsid w:val="003370F8"/>
    <w:rsid w:val="00340499"/>
    <w:rsid w:val="003407A5"/>
    <w:rsid w:val="00341188"/>
    <w:rsid w:val="0034147B"/>
    <w:rsid w:val="00350238"/>
    <w:rsid w:val="0035109C"/>
    <w:rsid w:val="00351F0A"/>
    <w:rsid w:val="0035432B"/>
    <w:rsid w:val="0035691D"/>
    <w:rsid w:val="00361E7E"/>
    <w:rsid w:val="00362CED"/>
    <w:rsid w:val="00366726"/>
    <w:rsid w:val="00367057"/>
    <w:rsid w:val="00370AA4"/>
    <w:rsid w:val="00371FF4"/>
    <w:rsid w:val="003745DA"/>
    <w:rsid w:val="00377520"/>
    <w:rsid w:val="00380D36"/>
    <w:rsid w:val="003812A5"/>
    <w:rsid w:val="003822D3"/>
    <w:rsid w:val="0038257F"/>
    <w:rsid w:val="00385AB9"/>
    <w:rsid w:val="00385E16"/>
    <w:rsid w:val="00386630"/>
    <w:rsid w:val="00390B25"/>
    <w:rsid w:val="00397156"/>
    <w:rsid w:val="00397616"/>
    <w:rsid w:val="00397960"/>
    <w:rsid w:val="003A152F"/>
    <w:rsid w:val="003A3BC4"/>
    <w:rsid w:val="003A458A"/>
    <w:rsid w:val="003B2F13"/>
    <w:rsid w:val="003B405E"/>
    <w:rsid w:val="003B57D3"/>
    <w:rsid w:val="003C09A4"/>
    <w:rsid w:val="003C1F58"/>
    <w:rsid w:val="003C49AA"/>
    <w:rsid w:val="003C6DC5"/>
    <w:rsid w:val="003C792F"/>
    <w:rsid w:val="003D124B"/>
    <w:rsid w:val="003D18F3"/>
    <w:rsid w:val="003D2093"/>
    <w:rsid w:val="003D78B5"/>
    <w:rsid w:val="003E0588"/>
    <w:rsid w:val="003E244F"/>
    <w:rsid w:val="003E379B"/>
    <w:rsid w:val="003E3A5C"/>
    <w:rsid w:val="003E6203"/>
    <w:rsid w:val="003E62A6"/>
    <w:rsid w:val="003E695F"/>
    <w:rsid w:val="003E6C9B"/>
    <w:rsid w:val="003E709C"/>
    <w:rsid w:val="003E7B89"/>
    <w:rsid w:val="003F0275"/>
    <w:rsid w:val="003F4241"/>
    <w:rsid w:val="003F7C45"/>
    <w:rsid w:val="003F7D50"/>
    <w:rsid w:val="00400946"/>
    <w:rsid w:val="004009A4"/>
    <w:rsid w:val="0040132C"/>
    <w:rsid w:val="00403886"/>
    <w:rsid w:val="00405085"/>
    <w:rsid w:val="0040658E"/>
    <w:rsid w:val="004066FC"/>
    <w:rsid w:val="00407C10"/>
    <w:rsid w:val="004113B4"/>
    <w:rsid w:val="00412E5A"/>
    <w:rsid w:val="00414827"/>
    <w:rsid w:val="00416C10"/>
    <w:rsid w:val="00416D9D"/>
    <w:rsid w:val="00416F85"/>
    <w:rsid w:val="00424EF3"/>
    <w:rsid w:val="004268BB"/>
    <w:rsid w:val="00431047"/>
    <w:rsid w:val="00431B86"/>
    <w:rsid w:val="00431EE1"/>
    <w:rsid w:val="004408EC"/>
    <w:rsid w:val="004417A4"/>
    <w:rsid w:val="00441E6A"/>
    <w:rsid w:val="00443C8F"/>
    <w:rsid w:val="00452481"/>
    <w:rsid w:val="004553AF"/>
    <w:rsid w:val="00455464"/>
    <w:rsid w:val="00455D24"/>
    <w:rsid w:val="004567C5"/>
    <w:rsid w:val="00457804"/>
    <w:rsid w:val="00462B61"/>
    <w:rsid w:val="00464283"/>
    <w:rsid w:val="004646BF"/>
    <w:rsid w:val="00464744"/>
    <w:rsid w:val="004665E3"/>
    <w:rsid w:val="00467BA5"/>
    <w:rsid w:val="004710DD"/>
    <w:rsid w:val="004731F1"/>
    <w:rsid w:val="00476756"/>
    <w:rsid w:val="00477724"/>
    <w:rsid w:val="0047798A"/>
    <w:rsid w:val="00480BC8"/>
    <w:rsid w:val="00481265"/>
    <w:rsid w:val="004814BF"/>
    <w:rsid w:val="00482956"/>
    <w:rsid w:val="0048587E"/>
    <w:rsid w:val="00486D15"/>
    <w:rsid w:val="00487C2B"/>
    <w:rsid w:val="0049297D"/>
    <w:rsid w:val="004929F2"/>
    <w:rsid w:val="00492D67"/>
    <w:rsid w:val="00493023"/>
    <w:rsid w:val="00493D46"/>
    <w:rsid w:val="00495A03"/>
    <w:rsid w:val="004968E3"/>
    <w:rsid w:val="00497079"/>
    <w:rsid w:val="004A1BBA"/>
    <w:rsid w:val="004A270C"/>
    <w:rsid w:val="004A3039"/>
    <w:rsid w:val="004A3251"/>
    <w:rsid w:val="004A355B"/>
    <w:rsid w:val="004A3625"/>
    <w:rsid w:val="004A3E3C"/>
    <w:rsid w:val="004A5FA4"/>
    <w:rsid w:val="004A791A"/>
    <w:rsid w:val="004B0E6D"/>
    <w:rsid w:val="004B16E8"/>
    <w:rsid w:val="004B6250"/>
    <w:rsid w:val="004B76B1"/>
    <w:rsid w:val="004C0057"/>
    <w:rsid w:val="004C0541"/>
    <w:rsid w:val="004C2C46"/>
    <w:rsid w:val="004C52A1"/>
    <w:rsid w:val="004C7235"/>
    <w:rsid w:val="004C7955"/>
    <w:rsid w:val="004D047F"/>
    <w:rsid w:val="004D3971"/>
    <w:rsid w:val="004D3D96"/>
    <w:rsid w:val="004D6239"/>
    <w:rsid w:val="004D650F"/>
    <w:rsid w:val="004D6D54"/>
    <w:rsid w:val="004E2133"/>
    <w:rsid w:val="004E30FB"/>
    <w:rsid w:val="004E4941"/>
    <w:rsid w:val="004E5CB8"/>
    <w:rsid w:val="004E5DDD"/>
    <w:rsid w:val="004E60FB"/>
    <w:rsid w:val="004E7AF6"/>
    <w:rsid w:val="004F4B2A"/>
    <w:rsid w:val="004F779C"/>
    <w:rsid w:val="004F7846"/>
    <w:rsid w:val="005000D4"/>
    <w:rsid w:val="00500A6E"/>
    <w:rsid w:val="00510BB5"/>
    <w:rsid w:val="00510CAF"/>
    <w:rsid w:val="005128C5"/>
    <w:rsid w:val="0051478B"/>
    <w:rsid w:val="0051566A"/>
    <w:rsid w:val="00515D7B"/>
    <w:rsid w:val="005161B7"/>
    <w:rsid w:val="005166E9"/>
    <w:rsid w:val="0052009E"/>
    <w:rsid w:val="00525E59"/>
    <w:rsid w:val="005318CC"/>
    <w:rsid w:val="005346F1"/>
    <w:rsid w:val="005349B1"/>
    <w:rsid w:val="005374BC"/>
    <w:rsid w:val="00540522"/>
    <w:rsid w:val="00540D79"/>
    <w:rsid w:val="00543367"/>
    <w:rsid w:val="00543BFA"/>
    <w:rsid w:val="00547D9C"/>
    <w:rsid w:val="00547DA1"/>
    <w:rsid w:val="0055513C"/>
    <w:rsid w:val="00560C94"/>
    <w:rsid w:val="0056291C"/>
    <w:rsid w:val="00564EB5"/>
    <w:rsid w:val="00565A63"/>
    <w:rsid w:val="00566588"/>
    <w:rsid w:val="00567F6D"/>
    <w:rsid w:val="00571CD9"/>
    <w:rsid w:val="0057275D"/>
    <w:rsid w:val="005771AC"/>
    <w:rsid w:val="005800A9"/>
    <w:rsid w:val="00580488"/>
    <w:rsid w:val="0058074D"/>
    <w:rsid w:val="00582FAD"/>
    <w:rsid w:val="00583489"/>
    <w:rsid w:val="00590FE4"/>
    <w:rsid w:val="00591D9C"/>
    <w:rsid w:val="00592483"/>
    <w:rsid w:val="005931C4"/>
    <w:rsid w:val="005948AF"/>
    <w:rsid w:val="00596191"/>
    <w:rsid w:val="00597057"/>
    <w:rsid w:val="00597D8B"/>
    <w:rsid w:val="005A1C30"/>
    <w:rsid w:val="005A2757"/>
    <w:rsid w:val="005A3295"/>
    <w:rsid w:val="005A4302"/>
    <w:rsid w:val="005A46FF"/>
    <w:rsid w:val="005A704A"/>
    <w:rsid w:val="005A7449"/>
    <w:rsid w:val="005B011E"/>
    <w:rsid w:val="005B1542"/>
    <w:rsid w:val="005B2E84"/>
    <w:rsid w:val="005B3103"/>
    <w:rsid w:val="005B37EE"/>
    <w:rsid w:val="005B4D29"/>
    <w:rsid w:val="005B6CA6"/>
    <w:rsid w:val="005B700A"/>
    <w:rsid w:val="005B7B0E"/>
    <w:rsid w:val="005C07DC"/>
    <w:rsid w:val="005C2541"/>
    <w:rsid w:val="005C25C8"/>
    <w:rsid w:val="005C5409"/>
    <w:rsid w:val="005C69AC"/>
    <w:rsid w:val="005C722E"/>
    <w:rsid w:val="005D01A4"/>
    <w:rsid w:val="005D29D4"/>
    <w:rsid w:val="005D4452"/>
    <w:rsid w:val="005D45B3"/>
    <w:rsid w:val="005D4CEB"/>
    <w:rsid w:val="005E2501"/>
    <w:rsid w:val="005E5B01"/>
    <w:rsid w:val="005E5CC1"/>
    <w:rsid w:val="005E7793"/>
    <w:rsid w:val="005F04E6"/>
    <w:rsid w:val="005F43B9"/>
    <w:rsid w:val="005F68CB"/>
    <w:rsid w:val="005F7085"/>
    <w:rsid w:val="006033E3"/>
    <w:rsid w:val="006056F6"/>
    <w:rsid w:val="00605748"/>
    <w:rsid w:val="00610C82"/>
    <w:rsid w:val="0061321C"/>
    <w:rsid w:val="00615063"/>
    <w:rsid w:val="0061761F"/>
    <w:rsid w:val="00620C6C"/>
    <w:rsid w:val="0062145B"/>
    <w:rsid w:val="0062386E"/>
    <w:rsid w:val="00623F01"/>
    <w:rsid w:val="006258FD"/>
    <w:rsid w:val="00626E2D"/>
    <w:rsid w:val="00627D94"/>
    <w:rsid w:val="00630B42"/>
    <w:rsid w:val="00631425"/>
    <w:rsid w:val="00642072"/>
    <w:rsid w:val="006440ED"/>
    <w:rsid w:val="00645293"/>
    <w:rsid w:val="006504D0"/>
    <w:rsid w:val="00651B78"/>
    <w:rsid w:val="00652263"/>
    <w:rsid w:val="00652881"/>
    <w:rsid w:val="00655B94"/>
    <w:rsid w:val="006563E4"/>
    <w:rsid w:val="00661974"/>
    <w:rsid w:val="006636D6"/>
    <w:rsid w:val="00664551"/>
    <w:rsid w:val="006676A0"/>
    <w:rsid w:val="00670857"/>
    <w:rsid w:val="00671124"/>
    <w:rsid w:val="006727B0"/>
    <w:rsid w:val="0067307E"/>
    <w:rsid w:val="006746C7"/>
    <w:rsid w:val="006829BB"/>
    <w:rsid w:val="00687AD5"/>
    <w:rsid w:val="00691153"/>
    <w:rsid w:val="006950A3"/>
    <w:rsid w:val="006951C0"/>
    <w:rsid w:val="00695251"/>
    <w:rsid w:val="00695ADE"/>
    <w:rsid w:val="00695C0D"/>
    <w:rsid w:val="00696356"/>
    <w:rsid w:val="006A72C6"/>
    <w:rsid w:val="006B02DA"/>
    <w:rsid w:val="006B1FD1"/>
    <w:rsid w:val="006B2065"/>
    <w:rsid w:val="006B2F2B"/>
    <w:rsid w:val="006B3940"/>
    <w:rsid w:val="006C099C"/>
    <w:rsid w:val="006C168D"/>
    <w:rsid w:val="006C1F15"/>
    <w:rsid w:val="006C5E36"/>
    <w:rsid w:val="006C642C"/>
    <w:rsid w:val="006C6FC6"/>
    <w:rsid w:val="006D00D5"/>
    <w:rsid w:val="006D11D3"/>
    <w:rsid w:val="006D5BA5"/>
    <w:rsid w:val="006D775F"/>
    <w:rsid w:val="006D7A88"/>
    <w:rsid w:val="006E34B7"/>
    <w:rsid w:val="006E5BB0"/>
    <w:rsid w:val="006F01CF"/>
    <w:rsid w:val="006F115E"/>
    <w:rsid w:val="006F2AA6"/>
    <w:rsid w:val="006F39B6"/>
    <w:rsid w:val="006F4CD8"/>
    <w:rsid w:val="006F763F"/>
    <w:rsid w:val="00701F44"/>
    <w:rsid w:val="00703E8A"/>
    <w:rsid w:val="00710335"/>
    <w:rsid w:val="00711522"/>
    <w:rsid w:val="007124FE"/>
    <w:rsid w:val="00713186"/>
    <w:rsid w:val="00713757"/>
    <w:rsid w:val="00717772"/>
    <w:rsid w:val="00721231"/>
    <w:rsid w:val="00721AF1"/>
    <w:rsid w:val="0072280F"/>
    <w:rsid w:val="00722B5E"/>
    <w:rsid w:val="0072708F"/>
    <w:rsid w:val="00732D1D"/>
    <w:rsid w:val="0073413C"/>
    <w:rsid w:val="00736034"/>
    <w:rsid w:val="0073681C"/>
    <w:rsid w:val="00737E9B"/>
    <w:rsid w:val="00741EBE"/>
    <w:rsid w:val="00741F94"/>
    <w:rsid w:val="00746130"/>
    <w:rsid w:val="00746554"/>
    <w:rsid w:val="00746A40"/>
    <w:rsid w:val="00747125"/>
    <w:rsid w:val="00750358"/>
    <w:rsid w:val="007513AC"/>
    <w:rsid w:val="007537F4"/>
    <w:rsid w:val="00755CDF"/>
    <w:rsid w:val="00757A4C"/>
    <w:rsid w:val="007616EE"/>
    <w:rsid w:val="00763A8D"/>
    <w:rsid w:val="00764A94"/>
    <w:rsid w:val="0076518F"/>
    <w:rsid w:val="007651E5"/>
    <w:rsid w:val="007670DC"/>
    <w:rsid w:val="0077111A"/>
    <w:rsid w:val="00772721"/>
    <w:rsid w:val="007756ED"/>
    <w:rsid w:val="00780C47"/>
    <w:rsid w:val="00780E33"/>
    <w:rsid w:val="0078105B"/>
    <w:rsid w:val="00781847"/>
    <w:rsid w:val="0078378A"/>
    <w:rsid w:val="00786CFC"/>
    <w:rsid w:val="007870FC"/>
    <w:rsid w:val="00787919"/>
    <w:rsid w:val="00787CD0"/>
    <w:rsid w:val="00791053"/>
    <w:rsid w:val="00791A3A"/>
    <w:rsid w:val="00791BB9"/>
    <w:rsid w:val="00794196"/>
    <w:rsid w:val="00796EC9"/>
    <w:rsid w:val="00797637"/>
    <w:rsid w:val="007A2630"/>
    <w:rsid w:val="007A3680"/>
    <w:rsid w:val="007A59B8"/>
    <w:rsid w:val="007A6F38"/>
    <w:rsid w:val="007A75F5"/>
    <w:rsid w:val="007B2862"/>
    <w:rsid w:val="007B2A23"/>
    <w:rsid w:val="007B51EE"/>
    <w:rsid w:val="007B662A"/>
    <w:rsid w:val="007B75D4"/>
    <w:rsid w:val="007C1771"/>
    <w:rsid w:val="007C4496"/>
    <w:rsid w:val="007D0E9D"/>
    <w:rsid w:val="007D28C9"/>
    <w:rsid w:val="007D2A39"/>
    <w:rsid w:val="007D3CC8"/>
    <w:rsid w:val="007D62F9"/>
    <w:rsid w:val="007D63A4"/>
    <w:rsid w:val="007D6458"/>
    <w:rsid w:val="007E0B0A"/>
    <w:rsid w:val="007E1AA2"/>
    <w:rsid w:val="007E303C"/>
    <w:rsid w:val="007E4C1F"/>
    <w:rsid w:val="007E4DEE"/>
    <w:rsid w:val="007E5978"/>
    <w:rsid w:val="007F0759"/>
    <w:rsid w:val="007F25C0"/>
    <w:rsid w:val="007F26D5"/>
    <w:rsid w:val="007F5F52"/>
    <w:rsid w:val="007F77C6"/>
    <w:rsid w:val="008003A1"/>
    <w:rsid w:val="008006B7"/>
    <w:rsid w:val="00800FDB"/>
    <w:rsid w:val="00802081"/>
    <w:rsid w:val="00806461"/>
    <w:rsid w:val="0081096D"/>
    <w:rsid w:val="00810EAD"/>
    <w:rsid w:val="00811833"/>
    <w:rsid w:val="00815E7D"/>
    <w:rsid w:val="00816670"/>
    <w:rsid w:val="008174D4"/>
    <w:rsid w:val="00820253"/>
    <w:rsid w:val="00820FE6"/>
    <w:rsid w:val="00821A66"/>
    <w:rsid w:val="00822476"/>
    <w:rsid w:val="00822882"/>
    <w:rsid w:val="008232BB"/>
    <w:rsid w:val="00825029"/>
    <w:rsid w:val="008257F3"/>
    <w:rsid w:val="00825F68"/>
    <w:rsid w:val="00835408"/>
    <w:rsid w:val="00837CEF"/>
    <w:rsid w:val="00840035"/>
    <w:rsid w:val="008428A9"/>
    <w:rsid w:val="00844112"/>
    <w:rsid w:val="008456C9"/>
    <w:rsid w:val="0084611D"/>
    <w:rsid w:val="0084669C"/>
    <w:rsid w:val="00847CA0"/>
    <w:rsid w:val="00850C62"/>
    <w:rsid w:val="008573E5"/>
    <w:rsid w:val="00863011"/>
    <w:rsid w:val="00865075"/>
    <w:rsid w:val="0086534A"/>
    <w:rsid w:val="00866B03"/>
    <w:rsid w:val="008673EE"/>
    <w:rsid w:val="0086748F"/>
    <w:rsid w:val="008712A3"/>
    <w:rsid w:val="00872CE4"/>
    <w:rsid w:val="00877B62"/>
    <w:rsid w:val="008806D2"/>
    <w:rsid w:val="00881015"/>
    <w:rsid w:val="008810B0"/>
    <w:rsid w:val="008819B6"/>
    <w:rsid w:val="00881AAC"/>
    <w:rsid w:val="008836B7"/>
    <w:rsid w:val="008841D3"/>
    <w:rsid w:val="00887DE6"/>
    <w:rsid w:val="00890172"/>
    <w:rsid w:val="00893048"/>
    <w:rsid w:val="00894C2A"/>
    <w:rsid w:val="00896AAD"/>
    <w:rsid w:val="00897708"/>
    <w:rsid w:val="00897D88"/>
    <w:rsid w:val="008A115D"/>
    <w:rsid w:val="008A2F16"/>
    <w:rsid w:val="008A6D69"/>
    <w:rsid w:val="008B041C"/>
    <w:rsid w:val="008B1823"/>
    <w:rsid w:val="008B6A4A"/>
    <w:rsid w:val="008B6E16"/>
    <w:rsid w:val="008B7110"/>
    <w:rsid w:val="008C2029"/>
    <w:rsid w:val="008C61D6"/>
    <w:rsid w:val="008C64F1"/>
    <w:rsid w:val="008D1BB0"/>
    <w:rsid w:val="008D20FF"/>
    <w:rsid w:val="008D3D3D"/>
    <w:rsid w:val="008D3DE6"/>
    <w:rsid w:val="008D4223"/>
    <w:rsid w:val="008D44CC"/>
    <w:rsid w:val="008D46E3"/>
    <w:rsid w:val="008D6709"/>
    <w:rsid w:val="008E083A"/>
    <w:rsid w:val="008E2450"/>
    <w:rsid w:val="008E7896"/>
    <w:rsid w:val="008E78A4"/>
    <w:rsid w:val="008F2477"/>
    <w:rsid w:val="008F444A"/>
    <w:rsid w:val="008F4AFC"/>
    <w:rsid w:val="008F65AF"/>
    <w:rsid w:val="008F7815"/>
    <w:rsid w:val="008F7EA4"/>
    <w:rsid w:val="009010F0"/>
    <w:rsid w:val="00901162"/>
    <w:rsid w:val="00901240"/>
    <w:rsid w:val="00901469"/>
    <w:rsid w:val="0090159D"/>
    <w:rsid w:val="0090223A"/>
    <w:rsid w:val="0090274F"/>
    <w:rsid w:val="009028E2"/>
    <w:rsid w:val="0090450C"/>
    <w:rsid w:val="009102E4"/>
    <w:rsid w:val="009147F7"/>
    <w:rsid w:val="00914EAB"/>
    <w:rsid w:val="00922D49"/>
    <w:rsid w:val="009239C7"/>
    <w:rsid w:val="0092502E"/>
    <w:rsid w:val="00925E37"/>
    <w:rsid w:val="00925EDD"/>
    <w:rsid w:val="00927D0E"/>
    <w:rsid w:val="009309DA"/>
    <w:rsid w:val="0093260B"/>
    <w:rsid w:val="00936688"/>
    <w:rsid w:val="00937CFA"/>
    <w:rsid w:val="009406B3"/>
    <w:rsid w:val="00943A0D"/>
    <w:rsid w:val="00943C27"/>
    <w:rsid w:val="00945CF5"/>
    <w:rsid w:val="009467E9"/>
    <w:rsid w:val="00950057"/>
    <w:rsid w:val="009500A1"/>
    <w:rsid w:val="0095037E"/>
    <w:rsid w:val="00952AAD"/>
    <w:rsid w:val="00954567"/>
    <w:rsid w:val="00955D4E"/>
    <w:rsid w:val="00957466"/>
    <w:rsid w:val="00961FCD"/>
    <w:rsid w:val="0096260B"/>
    <w:rsid w:val="00962E87"/>
    <w:rsid w:val="009664D5"/>
    <w:rsid w:val="00966865"/>
    <w:rsid w:val="00967903"/>
    <w:rsid w:val="009700DA"/>
    <w:rsid w:val="00970C69"/>
    <w:rsid w:val="00971F1C"/>
    <w:rsid w:val="0097211D"/>
    <w:rsid w:val="00972E10"/>
    <w:rsid w:val="009746CA"/>
    <w:rsid w:val="009760F0"/>
    <w:rsid w:val="00981963"/>
    <w:rsid w:val="00983B7F"/>
    <w:rsid w:val="00983C82"/>
    <w:rsid w:val="00984520"/>
    <w:rsid w:val="0098545C"/>
    <w:rsid w:val="00986D1E"/>
    <w:rsid w:val="00990071"/>
    <w:rsid w:val="00991EA9"/>
    <w:rsid w:val="00992BA2"/>
    <w:rsid w:val="00992F83"/>
    <w:rsid w:val="0099508A"/>
    <w:rsid w:val="00995DDE"/>
    <w:rsid w:val="009974EB"/>
    <w:rsid w:val="009A06E4"/>
    <w:rsid w:val="009A1126"/>
    <w:rsid w:val="009A2020"/>
    <w:rsid w:val="009A2133"/>
    <w:rsid w:val="009A7930"/>
    <w:rsid w:val="009B1584"/>
    <w:rsid w:val="009B1DFD"/>
    <w:rsid w:val="009B21CA"/>
    <w:rsid w:val="009B2648"/>
    <w:rsid w:val="009B7E4A"/>
    <w:rsid w:val="009C03E5"/>
    <w:rsid w:val="009C3730"/>
    <w:rsid w:val="009C37BD"/>
    <w:rsid w:val="009C3AAC"/>
    <w:rsid w:val="009C3E98"/>
    <w:rsid w:val="009C4721"/>
    <w:rsid w:val="009C4D19"/>
    <w:rsid w:val="009C5FDB"/>
    <w:rsid w:val="009C693E"/>
    <w:rsid w:val="009C6C40"/>
    <w:rsid w:val="009C70CB"/>
    <w:rsid w:val="009D1EA4"/>
    <w:rsid w:val="009D27AA"/>
    <w:rsid w:val="009D4991"/>
    <w:rsid w:val="009D5544"/>
    <w:rsid w:val="009D5BB5"/>
    <w:rsid w:val="009D696D"/>
    <w:rsid w:val="009D6ED2"/>
    <w:rsid w:val="009D7A3C"/>
    <w:rsid w:val="009E0F1A"/>
    <w:rsid w:val="009E140D"/>
    <w:rsid w:val="009E1E55"/>
    <w:rsid w:val="009E4465"/>
    <w:rsid w:val="009E6401"/>
    <w:rsid w:val="009E6C54"/>
    <w:rsid w:val="009F2A25"/>
    <w:rsid w:val="009F43CC"/>
    <w:rsid w:val="009F5235"/>
    <w:rsid w:val="009F531A"/>
    <w:rsid w:val="009F6550"/>
    <w:rsid w:val="009F786E"/>
    <w:rsid w:val="00A00902"/>
    <w:rsid w:val="00A02D83"/>
    <w:rsid w:val="00A039FF"/>
    <w:rsid w:val="00A05ACE"/>
    <w:rsid w:val="00A1385E"/>
    <w:rsid w:val="00A14AE3"/>
    <w:rsid w:val="00A1520A"/>
    <w:rsid w:val="00A16675"/>
    <w:rsid w:val="00A22CD6"/>
    <w:rsid w:val="00A234EC"/>
    <w:rsid w:val="00A2417A"/>
    <w:rsid w:val="00A27804"/>
    <w:rsid w:val="00A30E56"/>
    <w:rsid w:val="00A33DF2"/>
    <w:rsid w:val="00A34296"/>
    <w:rsid w:val="00A36AB5"/>
    <w:rsid w:val="00A37398"/>
    <w:rsid w:val="00A37603"/>
    <w:rsid w:val="00A37DDA"/>
    <w:rsid w:val="00A411D1"/>
    <w:rsid w:val="00A43389"/>
    <w:rsid w:val="00A43E71"/>
    <w:rsid w:val="00A45753"/>
    <w:rsid w:val="00A47B15"/>
    <w:rsid w:val="00A52F84"/>
    <w:rsid w:val="00A56AA4"/>
    <w:rsid w:val="00A56B05"/>
    <w:rsid w:val="00A57678"/>
    <w:rsid w:val="00A60E2F"/>
    <w:rsid w:val="00A62536"/>
    <w:rsid w:val="00A63284"/>
    <w:rsid w:val="00A64CB8"/>
    <w:rsid w:val="00A67018"/>
    <w:rsid w:val="00A672F3"/>
    <w:rsid w:val="00A673DC"/>
    <w:rsid w:val="00A7076E"/>
    <w:rsid w:val="00A709BE"/>
    <w:rsid w:val="00A7162E"/>
    <w:rsid w:val="00A726E0"/>
    <w:rsid w:val="00A72D71"/>
    <w:rsid w:val="00A75705"/>
    <w:rsid w:val="00A77C69"/>
    <w:rsid w:val="00A83201"/>
    <w:rsid w:val="00A83953"/>
    <w:rsid w:val="00A840C5"/>
    <w:rsid w:val="00A86B47"/>
    <w:rsid w:val="00A86C94"/>
    <w:rsid w:val="00A903B6"/>
    <w:rsid w:val="00A90F4F"/>
    <w:rsid w:val="00A947AA"/>
    <w:rsid w:val="00A95C1D"/>
    <w:rsid w:val="00AA1B53"/>
    <w:rsid w:val="00AA3556"/>
    <w:rsid w:val="00AA35FD"/>
    <w:rsid w:val="00AA3DB7"/>
    <w:rsid w:val="00AA4B91"/>
    <w:rsid w:val="00AA7BBE"/>
    <w:rsid w:val="00AB0EFF"/>
    <w:rsid w:val="00AB1CE3"/>
    <w:rsid w:val="00AB3012"/>
    <w:rsid w:val="00AB321C"/>
    <w:rsid w:val="00AB42E2"/>
    <w:rsid w:val="00AB67DE"/>
    <w:rsid w:val="00AB688F"/>
    <w:rsid w:val="00AB75EA"/>
    <w:rsid w:val="00AB7AA2"/>
    <w:rsid w:val="00AC4BC1"/>
    <w:rsid w:val="00AC703D"/>
    <w:rsid w:val="00AD04BD"/>
    <w:rsid w:val="00AD0914"/>
    <w:rsid w:val="00AD691E"/>
    <w:rsid w:val="00AD708F"/>
    <w:rsid w:val="00AD7214"/>
    <w:rsid w:val="00AD7540"/>
    <w:rsid w:val="00AE1066"/>
    <w:rsid w:val="00AE19D8"/>
    <w:rsid w:val="00AE4518"/>
    <w:rsid w:val="00AE5D7F"/>
    <w:rsid w:val="00AE630A"/>
    <w:rsid w:val="00AE79F0"/>
    <w:rsid w:val="00AF0C1A"/>
    <w:rsid w:val="00AF41C5"/>
    <w:rsid w:val="00AF616B"/>
    <w:rsid w:val="00AF6EC1"/>
    <w:rsid w:val="00AF7CF5"/>
    <w:rsid w:val="00B00331"/>
    <w:rsid w:val="00B01A80"/>
    <w:rsid w:val="00B07C27"/>
    <w:rsid w:val="00B10DE1"/>
    <w:rsid w:val="00B10FF8"/>
    <w:rsid w:val="00B11CC5"/>
    <w:rsid w:val="00B203C4"/>
    <w:rsid w:val="00B22E81"/>
    <w:rsid w:val="00B23996"/>
    <w:rsid w:val="00B23CB2"/>
    <w:rsid w:val="00B2561A"/>
    <w:rsid w:val="00B25A64"/>
    <w:rsid w:val="00B27C3C"/>
    <w:rsid w:val="00B27CE6"/>
    <w:rsid w:val="00B32AB3"/>
    <w:rsid w:val="00B34E7C"/>
    <w:rsid w:val="00B368EA"/>
    <w:rsid w:val="00B37EEF"/>
    <w:rsid w:val="00B41C16"/>
    <w:rsid w:val="00B47485"/>
    <w:rsid w:val="00B47850"/>
    <w:rsid w:val="00B50B28"/>
    <w:rsid w:val="00B518C3"/>
    <w:rsid w:val="00B52166"/>
    <w:rsid w:val="00B524CA"/>
    <w:rsid w:val="00B55185"/>
    <w:rsid w:val="00B56C5B"/>
    <w:rsid w:val="00B61923"/>
    <w:rsid w:val="00B621D6"/>
    <w:rsid w:val="00B65D6F"/>
    <w:rsid w:val="00B67552"/>
    <w:rsid w:val="00B67C23"/>
    <w:rsid w:val="00B74161"/>
    <w:rsid w:val="00B75735"/>
    <w:rsid w:val="00B76BBB"/>
    <w:rsid w:val="00B77142"/>
    <w:rsid w:val="00B801C4"/>
    <w:rsid w:val="00B80A2C"/>
    <w:rsid w:val="00B814D9"/>
    <w:rsid w:val="00B81F60"/>
    <w:rsid w:val="00B841AC"/>
    <w:rsid w:val="00B8572D"/>
    <w:rsid w:val="00B865B0"/>
    <w:rsid w:val="00B90780"/>
    <w:rsid w:val="00B9240D"/>
    <w:rsid w:val="00B94BB8"/>
    <w:rsid w:val="00B9644D"/>
    <w:rsid w:val="00B97278"/>
    <w:rsid w:val="00BA22A8"/>
    <w:rsid w:val="00BA3E48"/>
    <w:rsid w:val="00BB07ED"/>
    <w:rsid w:val="00BB1EB3"/>
    <w:rsid w:val="00BB2678"/>
    <w:rsid w:val="00BC2343"/>
    <w:rsid w:val="00BC74DE"/>
    <w:rsid w:val="00BD2DC7"/>
    <w:rsid w:val="00BD30C8"/>
    <w:rsid w:val="00BD3EB4"/>
    <w:rsid w:val="00BD55D9"/>
    <w:rsid w:val="00BD5C65"/>
    <w:rsid w:val="00BE01CA"/>
    <w:rsid w:val="00BE099D"/>
    <w:rsid w:val="00BE6018"/>
    <w:rsid w:val="00BF1F57"/>
    <w:rsid w:val="00BF2383"/>
    <w:rsid w:val="00BF2DDD"/>
    <w:rsid w:val="00BF4086"/>
    <w:rsid w:val="00BF426C"/>
    <w:rsid w:val="00BF4E28"/>
    <w:rsid w:val="00BF58D0"/>
    <w:rsid w:val="00BF5FC5"/>
    <w:rsid w:val="00BF70AE"/>
    <w:rsid w:val="00BF7505"/>
    <w:rsid w:val="00BF7D6A"/>
    <w:rsid w:val="00C013E1"/>
    <w:rsid w:val="00C01611"/>
    <w:rsid w:val="00C02C6D"/>
    <w:rsid w:val="00C02D59"/>
    <w:rsid w:val="00C030B6"/>
    <w:rsid w:val="00C03284"/>
    <w:rsid w:val="00C04855"/>
    <w:rsid w:val="00C050D7"/>
    <w:rsid w:val="00C05B5F"/>
    <w:rsid w:val="00C104CC"/>
    <w:rsid w:val="00C152FE"/>
    <w:rsid w:val="00C16739"/>
    <w:rsid w:val="00C2237F"/>
    <w:rsid w:val="00C22CCE"/>
    <w:rsid w:val="00C23BA2"/>
    <w:rsid w:val="00C24CA0"/>
    <w:rsid w:val="00C32AF2"/>
    <w:rsid w:val="00C33204"/>
    <w:rsid w:val="00C338EB"/>
    <w:rsid w:val="00C3465D"/>
    <w:rsid w:val="00C379E9"/>
    <w:rsid w:val="00C40F7A"/>
    <w:rsid w:val="00C439FB"/>
    <w:rsid w:val="00C43F23"/>
    <w:rsid w:val="00C50011"/>
    <w:rsid w:val="00C56DA4"/>
    <w:rsid w:val="00C64041"/>
    <w:rsid w:val="00C645E6"/>
    <w:rsid w:val="00C64D82"/>
    <w:rsid w:val="00C64FBC"/>
    <w:rsid w:val="00C65A83"/>
    <w:rsid w:val="00C737EE"/>
    <w:rsid w:val="00C80F23"/>
    <w:rsid w:val="00C81151"/>
    <w:rsid w:val="00C81A11"/>
    <w:rsid w:val="00C828B6"/>
    <w:rsid w:val="00C82CC6"/>
    <w:rsid w:val="00C850A3"/>
    <w:rsid w:val="00C85C32"/>
    <w:rsid w:val="00C87568"/>
    <w:rsid w:val="00C9072B"/>
    <w:rsid w:val="00C90DB6"/>
    <w:rsid w:val="00C9394F"/>
    <w:rsid w:val="00C93B1A"/>
    <w:rsid w:val="00C96F5F"/>
    <w:rsid w:val="00CA3C4F"/>
    <w:rsid w:val="00CA5927"/>
    <w:rsid w:val="00CA79EC"/>
    <w:rsid w:val="00CB2D37"/>
    <w:rsid w:val="00CB39C2"/>
    <w:rsid w:val="00CB4C8C"/>
    <w:rsid w:val="00CB6782"/>
    <w:rsid w:val="00CC080A"/>
    <w:rsid w:val="00CC1D4D"/>
    <w:rsid w:val="00CC1F82"/>
    <w:rsid w:val="00CC3C04"/>
    <w:rsid w:val="00CD151F"/>
    <w:rsid w:val="00CD5FBA"/>
    <w:rsid w:val="00CE26E5"/>
    <w:rsid w:val="00CE46DB"/>
    <w:rsid w:val="00CE5277"/>
    <w:rsid w:val="00CE6358"/>
    <w:rsid w:val="00CF0C6C"/>
    <w:rsid w:val="00CF2116"/>
    <w:rsid w:val="00CF2C2A"/>
    <w:rsid w:val="00CF2D54"/>
    <w:rsid w:val="00D01324"/>
    <w:rsid w:val="00D02BA5"/>
    <w:rsid w:val="00D03538"/>
    <w:rsid w:val="00D049B8"/>
    <w:rsid w:val="00D04C0E"/>
    <w:rsid w:val="00D0516C"/>
    <w:rsid w:val="00D05EE7"/>
    <w:rsid w:val="00D06394"/>
    <w:rsid w:val="00D068D0"/>
    <w:rsid w:val="00D0722C"/>
    <w:rsid w:val="00D078D1"/>
    <w:rsid w:val="00D129A8"/>
    <w:rsid w:val="00D12F5B"/>
    <w:rsid w:val="00D12FB9"/>
    <w:rsid w:val="00D200BD"/>
    <w:rsid w:val="00D22399"/>
    <w:rsid w:val="00D33751"/>
    <w:rsid w:val="00D36F6E"/>
    <w:rsid w:val="00D37343"/>
    <w:rsid w:val="00D40397"/>
    <w:rsid w:val="00D4205E"/>
    <w:rsid w:val="00D43CCE"/>
    <w:rsid w:val="00D51F57"/>
    <w:rsid w:val="00D52744"/>
    <w:rsid w:val="00D52DC6"/>
    <w:rsid w:val="00D565EC"/>
    <w:rsid w:val="00D600AB"/>
    <w:rsid w:val="00D61982"/>
    <w:rsid w:val="00D6226F"/>
    <w:rsid w:val="00D623A3"/>
    <w:rsid w:val="00D6267A"/>
    <w:rsid w:val="00D6596A"/>
    <w:rsid w:val="00D674CF"/>
    <w:rsid w:val="00D67A47"/>
    <w:rsid w:val="00D67D12"/>
    <w:rsid w:val="00D67E63"/>
    <w:rsid w:val="00D70923"/>
    <w:rsid w:val="00D73805"/>
    <w:rsid w:val="00D74F09"/>
    <w:rsid w:val="00D7585A"/>
    <w:rsid w:val="00D77C49"/>
    <w:rsid w:val="00D80618"/>
    <w:rsid w:val="00D82494"/>
    <w:rsid w:val="00D83CF5"/>
    <w:rsid w:val="00D84A4B"/>
    <w:rsid w:val="00D92168"/>
    <w:rsid w:val="00D940B5"/>
    <w:rsid w:val="00D95CB0"/>
    <w:rsid w:val="00D95E12"/>
    <w:rsid w:val="00D977C0"/>
    <w:rsid w:val="00DA00A3"/>
    <w:rsid w:val="00DA11B1"/>
    <w:rsid w:val="00DA13F3"/>
    <w:rsid w:val="00DA2DE3"/>
    <w:rsid w:val="00DA716A"/>
    <w:rsid w:val="00DB1841"/>
    <w:rsid w:val="00DB1F4F"/>
    <w:rsid w:val="00DB37EE"/>
    <w:rsid w:val="00DB413D"/>
    <w:rsid w:val="00DB4450"/>
    <w:rsid w:val="00DB7B69"/>
    <w:rsid w:val="00DC234A"/>
    <w:rsid w:val="00DC34E9"/>
    <w:rsid w:val="00DC41E4"/>
    <w:rsid w:val="00DC66A8"/>
    <w:rsid w:val="00DC7C77"/>
    <w:rsid w:val="00DD78E0"/>
    <w:rsid w:val="00DD7EA2"/>
    <w:rsid w:val="00DE00F2"/>
    <w:rsid w:val="00DE117F"/>
    <w:rsid w:val="00DE144D"/>
    <w:rsid w:val="00DE401C"/>
    <w:rsid w:val="00DE4304"/>
    <w:rsid w:val="00DF0726"/>
    <w:rsid w:val="00DF347B"/>
    <w:rsid w:val="00DF63FA"/>
    <w:rsid w:val="00E012CC"/>
    <w:rsid w:val="00E02B71"/>
    <w:rsid w:val="00E02DEB"/>
    <w:rsid w:val="00E042A1"/>
    <w:rsid w:val="00E04671"/>
    <w:rsid w:val="00E05F9D"/>
    <w:rsid w:val="00E07951"/>
    <w:rsid w:val="00E104FA"/>
    <w:rsid w:val="00E1082A"/>
    <w:rsid w:val="00E11166"/>
    <w:rsid w:val="00E13182"/>
    <w:rsid w:val="00E15383"/>
    <w:rsid w:val="00E1738C"/>
    <w:rsid w:val="00E22D28"/>
    <w:rsid w:val="00E230E3"/>
    <w:rsid w:val="00E230ED"/>
    <w:rsid w:val="00E30EDF"/>
    <w:rsid w:val="00E31FBA"/>
    <w:rsid w:val="00E35496"/>
    <w:rsid w:val="00E36AAE"/>
    <w:rsid w:val="00E41773"/>
    <w:rsid w:val="00E41CF1"/>
    <w:rsid w:val="00E505A3"/>
    <w:rsid w:val="00E513F6"/>
    <w:rsid w:val="00E52F3B"/>
    <w:rsid w:val="00E538AB"/>
    <w:rsid w:val="00E53D94"/>
    <w:rsid w:val="00E53DEA"/>
    <w:rsid w:val="00E55986"/>
    <w:rsid w:val="00E57F40"/>
    <w:rsid w:val="00E616DB"/>
    <w:rsid w:val="00E618DD"/>
    <w:rsid w:val="00E627A4"/>
    <w:rsid w:val="00E630ED"/>
    <w:rsid w:val="00E64C1D"/>
    <w:rsid w:val="00E7357D"/>
    <w:rsid w:val="00E74EC5"/>
    <w:rsid w:val="00E76B86"/>
    <w:rsid w:val="00E80A21"/>
    <w:rsid w:val="00E80E16"/>
    <w:rsid w:val="00E83302"/>
    <w:rsid w:val="00E8342F"/>
    <w:rsid w:val="00E847A7"/>
    <w:rsid w:val="00E85415"/>
    <w:rsid w:val="00E86783"/>
    <w:rsid w:val="00E906B4"/>
    <w:rsid w:val="00E9095B"/>
    <w:rsid w:val="00E92EE0"/>
    <w:rsid w:val="00E9399B"/>
    <w:rsid w:val="00E94008"/>
    <w:rsid w:val="00E94762"/>
    <w:rsid w:val="00E96B52"/>
    <w:rsid w:val="00EA2244"/>
    <w:rsid w:val="00EA6563"/>
    <w:rsid w:val="00EA6FA7"/>
    <w:rsid w:val="00EB067F"/>
    <w:rsid w:val="00EB1F02"/>
    <w:rsid w:val="00EB230B"/>
    <w:rsid w:val="00EB5BC5"/>
    <w:rsid w:val="00EC086C"/>
    <w:rsid w:val="00EC42D0"/>
    <w:rsid w:val="00EC638F"/>
    <w:rsid w:val="00EC7583"/>
    <w:rsid w:val="00ED2713"/>
    <w:rsid w:val="00ED5D6F"/>
    <w:rsid w:val="00EE2061"/>
    <w:rsid w:val="00EE2ACE"/>
    <w:rsid w:val="00EE4874"/>
    <w:rsid w:val="00EE5829"/>
    <w:rsid w:val="00EE79A6"/>
    <w:rsid w:val="00EF0D86"/>
    <w:rsid w:val="00F005A0"/>
    <w:rsid w:val="00F106D2"/>
    <w:rsid w:val="00F11352"/>
    <w:rsid w:val="00F13451"/>
    <w:rsid w:val="00F1498D"/>
    <w:rsid w:val="00F14DDF"/>
    <w:rsid w:val="00F152AD"/>
    <w:rsid w:val="00F20BE9"/>
    <w:rsid w:val="00F2285F"/>
    <w:rsid w:val="00F23155"/>
    <w:rsid w:val="00F24E0E"/>
    <w:rsid w:val="00F2526E"/>
    <w:rsid w:val="00F26693"/>
    <w:rsid w:val="00F31DE4"/>
    <w:rsid w:val="00F33530"/>
    <w:rsid w:val="00F36130"/>
    <w:rsid w:val="00F36A6E"/>
    <w:rsid w:val="00F36FE3"/>
    <w:rsid w:val="00F40444"/>
    <w:rsid w:val="00F40868"/>
    <w:rsid w:val="00F4087A"/>
    <w:rsid w:val="00F423BD"/>
    <w:rsid w:val="00F432FF"/>
    <w:rsid w:val="00F46A39"/>
    <w:rsid w:val="00F46F26"/>
    <w:rsid w:val="00F4715C"/>
    <w:rsid w:val="00F50707"/>
    <w:rsid w:val="00F51C03"/>
    <w:rsid w:val="00F54869"/>
    <w:rsid w:val="00F556B2"/>
    <w:rsid w:val="00F55A5C"/>
    <w:rsid w:val="00F57187"/>
    <w:rsid w:val="00F574E5"/>
    <w:rsid w:val="00F5754B"/>
    <w:rsid w:val="00F576DE"/>
    <w:rsid w:val="00F63BF7"/>
    <w:rsid w:val="00F65617"/>
    <w:rsid w:val="00F710BE"/>
    <w:rsid w:val="00F718C1"/>
    <w:rsid w:val="00F736D2"/>
    <w:rsid w:val="00F7564C"/>
    <w:rsid w:val="00F76220"/>
    <w:rsid w:val="00F769BE"/>
    <w:rsid w:val="00F77D7A"/>
    <w:rsid w:val="00F82E6B"/>
    <w:rsid w:val="00F87CA3"/>
    <w:rsid w:val="00F95B9D"/>
    <w:rsid w:val="00F97B71"/>
    <w:rsid w:val="00FA1925"/>
    <w:rsid w:val="00FA2DDA"/>
    <w:rsid w:val="00FA34CA"/>
    <w:rsid w:val="00FA3CC8"/>
    <w:rsid w:val="00FA4A55"/>
    <w:rsid w:val="00FA4D4F"/>
    <w:rsid w:val="00FA54E8"/>
    <w:rsid w:val="00FB2D17"/>
    <w:rsid w:val="00FB2F69"/>
    <w:rsid w:val="00FB3BCA"/>
    <w:rsid w:val="00FB45FF"/>
    <w:rsid w:val="00FB47E0"/>
    <w:rsid w:val="00FB5D97"/>
    <w:rsid w:val="00FC1991"/>
    <w:rsid w:val="00FC1CA5"/>
    <w:rsid w:val="00FC2979"/>
    <w:rsid w:val="00FC45F4"/>
    <w:rsid w:val="00FC5E83"/>
    <w:rsid w:val="00FD0A58"/>
    <w:rsid w:val="00FD1C3C"/>
    <w:rsid w:val="00FD38A8"/>
    <w:rsid w:val="00FD3B9A"/>
    <w:rsid w:val="00FD6AC8"/>
    <w:rsid w:val="00FD7153"/>
    <w:rsid w:val="00FD7298"/>
    <w:rsid w:val="00FE308B"/>
    <w:rsid w:val="00FE3230"/>
    <w:rsid w:val="00FE3EA1"/>
    <w:rsid w:val="00FE4818"/>
    <w:rsid w:val="00FE5D80"/>
    <w:rsid w:val="00FE6979"/>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5D44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1B63AB"/>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5D4452"/>
    <w:rPr>
      <w:rFonts w:cs="Times New Roman"/>
      <w:b/>
      <w:bCs/>
      <w:kern w:val="44"/>
      <w:sz w:val="44"/>
      <w:szCs w:val="44"/>
    </w:rPr>
  </w:style>
  <w:style w:customStyle="1" w:styleId="2Char" w:type="character">
    <w:name w:val="标题 2 Char"/>
    <w:link w:val="2"/>
    <w:uiPriority w:val="9"/>
    <w:semiHidden/>
    <w:rsid w:val="00D85A42"/>
    <w:rPr>
      <w:rFonts w:ascii="Cambria" w:cs="Times New Roman" w:eastAsia="宋体" w:hAnsi="Cambria"/>
      <w:b/>
      <w:bCs/>
      <w:sz w:val="32"/>
      <w:szCs w:val="32"/>
    </w:rPr>
  </w:style>
  <w:style w:styleId="a0" w:type="paragraph">
    <w:name w:val="Normal Indent"/>
    <w:basedOn w:val="a"/>
    <w:uiPriority w:val="99"/>
    <w:rsid w:val="001B63AB"/>
    <w:pPr>
      <w:ind w:firstLine="420" w:firstLineChars="200"/>
    </w:pPr>
  </w:style>
  <w:style w:styleId="a4" w:type="paragraph">
    <w:name w:val="Body Text Indent"/>
    <w:basedOn w:val="a"/>
    <w:link w:val="Char"/>
    <w:uiPriority w:val="99"/>
    <w:rsid w:val="001B63AB"/>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D85A42"/>
    <w:rPr>
      <w:szCs w:val="24"/>
    </w:rPr>
  </w:style>
  <w:style w:styleId="a5" w:type="paragraph">
    <w:name w:val="Plain Text"/>
    <w:basedOn w:val="a"/>
    <w:link w:val="Char0"/>
    <w:uiPriority w:val="99"/>
    <w:rsid w:val="001B63AB"/>
    <w:rPr>
      <w:rFonts w:ascii="宋体" w:hAnsi="Courier New"/>
      <w:szCs w:val="20"/>
    </w:rPr>
  </w:style>
  <w:style w:customStyle="1" w:styleId="Char0" w:type="character">
    <w:name w:val="纯文本 Char"/>
    <w:link w:val="a5"/>
    <w:uiPriority w:val="99"/>
    <w:locked/>
    <w:rsid w:val="00A726E0"/>
    <w:rPr>
      <w:rFonts w:ascii="宋体" w:hAnsi="Courier New"/>
      <w:kern w:val="2"/>
      <w:sz w:val="21"/>
    </w:rPr>
  </w:style>
  <w:style w:styleId="20" w:type="paragraph">
    <w:name w:val="Body Text Indent 2"/>
    <w:basedOn w:val="a"/>
    <w:link w:val="2Char0"/>
    <w:uiPriority w:val="99"/>
    <w:rsid w:val="001B63AB"/>
    <w:pPr>
      <w:spacing w:line="560" w:lineRule="exact"/>
      <w:ind w:firstLine="480" w:firstLineChars="200"/>
    </w:pPr>
    <w:rPr>
      <w:kern w:val="0"/>
      <w:sz w:val="20"/>
    </w:rPr>
  </w:style>
  <w:style w:customStyle="1" w:styleId="2Char0" w:type="character">
    <w:name w:val="正文文本缩进 2 Char"/>
    <w:link w:val="20"/>
    <w:uiPriority w:val="99"/>
    <w:semiHidden/>
    <w:rsid w:val="00D85A42"/>
    <w:rPr>
      <w:szCs w:val="24"/>
    </w:rPr>
  </w:style>
  <w:style w:styleId="a6" w:type="paragraph">
    <w:name w:val="footer"/>
    <w:basedOn w:val="a"/>
    <w:link w:val="Char1"/>
    <w:uiPriority w:val="99"/>
    <w:rsid w:val="001B63AB"/>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D85A42"/>
    <w:rPr>
      <w:sz w:val="18"/>
      <w:szCs w:val="18"/>
    </w:rPr>
  </w:style>
  <w:style w:styleId="a7" w:type="character">
    <w:name w:val="page number"/>
    <w:uiPriority w:val="99"/>
    <w:rsid w:val="001B63AB"/>
    <w:rPr>
      <w:rFonts w:cs="Times New Roman"/>
    </w:rPr>
  </w:style>
  <w:style w:styleId="a8" w:type="character">
    <w:name w:val="Hyperlink"/>
    <w:uiPriority w:val="99"/>
    <w:rsid w:val="001B63AB"/>
    <w:rPr>
      <w:rFonts w:cs="Times New Roman"/>
      <w:color w:val="0000FF"/>
      <w:u w:val="single"/>
    </w:rPr>
  </w:style>
  <w:style w:styleId="3" w:type="paragraph">
    <w:name w:val="Body Text Indent 3"/>
    <w:basedOn w:val="a"/>
    <w:link w:val="3Char"/>
    <w:uiPriority w:val="99"/>
    <w:rsid w:val="001B63AB"/>
    <w:pPr>
      <w:spacing w:line="560" w:lineRule="exact"/>
      <w:ind w:firstLine="420" w:firstLineChars="200"/>
    </w:pPr>
    <w:rPr>
      <w:kern w:val="0"/>
      <w:sz w:val="16"/>
      <w:szCs w:val="16"/>
    </w:rPr>
  </w:style>
  <w:style w:customStyle="1" w:styleId="3Char" w:type="character">
    <w:name w:val="正文文本缩进 3 Char"/>
    <w:link w:val="3"/>
    <w:uiPriority w:val="99"/>
    <w:semiHidden/>
    <w:rsid w:val="00D85A42"/>
    <w:rPr>
      <w:sz w:val="16"/>
      <w:szCs w:val="16"/>
    </w:rPr>
  </w:style>
  <w:style w:styleId="a9" w:type="paragraph">
    <w:name w:val="header"/>
    <w:basedOn w:val="a"/>
    <w:link w:val="Char2"/>
    <w:uiPriority w:val="99"/>
    <w:rsid w:val="001B63AB"/>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4E30FB"/>
    <w:rPr>
      <w:rFonts w:cs="Times New Roman"/>
      <w:kern w:val="2"/>
      <w:sz w:val="18"/>
      <w:szCs w:val="18"/>
    </w:rPr>
  </w:style>
  <w:style w:styleId="aa" w:type="character">
    <w:name w:val="FollowedHyperlink"/>
    <w:uiPriority w:val="99"/>
    <w:rsid w:val="001B63AB"/>
    <w:rPr>
      <w:rFonts w:cs="Times New Roman"/>
      <w:color w:val="800080"/>
      <w:u w:val="single"/>
    </w:rPr>
  </w:style>
  <w:style w:styleId="ab" w:type="paragraph">
    <w:name w:val="List"/>
    <w:basedOn w:val="ac"/>
    <w:uiPriority w:val="99"/>
    <w:rsid w:val="001B63AB"/>
    <w:pPr>
      <w:spacing w:after="220" w:line="220" w:lineRule="atLeast"/>
      <w:ind w:hanging="360" w:left="1440"/>
    </w:pPr>
    <w:rPr>
      <w:szCs w:val="20"/>
    </w:rPr>
  </w:style>
  <w:style w:styleId="ac" w:type="paragraph">
    <w:name w:val="Body Text"/>
    <w:basedOn w:val="a"/>
    <w:link w:val="Char3"/>
    <w:uiPriority w:val="99"/>
    <w:rsid w:val="001B63AB"/>
    <w:pPr>
      <w:spacing w:after="120"/>
    </w:pPr>
    <w:rPr>
      <w:kern w:val="0"/>
      <w:sz w:val="20"/>
    </w:rPr>
  </w:style>
  <w:style w:customStyle="1" w:styleId="Char3" w:type="character">
    <w:name w:val="正文文本 Char"/>
    <w:link w:val="ac"/>
    <w:uiPriority w:val="99"/>
    <w:semiHidden/>
    <w:rsid w:val="00D85A42"/>
    <w:rPr>
      <w:szCs w:val="24"/>
    </w:rPr>
  </w:style>
  <w:style w:styleId="ad" w:type="paragraph">
    <w:name w:val="Date"/>
    <w:basedOn w:val="a"/>
    <w:next w:val="a"/>
    <w:link w:val="Char4"/>
    <w:uiPriority w:val="99"/>
    <w:rsid w:val="001B63AB"/>
    <w:rPr>
      <w:sz w:val="24"/>
      <w:szCs w:val="20"/>
    </w:rPr>
  </w:style>
  <w:style w:customStyle="1" w:styleId="Char4" w:type="character">
    <w:name w:val="日期 Char"/>
    <w:link w:val="ad"/>
    <w:uiPriority w:val="99"/>
    <w:locked/>
    <w:rsid w:val="005E5CC1"/>
    <w:rPr>
      <w:rFonts w:cs="Times New Roman"/>
      <w:kern w:val="2"/>
      <w:sz w:val="24"/>
    </w:rPr>
  </w:style>
  <w:style w:customStyle="1" w:styleId="c1" w:type="character">
    <w:name w:val="c1"/>
    <w:uiPriority w:val="99"/>
    <w:rsid w:val="001B63AB"/>
    <w:rPr>
      <w:rFonts w:cs="Times New Roman"/>
      <w:color w:val="000000"/>
      <w:sz w:val="18"/>
      <w:szCs w:val="18"/>
    </w:rPr>
  </w:style>
  <w:style w:styleId="10" w:type="paragraph">
    <w:name w:val="index 1"/>
    <w:basedOn w:val="a"/>
    <w:next w:val="a"/>
    <w:autoRedefine/>
    <w:uiPriority w:val="99"/>
    <w:semiHidden/>
    <w:rsid w:val="001B63AB"/>
    <w:pPr>
      <w:jc w:val="right"/>
    </w:pPr>
    <w:rPr>
      <w:color w:val="008000"/>
    </w:rPr>
  </w:style>
  <w:style w:customStyle="1" w:styleId="font5" w:type="paragraph">
    <w:name w:val="font5"/>
    <w:basedOn w:val="a"/>
    <w:uiPriority w:val="99"/>
    <w:rsid w:val="001B63AB"/>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1B63AB"/>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1B63AB"/>
    <w:rPr>
      <w:kern w:val="0"/>
      <w:sz w:val="0"/>
      <w:szCs w:val="0"/>
    </w:rPr>
  </w:style>
  <w:style w:customStyle="1" w:styleId="Char5" w:type="character">
    <w:name w:val="批注框文本 Char"/>
    <w:link w:val="ae"/>
    <w:uiPriority w:val="99"/>
    <w:semiHidden/>
    <w:rsid w:val="00D85A42"/>
    <w:rPr>
      <w:sz w:val="0"/>
      <w:szCs w:val="0"/>
    </w:rPr>
  </w:style>
  <w:style w:styleId="af" w:type="character">
    <w:name w:val="annotation reference"/>
    <w:uiPriority w:val="99"/>
    <w:semiHidden/>
    <w:rsid w:val="001B63AB"/>
    <w:rPr>
      <w:rFonts w:cs="Times New Roman"/>
      <w:sz w:val="21"/>
      <w:szCs w:val="21"/>
    </w:rPr>
  </w:style>
  <w:style w:styleId="af0" w:type="paragraph">
    <w:name w:val="annotation text"/>
    <w:basedOn w:val="a"/>
    <w:link w:val="Char6"/>
    <w:uiPriority w:val="99"/>
    <w:semiHidden/>
    <w:rsid w:val="001B63AB"/>
    <w:pPr>
      <w:jc w:val="left"/>
    </w:pPr>
    <w:rPr>
      <w:kern w:val="0"/>
      <w:sz w:val="20"/>
    </w:rPr>
  </w:style>
  <w:style w:customStyle="1" w:styleId="Char6" w:type="character">
    <w:name w:val="批注文字 Char"/>
    <w:link w:val="af0"/>
    <w:uiPriority w:val="99"/>
    <w:semiHidden/>
    <w:rsid w:val="00D85A42"/>
    <w:rPr>
      <w:szCs w:val="24"/>
    </w:rPr>
  </w:style>
  <w:style w:styleId="af1" w:type="paragraph">
    <w:name w:val="annotation subject"/>
    <w:basedOn w:val="af0"/>
    <w:next w:val="af0"/>
    <w:link w:val="Char7"/>
    <w:uiPriority w:val="99"/>
    <w:semiHidden/>
    <w:rsid w:val="001B63AB"/>
    <w:rPr>
      <w:b/>
      <w:bCs/>
    </w:rPr>
  </w:style>
  <w:style w:customStyle="1" w:styleId="Char7" w:type="character">
    <w:name w:val="批注主题 Char"/>
    <w:link w:val="af1"/>
    <w:uiPriority w:val="99"/>
    <w:semiHidden/>
    <w:rsid w:val="00D85A42"/>
    <w:rPr>
      <w:b/>
      <w:bCs/>
      <w:szCs w:val="24"/>
    </w:rPr>
  </w:style>
  <w:style w:customStyle="1" w:styleId="Char8" w:type="paragraph">
    <w:name w:val="Char"/>
    <w:basedOn w:val="a"/>
    <w:uiPriority w:val="99"/>
    <w:rsid w:val="001B63AB"/>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D85A42"/>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D85A42"/>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t1" w:type="character">
    <w:name w:val="t1"/>
    <w:uiPriority w:val="99"/>
    <w:rsid w:val="00C40F7A"/>
    <w:rPr>
      <w:rFonts w:cs="Times New Roman"/>
      <w:color w:val="990000"/>
    </w:rPr>
  </w:style>
  <w:style w:styleId="af8" w:type="character">
    <w:name w:val="Strong"/>
    <w:uiPriority w:val="22"/>
    <w:qFormat/>
    <w:locked/>
    <w:rsid w:val="001A48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04092">
      <w:bodyDiv w:val="1"/>
      <w:marLeft w:val="0"/>
      <w:marRight w:val="0"/>
      <w:marTop w:val="0"/>
      <w:marBottom w:val="0"/>
      <w:divBdr>
        <w:top w:val="none" w:sz="0" w:space="0" w:color="auto"/>
        <w:left w:val="none" w:sz="0" w:space="0" w:color="auto"/>
        <w:bottom w:val="none" w:sz="0" w:space="0" w:color="auto"/>
        <w:right w:val="none" w:sz="0" w:space="0" w:color="auto"/>
      </w:divBdr>
    </w:div>
    <w:div w:id="1833837360">
      <w:marLeft w:val="0"/>
      <w:marRight w:val="0"/>
      <w:marTop w:val="0"/>
      <w:marBottom w:val="0"/>
      <w:divBdr>
        <w:top w:val="none" w:sz="0" w:space="0" w:color="auto"/>
        <w:left w:val="none" w:sz="0" w:space="0" w:color="auto"/>
        <w:bottom w:val="none" w:sz="0" w:space="0" w:color="auto"/>
        <w:right w:val="none" w:sz="0" w:space="0" w:color="auto"/>
      </w:divBdr>
    </w:div>
    <w:div w:id="1833837361">
      <w:marLeft w:val="0"/>
      <w:marRight w:val="0"/>
      <w:marTop w:val="0"/>
      <w:marBottom w:val="0"/>
      <w:divBdr>
        <w:top w:val="none" w:sz="0" w:space="0" w:color="auto"/>
        <w:left w:val="none" w:sz="0" w:space="0" w:color="auto"/>
        <w:bottom w:val="none" w:sz="0" w:space="0" w:color="auto"/>
        <w:right w:val="none" w:sz="0" w:space="0" w:color="auto"/>
      </w:divBdr>
    </w:div>
    <w:div w:id="1833837362">
      <w:marLeft w:val="0"/>
      <w:marRight w:val="0"/>
      <w:marTop w:val="0"/>
      <w:marBottom w:val="0"/>
      <w:divBdr>
        <w:top w:val="none" w:sz="0" w:space="0" w:color="auto"/>
        <w:left w:val="none" w:sz="0" w:space="0" w:color="auto"/>
        <w:bottom w:val="none" w:sz="0" w:space="0" w:color="auto"/>
        <w:right w:val="none" w:sz="0" w:space="0" w:color="auto"/>
      </w:divBdr>
    </w:div>
    <w:div w:id="1833837363">
      <w:marLeft w:val="0"/>
      <w:marRight w:val="0"/>
      <w:marTop w:val="0"/>
      <w:marBottom w:val="0"/>
      <w:divBdr>
        <w:top w:val="none" w:sz="0" w:space="0" w:color="auto"/>
        <w:left w:val="none" w:sz="0" w:space="0" w:color="auto"/>
        <w:bottom w:val="none" w:sz="0" w:space="0" w:color="auto"/>
        <w:right w:val="none" w:sz="0" w:space="0" w:color="auto"/>
      </w:divBdr>
    </w:div>
    <w:div w:id="1833837364">
      <w:marLeft w:val="0"/>
      <w:marRight w:val="0"/>
      <w:marTop w:val="0"/>
      <w:marBottom w:val="0"/>
      <w:divBdr>
        <w:top w:val="none" w:sz="0" w:space="0" w:color="auto"/>
        <w:left w:val="none" w:sz="0" w:space="0" w:color="auto"/>
        <w:bottom w:val="none" w:sz="0" w:space="0" w:color="auto"/>
        <w:right w:val="none" w:sz="0" w:space="0" w:color="auto"/>
      </w:divBdr>
    </w:div>
    <w:div w:id="1833837365">
      <w:marLeft w:val="0"/>
      <w:marRight w:val="0"/>
      <w:marTop w:val="0"/>
      <w:marBottom w:val="0"/>
      <w:divBdr>
        <w:top w:val="none" w:sz="0" w:space="0" w:color="auto"/>
        <w:left w:val="none" w:sz="0" w:space="0" w:color="auto"/>
        <w:bottom w:val="none" w:sz="0" w:space="0" w:color="auto"/>
        <w:right w:val="none" w:sz="0" w:space="0" w:color="auto"/>
      </w:divBdr>
    </w:div>
    <w:div w:id="1833837366">
      <w:marLeft w:val="0"/>
      <w:marRight w:val="0"/>
      <w:marTop w:val="0"/>
      <w:marBottom w:val="0"/>
      <w:divBdr>
        <w:top w:val="none" w:sz="0" w:space="0" w:color="auto"/>
        <w:left w:val="none" w:sz="0" w:space="0" w:color="auto"/>
        <w:bottom w:val="none" w:sz="0" w:space="0" w:color="auto"/>
        <w:right w:val="none" w:sz="0" w:space="0" w:color="auto"/>
      </w:divBdr>
    </w:div>
    <w:div w:id="1833837367">
      <w:marLeft w:val="0"/>
      <w:marRight w:val="0"/>
      <w:marTop w:val="0"/>
      <w:marBottom w:val="0"/>
      <w:divBdr>
        <w:top w:val="none" w:sz="0" w:space="0" w:color="auto"/>
        <w:left w:val="none" w:sz="0" w:space="0" w:color="auto"/>
        <w:bottom w:val="none" w:sz="0" w:space="0" w:color="auto"/>
        <w:right w:val="none" w:sz="0" w:space="0" w:color="auto"/>
      </w:divBdr>
    </w:div>
    <w:div w:id="1833837368">
      <w:marLeft w:val="0"/>
      <w:marRight w:val="0"/>
      <w:marTop w:val="0"/>
      <w:marBottom w:val="0"/>
      <w:divBdr>
        <w:top w:val="none" w:sz="0" w:space="0" w:color="auto"/>
        <w:left w:val="none" w:sz="0" w:space="0" w:color="auto"/>
        <w:bottom w:val="none" w:sz="0" w:space="0" w:color="auto"/>
        <w:right w:val="none" w:sz="0" w:space="0" w:color="auto"/>
      </w:divBdr>
    </w:div>
    <w:div w:id="1833837369">
      <w:marLeft w:val="0"/>
      <w:marRight w:val="0"/>
      <w:marTop w:val="0"/>
      <w:marBottom w:val="0"/>
      <w:divBdr>
        <w:top w:val="none" w:sz="0" w:space="0" w:color="auto"/>
        <w:left w:val="none" w:sz="0" w:space="0" w:color="auto"/>
        <w:bottom w:val="none" w:sz="0" w:space="0" w:color="auto"/>
        <w:right w:val="none" w:sz="0" w:space="0" w:color="auto"/>
      </w:divBdr>
    </w:div>
    <w:div w:id="18338373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22</Pages>
  <Words>3067</Words>
  <Characters>17485</Characters>
  <Application>Microsoft Office Word</Application>
  <DocSecurity>0</DocSecurity>
  <Lines>145</Lines>
  <Paragraphs>41</Paragraphs>
  <ScaleCrop>false</ScaleCrop>
  <Company>TRT. Ltd. Co.</Company>
  <LinksUpToDate>false</LinksUpToDate>
  <CharactersWithSpaces>20511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2013-06-21T07:03:00Z</dcterms:created>
  <dc:creator>bonnieliu</dc:creator>
  <cp:lastModifiedBy>sirong han</cp:lastModifiedBy>
  <cp:lastPrinted>2007-07-19T00:46:00Z</cp:lastPrinted>
  <dcterms:modified xsi:type="dcterms:W3CDTF">2020-07-09T02:50:00Z</dcterms:modified>
  <cp:revision>148</cp:revision>
</cp:coreProperties>
</file>