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4A355B" w:rsidR="00F13451" w:rsidRDefault="00F13451" w:rsidRPr="00820253">
      <w:pPr>
        <w:autoSpaceDE w:val="0"/>
        <w:autoSpaceDN w:val="0"/>
        <w:adjustRightInd w:val="0"/>
        <w:spacing w:line="360" w:lineRule="auto"/>
        <w:jc w:val="left"/>
        <w:rPr>
          <w:rFonts w:ascii="宋体" w:cs="Arial"/>
          <w:color w:val="000000"/>
          <w:kern w:val="0"/>
          <w:sz w:val="24"/>
        </w:rPr>
      </w:pPr>
    </w:p>
    <w:p w:rsidP="001A149A" w:rsidR="00F13451" w:rsidRDefault="00F13451" w:rsidRPr="00820253">
      <w:pPr>
        <w:spacing w:line="360" w:lineRule="auto"/>
        <w:jc w:val="center"/>
        <w:rPr>
          <w:rFonts w:ascii="宋体" w:hAnsi="宋体"/>
          <w:b/>
          <w:sz w:val="36"/>
          <w:szCs w:val="36"/>
        </w:rPr>
      </w:pPr>
      <w:r w:rsidRPr="00820253">
        <w:rPr>
          <w:rFonts w:ascii="宋体"/>
          <w:b/>
          <w:sz w:val="36"/>
          <w:szCs w:val="36"/>
        </w:rPr>
        <w:t/>
      </w:r>
      <w:proofErr w:type="spellStart"/>
      <w:proofErr w:type="gramStart"/>
      <w:r w:rsidRPr="00820253">
        <w:rPr>
          <w:rFonts w:ascii="宋体" w:hAnsi="宋体"/>
          <w:b/>
          <w:sz w:val="36"/>
          <w:szCs w:val="36"/>
        </w:rPr>
        <w:t/>
      </w:r>
      <w:proofErr w:type="spellEnd"/>
      <w:proofErr w:type="gramEnd"/>
      <w:r w:rsidRPr="00820253">
        <w:rPr>
          <w:rFonts w:ascii="宋体" w:hAnsi="宋体"/>
          <w:b/>
          <w:sz w:val="36"/>
          <w:szCs w:val="36"/>
        </w:rPr>
        <w:t>易方达标普500指数证券投资基金（LOF）</w:t>
      </w:r>
    </w:p>
    <w:p w:rsidP="001A149A" w:rsidR="00F13451" w:rsidRDefault="00F13451" w:rsidRPr="00820253">
      <w:pPr>
        <w:spacing w:line="360" w:lineRule="auto"/>
        <w:jc w:val="center"/>
        <w:rPr>
          <w:rFonts w:ascii="宋体" w:hAnsi="宋体"/>
          <w:b/>
          <w:sz w:val="36"/>
          <w:szCs w:val="36"/>
        </w:rPr>
      </w:pPr>
      <w:r w:rsidRPr="00820253">
        <w:rPr>
          <w:rFonts w:ascii="宋体" w:hAnsi="宋体"/>
          <w:b/>
          <w:sz w:val="36"/>
          <w:szCs w:val="36"/>
        </w:rPr>
        <w:t/>
      </w:r>
      <w:proofErr w:type="spellStart"/>
      <w:r w:rsidRPr="00820253">
        <w:rPr>
          <w:rFonts w:ascii="宋体" w:hAnsi="宋体"/>
          <w:b/>
          <w:sz w:val="36"/>
          <w:szCs w:val="36"/>
        </w:rPr>
        <w:t/>
      </w:r>
      <w:proofErr w:type="spellEnd"/>
      <w:r w:rsidRPr="00820253">
        <w:rPr>
          <w:rFonts w:ascii="宋体" w:hAnsi="宋体"/>
          <w:b/>
          <w:sz w:val="36"/>
          <w:szCs w:val="36"/>
        </w:rPr>
        <w:t>2020年第2季度报告</w:t>
      </w:r>
    </w:p>
    <w:p w:rsidP="001A149A" w:rsidR="00F13451" w:rsidRDefault="00F13451" w:rsidRPr="005771AC">
      <w:pPr>
        <w:spacing w:line="360" w:lineRule="auto"/>
        <w:jc w:val="center"/>
        <w:rPr>
          <w:rFonts w:ascii="宋体" w:hAnsi="宋体"/>
          <w:b/>
          <w:sz w:val="24"/>
          <w:szCs w:val="36"/>
        </w:rPr>
      </w:pPr>
      <w:r w:rsidRPr="005771AC">
        <w:rPr>
          <w:rFonts w:ascii="宋体"/>
          <w:b/>
          <w:sz w:val="24"/>
          <w:szCs w:val="36"/>
        </w:rPr>
        <w:t/>
      </w:r>
      <w:proofErr w:type="spellStart"/>
      <w:proofErr w:type="gramStart"/>
      <w:r w:rsidRPr="005771AC">
        <w:rPr>
          <w:rFonts w:ascii="宋体" w:hAnsi="宋体"/>
          <w:b/>
          <w:sz w:val="24"/>
          <w:szCs w:val="36"/>
        </w:rPr>
        <w:t/>
      </w:r>
      <w:proofErr w:type="spellEnd"/>
      <w:proofErr w:type="gramEnd"/>
      <w:r w:rsidRPr="005771AC">
        <w:rPr>
          <w:rFonts w:ascii="宋体" w:hAnsi="宋体"/>
          <w:b/>
          <w:sz w:val="24"/>
          <w:szCs w:val="36"/>
        </w:rPr>
        <w:t>2020年6月30日</w:t>
      </w: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rPr>
          <w:rFonts w:ascii="宋体"/>
          <w:b/>
          <w:color w:val="000000"/>
          <w:sz w:val="24"/>
        </w:rPr>
      </w:pPr>
    </w:p>
    <w:p w:rsidP="00476756" w:rsidR="00F13451" w:rsidRDefault="00F13451" w:rsidRPr="00820253">
      <w:pPr>
        <w:spacing w:line="360" w:lineRule="auto"/>
        <w:ind w:firstLine="2168" w:firstLineChars="900"/>
        <w:rPr>
          <w:rFonts w:ascii="宋体" w:hAnsi="宋体"/>
          <w:b/>
          <w:color w:val="000000"/>
          <w:sz w:val="24"/>
        </w:rPr>
      </w:pPr>
      <w:r w:rsidRPr="00820253">
        <w:rPr>
          <w:rFonts w:ascii="宋体" w:hAnsi="宋体" w:hint="eastAsia"/>
          <w:b/>
          <w:color w:val="000000"/>
          <w:sz w:val="24"/>
        </w:rPr>
        <w:t>基金管理人：</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易方达基金管理有限公司</w:t>
      </w:r>
    </w:p>
    <w:p w:rsidP="00476756" w:rsidR="00F13451" w:rsidRDefault="00F13451" w:rsidRPr="00820253">
      <w:pPr>
        <w:spacing w:line="360" w:lineRule="auto"/>
        <w:ind w:firstLine="2168" w:firstLineChars="900"/>
        <w:rPr>
          <w:rFonts w:ascii="宋体" w:hAnsi="宋体"/>
          <w:b/>
          <w:color w:val="000000"/>
          <w:sz w:val="24"/>
        </w:rPr>
      </w:pPr>
      <w:r w:rsidRPr="00820253">
        <w:rPr>
          <w:rFonts w:ascii="宋体" w:hAnsi="宋体" w:hint="eastAsia"/>
          <w:b/>
          <w:color w:val="000000"/>
          <w:sz w:val="24"/>
        </w:rPr>
        <w:t>基金托管人：</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中国建设银行股份有限公司</w:t>
      </w:r>
    </w:p>
    <w:p w:rsidP="00476756" w:rsidR="00F13451" w:rsidRDefault="00F13451" w:rsidRPr="00820253">
      <w:pPr>
        <w:spacing w:line="360" w:lineRule="auto"/>
        <w:ind w:firstLine="2168" w:firstLineChars="900"/>
        <w:rPr>
          <w:rFonts w:ascii="宋体" w:hAnsi="宋体"/>
          <w:b/>
          <w:color w:val="000000"/>
          <w:sz w:val="24"/>
        </w:rPr>
        <w:sectPr w:rsidR="00F13451" w:rsidRPr="00820253" w:rsidSect="00D6226F">
          <w:headerReference r:id="rId8" w:type="default"/>
          <w:footerReference r:id="rId9" w:type="default"/>
          <w:pgSz w:h="15840" w:w="11926"/>
          <w:pgMar w:bottom="851" w:footer="992" w:gutter="0" w:header="851" w:left="1418" w:right="1418" w:top="1418"/>
          <w:cols w:space="720"/>
          <w:noEndnote/>
        </w:sectPr>
      </w:pPr>
      <w:r w:rsidRPr="00820253">
        <w:rPr>
          <w:rFonts w:ascii="宋体" w:hAnsi="宋体" w:hint="eastAsia"/>
          <w:b/>
          <w:color w:val="000000"/>
          <w:sz w:val="24"/>
        </w:rPr>
        <w:t>报告送出日期：</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二〇二〇年七月二十一日</w:t>
      </w:r>
    </w:p>
    <w:p w:rsidP="008B041C" w:rsidR="00F13451" w:rsidRDefault="00F13451" w:rsidRPr="00820253">
      <w:pPr>
        <w:pStyle w:val="1"/>
        <w:spacing w:after="312" w:afterLines="100" w:before="312" w:beforeLines="100" w:line="360" w:lineRule="auto"/>
        <w:jc w:val="center"/>
        <w:rPr>
          <w:rFonts w:ascii="宋体" w:cs="Arial"/>
          <w:b w:val="0"/>
          <w:color w:val="000000"/>
          <w:kern w:val="0"/>
          <w:sz w:val="24"/>
          <w:szCs w:val="24"/>
        </w:rPr>
      </w:pPr>
      <w:r w:rsidRPr="00820253">
        <w:rPr>
          <w:rFonts w:ascii="宋体" w:cs="Arial" w:hAnsi="宋体" w:hint="eastAsia"/>
          <w:color w:val="000000"/>
          <w:kern w:val="0"/>
          <w:sz w:val="24"/>
          <w:szCs w:val="24"/>
        </w:rPr>
        <w:lastRenderedPageBreak/>
        <w:t>§</w:t>
      </w:r>
      <w:r w:rsidRPr="00820253">
        <w:rPr>
          <w:rFonts w:ascii="宋体" w:cs="Arial" w:hAnsi="宋体"/>
          <w:color w:val="000000"/>
          <w:kern w:val="0"/>
          <w:sz w:val="24"/>
          <w:szCs w:val="24"/>
        </w:rPr>
        <w:t xml:space="preserve">1  </w:t>
      </w:r>
      <w:r w:rsidRPr="00820253">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proofErr w:type="gramStart"/>
      <w:r w:rsidRPr="0040658E">
        <w:rPr>
          <w:color w:val="000000"/>
          <w:sz w:val="24"/>
        </w:rPr>
        <w:t/>
      </w:r>
      <w:proofErr w:type="spellEnd"/>
      <w:proofErr w:type="gramEnd"/>
      <w:r w:rsidRPr="0040658E">
        <w:rPr>
          <w:color w:val="000000"/>
          <w:sz w:val="24"/>
        </w:rPr>
        <w:t>本报告期自2020年4月1日起至6月30日止。</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2  </w:t>
      </w:r>
      <w:r w:rsidRPr="00820253">
        <w:rPr>
          <w:rFonts w:ascii="宋体" w:cs="Arial" w:hAnsi="宋体" w:hint="eastAsia"/>
          <w:color w:val="000000"/>
          <w:kern w:val="0"/>
          <w:sz w:val="24"/>
          <w:szCs w:val="24"/>
        </w:rPr>
        <w:t>基金产品概况</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77"/>
        <w:gridCol w:w="2597"/>
        <w:gridCol w:w="2790"/>
      </w:tblGrid>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kern w:val="0"/>
                <w:sz w:val="24"/>
              </w:rPr>
            </w:pPr>
            <w:r w:rsidRPr="0040658E">
              <w:rPr>
                <w:kern w:val="0"/>
                <w:sz w:val="24"/>
              </w:rPr>
              <w:t>基金简称</w:t>
            </w:r>
          </w:p>
        </w:tc>
        <w:tc>
          <w:tcPr>
            <w:tcW w:type="dxa" w:w="5387"/>
            <w:gridSpan w:val="2"/>
            <w:vAlign w:val="center"/>
          </w:tcPr>
          <w:p w:rsidP="00CA3C4F"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易方达标普500指数（QDII-LOF）</w:t>
            </w:r>
          </w:p>
        </w:tc>
      </w:tr>
      <w:tr w:rsidR="00C81A11" w:rsidRPr="00820253" w:rsidTr="0024781E">
        <w:tc>
          <w:tcPr>
            <w:tcW w:type="dxa" w:w="2977"/>
            <w:vAlign w:val="center"/>
          </w:tcPr>
          <w:p w:rsidP="00AF756E" w:rsidR="00C81A11" w:rsidRDefault="00C81A11" w:rsidRPr="0040658E">
            <w:pPr>
              <w:adjustRightInd w:val="0"/>
              <w:spacing w:before="29" w:line="360" w:lineRule="auto"/>
              <w:ind w:left="17"/>
              <w:jc w:val="left"/>
              <w:rPr>
                <w:kern w:val="0"/>
                <w:sz w:val="24"/>
              </w:rPr>
            </w:pPr>
            <w:r w:rsidRPr="0040658E">
              <w:rPr>
                <w:kern w:val="0"/>
                <w:sz w:val="24"/>
              </w:rPr>
              <w:t>场内简称</w:t>
            </w:r>
          </w:p>
        </w:tc>
        <w:tc>
          <w:tcPr>
            <w:tcW w:type="dxa" w:w="5387"/>
            <w:gridSpan w:val="2"/>
            <w:vAlign w:val="center"/>
          </w:tcPr>
          <w:p w:rsidP="00AF756E" w:rsidR="00C81A11" w:rsidRDefault="00C81A11" w:rsidRPr="0040658E">
            <w:pPr>
              <w:adjustRightInd w:val="0"/>
              <w:spacing w:before="29" w:line="360" w:lineRule="auto"/>
              <w:ind w:left="17"/>
              <w:jc w:val="left"/>
              <w:rPr>
                <w:kern w:val="0"/>
                <w:sz w:val="24"/>
              </w:rPr>
            </w:pPr>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标普500</w:t>
            </w:r>
          </w:p>
        </w:tc>
      </w:tr>
      <w:tr w:rsidR="00F13451" w:rsidRPr="00820253" w:rsidTr="00780E33">
        <w:tc>
          <w:tcPr>
            <w:tcW w:type="dxa" w:w="2977"/>
          </w:tcPr>
          <w:p w:rsidR="00F13451" w:rsidRDefault="00F13451" w:rsidRPr="0040658E">
            <w:pPr>
              <w:adjustRightInd w:val="0"/>
              <w:spacing w:before="29" w:line="360" w:lineRule="auto"/>
              <w:ind w:left="17"/>
              <w:jc w:val="left"/>
              <w:rPr>
                <w:kern w:val="0"/>
                <w:sz w:val="24"/>
              </w:rPr>
            </w:pPr>
            <w:r w:rsidRPr="0040658E">
              <w:rPr>
                <w:kern w:val="0"/>
                <w:sz w:val="24"/>
              </w:rPr>
              <w:t>基金主代码</w:t>
            </w:r>
          </w:p>
        </w:tc>
        <w:tc>
          <w:tcPr>
            <w:tcW w:type="dxa" w:w="5387"/>
            <w:gridSpan w:val="2"/>
          </w:tcPr>
          <w:p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161125</w:t>
            </w:r>
          </w:p>
        </w:tc>
      </w:tr>
      <w:tr w:rsidR="00F13451" w:rsidRPr="00820253" w:rsidTr="00780E33">
        <w:tc>
          <w:tcPr>
            <w:tcW w:type="dxa" w:w="2977"/>
          </w:tcPr>
          <w:p w:rsidR="00F13451" w:rsidRDefault="00F13451" w:rsidRPr="0040658E">
            <w:pPr>
              <w:adjustRightInd w:val="0"/>
              <w:spacing w:before="29" w:line="360" w:lineRule="auto"/>
              <w:ind w:left="17"/>
              <w:jc w:val="left"/>
              <w:rPr>
                <w:kern w:val="0"/>
                <w:sz w:val="24"/>
              </w:rPr>
            </w:pPr>
            <w:r w:rsidRPr="0040658E">
              <w:rPr>
                <w:kern w:val="0"/>
                <w:sz w:val="24"/>
              </w:rPr>
              <w:t>交易代码</w:t>
            </w:r>
          </w:p>
        </w:tc>
        <w:tc>
          <w:tcPr>
            <w:tcW w:type="dxa" w:w="5387"/>
            <w:gridSpan w:val="2"/>
          </w:tcPr>
          <w:p w:rsidR="00F13451" w:rsidRDefault="00F13451" w:rsidRPr="0040658E">
            <w:pPr>
              <w:adjustRightInd w:val="0"/>
              <w:spacing w:before="29" w:line="360" w:lineRule="auto"/>
              <w:ind w:left="17"/>
              <w:jc w:val="left"/>
              <w:rPr>
                <w:color w:val="000000"/>
                <w:kern w:val="0"/>
                <w:sz w:val="24"/>
              </w:rPr>
            </w:pPr>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161125</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基金运作方式</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契约型、上市开放式（LOF）</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基金合同生效日</w:t>
            </w:r>
          </w:p>
        </w:tc>
        <w:tc>
          <w:tcPr>
            <w:tcW w:type="dxa" w:w="5387"/>
            <w:gridSpan w:val="2"/>
            <w:vAlign w:val="center"/>
          </w:tcPr>
          <w:p w:rsidP="00CA3C4F"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2016年12月2日</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报告期末基金份额总额</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281,636,497.93</w:t>
            </w:r>
            <w:r w:rsidRPr="0040658E">
              <w:rPr>
                <w:color w:val="000000"/>
                <w:kern w:val="0"/>
                <w:sz w:val="24"/>
              </w:rPr>
              <w:t>份</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投资目标</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紧密跟踪业绩比较基准，追求跟踪偏离度及跟踪误差的最小化。</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投资策略</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作为追踪标普500指数的被动式海外指数基金，本基金采用完全复制法，力求追踪误差最小化。</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业绩比较基准</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标普500指数收益率（使用估值汇率折算）×95%+活期存款利率（税后）×5%</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风险收益特征</w:t>
            </w:r>
          </w:p>
        </w:tc>
        <w:tc>
          <w:tcPr>
            <w:tcW w:type="dxa" w:w="5387"/>
            <w:gridSpan w:val="2"/>
            <w:vAlign w:val="center"/>
          </w:tcPr>
          <w:p>
            <w:pPr>
              <w:adjustRightInd w:val="0"/>
              <w:spacing w:before="29" w:line="360" w:lineRule="auto"/>
              <w:ind w:left="17"/>
              <w:jc w:val="left"/>
              <w:rPr>
                <w:color w:val="000000"/>
                <w:sz w:val="24"/>
              </w:rPr>
            </w:pPr>
            <w:r>
              <w:rPr>
                <w:color w:val="000000"/>
                <w:kern w:val="0"/>
                <w:sz w:val="24"/>
              </w:rPr>
              <w:t xml:space="preserve">本基金属股票指数基金，预期风险与收益水平高于混合基金、债券基金与货币市场基金。本基金主要采用组合复制策略和适当的替代性策略实现对标的指数的紧密跟踪，具有与标的指数相似的风险收益特征。 </w:t>
            </w:r>
          </w:p>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 xml:space="preserve">本基金主要投资美国证券市场，需承担汇率风险以及境外市场的风险。 </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基金管理人</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易方达基金管理有限公司</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基金托管人</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中国建设银行股份有限公司</w:t>
            </w:r>
          </w:p>
        </w:tc>
      </w:tr>
      <w:tr w:rsidR="00E83302" w:rsidRPr="00820253" w:rsidTr="00780E33">
        <w:tc>
          <w:tcPr>
            <w:tcW w:type="dxa" w:w="2977"/>
            <w:vMerge w:val="restart"/>
            <w:vAlign w:val="center"/>
          </w:tcPr>
          <w:p w:rsidP="00510BB5" w:rsidR="00E83302" w:rsidRDefault="00E83302" w:rsidRPr="0040658E">
            <w:pPr>
              <w:adjustRightInd w:val="0"/>
              <w:spacing w:before="29" w:line="360" w:lineRule="auto"/>
              <w:ind w:left="17"/>
              <w:jc w:val="left"/>
              <w:rPr>
                <w:kern w:val="0"/>
                <w:sz w:val="24"/>
              </w:rPr>
            </w:pPr>
            <w:r w:rsidRPr="0040658E">
              <w:rPr>
                <w:kern w:val="0"/>
                <w:sz w:val="24"/>
              </w:rPr>
              <w:t>境外投资顾问</w:t>
            </w:r>
          </w:p>
        </w:tc>
        <w:tc>
          <w:tcPr>
            <w:tcW w:type="dxa" w:w="5387"/>
            <w:gridSpan w:val="2"/>
            <w:vAlign w:val="center"/>
          </w:tcPr>
          <w:p w:rsidP="000C6F3E" w:rsidR="00E83302" w:rsidRDefault="00E83302" w:rsidRPr="0040658E">
            <w:pPr>
              <w:adjustRightInd w:val="0"/>
              <w:spacing w:before="29" w:line="360" w:lineRule="auto"/>
              <w:ind w:left="17"/>
              <w:jc w:val="left"/>
              <w:rPr>
                <w:kern w:val="0"/>
                <w:sz w:val="24"/>
              </w:rPr>
            </w:pPr>
            <w:r w:rsidRPr="0040658E">
              <w:rPr>
                <w:kern w:val="0"/>
                <w:sz w:val="24"/>
              </w:rPr>
              <w:t>英文名称</w:t>
            </w:r>
            <w:r>
              <w:rPr>
                <w:rFonts w:hint="eastAsia"/>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无</w:t>
            </w:r>
          </w:p>
        </w:tc>
      </w:tr>
      <w:tr w:rsidR="00E83302" w:rsidRPr="00820253" w:rsidTr="00780E33">
        <w:tc>
          <w:tcPr>
            <w:tcW w:type="dxa" w:w="2977"/>
            <w:vMerge/>
            <w:vAlign w:val="center"/>
          </w:tcPr>
          <w:p w:rsidP="00510BB5" w:rsidR="00E83302" w:rsidRDefault="00E83302" w:rsidRPr="0040658E">
            <w:pPr>
              <w:adjustRightInd w:val="0"/>
              <w:spacing w:before="29" w:line="360" w:lineRule="auto"/>
              <w:ind w:left="17"/>
              <w:jc w:val="left"/>
              <w:rPr>
                <w:kern w:val="0"/>
                <w:sz w:val="24"/>
              </w:rPr>
            </w:pPr>
          </w:p>
        </w:tc>
        <w:tc>
          <w:tcPr>
            <w:tcW w:type="dxa" w:w="5387"/>
            <w:gridSpan w:val="2"/>
            <w:vAlign w:val="center"/>
          </w:tcPr>
          <w:p w:rsidP="000C6F3E" w:rsidR="00E83302" w:rsidRDefault="00E83302" w:rsidRPr="0040658E">
            <w:pPr>
              <w:adjustRightInd w:val="0"/>
              <w:spacing w:before="29" w:line="360" w:lineRule="auto"/>
              <w:ind w:left="17"/>
              <w:jc w:val="left"/>
              <w:rPr>
                <w:kern w:val="0"/>
                <w:sz w:val="24"/>
              </w:rPr>
            </w:pPr>
            <w:r w:rsidRPr="0040658E">
              <w:rPr>
                <w:kern w:val="0"/>
                <w:sz w:val="24"/>
              </w:rPr>
              <w:t>中文名称</w:t>
            </w:r>
            <w:r>
              <w:rPr>
                <w:rFonts w:hint="eastAsia"/>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无</w:t>
            </w:r>
          </w:p>
        </w:tc>
      </w:tr>
      <w:tr w:rsidR="000C6F3E" w:rsidRPr="00820253" w:rsidTr="00780E33">
        <w:tc>
          <w:tcPr>
            <w:tcW w:type="dxa" w:w="2977"/>
            <w:vMerge w:val="restart"/>
            <w:vAlign w:val="center"/>
          </w:tcPr>
          <w:p w:rsidP="00510BB5" w:rsidR="000C6F3E" w:rsidRDefault="000C6F3E" w:rsidRPr="0040658E">
            <w:pPr>
              <w:adjustRightInd w:val="0"/>
              <w:spacing w:before="29" w:line="360" w:lineRule="auto"/>
              <w:ind w:left="17"/>
              <w:jc w:val="left"/>
              <w:rPr>
                <w:kern w:val="0"/>
                <w:sz w:val="24"/>
              </w:rPr>
            </w:pPr>
            <w:r w:rsidRPr="0040658E">
              <w:rPr>
                <w:kern w:val="0"/>
                <w:sz w:val="24"/>
              </w:rPr>
              <w:t>境外资产托管人</w:t>
            </w:r>
          </w:p>
        </w:tc>
        <w:tc>
          <w:tcPr>
            <w:tcW w:type="dxa" w:w="5387"/>
            <w:gridSpan w:val="2"/>
            <w:vAlign w:val="center"/>
          </w:tcPr>
          <w:p w:rsidP="000C6F3E" w:rsidR="000C6F3E" w:rsidRDefault="000C6F3E" w:rsidRPr="0040658E">
            <w:pPr>
              <w:adjustRightInd w:val="0"/>
              <w:spacing w:before="29" w:line="360" w:lineRule="auto"/>
              <w:ind w:left="17"/>
              <w:jc w:val="left"/>
              <w:rPr>
                <w:color w:val="000000"/>
                <w:kern w:val="0"/>
                <w:sz w:val="24"/>
              </w:rPr>
            </w:pPr>
            <w:r w:rsidRPr="0040658E">
              <w:rPr>
                <w:kern w:val="0"/>
                <w:sz w:val="24"/>
              </w:rPr>
              <w:t>英文名称</w:t>
            </w:r>
            <w:r>
              <w:rPr>
                <w:rFonts w:hint="eastAsia"/>
                <w:color w:val="000000"/>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State Street Bank and Trust Company</w:t>
            </w:r>
          </w:p>
        </w:tc>
      </w:tr>
      <w:tr w:rsidR="000C6F3E" w:rsidRPr="00820253" w:rsidTr="00780E33">
        <w:tc>
          <w:tcPr>
            <w:tcW w:type="dxa" w:w="2977"/>
            <w:vMerge/>
            <w:vAlign w:val="center"/>
          </w:tcPr>
          <w:p w:rsidP="00CA3C4F" w:rsidR="000C6F3E" w:rsidRDefault="000C6F3E" w:rsidRPr="0040658E">
            <w:pPr>
              <w:adjustRightInd w:val="0"/>
              <w:spacing w:before="29" w:line="360" w:lineRule="auto"/>
              <w:ind w:left="17"/>
              <w:jc w:val="left"/>
              <w:rPr>
                <w:kern w:val="0"/>
                <w:sz w:val="24"/>
              </w:rPr>
            </w:pPr>
          </w:p>
        </w:tc>
        <w:tc>
          <w:tcPr>
            <w:tcW w:type="dxa" w:w="5387"/>
            <w:gridSpan w:val="2"/>
            <w:vAlign w:val="center"/>
          </w:tcPr>
          <w:p w:rsidP="000C6F3E" w:rsidR="000C6F3E" w:rsidRDefault="000C6F3E" w:rsidRPr="0040658E">
            <w:pPr>
              <w:adjustRightInd w:val="0"/>
              <w:spacing w:before="29" w:line="360" w:lineRule="auto"/>
              <w:ind w:left="17"/>
              <w:jc w:val="left"/>
              <w:rPr>
                <w:color w:val="000000"/>
                <w:kern w:val="0"/>
                <w:sz w:val="24"/>
              </w:rPr>
            </w:pPr>
            <w:r w:rsidRPr="0040658E">
              <w:rPr>
                <w:kern w:val="0"/>
                <w:sz w:val="24"/>
              </w:rPr>
              <w:t>中文名称</w:t>
            </w:r>
            <w:r>
              <w:rPr>
                <w:rFonts w:hint="eastAsia"/>
                <w:kern w:val="0"/>
                <w:sz w:val="24"/>
              </w:rPr>
              <w:t>：</w:t>
            </w:r>
            <w:r w:rsidRPr="0040658E">
              <w:rPr>
                <w:color w:val="000000"/>
                <w:kern w:val="0"/>
                <w:sz w:val="24"/>
              </w:rPr>
              <w:t xml:space="preserve"> </w:t>
            </w:r>
            <w:proofErr w:type="spellStart"/>
            <w:r w:rsidRPr="0040658E">
              <w:rPr>
                <w:color w:val="000000"/>
                <w:kern w:val="0"/>
                <w:sz w:val="24"/>
              </w:rPr>
              <w:t/>
            </w:r>
            <w:proofErr w:type="spellEnd"/>
            <w:r w:rsidRPr="0040658E">
              <w:rPr>
                <w:color w:val="000000"/>
                <w:kern w:val="0"/>
                <w:sz w:val="24"/>
              </w:rPr>
              <w:t>道富银行</w:t>
            </w:r>
          </w:p>
        </w:tc>
      </w:tr>
    </w:tbl>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proofErr w:type="gramStart"/>
      <w:r w:rsidRPr="0040658E">
        <w:rPr>
          <w:color w:val="000000"/>
          <w:sz w:val="24"/>
        </w:rPr>
        <w:t/>
      </w:r>
      <w:proofErr w:type="spellEnd"/>
      <w:proofErr w:type="gramEnd"/>
      <w:r w:rsidRPr="0040658E">
        <w:rPr>
          <w:color w:val="000000"/>
          <w:sz w:val="24"/>
        </w:rPr>
        <w:t>注：易方达标普500指数（QDII-LOF）含人民币份额（份额代码：161125）及美元现汇份额（份额代码：003718），交易代码仅列示人民币份额代码。</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3  </w:t>
      </w:r>
      <w:r w:rsidRPr="00820253">
        <w:rPr>
          <w:rFonts w:ascii="宋体" w:cs="Arial" w:hAnsi="宋体" w:hint="eastAsia"/>
          <w:color w:val="000000"/>
          <w:kern w:val="0"/>
          <w:sz w:val="24"/>
          <w:szCs w:val="24"/>
        </w:rPr>
        <w:t>主要财务指标和基金净值表现</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3.1 </w:t>
      </w:r>
      <w:r w:rsidRPr="00820253">
        <w:rPr>
          <w:rFonts w:ascii="宋体" w:cs="Arial" w:hAnsi="宋体" w:hint="eastAsia"/>
          <w:b/>
          <w:color w:val="000000"/>
          <w:kern w:val="0"/>
          <w:sz w:val="24"/>
        </w:rPr>
        <w:t>主要财务指标</w:t>
      </w:r>
    </w:p>
    <w:p w:rsidP="00B41C16" w:rsidR="00B41C16" w:rsidRDefault="00B41C16"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B41C16" w:rsidRPr="006506EF" w:rsidTr="00C3442A">
        <w:tc>
          <w:tcPr>
            <w:tcW w:type="dxa" w:w="3402"/>
            <w:vAlign w:val="center"/>
          </w:tcPr>
          <w:p w:rsidP="00C3442A" w:rsidR="00B41C16" w:rsidRDefault="00B41C16"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B41C16" w:rsidRDefault="00B41C16" w:rsidRPr="006506EF">
            <w:pPr>
              <w:adjustRightInd w:val="0"/>
              <w:spacing w:before="29" w:line="360" w:lineRule="auto"/>
              <w:ind w:left="17"/>
              <w:jc w:val="center"/>
              <w:rPr>
                <w:color w:val="000000"/>
                <w:sz w:val="24"/>
              </w:rPr>
            </w:pPr>
            <w:r w:rsidRPr="006506EF">
              <w:rPr>
                <w:color w:val="000000"/>
                <w:sz w:val="24"/>
              </w:rPr>
              <w:t>报告期</w:t>
            </w:r>
          </w:p>
          <w:p w:rsidP="00C3442A" w:rsidR="00B41C16" w:rsidRDefault="00B41C16"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B41C16" w:rsidRDefault="00B41C16"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9,560,564.24</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76,429,597.35</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0.2321</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r w:rsidRPr="006506EF">
              <w:rPr>
                <w:color w:val="000000"/>
                <w:sz w:val="24"/>
              </w:rPr>
              <w:lastRenderedPageBreak/>
              <w:t/>
            </w:r>
            <w:proofErr w:type="spellEnd"/>
            <w:r w:rsidRPr="006506EF">
              <w:rPr>
                <w:color w:val="000000"/>
                <w:sz w:val="24"/>
              </w:rPr>
              <w:t>388,872,592.19</w:t>
            </w:r>
          </w:p>
        </w:tc>
        <w:tc>
          <w:tcPr>
            <w:tcW w:type="dxa" w:w="2410"/>
            <w:hMerge/>
          </w:tcPr>
          <w:p w:rsidP="00C3442A" w:rsidR="00B41C16" w:rsidRDefault="00B41C16"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B41C16" w:rsidRPr="006506EF" w:rsidTr="00C3442A">
        <w:trPr>
          <w:trHeight w:val="158"/>
        </w:trPr>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lastRenderedPageBreak/>
              <w:t>5.</w:t>
            </w:r>
            <w:r w:rsidRPr="006506EF">
              <w:rPr>
                <w:kern w:val="0"/>
                <w:sz w:val="24"/>
              </w:rPr>
              <w:t>期末基金份额净值</w:t>
            </w:r>
          </w:p>
        </w:tc>
        <w:tc>
          <w:tcPr>
            <w:tcW w:type="dxa" w:w="4962"/>
            <w:hMerge w:val="restart"/>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1.3808</w:t>
            </w:r>
          </w:p>
        </w:tc>
        <w:tc>
          <w:tcPr>
            <w:tcW w:type="dxa" w:w="2410"/>
            <w:hMerge/>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8B041C" w:rsidR="00F13451" w:rsidRDefault="00B41C16" w:rsidRPr="008B041C">
      <w:pPr>
        <w:spacing w:line="360" w:lineRule="auto"/>
        <w:ind w:firstLine="480" w:firstLineChars="200"/>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3.2 </w:t>
      </w:r>
      <w:r w:rsidRPr="00820253">
        <w:rPr>
          <w:rFonts w:ascii="宋体" w:cs="Arial" w:hAnsi="宋体" w:hint="eastAsia"/>
          <w:b/>
          <w:color w:val="000000"/>
          <w:kern w:val="0"/>
          <w:sz w:val="24"/>
        </w:rPr>
        <w:t>基金净值表现</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820253">
          <w:rPr>
            <w:rFonts w:ascii="宋体" w:cs="Arial" w:hAnsi="宋体"/>
            <w:b/>
            <w:color w:val="000000"/>
            <w:kern w:val="0"/>
            <w:sz w:val="24"/>
          </w:rPr>
          <w:t>3.2.1</w:t>
        </w:r>
      </w:smartTag>
      <w:r w:rsidRPr="00820253">
        <w:rPr>
          <w:rFonts w:ascii="宋体" w:cs="Arial" w:hAnsi="宋体" w:hint="eastAsia"/>
          <w:b/>
          <w:color w:val="000000"/>
          <w:kern w:val="0"/>
          <w:sz w:val="24"/>
        </w:rPr>
        <w:t>本报告</w:t>
      </w:r>
      <w:proofErr w:type="gramStart"/>
      <w:r w:rsidRPr="00820253">
        <w:rPr>
          <w:rFonts w:ascii="宋体" w:cs="Arial" w:hAnsi="宋体" w:hint="eastAsia"/>
          <w:b/>
          <w:color w:val="000000"/>
          <w:kern w:val="0"/>
          <w:sz w:val="24"/>
        </w:rPr>
        <w:t>期基金</w:t>
      </w:r>
      <w:proofErr w:type="gramEnd"/>
      <w:r w:rsidRPr="00820253">
        <w:rPr>
          <w:rFonts w:ascii="宋体" w:cs="Arial" w:hAnsi="宋体" w:hint="eastAsia"/>
          <w:b/>
          <w:color w:val="000000"/>
          <w:kern w:val="0"/>
          <w:sz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F13451" w:rsidRPr="00820253" w:rsidTr="00E35496">
        <w:tc>
          <w:tcPr>
            <w:tcW w:type="dxa" w:w="1395"/>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阶段</w:t>
            </w:r>
            <w:r w:rsidRPr="00431EE1">
              <w:rPr>
                <w:color w:val="000000"/>
                <w:sz w:val="24"/>
              </w:rPr>
              <w:t/>
            </w:r>
            <w:proofErr w:type="spellStart"/>
            <w:r w:rsidRPr="00431EE1">
              <w:rPr>
                <w:color w:val="000000"/>
                <w:sz w:val="24"/>
              </w:rPr>
              <w:t/>
            </w:r>
            <w:proofErr w:type="spellEnd"/>
            <w:r w:rsidRPr="00431EE1">
              <w:rPr>
                <w:color w:val="000000"/>
                <w:sz w:val="24"/>
              </w:rPr>
              <w:t/>
            </w:r>
          </w:p>
        </w:tc>
        <w:tc>
          <w:tcPr>
            <w:tcW w:type="dxa" w:w="1092"/>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净值增长率</w:t>
            </w:r>
            <w:r w:rsidRPr="00431EE1">
              <w:rPr>
                <w:rFonts w:ascii="宋体" w:cs="宋体" w:hAnsi="宋体" w:hint="eastAsia"/>
                <w:color w:val="000000"/>
                <w:sz w:val="24"/>
              </w:rPr>
              <w:t>①</w:t>
            </w:r>
          </w:p>
        </w:tc>
        <w:tc>
          <w:tcPr>
            <w:tcW w:type="dxa" w:w="1161"/>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净值增长率标准差</w:t>
            </w:r>
            <w:r w:rsidRPr="00431EE1">
              <w:rPr>
                <w:rFonts w:ascii="宋体" w:cs="宋体" w:hAnsi="宋体" w:hint="eastAsia"/>
                <w:color w:val="000000"/>
                <w:sz w:val="24"/>
              </w:rPr>
              <w:t>②</w:t>
            </w:r>
          </w:p>
        </w:tc>
        <w:tc>
          <w:tcPr>
            <w:tcW w:type="dxa" w:w="1181"/>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业绩比较基准收益率</w:t>
            </w:r>
            <w:r w:rsidRPr="00431EE1">
              <w:rPr>
                <w:rFonts w:ascii="宋体" w:cs="宋体" w:hAnsi="宋体" w:hint="eastAsia"/>
                <w:color w:val="000000"/>
                <w:sz w:val="24"/>
              </w:rPr>
              <w:t>③</w:t>
            </w:r>
          </w:p>
        </w:tc>
        <w:tc>
          <w:tcPr>
            <w:tcW w:type="dxa" w:w="1188"/>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业绩比较基准收益率标准差</w:t>
            </w:r>
            <w:r w:rsidRPr="00431EE1">
              <w:rPr>
                <w:rFonts w:ascii="宋体" w:cs="宋体" w:hAnsi="宋体" w:hint="eastAsia"/>
                <w:color w:val="000000"/>
                <w:sz w:val="24"/>
              </w:rPr>
              <w:t>④</w:t>
            </w:r>
          </w:p>
        </w:tc>
        <w:tc>
          <w:tcPr>
            <w:tcW w:type="dxa" w:w="1199"/>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rFonts w:ascii="宋体" w:cs="宋体" w:hAnsi="宋体" w:hint="eastAsia"/>
                <w:color w:val="000000"/>
                <w:sz w:val="24"/>
              </w:rPr>
              <w:t>①</w:t>
            </w:r>
            <w:r w:rsidRPr="00431EE1">
              <w:rPr>
                <w:color w:val="000000"/>
                <w:sz w:val="24"/>
              </w:rPr>
              <w:t>-</w:t>
            </w:r>
            <w:r w:rsidRPr="00431EE1">
              <w:rPr>
                <w:rFonts w:ascii="宋体" w:cs="宋体" w:hAnsi="宋体" w:hint="eastAsia"/>
                <w:color w:val="000000"/>
                <w:sz w:val="24"/>
              </w:rPr>
              <w:t>③</w:t>
            </w:r>
          </w:p>
        </w:tc>
        <w:tc>
          <w:tcPr>
            <w:tcW w:type="dxa" w:w="1204"/>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rFonts w:ascii="宋体" w:cs="宋体" w:hAnsi="宋体" w:hint="eastAsia"/>
                <w:color w:val="000000"/>
                <w:sz w:val="24"/>
              </w:rPr>
              <w:t>②</w:t>
            </w:r>
            <w:r w:rsidRPr="00431EE1">
              <w:rPr>
                <w:color w:val="000000"/>
                <w:sz w:val="24"/>
              </w:rPr>
              <w:t>-</w:t>
            </w:r>
            <w:r w:rsidRPr="00431EE1">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19.12%</w:t>
            </w:r>
          </w:p>
        </w:tc>
        <w:tc>
          <w:tcPr>
            <w:vAlign w:val="center"/>
          </w:tcPr>
          <w:p>
            <w:pPr>
              <w:jc w:val="center"/>
            </w:pPr>
            <w:r>
              <w:rPr>
                <w:color w:val="000000"/>
                <w:sz w:val="24"/>
              </w:rPr>
              <w:t>1.92%</w:t>
            </w:r>
          </w:p>
        </w:tc>
        <w:tc>
          <w:tcPr>
            <w:vAlign w:val="center"/>
          </w:tcPr>
          <w:p>
            <w:pPr>
              <w:jc w:val="center"/>
            </w:pPr>
            <w:r>
              <w:rPr>
                <w:color w:val="000000"/>
                <w:sz w:val="24"/>
              </w:rPr>
              <w:t>18.85%</w:t>
            </w:r>
          </w:p>
        </w:tc>
        <w:tc>
          <w:tcPr>
            <w:vAlign w:val="center"/>
          </w:tcPr>
          <w:p>
            <w:pPr>
              <w:jc w:val="center"/>
            </w:pPr>
            <w:r>
              <w:rPr>
                <w:color w:val="000000"/>
                <w:sz w:val="24"/>
              </w:rPr>
              <w:t>1.90%</w:t>
            </w:r>
          </w:p>
        </w:tc>
        <w:tc>
          <w:tcPr>
            <w:vAlign w:val="center"/>
          </w:tcPr>
          <w:p>
            <w:pPr>
              <w:jc w:val="center"/>
            </w:pPr>
            <w:r>
              <w:rPr>
                <w:color w:val="000000"/>
                <w:sz w:val="24"/>
              </w:rPr>
              <w:t>0.27%</w:t>
            </w:r>
          </w:p>
        </w:tc>
        <w:tc>
          <w:tcPr>
            <w:vAlign w:val="center"/>
          </w:tcPr>
          <w:p>
            <w:pPr>
              <w:jc w:val="center"/>
            </w:pPr>
            <w:r>
              <w:rPr>
                <w:color w:val="000000"/>
                <w:sz w:val="24"/>
              </w:rPr>
              <w:t>0.02%</w:t>
            </w:r>
          </w:p>
        </w:tc>
      </w:tr>
      <w:tr>
        <w:tc>
          <w:tcPr>
            <w:vAlign w:val="center"/>
          </w:tcPr>
          <w:p>
            <w:pPr>
              <w:jc w:val="left"/>
            </w:pPr>
            <w:r>
              <w:rPr>
                <w:color w:val="000000"/>
                <w:sz w:val="24"/>
              </w:rPr>
              <w:t>过去六个月</w:t>
            </w:r>
          </w:p>
        </w:tc>
        <w:tc>
          <w:tcPr>
            <w:vAlign w:val="center"/>
          </w:tcPr>
          <w:p>
            <w:pPr>
              <w:jc w:val="center"/>
            </w:pPr>
            <w:r>
              <w:rPr>
                <w:color w:val="000000"/>
                <w:sz w:val="24"/>
              </w:rPr>
              <w:t>-3.41%</w:t>
            </w:r>
          </w:p>
        </w:tc>
        <w:tc>
          <w:tcPr>
            <w:vAlign w:val="center"/>
          </w:tcPr>
          <w:p>
            <w:pPr>
              <w:jc w:val="center"/>
            </w:pPr>
            <w:r>
              <w:rPr>
                <w:color w:val="000000"/>
                <w:sz w:val="24"/>
              </w:rPr>
              <w:t>2.94%</w:t>
            </w:r>
          </w:p>
        </w:tc>
        <w:tc>
          <w:tcPr>
            <w:vAlign w:val="center"/>
          </w:tcPr>
          <w:p>
            <w:pPr>
              <w:jc w:val="center"/>
            </w:pPr>
            <w:r>
              <w:rPr>
                <w:color w:val="000000"/>
                <w:sz w:val="24"/>
              </w:rPr>
              <w:t>-2.24%</w:t>
            </w:r>
          </w:p>
        </w:tc>
        <w:tc>
          <w:tcPr>
            <w:vAlign w:val="center"/>
          </w:tcPr>
          <w:p>
            <w:pPr>
              <w:jc w:val="center"/>
            </w:pPr>
            <w:r>
              <w:rPr>
                <w:color w:val="000000"/>
                <w:sz w:val="24"/>
              </w:rPr>
              <w:t>2.84%</w:t>
            </w:r>
          </w:p>
        </w:tc>
        <w:tc>
          <w:tcPr>
            <w:vAlign w:val="center"/>
          </w:tcPr>
          <w:p>
            <w:pPr>
              <w:jc w:val="center"/>
            </w:pPr>
            <w:r>
              <w:rPr>
                <w:color w:val="000000"/>
                <w:sz w:val="24"/>
              </w:rPr>
              <w:t>-1.17%</w:t>
            </w:r>
          </w:p>
        </w:tc>
        <w:tc>
          <w:tcPr>
            <w:vAlign w:val="center"/>
          </w:tcPr>
          <w:p>
            <w:pPr>
              <w:jc w:val="center"/>
            </w:pPr>
            <w:r>
              <w:rPr>
                <w:color w:val="000000"/>
                <w:sz w:val="24"/>
              </w:rPr>
              <w:t>0.10%</w:t>
            </w:r>
          </w:p>
        </w:tc>
      </w:tr>
      <w:tr>
        <w:tc>
          <w:tcPr>
            <w:vAlign w:val="center"/>
          </w:tcPr>
          <w:p>
            <w:pPr>
              <w:jc w:val="left"/>
            </w:pPr>
            <w:r>
              <w:rPr>
                <w:color w:val="000000"/>
                <w:sz w:val="24"/>
              </w:rPr>
              <w:t>过去一年</w:t>
            </w:r>
          </w:p>
        </w:tc>
        <w:tc>
          <w:tcPr>
            <w:vAlign w:val="center"/>
          </w:tcPr>
          <w:p>
            <w:pPr>
              <w:jc w:val="center"/>
            </w:pPr>
            <w:r>
              <w:rPr>
                <w:color w:val="000000"/>
                <w:sz w:val="24"/>
              </w:rPr>
              <w:t>7.28%</w:t>
            </w:r>
          </w:p>
        </w:tc>
        <w:tc>
          <w:tcPr>
            <w:vAlign w:val="center"/>
          </w:tcPr>
          <w:p>
            <w:pPr>
              <w:jc w:val="center"/>
            </w:pPr>
            <w:r>
              <w:rPr>
                <w:color w:val="000000"/>
                <w:sz w:val="24"/>
              </w:rPr>
              <w:t>2.12%</w:t>
            </w:r>
          </w:p>
        </w:tc>
        <w:tc>
          <w:tcPr>
            <w:vAlign w:val="center"/>
          </w:tcPr>
          <w:p>
            <w:pPr>
              <w:jc w:val="center"/>
            </w:pPr>
            <w:r>
              <w:rPr>
                <w:color w:val="000000"/>
                <w:sz w:val="24"/>
              </w:rPr>
              <w:t>8.40%</w:t>
            </w:r>
          </w:p>
        </w:tc>
        <w:tc>
          <w:tcPr>
            <w:vAlign w:val="center"/>
          </w:tcPr>
          <w:p>
            <w:pPr>
              <w:jc w:val="center"/>
            </w:pPr>
            <w:r>
              <w:rPr>
                <w:color w:val="000000"/>
                <w:sz w:val="24"/>
              </w:rPr>
              <w:t>2.04%</w:t>
            </w:r>
          </w:p>
        </w:tc>
        <w:tc>
          <w:tcPr>
            <w:vAlign w:val="center"/>
          </w:tcPr>
          <w:p>
            <w:pPr>
              <w:jc w:val="center"/>
            </w:pPr>
            <w:r>
              <w:rPr>
                <w:color w:val="000000"/>
                <w:sz w:val="24"/>
              </w:rPr>
              <w:t>-1.12%</w:t>
            </w:r>
          </w:p>
        </w:tc>
        <w:tc>
          <w:tcPr>
            <w:vAlign w:val="center"/>
          </w:tcPr>
          <w:p>
            <w:pPr>
              <w:jc w:val="center"/>
            </w:pPr>
            <w:r>
              <w:rPr>
                <w:color w:val="000000"/>
                <w:sz w:val="24"/>
              </w:rPr>
              <w:t>0.08%</w:t>
            </w:r>
          </w:p>
        </w:tc>
      </w:tr>
      <w:tr>
        <w:tc>
          <w:tcPr>
            <w:vAlign w:val="center"/>
          </w:tcPr>
          <w:p>
            <w:pPr>
              <w:jc w:val="left"/>
            </w:pPr>
            <w:r>
              <w:rPr>
                <w:color w:val="000000"/>
                <w:sz w:val="24"/>
              </w:rPr>
              <w:t>过去三年</w:t>
            </w:r>
          </w:p>
        </w:tc>
        <w:tc>
          <w:tcPr>
            <w:vAlign w:val="center"/>
          </w:tcPr>
          <w:p>
            <w:pPr>
              <w:jc w:val="center"/>
            </w:pPr>
            <w:r>
              <w:rPr>
                <w:color w:val="000000"/>
                <w:sz w:val="24"/>
              </w:rPr>
              <w:t>33.08%</w:t>
            </w:r>
          </w:p>
        </w:tc>
        <w:tc>
          <w:tcPr>
            <w:vAlign w:val="center"/>
          </w:tcPr>
          <w:p>
            <w:pPr>
              <w:jc w:val="center"/>
            </w:pPr>
            <w:r>
              <w:rPr>
                <w:color w:val="000000"/>
                <w:sz w:val="24"/>
              </w:rPr>
              <w:t>1.42%</w:t>
            </w:r>
          </w:p>
        </w:tc>
        <w:tc>
          <w:tcPr>
            <w:vAlign w:val="center"/>
          </w:tcPr>
          <w:p>
            <w:pPr>
              <w:jc w:val="center"/>
            </w:pPr>
            <w:r>
              <w:rPr>
                <w:color w:val="000000"/>
                <w:sz w:val="24"/>
              </w:rPr>
              <w:t>32.32%</w:t>
            </w:r>
          </w:p>
        </w:tc>
        <w:tc>
          <w:tcPr>
            <w:vAlign w:val="center"/>
          </w:tcPr>
          <w:p>
            <w:pPr>
              <w:jc w:val="center"/>
            </w:pPr>
            <w:r>
              <w:rPr>
                <w:color w:val="000000"/>
                <w:sz w:val="24"/>
              </w:rPr>
              <w:t>1.38%</w:t>
            </w:r>
          </w:p>
        </w:tc>
        <w:tc>
          <w:tcPr>
            <w:vAlign w:val="center"/>
          </w:tcPr>
          <w:p>
            <w:pPr>
              <w:jc w:val="center"/>
            </w:pPr>
            <w:r>
              <w:rPr>
                <w:color w:val="000000"/>
                <w:sz w:val="24"/>
              </w:rPr>
              <w:t>0.76%</w:t>
            </w:r>
          </w:p>
        </w:tc>
        <w:tc>
          <w:tcPr>
            <w:vAlign w:val="center"/>
          </w:tcPr>
          <w:p>
            <w:pPr>
              <w:jc w:val="center"/>
            </w:pPr>
            <w:r>
              <w:rPr>
                <w:color w:val="000000"/>
                <w:sz w:val="24"/>
              </w:rPr>
              <w:t>0.04%</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38.08%</w:t>
            </w:r>
          </w:p>
        </w:tc>
        <w:tc>
          <w:tcPr>
            <w:vAlign w:val="center"/>
          </w:tcPr>
          <w:p>
            <w:pPr>
              <w:jc w:val="center"/>
            </w:pPr>
            <w:r>
              <w:rPr>
                <w:color w:val="000000"/>
                <w:sz w:val="24"/>
              </w:rPr>
              <w:t>1.32%</w:t>
            </w:r>
          </w:p>
        </w:tc>
        <w:tc>
          <w:tcPr>
            <w:vAlign w:val="center"/>
          </w:tcPr>
          <w:p>
            <w:pPr>
              <w:jc w:val="center"/>
            </w:pPr>
            <w:r>
              <w:rPr>
                <w:color w:val="000000"/>
                <w:sz w:val="24"/>
              </w:rPr>
              <w:t>43.21%</w:t>
            </w:r>
          </w:p>
        </w:tc>
        <w:tc>
          <w:tcPr>
            <w:vAlign w:val="center"/>
          </w:tcPr>
          <w:p>
            <w:pPr>
              <w:jc w:val="center"/>
            </w:pPr>
            <w:r>
              <w:rPr>
                <w:color w:val="000000"/>
                <w:sz w:val="24"/>
              </w:rPr>
              <w:t>1.28%</w:t>
            </w:r>
          </w:p>
        </w:tc>
        <w:tc>
          <w:tcPr>
            <w:vAlign w:val="center"/>
          </w:tcPr>
          <w:p>
            <w:pPr>
              <w:jc w:val="center"/>
            </w:pPr>
            <w:r>
              <w:rPr>
                <w:color w:val="000000"/>
                <w:sz w:val="24"/>
              </w:rPr>
              <w:t>-5.13%</w:t>
            </w:r>
          </w:p>
        </w:tc>
        <w:tc>
          <w:tcPr>
            <w:vAlign w:val="center"/>
          </w:tcPr>
          <w:p>
            <w:pPr>
              <w:jc w:val="center"/>
            </w:pPr>
            <w:r>
              <w:rPr>
                <w:color w:val="000000"/>
                <w:sz w:val="24"/>
              </w:rPr>
              <w:t>0.04%</w:t>
            </w:r>
          </w:p>
        </w:tc>
      </w:tr>
    </w:tbl>
    <w:p w:rsidP="0029671E" w:rsidR="00F13451" w:rsidRDefault="00F13451" w:rsidRPr="00820253">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820253">
          <w:rPr>
            <w:rFonts w:ascii="宋体" w:cs="Arial" w:hAnsi="宋体"/>
            <w:b/>
            <w:color w:val="000000"/>
            <w:kern w:val="0"/>
            <w:sz w:val="24"/>
          </w:rPr>
          <w:t>3.2.2</w:t>
        </w:r>
        <w:r w:rsidRPr="00820253">
          <w:rPr>
            <w:rFonts w:ascii="宋体" w:cs="Arial" w:hAnsi="宋体" w:hint="eastAsia"/>
            <w:b/>
            <w:color w:val="000000"/>
            <w:kern w:val="0"/>
            <w:sz w:val="24"/>
          </w:rPr>
          <w:t xml:space="preserve">　</w:t>
        </w:r>
        <w:r w:rsidR="001A4814" w:rsidRPr="00370BEA">
          <w:rPr>
            <w:rStyle w:val="af8"/>
            <w:rFonts w:hint="eastAsia"/>
            <w:color w:val="000000"/>
            <w:sz w:val="24"/>
            <w:shd w:color="auto" w:fill="FFFFFF" w:val="clear"/>
          </w:rPr>
          <w:t/>
        </w:r>
        <w:proofErr w:type="spellStart"/>
        <w:r w:rsidR="001A4814" w:rsidRPr="00370BEA">
          <w:rPr>
            <w:rStyle w:val="af8"/>
            <w:rFonts w:hint="eastAsia"/>
            <w:color w:val="000000"/>
            <w:sz w:val="24"/>
            <w:shd w:color="auto" w:fill="FFFFFF" w:val="clear"/>
          </w:rPr>
          <w:t/>
        </w:r>
        <w:proofErr w:type="spellEnd"/>
        <w:r w:rsidR="001A4814" w:rsidRPr="00370BEA">
          <w:rPr>
            <w:rStyle w:val="af8"/>
            <w:rFonts w:hint="eastAsia"/>
            <w:color w:val="000000"/>
            <w:sz w:val="24"/>
            <w:shd w:color="auto" w:fill="FFFFFF" w:val="clear"/>
          </w:rPr>
          <w:t>自基金合同生效以来</w:t>
        </w:r>
      </w:smartTag>
      <w:r w:rsidRPr="00820253">
        <w:rPr>
          <w:rFonts w:ascii="宋体" w:cs="Arial" w:hAnsi="宋体" w:hint="eastAsia"/>
          <w:b/>
          <w:color w:val="000000"/>
          <w:kern w:val="0"/>
          <w:sz w:val="24"/>
        </w:rPr>
        <w:t>基金累计</w:t>
      </w:r>
      <w:r w:rsidR="00CD5FBA" w:rsidRPr="00CD5FBA">
        <w:rPr>
          <w:rFonts w:ascii="宋体" w:cs="Arial" w:hAnsi="宋体" w:hint="eastAsia"/>
          <w:b/>
          <w:color w:val="000000"/>
          <w:kern w:val="0"/>
          <w:sz w:val="24"/>
        </w:rPr>
        <w:t>份额</w:t>
      </w:r>
      <w:r w:rsidRPr="00820253">
        <w:rPr>
          <w:rFonts w:ascii="宋体" w:cs="Arial" w:hAnsi="宋体" w:hint="eastAsia"/>
          <w:b/>
          <w:color w:val="000000"/>
          <w:kern w:val="0"/>
          <w:sz w:val="24"/>
        </w:rPr>
        <w:t>净值增长率变动及其与同期业绩比较基准收益率变动的比较</w:t>
      </w:r>
    </w:p>
    <w:p w:rsidP="0029671E" w:rsidR="00F13451" w:rsidRDefault="00F13451" w:rsidRPr="00431EE1">
      <w:pPr>
        <w:spacing w:line="360" w:lineRule="auto"/>
        <w:jc w:val="center"/>
        <w:rPr>
          <w:sz w:val="24"/>
        </w:rPr>
      </w:pPr>
      <w:r w:rsidRPr="00431EE1">
        <w:rPr>
          <w:sz w:val="24"/>
        </w:rPr>
        <w:t/>
      </w:r>
      <w:proofErr w:type="spellStart"/>
      <w:r w:rsidRPr="00431EE1">
        <w:rPr>
          <w:sz w:val="24"/>
        </w:rPr>
        <w:t/>
      </w:r>
      <w:proofErr w:type="spellEnd"/>
      <w:r w:rsidRPr="00431EE1">
        <w:rPr>
          <w:sz w:val="24"/>
        </w:rPr>
        <w:t>易方达标普500指数证券投资基金（LOF）</w:t>
      </w:r>
    </w:p>
    <w:p w:rsidP="0029671E" w:rsidR="00F13451" w:rsidRDefault="00F13451" w:rsidRPr="00431EE1">
      <w:pPr>
        <w:pStyle w:val="a5"/>
        <w:snapToGrid w:val="0"/>
        <w:spacing w:line="360" w:lineRule="auto"/>
        <w:jc w:val="center"/>
        <w:rPr>
          <w:rFonts w:ascii="Times New Roman" w:hAnsi="Times New Roman"/>
          <w:sz w:val="24"/>
          <w:szCs w:val="24"/>
        </w:rPr>
      </w:pPr>
      <w:r w:rsidRPr="00431EE1">
        <w:rPr>
          <w:rFonts w:ascii="Times New Roman" w:hAnsi="Times New Roman"/>
          <w:sz w:val="24"/>
          <w:szCs w:val="24"/>
        </w:rPr>
        <w:t>累计净值增长率与业绩比较基准收益率的历史走势对比图</w:t>
      </w:r>
    </w:p>
    <w:p w:rsidP="0029671E" w:rsidR="00F13451" w:rsidRDefault="00F13451" w:rsidRPr="00431EE1">
      <w:pPr>
        <w:spacing w:line="360" w:lineRule="auto"/>
        <w:jc w:val="center"/>
        <w:rPr>
          <w:sz w:val="24"/>
        </w:rPr>
      </w:pPr>
      <w:r w:rsidRPr="00431EE1">
        <w:rPr>
          <w:color w:val="000000"/>
          <w:kern w:val="0"/>
          <w:sz w:val="24"/>
        </w:rPr>
        <w:t xml:space="preserve"> (</w:t>
      </w:r>
      <w:proofErr w:type="spellStart"/>
      <w:r w:rsidRPr="00431EE1">
        <w:rPr>
          <w:color w:val="000000"/>
          <w:kern w:val="0"/>
          <w:sz w:val="24"/>
        </w:rPr>
        <w:t/>
      </w:r>
      <w:proofErr w:type="spellEnd"/>
      <w:r w:rsidRPr="00431EE1">
        <w:rPr>
          <w:color w:val="000000"/>
          <w:kern w:val="0"/>
          <w:sz w:val="24"/>
        </w:rPr>
        <w:t>2016年12月2日</w:t>
      </w:r>
      <w:r w:rsidRPr="00431EE1">
        <w:rPr>
          <w:color w:val="000000"/>
          <w:kern w:val="0"/>
          <w:sz w:val="24"/>
        </w:rPr>
        <w:t>至</w:t>
      </w:r>
      <w:r w:rsidRPr="00431EE1">
        <w:rPr>
          <w:color w:val="000000"/>
          <w:kern w:val="0"/>
          <w:sz w:val="24"/>
        </w:rPr>
        <w:t/>
      </w:r>
      <w:proofErr w:type="spellStart"/>
      <w:r w:rsidRPr="00431EE1">
        <w:rPr>
          <w:color w:val="000000"/>
          <w:kern w:val="0"/>
          <w:sz w:val="24"/>
        </w:rPr>
        <w:t/>
      </w:r>
      <w:proofErr w:type="spellEnd"/>
      <w:r w:rsidRPr="00431EE1">
        <w:rPr>
          <w:color w:val="000000"/>
          <w:kern w:val="0"/>
          <w:sz w:val="24"/>
        </w:rPr>
        <w:t>2020年6月30日)</w:t>
      </w:r>
    </w:p>
    <w:p w:rsidP="00A726E0" w:rsidR="00F13451" w:rsidRDefault="00320493" w:rsidRPr="00820253">
      <w:pPr>
        <w:tabs>
          <w:tab w:pos="180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11.4pt;height:241.5pt;visibility:visible" type="#_x0000_t75">
            <v:imagedata o:title="" r:id="rId10"/>
          </v:shape>
        </w:pict>
      </w:r>
    </w:p>
    <w:p>
      <w:pPr>
        <w:spacing w:line="360" w:lineRule="auto"/>
        <w:ind w:firstLine="480" w:firstLineChars="200"/>
        <w:rPr>
          <w:color w:val="000000"/>
          <w:sz w:val="24"/>
        </w:rPr>
      </w:pPr>
      <w:r>
        <w:rPr>
          <w:color w:val="000000"/>
          <w:sz w:val="24"/>
        </w:rPr>
        <w:t>注：1.本基金的业绩比较基准已经转换为以人民币计价。</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2.自基金合同生效至报告期末，基金份额净值增长率为38.08% ，同期业绩比较基准收益率为43.21%。</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4  </w:t>
      </w:r>
      <w:r w:rsidRPr="00820253">
        <w:rPr>
          <w:rFonts w:ascii="宋体" w:cs="Arial" w:hAnsi="宋体" w:hint="eastAsia"/>
          <w:color w:val="000000"/>
          <w:kern w:val="0"/>
          <w:sz w:val="24"/>
          <w:szCs w:val="24"/>
        </w:rPr>
        <w:t>管理人报告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w:t>
      </w:r>
      <w:r>
        <w:rPr>
          <w:rFonts w:ascii="宋体" w:cs="Arial"/>
          <w:b/>
          <w:color w:val="000000"/>
          <w:kern w:val="0"/>
          <w:sz w:val="24"/>
        </w:rPr>
        <w:t/>
      </w:r>
      <w:r>
        <w:rPr>
          <w:rFonts w:ascii="宋体" w:cs="Arial" w:hAnsi="宋体"/>
          <w:b/>
          <w:color w:val="000000"/>
          <w:kern w:val="0"/>
          <w:sz w:val="24"/>
        </w:rPr>
        <w:t>1</w:t>
      </w:r>
      <w:r w:rsidRPr="00820253">
        <w:rPr>
          <w:rFonts w:ascii="宋体" w:cs="Arial" w:hAnsi="宋体" w:hint="eastAsia"/>
          <w:b/>
          <w:color w:val="000000"/>
          <w:kern w:val="0"/>
          <w:sz w:val="24"/>
        </w:rPr>
        <w:t>基金经理（或基金经理小组）简介</w:t>
      </w:r>
    </w:p>
    <w:tbl>
      <w:tblPr>
        <w:tblW w:type="dxa" w:w="8931"/>
        <w:jc w:val="center"/>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F13451" w:rsidRPr="00820253" w:rsidTr="00C2237F">
        <w:trPr>
          <w:cantSplit/>
          <w:trHeight w:val="292"/>
          <w:jc w:val="center"/>
        </w:trPr>
        <w:tc>
          <w:tcPr>
            <w:tcW w:type="dxa" w:w="851"/>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姓名</w:t>
            </w:r>
          </w:p>
        </w:tc>
        <w:tc>
          <w:tcPr>
            <w:tcW w:type="dxa" w:w="3260"/>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职务</w:t>
            </w:r>
          </w:p>
        </w:tc>
        <w:tc>
          <w:tcPr>
            <w:tcW w:type="dxa" w:w="2552"/>
            <w:gridSpan w:val="2"/>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任本基金的基金经理期限</w:t>
            </w:r>
          </w:p>
        </w:tc>
        <w:tc>
          <w:tcPr>
            <w:tcW w:type="dxa" w:w="850"/>
            <w:vMerge w:val="restart"/>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证券从业年限</w:t>
            </w:r>
          </w:p>
        </w:tc>
        <w:tc>
          <w:tcPr>
            <w:tcW w:type="dxa" w:w="1418"/>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说明</w:t>
            </w:r>
          </w:p>
        </w:tc>
      </w:tr>
      <w:tr w:rsidR="00F13451" w:rsidRPr="00820253" w:rsidTr="00C2237F">
        <w:trPr>
          <w:cantSplit/>
          <w:jc w:val="center"/>
        </w:trPr>
        <w:tc>
          <w:tcPr>
            <w:tcW w:type="dxa" w:w="851"/>
            <w:vMerge/>
            <w:vAlign w:val="center"/>
          </w:tcPr>
          <w:p w:rsidP="00CA3C4F" w:rsidR="00F13451" w:rsidRDefault="00F13451" w:rsidRPr="00431EE1">
            <w:pPr>
              <w:widowControl/>
              <w:spacing w:line="360" w:lineRule="auto"/>
              <w:jc w:val="left"/>
              <w:rPr>
                <w:color w:val="000000"/>
                <w:kern w:val="0"/>
                <w:sz w:val="24"/>
              </w:rPr>
            </w:pPr>
          </w:p>
        </w:tc>
        <w:tc>
          <w:tcPr>
            <w:tcW w:type="dxa" w:w="3260"/>
            <w:vMerge/>
            <w:vAlign w:val="center"/>
          </w:tcPr>
          <w:p w:rsidP="00CA3C4F" w:rsidR="00F13451" w:rsidRDefault="00F13451" w:rsidRPr="00431EE1">
            <w:pPr>
              <w:widowControl/>
              <w:spacing w:line="360" w:lineRule="auto"/>
              <w:jc w:val="left"/>
              <w:rPr>
                <w:color w:val="000000"/>
                <w:kern w:val="0"/>
                <w:sz w:val="24"/>
              </w:rPr>
            </w:pPr>
          </w:p>
        </w:tc>
        <w:tc>
          <w:tcPr>
            <w:tcW w:type="dxa" w:w="1276"/>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任职日期</w:t>
            </w:r>
          </w:p>
        </w:tc>
        <w:tc>
          <w:tcPr>
            <w:tcW w:type="dxa" w:w="1276"/>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离任日期</w:t>
            </w:r>
          </w:p>
        </w:tc>
        <w:tc>
          <w:tcPr>
            <w:tcW w:type="dxa" w:w="850"/>
            <w:vMerge/>
            <w:vAlign w:val="center"/>
          </w:tcPr>
          <w:p w:rsidP="00CA3C4F" w:rsidR="00F13451" w:rsidRDefault="00F13451" w:rsidRPr="00431EE1">
            <w:pPr>
              <w:widowControl/>
              <w:spacing w:line="360" w:lineRule="auto"/>
              <w:jc w:val="left"/>
              <w:rPr>
                <w:color w:val="000000"/>
                <w:kern w:val="0"/>
                <w:sz w:val="24"/>
              </w:rPr>
            </w:pPr>
          </w:p>
        </w:tc>
        <w:tc>
          <w:tcPr>
            <w:tcW w:type="dxa" w:w="1418"/>
            <w:vMerge/>
            <w:vAlign w:val="center"/>
          </w:tcPr>
          <w:p w:rsidP="00CA3C4F" w:rsidR="00F13451" w:rsidRDefault="00F13451" w:rsidRPr="00431EE1">
            <w:pPr>
              <w:widowControl/>
              <w:spacing w:line="360" w:lineRule="auto"/>
              <w:jc w:val="left"/>
              <w:rPr>
                <w:color w:val="000000"/>
                <w:kern w:val="0"/>
                <w:sz w:val="24"/>
              </w:rPr>
            </w:pP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黄金交易型开放式证券投资基金联接基金的基金经理、易方达标普生物科技指数证券投资基金（LOF）的基金经理、易方达标普医疗保健指数证券投资基金（LOF）的基金经理、易方达黄金交易型开放式证券投资基金的基金经理、易方达中证海外中国互联网50交易型开放式指数证券投资基金的基金经理、易方达原油证券投资基金（QDII）的基金经理、易方达标普信息科技指数证券投资基金（LOF）的基金经理、易方达纳斯达克100指数证券投资基金（LOF）的基金经理、易方达MSCI中国A股国际通交易型开放式指数证券投资基金的基金经理、易方达中证海外中国互联网50交易型开放式指数证券投资基金联接基金的基金经理、易方达MSCI中国A股国际通交易型开放式指数证券投资基金发起式联接基金的基金经理、易方达日兴资管日经225交易型开放式指数证券投资基金（QDII）的基金经理、易方达中证香港证券投资主题交易型开放式指数证券投资基金的基金经理</w:t>
            </w:r>
          </w:p>
        </w:tc>
        <w:tc>
          <w:tcPr>
            <w:vAlign w:val="center"/>
          </w:tcPr>
          <w:p>
            <w:pPr>
              <w:jc w:val="center"/>
            </w:pPr>
            <w:r>
              <w:rPr>
                <w:color w:val="000000"/>
                <w:sz w:val="24"/>
              </w:rPr>
              <w:t>2017-03-25</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创业板交易型开放式指数证券投资基金联接基金的基金经理、易方达银行指数分级证券投资基金的基金经理、易方达并购重组指数分级证券投资基金的基金经理、易方达生物科技指数分级证券投资基金的基金经理、易方达深证100交易型开放式指数证券投资基金联接基金的基金经理、易方达中小板指数证券投资基金（LOF）的基金经理、易方达创业板交易型开放式指数证券投资基金的基金经理、易方达深证100交易型开放式指数基金的基金经理、易方达标普信息科技指数证券投资基金（LOF）的基金经理（自2018年08月11日至2020年04月22日）、易方达标普生物科技指数证券投资基金（LOF）的基金经理（自2018年08月11日至2020年04月22日）、易方达上证中盘交易型开放式指数证券投资基金的基金经理、易方达标普医疗保健指数证券投资基金（LOF）的基金经理（自2018年08月11日至2020年04月22日）、易方达香港恒生综合小型股指数证券投资基金（LOF）的基金经理、易方达上证中盘交易型开放式指数证券投资基金联接基金的基金经理、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2018-08-11</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31EE1" w:rsidR="00F13451" w:rsidRDefault="00F13451" w:rsidRPr="00431EE1">
      <w:pPr>
        <w:spacing w:line="360" w:lineRule="auto"/>
        <w:ind w:firstLine="480" w:firstLineChars="200"/>
        <w:rPr>
          <w:color w:val="000000"/>
          <w:sz w:val="24"/>
        </w:rPr>
      </w:pPr>
      <w:r w:rsidRPr="0040658E">
        <w:rPr>
          <w:color w:val="000000"/>
          <w:sz w:val="24"/>
        </w:rPr>
        <w:t>2.证券从业的含义遵从《证券业从业人员资格管理办法》的相关规定。</w:t>
      </w:r>
    </w:p>
    <w:p w:rsidP="0029671E" w:rsidR="00F13451" w:rsidRDefault="00F13451" w:rsidRPr="00820253">
      <w:pPr>
        <w:adjustRightInd w:val="0"/>
        <w:snapToGrid w:val="0"/>
        <w:spacing w:line="360" w:lineRule="auto"/>
        <w:rPr>
          <w:rFonts w:ascii="宋体"/>
          <w:b/>
          <w:bCs/>
          <w:color w:val="000000"/>
          <w:sz w:val="24"/>
        </w:rPr>
      </w:pPr>
      <w:r w:rsidRPr="00820253">
        <w:rPr>
          <w:rFonts w:ascii="宋体" w:hAnsi="宋体"/>
          <w:b/>
          <w:bCs/>
          <w:color w:val="000000"/>
          <w:sz w:val="24"/>
        </w:rPr>
        <w:t>4.</w:t>
      </w:r>
      <w:r>
        <w:rPr>
          <w:rFonts w:ascii="宋体" w:hAnsi="宋体"/>
          <w:b/>
          <w:bCs/>
          <w:color w:val="000000"/>
          <w:sz w:val="24"/>
        </w:rPr>
        <w:t/>
      </w:r>
      <w:r w:rsidRPr="00820253">
        <w:rPr>
          <w:rFonts w:ascii="宋体"/>
          <w:b/>
          <w:bCs/>
          <w:color w:val="000000"/>
          <w:sz w:val="24"/>
        </w:rPr>
        <w:t>2</w:t>
      </w:r>
      <w:r>
        <w:rPr>
          <w:rFonts w:ascii="宋体" w:cs="Arial"/>
          <w:b/>
          <w:color w:val="000000"/>
          <w:kern w:val="0"/>
          <w:sz w:val="24"/>
        </w:rPr>
        <w:t/>
      </w:r>
      <w:proofErr w:type="spellStart"/>
      <w:r>
        <w:rPr>
          <w:rFonts w:ascii="宋体" w:cs="Arial" w:hAnsi="宋体"/>
          <w:b/>
          <w:color w:val="000000"/>
          <w:kern w:val="0"/>
          <w:sz w:val="24"/>
        </w:rPr>
        <w:t/>
      </w:r>
      <w:r w:rsidRPr="00820253">
        <w:rPr>
          <w:rFonts w:ascii="宋体" w:cs="Arial" w:hAnsi="宋体"/>
          <w:b/>
          <w:color w:val="000000"/>
          <w:kern w:val="0"/>
          <w:sz w:val="24"/>
        </w:rPr>
        <w:t/>
      </w:r>
      <w:proofErr w:type="spellEnd"/>
      <w:r w:rsidRPr="00820253">
        <w:rPr>
          <w:rFonts w:ascii="宋体" w:cs="Arial" w:hAnsi="宋体"/>
          <w:b/>
          <w:color w:val="000000"/>
          <w:kern w:val="0"/>
          <w:sz w:val="24"/>
        </w:rPr>
        <w:t/>
      </w:r>
      <w:r w:rsidRPr="00820253">
        <w:rPr>
          <w:rFonts w:ascii="宋体" w:hAnsi="宋体" w:hint="eastAsia"/>
          <w:b/>
          <w:bCs/>
          <w:color w:val="000000"/>
          <w:sz w:val="24"/>
        </w:rPr>
        <w:t>境外投资顾问为本基金提供投资建议的主要成员简介</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本基金未聘请境外投资顾问。</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4.3</w:t>
      </w:r>
      <w:r w:rsidRPr="00820253">
        <w:rPr>
          <w:rFonts w:ascii="宋体" w:cs="Arial" w:hAnsi="宋体" w:hint="eastAsia"/>
          <w:b/>
          <w:color w:val="000000"/>
          <w:kern w:val="0"/>
          <w:sz w:val="24"/>
        </w:rPr>
        <w:t>报告期内本基金运作遵规守信情况说明</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4.4</w:t>
      </w:r>
      <w:r w:rsidRPr="00820253">
        <w:rPr>
          <w:rFonts w:ascii="宋体" w:cs="Arial" w:hAnsi="宋体" w:hint="eastAsia"/>
          <w:b/>
          <w:color w:val="000000"/>
          <w:kern w:val="0"/>
          <w:sz w:val="24"/>
        </w:rPr>
        <w:t>公平交易专项说明</w:t>
      </w:r>
    </w:p>
    <w:p w:rsidP="0029671E" w:rsidR="00F13451" w:rsidRDefault="00F13451" w:rsidRPr="00820253">
      <w:pPr>
        <w:spacing w:line="360" w:lineRule="auto"/>
        <w:rPr>
          <w:rFonts w:ascii="宋体"/>
          <w:sz w:val="24"/>
        </w:rPr>
      </w:pPr>
      <w:r w:rsidRPr="00820253">
        <w:rPr>
          <w:rFonts w:ascii="宋体" w:cs="Arial" w:hAnsi="宋体"/>
          <w:b/>
          <w:color w:val="000000"/>
          <w:kern w:val="0"/>
          <w:sz w:val="24"/>
        </w:rPr>
        <w:t>4.4</w:t>
      </w:r>
      <w:r w:rsidRPr="00820253">
        <w:rPr>
          <w:rFonts w:ascii="宋体" w:hAnsi="宋体"/>
          <w:sz w:val="24"/>
        </w:rPr>
        <w:t>.</w:t>
      </w:r>
      <w:r w:rsidRPr="00820253">
        <w:rPr>
          <w:rFonts w:ascii="宋体" w:cs="Arial"/>
          <w:b/>
          <w:color w:val="000000"/>
          <w:kern w:val="0"/>
          <w:sz w:val="24"/>
        </w:rPr>
        <w:t/>
      </w:r>
      <w:r w:rsidRPr="00820253">
        <w:rPr>
          <w:rFonts w:ascii="宋体" w:cs="Arial" w:hAnsi="宋体"/>
          <w:b/>
          <w:color w:val="000000"/>
          <w:kern w:val="0"/>
          <w:sz w:val="24"/>
        </w:rPr>
        <w:t>1</w:t>
      </w:r>
      <w:r w:rsidRPr="00820253">
        <w:rPr>
          <w:rFonts w:ascii="宋体" w:hAnsi="宋体" w:hint="eastAsia"/>
          <w:sz w:val="24"/>
        </w:rPr>
        <w:t>公平交易制度的执行情况</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29671E" w:rsidR="00F13451" w:rsidRDefault="00F13451" w:rsidRPr="00820253">
      <w:pPr>
        <w:spacing w:line="360" w:lineRule="auto"/>
        <w:rPr>
          <w:rFonts w:ascii="宋体"/>
          <w:sz w:val="24"/>
        </w:rPr>
      </w:pPr>
      <w:r w:rsidRPr="00820253">
        <w:rPr>
          <w:rFonts w:ascii="宋体" w:cs="Arial" w:hAnsi="宋体"/>
          <w:b/>
          <w:color w:val="000000"/>
          <w:kern w:val="0"/>
          <w:sz w:val="24"/>
        </w:rPr>
        <w:t>4.4</w:t>
      </w:r>
      <w:r w:rsidRPr="00820253">
        <w:rPr>
          <w:rFonts w:ascii="宋体" w:hAnsi="宋体"/>
          <w:sz w:val="24"/>
        </w:rPr>
        <w:t>.</w:t>
      </w:r>
      <w:r w:rsidRPr="00820253">
        <w:rPr>
          <w:rFonts w:ascii="宋体" w:cs="Arial"/>
          <w:b/>
          <w:color w:val="000000"/>
          <w:kern w:val="0"/>
          <w:sz w:val="24"/>
        </w:rPr>
        <w:t/>
      </w:r>
      <w:r w:rsidRPr="00820253">
        <w:rPr>
          <w:rFonts w:ascii="宋体" w:cs="Arial" w:hAnsi="宋体"/>
          <w:b/>
          <w:color w:val="000000"/>
          <w:kern w:val="0"/>
          <w:sz w:val="24"/>
        </w:rPr>
        <w:t>2</w:t>
      </w:r>
      <w:r w:rsidRPr="00820253">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本报告期内，未发现本基金有可能导致不公平交易和利益输送的异常交易。</w:t>
      </w:r>
    </w:p>
    <w:p w:rsidP="003E3A5C" w:rsidR="003E3A5C" w:rsidRDefault="00F13451">
      <w:pPr>
        <w:autoSpaceDE w:val="0"/>
        <w:autoSpaceDN w:val="0"/>
        <w:adjustRightInd w:val="0"/>
        <w:spacing w:line="360" w:lineRule="auto"/>
        <w:jc w:val="left"/>
        <w:rPr>
          <w:sz w:val="24"/>
        </w:rPr>
      </w:pPr>
      <w:r w:rsidRPr="00820253">
        <w:rPr>
          <w:rFonts w:ascii="宋体" w:cs="Arial" w:hAnsi="宋体"/>
          <w:b/>
          <w:color w:val="000000"/>
          <w:kern w:val="0"/>
          <w:sz w:val="24"/>
        </w:rPr>
        <w:t>4.5</w:t>
      </w:r>
      <w:r w:rsidR="003E3A5C">
        <w:rPr>
          <w:rFonts w:hint="eastAsia"/>
          <w:b/>
          <w:color w:val="000000"/>
          <w:kern w:val="0"/>
          <w:sz w:val="24"/>
        </w:rPr>
        <w:t>报告期内基金的投资策略和业绩表现说明</w:t>
      </w:r>
    </w:p>
    <w:p>
      <w:pPr>
        <w:spacing w:line="360" w:lineRule="auto"/>
        <w:ind w:firstLine="480" w:firstLineChars="200"/>
        <w:rPr>
          <w:color w:val="000000"/>
          <w:sz w:val="24"/>
        </w:rPr>
      </w:pPr>
      <w:r>
        <w:rPr>
          <w:color w:val="000000"/>
          <w:sz w:val="24"/>
        </w:rPr>
        <w:t>回顾2020年二季度，在货币及财政政策刺激下，美股出现明显反弹，标普500指数创下1998年以来最大的单季涨幅。美国重启经济，进一步提高了市场的风险偏好。美联储6月货币政策会议决议鸽派基调明显，符合市场预期，加息路径点阵图显示，利率预计将维持在当前水平直至2022年。美国经济前景仍然充满不确定性，但消费者信心有所回升。2020年6月以来，受疫情影响，美国多地撤回了经济重启计划，美国和中国及欧洲的贸易摩擦升温，再次对全球风险偏好形成压制，美股出现回调和震荡。</w:t>
      </w:r>
    </w:p>
    <w:p>
      <w:pPr>
        <w:spacing w:line="360" w:lineRule="auto"/>
        <w:ind w:firstLine="480" w:firstLineChars="200"/>
        <w:rPr>
          <w:color w:val="000000"/>
          <w:sz w:val="24"/>
        </w:rPr>
      </w:pPr>
      <w:r>
        <w:rPr>
          <w:color w:val="000000"/>
          <w:sz w:val="24"/>
        </w:rPr>
        <w:t>作为追踪标普500指数的被动式海外指数基金，本基金采用完全复制法，力求追踪误差最小化。</w:t>
      </w:r>
    </w:p>
    <w:p w:rsidP="00F95B9D" w:rsidR="00F13451" w:rsidRDefault="003E3A5C" w:rsidRPr="00431EE1">
      <w:pPr>
        <w:spacing w:line="360" w:lineRule="auto"/>
        <w:ind w:firstLine="480" w:firstLineChars="200"/>
        <w:rPr>
          <w:color w:val="000000"/>
          <w:sz w:val="24"/>
        </w:rPr>
      </w:pPr>
      <w:r>
        <w:rPr>
          <w:color w:val="000000"/>
          <w:sz w:val="24"/>
        </w:rPr>
        <w:t/>
      </w:r>
      <w:proofErr w:type="spellStart"/>
      <w:r>
        <w:rPr>
          <w:color w:val="000000"/>
          <w:sz w:val="24"/>
        </w:rPr>
        <w:t/>
      </w:r>
      <w:proofErr w:type="spellEnd"/>
      <w:r>
        <w:rPr>
          <w:color w:val="000000"/>
          <w:sz w:val="24"/>
        </w:rPr>
        <w:t>截至报告期末，本基金份额净值为1.3808元，本报告期份额净值增长率为19.12%，同期业绩比较基准收益率为18.85%，年化跟踪误差0.435%，在合同规定的目标控制范围之内。</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5  </w:t>
      </w:r>
      <w:r w:rsidRPr="00820253">
        <w:rPr>
          <w:rFonts w:ascii="宋体" w:cs="Arial" w:hAnsi="宋体" w:hint="eastAsia"/>
          <w:color w:val="000000"/>
          <w:kern w:val="0"/>
          <w:sz w:val="24"/>
          <w:szCs w:val="24"/>
        </w:rPr>
        <w:t>投资组合报告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5.1 </w:t>
      </w:r>
      <w:r w:rsidRPr="00820253">
        <w:rPr>
          <w:rFonts w:ascii="宋体" w:cs="Arial" w:hAnsi="宋体" w:hint="eastAsia"/>
          <w:b/>
          <w:color w:val="000000"/>
          <w:kern w:val="0"/>
          <w:sz w:val="24"/>
        </w:rPr>
        <w:t>报告期末基金资产组合情况</w:t>
      </w:r>
    </w:p>
    <w:tbl>
      <w:tblPr>
        <w:tblW w:type="dxa" w:w="8506"/>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2552"/>
        <w:gridCol w:w="3402"/>
        <w:gridCol w:w="1701"/>
      </w:tblGrid>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序号</w:t>
            </w:r>
          </w:p>
        </w:tc>
        <w:tc>
          <w:tcPr>
            <w:tcW w:type="dxa" w:w="2552"/>
            <w:vAlign w:val="center"/>
          </w:tcPr>
          <w:p w:rsidP="00780E33" w:rsidR="00F13451" w:rsidRDefault="00F13451" w:rsidRPr="00431EE1">
            <w:pPr>
              <w:spacing w:before="29" w:line="360" w:lineRule="auto"/>
              <w:ind w:left="17"/>
              <w:jc w:val="center"/>
              <w:rPr>
                <w:color w:val="000000"/>
                <w:sz w:val="24"/>
              </w:rPr>
            </w:pPr>
            <w:r w:rsidRPr="00431EE1">
              <w:rPr>
                <w:color w:val="000000"/>
                <w:sz w:val="24"/>
              </w:rPr>
              <w:t>项目</w:t>
            </w:r>
          </w:p>
        </w:tc>
        <w:tc>
          <w:tcPr>
            <w:tcW w:type="dxa" w:w="3402"/>
            <w:vAlign w:val="center"/>
          </w:tcPr>
          <w:p w:rsidP="00284EC5" w:rsidR="00F13451" w:rsidRDefault="00F13451" w:rsidRPr="00431EE1">
            <w:pPr>
              <w:spacing w:before="29" w:line="360" w:lineRule="auto"/>
              <w:ind w:left="17"/>
              <w:jc w:val="center"/>
              <w:rPr>
                <w:color w:val="000000"/>
                <w:sz w:val="24"/>
              </w:rPr>
            </w:pPr>
            <w:r w:rsidRPr="00431EE1">
              <w:rPr>
                <w:color w:val="000000"/>
                <w:sz w:val="24"/>
              </w:rPr>
              <w:t>金额</w:t>
            </w:r>
            <w:r w:rsidR="00284EC5" w:rsidRPr="00431EE1">
              <w:rPr>
                <w:color w:val="000000"/>
                <w:sz w:val="24"/>
              </w:rPr>
              <w:t>（</w:t>
            </w:r>
            <w:r w:rsidR="00284EC5" w:rsidRPr="00431EE1">
              <w:rPr>
                <w:color w:val="000000"/>
                <w:kern w:val="0"/>
                <w:sz w:val="24"/>
              </w:rPr>
              <w:t>人民币元</w:t>
            </w:r>
            <w:r w:rsidR="00284EC5" w:rsidRPr="00431EE1">
              <w:rPr>
                <w:color w:val="000000"/>
                <w:sz w:val="24"/>
              </w:rPr>
              <w:t>）</w:t>
            </w:r>
          </w:p>
        </w:tc>
        <w:tc>
          <w:tcPr>
            <w:tcW w:type="dxa" w:w="1701"/>
            <w:vAlign w:val="center"/>
          </w:tcPr>
          <w:p w:rsidP="00284EC5" w:rsidR="00F13451" w:rsidRDefault="00F13451" w:rsidRPr="00431EE1">
            <w:pPr>
              <w:spacing w:before="29" w:line="360" w:lineRule="auto"/>
              <w:ind w:left="17"/>
              <w:jc w:val="center"/>
              <w:rPr>
                <w:color w:val="000000"/>
                <w:sz w:val="24"/>
              </w:rPr>
            </w:pPr>
            <w:r w:rsidRPr="00431EE1">
              <w:rPr>
                <w:color w:val="000000"/>
                <w:sz w:val="24"/>
              </w:rPr>
              <w:t>占基金总资产的比例</w:t>
            </w:r>
            <w:r w:rsidR="00284EC5" w:rsidRPr="00431EE1">
              <w:rPr>
                <w:color w:val="000000"/>
                <w:sz w:val="24"/>
              </w:rPr>
              <w:t>（</w:t>
            </w:r>
            <w:r w:rsidR="00284EC5" w:rsidRPr="00431EE1">
              <w:rPr>
                <w:color w:val="000000"/>
                <w:sz w:val="24"/>
              </w:rPr>
              <w:t>%</w:t>
            </w:r>
            <w:r w:rsidR="00284EC5"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1</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权益投资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366,500,804.79</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91.28</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其中：普通股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356,276,861.57</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88.73</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存托凭证</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优先股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房地产信托</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10,223,943.22</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2.55</w:t>
            </w:r>
          </w:p>
        </w:tc>
      </w:tr>
      <w:tr w:rsidR="00F13451" w:rsidRPr="00820253" w:rsidTr="00AF41C5">
        <w:tc>
          <w:tcPr>
            <w:tcW w:type="dxa" w:w="851"/>
          </w:tcPr>
          <w:p w:rsidP="00780E33" w:rsidR="00F13451" w:rsidRDefault="00F13451" w:rsidRPr="00431EE1">
            <w:pPr>
              <w:adjustRightInd w:val="0"/>
              <w:snapToGrid w:val="0"/>
              <w:spacing w:line="400" w:lineRule="exact"/>
              <w:jc w:val="center"/>
              <w:rPr>
                <w:color w:val="000000"/>
                <w:sz w:val="24"/>
              </w:rPr>
            </w:pPr>
            <w:r w:rsidRPr="00431EE1">
              <w:rPr>
                <w:color w:val="000000"/>
                <w:sz w:val="24"/>
              </w:rPr>
              <w:t>2</w:t>
            </w: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基金投资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3</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固定收益投资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r w:rsidRPr="00431EE1">
              <w:rPr>
                <w:color w:val="000000"/>
                <w:sz w:val="24"/>
              </w:rPr>
              <w:lastRenderedPageBreak/>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lastRenderedPageBreak/>
              <w:t/>
            </w:r>
            <w:r w:rsidRPr="00431EE1">
              <w:rPr>
                <w:color w:val="000000"/>
                <w:sz w:val="24"/>
              </w:rPr>
              <w:lastRenderedPageBreak/>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其中：债券</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476756" w:rsidR="00F13451" w:rsidRDefault="00F13451" w:rsidRPr="00431EE1">
            <w:pPr>
              <w:autoSpaceDE w:val="0"/>
              <w:autoSpaceDN w:val="0"/>
              <w:adjustRightInd w:val="0"/>
              <w:spacing w:before="29" w:line="360" w:lineRule="auto"/>
              <w:ind w:firstLine="720" w:firstLineChars="300" w:left="17"/>
              <w:jc w:val="left"/>
              <w:rPr>
                <w:color w:val="000000"/>
                <w:sz w:val="24"/>
              </w:rPr>
            </w:pPr>
            <w:r w:rsidRPr="00431EE1">
              <w:rPr>
                <w:color w:val="000000"/>
                <w:sz w:val="24"/>
              </w:rPr>
              <w:t>资产支持证券</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4</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金融衍生品投资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其中：远期</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r w:rsidRPr="00431EE1">
              <w:rPr>
                <w:color w:val="000000"/>
                <w:sz w:val="24"/>
              </w:rPr>
              <w:lastRenderedPageBreak/>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Del="00455464" w:rsidP="00476756" w:rsidR="00F13451" w:rsidRDefault="00F13451" w:rsidRPr="00431EE1">
            <w:pPr>
              <w:adjustRightInd w:val="0"/>
              <w:snapToGrid w:val="0"/>
              <w:spacing w:line="400" w:lineRule="exact"/>
              <w:ind w:firstLine="720" w:firstLineChars="300"/>
              <w:rPr>
                <w:color w:val="000000"/>
                <w:sz w:val="24"/>
              </w:rPr>
            </w:pPr>
            <w:r w:rsidRPr="00431EE1">
              <w:rPr>
                <w:color w:val="000000"/>
                <w:sz w:val="24"/>
              </w:rPr>
              <w:t>期货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476756" w:rsidR="00F13451" w:rsidRDefault="00F13451" w:rsidRPr="00431EE1">
            <w:pPr>
              <w:adjustRightInd w:val="0"/>
              <w:snapToGrid w:val="0"/>
              <w:spacing w:line="400" w:lineRule="exact"/>
              <w:ind w:firstLine="720" w:firstLineChars="300"/>
              <w:rPr>
                <w:color w:val="000000"/>
                <w:sz w:val="24"/>
              </w:rPr>
            </w:pPr>
            <w:r w:rsidRPr="00431EE1">
              <w:rPr>
                <w:color w:val="000000"/>
                <w:sz w:val="24"/>
              </w:rPr>
              <w:t>期权</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476756" w:rsidR="00F13451" w:rsidRDefault="00F13451" w:rsidRPr="00431EE1">
            <w:pPr>
              <w:adjustRightInd w:val="0"/>
              <w:snapToGrid w:val="0"/>
              <w:spacing w:line="400" w:lineRule="exact"/>
              <w:ind w:firstLine="715" w:firstLineChars="298"/>
              <w:rPr>
                <w:color w:val="000000"/>
                <w:sz w:val="24"/>
              </w:rPr>
            </w:pPr>
            <w:r w:rsidRPr="00431EE1">
              <w:rPr>
                <w:color w:val="000000"/>
                <w:sz w:val="24"/>
              </w:rPr>
              <w:t>权证</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5</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买入返售金融资产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其中：买断式回购的买入返售金融资产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r w:rsidRPr="00431EE1">
              <w:rPr>
                <w:color w:val="000000"/>
                <w:sz w:val="24"/>
              </w:rPr>
              <w:lastRenderedPageBreak/>
              <w:t>-</w:t>
            </w:r>
          </w:p>
        </w:tc>
      </w:tr>
      <w:tr w:rsidR="00F13451" w:rsidRPr="00820253" w:rsidTr="00AF41C5">
        <w:tc>
          <w:tcPr>
            <w:tcW w:type="dxa" w:w="851"/>
          </w:tcPr>
          <w:p w:rsidP="00780E33" w:rsidR="00F13451" w:rsidRDefault="00F13451" w:rsidRPr="00431EE1">
            <w:pPr>
              <w:adjustRightInd w:val="0"/>
              <w:snapToGrid w:val="0"/>
              <w:spacing w:line="400" w:lineRule="exact"/>
              <w:jc w:val="center"/>
              <w:rPr>
                <w:color w:val="000000"/>
                <w:sz w:val="24"/>
              </w:rPr>
            </w:pPr>
            <w:r w:rsidRPr="00431EE1">
              <w:rPr>
                <w:color w:val="000000"/>
                <w:sz w:val="24"/>
              </w:rPr>
              <w:lastRenderedPageBreak/>
              <w:t>6</w:t>
            </w: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货币市场工具</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7</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银行存款和结算备付金合计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29,016,161.49</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7.23</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8</w:t>
            </w:r>
          </w:p>
        </w:tc>
        <w:tc>
          <w:tcPr>
            <w:tcW w:type="dxa" w:w="2552"/>
            <w:vAlign w:val="center"/>
          </w:tcPr>
          <w:p w:rsidP="00780E33" w:rsidR="00F13451" w:rsidRDefault="00F13451" w:rsidRPr="00431EE1">
            <w:pPr>
              <w:jc w:val="left"/>
              <w:rPr>
                <w:sz w:val="24"/>
              </w:rPr>
            </w:pPr>
            <w:r w:rsidRPr="00431EE1">
              <w:rPr>
                <w:color w:val="000000"/>
                <w:sz w:val="24"/>
              </w:rPr>
              <w:t>其他资产</w:t>
            </w:r>
          </w:p>
        </w:tc>
        <w:tc>
          <w:tcPr>
            <w:tcW w:type="dxa" w:w="3402"/>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5,999,412.66</w:t>
            </w:r>
          </w:p>
        </w:tc>
        <w:tc>
          <w:tcPr>
            <w:tcW w:type="dxa" w:w="1701"/>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1.49</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9</w:t>
            </w:r>
          </w:p>
        </w:tc>
        <w:tc>
          <w:tcPr>
            <w:tcW w:type="dxa" w:w="2552"/>
            <w:vAlign w:val="center"/>
          </w:tcPr>
          <w:p w:rsidP="00780E33" w:rsidR="00F13451" w:rsidRDefault="00F13451" w:rsidRPr="00431EE1">
            <w:pPr>
              <w:jc w:val="left"/>
              <w:rPr>
                <w:sz w:val="24"/>
              </w:rPr>
            </w:pPr>
            <w:r w:rsidRPr="00431EE1">
              <w:rPr>
                <w:color w:val="000000"/>
                <w:sz w:val="24"/>
              </w:rPr>
              <w:t>合计</w:t>
            </w:r>
          </w:p>
        </w:tc>
        <w:tc>
          <w:tcPr>
            <w:tcW w:type="dxa" w:w="3402"/>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401,516,378.94</w:t>
            </w:r>
          </w:p>
        </w:tc>
        <w:tc>
          <w:tcPr>
            <w:tcW w:type="dxa" w:w="1701"/>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100.00</w:t>
            </w:r>
          </w:p>
        </w:tc>
      </w:tr>
    </w:tbl>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5.2 </w:t>
      </w:r>
      <w:r w:rsidRPr="00820253">
        <w:rPr>
          <w:rFonts w:ascii="宋体" w:cs="Arial" w:hAnsi="宋体" w:hint="eastAsia"/>
          <w:b/>
          <w:color w:val="000000"/>
          <w:kern w:val="0"/>
          <w:sz w:val="24"/>
        </w:rPr>
        <w:t>报告期末在各个国家（地区）证券市场的股票及存托凭证投资分布</w:t>
      </w:r>
    </w:p>
    <w:tbl>
      <w:tblPr>
        <w:tblW w:type="dxa" w:w="860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410"/>
        <w:gridCol w:w="3118"/>
        <w:gridCol w:w="3076"/>
      </w:tblGrid>
      <w:tr w:rsidR="00F13451" w:rsidTr="00E35496">
        <w:trPr>
          <w:jc w:val="center"/>
        </w:trPr>
        <w:tc>
          <w:tcPr>
            <w:tcW w:type="dxa" w:w="2410"/>
            <w:vAlign w:val="center"/>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国家（地区）</w:t>
            </w:r>
          </w:p>
        </w:tc>
        <w:tc>
          <w:tcPr>
            <w:tcW w:type="dxa" w:w="3118"/>
            <w:vAlign w:val="center"/>
          </w:tcPr>
          <w:p w:rsidP="00284EC5"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公允价值</w:t>
            </w:r>
            <w:r w:rsidR="00284EC5" w:rsidRPr="00431EE1">
              <w:rPr>
                <w:color w:val="000000"/>
                <w:kern w:val="0"/>
                <w:sz w:val="24"/>
              </w:rPr>
              <w:t>（人民币元）</w:t>
            </w:r>
          </w:p>
        </w:tc>
        <w:tc>
          <w:tcPr>
            <w:tcW w:type="dxa" w:w="3076"/>
            <w:vAlign w:val="center"/>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占基金资产净值比例（％）</w:t>
            </w:r>
          </w:p>
        </w:tc>
      </w:tr>
      <w:tr>
        <w:tc>
          <w:tcPr>
            <w:vAlign w:val="center"/>
          </w:tcPr>
          <w:p>
            <w:pPr>
              <w:jc w:val="left"/>
            </w:pPr>
            <w:r>
              <w:rPr>
                <w:color w:val="000000"/>
                <w:sz w:val="24"/>
              </w:rPr>
              <w:t>美国</w:t>
            </w:r>
          </w:p>
        </w:tc>
        <w:tc>
          <w:tcPr>
            <w:vAlign w:val="center"/>
          </w:tcPr>
          <w:p>
            <w:pPr>
              <w:jc w:val="right"/>
            </w:pPr>
            <w:r>
              <w:rPr>
                <w:color w:val="000000"/>
                <w:sz w:val="24"/>
              </w:rPr>
              <w:t>366,500,804.79</w:t>
            </w:r>
          </w:p>
        </w:tc>
        <w:tc>
          <w:tcPr>
            <w:vAlign w:val="center"/>
          </w:tcPr>
          <w:p>
            <w:pPr>
              <w:jc w:val="right"/>
            </w:pPr>
            <w:r>
              <w:rPr>
                <w:color w:val="000000"/>
                <w:sz w:val="24"/>
              </w:rPr>
              <w:t>94.25</w:t>
            </w:r>
          </w:p>
        </w:tc>
      </w:tr>
      <w:tr w:rsidR="00F13451" w:rsidTr="00E35496">
        <w:trPr>
          <w:jc w:val="center"/>
        </w:trPr>
        <w:tc>
          <w:tcPr>
            <w:tcW w:type="dxa" w:w="2410"/>
          </w:tcPr>
          <w:p w:rsidP="00E35496" w:rsidR="00F13451" w:rsidRDefault="00F13451" w:rsidRPr="00431EE1">
            <w:pPr>
              <w:autoSpaceDE w:val="0"/>
              <w:autoSpaceDN w:val="0"/>
              <w:adjustRightInd w:val="0"/>
              <w:spacing w:before="29" w:line="360" w:lineRule="auto"/>
              <w:jc w:val="center"/>
              <w:rPr>
                <w:color w:val="000000"/>
                <w:sz w:val="24"/>
              </w:rPr>
            </w:pPr>
            <w:r w:rsidRPr="00431EE1">
              <w:rPr>
                <w:color w:val="000000"/>
                <w:sz w:val="24"/>
              </w:rPr>
              <w:t>合计</w:t>
            </w:r>
          </w:p>
        </w:tc>
        <w:tc>
          <w:tcPr>
            <w:tcW w:type="dxa" w:w="3118"/>
          </w:tcPr>
          <w:p w:rsidP="00E35496" w:rsidR="00F13451" w:rsidRDefault="00F13451" w:rsidRPr="00431EE1">
            <w:pPr>
              <w:autoSpaceDE w:val="0"/>
              <w:autoSpaceDN w:val="0"/>
              <w:adjustRightInd w:val="0"/>
              <w:spacing w:before="29" w:line="360" w:lineRule="auto"/>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366,500,804.79</w:t>
            </w:r>
          </w:p>
        </w:tc>
        <w:tc>
          <w:tcPr>
            <w:tcW w:type="dxa" w:w="3076"/>
          </w:tcPr>
          <w:p w:rsidP="00E35496" w:rsidR="00F13451" w:rsidRDefault="00F13451" w:rsidRPr="00431EE1">
            <w:pPr>
              <w:autoSpaceDE w:val="0"/>
              <w:autoSpaceDN w:val="0"/>
              <w:adjustRightInd w:val="0"/>
              <w:spacing w:before="29" w:line="360" w:lineRule="auto"/>
              <w:jc w:val="right"/>
              <w:rPr>
                <w:color w:val="000000"/>
                <w:sz w:val="24"/>
              </w:rPr>
            </w:pPr>
            <w:r w:rsidRPr="00431EE1">
              <w:rPr>
                <w:color w:val="000000"/>
                <w:sz w:val="24"/>
              </w:rPr>
              <w:t>94.25</w:t>
            </w:r>
          </w:p>
        </w:tc>
      </w:tr>
    </w:tbl>
    <w:p>
      <w:pPr>
        <w:spacing w:line="360" w:lineRule="auto"/>
        <w:ind w:firstLine="480" w:firstLineChars="200"/>
        <w:rPr>
          <w:color w:val="000000"/>
          <w:sz w:val="24"/>
        </w:rPr>
      </w:pPr>
      <w:r>
        <w:rPr>
          <w:color w:val="000000"/>
          <w:sz w:val="24"/>
        </w:rPr>
        <w:t>注：1.国家（地区）类别根据其所在的证券交易所确定。</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2.ADR、GDR按照存托凭证本身挂牌的证券交易所确定。</w:t>
      </w:r>
    </w:p>
    <w:p w:rsidP="00F33530" w:rsidR="00F33530" w:rsidRDefault="00F33530"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5.3 </w:t>
      </w:r>
      <w:r w:rsidRPr="002149AE">
        <w:rPr>
          <w:rFonts w:ascii="宋体" w:cs="Arial" w:hAnsi="宋体" w:hint="eastAsia"/>
          <w:b/>
          <w:color w:val="000000"/>
          <w:kern w:val="0"/>
          <w:sz w:val="24"/>
        </w:rPr>
        <w:t>报告期末按行业分类的股票及存托凭证投资组合</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787"/>
        <w:gridCol w:w="2551"/>
        <w:gridCol w:w="3175"/>
      </w:tblGrid>
      <w:tr w:rsidR="00F33530" w:rsidRPr="002149AE" w:rsidTr="006D780B">
        <w:tc>
          <w:tcPr>
            <w:tcW w:type="dxa" w:w="2787"/>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行业类别</w:t>
            </w:r>
            <w:r w:rsidRPr="00A70EAB">
              <w:rPr>
                <w:color w:val="000000"/>
                <w:kern w:val="0"/>
                <w:sz w:val="24"/>
              </w:rPr>
              <w:t/>
            </w:r>
            <w:proofErr w:type="spellStart"/>
            <w:r w:rsidRPr="00A70EAB">
              <w:rPr>
                <w:color w:val="000000"/>
                <w:kern w:val="0"/>
                <w:sz w:val="24"/>
              </w:rPr>
              <w:t/>
            </w:r>
            <w:proofErr w:type="spellEnd"/>
            <w:r w:rsidRPr="00A70EAB">
              <w:rPr>
                <w:color w:val="000000"/>
                <w:kern w:val="0"/>
                <w:sz w:val="24"/>
              </w:rPr>
              <w:t/>
            </w:r>
          </w:p>
        </w:tc>
        <w:tc>
          <w:tcPr>
            <w:tcW w:type="dxa" w:w="2551"/>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公允价值（人民币元）</w:t>
            </w:r>
          </w:p>
        </w:tc>
        <w:tc>
          <w:tcPr>
            <w:tcW w:type="dxa" w:w="3175"/>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占基金资产净值比例（％）</w:t>
            </w:r>
          </w:p>
        </w:tc>
      </w:tr>
      <w:tr>
        <w:tc>
          <w:tcPr>
            <w:vAlign w:val="center"/>
          </w:tcPr>
          <w:p>
            <w:pPr>
              <w:jc w:val="left"/>
            </w:pPr>
            <w:r>
              <w:rPr>
                <w:color w:val="000000"/>
                <w:sz w:val="24"/>
              </w:rPr>
              <w:t>能源</w:t>
            </w:r>
          </w:p>
        </w:tc>
        <w:tc>
          <w:tcPr>
            <w:vAlign w:val="center"/>
          </w:tcPr>
          <w:p>
            <w:pPr>
              <w:jc w:val="right"/>
            </w:pPr>
            <w:r>
              <w:rPr>
                <w:color w:val="000000"/>
                <w:sz w:val="24"/>
              </w:rPr>
              <w:t>10,420,437.38</w:t>
            </w:r>
          </w:p>
        </w:tc>
        <w:tc>
          <w:tcPr>
            <w:vAlign w:val="center"/>
          </w:tcPr>
          <w:p>
            <w:pPr>
              <w:jc w:val="right"/>
            </w:pPr>
            <w:r>
              <w:rPr>
                <w:color w:val="000000"/>
                <w:sz w:val="24"/>
              </w:rPr>
              <w:t>2.68</w:t>
            </w:r>
          </w:p>
        </w:tc>
      </w:tr>
      <w:tr>
        <w:tc>
          <w:tcPr>
            <w:vAlign w:val="center"/>
          </w:tcPr>
          <w:p>
            <w:pPr>
              <w:jc w:val="left"/>
            </w:pPr>
            <w:r>
              <w:rPr>
                <w:color w:val="000000"/>
                <w:sz w:val="24"/>
              </w:rPr>
              <w:t>材料</w:t>
            </w:r>
          </w:p>
        </w:tc>
        <w:tc>
          <w:tcPr>
            <w:vAlign w:val="center"/>
          </w:tcPr>
          <w:p>
            <w:pPr>
              <w:jc w:val="right"/>
            </w:pPr>
            <w:r>
              <w:rPr>
                <w:color w:val="000000"/>
                <w:sz w:val="24"/>
              </w:rPr>
              <w:t>9,315,267.19</w:t>
            </w:r>
          </w:p>
        </w:tc>
        <w:tc>
          <w:tcPr>
            <w:vAlign w:val="center"/>
          </w:tcPr>
          <w:p>
            <w:pPr>
              <w:jc w:val="right"/>
            </w:pPr>
            <w:r>
              <w:rPr>
                <w:color w:val="000000"/>
                <w:sz w:val="24"/>
              </w:rPr>
              <w:t>2.40</w:t>
            </w:r>
          </w:p>
        </w:tc>
      </w:tr>
      <w:tr>
        <w:tc>
          <w:tcPr>
            <w:vAlign w:val="center"/>
          </w:tcPr>
          <w:p>
            <w:pPr>
              <w:jc w:val="left"/>
            </w:pPr>
            <w:r>
              <w:rPr>
                <w:color w:val="000000"/>
                <w:sz w:val="24"/>
              </w:rPr>
              <w:t>工业</w:t>
            </w:r>
          </w:p>
        </w:tc>
        <w:tc>
          <w:tcPr>
            <w:vAlign w:val="center"/>
          </w:tcPr>
          <w:p>
            <w:pPr>
              <w:jc w:val="right"/>
            </w:pPr>
            <w:r>
              <w:rPr>
                <w:color w:val="000000"/>
                <w:sz w:val="24"/>
              </w:rPr>
              <w:t>29,379,838.77</w:t>
            </w:r>
          </w:p>
        </w:tc>
        <w:tc>
          <w:tcPr>
            <w:vAlign w:val="center"/>
          </w:tcPr>
          <w:p>
            <w:pPr>
              <w:jc w:val="right"/>
            </w:pPr>
            <w:r>
              <w:rPr>
                <w:color w:val="000000"/>
                <w:sz w:val="24"/>
              </w:rPr>
              <w:t>7.56</w:t>
            </w:r>
          </w:p>
        </w:tc>
      </w:tr>
      <w:tr>
        <w:tc>
          <w:tcPr>
            <w:vAlign w:val="center"/>
          </w:tcPr>
          <w:p>
            <w:pPr>
              <w:jc w:val="left"/>
            </w:pPr>
            <w:r>
              <w:rPr>
                <w:color w:val="000000"/>
                <w:sz w:val="24"/>
              </w:rPr>
              <w:t>非必需消费品</w:t>
            </w:r>
          </w:p>
        </w:tc>
        <w:tc>
          <w:tcPr>
            <w:vAlign w:val="center"/>
          </w:tcPr>
          <w:p>
            <w:pPr>
              <w:jc w:val="right"/>
            </w:pPr>
            <w:r>
              <w:rPr>
                <w:color w:val="000000"/>
                <w:sz w:val="24"/>
              </w:rPr>
              <w:t>39,665,986.25</w:t>
            </w:r>
          </w:p>
        </w:tc>
        <w:tc>
          <w:tcPr>
            <w:vAlign w:val="center"/>
          </w:tcPr>
          <w:p>
            <w:pPr>
              <w:jc w:val="right"/>
            </w:pPr>
            <w:r>
              <w:rPr>
                <w:color w:val="000000"/>
                <w:sz w:val="24"/>
              </w:rPr>
              <w:t>10.20</w:t>
            </w:r>
          </w:p>
        </w:tc>
      </w:tr>
      <w:tr>
        <w:tc>
          <w:tcPr>
            <w:vAlign w:val="center"/>
          </w:tcPr>
          <w:p>
            <w:pPr>
              <w:jc w:val="left"/>
            </w:pPr>
            <w:r>
              <w:rPr>
                <w:color w:val="000000"/>
                <w:sz w:val="24"/>
              </w:rPr>
              <w:t>必需消费品</w:t>
            </w:r>
          </w:p>
        </w:tc>
        <w:tc>
          <w:tcPr>
            <w:vAlign w:val="center"/>
          </w:tcPr>
          <w:p>
            <w:pPr>
              <w:jc w:val="right"/>
            </w:pPr>
            <w:r>
              <w:rPr>
                <w:color w:val="000000"/>
                <w:sz w:val="24"/>
              </w:rPr>
              <w:t>25,482,595.89</w:t>
            </w:r>
          </w:p>
        </w:tc>
        <w:tc>
          <w:tcPr>
            <w:vAlign w:val="center"/>
          </w:tcPr>
          <w:p>
            <w:pPr>
              <w:jc w:val="right"/>
            </w:pPr>
            <w:r>
              <w:rPr>
                <w:color w:val="000000"/>
                <w:sz w:val="24"/>
              </w:rPr>
              <w:t>6.55</w:t>
            </w:r>
          </w:p>
        </w:tc>
      </w:tr>
      <w:tr>
        <w:tc>
          <w:tcPr>
            <w:vAlign w:val="center"/>
          </w:tcPr>
          <w:p>
            <w:pPr>
              <w:jc w:val="left"/>
            </w:pPr>
            <w:r>
              <w:rPr>
                <w:color w:val="000000"/>
                <w:sz w:val="24"/>
              </w:rPr>
              <w:t>保健</w:t>
            </w:r>
          </w:p>
        </w:tc>
        <w:tc>
          <w:tcPr>
            <w:vAlign w:val="center"/>
          </w:tcPr>
          <w:p>
            <w:pPr>
              <w:jc w:val="right"/>
            </w:pPr>
            <w:r>
              <w:rPr>
                <w:color w:val="000000"/>
                <w:sz w:val="24"/>
              </w:rPr>
              <w:t>53,606,656.66</w:t>
            </w:r>
          </w:p>
        </w:tc>
        <w:tc>
          <w:tcPr>
            <w:vAlign w:val="center"/>
          </w:tcPr>
          <w:p>
            <w:pPr>
              <w:jc w:val="right"/>
            </w:pPr>
            <w:r>
              <w:rPr>
                <w:color w:val="000000"/>
                <w:sz w:val="24"/>
              </w:rPr>
              <w:t>13.79</w:t>
            </w:r>
          </w:p>
        </w:tc>
      </w:tr>
      <w:tr>
        <w:tc>
          <w:tcPr>
            <w:vAlign w:val="center"/>
          </w:tcPr>
          <w:p>
            <w:pPr>
              <w:jc w:val="left"/>
            </w:pPr>
            <w:r>
              <w:rPr>
                <w:color w:val="000000"/>
                <w:sz w:val="24"/>
              </w:rPr>
              <w:t>金融</w:t>
            </w:r>
          </w:p>
        </w:tc>
        <w:tc>
          <w:tcPr>
            <w:vAlign w:val="center"/>
          </w:tcPr>
          <w:p>
            <w:pPr>
              <w:jc w:val="right"/>
            </w:pPr>
            <w:r>
              <w:rPr>
                <w:color w:val="000000"/>
                <w:sz w:val="24"/>
              </w:rPr>
              <w:t>37,050,182.16</w:t>
            </w:r>
          </w:p>
        </w:tc>
        <w:tc>
          <w:tcPr>
            <w:vAlign w:val="center"/>
          </w:tcPr>
          <w:p>
            <w:pPr>
              <w:jc w:val="right"/>
            </w:pPr>
            <w:r>
              <w:rPr>
                <w:color w:val="000000"/>
                <w:sz w:val="24"/>
              </w:rPr>
              <w:t>9.53</w:t>
            </w:r>
          </w:p>
        </w:tc>
      </w:tr>
      <w:tr>
        <w:tc>
          <w:tcPr>
            <w:vAlign w:val="center"/>
          </w:tcPr>
          <w:p>
            <w:pPr>
              <w:jc w:val="left"/>
            </w:pPr>
            <w:r>
              <w:rPr>
                <w:color w:val="000000"/>
                <w:sz w:val="24"/>
              </w:rPr>
              <w:t>信息技术</w:t>
            </w:r>
          </w:p>
        </w:tc>
        <w:tc>
          <w:tcPr>
            <w:vAlign w:val="center"/>
          </w:tcPr>
          <w:p>
            <w:pPr>
              <w:jc w:val="right"/>
            </w:pPr>
            <w:r>
              <w:rPr>
                <w:color w:val="000000"/>
                <w:sz w:val="24"/>
              </w:rPr>
              <w:t>100,343,280.82</w:t>
            </w:r>
          </w:p>
        </w:tc>
        <w:tc>
          <w:tcPr>
            <w:vAlign w:val="center"/>
          </w:tcPr>
          <w:p>
            <w:pPr>
              <w:jc w:val="right"/>
            </w:pPr>
            <w:r>
              <w:rPr>
                <w:color w:val="000000"/>
                <w:sz w:val="24"/>
              </w:rPr>
              <w:t>25.80</w:t>
            </w:r>
          </w:p>
        </w:tc>
      </w:tr>
      <w:tr>
        <w:tc>
          <w:tcPr>
            <w:vAlign w:val="center"/>
          </w:tcPr>
          <w:p>
            <w:pPr>
              <w:jc w:val="left"/>
            </w:pPr>
            <w:r>
              <w:rPr>
                <w:color w:val="000000"/>
                <w:sz w:val="24"/>
              </w:rPr>
              <w:t>电信服务</w:t>
            </w:r>
          </w:p>
        </w:tc>
        <w:tc>
          <w:tcPr>
            <w:vAlign w:val="center"/>
          </w:tcPr>
          <w:p>
            <w:pPr>
              <w:jc w:val="right"/>
            </w:pPr>
            <w:r>
              <w:rPr>
                <w:color w:val="000000"/>
                <w:sz w:val="24"/>
              </w:rPr>
              <w:t>39,525,547.81</w:t>
            </w:r>
          </w:p>
        </w:tc>
        <w:tc>
          <w:tcPr>
            <w:vAlign w:val="center"/>
          </w:tcPr>
          <w:p>
            <w:pPr>
              <w:jc w:val="right"/>
            </w:pPr>
            <w:r>
              <w:rPr>
                <w:color w:val="000000"/>
                <w:sz w:val="24"/>
              </w:rPr>
              <w:t>10.16</w:t>
            </w:r>
          </w:p>
        </w:tc>
      </w:tr>
      <w:tr>
        <w:tc>
          <w:tcPr>
            <w:vAlign w:val="center"/>
          </w:tcPr>
          <w:p>
            <w:pPr>
              <w:jc w:val="left"/>
            </w:pPr>
            <w:r>
              <w:rPr>
                <w:color w:val="000000"/>
                <w:sz w:val="24"/>
              </w:rPr>
              <w:t>公用事业</w:t>
            </w:r>
          </w:p>
        </w:tc>
        <w:tc>
          <w:tcPr>
            <w:vAlign w:val="center"/>
          </w:tcPr>
          <w:p>
            <w:pPr>
              <w:jc w:val="right"/>
            </w:pPr>
            <w:r>
              <w:rPr>
                <w:color w:val="000000"/>
                <w:sz w:val="24"/>
              </w:rPr>
              <w:t>11,262,013.74</w:t>
            </w:r>
          </w:p>
        </w:tc>
        <w:tc>
          <w:tcPr>
            <w:vAlign w:val="center"/>
          </w:tcPr>
          <w:p>
            <w:pPr>
              <w:jc w:val="right"/>
            </w:pPr>
            <w:r>
              <w:rPr>
                <w:color w:val="000000"/>
                <w:sz w:val="24"/>
              </w:rPr>
              <w:t>2.90</w:t>
            </w:r>
          </w:p>
        </w:tc>
      </w:tr>
      <w:tr>
        <w:tc>
          <w:tcPr>
            <w:vAlign w:val="center"/>
          </w:tcPr>
          <w:p>
            <w:pPr>
              <w:jc w:val="left"/>
            </w:pPr>
            <w:r>
              <w:rPr>
                <w:color w:val="000000"/>
                <w:sz w:val="24"/>
              </w:rPr>
              <w:t>房地产</w:t>
            </w:r>
          </w:p>
        </w:tc>
        <w:tc>
          <w:tcPr>
            <w:vAlign w:val="center"/>
          </w:tcPr>
          <w:p>
            <w:pPr>
              <w:jc w:val="right"/>
            </w:pPr>
            <w:r>
              <w:rPr>
                <w:color w:val="000000"/>
                <w:sz w:val="24"/>
              </w:rPr>
              <w:t>10,448,998.12</w:t>
            </w:r>
          </w:p>
        </w:tc>
        <w:tc>
          <w:tcPr>
            <w:vAlign w:val="center"/>
          </w:tcPr>
          <w:p>
            <w:pPr>
              <w:jc w:val="right"/>
            </w:pPr>
            <w:r>
              <w:rPr>
                <w:color w:val="000000"/>
                <w:sz w:val="24"/>
              </w:rPr>
              <w:t>2.69</w:t>
            </w:r>
          </w:p>
        </w:tc>
      </w:tr>
      <w:tr w:rsidR="00F33530" w:rsidRPr="002149AE" w:rsidTr="006D780B">
        <w:tc>
          <w:tcPr>
            <w:tcW w:type="dxa" w:w="2787"/>
            <w:vAlign w:val="center"/>
          </w:tcPr>
          <w:p w:rsidP="006D780B" w:rsidR="00F33530" w:rsidRDefault="00F33530" w:rsidRPr="00A70EAB">
            <w:pPr>
              <w:autoSpaceDE w:val="0"/>
              <w:autoSpaceDN w:val="0"/>
              <w:adjustRightInd w:val="0"/>
              <w:spacing w:before="29" w:line="360" w:lineRule="auto"/>
              <w:ind w:left="15"/>
              <w:jc w:val="center"/>
              <w:rPr>
                <w:color w:val="000000"/>
                <w:sz w:val="24"/>
              </w:rPr>
            </w:pPr>
            <w:r w:rsidRPr="00A70EAB">
              <w:rPr>
                <w:color w:val="000000"/>
                <w:sz w:val="24"/>
              </w:rPr>
              <w:t>合计</w:t>
            </w:r>
          </w:p>
        </w:tc>
        <w:tc>
          <w:tcPr>
            <w:tcW w:type="dxa" w:w="2551"/>
            <w:vAlign w:val="center"/>
          </w:tcPr>
          <w:p w:rsidP="006D780B" w:rsidR="00F33530" w:rsidRDefault="00F33530" w:rsidRPr="00A70EAB">
            <w:pPr>
              <w:autoSpaceDE w:val="0"/>
              <w:autoSpaceDN w:val="0"/>
              <w:adjustRightInd w:val="0"/>
              <w:spacing w:before="29" w:line="360" w:lineRule="auto"/>
              <w:ind w:left="15"/>
              <w:jc w:val="right"/>
              <w:rPr>
                <w:color w:val="000000"/>
                <w:sz w:val="24"/>
              </w:rPr>
            </w:pPr>
            <w:r w:rsidRPr="00A70EAB">
              <w:rPr>
                <w:color w:val="000000"/>
                <w:sz w:val="24"/>
              </w:rPr>
              <w:t/>
            </w:r>
            <w:proofErr w:type="spellStart"/>
            <w:r w:rsidRPr="00A70EAB">
              <w:rPr>
                <w:color w:val="000000"/>
                <w:sz w:val="24"/>
              </w:rPr>
              <w:t/>
            </w:r>
            <w:proofErr w:type="spellEnd"/>
            <w:r w:rsidRPr="00A70EAB">
              <w:rPr>
                <w:color w:val="000000"/>
                <w:sz w:val="24"/>
              </w:rPr>
              <w:t>366,500,804.79</w:t>
            </w:r>
          </w:p>
        </w:tc>
        <w:tc>
          <w:tcPr>
            <w:tcW w:type="dxa" w:w="3175"/>
            <w:vAlign w:val="center"/>
          </w:tcPr>
          <w:p w:rsidP="006D780B" w:rsidR="00F33530" w:rsidRDefault="00F33530" w:rsidRPr="00A70EAB">
            <w:pPr>
              <w:autoSpaceDE w:val="0"/>
              <w:autoSpaceDN w:val="0"/>
              <w:adjustRightInd w:val="0"/>
              <w:spacing w:before="29" w:line="360" w:lineRule="auto"/>
              <w:ind w:left="15"/>
              <w:jc w:val="right"/>
              <w:rPr>
                <w:color w:val="000000"/>
                <w:sz w:val="24"/>
              </w:rPr>
            </w:pPr>
            <w:r w:rsidRPr="00A70EAB">
              <w:rPr>
                <w:color w:val="000000"/>
                <w:sz w:val="24"/>
              </w:rPr>
              <w:t>94.25</w:t>
            </w:r>
          </w:p>
        </w:tc>
      </w:tr>
    </w:tbl>
    <w:p w:rsidP="00F33530" w:rsidR="00F33530" w:rsidRDefault="00F33530" w:rsidRPr="00A70EAB">
      <w:pPr>
        <w:spacing w:line="360" w:lineRule="auto"/>
        <w:ind w:firstLine="480" w:firstLineChars="200"/>
        <w:rPr>
          <w:color w:val="000000"/>
          <w:sz w:val="24"/>
        </w:rPr>
      </w:pPr>
      <w:r w:rsidRPr="00DB3360">
        <w:rPr>
          <w:color w:val="000000"/>
          <w:sz w:val="24"/>
        </w:rPr>
        <w:t/>
      </w:r>
      <w:proofErr w:type="spellStart"/>
      <w:r w:rsidRPr="00DB3360">
        <w:rPr>
          <w:color w:val="000000"/>
          <w:sz w:val="24"/>
        </w:rPr>
        <w:t/>
      </w:r>
      <w:proofErr w:type="spellEnd"/>
      <w:r w:rsidRPr="00DB3360">
        <w:rPr>
          <w:color w:val="000000"/>
          <w:sz w:val="24"/>
        </w:rPr>
        <w:t/>
      </w:r>
      <w:proofErr w:type="spellStart"/>
      <w:r w:rsidRPr="00DB3360">
        <w:rPr>
          <w:color w:val="000000"/>
          <w:sz w:val="24"/>
        </w:rPr>
        <w:t/>
      </w:r>
      <w:proofErr w:type="spellEnd"/>
      <w:r w:rsidRPr="00DB3360">
        <w:rPr>
          <w:color w:val="000000"/>
          <w:sz w:val="24"/>
        </w:rPr>
        <w:t>注：以上分类采用全球行业分类标准（GICS）。</w:t>
      </w:r>
    </w:p>
    <w:p w:rsidP="00F33530" w:rsidR="00F33530" w:rsidRDefault="00F33530"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5.4 </w:t>
      </w:r>
      <w:r w:rsidRPr="002149AE">
        <w:rPr>
          <w:rFonts w:ascii="宋体" w:cs="Arial" w:hAnsi="宋体" w:hint="eastAsia"/>
          <w:b/>
          <w:color w:val="000000"/>
          <w:kern w:val="0"/>
          <w:sz w:val="24"/>
        </w:rPr>
        <w:t>报告期末按公允价值占基金资产净值比例大小排序的前十名股票及存托凭证投资明细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761"/>
        <w:gridCol w:w="967"/>
        <w:gridCol w:w="984"/>
        <w:gridCol w:w="716"/>
        <w:gridCol w:w="760"/>
        <w:gridCol w:w="974"/>
        <w:gridCol w:w="1188"/>
        <w:gridCol w:w="974"/>
        <w:gridCol w:w="1189"/>
      </w:tblGrid>
      <w:tr w:rsidR="00F33530" w:rsidRPr="002149AE" w:rsidTr="006D780B">
        <w:tc>
          <w:tcPr>
            <w:tcW w:type="dxa" w:w="794"/>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序号</w:t>
            </w:r>
          </w:p>
        </w:tc>
        <w:tc>
          <w:tcPr>
            <w:tcW w:type="dxa" w:w="974"/>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公司名称（英文）</w:t>
            </w:r>
          </w:p>
        </w:tc>
        <w:tc>
          <w:tcPr>
            <w:tcW w:type="dxa" w:w="1019"/>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公司名称（中文）</w:t>
            </w:r>
          </w:p>
        </w:tc>
        <w:tc>
          <w:tcPr>
            <w:tcW w:type="dxa" w:w="703"/>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证券代码</w:t>
            </w:r>
          </w:p>
        </w:tc>
        <w:tc>
          <w:tcPr>
            <w:tcW w:type="dxa" w:w="793"/>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所在证</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券市</w:t>
            </w:r>
            <w:r w:rsidRPr="00A70EAB">
              <w:rPr>
                <w:color w:val="000000"/>
                <w:kern w:val="0"/>
                <w:sz w:val="24"/>
              </w:rPr>
              <w:lastRenderedPageBreak/>
              <w:t>场</w:t>
            </w:r>
          </w:p>
        </w:tc>
        <w:tc>
          <w:tcPr>
            <w:tcW w:type="dxa" w:w="969"/>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lastRenderedPageBreak/>
              <w:t>所属国家</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（地</w:t>
            </w:r>
            <w:r w:rsidRPr="00A70EAB">
              <w:rPr>
                <w:color w:val="000000"/>
                <w:kern w:val="0"/>
                <w:sz w:val="24"/>
              </w:rPr>
              <w:lastRenderedPageBreak/>
              <w:t>区</w:t>
            </w:r>
            <w:r w:rsidRPr="00A70EAB">
              <w:rPr>
                <w:color w:val="000000"/>
                <w:kern w:val="0"/>
                <w:sz w:val="24"/>
              </w:rPr>
              <w:t>)</w:t>
            </w:r>
          </w:p>
        </w:tc>
        <w:tc>
          <w:tcPr>
            <w:tcW w:type="dxa" w:w="1146"/>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lastRenderedPageBreak/>
              <w:t>数量</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（股）</w:t>
            </w:r>
          </w:p>
        </w:tc>
        <w:tc>
          <w:tcPr>
            <w:tcW w:type="dxa" w:w="969"/>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公允价值（人民币元）</w:t>
            </w:r>
          </w:p>
        </w:tc>
        <w:tc>
          <w:tcPr>
            <w:tcW w:type="dxa" w:w="1146"/>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Microsoft Corp</w:t>
            </w:r>
          </w:p>
        </w:tc>
        <w:tc>
          <w:tcPr>
            <w:vAlign w:val="center"/>
          </w:tcPr>
          <w:p>
            <w:pPr>
              <w:jc w:val="center"/>
            </w:pPr>
            <w:r>
              <w:rPr>
                <w:color w:val="000000"/>
                <w:sz w:val="24"/>
              </w:rPr>
              <w:t>-</w:t>
            </w:r>
          </w:p>
        </w:tc>
        <w:tc>
          <w:tcPr>
            <w:vAlign w:val="center"/>
          </w:tcPr>
          <w:p>
            <w:pPr>
              <w:jc w:val="center"/>
            </w:pPr>
            <w:r>
              <w:rPr>
                <w:color w:val="000000"/>
                <w:sz w:val="24"/>
              </w:rPr>
              <w:t>MSFT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15,271</w:t>
            </w:r>
          </w:p>
        </w:tc>
        <w:tc>
          <w:tcPr>
            <w:vAlign w:val="center"/>
          </w:tcPr>
          <w:p>
            <w:pPr>
              <w:jc w:val="right"/>
            </w:pPr>
            <w:r>
              <w:rPr>
                <w:color w:val="000000"/>
                <w:sz w:val="24"/>
              </w:rPr>
              <w:t>22,001,678.67</w:t>
            </w:r>
          </w:p>
        </w:tc>
        <w:tc>
          <w:tcPr>
            <w:vAlign w:val="center"/>
          </w:tcPr>
          <w:p>
            <w:pPr>
              <w:jc w:val="right"/>
            </w:pPr>
            <w:r>
              <w:rPr>
                <w:color w:val="000000"/>
                <w:sz w:val="24"/>
              </w:rPr>
              <w:t>5.66</w:t>
            </w:r>
          </w:p>
        </w:tc>
      </w:tr>
      <w:tr>
        <w:tc>
          <w:tcPr>
            <w:vAlign w:val="center"/>
          </w:tcPr>
          <w:p>
            <w:pPr>
              <w:jc w:val="center"/>
            </w:pPr>
            <w:r>
              <w:rPr>
                <w:color w:val="000000"/>
                <w:sz w:val="24"/>
              </w:rPr>
              <w:t>2</w:t>
            </w:r>
          </w:p>
        </w:tc>
        <w:tc>
          <w:tcPr>
            <w:vAlign w:val="center"/>
          </w:tcPr>
          <w:p>
            <w:pPr>
              <w:jc w:val="center"/>
            </w:pPr>
            <w:r>
              <w:rPr>
                <w:color w:val="000000"/>
                <w:sz w:val="24"/>
              </w:rPr>
              <w:t>Apple Inc</w:t>
            </w:r>
          </w:p>
        </w:tc>
        <w:tc>
          <w:tcPr>
            <w:vAlign w:val="center"/>
          </w:tcPr>
          <w:p>
            <w:pPr>
              <w:jc w:val="center"/>
            </w:pPr>
            <w:r>
              <w:rPr>
                <w:color w:val="000000"/>
                <w:sz w:val="24"/>
              </w:rPr>
              <w:t>-</w:t>
            </w:r>
          </w:p>
        </w:tc>
        <w:tc>
          <w:tcPr>
            <w:vAlign w:val="center"/>
          </w:tcPr>
          <w:p>
            <w:pPr>
              <w:jc w:val="center"/>
            </w:pPr>
            <w:r>
              <w:rPr>
                <w:color w:val="000000"/>
                <w:sz w:val="24"/>
              </w:rPr>
              <w:t>AAPL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8,205</w:t>
            </w:r>
          </w:p>
        </w:tc>
        <w:tc>
          <w:tcPr>
            <w:vAlign w:val="center"/>
          </w:tcPr>
          <w:p>
            <w:pPr>
              <w:jc w:val="right"/>
            </w:pPr>
            <w:r>
              <w:rPr>
                <w:color w:val="000000"/>
                <w:sz w:val="24"/>
              </w:rPr>
              <w:t>21,190,246.13</w:t>
            </w:r>
          </w:p>
        </w:tc>
        <w:tc>
          <w:tcPr>
            <w:vAlign w:val="center"/>
          </w:tcPr>
          <w:p>
            <w:pPr>
              <w:jc w:val="right"/>
            </w:pPr>
            <w:r>
              <w:rPr>
                <w:color w:val="000000"/>
                <w:sz w:val="24"/>
              </w:rPr>
              <w:t>5.45</w:t>
            </w:r>
          </w:p>
        </w:tc>
      </w:tr>
      <w:tr>
        <w:tc>
          <w:tcPr>
            <w:vAlign w:val="center"/>
          </w:tcPr>
          <w:p>
            <w:pPr>
              <w:jc w:val="center"/>
            </w:pPr>
            <w:r>
              <w:rPr>
                <w:color w:val="000000"/>
                <w:sz w:val="24"/>
              </w:rPr>
              <w:t>3</w:t>
            </w:r>
          </w:p>
        </w:tc>
        <w:tc>
          <w:tcPr>
            <w:vAlign w:val="center"/>
          </w:tcPr>
          <w:p>
            <w:pPr>
              <w:jc w:val="center"/>
            </w:pPr>
            <w:r>
              <w:rPr>
                <w:color w:val="000000"/>
                <w:sz w:val="24"/>
              </w:rPr>
              <w:t>Amazon.com Inc</w:t>
            </w:r>
          </w:p>
        </w:tc>
        <w:tc>
          <w:tcPr>
            <w:vAlign w:val="center"/>
          </w:tcPr>
          <w:p>
            <w:pPr>
              <w:jc w:val="center"/>
            </w:pPr>
            <w:r>
              <w:rPr>
                <w:color w:val="000000"/>
                <w:sz w:val="24"/>
              </w:rPr>
              <w:t>-</w:t>
            </w:r>
          </w:p>
        </w:tc>
        <w:tc>
          <w:tcPr>
            <w:vAlign w:val="center"/>
          </w:tcPr>
          <w:p>
            <w:pPr>
              <w:jc w:val="center"/>
            </w:pPr>
            <w:r>
              <w:rPr>
                <w:color w:val="000000"/>
                <w:sz w:val="24"/>
              </w:rPr>
              <w:t>AMZN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844</w:t>
            </w:r>
          </w:p>
        </w:tc>
        <w:tc>
          <w:tcPr>
            <w:vAlign w:val="center"/>
          </w:tcPr>
          <w:p>
            <w:pPr>
              <w:jc w:val="right"/>
            </w:pPr>
            <w:r>
              <w:rPr>
                <w:color w:val="000000"/>
                <w:sz w:val="24"/>
              </w:rPr>
              <w:t>16,484,219.86</w:t>
            </w:r>
          </w:p>
        </w:tc>
        <w:tc>
          <w:tcPr>
            <w:vAlign w:val="center"/>
          </w:tcPr>
          <w:p>
            <w:pPr>
              <w:jc w:val="right"/>
            </w:pPr>
            <w:r>
              <w:rPr>
                <w:color w:val="000000"/>
                <w:sz w:val="24"/>
              </w:rPr>
              <w:t>4.24</w:t>
            </w:r>
          </w:p>
        </w:tc>
      </w:tr>
      <w:tr>
        <w:tc>
          <w:tcPr>
            <w:vMerge w:val="restart"/>
            <w:vAlign w:val="center"/>
          </w:tcPr>
          <w:p>
            <w:pPr>
              <w:jc w:val="center"/>
            </w:pPr>
            <w:r>
              <w:rPr>
                <w:color w:val="000000"/>
                <w:sz w:val="24"/>
              </w:rPr>
              <w:t>4</w:t>
            </w:r>
          </w:p>
        </w:tc>
        <w:tc>
          <w:tcPr>
            <w:vMerge w:val="restart"/>
            <w:vAlign w:val="center"/>
          </w:tcPr>
          <w:p>
            <w:pPr>
              <w:jc w:val="center"/>
            </w:pPr>
            <w:r>
              <w:rPr>
                <w:color w:val="000000"/>
                <w:sz w:val="24"/>
              </w:rPr>
              <w:t>Alphabet Inc</w:t>
            </w:r>
          </w:p>
        </w:tc>
        <w:tc>
          <w:tcPr>
            <w:vMerge w:val="restart"/>
            <w:vAlign w:val="center"/>
          </w:tcPr>
          <w:p>
            <w:pPr>
              <w:jc w:val="center"/>
            </w:pPr>
            <w:r>
              <w:rPr>
                <w:color w:val="000000"/>
                <w:sz w:val="24"/>
              </w:rPr>
              <w:t>-</w:t>
            </w:r>
          </w:p>
        </w:tc>
        <w:tc>
          <w:tcPr>
            <w:vAlign w:val="center"/>
          </w:tcPr>
          <w:p>
            <w:pPr>
              <w:jc w:val="center"/>
            </w:pPr>
            <w:r>
              <w:rPr>
                <w:color w:val="000000"/>
                <w:sz w:val="24"/>
              </w:rPr>
              <w:t>GOOGL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606</w:t>
            </w:r>
          </w:p>
        </w:tc>
        <w:tc>
          <w:tcPr>
            <w:vAlign w:val="center"/>
          </w:tcPr>
          <w:p>
            <w:pPr>
              <w:jc w:val="right"/>
            </w:pPr>
            <w:r>
              <w:rPr>
                <w:color w:val="000000"/>
                <w:sz w:val="24"/>
              </w:rPr>
              <w:t>6,083,685.49</w:t>
            </w:r>
          </w:p>
        </w:tc>
        <w:tc>
          <w:tcPr>
            <w:vAlign w:val="center"/>
          </w:tcPr>
          <w:p>
            <w:pPr>
              <w:jc w:val="right"/>
            </w:pPr>
            <w:r>
              <w:rPr>
                <w:color w:val="000000"/>
                <w:sz w:val="24"/>
              </w:rPr>
              <w:t>1.56</w:t>
            </w:r>
          </w:p>
        </w:tc>
      </w:tr>
      <w:tr>
        <w:tc>
          <w:tcPr>
            <w:vMerge/>
          </w:tcPr>
          <w:p/>
        </w:tc>
        <w:tc>
          <w:tcPr>
            <w:vMerge/>
          </w:tcPr>
          <w:p/>
        </w:tc>
        <w:tc>
          <w:tcPr>
            <w:vMerge/>
          </w:tcPr>
          <w:p/>
        </w:tc>
        <w:tc>
          <w:tcPr>
            <w:vAlign w:val="center"/>
          </w:tcPr>
          <w:p>
            <w:pPr>
              <w:jc w:val="center"/>
            </w:pPr>
            <w:r>
              <w:rPr>
                <w:color w:val="000000"/>
                <w:sz w:val="24"/>
              </w:rPr>
              <w:t>GOOG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589</w:t>
            </w:r>
          </w:p>
        </w:tc>
        <w:tc>
          <w:tcPr>
            <w:vAlign w:val="center"/>
          </w:tcPr>
          <w:p>
            <w:pPr>
              <w:jc w:val="right"/>
            </w:pPr>
            <w:r>
              <w:rPr>
                <w:color w:val="000000"/>
                <w:sz w:val="24"/>
              </w:rPr>
              <w:t>5,894,507.03</w:t>
            </w:r>
          </w:p>
        </w:tc>
        <w:tc>
          <w:tcPr>
            <w:vAlign w:val="center"/>
          </w:tcPr>
          <w:p>
            <w:pPr>
              <w:jc w:val="right"/>
            </w:pPr>
            <w:r>
              <w:rPr>
                <w:color w:val="000000"/>
                <w:sz w:val="24"/>
              </w:rPr>
              <w:t>1.52</w:t>
            </w:r>
          </w:p>
        </w:tc>
      </w:tr>
      <w:tr>
        <w:tc>
          <w:tcPr>
            <w:vAlign w:val="center"/>
          </w:tcPr>
          <w:p>
            <w:pPr>
              <w:jc w:val="center"/>
            </w:pPr>
            <w:r>
              <w:rPr>
                <w:color w:val="000000"/>
                <w:sz w:val="24"/>
              </w:rPr>
              <w:t>5</w:t>
            </w:r>
          </w:p>
        </w:tc>
        <w:tc>
          <w:tcPr>
            <w:vAlign w:val="center"/>
          </w:tcPr>
          <w:p>
            <w:pPr>
              <w:jc w:val="center"/>
            </w:pPr>
            <w:r>
              <w:rPr>
                <w:color w:val="000000"/>
                <w:sz w:val="24"/>
              </w:rPr>
              <w:t>Facebook Inc</w:t>
            </w:r>
          </w:p>
        </w:tc>
        <w:tc>
          <w:tcPr>
            <w:vAlign w:val="center"/>
          </w:tcPr>
          <w:p>
            <w:pPr>
              <w:jc w:val="center"/>
            </w:pPr>
            <w:r>
              <w:rPr>
                <w:color w:val="000000"/>
                <w:sz w:val="24"/>
              </w:rPr>
              <w:t>-</w:t>
            </w:r>
          </w:p>
        </w:tc>
        <w:tc>
          <w:tcPr>
            <w:vAlign w:val="center"/>
          </w:tcPr>
          <w:p>
            <w:pPr>
              <w:jc w:val="center"/>
            </w:pPr>
            <w:r>
              <w:rPr>
                <w:color w:val="000000"/>
                <w:sz w:val="24"/>
              </w:rPr>
              <w:t>FB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4,843</w:t>
            </w:r>
          </w:p>
        </w:tc>
        <w:tc>
          <w:tcPr>
            <w:vAlign w:val="center"/>
          </w:tcPr>
          <w:p>
            <w:pPr>
              <w:jc w:val="right"/>
            </w:pPr>
            <w:r>
              <w:rPr>
                <w:color w:val="000000"/>
                <w:sz w:val="24"/>
              </w:rPr>
              <w:t>7,785,326.22</w:t>
            </w:r>
          </w:p>
        </w:tc>
        <w:tc>
          <w:tcPr>
            <w:vAlign w:val="center"/>
          </w:tcPr>
          <w:p>
            <w:pPr>
              <w:jc w:val="right"/>
            </w:pPr>
            <w:r>
              <w:rPr>
                <w:color w:val="000000"/>
                <w:sz w:val="24"/>
              </w:rPr>
              <w:t>2.00</w:t>
            </w:r>
          </w:p>
        </w:tc>
      </w:tr>
      <w:tr>
        <w:tc>
          <w:tcPr>
            <w:vAlign w:val="center"/>
          </w:tcPr>
          <w:p>
            <w:pPr>
              <w:jc w:val="center"/>
            </w:pPr>
            <w:r>
              <w:rPr>
                <w:color w:val="000000"/>
                <w:sz w:val="24"/>
              </w:rPr>
              <w:t>6</w:t>
            </w:r>
          </w:p>
        </w:tc>
        <w:tc>
          <w:tcPr>
            <w:vAlign w:val="center"/>
          </w:tcPr>
          <w:p>
            <w:pPr>
              <w:jc w:val="center"/>
            </w:pPr>
            <w:r>
              <w:rPr>
                <w:color w:val="000000"/>
                <w:sz w:val="24"/>
              </w:rPr>
              <w:t>Johnson &amp; Johnson</w:t>
            </w:r>
          </w:p>
        </w:tc>
        <w:tc>
          <w:tcPr>
            <w:vAlign w:val="center"/>
          </w:tcPr>
          <w:p>
            <w:pPr>
              <w:jc w:val="center"/>
            </w:pPr>
            <w:r>
              <w:rPr>
                <w:color w:val="000000"/>
                <w:sz w:val="24"/>
              </w:rPr>
              <w:t>-</w:t>
            </w:r>
          </w:p>
        </w:tc>
        <w:tc>
          <w:tcPr>
            <w:vAlign w:val="center"/>
          </w:tcPr>
          <w:p>
            <w:pPr>
              <w:jc w:val="center"/>
            </w:pPr>
            <w:r>
              <w:rPr>
                <w:color w:val="000000"/>
                <w:sz w:val="24"/>
              </w:rPr>
              <w:t>JNJ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5,306</w:t>
            </w:r>
          </w:p>
        </w:tc>
        <w:tc>
          <w:tcPr>
            <w:vAlign w:val="center"/>
          </w:tcPr>
          <w:p>
            <w:pPr>
              <w:jc w:val="right"/>
            </w:pPr>
            <w:r>
              <w:rPr>
                <w:color w:val="000000"/>
                <w:sz w:val="24"/>
              </w:rPr>
              <w:t>5,282,600.99</w:t>
            </w:r>
          </w:p>
        </w:tc>
        <w:tc>
          <w:tcPr>
            <w:vAlign w:val="center"/>
          </w:tcPr>
          <w:p>
            <w:pPr>
              <w:jc w:val="right"/>
            </w:pPr>
            <w:r>
              <w:rPr>
                <w:color w:val="000000"/>
                <w:sz w:val="24"/>
              </w:rPr>
              <w:t>1.36</w:t>
            </w:r>
          </w:p>
        </w:tc>
      </w:tr>
      <w:tr>
        <w:tc>
          <w:tcPr>
            <w:vAlign w:val="center"/>
          </w:tcPr>
          <w:p>
            <w:pPr>
              <w:jc w:val="center"/>
            </w:pPr>
            <w:r>
              <w:rPr>
                <w:color w:val="000000"/>
                <w:sz w:val="24"/>
              </w:rPr>
              <w:t>7</w:t>
            </w:r>
          </w:p>
        </w:tc>
        <w:tc>
          <w:tcPr>
            <w:vAlign w:val="center"/>
          </w:tcPr>
          <w:p>
            <w:pPr>
              <w:jc w:val="center"/>
            </w:pPr>
            <w:r>
              <w:rPr>
                <w:color w:val="000000"/>
                <w:sz w:val="24"/>
              </w:rPr>
              <w:t>Berkshire Hathaway Inc</w:t>
            </w:r>
          </w:p>
        </w:tc>
        <w:tc>
          <w:tcPr>
            <w:vAlign w:val="center"/>
          </w:tcPr>
          <w:p>
            <w:pPr>
              <w:jc w:val="center"/>
            </w:pPr>
            <w:r>
              <w:rPr>
                <w:color w:val="000000"/>
                <w:sz w:val="24"/>
              </w:rPr>
              <w:t>-</w:t>
            </w:r>
          </w:p>
        </w:tc>
        <w:tc>
          <w:tcPr>
            <w:vAlign w:val="center"/>
          </w:tcPr>
          <w:p>
            <w:pPr>
              <w:jc w:val="center"/>
            </w:pPr>
            <w:r>
              <w:rPr>
                <w:color w:val="000000"/>
                <w:sz w:val="24"/>
              </w:rPr>
              <w:t>BRK/B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3,915</w:t>
            </w:r>
          </w:p>
        </w:tc>
        <w:tc>
          <w:tcPr>
            <w:vAlign w:val="center"/>
          </w:tcPr>
          <w:p>
            <w:pPr>
              <w:jc w:val="right"/>
            </w:pPr>
            <w:r>
              <w:rPr>
                <w:color w:val="000000"/>
                <w:sz w:val="24"/>
              </w:rPr>
              <w:t>4,947,626.45</w:t>
            </w:r>
          </w:p>
        </w:tc>
        <w:tc>
          <w:tcPr>
            <w:vAlign w:val="center"/>
          </w:tcPr>
          <w:p>
            <w:pPr>
              <w:jc w:val="right"/>
            </w:pPr>
            <w:r>
              <w:rPr>
                <w:color w:val="000000"/>
                <w:sz w:val="24"/>
              </w:rPr>
              <w:t>1.27</w:t>
            </w:r>
          </w:p>
        </w:tc>
      </w:tr>
      <w:tr>
        <w:tc>
          <w:tcPr>
            <w:vAlign w:val="center"/>
          </w:tcPr>
          <w:p>
            <w:pPr>
              <w:jc w:val="center"/>
            </w:pPr>
            <w:r>
              <w:rPr>
                <w:color w:val="000000"/>
                <w:sz w:val="24"/>
              </w:rPr>
              <w:t>8</w:t>
            </w:r>
          </w:p>
        </w:tc>
        <w:tc>
          <w:tcPr>
            <w:vAlign w:val="center"/>
          </w:tcPr>
          <w:p>
            <w:pPr>
              <w:jc w:val="center"/>
            </w:pPr>
            <w:r>
              <w:rPr>
                <w:color w:val="000000"/>
                <w:sz w:val="24"/>
              </w:rPr>
              <w:t>Visa Inc</w:t>
            </w:r>
          </w:p>
        </w:tc>
        <w:tc>
          <w:tcPr>
            <w:vAlign w:val="center"/>
          </w:tcPr>
          <w:p>
            <w:pPr>
              <w:jc w:val="center"/>
            </w:pPr>
            <w:r>
              <w:rPr>
                <w:color w:val="000000"/>
                <w:sz w:val="24"/>
              </w:rPr>
              <w:t>-</w:t>
            </w:r>
          </w:p>
        </w:tc>
        <w:tc>
          <w:tcPr>
            <w:vAlign w:val="center"/>
          </w:tcPr>
          <w:p>
            <w:pPr>
              <w:jc w:val="center"/>
            </w:pPr>
            <w:r>
              <w:rPr>
                <w:color w:val="000000"/>
                <w:sz w:val="24"/>
              </w:rPr>
              <w:t>V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3,398</w:t>
            </w:r>
          </w:p>
        </w:tc>
        <w:tc>
          <w:tcPr>
            <w:vAlign w:val="center"/>
          </w:tcPr>
          <w:p>
            <w:pPr>
              <w:jc w:val="right"/>
            </w:pPr>
            <w:r>
              <w:rPr>
                <w:color w:val="000000"/>
                <w:sz w:val="24"/>
              </w:rPr>
              <w:t>4,646,924.76</w:t>
            </w:r>
          </w:p>
        </w:tc>
        <w:tc>
          <w:tcPr>
            <w:vAlign w:val="center"/>
          </w:tcPr>
          <w:p>
            <w:pPr>
              <w:jc w:val="right"/>
            </w:pPr>
            <w:r>
              <w:rPr>
                <w:color w:val="000000"/>
                <w:sz w:val="24"/>
              </w:rPr>
              <w:t>1.19</w:t>
            </w:r>
          </w:p>
        </w:tc>
      </w:tr>
      <w:tr>
        <w:tc>
          <w:tcPr>
            <w:vAlign w:val="center"/>
          </w:tcPr>
          <w:p>
            <w:pPr>
              <w:jc w:val="center"/>
            </w:pPr>
            <w:r>
              <w:rPr>
                <w:color w:val="000000"/>
                <w:sz w:val="24"/>
              </w:rPr>
              <w:t>9</w:t>
            </w:r>
          </w:p>
        </w:tc>
        <w:tc>
          <w:tcPr>
            <w:vAlign w:val="center"/>
          </w:tcPr>
          <w:p>
            <w:pPr>
              <w:jc w:val="center"/>
            </w:pPr>
            <w:r>
              <w:rPr>
                <w:color w:val="000000"/>
                <w:sz w:val="24"/>
              </w:rPr>
              <w:t>Procter &amp; Gamble Co/The</w:t>
            </w:r>
          </w:p>
        </w:tc>
        <w:tc>
          <w:tcPr>
            <w:vAlign w:val="center"/>
          </w:tcPr>
          <w:p>
            <w:pPr>
              <w:jc w:val="center"/>
            </w:pPr>
            <w:r>
              <w:rPr>
                <w:color w:val="000000"/>
                <w:sz w:val="24"/>
              </w:rPr>
              <w:t>-</w:t>
            </w:r>
          </w:p>
        </w:tc>
        <w:tc>
          <w:tcPr>
            <w:vAlign w:val="center"/>
          </w:tcPr>
          <w:p>
            <w:pPr>
              <w:jc w:val="center"/>
            </w:pPr>
            <w:r>
              <w:rPr>
                <w:color w:val="000000"/>
                <w:sz w:val="24"/>
              </w:rPr>
              <w:t>PG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4,986</w:t>
            </w:r>
          </w:p>
        </w:tc>
        <w:tc>
          <w:tcPr>
            <w:vAlign w:val="center"/>
          </w:tcPr>
          <w:p>
            <w:pPr>
              <w:jc w:val="right"/>
            </w:pPr>
            <w:r>
              <w:rPr>
                <w:color w:val="000000"/>
                <w:sz w:val="24"/>
              </w:rPr>
              <w:t>4,220,628.13</w:t>
            </w:r>
          </w:p>
        </w:tc>
        <w:tc>
          <w:tcPr>
            <w:vAlign w:val="center"/>
          </w:tcPr>
          <w:p>
            <w:pPr>
              <w:jc w:val="right"/>
            </w:pPr>
            <w:r>
              <w:rPr>
                <w:color w:val="000000"/>
                <w:sz w:val="24"/>
              </w:rPr>
              <w:t>1.09</w:t>
            </w:r>
          </w:p>
        </w:tc>
      </w:tr>
      <w:tr>
        <w:tc>
          <w:tcPr>
            <w:vAlign w:val="center"/>
          </w:tcPr>
          <w:p>
            <w:pPr>
              <w:jc w:val="center"/>
            </w:pPr>
            <w:r>
              <w:rPr>
                <w:color w:val="000000"/>
                <w:sz w:val="24"/>
              </w:rPr>
              <w:t>10</w:t>
            </w:r>
          </w:p>
        </w:tc>
        <w:tc>
          <w:tcPr>
            <w:vAlign w:val="center"/>
          </w:tcPr>
          <w:p>
            <w:pPr>
              <w:jc w:val="center"/>
            </w:pPr>
            <w:r>
              <w:rPr>
                <w:color w:val="000000"/>
                <w:sz w:val="24"/>
              </w:rPr>
              <w:t>JPMorgan Chase &amp; Co</w:t>
            </w:r>
          </w:p>
        </w:tc>
        <w:tc>
          <w:tcPr>
            <w:vAlign w:val="center"/>
          </w:tcPr>
          <w:p>
            <w:pPr>
              <w:jc w:val="center"/>
            </w:pPr>
            <w:r>
              <w:rPr>
                <w:color w:val="000000"/>
                <w:sz w:val="24"/>
              </w:rPr>
              <w:t>-</w:t>
            </w:r>
          </w:p>
        </w:tc>
        <w:tc>
          <w:tcPr>
            <w:vAlign w:val="center"/>
          </w:tcPr>
          <w:p>
            <w:pPr>
              <w:jc w:val="center"/>
            </w:pPr>
            <w:r>
              <w:rPr>
                <w:color w:val="000000"/>
                <w:sz w:val="24"/>
              </w:rPr>
              <w:t>JPM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6,136</w:t>
            </w:r>
          </w:p>
        </w:tc>
        <w:tc>
          <w:tcPr>
            <w:vAlign w:val="center"/>
          </w:tcPr>
          <w:p>
            <w:pPr>
              <w:jc w:val="right"/>
            </w:pPr>
            <w:r>
              <w:rPr>
                <w:color w:val="000000"/>
                <w:sz w:val="24"/>
              </w:rPr>
              <w:t>4,085,948.72</w:t>
            </w:r>
          </w:p>
        </w:tc>
        <w:tc>
          <w:tcPr>
            <w:vAlign w:val="center"/>
          </w:tcPr>
          <w:p>
            <w:pPr>
              <w:jc w:val="right"/>
            </w:pPr>
            <w:r>
              <w:rPr>
                <w:color w:val="000000"/>
                <w:sz w:val="24"/>
              </w:rPr>
              <w:t>1.05</w:t>
            </w:r>
          </w:p>
        </w:tc>
      </w:tr>
    </w:tbl>
    <w:p w:rsidP="0040658E" w:rsidR="00F13451" w:rsidRDefault="00F33530" w:rsidRPr="0040658E">
      <w:pPr>
        <w:spacing w:line="360" w:lineRule="auto"/>
        <w:ind w:firstLine="480" w:firstLineChars="200"/>
        <w:rPr>
          <w:color w:val="000000"/>
          <w:sz w:val="24"/>
        </w:rPr>
      </w:pPr>
      <w:r w:rsidRPr="00DB3360">
        <w:rPr>
          <w:color w:val="000000"/>
          <w:sz w:val="24"/>
        </w:rPr>
        <w:t/>
      </w:r>
      <w:proofErr w:type="spellStart"/>
      <w:r w:rsidRPr="00DB3360">
        <w:rPr>
          <w:color w:val="000000"/>
          <w:sz w:val="24"/>
        </w:rPr>
        <w:t/>
      </w:r>
      <w:proofErr w:type="spellEnd"/>
      <w:r w:rsidRPr="00DB3360">
        <w:rPr>
          <w:color w:val="000000"/>
          <w:sz w:val="24"/>
        </w:rPr>
        <w:t/>
      </w:r>
      <w:proofErr w:type="spellStart"/>
      <w:r w:rsidRPr="00DB3360">
        <w:rPr>
          <w:color w:val="000000"/>
          <w:sz w:val="24"/>
        </w:rPr>
        <w:t/>
      </w:r>
      <w:proofErr w:type="spellEnd"/>
      <w:r w:rsidRPr="00DB3360">
        <w:rPr>
          <w:color w:val="000000"/>
          <w:sz w:val="24"/>
        </w:rPr>
        <w:t>注：此处所用证券代码的类别是当地市场代码。</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5.5 </w:t>
      </w:r>
      <w:r w:rsidRPr="00820253">
        <w:rPr>
          <w:rFonts w:ascii="宋体" w:cs="Arial" w:hAnsi="宋体" w:hint="eastAsia"/>
          <w:b/>
          <w:color w:val="000000"/>
          <w:kern w:val="0"/>
          <w:sz w:val="24"/>
        </w:rPr>
        <w:t>报告期末按债券信用等级分类的债券投资组合</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本基金本报告期末未持有债券。</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5.6</w:t>
      </w:r>
      <w:r w:rsidR="00476756">
        <w:rPr>
          <w:rFonts w:ascii="宋体" w:cs="Arial" w:hAnsi="宋体" w:hint="eastAsia"/>
          <w:b/>
          <w:color w:val="000000"/>
          <w:kern w:val="0"/>
          <w:sz w:val="24"/>
        </w:rPr>
        <w:t>报告期末按公允价值占基金资产净值比例大小排序</w:t>
      </w:r>
      <w:r w:rsidRPr="00820253">
        <w:rPr>
          <w:rFonts w:ascii="宋体" w:cs="Arial" w:hAnsi="宋体" w:hint="eastAsia"/>
          <w:b/>
          <w:color w:val="000000"/>
          <w:kern w:val="0"/>
          <w:sz w:val="24"/>
        </w:rPr>
        <w:t>的前五名债券投资明细</w:t>
      </w:r>
    </w:p>
    <w:p w:rsidP="00431EE1" w:rsidR="00F13451" w:rsidRDefault="00F13451" w:rsidRPr="008B041C">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本基金本报告期末未持有债券。</w:t>
      </w:r>
    </w:p>
    <w:p w:rsidP="0029671E" w:rsidR="00F13451" w:rsidRDefault="00F13451" w:rsidRPr="0029671E">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5.7</w:t>
      </w:r>
      <w:r w:rsidR="00476756">
        <w:rPr>
          <w:rFonts w:ascii="宋体" w:cs="Arial" w:hAnsi="宋体" w:hint="eastAsia"/>
          <w:b/>
          <w:color w:val="000000"/>
          <w:kern w:val="0"/>
          <w:sz w:val="24"/>
        </w:rPr>
        <w:t>报告期末按公允价值占基金资产净值比例大小排序</w:t>
      </w:r>
      <w:r w:rsidRPr="0029671E">
        <w:rPr>
          <w:rFonts w:ascii="宋体" w:cs="Arial" w:hAnsi="宋体" w:hint="eastAsia"/>
          <w:b/>
          <w:color w:val="000000"/>
          <w:kern w:val="0"/>
          <w:sz w:val="24"/>
        </w:rPr>
        <w:t>的前十名资产支持证券投资明细</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本基金本报告期末未持有资产支持证券。</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5.8 </w:t>
      </w:r>
      <w:r w:rsidR="00476756">
        <w:rPr>
          <w:rFonts w:ascii="宋体" w:cs="Arial" w:hAnsi="宋体" w:hint="eastAsia"/>
          <w:b/>
          <w:color w:val="000000"/>
          <w:kern w:val="0"/>
          <w:sz w:val="24"/>
        </w:rPr>
        <w:t>报告期末按公允价值占基金资产净值比例大小排序</w:t>
      </w:r>
      <w:r w:rsidRPr="00820253">
        <w:rPr>
          <w:rFonts w:ascii="宋体" w:cs="Arial" w:hAnsi="宋体" w:hint="eastAsia"/>
          <w:b/>
          <w:color w:val="000000"/>
          <w:kern w:val="0"/>
          <w:sz w:val="24"/>
        </w:rPr>
        <w:t>的前五名金融衍生品投资明细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891"/>
        <w:gridCol w:w="2100"/>
        <w:gridCol w:w="1495"/>
        <w:gridCol w:w="1795"/>
        <w:gridCol w:w="2247"/>
      </w:tblGrid>
      <w:tr w:rsidR="00F13451" w:rsidRPr="00820253" w:rsidTr="00E35496">
        <w:tc>
          <w:tcPr>
            <w:tcW w:type="dxa" w:w="675"/>
          </w:tcPr>
          <w:p w:rsidP="00E35496" w:rsidR="00F13451" w:rsidRDefault="00F13451" w:rsidRPr="00431EE1">
            <w:pPr>
              <w:autoSpaceDE w:val="0"/>
              <w:autoSpaceDN w:val="0"/>
              <w:adjustRightInd w:val="0"/>
              <w:spacing w:line="360" w:lineRule="auto"/>
              <w:jc w:val="left"/>
              <w:rPr>
                <w:color w:val="000000"/>
                <w:sz w:val="24"/>
              </w:rPr>
            </w:pPr>
            <w:r w:rsidRPr="00431EE1">
              <w:rPr>
                <w:color w:val="000000"/>
                <w:kern w:val="0"/>
                <w:sz w:val="24"/>
              </w:rPr>
              <w:t>序号</w:t>
            </w:r>
          </w:p>
        </w:tc>
        <w:tc>
          <w:tcPr>
            <w:tcW w:type="dxa" w:w="2352"/>
          </w:tcPr>
          <w:p w:rsidP="00E35496" w:rsidR="00F13451" w:rsidRDefault="00F13451" w:rsidRPr="00431EE1">
            <w:pPr>
              <w:autoSpaceDE w:val="0"/>
              <w:autoSpaceDN w:val="0"/>
              <w:adjustRightInd w:val="0"/>
              <w:spacing w:line="360" w:lineRule="auto"/>
              <w:jc w:val="left"/>
              <w:rPr>
                <w:color w:val="000000"/>
                <w:sz w:val="24"/>
              </w:rPr>
            </w:pPr>
            <w:r w:rsidRPr="00431EE1">
              <w:rPr>
                <w:color w:val="000000"/>
                <w:kern w:val="0"/>
                <w:sz w:val="24"/>
              </w:rPr>
              <w:t>衍生品类别</w:t>
            </w:r>
          </w:p>
        </w:tc>
        <w:tc>
          <w:tcPr>
            <w:tcW w:type="dxa" w:w="1513"/>
          </w:tcPr>
          <w:p w:rsidP="00E35496" w:rsidR="00F13451" w:rsidRDefault="00F13451" w:rsidRPr="00431EE1">
            <w:pPr>
              <w:autoSpaceDE w:val="0"/>
              <w:autoSpaceDN w:val="0"/>
              <w:adjustRightInd w:val="0"/>
              <w:spacing w:line="360" w:lineRule="auto"/>
              <w:jc w:val="left"/>
              <w:rPr>
                <w:color w:val="000000"/>
                <w:sz w:val="24"/>
              </w:rPr>
            </w:pPr>
            <w:r w:rsidRPr="00431EE1">
              <w:rPr>
                <w:color w:val="000000"/>
                <w:kern w:val="0"/>
                <w:sz w:val="24"/>
              </w:rPr>
              <w:t>衍生品名称</w:t>
            </w:r>
          </w:p>
        </w:tc>
        <w:tc>
          <w:tcPr>
            <w:tcW w:type="dxa" w:w="1754"/>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公允价值</w:t>
            </w:r>
          </w:p>
          <w:p w:rsidP="00284EC5" w:rsidR="00F13451" w:rsidRDefault="00284EC5" w:rsidRPr="00431EE1">
            <w:pPr>
              <w:autoSpaceDE w:val="0"/>
              <w:autoSpaceDN w:val="0"/>
              <w:adjustRightInd w:val="0"/>
              <w:spacing w:line="360" w:lineRule="auto"/>
              <w:jc w:val="left"/>
              <w:rPr>
                <w:color w:val="000000"/>
                <w:sz w:val="24"/>
              </w:rPr>
            </w:pPr>
            <w:r w:rsidRPr="00431EE1">
              <w:rPr>
                <w:color w:val="000000"/>
                <w:kern w:val="0"/>
                <w:sz w:val="24"/>
              </w:rPr>
              <w:t>（人民币元）</w:t>
            </w:r>
          </w:p>
        </w:tc>
        <w:tc>
          <w:tcPr>
            <w:tcW w:type="dxa" w:w="2234"/>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占基金资产</w:t>
            </w:r>
          </w:p>
          <w:p w:rsidP="00E35496" w:rsidR="00F13451" w:rsidRDefault="00F13451" w:rsidRPr="00431EE1">
            <w:pPr>
              <w:autoSpaceDE w:val="0"/>
              <w:autoSpaceDN w:val="0"/>
              <w:adjustRightInd w:val="0"/>
              <w:spacing w:line="360" w:lineRule="auto"/>
              <w:jc w:val="left"/>
              <w:rPr>
                <w:color w:val="000000"/>
                <w:sz w:val="24"/>
              </w:rPr>
            </w:pPr>
            <w:r w:rsidRPr="00431EE1">
              <w:rPr>
                <w:color w:val="000000"/>
                <w:kern w:val="0"/>
                <w:sz w:val="24"/>
              </w:rPr>
              <w:t>净值比例（</w:t>
            </w:r>
            <w:r w:rsidRPr="00431EE1">
              <w:rPr>
                <w:color w:val="000000"/>
                <w:kern w:val="0"/>
                <w:sz w:val="24"/>
              </w:rPr>
              <w:t>%</w:t>
            </w:r>
            <w:r w:rsidRPr="00431EE1">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股指期货</w:t>
            </w:r>
          </w:p>
        </w:tc>
        <w:tc>
          <w:tcPr>
            <w:vAlign w:val="center"/>
          </w:tcPr>
          <w:p>
            <w:pPr>
              <w:jc w:val="center"/>
            </w:pPr>
            <w:r>
              <w:rPr>
                <w:color w:val="000000"/>
                <w:sz w:val="24"/>
              </w:rPr>
              <w:t>S&amp;P500 EMINI FUT  Sep20</w:t>
            </w:r>
          </w:p>
        </w:tc>
        <w:tc>
          <w:tcPr>
            <w:vAlign w:val="center"/>
          </w:tcPr>
          <w:p>
            <w:pPr>
              <w:jc w:val="right"/>
            </w:pPr>
            <w:r>
              <w:rPr>
                <w:color w:val="000000"/>
                <w:sz w:val="24"/>
              </w:rPr>
              <w:t>-</w:t>
            </w:r>
          </w:p>
        </w:tc>
        <w:tc>
          <w:tcPr>
            <w:vAlign w:val="center"/>
          </w:tcPr>
          <w:p>
            <w:pPr>
              <w:jc w:val="right"/>
            </w:pPr>
            <w:r>
              <w:rPr>
                <w:color w:val="000000"/>
                <w:sz w:val="24"/>
              </w:rPr>
              <w:t>-</w:t>
            </w:r>
          </w:p>
        </w:tc>
      </w:tr>
    </w:tbl>
    <w:p w:rsidP="00431EE1" w:rsidR="00F13451" w:rsidRDefault="00F13451" w:rsidRPr="00431EE1">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注：按照期货每日无负债结算的结算规则，根据《基金股指期货投资会计业务核算细则(试行)》及《企业会计准则-金融工具列报》的相关规定，“其他衍生工具-期货投资”与“证券清算款-期货每日无负债结算暂收暂付款”，符合金融资产与金融负债相抵销的条件，故将“其他衍生工具-期货投资”的期末公允价值以抵销后的净额列报，净额为零。期货投资的公允价值变动金额为68,269.05元，已包含在结算备付金中。</w:t>
      </w:r>
    </w:p>
    <w:p w:rsidP="0029671E" w:rsidR="00F13451" w:rsidRDefault="00F13451" w:rsidRPr="0029671E">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5.9</w:t>
      </w:r>
      <w:r w:rsidRPr="0029671E">
        <w:rPr>
          <w:rFonts w:ascii="宋体" w:cs="Arial" w:hAnsi="宋体" w:hint="eastAsia"/>
          <w:b/>
          <w:color w:val="000000"/>
          <w:kern w:val="0"/>
          <w:sz w:val="24"/>
        </w:rPr>
        <w:t>报告期末按公允价值占基金资产净值比例大小排序的前十名基金投资明细</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本基金本报告期末未持有基金。</w:t>
      </w:r>
    </w:p>
    <w:p w:rsidP="00A33DF2"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5.10 </w:t>
      </w:r>
      <w:r w:rsidRPr="00820253">
        <w:rPr>
          <w:rFonts w:ascii="宋体" w:cs="Arial" w:hAnsi="宋体" w:hint="eastAsia"/>
          <w:b/>
          <w:color w:val="000000"/>
          <w:kern w:val="0"/>
          <w:sz w:val="24"/>
        </w:rPr>
        <w:t>投资组合报告附注</w:t>
      </w:r>
    </w:p>
    <w:p>
      <w:pPr>
        <w:spacing w:line="360" w:lineRule="auto"/>
        <w:rPr>
          <w:rFonts w:ascii="宋体" w:hAnsi="宋体"/>
          <w:color w:val="000000"/>
          <w:sz w:val="24"/>
        </w:rPr>
      </w:pPr>
      <w:r>
        <w:rPr>
          <w:color w:val="000000"/>
          <w:sz w:val="24"/>
        </w:rPr>
        <w:t>2019年7月24日，美国联邦贸易委员会对FACEBOOK滥用用户数据的行为处以50亿美元的罚款。</w:t>
      </w:r>
    </w:p>
    <w:p>
      <w:pPr>
        <w:spacing w:line="360" w:lineRule="auto"/>
        <w:rPr>
          <w:rFonts w:ascii="宋体" w:hAnsi="宋体"/>
          <w:color w:val="000000"/>
          <w:sz w:val="24"/>
        </w:rPr>
      </w:pPr>
      <w:r>
        <w:rPr>
          <w:color w:val="000000"/>
          <w:sz w:val="24"/>
        </w:rPr>
        <w:t>2019年11月25日，苹果公司由于违反美国制裁法规，被处以46.7万美元的罚款。</w:t>
      </w:r>
    </w:p>
    <w:p>
      <w:pPr>
        <w:spacing w:line="360" w:lineRule="auto"/>
        <w:rPr>
          <w:rFonts w:ascii="宋体" w:hAnsi="宋体"/>
          <w:color w:val="000000"/>
          <w:sz w:val="24"/>
        </w:rPr>
      </w:pPr>
      <w:r>
        <w:rPr>
          <w:color w:val="000000"/>
          <w:sz w:val="24"/>
        </w:rPr>
        <w:t>2019年12月20日，谷歌因存在不公平竞争行为被法国反垄断机构处以1.67亿美元的罚款。</w:t>
      </w:r>
    </w:p>
    <w:p>
      <w:pPr>
        <w:spacing w:line="360" w:lineRule="auto"/>
        <w:rPr>
          <w:rFonts w:ascii="宋体" w:hAnsi="宋体"/>
          <w:color w:val="000000"/>
          <w:sz w:val="24"/>
        </w:rPr>
      </w:pPr>
      <w:r>
        <w:rPr>
          <w:color w:val="000000"/>
          <w:sz w:val="24"/>
        </w:rPr>
        <w:t>2019年12月30日，巴西司法部宣布对FACEBOOK处以660万雷亚尔(约合人民币1150万元)的罚款，原因是该公司不当共享用户数据。</w:t>
      </w:r>
    </w:p>
    <w:p>
      <w:pPr>
        <w:spacing w:line="360" w:lineRule="auto"/>
        <w:rPr>
          <w:rFonts w:ascii="宋体" w:hAnsi="宋体"/>
          <w:color w:val="000000"/>
          <w:sz w:val="24"/>
        </w:rPr>
      </w:pPr>
      <w:r>
        <w:rPr>
          <w:color w:val="000000"/>
          <w:sz w:val="24"/>
        </w:rPr>
        <w:t>2020年1月31日，美国加州圣迭戈高等法院裁决对强生罚款3.44亿美元，理由是其相关产品在安全性上误导消费者。</w:t>
      </w:r>
    </w:p>
    <w:p>
      <w:pPr>
        <w:spacing w:line="360" w:lineRule="auto"/>
        <w:rPr>
          <w:rFonts w:ascii="宋体" w:hAnsi="宋体"/>
          <w:color w:val="000000"/>
          <w:sz w:val="24"/>
        </w:rPr>
      </w:pPr>
      <w:r>
        <w:rPr>
          <w:color w:val="000000"/>
          <w:sz w:val="24"/>
        </w:rPr>
        <w:t>2020年2月7日，苹果公司被法国竞争和欺诈监管机构DGCCRF罚款2500万欧元，原因是该公司未告知用户IOS系统更新，可能导致iPhone 6、SE和7降速。</w:t>
      </w:r>
    </w:p>
    <w:p>
      <w:pPr>
        <w:spacing w:line="360" w:lineRule="auto"/>
        <w:rPr>
          <w:rFonts w:ascii="宋体" w:hAnsi="宋体"/>
          <w:color w:val="000000"/>
          <w:sz w:val="24"/>
        </w:rPr>
      </w:pPr>
      <w:r>
        <w:rPr>
          <w:color w:val="000000"/>
          <w:sz w:val="24"/>
        </w:rPr>
        <w:t>2020年3月16日，法国反垄断监管机构对苹果公司（Apple Inc.）处以创纪录的11亿欧元（约合12亿美元）罚款，依据是该公司与供应商达成协议，对独立经销商构成不正当竞争。</w:t>
      </w:r>
    </w:p>
    <w:p>
      <w:pPr>
        <w:spacing w:line="360" w:lineRule="auto"/>
        <w:rPr>
          <w:rFonts w:ascii="宋体" w:hAnsi="宋体"/>
          <w:color w:val="000000"/>
          <w:sz w:val="24"/>
        </w:rPr>
      </w:pPr>
      <w:r>
        <w:rPr>
          <w:color w:val="000000"/>
          <w:sz w:val="24"/>
        </w:rPr>
        <w:t>2020年3月25日，欧盟委员会表示，已对强生公司收购武田药品工业旗下相关产品的计划展开调查，因该笔交易可能会阻碍竞争。</w:t>
      </w:r>
    </w:p>
    <w:p>
      <w:pPr>
        <w:spacing w:line="360" w:lineRule="auto"/>
        <w:rPr>
          <w:rFonts w:ascii="宋体" w:hAnsi="宋体"/>
          <w:color w:val="000000"/>
          <w:sz w:val="24"/>
        </w:rPr>
      </w:pPr>
      <w:r>
        <w:rPr>
          <w:color w:val="000000"/>
          <w:sz w:val="24"/>
        </w:rPr>
        <w:t>2020年5月19日，Facebook公司同意支付900万美元的罚款，以解决加拿大竞争局对其在Facebook和Messenger上做出虚假或误导性隐私声明的调查。Facebook还将额外支付50万美元作为联邦调查局的调查费用。</w:t>
      </w:r>
    </w:p>
    <w:p>
      <w:pPr>
        <w:spacing w:line="360" w:lineRule="auto"/>
        <w:rPr>
          <w:rFonts w:ascii="宋体" w:hAnsi="宋体"/>
          <w:color w:val="000000"/>
          <w:sz w:val="24"/>
        </w:rPr>
      </w:pPr>
      <w:r>
        <w:rPr>
          <w:color w:val="000000"/>
          <w:sz w:val="24"/>
        </w:rPr>
        <w:t>2020年6月12日，英国公平竞争及市场管理局表示已经开始调查Facebook以4亿美元收购动态图片公司Giphy的交易，因该交易可能减少英国国内的竞争。</w:t>
      </w:r>
    </w:p>
    <w:p>
      <w:pPr>
        <w:spacing w:line="360" w:lineRule="auto"/>
        <w:rPr>
          <w:rFonts w:ascii="宋体" w:hAnsi="宋体"/>
          <w:color w:val="000000"/>
          <w:sz w:val="24"/>
        </w:rPr>
      </w:pPr>
      <w:r>
        <w:rPr>
          <w:color w:val="000000"/>
          <w:sz w:val="24"/>
        </w:rPr>
        <w:t>2020年6月16日，欧盟委员会宣布，将对苹果的软件商店和苹果支付服务展开反垄断调查。欧盟委员会表示，苹果公司施加的一些限制措施可能违反了欧盟的竞争规则。</w:t>
      </w:r>
    </w:p>
    <w:p>
      <w:pPr>
        <w:spacing w:line="360" w:lineRule="auto"/>
        <w:rPr>
          <w:rFonts w:ascii="宋体" w:hAnsi="宋体"/>
          <w:color w:val="000000"/>
          <w:sz w:val="24"/>
        </w:rPr>
      </w:pPr>
      <w:r>
        <w:rPr>
          <w:color w:val="000000"/>
          <w:sz w:val="24"/>
        </w:rPr>
        <w:t>2020年6月19日，法国最高行政法院裁定，维持对谷歌5000万欧元（5600万美元）的罚款，原因是谷歌对安卓用户的数据保护选项的提供“不够清晰和透明”。</w:t>
      </w:r>
    </w:p>
    <w:p w:rsidP="00A33DF2" w:rsidR="00F13451" w:rsidRDefault="00F13451" w:rsidRPr="00820253">
      <w:pPr>
        <w:spacing w:line="360" w:lineRule="auto"/>
        <w:rPr>
          <w:rFonts w:ascii="宋体" w:hAnsi="宋体"/>
          <w:color w:val="000000"/>
          <w:sz w:val="24"/>
        </w:rPr>
      </w:pPr>
      <w:r w:rsidRPr="00820253">
        <w:rPr>
          <w:rFonts w:ascii="宋体" w:hAnsi="宋体"/>
          <w:color w:val="000000"/>
          <w:sz w:val="24"/>
        </w:rPr>
        <w:t>5.10.1</w:t>
      </w:r>
      <w:r w:rsidR="00D623A3">
        <w:rPr>
          <w:rFonts w:ascii="宋体" w:hAnsi="宋体" w:hint="eastAsia"/>
          <w:color w:val="000000"/>
          <w:sz w:val="24"/>
        </w:rPr>
        <w:t xml:space="preserve"> </w:t>
      </w:r>
      <w:r w:rsidRPr="00431EE1">
        <w:rPr>
          <w:color w:val="000000"/>
          <w:sz w:val="24"/>
        </w:rPr>
        <w:t/>
      </w:r>
      <w:proofErr w:type="gramStart"/>
      <w:r w:rsidRPr="00431EE1">
        <w:rPr>
          <w:color w:val="000000"/>
          <w:sz w:val="24"/>
        </w:rPr>
        <w:t/>
      </w:r>
      <w:proofErr w:type="gramEnd"/>
      <w:r w:rsidRPr="00431EE1">
        <w:rPr>
          <w:color w:val="000000"/>
          <w:sz w:val="24"/>
        </w:rPr>
        <w:t>本基金为指数型基金，上述股票系标的指数成份股，上述股票的投资决策程序符合公司投资制度的规定。除谷歌、Facebook、苹果、强生外，本基金投资的其他前十名证券的发行主体本期没有出现被监管部门立案调查，或在报告编制日前一年内受到公开谴责、处罚的情形。</w:t>
      </w:r>
    </w:p>
    <w:p w:rsidP="00A33DF2" w:rsidR="00F13451" w:rsidRDefault="00F13451" w:rsidRPr="00431EE1">
      <w:pPr>
        <w:spacing w:line="360" w:lineRule="auto"/>
        <w:rPr>
          <w:rFonts w:ascii="Verdana" w:hAnsi="Verdana"/>
          <w:color w:val="000000"/>
          <w:sz w:val="24"/>
        </w:rPr>
      </w:pPr>
      <w:r w:rsidRPr="00820253">
        <w:rPr>
          <w:rFonts w:ascii="宋体" w:hAnsi="宋体"/>
          <w:color w:val="000000"/>
          <w:sz w:val="24"/>
        </w:rPr>
        <w:t>5.10.2</w:t>
      </w:r>
      <w:r w:rsidR="00D623A3">
        <w:rPr>
          <w:rFonts w:ascii="宋体" w:hAnsi="宋体" w:hint="eastAsia"/>
          <w:color w:val="000000"/>
          <w:sz w:val="24"/>
        </w:rPr>
        <w:t xml:space="preserve"> </w:t>
      </w:r>
      <w:r w:rsidRPr="00431EE1">
        <w:rPr>
          <w:color w:val="000000"/>
          <w:sz w:val="24"/>
        </w:rPr>
        <w:t>本基金投资的前十名股票没有超出基金合同规定的备选股票库。</w:t>
      </w:r>
    </w:p>
    <w:p w:rsidP="00A33DF2" w:rsidR="00F13451" w:rsidRDefault="00F13451" w:rsidRPr="005771AC">
      <w:pPr>
        <w:autoSpaceDE w:val="0"/>
        <w:autoSpaceDN w:val="0"/>
        <w:adjustRightInd w:val="0"/>
        <w:spacing w:line="360" w:lineRule="auto"/>
        <w:jc w:val="left"/>
        <w:rPr>
          <w:rFonts w:ascii="宋体" w:cs="Arial"/>
          <w:color w:val="000000"/>
          <w:kern w:val="0"/>
          <w:sz w:val="24"/>
        </w:rPr>
      </w:pPr>
      <w:r w:rsidRPr="005771AC">
        <w:rPr>
          <w:rFonts w:ascii="宋体" w:cs="Arial" w:hAnsi="宋体"/>
          <w:color w:val="000000"/>
          <w:kern w:val="0"/>
          <w:sz w:val="24"/>
        </w:rPr>
        <w:t>5.10.3</w:t>
      </w:r>
      <w:r w:rsidR="00320493">
        <w:rPr>
          <w:rFonts w:ascii="宋体" w:cs="Arial" w:hAnsi="宋体" w:hint="eastAsia"/>
          <w:color w:val="000000"/>
          <w:kern w:val="0"/>
          <w:sz w:val="24"/>
        </w:rPr>
        <w:t>其他</w:t>
      </w:r>
      <w:bookmarkStart w:id="2" w:name="_GoBack"/>
      <w:bookmarkEnd w:id="2"/>
      <w:r w:rsidRPr="005771AC">
        <w:rPr>
          <w:rFonts w:ascii="宋体" w:cs="Arial" w:hAnsi="宋体" w:hint="eastAsia"/>
          <w:color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2903"/>
        <w:gridCol w:w="4808"/>
      </w:tblGrid>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序号</w:t>
            </w:r>
          </w:p>
        </w:tc>
        <w:tc>
          <w:tcPr>
            <w:tcW w:type="dxa" w:w="2903"/>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名称</w:t>
            </w:r>
          </w:p>
        </w:tc>
        <w:tc>
          <w:tcPr>
            <w:tcW w:type="dxa" w:w="4808"/>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金额</w:t>
            </w:r>
            <w:r w:rsidRPr="00431EE1">
              <w:rPr>
                <w:color w:val="000000"/>
                <w:kern w:val="0"/>
                <w:sz w:val="24"/>
              </w:rPr>
              <w:t>(</w:t>
            </w:r>
            <w:r w:rsidRPr="00431EE1">
              <w:rPr>
                <w:color w:val="000000"/>
                <w:kern w:val="0"/>
                <w:sz w:val="24"/>
              </w:rPr>
              <w:t>人民币元</w:t>
            </w:r>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kern w:val="0"/>
                <w:sz w:val="24"/>
              </w:rPr>
            </w:pPr>
            <w:r w:rsidRPr="00431EE1">
              <w:rPr>
                <w:color w:val="000000"/>
                <w:sz w:val="24"/>
              </w:rPr>
              <w:t>1</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存出保证金</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224,278.56</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2</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应收证券清算款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2,784,052.74</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3</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应收股利</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270,432.32</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4</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应收利息</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2,978.24</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lastRenderedPageBreak/>
              <w:t>5</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应收申购款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2,717,670.80</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6</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其他应收款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7</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sz w:val="24"/>
              </w:rPr>
            </w:pPr>
            <w:r w:rsidRPr="00431EE1">
              <w:rPr>
                <w:color w:val="000000"/>
                <w:sz w:val="24"/>
              </w:rPr>
              <w:t>待摊费用</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8</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其他</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9</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合计</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5,999,412.66</w:t>
            </w:r>
          </w:p>
        </w:tc>
      </w:tr>
    </w:tbl>
    <w:p w:rsidP="00A33DF2" w:rsidR="00F13451" w:rsidRDefault="00F13451" w:rsidRPr="005771AC">
      <w:pPr>
        <w:autoSpaceDE w:val="0"/>
        <w:autoSpaceDN w:val="0"/>
        <w:adjustRightInd w:val="0"/>
        <w:spacing w:line="360" w:lineRule="auto"/>
        <w:rPr>
          <w:rFonts w:ascii="宋体" w:cs="Arial"/>
          <w:color w:val="000000"/>
          <w:kern w:val="0"/>
          <w:sz w:val="24"/>
        </w:rPr>
      </w:pPr>
      <w:r w:rsidRPr="005771AC">
        <w:rPr>
          <w:rFonts w:ascii="宋体" w:cs="Arial" w:hAnsi="宋体"/>
          <w:color w:val="000000"/>
          <w:kern w:val="0"/>
          <w:sz w:val="24"/>
        </w:rPr>
        <w:t>5.10.4</w:t>
      </w:r>
      <w:r w:rsidRPr="005771AC">
        <w:rPr>
          <w:rFonts w:ascii="宋体" w:hAnsi="宋体" w:hint="eastAsia"/>
          <w:bCs/>
          <w:sz w:val="24"/>
        </w:rPr>
        <w:t>报告期末持有的处于转股期的可转换债券明细</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本基金本报告期末未持有处于转股期的可转换债券。</w:t>
      </w:r>
    </w:p>
    <w:p w:rsidP="00F33530" w:rsidR="00F33530" w:rsidRDefault="00F13451" w:rsidRPr="00CA4176">
      <w:pPr>
        <w:autoSpaceDE w:val="0"/>
        <w:autoSpaceDN w:val="0"/>
        <w:adjustRightInd w:val="0"/>
        <w:spacing w:line="360" w:lineRule="auto"/>
        <w:jc w:val="left"/>
        <w:rPr>
          <w:rFonts w:ascii="宋体" w:cs="Arial"/>
          <w:color w:val="000000"/>
          <w:kern w:val="0"/>
          <w:sz w:val="24"/>
        </w:rPr>
      </w:pPr>
      <w:r w:rsidRPr="005771AC">
        <w:rPr>
          <w:rFonts w:ascii="宋体" w:cs="Arial" w:hAnsi="宋体"/>
          <w:color w:val="000000"/>
          <w:kern w:val="0"/>
          <w:sz w:val="24"/>
        </w:rPr>
        <w:t>5.10.5</w:t>
      </w:r>
      <w:r w:rsidR="00F33530" w:rsidRPr="00CA4176">
        <w:rPr>
          <w:rFonts w:ascii="宋体" w:cs="Arial" w:hAnsi="宋体" w:hint="eastAsia"/>
          <w:color w:val="000000"/>
          <w:kern w:val="0"/>
          <w:sz w:val="24"/>
        </w:rPr>
        <w:t>报告期末前十名股票中存在流通受限情况的说明</w:t>
      </w:r>
    </w:p>
    <w:p w:rsidP="00F33530" w:rsidR="00F13451" w:rsidRDefault="00F33530" w:rsidRPr="00F33530">
      <w:pPr>
        <w:spacing w:line="360" w:lineRule="auto"/>
        <w:ind w:firstLine="480" w:firstLineChars="200"/>
        <w:rPr>
          <w:color w:val="000000"/>
          <w:sz w:val="24"/>
        </w:rPr>
      </w:pPr>
      <w:r w:rsidRPr="00DB3360">
        <w:rPr>
          <w:color w:val="000000"/>
          <w:sz w:val="24"/>
        </w:rPr>
        <w:lastRenderedPageBreak/>
        <w:t>本基金本报告期末前十名股票中不存在流通受限情况。</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FD0A58" w:rsidRPr="00820253">
        <w:rPr>
          <w:rFonts w:ascii="宋体" w:cs="Arial" w:hAnsi="宋体"/>
          <w:color w:val="000000"/>
          <w:kern w:val="0"/>
          <w:sz w:val="24"/>
          <w:szCs w:val="24"/>
        </w:rPr>
        <w:t xml:space="preserve">  </w:t>
      </w:r>
      <w:r w:rsidRPr="00820253">
        <w:rPr>
          <w:rFonts w:ascii="宋体" w:cs="Arial" w:hAnsi="宋体" w:hint="eastAsia"/>
          <w:color w:val="000000"/>
          <w:kern w:val="0"/>
          <w:sz w:val="24"/>
          <w:szCs w:val="24"/>
        </w:rPr>
        <w:t>开放式基金份额变动</w:t>
      </w:r>
    </w:p>
    <w:p w:rsidP="008B6A4A" w:rsidR="00F13451" w:rsidRDefault="00F13451" w:rsidRPr="00820253">
      <w:pPr>
        <w:autoSpaceDE w:val="0"/>
        <w:autoSpaceDN w:val="0"/>
        <w:adjustRightInd w:val="0"/>
        <w:spacing w:before="29" w:line="360" w:lineRule="auto"/>
        <w:ind w:left="15"/>
        <w:jc w:val="right"/>
        <w:rPr>
          <w:rFonts w:ascii="宋体" w:cs="Arial"/>
          <w:color w:val="000000"/>
          <w:kern w:val="0"/>
          <w:sz w:val="24"/>
        </w:rPr>
      </w:pPr>
      <w:r w:rsidRPr="00820253">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报告期期初基金份额总额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357,506,225.25</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基金总申购份额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58,653,212.63</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减：</w:t>
            </w: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基金总赎回份额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134,522,939.95</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基金拆分变动份额</w:t>
            </w:r>
            <w:r w:rsidR="00492D67">
              <w:rPr>
                <w:rFonts w:hint="eastAsia"/>
                <w:color w:val="000000"/>
                <w:kern w:val="0"/>
                <w:sz w:val="24"/>
              </w:rPr>
              <w:t>（份额减少以“</w:t>
            </w:r>
            <w:r w:rsidR="00492D67">
              <w:rPr>
                <w:color w:val="000000"/>
                <w:kern w:val="0"/>
                <w:sz w:val="24"/>
              </w:rPr>
              <w:t>-</w:t>
            </w:r>
            <w:r w:rsidR="00492D67">
              <w:rPr>
                <w:rFonts w:hint="eastAsia"/>
                <w:color w:val="000000"/>
                <w:kern w:val="0"/>
                <w:sz w:val="24"/>
              </w:rPr>
              <w:t>”填列）</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报告期期末基金份额总额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281,636,497.93</w:t>
            </w:r>
          </w:p>
        </w:tc>
      </w:tr>
    </w:tbl>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注：本基金份额变动含易方达标普500指数（QDII-LOF）人民币份额及美元现汇份额。</w:t>
      </w:r>
    </w:p>
    <w:p w:rsidP="008B041C" w:rsidR="00F13451" w:rsidRDefault="00F13451"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Pr>
          <w:rFonts w:ascii="宋体"/>
          <w:color w:val="000000"/>
          <w:kern w:val="0"/>
          <w:sz w:val="24"/>
          <w:szCs w:val="24"/>
        </w:rPr>
        <w:t/>
      </w:r>
      <w:r>
        <w:rPr>
          <w:rFonts w:ascii="宋体" w:hAnsi="宋体"/>
          <w:color w:val="000000"/>
          <w:kern w:val="0"/>
          <w:sz w:val="24"/>
          <w:szCs w:val="24"/>
        </w:rPr>
        <w:t/>
      </w:r>
      <w:r w:rsidRPr="00264E55">
        <w:rPr>
          <w:rFonts w:ascii="宋体"/>
          <w:color w:val="000000"/>
          <w:kern w:val="0"/>
          <w:sz w:val="24"/>
          <w:szCs w:val="24"/>
        </w:rPr>
        <w:t>7</w:t>
      </w:r>
      <w:r w:rsidR="00FD0A58" w:rsidRPr="00820253">
        <w:rPr>
          <w:rFonts w:ascii="宋体" w:cs="Arial" w:hAnsi="宋体"/>
          <w:color w:val="000000"/>
          <w:kern w:val="0"/>
          <w:sz w:val="24"/>
          <w:szCs w:val="24"/>
        </w:rPr>
        <w:t xml:space="preserve">  </w:t>
      </w:r>
      <w:r w:rsidRPr="005C2541">
        <w:rPr>
          <w:rFonts w:ascii="宋体" w:hAnsi="宋体" w:hint="eastAsia"/>
          <w:color w:val="000000"/>
          <w:kern w:val="0"/>
          <w:sz w:val="24"/>
          <w:szCs w:val="24"/>
        </w:rPr>
        <w:t>基金管理人运用固有资金投资本基金交易明细</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本报告期内基金管理人未运用固有资金申购、赎回、买卖本基金份额。</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color w:val="000000"/>
          <w:kern w:val="0"/>
          <w:sz w:val="24"/>
          <w:szCs w:val="24"/>
        </w:rPr>
        <w:t/>
      </w:r>
      <w:r w:rsidRPr="00820253">
        <w:rPr>
          <w:rFonts w:ascii="宋体" w:cs="Arial" w:hAnsi="宋体"/>
          <w:color w:val="000000"/>
          <w:kern w:val="0"/>
          <w:sz w:val="24"/>
          <w:szCs w:val="24"/>
        </w:rPr>
        <w:t>8</w:t>
      </w:r>
      <w:r w:rsidR="00FD0A58" w:rsidRPr="00820253">
        <w:rPr>
          <w:rFonts w:ascii="宋体" w:cs="Arial" w:hAnsi="宋体"/>
          <w:color w:val="000000"/>
          <w:kern w:val="0"/>
          <w:sz w:val="24"/>
          <w:szCs w:val="24"/>
        </w:rPr>
        <w:t xml:space="preserve">  </w:t>
      </w:r>
      <w:r w:rsidRPr="00820253">
        <w:rPr>
          <w:rFonts w:ascii="宋体" w:cs="Arial" w:hAnsi="宋体" w:hint="eastAsia"/>
          <w:color w:val="000000"/>
          <w:kern w:val="0"/>
          <w:sz w:val="24"/>
          <w:szCs w:val="24"/>
        </w:rPr>
        <w:t>备查文件目录</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8.1 </w:t>
      </w:r>
      <w:r w:rsidRPr="00D67E63">
        <w:rPr>
          <w:rFonts w:ascii="宋体" w:hAnsi="宋体" w:hint="eastAsia"/>
          <w:b/>
          <w:sz w:val="24"/>
        </w:rPr>
        <w:t>备查文件目录</w:t>
      </w:r>
    </w:p>
    <w:p>
      <w:pPr>
        <w:spacing w:line="360" w:lineRule="auto"/>
        <w:ind w:firstLine="480" w:firstLineChars="200"/>
        <w:rPr>
          <w:color w:val="000000"/>
          <w:sz w:val="24"/>
        </w:rPr>
      </w:pPr>
      <w:r>
        <w:rPr>
          <w:color w:val="000000"/>
          <w:sz w:val="24"/>
        </w:rPr>
        <w:t>1.中国证监会准予易方达标普 500 指数证券投资基金（LOF）注册的文件；</w:t>
      </w:r>
    </w:p>
    <w:p>
      <w:pPr>
        <w:spacing w:line="360" w:lineRule="auto"/>
        <w:ind w:firstLine="480" w:firstLineChars="200"/>
        <w:rPr>
          <w:color w:val="000000"/>
          <w:sz w:val="24"/>
        </w:rPr>
      </w:pPr>
      <w:r>
        <w:rPr>
          <w:color w:val="000000"/>
          <w:sz w:val="24"/>
        </w:rPr>
        <w:t>2.《易方达标普 500 指数证券投资基金（LOF）基金合同》；</w:t>
      </w:r>
    </w:p>
    <w:p>
      <w:pPr>
        <w:spacing w:line="360" w:lineRule="auto"/>
        <w:ind w:firstLine="480" w:firstLineChars="200"/>
        <w:rPr>
          <w:color w:val="000000"/>
          <w:sz w:val="24"/>
        </w:rPr>
      </w:pPr>
      <w:r>
        <w:rPr>
          <w:color w:val="000000"/>
          <w:sz w:val="24"/>
        </w:rPr>
        <w:t>3.《易方达标普 500 指数证券投资基金（LOF）托管协议》；</w:t>
      </w:r>
    </w:p>
    <w:p w:rsidP="00431EE1" w:rsidR="00F13451" w:rsidRDefault="00F13451" w:rsidRPr="00431EE1">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4.基金管理人业务资格批件和营业执照。</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8.2 </w:t>
      </w:r>
      <w:r w:rsidRPr="00D67E63">
        <w:rPr>
          <w:rFonts w:ascii="宋体" w:hAnsi="宋体" w:hint="eastAsia"/>
          <w:b/>
          <w:sz w:val="24"/>
        </w:rPr>
        <w:t>存放地点</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广州市天河区珠江新城珠江东路30号广州银行大厦40-43楼。</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8.3 </w:t>
      </w:r>
      <w:r w:rsidRPr="00D67E63">
        <w:rPr>
          <w:rFonts w:ascii="宋体" w:hAnsi="宋体" w:hint="eastAsia"/>
          <w:b/>
          <w:sz w:val="24"/>
        </w:rPr>
        <w:t>查阅方式</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投资者可在营业时间免费查阅，也可按工本费购买复印件。</w:t>
      </w:r>
    </w:p>
    <w:p w:rsidP="00476756" w:rsidR="00F13451" w:rsidRDefault="00F13451" w:rsidRPr="00820253">
      <w:pPr>
        <w:spacing w:line="360" w:lineRule="auto"/>
        <w:ind w:firstLine="480" w:firstLineChars="200"/>
        <w:rPr>
          <w:rFonts w:ascii="宋体" w:hAns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rsidRPr="00820253">
      <w:pPr>
        <w:spacing w:line="360" w:lineRule="auto"/>
        <w:ind w:firstLine="480" w:firstLineChars="200"/>
        <w:rPr>
          <w:rFonts w:ascii="宋体"/>
          <w:color w:val="000000"/>
          <w:sz w:val="24"/>
        </w:rPr>
      </w:pPr>
    </w:p>
    <w:p w:rsidP="00CF2C2A" w:rsidR="00F13451" w:rsidRDefault="00F13451" w:rsidRPr="00820253">
      <w:pPr>
        <w:spacing w:line="360" w:lineRule="auto"/>
        <w:jc w:val="right"/>
        <w:rPr>
          <w:rFonts w:ascii="宋体" w:hAnsi="宋体"/>
          <w:b/>
          <w:bCs/>
          <w:sz w:val="24"/>
        </w:rPr>
      </w:pPr>
      <w:r w:rsidRPr="00820253">
        <w:rPr>
          <w:rFonts w:ascii="宋体"/>
          <w:b/>
          <w:bCs/>
          <w:sz w:val="24"/>
        </w:rPr>
        <w:t/>
      </w:r>
      <w:proofErr w:type="spellStart"/>
      <w:r w:rsidRPr="00820253">
        <w:rPr>
          <w:rFonts w:ascii="宋体" w:hAnsi="宋体"/>
          <w:b/>
          <w:bCs/>
          <w:sz w:val="24"/>
        </w:rPr>
        <w:t/>
      </w:r>
      <w:proofErr w:type="spellEnd"/>
      <w:r w:rsidRPr="00820253">
        <w:rPr>
          <w:rFonts w:ascii="宋体" w:hAnsi="宋体"/>
          <w:b/>
          <w:bCs/>
          <w:sz w:val="24"/>
        </w:rPr>
        <w:t>易方达基金管理有限公司</w:t>
      </w:r>
    </w:p>
    <w:p w:rsidP="00CF2C2A" w:rsidR="00F13451" w:rsidRDefault="00F13451" w:rsidRPr="00820253">
      <w:pPr>
        <w:spacing w:line="360" w:lineRule="auto"/>
        <w:jc w:val="right"/>
        <w:rPr>
          <w:rFonts w:ascii="宋体" w:hAnsi="宋体"/>
          <w:b/>
          <w:bCs/>
          <w:sz w:val="24"/>
        </w:rPr>
      </w:pPr>
      <w:r w:rsidRPr="00820253">
        <w:rPr>
          <w:rFonts w:ascii="宋体" w:hAnsi="宋体"/>
          <w:b/>
          <w:bCs/>
          <w:sz w:val="24"/>
        </w:rPr>
        <w:t/>
      </w:r>
      <w:proofErr w:type="spellStart"/>
      <w:r w:rsidRPr="00820253">
        <w:rPr>
          <w:rFonts w:ascii="宋体" w:hAnsi="宋体"/>
          <w:b/>
          <w:bCs/>
          <w:sz w:val="24"/>
        </w:rPr>
        <w:t/>
      </w:r>
      <w:proofErr w:type="spellEnd"/>
      <w:r w:rsidRPr="00820253">
        <w:rPr>
          <w:rFonts w:ascii="宋体" w:hAnsi="宋体"/>
          <w:b/>
          <w:bCs/>
          <w:sz w:val="24"/>
        </w:rPr>
        <w:t>二〇二〇年七月二十一日</w:t>
      </w:r>
    </w:p>
    <w:sectPr w:rsidR="00F13451" w:rsidRPr="00820253" w:rsidSect="00DB4450">
      <w:headerReference r:id="rId11" w:type="even"/>
      <w:footerReference r:id="rId12" w:type="even"/>
      <w:footerReference r:id="rId13" w:type="default"/>
      <w:headerReference r:id="rId14" w:type="first"/>
      <w:footerReference r:id="rId15"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E7D" w:rsidRDefault="00815E7D">
      <w:r>
        <w:separator/>
      </w:r>
    </w:p>
  </w:endnote>
  <w:endnote w:type="continuationSeparator" w:id="0">
    <w:p w:rsidR="00815E7D" w:rsidRDefault="0081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D6226F" w:rsidR="00F13451" w:rsidRDefault="00F13451" w:rsidRPr="001D0DB0">
    <w:pPr>
      <w:pStyle w:val="a6"/>
      <w:jc w:val="center"/>
    </w:pPr>
    <w:r>
      <w:rPr>
        <w:rFonts w:hint="eastAsia"/>
        <w:szCs w:val="21"/>
      </w:rPr>
      <w:t>第</w:t>
    </w:r>
    <w:r w:rsidR="00D12F5B">
      <w:rPr>
        <w:szCs w:val="21"/>
      </w:rPr>
      <w:fldChar w:fldCharType="begin"/>
    </w:r>
    <w:r>
      <w:rPr>
        <w:szCs w:val="21"/>
      </w:rPr>
      <w:instrText xml:space="preserve"> PAGE </w:instrText>
    </w:r>
    <w:r w:rsidR="00D12F5B">
      <w:rPr>
        <w:szCs w:val="21"/>
      </w:rPr>
      <w:fldChar w:fldCharType="separate"/>
    </w:r>
    <w:r w:rsidR="00320493">
      <w:rPr>
        <w:noProof/>
        <w:szCs w:val="21"/>
      </w:rPr>
      <w:t>1</w:t>
    </w:r>
    <w:r w:rsidR="00D12F5B">
      <w:rPr>
        <w:szCs w:val="21"/>
      </w:rPr>
      <w:fldChar w:fldCharType="end"/>
    </w:r>
    <w:proofErr w:type="gramStart"/>
    <w:r>
      <w:rPr>
        <w:rFonts w:hint="eastAsia"/>
        <w:szCs w:val="21"/>
      </w:rPr>
      <w:t>页共</w:t>
    </w:r>
    <w:proofErr w:type="gramEnd"/>
    <w:r w:rsidR="00D12F5B">
      <w:rPr>
        <w:szCs w:val="21"/>
      </w:rPr>
      <w:fldChar w:fldCharType="begin"/>
    </w:r>
    <w:r>
      <w:rPr>
        <w:szCs w:val="21"/>
      </w:rPr>
      <w:instrText xml:space="preserve"> NUMPAGES </w:instrText>
    </w:r>
    <w:r w:rsidR="00D12F5B">
      <w:rPr>
        <w:szCs w:val="21"/>
      </w:rPr>
      <w:fldChar w:fldCharType="separate"/>
    </w:r>
    <w:r w:rsidR="00320493">
      <w:rPr>
        <w:noProof/>
        <w:szCs w:val="21"/>
      </w:rPr>
      <w:t>22</w:t>
    </w:r>
    <w:r w:rsidR="00D12F5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D12F5B">
    <w:pPr>
      <w:pStyle w:val="a6"/>
      <w:framePr w:hAnchor="margin" w:vAnchor="text" w:wrap="around" w:xAlign="center" w:y="1"/>
      <w:rPr>
        <w:rStyle w:val="a7"/>
      </w:rPr>
    </w:pPr>
    <w:r>
      <w:rPr>
        <w:rStyle w:val="a7"/>
      </w:rPr>
      <w:fldChar w:fldCharType="begin"/>
    </w:r>
    <w:r w:rsidR="00F13451">
      <w:rPr>
        <w:rStyle w:val="a7"/>
      </w:rPr>
      <w:instrText xml:space="preserve">PAGE  </w:instrText>
    </w:r>
    <w:r>
      <w:rPr>
        <w:rStyle w:val="a7"/>
      </w:rPr>
      <w:fldChar w:fldCharType="end"/>
    </w:r>
  </w:p>
  <w:p w:rsidR="00F13451" w:rsidRDefault="00F13451">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D12F5B">
    <w:pPr>
      <w:pStyle w:val="a6"/>
      <w:framePr w:hAnchor="margin" w:vAnchor="text" w:wrap="around" w:xAlign="center" w:y="1"/>
      <w:rPr>
        <w:rStyle w:val="a7"/>
      </w:rPr>
    </w:pPr>
    <w:r>
      <w:rPr>
        <w:rStyle w:val="a7"/>
      </w:rPr>
      <w:fldChar w:fldCharType="begin"/>
    </w:r>
    <w:r w:rsidR="00F13451">
      <w:rPr>
        <w:rStyle w:val="a7"/>
      </w:rPr>
      <w:instrText xml:space="preserve">PAGE  </w:instrText>
    </w:r>
    <w:r>
      <w:rPr>
        <w:rStyle w:val="a7"/>
      </w:rPr>
      <w:fldChar w:fldCharType="separate"/>
    </w:r>
    <w:r w:rsidR="00320493">
      <w:rPr>
        <w:rStyle w:val="a7"/>
        <w:noProof/>
      </w:rPr>
      <w:t>14</w:t>
    </w:r>
    <w:r>
      <w:rPr>
        <w:rStyle w:val="a7"/>
      </w:rPr>
      <w:fldChar w:fldCharType="end"/>
    </w:r>
  </w:p>
  <w:p w:rsidR="00F13451" w:rsidRDefault="00F13451">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815E7D" w:rsidRDefault="00815E7D">
      <w:r>
        <w:separator/>
      </w:r>
    </w:p>
  </w:footnote>
  <w:footnote w:id="0" w:type="continuationSeparator">
    <w:p w:rsidR="00815E7D" w:rsidRDefault="00815E7D">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4E30FB" w:rsidR="00F13451" w:rsidRDefault="00F13451" w:rsidRPr="005771AC">
    <w:pPr>
      <w:pStyle w:val="a9"/>
      <w:pBdr>
        <w:bottom w:color="auto" w:space="0" w:sz="6" w:val="single"/>
      </w:pBdr>
      <w:jc w:val="right"/>
      <w:rPr>
        <w:sz w:val="15"/>
      </w:rPr>
    </w:pPr>
    <w:r w:rsidRPr="005771AC">
      <w:rPr>
        <w:szCs w:val="21"/>
      </w:rPr>
      <w:t/>
    </w:r>
    <w:proofErr w:type="spellStart"/>
    <w:proofErr w:type="gramStart"/>
    <w:r w:rsidRPr="005771AC">
      <w:rPr>
        <w:szCs w:val="21"/>
      </w:rPr>
      <w:t/>
    </w:r>
    <w:proofErr w:type="spellEnd"/>
    <w:proofErr w:type="gramEnd"/>
    <w:r w:rsidRPr="005771AC">
      <w:rPr>
        <w:szCs w:val="21"/>
      </w:rPr>
      <w:t>易方达标普500指数证券投资基金（LOF）</w:t>
    </w:r>
    <w:proofErr w:type="spellStart"/>
    <w:r w:rsidRPr="005771AC">
      <w:rPr>
        <w:szCs w:val="21"/>
      </w:rPr>
      <w:t/>
    </w:r>
    <w:proofErr w:type="spellEnd"/>
    <w:r w:rsidRPr="005771AC">
      <w:rPr>
        <w:szCs w:val="21"/>
      </w:rPr>
      <w:t>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403B"/>
    <w:rsid w:val="00005911"/>
    <w:rsid w:val="00010A83"/>
    <w:rsid w:val="00010A8E"/>
    <w:rsid w:val="00010AC3"/>
    <w:rsid w:val="00011EB5"/>
    <w:rsid w:val="00015F91"/>
    <w:rsid w:val="00017581"/>
    <w:rsid w:val="00020583"/>
    <w:rsid w:val="00021DD4"/>
    <w:rsid w:val="00023BE7"/>
    <w:rsid w:val="0003337A"/>
    <w:rsid w:val="00037FCF"/>
    <w:rsid w:val="00041AB5"/>
    <w:rsid w:val="000421B8"/>
    <w:rsid w:val="00043ABF"/>
    <w:rsid w:val="000445E4"/>
    <w:rsid w:val="00045AE7"/>
    <w:rsid w:val="000510AB"/>
    <w:rsid w:val="00052312"/>
    <w:rsid w:val="00054EC2"/>
    <w:rsid w:val="00055AF1"/>
    <w:rsid w:val="00055B0F"/>
    <w:rsid w:val="00057A02"/>
    <w:rsid w:val="0006166B"/>
    <w:rsid w:val="00062875"/>
    <w:rsid w:val="00063A8D"/>
    <w:rsid w:val="00064AE3"/>
    <w:rsid w:val="00066524"/>
    <w:rsid w:val="0006691E"/>
    <w:rsid w:val="00067332"/>
    <w:rsid w:val="00070CD1"/>
    <w:rsid w:val="0007171B"/>
    <w:rsid w:val="00081D05"/>
    <w:rsid w:val="00087CF7"/>
    <w:rsid w:val="00094876"/>
    <w:rsid w:val="00094F45"/>
    <w:rsid w:val="00095912"/>
    <w:rsid w:val="00095CE0"/>
    <w:rsid w:val="00096933"/>
    <w:rsid w:val="00097230"/>
    <w:rsid w:val="000A19F3"/>
    <w:rsid w:val="000A457E"/>
    <w:rsid w:val="000A549A"/>
    <w:rsid w:val="000A72F2"/>
    <w:rsid w:val="000B0C56"/>
    <w:rsid w:val="000B22B8"/>
    <w:rsid w:val="000B270F"/>
    <w:rsid w:val="000B3274"/>
    <w:rsid w:val="000B3E43"/>
    <w:rsid w:val="000B69EF"/>
    <w:rsid w:val="000C1723"/>
    <w:rsid w:val="000C1B20"/>
    <w:rsid w:val="000C1B73"/>
    <w:rsid w:val="000C21D1"/>
    <w:rsid w:val="000C4107"/>
    <w:rsid w:val="000C4586"/>
    <w:rsid w:val="000C45E7"/>
    <w:rsid w:val="000C4E2D"/>
    <w:rsid w:val="000C6C23"/>
    <w:rsid w:val="000C6F3E"/>
    <w:rsid w:val="000D01F4"/>
    <w:rsid w:val="000D0BF3"/>
    <w:rsid w:val="000D121F"/>
    <w:rsid w:val="000D1519"/>
    <w:rsid w:val="000E237B"/>
    <w:rsid w:val="000E4456"/>
    <w:rsid w:val="000E5D28"/>
    <w:rsid w:val="000E6DC4"/>
    <w:rsid w:val="000F161C"/>
    <w:rsid w:val="000F175F"/>
    <w:rsid w:val="000F17D1"/>
    <w:rsid w:val="000F268E"/>
    <w:rsid w:val="000F5F24"/>
    <w:rsid w:val="000F60FF"/>
    <w:rsid w:val="000F635F"/>
    <w:rsid w:val="000F6C61"/>
    <w:rsid w:val="000F6EE9"/>
    <w:rsid w:val="00100C12"/>
    <w:rsid w:val="00100C16"/>
    <w:rsid w:val="00104514"/>
    <w:rsid w:val="001045AA"/>
    <w:rsid w:val="001049B6"/>
    <w:rsid w:val="001051C6"/>
    <w:rsid w:val="0010694D"/>
    <w:rsid w:val="0011177A"/>
    <w:rsid w:val="001120D4"/>
    <w:rsid w:val="00112E27"/>
    <w:rsid w:val="00114B31"/>
    <w:rsid w:val="00116E31"/>
    <w:rsid w:val="00120B9A"/>
    <w:rsid w:val="0012150F"/>
    <w:rsid w:val="0012304E"/>
    <w:rsid w:val="00123B10"/>
    <w:rsid w:val="001248EF"/>
    <w:rsid w:val="001257C7"/>
    <w:rsid w:val="001265C5"/>
    <w:rsid w:val="00126DDF"/>
    <w:rsid w:val="001270BF"/>
    <w:rsid w:val="00127BAC"/>
    <w:rsid w:val="00132AAE"/>
    <w:rsid w:val="00140E80"/>
    <w:rsid w:val="00142A56"/>
    <w:rsid w:val="00143B45"/>
    <w:rsid w:val="00144DF5"/>
    <w:rsid w:val="00145630"/>
    <w:rsid w:val="00145A97"/>
    <w:rsid w:val="00146485"/>
    <w:rsid w:val="00150AD6"/>
    <w:rsid w:val="001522EE"/>
    <w:rsid w:val="00154ADA"/>
    <w:rsid w:val="0015531A"/>
    <w:rsid w:val="0016041C"/>
    <w:rsid w:val="00163B27"/>
    <w:rsid w:val="00165317"/>
    <w:rsid w:val="0017043B"/>
    <w:rsid w:val="00171BAD"/>
    <w:rsid w:val="00172B84"/>
    <w:rsid w:val="0017526D"/>
    <w:rsid w:val="001756A1"/>
    <w:rsid w:val="001761EE"/>
    <w:rsid w:val="00176EAA"/>
    <w:rsid w:val="0017725A"/>
    <w:rsid w:val="00177C4B"/>
    <w:rsid w:val="0018154C"/>
    <w:rsid w:val="0018325A"/>
    <w:rsid w:val="00186199"/>
    <w:rsid w:val="001878B0"/>
    <w:rsid w:val="001928F7"/>
    <w:rsid w:val="00194537"/>
    <w:rsid w:val="00194F40"/>
    <w:rsid w:val="001A149A"/>
    <w:rsid w:val="001A21A9"/>
    <w:rsid w:val="001A4814"/>
    <w:rsid w:val="001A59D8"/>
    <w:rsid w:val="001A5FA6"/>
    <w:rsid w:val="001B2F0C"/>
    <w:rsid w:val="001B2FB1"/>
    <w:rsid w:val="001B63AB"/>
    <w:rsid w:val="001B7820"/>
    <w:rsid w:val="001B7E94"/>
    <w:rsid w:val="001C1984"/>
    <w:rsid w:val="001C37F6"/>
    <w:rsid w:val="001C6288"/>
    <w:rsid w:val="001C7614"/>
    <w:rsid w:val="001D0DB0"/>
    <w:rsid w:val="001D0F6A"/>
    <w:rsid w:val="001D161E"/>
    <w:rsid w:val="001D21BC"/>
    <w:rsid w:val="001D2FA5"/>
    <w:rsid w:val="001D35E0"/>
    <w:rsid w:val="001D5045"/>
    <w:rsid w:val="001D5A44"/>
    <w:rsid w:val="001D724B"/>
    <w:rsid w:val="001D7693"/>
    <w:rsid w:val="001D79D5"/>
    <w:rsid w:val="001E04A5"/>
    <w:rsid w:val="001E11D3"/>
    <w:rsid w:val="001E2A6A"/>
    <w:rsid w:val="001E3DC2"/>
    <w:rsid w:val="001E52F8"/>
    <w:rsid w:val="001E56FF"/>
    <w:rsid w:val="001E5C6B"/>
    <w:rsid w:val="001F03E1"/>
    <w:rsid w:val="001F3CC6"/>
    <w:rsid w:val="001F4530"/>
    <w:rsid w:val="002010DE"/>
    <w:rsid w:val="00202968"/>
    <w:rsid w:val="00202C32"/>
    <w:rsid w:val="00203AEF"/>
    <w:rsid w:val="00211A26"/>
    <w:rsid w:val="002125F7"/>
    <w:rsid w:val="00214463"/>
    <w:rsid w:val="00214756"/>
    <w:rsid w:val="00215CF2"/>
    <w:rsid w:val="00221174"/>
    <w:rsid w:val="0022167B"/>
    <w:rsid w:val="002267F8"/>
    <w:rsid w:val="002328FE"/>
    <w:rsid w:val="002359EB"/>
    <w:rsid w:val="002363AB"/>
    <w:rsid w:val="0024260D"/>
    <w:rsid w:val="00245012"/>
    <w:rsid w:val="0024504E"/>
    <w:rsid w:val="0024651F"/>
    <w:rsid w:val="0025007C"/>
    <w:rsid w:val="0025158D"/>
    <w:rsid w:val="0025281A"/>
    <w:rsid w:val="00253624"/>
    <w:rsid w:val="00253D3C"/>
    <w:rsid w:val="00254F37"/>
    <w:rsid w:val="00255292"/>
    <w:rsid w:val="00256097"/>
    <w:rsid w:val="00257D2B"/>
    <w:rsid w:val="00260200"/>
    <w:rsid w:val="00263405"/>
    <w:rsid w:val="002648D8"/>
    <w:rsid w:val="00264E55"/>
    <w:rsid w:val="00265865"/>
    <w:rsid w:val="00273C7E"/>
    <w:rsid w:val="00273F86"/>
    <w:rsid w:val="0027678D"/>
    <w:rsid w:val="002774F0"/>
    <w:rsid w:val="0028017D"/>
    <w:rsid w:val="0028459B"/>
    <w:rsid w:val="00284C5F"/>
    <w:rsid w:val="00284EC5"/>
    <w:rsid w:val="002873F0"/>
    <w:rsid w:val="002964F9"/>
    <w:rsid w:val="0029671E"/>
    <w:rsid w:val="00297B13"/>
    <w:rsid w:val="002A1F14"/>
    <w:rsid w:val="002A2678"/>
    <w:rsid w:val="002A2E01"/>
    <w:rsid w:val="002A398F"/>
    <w:rsid w:val="002A530F"/>
    <w:rsid w:val="002A5C6B"/>
    <w:rsid w:val="002A5D31"/>
    <w:rsid w:val="002A714F"/>
    <w:rsid w:val="002B1851"/>
    <w:rsid w:val="002B27FF"/>
    <w:rsid w:val="002B4320"/>
    <w:rsid w:val="002B61C3"/>
    <w:rsid w:val="002B6793"/>
    <w:rsid w:val="002C1726"/>
    <w:rsid w:val="002C21A6"/>
    <w:rsid w:val="002C26D5"/>
    <w:rsid w:val="002C5777"/>
    <w:rsid w:val="002D31BB"/>
    <w:rsid w:val="002D32E3"/>
    <w:rsid w:val="002E09F5"/>
    <w:rsid w:val="002E0FEB"/>
    <w:rsid w:val="002E26F5"/>
    <w:rsid w:val="002E5FE7"/>
    <w:rsid w:val="002F0F79"/>
    <w:rsid w:val="002F2234"/>
    <w:rsid w:val="002F235F"/>
    <w:rsid w:val="002F2713"/>
    <w:rsid w:val="002F280E"/>
    <w:rsid w:val="002F3709"/>
    <w:rsid w:val="002F3A6C"/>
    <w:rsid w:val="002F4296"/>
    <w:rsid w:val="002F5D32"/>
    <w:rsid w:val="002F7F82"/>
    <w:rsid w:val="00300951"/>
    <w:rsid w:val="00300E97"/>
    <w:rsid w:val="003019A8"/>
    <w:rsid w:val="00302CA8"/>
    <w:rsid w:val="00302DE9"/>
    <w:rsid w:val="00305084"/>
    <w:rsid w:val="00311094"/>
    <w:rsid w:val="0031598C"/>
    <w:rsid w:val="0031668C"/>
    <w:rsid w:val="00320493"/>
    <w:rsid w:val="003204E9"/>
    <w:rsid w:val="00321E8C"/>
    <w:rsid w:val="00322A86"/>
    <w:rsid w:val="00323AE8"/>
    <w:rsid w:val="00324548"/>
    <w:rsid w:val="0032500D"/>
    <w:rsid w:val="003251F4"/>
    <w:rsid w:val="003303E3"/>
    <w:rsid w:val="003329EA"/>
    <w:rsid w:val="003370F8"/>
    <w:rsid w:val="00340499"/>
    <w:rsid w:val="003407A5"/>
    <w:rsid w:val="00341188"/>
    <w:rsid w:val="0034147B"/>
    <w:rsid w:val="00350238"/>
    <w:rsid w:val="0035109C"/>
    <w:rsid w:val="00351F0A"/>
    <w:rsid w:val="0035432B"/>
    <w:rsid w:val="0035691D"/>
    <w:rsid w:val="00361E7E"/>
    <w:rsid w:val="00362CED"/>
    <w:rsid w:val="00366726"/>
    <w:rsid w:val="00367057"/>
    <w:rsid w:val="00370AA4"/>
    <w:rsid w:val="00371FF4"/>
    <w:rsid w:val="003745DA"/>
    <w:rsid w:val="00377520"/>
    <w:rsid w:val="00380D36"/>
    <w:rsid w:val="003812A5"/>
    <w:rsid w:val="003822D3"/>
    <w:rsid w:val="0038257F"/>
    <w:rsid w:val="00385AB9"/>
    <w:rsid w:val="00385E16"/>
    <w:rsid w:val="00386630"/>
    <w:rsid w:val="00390B25"/>
    <w:rsid w:val="00397156"/>
    <w:rsid w:val="00397616"/>
    <w:rsid w:val="00397960"/>
    <w:rsid w:val="003A152F"/>
    <w:rsid w:val="003A3BC4"/>
    <w:rsid w:val="003A458A"/>
    <w:rsid w:val="003B2F13"/>
    <w:rsid w:val="003B405E"/>
    <w:rsid w:val="003B57D3"/>
    <w:rsid w:val="003C09A4"/>
    <w:rsid w:val="003C1F58"/>
    <w:rsid w:val="003C49AA"/>
    <w:rsid w:val="003C6DC5"/>
    <w:rsid w:val="003C792F"/>
    <w:rsid w:val="003D124B"/>
    <w:rsid w:val="003D18F3"/>
    <w:rsid w:val="003D2093"/>
    <w:rsid w:val="003D78B5"/>
    <w:rsid w:val="003E0588"/>
    <w:rsid w:val="003E244F"/>
    <w:rsid w:val="003E379B"/>
    <w:rsid w:val="003E3A5C"/>
    <w:rsid w:val="003E6203"/>
    <w:rsid w:val="003E62A6"/>
    <w:rsid w:val="003E695F"/>
    <w:rsid w:val="003E6C9B"/>
    <w:rsid w:val="003E709C"/>
    <w:rsid w:val="003E7B89"/>
    <w:rsid w:val="003F0275"/>
    <w:rsid w:val="003F4241"/>
    <w:rsid w:val="003F7C45"/>
    <w:rsid w:val="003F7D50"/>
    <w:rsid w:val="00400946"/>
    <w:rsid w:val="004009A4"/>
    <w:rsid w:val="0040132C"/>
    <w:rsid w:val="00403886"/>
    <w:rsid w:val="00405085"/>
    <w:rsid w:val="0040658E"/>
    <w:rsid w:val="004066FC"/>
    <w:rsid w:val="00407C10"/>
    <w:rsid w:val="004113B4"/>
    <w:rsid w:val="00412E5A"/>
    <w:rsid w:val="00414827"/>
    <w:rsid w:val="00416C10"/>
    <w:rsid w:val="00416D9D"/>
    <w:rsid w:val="00416F85"/>
    <w:rsid w:val="00424EF3"/>
    <w:rsid w:val="004268BB"/>
    <w:rsid w:val="00431047"/>
    <w:rsid w:val="00431B86"/>
    <w:rsid w:val="00431EE1"/>
    <w:rsid w:val="004408EC"/>
    <w:rsid w:val="004417A4"/>
    <w:rsid w:val="00441E6A"/>
    <w:rsid w:val="00443C8F"/>
    <w:rsid w:val="00452481"/>
    <w:rsid w:val="004553AF"/>
    <w:rsid w:val="00455464"/>
    <w:rsid w:val="00455D24"/>
    <w:rsid w:val="004567C5"/>
    <w:rsid w:val="00457804"/>
    <w:rsid w:val="00462B61"/>
    <w:rsid w:val="00464283"/>
    <w:rsid w:val="004646BF"/>
    <w:rsid w:val="00464744"/>
    <w:rsid w:val="004665E3"/>
    <w:rsid w:val="00467BA5"/>
    <w:rsid w:val="004710DD"/>
    <w:rsid w:val="004731F1"/>
    <w:rsid w:val="00476756"/>
    <w:rsid w:val="00477724"/>
    <w:rsid w:val="0047798A"/>
    <w:rsid w:val="00480BC8"/>
    <w:rsid w:val="00481265"/>
    <w:rsid w:val="004814BF"/>
    <w:rsid w:val="00482956"/>
    <w:rsid w:val="0048587E"/>
    <w:rsid w:val="00486D15"/>
    <w:rsid w:val="00487C2B"/>
    <w:rsid w:val="0049297D"/>
    <w:rsid w:val="004929F2"/>
    <w:rsid w:val="00492D67"/>
    <w:rsid w:val="00493023"/>
    <w:rsid w:val="00493D46"/>
    <w:rsid w:val="00495A03"/>
    <w:rsid w:val="004968E3"/>
    <w:rsid w:val="00497079"/>
    <w:rsid w:val="004A1BBA"/>
    <w:rsid w:val="004A270C"/>
    <w:rsid w:val="004A3039"/>
    <w:rsid w:val="004A3251"/>
    <w:rsid w:val="004A355B"/>
    <w:rsid w:val="004A3625"/>
    <w:rsid w:val="004A3E3C"/>
    <w:rsid w:val="004A5FA4"/>
    <w:rsid w:val="004A791A"/>
    <w:rsid w:val="004B0E6D"/>
    <w:rsid w:val="004B16E8"/>
    <w:rsid w:val="004B6250"/>
    <w:rsid w:val="004B76B1"/>
    <w:rsid w:val="004C0057"/>
    <w:rsid w:val="004C0541"/>
    <w:rsid w:val="004C2C46"/>
    <w:rsid w:val="004C52A1"/>
    <w:rsid w:val="004C7235"/>
    <w:rsid w:val="004C7955"/>
    <w:rsid w:val="004D047F"/>
    <w:rsid w:val="004D3971"/>
    <w:rsid w:val="004D3D96"/>
    <w:rsid w:val="004D6239"/>
    <w:rsid w:val="004D650F"/>
    <w:rsid w:val="004D6D54"/>
    <w:rsid w:val="004E2133"/>
    <w:rsid w:val="004E30FB"/>
    <w:rsid w:val="004E4941"/>
    <w:rsid w:val="004E5CB8"/>
    <w:rsid w:val="004E5DDD"/>
    <w:rsid w:val="004E60FB"/>
    <w:rsid w:val="004E7AF6"/>
    <w:rsid w:val="004F4B2A"/>
    <w:rsid w:val="004F779C"/>
    <w:rsid w:val="004F7846"/>
    <w:rsid w:val="005000D4"/>
    <w:rsid w:val="00500A6E"/>
    <w:rsid w:val="00510BB5"/>
    <w:rsid w:val="00510CAF"/>
    <w:rsid w:val="005128C5"/>
    <w:rsid w:val="0051478B"/>
    <w:rsid w:val="0051566A"/>
    <w:rsid w:val="00515D7B"/>
    <w:rsid w:val="005161B7"/>
    <w:rsid w:val="005166E9"/>
    <w:rsid w:val="0052009E"/>
    <w:rsid w:val="00525E59"/>
    <w:rsid w:val="005318CC"/>
    <w:rsid w:val="005346F1"/>
    <w:rsid w:val="005349B1"/>
    <w:rsid w:val="005374BC"/>
    <w:rsid w:val="00540522"/>
    <w:rsid w:val="00540D79"/>
    <w:rsid w:val="00543367"/>
    <w:rsid w:val="00543BFA"/>
    <w:rsid w:val="00547D9C"/>
    <w:rsid w:val="00547DA1"/>
    <w:rsid w:val="0055513C"/>
    <w:rsid w:val="00560C94"/>
    <w:rsid w:val="0056291C"/>
    <w:rsid w:val="00564EB5"/>
    <w:rsid w:val="00565A63"/>
    <w:rsid w:val="00566588"/>
    <w:rsid w:val="00567F6D"/>
    <w:rsid w:val="00571CD9"/>
    <w:rsid w:val="0057275D"/>
    <w:rsid w:val="005771AC"/>
    <w:rsid w:val="005800A9"/>
    <w:rsid w:val="00580488"/>
    <w:rsid w:val="0058074D"/>
    <w:rsid w:val="00582FAD"/>
    <w:rsid w:val="00583489"/>
    <w:rsid w:val="00590FE4"/>
    <w:rsid w:val="00591D9C"/>
    <w:rsid w:val="00592483"/>
    <w:rsid w:val="005931C4"/>
    <w:rsid w:val="005948AF"/>
    <w:rsid w:val="00596191"/>
    <w:rsid w:val="00597057"/>
    <w:rsid w:val="00597D8B"/>
    <w:rsid w:val="005A1C30"/>
    <w:rsid w:val="005A2757"/>
    <w:rsid w:val="005A3295"/>
    <w:rsid w:val="005A4302"/>
    <w:rsid w:val="005A46FF"/>
    <w:rsid w:val="005A704A"/>
    <w:rsid w:val="005A7449"/>
    <w:rsid w:val="005B011E"/>
    <w:rsid w:val="005B1542"/>
    <w:rsid w:val="005B2E84"/>
    <w:rsid w:val="005B3103"/>
    <w:rsid w:val="005B37EE"/>
    <w:rsid w:val="005B4D29"/>
    <w:rsid w:val="005B6CA6"/>
    <w:rsid w:val="005B700A"/>
    <w:rsid w:val="005B7B0E"/>
    <w:rsid w:val="005C07DC"/>
    <w:rsid w:val="005C2541"/>
    <w:rsid w:val="005C25C8"/>
    <w:rsid w:val="005C5409"/>
    <w:rsid w:val="005C69AC"/>
    <w:rsid w:val="005C722E"/>
    <w:rsid w:val="005D01A4"/>
    <w:rsid w:val="005D29D4"/>
    <w:rsid w:val="005D4452"/>
    <w:rsid w:val="005D45B3"/>
    <w:rsid w:val="005D4CEB"/>
    <w:rsid w:val="005E2501"/>
    <w:rsid w:val="005E5B01"/>
    <w:rsid w:val="005E5CC1"/>
    <w:rsid w:val="005E7793"/>
    <w:rsid w:val="005F04E6"/>
    <w:rsid w:val="005F43B9"/>
    <w:rsid w:val="005F68CB"/>
    <w:rsid w:val="005F7085"/>
    <w:rsid w:val="006033E3"/>
    <w:rsid w:val="006056F6"/>
    <w:rsid w:val="00605748"/>
    <w:rsid w:val="00610C82"/>
    <w:rsid w:val="0061321C"/>
    <w:rsid w:val="00615063"/>
    <w:rsid w:val="0061761F"/>
    <w:rsid w:val="00620C6C"/>
    <w:rsid w:val="0062145B"/>
    <w:rsid w:val="0062386E"/>
    <w:rsid w:val="00623F01"/>
    <w:rsid w:val="006258FD"/>
    <w:rsid w:val="00626E2D"/>
    <w:rsid w:val="00627D94"/>
    <w:rsid w:val="00630B42"/>
    <w:rsid w:val="00631425"/>
    <w:rsid w:val="00642072"/>
    <w:rsid w:val="006440ED"/>
    <w:rsid w:val="00645293"/>
    <w:rsid w:val="006504D0"/>
    <w:rsid w:val="00651B78"/>
    <w:rsid w:val="00652263"/>
    <w:rsid w:val="00652881"/>
    <w:rsid w:val="00655B94"/>
    <w:rsid w:val="006563E4"/>
    <w:rsid w:val="00661974"/>
    <w:rsid w:val="006636D6"/>
    <w:rsid w:val="00664551"/>
    <w:rsid w:val="006676A0"/>
    <w:rsid w:val="00670857"/>
    <w:rsid w:val="00671124"/>
    <w:rsid w:val="006727B0"/>
    <w:rsid w:val="0067307E"/>
    <w:rsid w:val="006746C7"/>
    <w:rsid w:val="006829BB"/>
    <w:rsid w:val="00687AD5"/>
    <w:rsid w:val="00691153"/>
    <w:rsid w:val="006950A3"/>
    <w:rsid w:val="006951C0"/>
    <w:rsid w:val="00695251"/>
    <w:rsid w:val="00695ADE"/>
    <w:rsid w:val="00695C0D"/>
    <w:rsid w:val="00696356"/>
    <w:rsid w:val="006A72C6"/>
    <w:rsid w:val="006B02DA"/>
    <w:rsid w:val="006B1FD1"/>
    <w:rsid w:val="006B2065"/>
    <w:rsid w:val="006B2F2B"/>
    <w:rsid w:val="006B3940"/>
    <w:rsid w:val="006C099C"/>
    <w:rsid w:val="006C168D"/>
    <w:rsid w:val="006C1F15"/>
    <w:rsid w:val="006C5E36"/>
    <w:rsid w:val="006C642C"/>
    <w:rsid w:val="006C6FC6"/>
    <w:rsid w:val="006D00D5"/>
    <w:rsid w:val="006D11D3"/>
    <w:rsid w:val="006D5BA5"/>
    <w:rsid w:val="006D775F"/>
    <w:rsid w:val="006D7A88"/>
    <w:rsid w:val="006E34B7"/>
    <w:rsid w:val="006E5BB0"/>
    <w:rsid w:val="006F01CF"/>
    <w:rsid w:val="006F115E"/>
    <w:rsid w:val="006F2AA6"/>
    <w:rsid w:val="006F39B6"/>
    <w:rsid w:val="006F4CD8"/>
    <w:rsid w:val="006F763F"/>
    <w:rsid w:val="00701F44"/>
    <w:rsid w:val="00703E8A"/>
    <w:rsid w:val="00710335"/>
    <w:rsid w:val="00711522"/>
    <w:rsid w:val="007124FE"/>
    <w:rsid w:val="00713186"/>
    <w:rsid w:val="00713757"/>
    <w:rsid w:val="00717772"/>
    <w:rsid w:val="00721231"/>
    <w:rsid w:val="00721AF1"/>
    <w:rsid w:val="0072280F"/>
    <w:rsid w:val="00722B5E"/>
    <w:rsid w:val="0072708F"/>
    <w:rsid w:val="00732D1D"/>
    <w:rsid w:val="0073413C"/>
    <w:rsid w:val="00736034"/>
    <w:rsid w:val="0073681C"/>
    <w:rsid w:val="00737E9B"/>
    <w:rsid w:val="00741EBE"/>
    <w:rsid w:val="00741F94"/>
    <w:rsid w:val="00746130"/>
    <w:rsid w:val="00746554"/>
    <w:rsid w:val="00746A40"/>
    <w:rsid w:val="00747125"/>
    <w:rsid w:val="00750358"/>
    <w:rsid w:val="007513AC"/>
    <w:rsid w:val="007537F4"/>
    <w:rsid w:val="00755CDF"/>
    <w:rsid w:val="00757A4C"/>
    <w:rsid w:val="007616EE"/>
    <w:rsid w:val="00763A8D"/>
    <w:rsid w:val="00764A94"/>
    <w:rsid w:val="0076518F"/>
    <w:rsid w:val="007651E5"/>
    <w:rsid w:val="007670DC"/>
    <w:rsid w:val="0077111A"/>
    <w:rsid w:val="00772721"/>
    <w:rsid w:val="007756ED"/>
    <w:rsid w:val="00780C47"/>
    <w:rsid w:val="00780E33"/>
    <w:rsid w:val="0078105B"/>
    <w:rsid w:val="00781847"/>
    <w:rsid w:val="0078378A"/>
    <w:rsid w:val="00786CFC"/>
    <w:rsid w:val="007870FC"/>
    <w:rsid w:val="00787919"/>
    <w:rsid w:val="00787CD0"/>
    <w:rsid w:val="00791053"/>
    <w:rsid w:val="00791A3A"/>
    <w:rsid w:val="00791BB9"/>
    <w:rsid w:val="00794196"/>
    <w:rsid w:val="00796EC9"/>
    <w:rsid w:val="00797637"/>
    <w:rsid w:val="007A2630"/>
    <w:rsid w:val="007A3680"/>
    <w:rsid w:val="007A59B8"/>
    <w:rsid w:val="007A6F38"/>
    <w:rsid w:val="007A75F5"/>
    <w:rsid w:val="007B2862"/>
    <w:rsid w:val="007B2A23"/>
    <w:rsid w:val="007B51EE"/>
    <w:rsid w:val="007B662A"/>
    <w:rsid w:val="007B75D4"/>
    <w:rsid w:val="007C1771"/>
    <w:rsid w:val="007C4496"/>
    <w:rsid w:val="007D0E9D"/>
    <w:rsid w:val="007D28C9"/>
    <w:rsid w:val="007D2A39"/>
    <w:rsid w:val="007D3CC8"/>
    <w:rsid w:val="007D62F9"/>
    <w:rsid w:val="007D63A4"/>
    <w:rsid w:val="007D6458"/>
    <w:rsid w:val="007E0B0A"/>
    <w:rsid w:val="007E1AA2"/>
    <w:rsid w:val="007E303C"/>
    <w:rsid w:val="007E4C1F"/>
    <w:rsid w:val="007E4DEE"/>
    <w:rsid w:val="007E5978"/>
    <w:rsid w:val="007F0759"/>
    <w:rsid w:val="007F25C0"/>
    <w:rsid w:val="007F26D5"/>
    <w:rsid w:val="007F5F52"/>
    <w:rsid w:val="007F77C6"/>
    <w:rsid w:val="008003A1"/>
    <w:rsid w:val="008006B7"/>
    <w:rsid w:val="00800FDB"/>
    <w:rsid w:val="00802081"/>
    <w:rsid w:val="00806461"/>
    <w:rsid w:val="0081096D"/>
    <w:rsid w:val="00810EAD"/>
    <w:rsid w:val="00811833"/>
    <w:rsid w:val="00815E7D"/>
    <w:rsid w:val="00816670"/>
    <w:rsid w:val="008174D4"/>
    <w:rsid w:val="00820253"/>
    <w:rsid w:val="00820FE6"/>
    <w:rsid w:val="00821A66"/>
    <w:rsid w:val="00822476"/>
    <w:rsid w:val="00822882"/>
    <w:rsid w:val="008232BB"/>
    <w:rsid w:val="00825029"/>
    <w:rsid w:val="008257F3"/>
    <w:rsid w:val="00825F68"/>
    <w:rsid w:val="00835408"/>
    <w:rsid w:val="00837CEF"/>
    <w:rsid w:val="00840035"/>
    <w:rsid w:val="008428A9"/>
    <w:rsid w:val="00844112"/>
    <w:rsid w:val="008456C9"/>
    <w:rsid w:val="0084611D"/>
    <w:rsid w:val="0084669C"/>
    <w:rsid w:val="00847CA0"/>
    <w:rsid w:val="00850C62"/>
    <w:rsid w:val="008573E5"/>
    <w:rsid w:val="00863011"/>
    <w:rsid w:val="00865075"/>
    <w:rsid w:val="0086534A"/>
    <w:rsid w:val="00866B03"/>
    <w:rsid w:val="008673EE"/>
    <w:rsid w:val="0086748F"/>
    <w:rsid w:val="008712A3"/>
    <w:rsid w:val="00872CE4"/>
    <w:rsid w:val="00877B62"/>
    <w:rsid w:val="008806D2"/>
    <w:rsid w:val="00881015"/>
    <w:rsid w:val="008810B0"/>
    <w:rsid w:val="008819B6"/>
    <w:rsid w:val="00881AAC"/>
    <w:rsid w:val="008836B7"/>
    <w:rsid w:val="008841D3"/>
    <w:rsid w:val="00887DE6"/>
    <w:rsid w:val="00890172"/>
    <w:rsid w:val="00893048"/>
    <w:rsid w:val="00894C2A"/>
    <w:rsid w:val="00896AAD"/>
    <w:rsid w:val="00897708"/>
    <w:rsid w:val="00897D88"/>
    <w:rsid w:val="008A115D"/>
    <w:rsid w:val="008A2F16"/>
    <w:rsid w:val="008A6D69"/>
    <w:rsid w:val="008B041C"/>
    <w:rsid w:val="008B1823"/>
    <w:rsid w:val="008B6A4A"/>
    <w:rsid w:val="008B6E16"/>
    <w:rsid w:val="008B7110"/>
    <w:rsid w:val="008C2029"/>
    <w:rsid w:val="008C61D6"/>
    <w:rsid w:val="008C64F1"/>
    <w:rsid w:val="008D1BB0"/>
    <w:rsid w:val="008D20FF"/>
    <w:rsid w:val="008D3D3D"/>
    <w:rsid w:val="008D3DE6"/>
    <w:rsid w:val="008D4223"/>
    <w:rsid w:val="008D44CC"/>
    <w:rsid w:val="008D46E3"/>
    <w:rsid w:val="008D6709"/>
    <w:rsid w:val="008E083A"/>
    <w:rsid w:val="008E2450"/>
    <w:rsid w:val="008E7896"/>
    <w:rsid w:val="008E78A4"/>
    <w:rsid w:val="008F2477"/>
    <w:rsid w:val="008F444A"/>
    <w:rsid w:val="008F4AFC"/>
    <w:rsid w:val="008F65AF"/>
    <w:rsid w:val="008F7815"/>
    <w:rsid w:val="008F7EA4"/>
    <w:rsid w:val="009010F0"/>
    <w:rsid w:val="00901162"/>
    <w:rsid w:val="00901240"/>
    <w:rsid w:val="00901469"/>
    <w:rsid w:val="0090159D"/>
    <w:rsid w:val="0090223A"/>
    <w:rsid w:val="0090274F"/>
    <w:rsid w:val="009028E2"/>
    <w:rsid w:val="0090450C"/>
    <w:rsid w:val="009102E4"/>
    <w:rsid w:val="009147F7"/>
    <w:rsid w:val="00914EAB"/>
    <w:rsid w:val="00922D49"/>
    <w:rsid w:val="009239C7"/>
    <w:rsid w:val="0092502E"/>
    <w:rsid w:val="00925E37"/>
    <w:rsid w:val="00925EDD"/>
    <w:rsid w:val="00927D0E"/>
    <w:rsid w:val="009309DA"/>
    <w:rsid w:val="0093260B"/>
    <w:rsid w:val="00936688"/>
    <w:rsid w:val="00937CFA"/>
    <w:rsid w:val="009406B3"/>
    <w:rsid w:val="00943A0D"/>
    <w:rsid w:val="00943C27"/>
    <w:rsid w:val="00945CF5"/>
    <w:rsid w:val="009467E9"/>
    <w:rsid w:val="00950057"/>
    <w:rsid w:val="009500A1"/>
    <w:rsid w:val="0095037E"/>
    <w:rsid w:val="00952AAD"/>
    <w:rsid w:val="00954567"/>
    <w:rsid w:val="00955D4E"/>
    <w:rsid w:val="00957466"/>
    <w:rsid w:val="00961FCD"/>
    <w:rsid w:val="0096260B"/>
    <w:rsid w:val="00962E87"/>
    <w:rsid w:val="009664D5"/>
    <w:rsid w:val="00966865"/>
    <w:rsid w:val="00967903"/>
    <w:rsid w:val="009700DA"/>
    <w:rsid w:val="00970C69"/>
    <w:rsid w:val="00971F1C"/>
    <w:rsid w:val="0097211D"/>
    <w:rsid w:val="00972E10"/>
    <w:rsid w:val="009746CA"/>
    <w:rsid w:val="009760F0"/>
    <w:rsid w:val="00981963"/>
    <w:rsid w:val="00983B7F"/>
    <w:rsid w:val="00983C82"/>
    <w:rsid w:val="00984520"/>
    <w:rsid w:val="0098545C"/>
    <w:rsid w:val="00986D1E"/>
    <w:rsid w:val="00990071"/>
    <w:rsid w:val="00991EA9"/>
    <w:rsid w:val="00992BA2"/>
    <w:rsid w:val="00992F83"/>
    <w:rsid w:val="0099508A"/>
    <w:rsid w:val="00995DDE"/>
    <w:rsid w:val="009974EB"/>
    <w:rsid w:val="009A06E4"/>
    <w:rsid w:val="009A1126"/>
    <w:rsid w:val="009A2020"/>
    <w:rsid w:val="009A2133"/>
    <w:rsid w:val="009A7930"/>
    <w:rsid w:val="009B1584"/>
    <w:rsid w:val="009B1DFD"/>
    <w:rsid w:val="009B21CA"/>
    <w:rsid w:val="009B2648"/>
    <w:rsid w:val="009B7E4A"/>
    <w:rsid w:val="009C03E5"/>
    <w:rsid w:val="009C3730"/>
    <w:rsid w:val="009C37BD"/>
    <w:rsid w:val="009C3AAC"/>
    <w:rsid w:val="009C3E98"/>
    <w:rsid w:val="009C4721"/>
    <w:rsid w:val="009C4D19"/>
    <w:rsid w:val="009C5FDB"/>
    <w:rsid w:val="009C693E"/>
    <w:rsid w:val="009C6C40"/>
    <w:rsid w:val="009C70CB"/>
    <w:rsid w:val="009D1EA4"/>
    <w:rsid w:val="009D27AA"/>
    <w:rsid w:val="009D4991"/>
    <w:rsid w:val="009D5544"/>
    <w:rsid w:val="009D5BB5"/>
    <w:rsid w:val="009D696D"/>
    <w:rsid w:val="009D6ED2"/>
    <w:rsid w:val="009D7A3C"/>
    <w:rsid w:val="009E0F1A"/>
    <w:rsid w:val="009E140D"/>
    <w:rsid w:val="009E1E55"/>
    <w:rsid w:val="009E4465"/>
    <w:rsid w:val="009E6401"/>
    <w:rsid w:val="009E6C54"/>
    <w:rsid w:val="009F2A25"/>
    <w:rsid w:val="009F43CC"/>
    <w:rsid w:val="009F5235"/>
    <w:rsid w:val="009F531A"/>
    <w:rsid w:val="009F6550"/>
    <w:rsid w:val="009F786E"/>
    <w:rsid w:val="00A00902"/>
    <w:rsid w:val="00A02D83"/>
    <w:rsid w:val="00A039FF"/>
    <w:rsid w:val="00A05ACE"/>
    <w:rsid w:val="00A1385E"/>
    <w:rsid w:val="00A14AE3"/>
    <w:rsid w:val="00A1520A"/>
    <w:rsid w:val="00A16675"/>
    <w:rsid w:val="00A22CD6"/>
    <w:rsid w:val="00A234EC"/>
    <w:rsid w:val="00A2417A"/>
    <w:rsid w:val="00A27804"/>
    <w:rsid w:val="00A30E56"/>
    <w:rsid w:val="00A33DF2"/>
    <w:rsid w:val="00A34296"/>
    <w:rsid w:val="00A36AB5"/>
    <w:rsid w:val="00A37398"/>
    <w:rsid w:val="00A37603"/>
    <w:rsid w:val="00A37DDA"/>
    <w:rsid w:val="00A411D1"/>
    <w:rsid w:val="00A43389"/>
    <w:rsid w:val="00A43E71"/>
    <w:rsid w:val="00A45753"/>
    <w:rsid w:val="00A47B15"/>
    <w:rsid w:val="00A52F84"/>
    <w:rsid w:val="00A56AA4"/>
    <w:rsid w:val="00A56B05"/>
    <w:rsid w:val="00A57678"/>
    <w:rsid w:val="00A60E2F"/>
    <w:rsid w:val="00A62536"/>
    <w:rsid w:val="00A63284"/>
    <w:rsid w:val="00A64CB8"/>
    <w:rsid w:val="00A67018"/>
    <w:rsid w:val="00A672F3"/>
    <w:rsid w:val="00A673DC"/>
    <w:rsid w:val="00A7076E"/>
    <w:rsid w:val="00A709BE"/>
    <w:rsid w:val="00A7162E"/>
    <w:rsid w:val="00A726E0"/>
    <w:rsid w:val="00A72D71"/>
    <w:rsid w:val="00A75705"/>
    <w:rsid w:val="00A77C69"/>
    <w:rsid w:val="00A83201"/>
    <w:rsid w:val="00A83953"/>
    <w:rsid w:val="00A840C5"/>
    <w:rsid w:val="00A86B47"/>
    <w:rsid w:val="00A86C94"/>
    <w:rsid w:val="00A903B6"/>
    <w:rsid w:val="00A90F4F"/>
    <w:rsid w:val="00A947AA"/>
    <w:rsid w:val="00A95C1D"/>
    <w:rsid w:val="00AA1B53"/>
    <w:rsid w:val="00AA3556"/>
    <w:rsid w:val="00AA35FD"/>
    <w:rsid w:val="00AA3DB7"/>
    <w:rsid w:val="00AA4B91"/>
    <w:rsid w:val="00AA7BBE"/>
    <w:rsid w:val="00AB0EFF"/>
    <w:rsid w:val="00AB1CE3"/>
    <w:rsid w:val="00AB3012"/>
    <w:rsid w:val="00AB321C"/>
    <w:rsid w:val="00AB42E2"/>
    <w:rsid w:val="00AB67DE"/>
    <w:rsid w:val="00AB688F"/>
    <w:rsid w:val="00AB75EA"/>
    <w:rsid w:val="00AB7AA2"/>
    <w:rsid w:val="00AC4BC1"/>
    <w:rsid w:val="00AC703D"/>
    <w:rsid w:val="00AD04BD"/>
    <w:rsid w:val="00AD0914"/>
    <w:rsid w:val="00AD691E"/>
    <w:rsid w:val="00AD708F"/>
    <w:rsid w:val="00AD7214"/>
    <w:rsid w:val="00AD7540"/>
    <w:rsid w:val="00AE1066"/>
    <w:rsid w:val="00AE19D8"/>
    <w:rsid w:val="00AE4518"/>
    <w:rsid w:val="00AE5D7F"/>
    <w:rsid w:val="00AE630A"/>
    <w:rsid w:val="00AE79F0"/>
    <w:rsid w:val="00AF0C1A"/>
    <w:rsid w:val="00AF41C5"/>
    <w:rsid w:val="00AF616B"/>
    <w:rsid w:val="00AF6EC1"/>
    <w:rsid w:val="00AF7CF5"/>
    <w:rsid w:val="00B00331"/>
    <w:rsid w:val="00B01A80"/>
    <w:rsid w:val="00B07C27"/>
    <w:rsid w:val="00B10DE1"/>
    <w:rsid w:val="00B10FF8"/>
    <w:rsid w:val="00B11CC5"/>
    <w:rsid w:val="00B203C4"/>
    <w:rsid w:val="00B22E81"/>
    <w:rsid w:val="00B23996"/>
    <w:rsid w:val="00B23CB2"/>
    <w:rsid w:val="00B2561A"/>
    <w:rsid w:val="00B25A64"/>
    <w:rsid w:val="00B27C3C"/>
    <w:rsid w:val="00B27CE6"/>
    <w:rsid w:val="00B32AB3"/>
    <w:rsid w:val="00B34E7C"/>
    <w:rsid w:val="00B368EA"/>
    <w:rsid w:val="00B37EEF"/>
    <w:rsid w:val="00B41C16"/>
    <w:rsid w:val="00B47485"/>
    <w:rsid w:val="00B47850"/>
    <w:rsid w:val="00B50B28"/>
    <w:rsid w:val="00B518C3"/>
    <w:rsid w:val="00B52166"/>
    <w:rsid w:val="00B524CA"/>
    <w:rsid w:val="00B55185"/>
    <w:rsid w:val="00B56C5B"/>
    <w:rsid w:val="00B61923"/>
    <w:rsid w:val="00B621D6"/>
    <w:rsid w:val="00B65D6F"/>
    <w:rsid w:val="00B67552"/>
    <w:rsid w:val="00B67C23"/>
    <w:rsid w:val="00B74161"/>
    <w:rsid w:val="00B75735"/>
    <w:rsid w:val="00B76BBB"/>
    <w:rsid w:val="00B77142"/>
    <w:rsid w:val="00B801C4"/>
    <w:rsid w:val="00B80A2C"/>
    <w:rsid w:val="00B814D9"/>
    <w:rsid w:val="00B81F60"/>
    <w:rsid w:val="00B841AC"/>
    <w:rsid w:val="00B8572D"/>
    <w:rsid w:val="00B865B0"/>
    <w:rsid w:val="00B90780"/>
    <w:rsid w:val="00B9240D"/>
    <w:rsid w:val="00B94BB8"/>
    <w:rsid w:val="00B9644D"/>
    <w:rsid w:val="00B97278"/>
    <w:rsid w:val="00BA22A8"/>
    <w:rsid w:val="00BA3E48"/>
    <w:rsid w:val="00BB07ED"/>
    <w:rsid w:val="00BB1EB3"/>
    <w:rsid w:val="00BB2678"/>
    <w:rsid w:val="00BC2343"/>
    <w:rsid w:val="00BC74DE"/>
    <w:rsid w:val="00BD2DC7"/>
    <w:rsid w:val="00BD30C8"/>
    <w:rsid w:val="00BD3EB4"/>
    <w:rsid w:val="00BD55D9"/>
    <w:rsid w:val="00BD5C65"/>
    <w:rsid w:val="00BE01CA"/>
    <w:rsid w:val="00BE099D"/>
    <w:rsid w:val="00BE6018"/>
    <w:rsid w:val="00BF1F57"/>
    <w:rsid w:val="00BF2383"/>
    <w:rsid w:val="00BF2DDD"/>
    <w:rsid w:val="00BF4086"/>
    <w:rsid w:val="00BF426C"/>
    <w:rsid w:val="00BF4E28"/>
    <w:rsid w:val="00BF58D0"/>
    <w:rsid w:val="00BF5FC5"/>
    <w:rsid w:val="00BF70AE"/>
    <w:rsid w:val="00BF7505"/>
    <w:rsid w:val="00BF7D6A"/>
    <w:rsid w:val="00C013E1"/>
    <w:rsid w:val="00C01611"/>
    <w:rsid w:val="00C02C6D"/>
    <w:rsid w:val="00C02D59"/>
    <w:rsid w:val="00C030B6"/>
    <w:rsid w:val="00C03284"/>
    <w:rsid w:val="00C04855"/>
    <w:rsid w:val="00C050D7"/>
    <w:rsid w:val="00C05B5F"/>
    <w:rsid w:val="00C104CC"/>
    <w:rsid w:val="00C152FE"/>
    <w:rsid w:val="00C16739"/>
    <w:rsid w:val="00C2237F"/>
    <w:rsid w:val="00C22CCE"/>
    <w:rsid w:val="00C23BA2"/>
    <w:rsid w:val="00C24CA0"/>
    <w:rsid w:val="00C32AF2"/>
    <w:rsid w:val="00C33204"/>
    <w:rsid w:val="00C338EB"/>
    <w:rsid w:val="00C3465D"/>
    <w:rsid w:val="00C379E9"/>
    <w:rsid w:val="00C40F7A"/>
    <w:rsid w:val="00C439FB"/>
    <w:rsid w:val="00C43F23"/>
    <w:rsid w:val="00C50011"/>
    <w:rsid w:val="00C56DA4"/>
    <w:rsid w:val="00C64041"/>
    <w:rsid w:val="00C645E6"/>
    <w:rsid w:val="00C64D82"/>
    <w:rsid w:val="00C64FBC"/>
    <w:rsid w:val="00C65A83"/>
    <w:rsid w:val="00C737EE"/>
    <w:rsid w:val="00C80F23"/>
    <w:rsid w:val="00C81151"/>
    <w:rsid w:val="00C81A11"/>
    <w:rsid w:val="00C828B6"/>
    <w:rsid w:val="00C82CC6"/>
    <w:rsid w:val="00C850A3"/>
    <w:rsid w:val="00C85C32"/>
    <w:rsid w:val="00C87568"/>
    <w:rsid w:val="00C9072B"/>
    <w:rsid w:val="00C90DB6"/>
    <w:rsid w:val="00C9394F"/>
    <w:rsid w:val="00C93B1A"/>
    <w:rsid w:val="00C96F5F"/>
    <w:rsid w:val="00CA3C4F"/>
    <w:rsid w:val="00CA5927"/>
    <w:rsid w:val="00CA79EC"/>
    <w:rsid w:val="00CB2D37"/>
    <w:rsid w:val="00CB39C2"/>
    <w:rsid w:val="00CB4C8C"/>
    <w:rsid w:val="00CB6782"/>
    <w:rsid w:val="00CC080A"/>
    <w:rsid w:val="00CC1D4D"/>
    <w:rsid w:val="00CC1F82"/>
    <w:rsid w:val="00CC3C04"/>
    <w:rsid w:val="00CD151F"/>
    <w:rsid w:val="00CD5FBA"/>
    <w:rsid w:val="00CE26E5"/>
    <w:rsid w:val="00CE46DB"/>
    <w:rsid w:val="00CE5277"/>
    <w:rsid w:val="00CE6358"/>
    <w:rsid w:val="00CF0C6C"/>
    <w:rsid w:val="00CF2116"/>
    <w:rsid w:val="00CF2C2A"/>
    <w:rsid w:val="00CF2D54"/>
    <w:rsid w:val="00D01324"/>
    <w:rsid w:val="00D02BA5"/>
    <w:rsid w:val="00D03538"/>
    <w:rsid w:val="00D049B8"/>
    <w:rsid w:val="00D04C0E"/>
    <w:rsid w:val="00D0516C"/>
    <w:rsid w:val="00D05EE7"/>
    <w:rsid w:val="00D06394"/>
    <w:rsid w:val="00D068D0"/>
    <w:rsid w:val="00D0722C"/>
    <w:rsid w:val="00D078D1"/>
    <w:rsid w:val="00D129A8"/>
    <w:rsid w:val="00D12F5B"/>
    <w:rsid w:val="00D12FB9"/>
    <w:rsid w:val="00D200BD"/>
    <w:rsid w:val="00D22399"/>
    <w:rsid w:val="00D33751"/>
    <w:rsid w:val="00D36F6E"/>
    <w:rsid w:val="00D37343"/>
    <w:rsid w:val="00D40397"/>
    <w:rsid w:val="00D4205E"/>
    <w:rsid w:val="00D43CCE"/>
    <w:rsid w:val="00D51F57"/>
    <w:rsid w:val="00D52744"/>
    <w:rsid w:val="00D52DC6"/>
    <w:rsid w:val="00D565EC"/>
    <w:rsid w:val="00D600AB"/>
    <w:rsid w:val="00D61982"/>
    <w:rsid w:val="00D6226F"/>
    <w:rsid w:val="00D623A3"/>
    <w:rsid w:val="00D6267A"/>
    <w:rsid w:val="00D6596A"/>
    <w:rsid w:val="00D674CF"/>
    <w:rsid w:val="00D67A47"/>
    <w:rsid w:val="00D67D12"/>
    <w:rsid w:val="00D67E63"/>
    <w:rsid w:val="00D70923"/>
    <w:rsid w:val="00D73805"/>
    <w:rsid w:val="00D74F09"/>
    <w:rsid w:val="00D7585A"/>
    <w:rsid w:val="00D77C49"/>
    <w:rsid w:val="00D80618"/>
    <w:rsid w:val="00D82494"/>
    <w:rsid w:val="00D83CF5"/>
    <w:rsid w:val="00D84A4B"/>
    <w:rsid w:val="00D92168"/>
    <w:rsid w:val="00D940B5"/>
    <w:rsid w:val="00D95CB0"/>
    <w:rsid w:val="00D95E12"/>
    <w:rsid w:val="00D977C0"/>
    <w:rsid w:val="00DA00A3"/>
    <w:rsid w:val="00DA11B1"/>
    <w:rsid w:val="00DA13F3"/>
    <w:rsid w:val="00DA2DE3"/>
    <w:rsid w:val="00DA716A"/>
    <w:rsid w:val="00DB1841"/>
    <w:rsid w:val="00DB1F4F"/>
    <w:rsid w:val="00DB37EE"/>
    <w:rsid w:val="00DB413D"/>
    <w:rsid w:val="00DB4450"/>
    <w:rsid w:val="00DB7B69"/>
    <w:rsid w:val="00DC234A"/>
    <w:rsid w:val="00DC34E9"/>
    <w:rsid w:val="00DC41E4"/>
    <w:rsid w:val="00DC66A8"/>
    <w:rsid w:val="00DC7C77"/>
    <w:rsid w:val="00DD78E0"/>
    <w:rsid w:val="00DD7EA2"/>
    <w:rsid w:val="00DE00F2"/>
    <w:rsid w:val="00DE117F"/>
    <w:rsid w:val="00DE144D"/>
    <w:rsid w:val="00DE401C"/>
    <w:rsid w:val="00DE4304"/>
    <w:rsid w:val="00DF0726"/>
    <w:rsid w:val="00DF347B"/>
    <w:rsid w:val="00DF63FA"/>
    <w:rsid w:val="00E012CC"/>
    <w:rsid w:val="00E02B71"/>
    <w:rsid w:val="00E02DEB"/>
    <w:rsid w:val="00E042A1"/>
    <w:rsid w:val="00E04671"/>
    <w:rsid w:val="00E05F9D"/>
    <w:rsid w:val="00E07951"/>
    <w:rsid w:val="00E104FA"/>
    <w:rsid w:val="00E1082A"/>
    <w:rsid w:val="00E11166"/>
    <w:rsid w:val="00E13182"/>
    <w:rsid w:val="00E15383"/>
    <w:rsid w:val="00E1738C"/>
    <w:rsid w:val="00E22D28"/>
    <w:rsid w:val="00E230E3"/>
    <w:rsid w:val="00E230ED"/>
    <w:rsid w:val="00E30EDF"/>
    <w:rsid w:val="00E31FBA"/>
    <w:rsid w:val="00E35496"/>
    <w:rsid w:val="00E36AAE"/>
    <w:rsid w:val="00E41773"/>
    <w:rsid w:val="00E41CF1"/>
    <w:rsid w:val="00E505A3"/>
    <w:rsid w:val="00E513F6"/>
    <w:rsid w:val="00E52F3B"/>
    <w:rsid w:val="00E538AB"/>
    <w:rsid w:val="00E53D94"/>
    <w:rsid w:val="00E53DEA"/>
    <w:rsid w:val="00E55986"/>
    <w:rsid w:val="00E57F40"/>
    <w:rsid w:val="00E616DB"/>
    <w:rsid w:val="00E618DD"/>
    <w:rsid w:val="00E627A4"/>
    <w:rsid w:val="00E630ED"/>
    <w:rsid w:val="00E64C1D"/>
    <w:rsid w:val="00E7357D"/>
    <w:rsid w:val="00E74EC5"/>
    <w:rsid w:val="00E76B86"/>
    <w:rsid w:val="00E80A21"/>
    <w:rsid w:val="00E80E16"/>
    <w:rsid w:val="00E83302"/>
    <w:rsid w:val="00E8342F"/>
    <w:rsid w:val="00E847A7"/>
    <w:rsid w:val="00E85415"/>
    <w:rsid w:val="00E86783"/>
    <w:rsid w:val="00E906B4"/>
    <w:rsid w:val="00E9095B"/>
    <w:rsid w:val="00E92EE0"/>
    <w:rsid w:val="00E9399B"/>
    <w:rsid w:val="00E94008"/>
    <w:rsid w:val="00E94762"/>
    <w:rsid w:val="00E96B52"/>
    <w:rsid w:val="00EA2244"/>
    <w:rsid w:val="00EA6563"/>
    <w:rsid w:val="00EA6FA7"/>
    <w:rsid w:val="00EB067F"/>
    <w:rsid w:val="00EB1F02"/>
    <w:rsid w:val="00EB230B"/>
    <w:rsid w:val="00EB5BC5"/>
    <w:rsid w:val="00EC086C"/>
    <w:rsid w:val="00EC42D0"/>
    <w:rsid w:val="00EC638F"/>
    <w:rsid w:val="00EC7583"/>
    <w:rsid w:val="00ED2713"/>
    <w:rsid w:val="00ED5D6F"/>
    <w:rsid w:val="00EE2061"/>
    <w:rsid w:val="00EE2ACE"/>
    <w:rsid w:val="00EE4874"/>
    <w:rsid w:val="00EE5829"/>
    <w:rsid w:val="00EE79A6"/>
    <w:rsid w:val="00EF0D86"/>
    <w:rsid w:val="00F005A0"/>
    <w:rsid w:val="00F106D2"/>
    <w:rsid w:val="00F11352"/>
    <w:rsid w:val="00F13451"/>
    <w:rsid w:val="00F1498D"/>
    <w:rsid w:val="00F14DDF"/>
    <w:rsid w:val="00F152AD"/>
    <w:rsid w:val="00F20BE9"/>
    <w:rsid w:val="00F2285F"/>
    <w:rsid w:val="00F23155"/>
    <w:rsid w:val="00F24E0E"/>
    <w:rsid w:val="00F2526E"/>
    <w:rsid w:val="00F26693"/>
    <w:rsid w:val="00F31DE4"/>
    <w:rsid w:val="00F33530"/>
    <w:rsid w:val="00F36130"/>
    <w:rsid w:val="00F36A6E"/>
    <w:rsid w:val="00F36FE3"/>
    <w:rsid w:val="00F40444"/>
    <w:rsid w:val="00F40868"/>
    <w:rsid w:val="00F4087A"/>
    <w:rsid w:val="00F423BD"/>
    <w:rsid w:val="00F432FF"/>
    <w:rsid w:val="00F46A39"/>
    <w:rsid w:val="00F46F26"/>
    <w:rsid w:val="00F4715C"/>
    <w:rsid w:val="00F50707"/>
    <w:rsid w:val="00F51C03"/>
    <w:rsid w:val="00F54869"/>
    <w:rsid w:val="00F556B2"/>
    <w:rsid w:val="00F55A5C"/>
    <w:rsid w:val="00F57187"/>
    <w:rsid w:val="00F574E5"/>
    <w:rsid w:val="00F5754B"/>
    <w:rsid w:val="00F576DE"/>
    <w:rsid w:val="00F63BF7"/>
    <w:rsid w:val="00F65617"/>
    <w:rsid w:val="00F710BE"/>
    <w:rsid w:val="00F718C1"/>
    <w:rsid w:val="00F736D2"/>
    <w:rsid w:val="00F7564C"/>
    <w:rsid w:val="00F76220"/>
    <w:rsid w:val="00F769BE"/>
    <w:rsid w:val="00F77D7A"/>
    <w:rsid w:val="00F82E6B"/>
    <w:rsid w:val="00F87CA3"/>
    <w:rsid w:val="00F95B9D"/>
    <w:rsid w:val="00F97B71"/>
    <w:rsid w:val="00FA1925"/>
    <w:rsid w:val="00FA2DDA"/>
    <w:rsid w:val="00FA34CA"/>
    <w:rsid w:val="00FA3CC8"/>
    <w:rsid w:val="00FA4A55"/>
    <w:rsid w:val="00FA4D4F"/>
    <w:rsid w:val="00FA54E8"/>
    <w:rsid w:val="00FB2D17"/>
    <w:rsid w:val="00FB2F69"/>
    <w:rsid w:val="00FB3BCA"/>
    <w:rsid w:val="00FB45FF"/>
    <w:rsid w:val="00FB47E0"/>
    <w:rsid w:val="00FB5D97"/>
    <w:rsid w:val="00FC1991"/>
    <w:rsid w:val="00FC1CA5"/>
    <w:rsid w:val="00FC2979"/>
    <w:rsid w:val="00FC45F4"/>
    <w:rsid w:val="00FC5E83"/>
    <w:rsid w:val="00FD0A58"/>
    <w:rsid w:val="00FD1C3C"/>
    <w:rsid w:val="00FD38A8"/>
    <w:rsid w:val="00FD3B9A"/>
    <w:rsid w:val="00FD6AC8"/>
    <w:rsid w:val="00FD7153"/>
    <w:rsid w:val="00FD7298"/>
    <w:rsid w:val="00FE308B"/>
    <w:rsid w:val="00FE3230"/>
    <w:rsid w:val="00FE3EA1"/>
    <w:rsid w:val="00FE4818"/>
    <w:rsid w:val="00FE5D80"/>
    <w:rsid w:val="00FE6979"/>
    <w:rsid w:val="00FF6ADB"/>
    <w:rsid w:val="00FF7F4C"/>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5D44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1B63AB"/>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5D4452"/>
    <w:rPr>
      <w:rFonts w:cs="Times New Roman"/>
      <w:b/>
      <w:bCs/>
      <w:kern w:val="44"/>
      <w:sz w:val="44"/>
      <w:szCs w:val="44"/>
    </w:rPr>
  </w:style>
  <w:style w:customStyle="1" w:styleId="2Char" w:type="character">
    <w:name w:val="标题 2 Char"/>
    <w:link w:val="2"/>
    <w:uiPriority w:val="9"/>
    <w:semiHidden/>
    <w:rsid w:val="00D85A42"/>
    <w:rPr>
      <w:rFonts w:ascii="Cambria" w:cs="Times New Roman" w:eastAsia="宋体" w:hAnsi="Cambria"/>
      <w:b/>
      <w:bCs/>
      <w:sz w:val="32"/>
      <w:szCs w:val="32"/>
    </w:rPr>
  </w:style>
  <w:style w:styleId="a0" w:type="paragraph">
    <w:name w:val="Normal Indent"/>
    <w:basedOn w:val="a"/>
    <w:uiPriority w:val="99"/>
    <w:rsid w:val="001B63AB"/>
    <w:pPr>
      <w:ind w:firstLine="420" w:firstLineChars="200"/>
    </w:pPr>
  </w:style>
  <w:style w:styleId="a4" w:type="paragraph">
    <w:name w:val="Body Text Indent"/>
    <w:basedOn w:val="a"/>
    <w:link w:val="Char"/>
    <w:uiPriority w:val="99"/>
    <w:rsid w:val="001B63AB"/>
    <w:pPr>
      <w:widowControl/>
      <w:spacing w:after="100" w:afterAutospacing="1" w:before="100" w:beforeAutospacing="1"/>
      <w:jc w:val="left"/>
    </w:pPr>
    <w:rPr>
      <w:kern w:val="0"/>
      <w:sz w:val="20"/>
    </w:rPr>
  </w:style>
  <w:style w:customStyle="1" w:styleId="Char" w:type="character">
    <w:name w:val="正文文本缩进 Char"/>
    <w:link w:val="a4"/>
    <w:uiPriority w:val="99"/>
    <w:semiHidden/>
    <w:rsid w:val="00D85A42"/>
    <w:rPr>
      <w:szCs w:val="24"/>
    </w:rPr>
  </w:style>
  <w:style w:styleId="a5" w:type="paragraph">
    <w:name w:val="Plain Text"/>
    <w:basedOn w:val="a"/>
    <w:link w:val="Char0"/>
    <w:uiPriority w:val="99"/>
    <w:rsid w:val="001B63AB"/>
    <w:rPr>
      <w:rFonts w:ascii="宋体" w:hAnsi="Courier New"/>
      <w:szCs w:val="20"/>
    </w:rPr>
  </w:style>
  <w:style w:customStyle="1" w:styleId="Char0" w:type="character">
    <w:name w:val="纯文本 Char"/>
    <w:link w:val="a5"/>
    <w:uiPriority w:val="99"/>
    <w:locked/>
    <w:rsid w:val="00A726E0"/>
    <w:rPr>
      <w:rFonts w:ascii="宋体" w:hAnsi="Courier New"/>
      <w:kern w:val="2"/>
      <w:sz w:val="21"/>
    </w:rPr>
  </w:style>
  <w:style w:styleId="20" w:type="paragraph">
    <w:name w:val="Body Text Indent 2"/>
    <w:basedOn w:val="a"/>
    <w:link w:val="2Char0"/>
    <w:uiPriority w:val="99"/>
    <w:rsid w:val="001B63AB"/>
    <w:pPr>
      <w:spacing w:line="560" w:lineRule="exact"/>
      <w:ind w:firstLine="480" w:firstLineChars="200"/>
    </w:pPr>
    <w:rPr>
      <w:kern w:val="0"/>
      <w:sz w:val="20"/>
    </w:rPr>
  </w:style>
  <w:style w:customStyle="1" w:styleId="2Char0" w:type="character">
    <w:name w:val="正文文本缩进 2 Char"/>
    <w:link w:val="20"/>
    <w:uiPriority w:val="99"/>
    <w:semiHidden/>
    <w:rsid w:val="00D85A42"/>
    <w:rPr>
      <w:szCs w:val="24"/>
    </w:rPr>
  </w:style>
  <w:style w:styleId="a6" w:type="paragraph">
    <w:name w:val="footer"/>
    <w:basedOn w:val="a"/>
    <w:link w:val="Char1"/>
    <w:uiPriority w:val="99"/>
    <w:rsid w:val="001B63AB"/>
    <w:pPr>
      <w:tabs>
        <w:tab w:pos="4153" w:val="center"/>
        <w:tab w:pos="8306" w:val="right"/>
      </w:tabs>
      <w:snapToGrid w:val="0"/>
      <w:jc w:val="left"/>
    </w:pPr>
    <w:rPr>
      <w:kern w:val="0"/>
      <w:sz w:val="18"/>
      <w:szCs w:val="18"/>
    </w:rPr>
  </w:style>
  <w:style w:customStyle="1" w:styleId="Char1" w:type="character">
    <w:name w:val="页脚 Char"/>
    <w:link w:val="a6"/>
    <w:uiPriority w:val="99"/>
    <w:semiHidden/>
    <w:rsid w:val="00D85A42"/>
    <w:rPr>
      <w:sz w:val="18"/>
      <w:szCs w:val="18"/>
    </w:rPr>
  </w:style>
  <w:style w:styleId="a7" w:type="character">
    <w:name w:val="page number"/>
    <w:uiPriority w:val="99"/>
    <w:rsid w:val="001B63AB"/>
    <w:rPr>
      <w:rFonts w:cs="Times New Roman"/>
    </w:rPr>
  </w:style>
  <w:style w:styleId="a8" w:type="character">
    <w:name w:val="Hyperlink"/>
    <w:uiPriority w:val="99"/>
    <w:rsid w:val="001B63AB"/>
    <w:rPr>
      <w:rFonts w:cs="Times New Roman"/>
      <w:color w:val="0000FF"/>
      <w:u w:val="single"/>
    </w:rPr>
  </w:style>
  <w:style w:styleId="3" w:type="paragraph">
    <w:name w:val="Body Text Indent 3"/>
    <w:basedOn w:val="a"/>
    <w:link w:val="3Char"/>
    <w:uiPriority w:val="99"/>
    <w:rsid w:val="001B63AB"/>
    <w:pPr>
      <w:spacing w:line="560" w:lineRule="exact"/>
      <w:ind w:firstLine="420" w:firstLineChars="200"/>
    </w:pPr>
    <w:rPr>
      <w:kern w:val="0"/>
      <w:sz w:val="16"/>
      <w:szCs w:val="16"/>
    </w:rPr>
  </w:style>
  <w:style w:customStyle="1" w:styleId="3Char" w:type="character">
    <w:name w:val="正文文本缩进 3 Char"/>
    <w:link w:val="3"/>
    <w:uiPriority w:val="99"/>
    <w:semiHidden/>
    <w:rsid w:val="00D85A42"/>
    <w:rPr>
      <w:sz w:val="16"/>
      <w:szCs w:val="16"/>
    </w:rPr>
  </w:style>
  <w:style w:styleId="a9" w:type="paragraph">
    <w:name w:val="header"/>
    <w:basedOn w:val="a"/>
    <w:link w:val="Char2"/>
    <w:uiPriority w:val="99"/>
    <w:rsid w:val="001B63AB"/>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4E30FB"/>
    <w:rPr>
      <w:rFonts w:cs="Times New Roman"/>
      <w:kern w:val="2"/>
      <w:sz w:val="18"/>
      <w:szCs w:val="18"/>
    </w:rPr>
  </w:style>
  <w:style w:styleId="aa" w:type="character">
    <w:name w:val="FollowedHyperlink"/>
    <w:uiPriority w:val="99"/>
    <w:rsid w:val="001B63AB"/>
    <w:rPr>
      <w:rFonts w:cs="Times New Roman"/>
      <w:color w:val="800080"/>
      <w:u w:val="single"/>
    </w:rPr>
  </w:style>
  <w:style w:styleId="ab" w:type="paragraph">
    <w:name w:val="List"/>
    <w:basedOn w:val="ac"/>
    <w:uiPriority w:val="99"/>
    <w:rsid w:val="001B63AB"/>
    <w:pPr>
      <w:spacing w:after="220" w:line="220" w:lineRule="atLeast"/>
      <w:ind w:hanging="360" w:left="1440"/>
    </w:pPr>
    <w:rPr>
      <w:szCs w:val="20"/>
    </w:rPr>
  </w:style>
  <w:style w:styleId="ac" w:type="paragraph">
    <w:name w:val="Body Text"/>
    <w:basedOn w:val="a"/>
    <w:link w:val="Char3"/>
    <w:uiPriority w:val="99"/>
    <w:rsid w:val="001B63AB"/>
    <w:pPr>
      <w:spacing w:after="120"/>
    </w:pPr>
    <w:rPr>
      <w:kern w:val="0"/>
      <w:sz w:val="20"/>
    </w:rPr>
  </w:style>
  <w:style w:customStyle="1" w:styleId="Char3" w:type="character">
    <w:name w:val="正文文本 Char"/>
    <w:link w:val="ac"/>
    <w:uiPriority w:val="99"/>
    <w:semiHidden/>
    <w:rsid w:val="00D85A42"/>
    <w:rPr>
      <w:szCs w:val="24"/>
    </w:rPr>
  </w:style>
  <w:style w:styleId="ad" w:type="paragraph">
    <w:name w:val="Date"/>
    <w:basedOn w:val="a"/>
    <w:next w:val="a"/>
    <w:link w:val="Char4"/>
    <w:uiPriority w:val="99"/>
    <w:rsid w:val="001B63AB"/>
    <w:rPr>
      <w:sz w:val="24"/>
      <w:szCs w:val="20"/>
    </w:rPr>
  </w:style>
  <w:style w:customStyle="1" w:styleId="Char4" w:type="character">
    <w:name w:val="日期 Char"/>
    <w:link w:val="ad"/>
    <w:uiPriority w:val="99"/>
    <w:locked/>
    <w:rsid w:val="005E5CC1"/>
    <w:rPr>
      <w:rFonts w:cs="Times New Roman"/>
      <w:kern w:val="2"/>
      <w:sz w:val="24"/>
    </w:rPr>
  </w:style>
  <w:style w:customStyle="1" w:styleId="c1" w:type="character">
    <w:name w:val="c1"/>
    <w:uiPriority w:val="99"/>
    <w:rsid w:val="001B63AB"/>
    <w:rPr>
      <w:rFonts w:cs="Times New Roman"/>
      <w:color w:val="000000"/>
      <w:sz w:val="18"/>
      <w:szCs w:val="18"/>
    </w:rPr>
  </w:style>
  <w:style w:styleId="10" w:type="paragraph">
    <w:name w:val="index 1"/>
    <w:basedOn w:val="a"/>
    <w:next w:val="a"/>
    <w:autoRedefine/>
    <w:uiPriority w:val="99"/>
    <w:semiHidden/>
    <w:rsid w:val="001B63AB"/>
    <w:pPr>
      <w:jc w:val="right"/>
    </w:pPr>
    <w:rPr>
      <w:color w:val="008000"/>
    </w:rPr>
  </w:style>
  <w:style w:customStyle="1" w:styleId="font5" w:type="paragraph">
    <w:name w:val="font5"/>
    <w:basedOn w:val="a"/>
    <w:uiPriority w:val="99"/>
    <w:rsid w:val="001B63AB"/>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1B63AB"/>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1B63AB"/>
    <w:rPr>
      <w:kern w:val="0"/>
      <w:sz w:val="0"/>
      <w:szCs w:val="0"/>
    </w:rPr>
  </w:style>
  <w:style w:customStyle="1" w:styleId="Char5" w:type="character">
    <w:name w:val="批注框文本 Char"/>
    <w:link w:val="ae"/>
    <w:uiPriority w:val="99"/>
    <w:semiHidden/>
    <w:rsid w:val="00D85A42"/>
    <w:rPr>
      <w:sz w:val="0"/>
      <w:szCs w:val="0"/>
    </w:rPr>
  </w:style>
  <w:style w:styleId="af" w:type="character">
    <w:name w:val="annotation reference"/>
    <w:uiPriority w:val="99"/>
    <w:semiHidden/>
    <w:rsid w:val="001B63AB"/>
    <w:rPr>
      <w:rFonts w:cs="Times New Roman"/>
      <w:sz w:val="21"/>
      <w:szCs w:val="21"/>
    </w:rPr>
  </w:style>
  <w:style w:styleId="af0" w:type="paragraph">
    <w:name w:val="annotation text"/>
    <w:basedOn w:val="a"/>
    <w:link w:val="Char6"/>
    <w:uiPriority w:val="99"/>
    <w:semiHidden/>
    <w:rsid w:val="001B63AB"/>
    <w:pPr>
      <w:jc w:val="left"/>
    </w:pPr>
    <w:rPr>
      <w:kern w:val="0"/>
      <w:sz w:val="20"/>
    </w:rPr>
  </w:style>
  <w:style w:customStyle="1" w:styleId="Char6" w:type="character">
    <w:name w:val="批注文字 Char"/>
    <w:link w:val="af0"/>
    <w:uiPriority w:val="99"/>
    <w:semiHidden/>
    <w:rsid w:val="00D85A42"/>
    <w:rPr>
      <w:szCs w:val="24"/>
    </w:rPr>
  </w:style>
  <w:style w:styleId="af1" w:type="paragraph">
    <w:name w:val="annotation subject"/>
    <w:basedOn w:val="af0"/>
    <w:next w:val="af0"/>
    <w:link w:val="Char7"/>
    <w:uiPriority w:val="99"/>
    <w:semiHidden/>
    <w:rsid w:val="001B63AB"/>
    <w:rPr>
      <w:b/>
      <w:bCs/>
    </w:rPr>
  </w:style>
  <w:style w:customStyle="1" w:styleId="Char7" w:type="character">
    <w:name w:val="批注主题 Char"/>
    <w:link w:val="af1"/>
    <w:uiPriority w:val="99"/>
    <w:semiHidden/>
    <w:rsid w:val="00D85A42"/>
    <w:rPr>
      <w:b/>
      <w:bCs/>
      <w:szCs w:val="24"/>
    </w:rPr>
  </w:style>
  <w:style w:customStyle="1" w:styleId="Char8" w:type="paragraph">
    <w:name w:val="Char"/>
    <w:basedOn w:val="a"/>
    <w:uiPriority w:val="99"/>
    <w:rsid w:val="001B63AB"/>
  </w:style>
  <w:style w:styleId="af2" w:type="paragraph">
    <w:name w:val="Document Map"/>
    <w:basedOn w:val="a"/>
    <w:link w:val="Char9"/>
    <w:uiPriority w:val="99"/>
    <w:semiHidden/>
    <w:rsid w:val="000A549A"/>
    <w:pPr>
      <w:shd w:color="auto" w:fill="000080" w:val="clear"/>
    </w:pPr>
    <w:rPr>
      <w:kern w:val="0"/>
      <w:sz w:val="0"/>
      <w:szCs w:val="0"/>
    </w:rPr>
  </w:style>
  <w:style w:customStyle="1" w:styleId="Char9" w:type="character">
    <w:name w:val="文档结构图 Char"/>
    <w:link w:val="af2"/>
    <w:uiPriority w:val="99"/>
    <w:semiHidden/>
    <w:rsid w:val="00D85A42"/>
    <w:rPr>
      <w:sz w:val="0"/>
      <w:szCs w:val="0"/>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kern w:val="0"/>
      <w:sz w:val="18"/>
      <w:szCs w:val="18"/>
    </w:rPr>
  </w:style>
  <w:style w:customStyle="1" w:styleId="Chara" w:type="character">
    <w:name w:val="脚注文本 Char"/>
    <w:link w:val="af4"/>
    <w:uiPriority w:val="99"/>
    <w:semiHidden/>
    <w:rsid w:val="00D85A42"/>
    <w:rPr>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t1" w:type="character">
    <w:name w:val="t1"/>
    <w:uiPriority w:val="99"/>
    <w:rsid w:val="00C40F7A"/>
    <w:rPr>
      <w:rFonts w:cs="Times New Roman"/>
      <w:color w:val="990000"/>
    </w:rPr>
  </w:style>
  <w:style w:styleId="af8" w:type="character">
    <w:name w:val="Strong"/>
    <w:uiPriority w:val="22"/>
    <w:qFormat/>
    <w:locked/>
    <w:rsid w:val="001A481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504092">
      <w:bodyDiv w:val="1"/>
      <w:marLeft w:val="0"/>
      <w:marRight w:val="0"/>
      <w:marTop w:val="0"/>
      <w:marBottom w:val="0"/>
      <w:divBdr>
        <w:top w:val="none" w:sz="0" w:space="0" w:color="auto"/>
        <w:left w:val="none" w:sz="0" w:space="0" w:color="auto"/>
        <w:bottom w:val="none" w:sz="0" w:space="0" w:color="auto"/>
        <w:right w:val="none" w:sz="0" w:space="0" w:color="auto"/>
      </w:divBdr>
    </w:div>
    <w:div w:id="1833837360">
      <w:marLeft w:val="0"/>
      <w:marRight w:val="0"/>
      <w:marTop w:val="0"/>
      <w:marBottom w:val="0"/>
      <w:divBdr>
        <w:top w:val="none" w:sz="0" w:space="0" w:color="auto"/>
        <w:left w:val="none" w:sz="0" w:space="0" w:color="auto"/>
        <w:bottom w:val="none" w:sz="0" w:space="0" w:color="auto"/>
        <w:right w:val="none" w:sz="0" w:space="0" w:color="auto"/>
      </w:divBdr>
    </w:div>
    <w:div w:id="1833837361">
      <w:marLeft w:val="0"/>
      <w:marRight w:val="0"/>
      <w:marTop w:val="0"/>
      <w:marBottom w:val="0"/>
      <w:divBdr>
        <w:top w:val="none" w:sz="0" w:space="0" w:color="auto"/>
        <w:left w:val="none" w:sz="0" w:space="0" w:color="auto"/>
        <w:bottom w:val="none" w:sz="0" w:space="0" w:color="auto"/>
        <w:right w:val="none" w:sz="0" w:space="0" w:color="auto"/>
      </w:divBdr>
    </w:div>
    <w:div w:id="1833837362">
      <w:marLeft w:val="0"/>
      <w:marRight w:val="0"/>
      <w:marTop w:val="0"/>
      <w:marBottom w:val="0"/>
      <w:divBdr>
        <w:top w:val="none" w:sz="0" w:space="0" w:color="auto"/>
        <w:left w:val="none" w:sz="0" w:space="0" w:color="auto"/>
        <w:bottom w:val="none" w:sz="0" w:space="0" w:color="auto"/>
        <w:right w:val="none" w:sz="0" w:space="0" w:color="auto"/>
      </w:divBdr>
    </w:div>
    <w:div w:id="1833837363">
      <w:marLeft w:val="0"/>
      <w:marRight w:val="0"/>
      <w:marTop w:val="0"/>
      <w:marBottom w:val="0"/>
      <w:divBdr>
        <w:top w:val="none" w:sz="0" w:space="0" w:color="auto"/>
        <w:left w:val="none" w:sz="0" w:space="0" w:color="auto"/>
        <w:bottom w:val="none" w:sz="0" w:space="0" w:color="auto"/>
        <w:right w:val="none" w:sz="0" w:space="0" w:color="auto"/>
      </w:divBdr>
    </w:div>
    <w:div w:id="1833837364">
      <w:marLeft w:val="0"/>
      <w:marRight w:val="0"/>
      <w:marTop w:val="0"/>
      <w:marBottom w:val="0"/>
      <w:divBdr>
        <w:top w:val="none" w:sz="0" w:space="0" w:color="auto"/>
        <w:left w:val="none" w:sz="0" w:space="0" w:color="auto"/>
        <w:bottom w:val="none" w:sz="0" w:space="0" w:color="auto"/>
        <w:right w:val="none" w:sz="0" w:space="0" w:color="auto"/>
      </w:divBdr>
    </w:div>
    <w:div w:id="1833837365">
      <w:marLeft w:val="0"/>
      <w:marRight w:val="0"/>
      <w:marTop w:val="0"/>
      <w:marBottom w:val="0"/>
      <w:divBdr>
        <w:top w:val="none" w:sz="0" w:space="0" w:color="auto"/>
        <w:left w:val="none" w:sz="0" w:space="0" w:color="auto"/>
        <w:bottom w:val="none" w:sz="0" w:space="0" w:color="auto"/>
        <w:right w:val="none" w:sz="0" w:space="0" w:color="auto"/>
      </w:divBdr>
    </w:div>
    <w:div w:id="1833837366">
      <w:marLeft w:val="0"/>
      <w:marRight w:val="0"/>
      <w:marTop w:val="0"/>
      <w:marBottom w:val="0"/>
      <w:divBdr>
        <w:top w:val="none" w:sz="0" w:space="0" w:color="auto"/>
        <w:left w:val="none" w:sz="0" w:space="0" w:color="auto"/>
        <w:bottom w:val="none" w:sz="0" w:space="0" w:color="auto"/>
        <w:right w:val="none" w:sz="0" w:space="0" w:color="auto"/>
      </w:divBdr>
    </w:div>
    <w:div w:id="1833837367">
      <w:marLeft w:val="0"/>
      <w:marRight w:val="0"/>
      <w:marTop w:val="0"/>
      <w:marBottom w:val="0"/>
      <w:divBdr>
        <w:top w:val="none" w:sz="0" w:space="0" w:color="auto"/>
        <w:left w:val="none" w:sz="0" w:space="0" w:color="auto"/>
        <w:bottom w:val="none" w:sz="0" w:space="0" w:color="auto"/>
        <w:right w:val="none" w:sz="0" w:space="0" w:color="auto"/>
      </w:divBdr>
    </w:div>
    <w:div w:id="1833837368">
      <w:marLeft w:val="0"/>
      <w:marRight w:val="0"/>
      <w:marTop w:val="0"/>
      <w:marBottom w:val="0"/>
      <w:divBdr>
        <w:top w:val="none" w:sz="0" w:space="0" w:color="auto"/>
        <w:left w:val="none" w:sz="0" w:space="0" w:color="auto"/>
        <w:bottom w:val="none" w:sz="0" w:space="0" w:color="auto"/>
        <w:right w:val="none" w:sz="0" w:space="0" w:color="auto"/>
      </w:divBdr>
    </w:div>
    <w:div w:id="1833837369">
      <w:marLeft w:val="0"/>
      <w:marRight w:val="0"/>
      <w:marTop w:val="0"/>
      <w:marBottom w:val="0"/>
      <w:divBdr>
        <w:top w:val="none" w:sz="0" w:space="0" w:color="auto"/>
        <w:left w:val="none" w:sz="0" w:space="0" w:color="auto"/>
        <w:bottom w:val="none" w:sz="0" w:space="0" w:color="auto"/>
        <w:right w:val="none" w:sz="0" w:space="0" w:color="auto"/>
      </w:divBdr>
    </w:div>
    <w:div w:id="18338373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header2.xml" Type="http://schemas.openxmlformats.org/officeDocument/2006/relationships/header"/>
<Relationship Id="rId12" Target="footer2.xml" Type="http://schemas.openxmlformats.org/officeDocument/2006/relationships/footer"/>
<Relationship Id="rId13" Target="footer3.xml" Type="http://schemas.openxmlformats.org/officeDocument/2006/relationships/footer"/>
<Relationship Id="rId14" Target="header3.xml" Type="http://schemas.openxmlformats.org/officeDocument/2006/relationships/header"/>
<Relationship Id="rId15" Target="footer4.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22</Pages>
  <Words>3067</Words>
  <Characters>17485</Characters>
  <Application>Microsoft Office Word</Application>
  <DocSecurity>0</DocSecurity>
  <Lines>145</Lines>
  <Paragraphs>41</Paragraphs>
  <ScaleCrop>false</ScaleCrop>
  <Company>TRT. Ltd. Co.</Company>
  <LinksUpToDate>false</LinksUpToDate>
  <CharactersWithSpaces>20511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2013-06-21T07:03:00Z</dcterms:created>
  <dc:creator>bonnieliu</dc:creator>
  <cp:lastModifiedBy>sirong han</cp:lastModifiedBy>
  <cp:lastPrinted>2007-07-19T00:46:00Z</cp:lastPrinted>
  <dcterms:modified xsi:type="dcterms:W3CDTF">2020-07-09T02:50:00Z</dcterms:modified>
  <cp:revision>148</cp:revision>
</cp:coreProperties>
</file>