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F22F00" w:rsidR="00F22F00" w:rsidRDefault="00F22F00"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proofErr w:type="gramStart"/>
      <w:r w:rsidRPr="008277FF">
        <w:rPr>
          <w:rFonts w:asciiTheme="minorEastAsia" w:eastAsiaTheme="minorEastAsia" w:hAnsiTheme="minorEastAsia"/>
          <w:b/>
          <w:color w:themeColor="text1" w:val="000000"/>
          <w:sz w:val="36"/>
          <w:szCs w:val="36"/>
        </w:rPr>
        <w:t/>
      </w:r>
      <w:r w:rsidRPr="008277FF">
        <w:rPr>
          <w:rFonts w:asciiTheme="minorEastAsia" w:eastAsiaTheme="minorEastAsia" w:hAnsiTheme="minorEastAsia" w:hint="eastAsia"/>
          <w:b/>
          <w:color w:themeColor="text1" w:val="000000"/>
          <w:sz w:val="36"/>
          <w:szCs w:val="36"/>
        </w:rPr>
        <w:t/>
      </w:r>
      <w:r w:rsidRPr="008277FF">
        <w:rPr>
          <w:rFonts w:asciiTheme="minorEastAsia" w:eastAsiaTheme="minorEastAsia" w:hAnsiTheme="minorEastAsia"/>
          <w:b/>
          <w:color w:themeColor="text1" w:val="000000"/>
          <w:sz w:val="36"/>
          <w:szCs w:val="36"/>
        </w:rPr>
        <w:t/>
      </w:r>
      <w:proofErr w:type="spellEnd"/>
      <w:proofErr w:type="gramEnd"/>
      <w:r w:rsidRPr="008277FF">
        <w:rPr>
          <w:rFonts w:asciiTheme="minorEastAsia" w:eastAsiaTheme="minorEastAsia" w:hAnsiTheme="minorEastAsia" w:hint="eastAsia"/>
          <w:b/>
          <w:color w:themeColor="text1" w:val="000000"/>
          <w:sz w:val="36"/>
          <w:szCs w:val="36"/>
        </w:rPr>
        <w:t>易方达香港恒生综合小型股指数证券投资基金（LOF）</w:t>
      </w: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r w:rsidRPr="008277FF">
        <w:rPr>
          <w:rFonts w:asciiTheme="minorEastAsia" w:eastAsiaTheme="minorEastAsia" w:hAnsiTheme="minorEastAsia" w:hint="eastAsia"/>
          <w:b/>
          <w:color w:themeColor="text1" w:val="000000"/>
          <w:sz w:val="36"/>
          <w:szCs w:val="36"/>
        </w:rPr>
        <w:t/>
      </w:r>
      <w:proofErr w:type="spellEnd"/>
      <w:r w:rsidRPr="008277FF">
        <w:rPr>
          <w:rFonts w:asciiTheme="minorEastAsia" w:eastAsiaTheme="minorEastAsia" w:hAnsiTheme="minorEastAsia" w:hint="eastAsia"/>
          <w:b/>
          <w:color w:themeColor="text1" w:val="000000"/>
          <w:sz w:val="36"/>
          <w:szCs w:val="36"/>
        </w:rPr>
        <w:t>2020年第2季度报告</w:t>
      </w:r>
    </w:p>
    <w:p w:rsidP="00506D57" w:rsidR="00397616" w:rsidRDefault="00623556" w:rsidRPr="008277FF">
      <w:pPr>
        <w:spacing w:line="360" w:lineRule="auto"/>
        <w:jc w:val="center"/>
        <w:rPr>
          <w:rFonts w:asciiTheme="minorEastAsia" w:eastAsiaTheme="minorEastAsia" w:hAnsiTheme="minorEastAsia"/>
          <w:b/>
          <w:color w:themeColor="text1" w:val="000000"/>
          <w:sz w:val="24"/>
        </w:rPr>
      </w:pP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2020年6月30日</w:t>
      </w: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826B12" w:rsidR="00397616" w:rsidRDefault="00397616" w:rsidRPr="008277FF">
      <w:pPr>
        <w:spacing w:line="288" w:lineRule="auto"/>
        <w:ind w:firstLine="2168" w:firstLineChars="900"/>
        <w:rPr>
          <w:rFonts w:asciiTheme="minorEastAsia" w:eastAsiaTheme="minorEastAsia" w:hAnsiTheme="minorEastAsia"/>
          <w:b/>
          <w:color w:themeColor="text1" w:val="000000"/>
          <w:sz w:val="24"/>
        </w:rPr>
      </w:pP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基金管理人：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易方达基金管理有限公司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基金托管人：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招商银行股份有限公司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sectPr w:rsidR="007D1292" w:rsidRPr="008277FF" w:rsidSect="00B918B8">
          <w:headerReference r:id="rId8" w:type="default"/>
          <w:footerReference r:id="rId9" w:type="default"/>
          <w:pgSz w:h="15840" w:w="11926"/>
          <w:pgMar w:bottom="851" w:footer="992" w:gutter="0" w:header="851" w:left="1418" w:right="1418" w:top="1418"/>
          <w:cols w:space="720"/>
          <w:noEndnote/>
        </w:sectPr>
      </w:pPr>
      <w:r w:rsidRPr="008277FF">
        <w:rPr>
          <w:rFonts w:asciiTheme="minorEastAsia" w:eastAsiaTheme="minorEastAsia" w:hAnsiTheme="minorEastAsia" w:hint="eastAsia"/>
          <w:b/>
          <w:color w:themeColor="text1" w:val="000000"/>
          <w:sz w:val="24"/>
        </w:rPr>
        <w:t>报告送出日期：</w:t>
      </w:r>
      <w:r w:rsidR="00CB44DE" w:rsidRPr="008277FF">
        <w:rPr>
          <w:rFonts w:asciiTheme="minorEastAsia" w:eastAsiaTheme="minorEastAsia" w:hAnsiTheme="minorEastAsia"/>
          <w:b/>
          <w:color w:themeColor="text1" w:val="000000"/>
          <w:sz w:val="24"/>
        </w:rPr>
        <w:t/>
      </w:r>
      <w:proofErr w:type="spellStart"/>
      <w:proofErr w:type="gramStart"/>
      <w:r w:rsidR="00CB44DE" w:rsidRPr="008277FF">
        <w:rPr>
          <w:rFonts w:asciiTheme="minorEastAsia" w:eastAsiaTheme="minorEastAsia" w:hAnsiTheme="minorEastAsia" w:hint="eastAsia"/>
          <w:b/>
          <w:color w:themeColor="text1" w:val="000000"/>
          <w:sz w:val="24"/>
        </w:rPr>
        <w:t/>
      </w:r>
      <w:r w:rsidR="00623556" w:rsidRPr="008277FF">
        <w:rPr>
          <w:rFonts w:asciiTheme="minorEastAsia" w:eastAsiaTheme="minorEastAsia" w:hAnsiTheme="minorEastAsia" w:hint="eastAsia"/>
          <w:b/>
          <w:color w:themeColor="text1" w:val="000000"/>
          <w:sz w:val="24"/>
        </w:rPr>
        <w:t/>
      </w:r>
      <w:proofErr w:type="spellEnd"/>
      <w:proofErr w:type="gramEnd"/>
      <w:r w:rsidR="00CB44DE" w:rsidRPr="008277FF">
        <w:rPr>
          <w:rFonts w:asciiTheme="minorEastAsia" w:eastAsiaTheme="minorEastAsia" w:hAnsiTheme="minorEastAsia"/>
          <w:b/>
          <w:color w:themeColor="text1" w:val="000000"/>
          <w:sz w:val="24"/>
        </w:rPr>
        <w:t>二〇二〇年七月二十一日</w:t>
      </w:r>
    </w:p>
    <w:p w:rsidP="00775284" w:rsidR="0076518F" w:rsidRDefault="0076518F" w:rsidRPr="00A67563">
      <w:pPr>
        <w:pStyle w:val="1"/>
        <w:spacing w:after="312" w:afterLines="100" w:before="312" w:beforeLines="100" w:line="360" w:lineRule="auto"/>
        <w:jc w:val="center"/>
        <w:rPr>
          <w:b w:val="0"/>
          <w:color w:themeColor="text1" w:val="000000"/>
          <w:kern w:val="0"/>
          <w:sz w:val="24"/>
          <w:szCs w:val="24"/>
        </w:rPr>
      </w:pPr>
      <w:r w:rsidRPr="00A67563">
        <w:rPr>
          <w:color w:themeColor="text1" w:val="000000"/>
          <w:kern w:val="0"/>
          <w:sz w:val="24"/>
          <w:szCs w:val="24"/>
        </w:rPr>
        <w:lastRenderedPageBreak/>
        <w:t xml:space="preserve">§1  </w:t>
      </w:r>
      <w:r w:rsidRPr="00A67563">
        <w:rPr>
          <w:color w:themeColor="text1" w:val="000000"/>
          <w:kern w:val="0"/>
          <w:sz w:val="24"/>
          <w:szCs w:val="24"/>
        </w:rPr>
        <w:t>重要提示</w:t>
      </w:r>
    </w:p>
    <w:p>
      <w:pPr>
        <w:spacing w:line="360" w:lineRule="auto"/>
        <w:ind w:firstLine="480" w:firstLineChars="200"/>
        <w:rPr>
          <w:color w:themeColor="text1" w:val="000000"/>
          <w:sz w:val="24"/>
        </w:rPr>
      </w:pPr>
      <w:r>
        <w:rPr>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themeColor="text1" w:val="000000"/>
          <w:sz w:val="24"/>
        </w:rPr>
      </w:pPr>
      <w:r>
        <w:rPr>
          <w:color w:themeColor="text1"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themeColor="text1" w:val="000000"/>
          <w:sz w:val="24"/>
        </w:rPr>
      </w:pPr>
      <w:r>
        <w:rPr>
          <w:color w:themeColor="text1" w:val="000000"/>
          <w:sz w:val="24"/>
        </w:rPr>
        <w:t xml:space="preserve">基金管理人承诺以诚实信用、勤勉尽责的原则管理和运用基金资产，但不保证基金一定盈利。 </w:t>
      </w:r>
    </w:p>
    <w:p>
      <w:pPr>
        <w:spacing w:line="360" w:lineRule="auto"/>
        <w:ind w:firstLine="480" w:firstLineChars="200"/>
        <w:rPr>
          <w:color w:themeColor="text1" w:val="000000"/>
          <w:sz w:val="24"/>
        </w:rPr>
      </w:pPr>
      <w:r>
        <w:rPr>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themeColor="text1" w:val="000000"/>
          <w:sz w:val="24"/>
        </w:rPr>
      </w:pPr>
      <w:r>
        <w:rPr>
          <w:color w:themeColor="text1" w:val="000000"/>
          <w:sz w:val="24"/>
        </w:rPr>
        <w:t>本报告中财务资料未经审计。</w:t>
      </w:r>
    </w:p>
    <w:p w:rsidP="006669C9" w:rsidR="007D1292" w:rsidRDefault="007D1292"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本报告期自2020年4月1日起至6月30日止。</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§2  </w:t>
      </w:r>
      <w:r w:rsidRPr="00A67563">
        <w:rPr>
          <w:color w:themeColor="text1" w:val="000000"/>
          <w:kern w:val="0"/>
          <w:sz w:val="24"/>
          <w:szCs w:val="24"/>
        </w:rPr>
        <w:t>基金产品概况</w:t>
      </w:r>
    </w:p>
    <w:tbl>
      <w:tblPr>
        <w:tblW w:type="dxa" w:w="8423"/>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80"/>
        <w:gridCol w:w="2721"/>
        <w:gridCol w:w="59"/>
        <w:gridCol w:w="2663"/>
      </w:tblGrid>
      <w:tr w:rsidR="008277FF" w:rsidRPr="00A67563" w:rsidTr="003376D5">
        <w:tc>
          <w:tcPr>
            <w:tcW w:type="dxa" w:w="2980"/>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基金简称</w:t>
            </w:r>
          </w:p>
        </w:tc>
        <w:tc>
          <w:tcPr>
            <w:tcW w:type="dxa" w:w="5443"/>
            <w:gridSpan w:val="3"/>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易方达香港恒生综合小型股指数（QDII-LOF）</w:t>
            </w:r>
          </w:p>
        </w:tc>
      </w:tr>
      <w:tr w:rsidR="008277FF" w:rsidRPr="00A67563" w:rsidTr="003376D5">
        <w:tc>
          <w:tcPr>
            <w:tcW w:type="dxa" w:w="2980"/>
            <w:vAlign w:val="center"/>
          </w:tcPr>
          <w:p w:rsidP="003376D5" w:rsidR="00584F63" w:rsidRDefault="00584F63" w:rsidRPr="00A67563">
            <w:pPr>
              <w:rPr>
                <w:color w:themeColor="text1" w:val="000000"/>
                <w:sz w:val="24"/>
              </w:rPr>
            </w:pPr>
            <w:r w:rsidRPr="00A67563">
              <w:rPr>
                <w:color w:themeColor="text1" w:val="000000"/>
                <w:sz w:val="24"/>
              </w:rPr>
              <w:t>场内简称</w:t>
            </w:r>
          </w:p>
        </w:tc>
        <w:tc>
          <w:tcPr>
            <w:tcW w:type="dxa" w:w="5443"/>
            <w:gridSpan w:val="3"/>
            <w:vAlign w:val="center"/>
          </w:tcPr>
          <w:p w:rsidP="003376D5" w:rsidR="00584F63" w:rsidRDefault="00584F63" w:rsidRPr="00A67563">
            <w:pPr>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香港小盘</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基金主代码</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161124</w:t>
            </w:r>
          </w:p>
        </w:tc>
      </w:tr>
      <w:tr w:rsidR="008277FF" w:rsidRPr="00A67563" w:rsidTr="003376D5">
        <w:tc>
          <w:tcPr>
            <w:tcW w:type="dxa" w:w="2980"/>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交易代码</w:t>
            </w:r>
          </w:p>
        </w:tc>
        <w:tc>
          <w:tcPr>
            <w:tcW w:type="dxa" w:w="5443"/>
            <w:gridSpan w:val="3"/>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161124</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基金运作方式</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契约型、上市开放式（LOF）</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基金合同生效日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2016年11月2日</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报告期末基金份额总额</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20,214,499.63</w:t>
            </w:r>
            <w:r w:rsidRPr="00A67563">
              <w:rPr>
                <w:color w:themeColor="text1" w:val="000000"/>
                <w:kern w:val="0"/>
                <w:sz w:val="24"/>
              </w:rPr>
              <w:t>份</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投资目标</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紧密跟踪业绩比较基准，追求跟踪偏离度及跟踪误差的最小化。</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投资策略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恒生综合小型股指数基金（香港小盘LOF）属于被动跟踪指数的证券投资基金。本基金主要采取完全复制指数的投资方案，剔除基金管理人认定不合适投资的成份股后，完全复制剩余成份股的指数权重进行投资。报告期内，跟随指数的成分股变化进行日常调整操作，控制基金组合与指数权重基本一致。</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业绩比较基准</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恒生综合小型股指数收益率（使用估值汇率折算）×95%+活期存款利率（税后）×5%</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风险收益特征</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属股票指数基金，预期风险与收益水平高于混合基金、债券基金与货币市场基金。本基金主要采用组合复制策略和适当的替代性策略实现对标的指数的紧密跟踪，具有与标的指数相似的风险收益特征。本基金主要投资香港证券市场，需承担汇率风险以及境外市场的风险。</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基金管理人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易方达基金管理有限公司</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基金托管人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招商银行股份有限公司</w:t>
            </w:r>
          </w:p>
        </w:tc>
      </w:tr>
      <w:tr w:rsidR="007F4CD3" w:rsidRPr="00A67563" w:rsidTr="003376D5">
        <w:tc>
          <w:tcPr>
            <w:tcW w:type="dxa" w:w="2980"/>
            <w:vMerge w:val="restart"/>
            <w:vAlign w:val="center"/>
          </w:tcPr>
          <w:p w:rsidP="007F4CD3" w:rsidR="007F4CD3" w:rsidRDefault="007F4CD3" w:rsidRPr="00A67563">
            <w:pPr>
              <w:adjustRightInd w:val="0"/>
              <w:spacing w:before="29" w:line="360" w:lineRule="auto"/>
              <w:ind w:left="17"/>
              <w:rPr>
                <w:color w:themeColor="text1" w:val="000000"/>
                <w:kern w:val="0"/>
                <w:sz w:val="24"/>
              </w:rPr>
            </w:pPr>
            <w:r w:rsidRPr="00A67563">
              <w:rPr>
                <w:color w:themeColor="text1" w:val="000000"/>
                <w:kern w:val="0"/>
                <w:sz w:val="24"/>
              </w:rPr>
              <w:t>境外投资顾问</w:t>
            </w: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sidR="00801249">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7F4CD3" w:rsidRPr="00A67563" w:rsidTr="003376D5">
        <w:tc>
          <w:tcPr>
            <w:tcW w:type="dxa" w:w="2980"/>
            <w:vMerge/>
            <w:vAlign w:val="center"/>
          </w:tcPr>
          <w:p w:rsidP="007F4CD3" w:rsidR="007F4CD3" w:rsidRDefault="007F4CD3" w:rsidRPr="00A67563">
            <w:pPr>
              <w:adjustRightInd w:val="0"/>
              <w:spacing w:before="29" w:line="360" w:lineRule="auto"/>
              <w:ind w:left="17"/>
              <w:rPr>
                <w:color w:themeColor="text1" w:val="000000"/>
                <w:kern w:val="0"/>
                <w:sz w:val="24"/>
              </w:rPr>
            </w:pP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Pr>
                <w:rFonts w:hint="eastAsia"/>
                <w:color w:themeColor="text1" w:val="000000"/>
                <w:kern w:val="0"/>
                <w:sz w:val="24"/>
              </w:rPr>
              <w:t>中文</w:t>
            </w:r>
            <w:r>
              <w:rPr>
                <w:color w:themeColor="text1" w:val="000000"/>
                <w:kern w:val="0"/>
                <w:sz w:val="24"/>
              </w:rPr>
              <w:t>名称</w:t>
            </w:r>
            <w:r>
              <w:rPr>
                <w:rFonts w:hint="eastAsia"/>
                <w:color w:themeColor="text1" w:val="000000"/>
                <w:kern w:val="0"/>
                <w:sz w:val="24"/>
              </w:rPr>
              <w:t>：</w:t>
            </w:r>
            <w:r w:rsidRPr="00A67563">
              <w:rPr>
                <w:color w:themeColor="text1" w:val="000000"/>
                <w:kern w:val="0"/>
                <w:sz w:val="24"/>
              </w:rPr>
              <w:lastRenderedPageBreak/>
              <w:t/>
            </w:r>
            <w:proofErr w:type="spellStart"/>
            <w:r w:rsidRPr="00A67563">
              <w:rPr>
                <w:color w:themeColor="text1" w:val="000000"/>
                <w:kern w:val="0"/>
                <w:sz w:val="24"/>
              </w:rPr>
              <w:t/>
            </w:r>
            <w:proofErr w:type="spellEnd"/>
            <w:r w:rsidRPr="00A67563">
              <w:rPr>
                <w:color w:themeColor="text1" w:val="000000"/>
                <w:kern w:val="0"/>
                <w:sz w:val="24"/>
              </w:rPr>
              <w:t>无</w:t>
            </w:r>
          </w:p>
        </w:tc>
      </w:tr>
      <w:tr w:rsidR="007F4CD3" w:rsidRPr="00A67563" w:rsidTr="0031104D">
        <w:tc>
          <w:tcPr>
            <w:tcW w:type="dxa" w:w="2980"/>
            <w:vMerge w:val="restart"/>
            <w:vAlign w:val="center"/>
          </w:tcPr>
          <w:p w:rsidP="007F4CD3" w:rsidR="007F4CD3" w:rsidRDefault="007F4CD3" w:rsidRPr="00A67563">
            <w:pPr>
              <w:adjustRightInd w:val="0"/>
              <w:spacing w:before="29" w:line="360" w:lineRule="auto"/>
              <w:ind w:left="17"/>
              <w:rPr>
                <w:color w:themeColor="text1" w:val="000000"/>
                <w:kern w:val="0"/>
                <w:sz w:val="24"/>
              </w:rPr>
            </w:pPr>
            <w:r w:rsidRPr="00A67563">
              <w:rPr>
                <w:color w:themeColor="text1" w:val="000000"/>
                <w:kern w:val="0"/>
                <w:sz w:val="24"/>
              </w:rPr>
              <w:lastRenderedPageBreak/>
              <w:t>境外资产托管人</w:t>
            </w: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The Hongkong and Shanghai Banking Corporation Limited</w:t>
            </w:r>
          </w:p>
        </w:tc>
      </w:tr>
      <w:tr w:rsidR="007F4CD3" w:rsidRPr="00A67563" w:rsidTr="0031104D">
        <w:tc>
          <w:tcPr>
            <w:tcW w:type="dxa" w:w="2980"/>
            <w:vMerge/>
            <w:vAlign w:val="center"/>
          </w:tcPr>
          <w:p w:rsidP="007F4CD3" w:rsidR="007F4CD3" w:rsidRDefault="007F4CD3" w:rsidRPr="00A67563">
            <w:pPr>
              <w:adjustRightInd w:val="0"/>
              <w:spacing w:before="29" w:line="360" w:lineRule="auto"/>
              <w:ind w:left="17"/>
              <w:rPr>
                <w:color w:themeColor="text1" w:val="000000"/>
                <w:kern w:val="0"/>
                <w:sz w:val="24"/>
              </w:rPr>
            </w:pP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香港上海汇丰银行有限公司</w:t>
            </w:r>
          </w:p>
        </w:tc>
      </w:tr>
      <w:tr w:rsidR="00070DD6" w:rsidRPr="00A67563" w:rsidTr="00845292">
        <w:tblPrEx>
          <w:tblLook w:firstColumn="0" w:firstRow="0" w:lastColumn="0" w:lastRow="0" w:noHBand="0" w:noVBand="0" w:val="0000"/>
        </w:tblPrEx>
        <w:trPr>
          <w:trHeight w:val="866"/>
        </w:trPr>
        <w:tc>
          <w:tcPr>
            <w:tcW w:type="dxa" w:w="2980"/>
          </w:tcPr>
          <w:p w:rsidP="00845292" w:rsidR="00070DD6" w:rsidRDefault="00070DD6" w:rsidRPr="00A67563">
            <w:pPr>
              <w:adjustRightInd w:val="0"/>
              <w:spacing w:before="29" w:line="360" w:lineRule="auto"/>
              <w:ind w:left="17"/>
              <w:jc w:val="left"/>
              <w:rPr>
                <w:color w:themeColor="text1" w:val="000000"/>
                <w:kern w:val="0"/>
                <w:sz w:val="24"/>
              </w:rPr>
            </w:pPr>
            <w:r w:rsidRPr="00A67563">
              <w:rPr>
                <w:color w:themeColor="text1" w:val="000000"/>
                <w:sz w:val="24"/>
              </w:rPr>
              <w:t>下属分级基金的基金简称</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易方达香港恒生综合小型股指数（QDII-LOF）A</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易方达香港恒生综合小型股指数（QDII-LOF）C</w:t>
            </w:r>
          </w:p>
        </w:tc>
      </w:tr>
      <w:tr w:rsidR="00070DD6" w:rsidRPr="00A67563" w:rsidTr="00845292">
        <w:tblPrEx>
          <w:tblLook w:firstColumn="0" w:firstRow="0" w:lastColumn="0" w:lastRow="0" w:noHBand="0" w:noVBand="0" w:val="0000"/>
        </w:tblPrEx>
        <w:trPr>
          <w:trHeight w:val="866"/>
        </w:trPr>
        <w:tc>
          <w:tcPr>
            <w:tcW w:type="dxa" w:w="2980"/>
          </w:tcPr>
          <w:p w:rsidP="00845292" w:rsidR="00070DD6" w:rsidRDefault="00070DD6" w:rsidRPr="00A67563">
            <w:pPr>
              <w:adjustRightInd w:val="0"/>
              <w:spacing w:before="29" w:line="360" w:lineRule="auto"/>
              <w:ind w:left="17"/>
              <w:jc w:val="left"/>
              <w:rPr>
                <w:color w:themeColor="text1" w:val="000000"/>
                <w:sz w:val="24"/>
              </w:rPr>
            </w:pPr>
            <w:r w:rsidRPr="00A67563">
              <w:rPr>
                <w:color w:themeColor="text1" w:val="000000"/>
                <w:sz w:val="24"/>
              </w:rPr>
              <w:t>下属分级基金的场内简称</w:t>
            </w:r>
          </w:p>
        </w:tc>
        <w:tc>
          <w:tcPr>
            <w:tcW w:type="dxa" w:w="2780"/>
            <w:gridSpan w:val="2"/>
            <w:vAlign w:val="center"/>
          </w:tcPr>
          <w:p w:rsidP="00845292" w:rsidR="00070DD6" w:rsidRDefault="00070DD6" w:rsidRPr="00A67563">
            <w:pPr>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香港小盘</w:t>
            </w:r>
          </w:p>
        </w:tc>
        <w:tc>
          <w:tcPr>
            <w:tcW w:type="dxa" w:w="2663"/>
            <w:vAlign w:val="center"/>
          </w:tcPr>
          <w:p w:rsidP="00845292" w:rsidR="00070DD6" w:rsidRDefault="00070DD6" w:rsidRPr="00A67563">
            <w:pPr>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070DD6" w:rsidRPr="00A67563" w:rsidTr="00845292">
        <w:tblPrEx>
          <w:tblLook w:firstColumn="0" w:firstRow="0" w:lastColumn="0" w:lastRow="0" w:noHBand="0" w:noVBand="0" w:val="0000"/>
        </w:tblPrEx>
        <w:trPr>
          <w:trHeight w:val="628"/>
        </w:trPr>
        <w:tc>
          <w:tcPr>
            <w:tcW w:type="dxa" w:w="2980"/>
          </w:tcPr>
          <w:p w:rsidP="00845292" w:rsidR="00070DD6" w:rsidRDefault="00070DD6" w:rsidRPr="00A67563">
            <w:pPr>
              <w:adjustRightInd w:val="0"/>
              <w:spacing w:before="29" w:line="360" w:lineRule="auto"/>
              <w:ind w:left="17"/>
              <w:jc w:val="left"/>
              <w:rPr>
                <w:color w:themeColor="text1" w:val="000000"/>
                <w:sz w:val="24"/>
              </w:rPr>
            </w:pPr>
            <w:r w:rsidRPr="00A67563">
              <w:rPr>
                <w:color w:themeColor="text1" w:val="000000"/>
                <w:sz w:val="24"/>
              </w:rPr>
              <w:t>下属分级基金的交易代码</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161124</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006263</w:t>
            </w:r>
          </w:p>
        </w:tc>
      </w:tr>
      <w:tr w:rsidR="00322A5E" w:rsidRPr="00A67563" w:rsidTr="0031104D">
        <w:tblPrEx>
          <w:tblLook w:firstColumn="0" w:firstRow="0" w:lastColumn="0" w:lastRow="0" w:noHBand="0" w:noVBand="0" w:val="0000"/>
        </w:tblPrEx>
        <w:trPr>
          <w:trHeight w:val="555"/>
        </w:trPr>
        <w:tc>
          <w:tcPr>
            <w:tcW w:type="dxa" w:w="2980"/>
            <w:vAlign w:val="center"/>
          </w:tcPr>
          <w:p w:rsidP="00845292" w:rsidR="00322A5E" w:rsidRDefault="00322A5E" w:rsidRPr="00A67563">
            <w:pPr>
              <w:adjustRightInd w:val="0"/>
              <w:spacing w:before="29" w:line="360" w:lineRule="auto"/>
              <w:ind w:left="17"/>
              <w:rPr>
                <w:color w:themeColor="text1" w:val="000000"/>
                <w:sz w:val="24"/>
              </w:rPr>
            </w:pPr>
            <w:r w:rsidRPr="00A67563">
              <w:rPr>
                <w:color w:themeColor="text1" w:val="000000"/>
                <w:sz w:val="24"/>
              </w:rPr>
              <w:t>报告期末下属分级基金的份额总额</w:t>
            </w:r>
          </w:p>
        </w:tc>
        <w:tc>
          <w:tcPr>
            <w:tcW w:type="dxa" w:w="2780"/>
            <w:gridSpan w:val="2"/>
            <w:vAlign w:val="center"/>
          </w:tcPr>
          <w:p w:rsidP="00845292" w:rsidR="00322A5E" w:rsidRDefault="00322A5E" w:rsidRPr="00A67563">
            <w:pPr>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18,028,938.68</w:t>
            </w:r>
            <w:r w:rsidRPr="00A67563">
              <w:rPr>
                <w:color w:themeColor="text1" w:val="000000"/>
                <w:kern w:val="0"/>
                <w:sz w:val="24"/>
              </w:rPr>
              <w:t>份</w:t>
            </w:r>
          </w:p>
        </w:tc>
        <w:tc>
          <w:tcPr>
            <w:tcW w:type="dxa" w:w="2663"/>
            <w:vAlign w:val="center"/>
          </w:tcPr>
          <w:p w:rsidP="00845292" w:rsidR="00322A5E" w:rsidRDefault="00322A5E" w:rsidRPr="00A67563">
            <w:pPr>
              <w:rPr>
                <w:color w:themeColor="text1" w:val="000000"/>
                <w:sz w:val="24"/>
              </w:rPr>
            </w:pPr>
            <w:r w:rsidRPr="00A67563">
              <w:rPr>
                <w:color w:themeColor="text1" w:val="000000"/>
                <w:kern w:val="0"/>
                <w:sz w:val="24"/>
              </w:rPr>
              <w:t/>
            </w:r>
            <w:r w:rsidRPr="00A67563">
              <w:rPr>
                <w:color w:themeColor="text1" w:val="000000"/>
                <w:sz w:val="24"/>
              </w:rPr>
              <w:t>2,185,560.95</w:t>
            </w:r>
            <w:r w:rsidRPr="00A67563">
              <w:rPr>
                <w:color w:themeColor="text1" w:val="000000"/>
                <w:kern w:val="0"/>
                <w:sz w:val="24"/>
              </w:rPr>
              <w:t>份</w:t>
            </w:r>
          </w:p>
        </w:tc>
      </w:tr>
    </w:tbl>
    <w:p w:rsidP="002D6955" w:rsidR="00363E15" w:rsidRDefault="00363E1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注：自2018年8月13日起,本基金增设C类份额类别,份额首次确认日为2018年8月14日。</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§3  </w:t>
      </w:r>
      <w:r w:rsidRPr="00A67563">
        <w:rPr>
          <w:color w:themeColor="text1" w:val="000000"/>
          <w:kern w:val="0"/>
          <w:sz w:val="24"/>
          <w:szCs w:val="24"/>
        </w:rPr>
        <w:t>主要财务指标和基金净值表现</w:t>
      </w:r>
    </w:p>
    <w:p w:rsidP="00506D57"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3.1 </w:t>
      </w:r>
      <w:r w:rsidRPr="00A67563">
        <w:rPr>
          <w:b/>
          <w:color w:themeColor="text1" w:val="000000"/>
          <w:kern w:val="0"/>
          <w:sz w:val="24"/>
        </w:rPr>
        <w:t>主要财务指标</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225051" w:rsidRPr="00A67563" w:rsidTr="00845292">
        <w:tc>
          <w:tcPr>
            <w:tcW w:type="dxa" w:w="3402"/>
            <w:vMerge w:val="restart"/>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主要财务指标</w:t>
            </w:r>
          </w:p>
        </w:tc>
        <w:tc>
          <w:tcPr>
            <w:tcW w:type="dxa" w:w="4962"/>
            <w:gridSpan w:val="2"/>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报告期</w:t>
            </w:r>
          </w:p>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w:t>
            </w:r>
            <w:proofErr w:type="spellStart"/>
            <w:r w:rsidRPr="00A67563">
              <w:rPr>
                <w:color w:themeColor="text1" w:val="000000"/>
                <w:sz w:val="24"/>
              </w:rPr>
              <w:t/>
            </w:r>
            <w:proofErr w:type="spellEnd"/>
            <w:r w:rsidRPr="00A67563">
              <w:rPr>
                <w:color w:themeColor="text1" w:val="000000"/>
                <w:sz w:val="24"/>
              </w:rPr>
              <w:t>2020年4月1日-</w:t>
            </w:r>
            <w:proofErr w:type="spellStart"/>
            <w:r w:rsidRPr="00A67563">
              <w:rPr>
                <w:color w:themeColor="text1" w:val="000000"/>
                <w:sz w:val="24"/>
              </w:rPr>
              <w:t/>
            </w:r>
            <w:proofErr w:type="spellEnd"/>
            <w:r w:rsidRPr="00A67563">
              <w:rPr>
                <w:color w:themeColor="text1" w:val="000000"/>
                <w:sz w:val="24"/>
              </w:rPr>
              <w:t>2020年6月30日)</w:t>
            </w:r>
          </w:p>
        </w:tc>
      </w:tr>
      <w:tr w:rsidR="00225051" w:rsidRPr="00A67563" w:rsidTr="00845292">
        <w:tc>
          <w:tcPr>
            <w:tcW w:type="dxa" w:w="3402"/>
            <w:vMerge/>
            <w:vAlign w:val="center"/>
          </w:tcPr>
          <w:p w:rsidP="00845292" w:rsidR="00225051" w:rsidRDefault="00225051" w:rsidRPr="00A67563">
            <w:pPr>
              <w:adjustRightInd w:val="0"/>
              <w:spacing w:before="29" w:line="360" w:lineRule="auto"/>
              <w:ind w:left="17"/>
              <w:rPr>
                <w:color w:themeColor="text1" w:val="000000"/>
                <w:kern w:val="0"/>
                <w:sz w:val="24"/>
              </w:rPr>
            </w:pP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易方达香港恒生综合小型股指数（QDII-LOF）A</w:t>
            </w: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r w:rsidRPr="00A67563">
              <w:rPr>
                <w:color w:themeColor="text1" w:val="000000"/>
                <w:sz w:val="24"/>
              </w:rPr>
              <w:t>易方达香港恒生综合小型股指数（QDII-LOF）C</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1.</w:t>
            </w:r>
            <w:r w:rsidRPr="00A67563">
              <w:rPr>
                <w:color w:themeColor="text1" w:val="000000"/>
                <w:kern w:val="0"/>
                <w:sz w:val="24"/>
              </w:rPr>
              <w:t>本期已实现收益</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r w:rsidRPr="00A67563">
              <w:rPr>
                <w:color w:themeColor="text1" w:val="000000"/>
                <w:sz w:val="24"/>
              </w:rPr>
              <w:lastRenderedPageBreak/>
              <w:t>-825,471.31</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-108,327.05</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lastRenderedPageBreak/>
              <w:t>2.</w:t>
            </w:r>
            <w:r w:rsidRPr="00A67563">
              <w:rPr>
                <w:color w:themeColor="text1" w:val="000000"/>
                <w:kern w:val="0"/>
                <w:sz w:val="24"/>
              </w:rPr>
              <w:t>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2,769,741.09</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367,475.49</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3.</w:t>
            </w:r>
            <w:r w:rsidRPr="00A67563">
              <w:rPr>
                <w:color w:themeColor="text1" w:val="000000"/>
                <w:kern w:val="0"/>
                <w:sz w:val="24"/>
              </w:rPr>
              <w:t>加权平均基金份额本期利润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0.1399</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0.1396</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4.</w:t>
            </w:r>
            <w:r w:rsidRPr="00A67563">
              <w:rPr>
                <w:color w:themeColor="text1" w:val="000000"/>
                <w:kern w:val="0"/>
                <w:sz w:val="24"/>
              </w:rPr>
              <w:t>期末基金资产净值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20,930,447.35</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2,530,222.45</w:t>
            </w:r>
          </w:p>
        </w:tc>
      </w:tr>
      <w:tr w:rsidR="00225051" w:rsidRPr="00A67563" w:rsidTr="00845292">
        <w:trPr>
          <w:trHeight w:val="158"/>
        </w:trPr>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5.</w:t>
            </w:r>
            <w:r w:rsidRPr="00A67563">
              <w:rPr>
                <w:color w:themeColor="text1" w:val="000000"/>
                <w:kern w:val="0"/>
                <w:sz w:val="24"/>
              </w:rPr>
              <w:t>期末基金份额净值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1.1609</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1.1577</w:t>
            </w:r>
          </w:p>
        </w:tc>
      </w:tr>
    </w:tbl>
    <w:p>
      <w:pPr>
        <w:autoSpaceDE w:val="0"/>
        <w:autoSpaceDN w:val="0"/>
        <w:adjustRightInd w:val="0"/>
        <w:spacing w:line="360" w:lineRule="auto"/>
        <w:ind w:firstLine="480" w:firstLineChars="200"/>
        <w:jc w:val="left"/>
        <w:rPr>
          <w:color w:themeColor="text1" w:val="000000"/>
          <w:kern w:val="0"/>
          <w:sz w:val="24"/>
        </w:rPr>
      </w:pPr>
      <w:r>
        <w:rPr>
          <w:color w:themeColor="text1" w:val="000000"/>
          <w:sz w:val="24"/>
        </w:rPr>
        <w:t>注：1.所述基金业绩指标不包括持有人认购或交易基金的各项费用,计入费用后实际收益水平要低于所列数字。</w:t>
      </w:r>
    </w:p>
    <w:p w:rsidP="0062493E" w:rsidR="0076518F" w:rsidRDefault="007D1292"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r w:rsidR="004C30D5">
        <w:rPr>
          <w:color w:themeColor="text1" w:val="000000"/>
          <w:sz w:val="24"/>
        </w:rPr>
        <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2.本期已实现收益指基金本期利息收入、投资收益、其他收入(不含公允价值变动收益)扣除相关费用后的余额,本期利润为本期已实现收益加上本期公允价值变动收益。</w:t>
      </w: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3.2 </w:t>
      </w:r>
      <w:r w:rsidRPr="00A67563">
        <w:rPr>
          <w:b/>
          <w:color w:themeColor="text1" w:val="000000"/>
          <w:kern w:val="0"/>
          <w:sz w:val="24"/>
        </w:rPr>
        <w:t>基金净值表现</w:t>
      </w:r>
    </w:p>
    <w:p w:rsidP="00EC4BA3" w:rsidR="0076518F" w:rsidRDefault="0076518F" w:rsidRPr="00A67563">
      <w:pPr>
        <w:autoSpaceDE w:val="0"/>
        <w:autoSpaceDN w:val="0"/>
        <w:adjustRightInd w:val="0"/>
        <w:spacing w:line="360" w:lineRule="auto"/>
        <w:jc w:val="left"/>
        <w:rPr>
          <w:b/>
          <w:color w:themeColor="text1"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A67563">
          <w:rPr>
            <w:b/>
            <w:color w:themeColor="text1" w:val="000000"/>
            <w:kern w:val="0"/>
            <w:sz w:val="24"/>
          </w:rPr>
          <w:lastRenderedPageBreak/>
          <w:t>3.2.1</w:t>
        </w:r>
      </w:smartTag>
      <w:r w:rsidRPr="00A67563">
        <w:rPr>
          <w:b/>
          <w:color w:themeColor="text1" w:val="000000"/>
          <w:kern w:val="0"/>
          <w:sz w:val="24"/>
        </w:rPr>
        <w:t>本报告</w:t>
      </w:r>
      <w:proofErr w:type="gramStart"/>
      <w:r w:rsidRPr="00A67563">
        <w:rPr>
          <w:b/>
          <w:color w:themeColor="text1" w:val="000000"/>
          <w:kern w:val="0"/>
          <w:sz w:val="24"/>
        </w:rPr>
        <w:t>期基金</w:t>
      </w:r>
      <w:proofErr w:type="gramEnd"/>
      <w:r w:rsidRPr="00A67563">
        <w:rPr>
          <w:b/>
          <w:color w:themeColor="text1" w:val="000000"/>
          <w:kern w:val="0"/>
          <w:sz w:val="24"/>
        </w:rPr>
        <w:t>份额净值增长率及其与同期业绩比较基准收益率的比较</w:t>
      </w:r>
    </w:p>
    <w:p w:rsidP="0065601A" w:rsidR="0065601A" w:rsidRDefault="0065601A" w:rsidRPr="00A67563">
      <w:pPr>
        <w:spacing w:line="360" w:lineRule="auto"/>
        <w:rPr>
          <w:b/>
          <w:color w:themeColor="text1" w:val="000000"/>
          <w:sz w:val="24"/>
        </w:rPr>
      </w:pPr>
      <w:r w:rsidRPr="00A67563">
        <w:rPr>
          <w:b/>
          <w:color w:themeColor="text1" w:val="000000"/>
          <w:kern w:val="0"/>
          <w:sz w:val="24"/>
        </w:rPr>
        <w:t/>
      </w:r>
      <w:proofErr w:type="gramStart"/>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proofErr w:type="gramEnd"/>
      <w:r w:rsidRPr="00A67563">
        <w:rPr>
          <w:b/>
          <w:color w:themeColor="text1" w:val="000000"/>
          <w:kern w:val="0"/>
          <w:sz w:val="24"/>
        </w:rPr>
        <w:t>易方达香港恒生综合小型股指数（QDII-LOF）A</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13.45%</w:t>
            </w:r>
          </w:p>
        </w:tc>
        <w:tc>
          <w:tcPr>
            <w:vAlign w:val="center"/>
          </w:tcPr>
          <w:p>
            <w:pPr>
              <w:jc w:val="right"/>
            </w:pPr>
            <w:r>
              <w:rPr>
                <w:color w:themeColor="text1" w:val="000000"/>
                <w:sz w:val="24"/>
              </w:rPr>
              <w:t>1.27%</w:t>
            </w:r>
          </w:p>
        </w:tc>
        <w:tc>
          <w:tcPr>
            <w:vAlign w:val="center"/>
          </w:tcPr>
          <w:p>
            <w:pPr>
              <w:jc w:val="right"/>
            </w:pPr>
            <w:r>
              <w:rPr>
                <w:color w:themeColor="text1" w:val="000000"/>
                <w:sz w:val="24"/>
              </w:rPr>
              <w:t>13.01%</w:t>
            </w:r>
          </w:p>
        </w:tc>
        <w:tc>
          <w:tcPr>
            <w:vAlign w:val="center"/>
          </w:tcPr>
          <w:p>
            <w:pPr>
              <w:jc w:val="right"/>
            </w:pPr>
            <w:r>
              <w:rPr>
                <w:color w:themeColor="text1" w:val="000000"/>
                <w:sz w:val="24"/>
              </w:rPr>
              <w:t>1.23%</w:t>
            </w:r>
          </w:p>
        </w:tc>
        <w:tc>
          <w:tcPr>
            <w:vAlign w:val="center"/>
          </w:tcPr>
          <w:p>
            <w:pPr>
              <w:jc w:val="right"/>
            </w:pPr>
            <w:r>
              <w:rPr>
                <w:color w:themeColor="text1" w:val="000000"/>
                <w:sz w:val="24"/>
              </w:rPr>
              <w:t>0.44%</w:t>
            </w:r>
          </w:p>
        </w:tc>
        <w:tc>
          <w:tcPr>
            <w:vAlign w:val="center"/>
          </w:tcPr>
          <w:p>
            <w:pPr>
              <w:jc w:val="right"/>
            </w:pPr>
            <w:r>
              <w:rPr>
                <w:color w:themeColor="text1" w:val="000000"/>
                <w:sz w:val="24"/>
              </w:rPr>
              <w:t>0.04%</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2.00%</w:t>
            </w:r>
          </w:p>
        </w:tc>
        <w:tc>
          <w:tcPr>
            <w:vAlign w:val="center"/>
          </w:tcPr>
          <w:p>
            <w:pPr>
              <w:jc w:val="right"/>
            </w:pPr>
            <w:r>
              <w:rPr>
                <w:color w:themeColor="text1" w:val="000000"/>
                <w:sz w:val="24"/>
              </w:rPr>
              <w:t>1.74%</w:t>
            </w:r>
          </w:p>
        </w:tc>
        <w:tc>
          <w:tcPr>
            <w:vAlign w:val="center"/>
          </w:tcPr>
          <w:p>
            <w:pPr>
              <w:jc w:val="right"/>
            </w:pPr>
            <w:r>
              <w:rPr>
                <w:color w:themeColor="text1" w:val="000000"/>
                <w:sz w:val="24"/>
              </w:rPr>
              <w:t>0.81%</w:t>
            </w:r>
          </w:p>
        </w:tc>
        <w:tc>
          <w:tcPr>
            <w:vAlign w:val="center"/>
          </w:tcPr>
          <w:p>
            <w:pPr>
              <w:jc w:val="right"/>
            </w:pPr>
            <w:r>
              <w:rPr>
                <w:color w:themeColor="text1" w:val="000000"/>
                <w:sz w:val="24"/>
              </w:rPr>
              <w:t>1.74%</w:t>
            </w:r>
          </w:p>
        </w:tc>
        <w:tc>
          <w:tcPr>
            <w:vAlign w:val="center"/>
          </w:tcPr>
          <w:p>
            <w:pPr>
              <w:jc w:val="right"/>
            </w:pPr>
            <w:r>
              <w:rPr>
                <w:color w:themeColor="text1" w:val="000000"/>
                <w:sz w:val="24"/>
              </w:rPr>
              <w:t>1.19%</w:t>
            </w:r>
          </w:p>
        </w:tc>
        <w:tc>
          <w:tcPr>
            <w:vAlign w:val="center"/>
          </w:tcPr>
          <w:p>
            <w:pPr>
              <w:jc w:val="right"/>
            </w:pPr>
            <w:r>
              <w:rPr>
                <w:color w:themeColor="text1" w:val="000000"/>
                <w:sz w:val="24"/>
              </w:rPr>
              <w:t>0.00%</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5.49%</w:t>
            </w:r>
          </w:p>
        </w:tc>
        <w:tc>
          <w:tcPr>
            <w:vAlign w:val="center"/>
          </w:tcPr>
          <w:p>
            <w:pPr>
              <w:jc w:val="right"/>
            </w:pPr>
            <w:r>
              <w:rPr>
                <w:color w:themeColor="text1" w:val="000000"/>
                <w:sz w:val="24"/>
              </w:rPr>
              <w:t>1.34%</w:t>
            </w:r>
          </w:p>
        </w:tc>
        <w:tc>
          <w:tcPr>
            <w:vAlign w:val="center"/>
          </w:tcPr>
          <w:p>
            <w:pPr>
              <w:jc w:val="right"/>
            </w:pPr>
            <w:r>
              <w:rPr>
                <w:color w:themeColor="text1" w:val="000000"/>
                <w:sz w:val="24"/>
              </w:rPr>
              <w:t>0.72%</w:t>
            </w:r>
          </w:p>
        </w:tc>
        <w:tc>
          <w:tcPr>
            <w:vAlign w:val="center"/>
          </w:tcPr>
          <w:p>
            <w:pPr>
              <w:jc w:val="right"/>
            </w:pPr>
            <w:r>
              <w:rPr>
                <w:color w:themeColor="text1" w:val="000000"/>
                <w:sz w:val="24"/>
              </w:rPr>
              <w:t>1.34%</w:t>
            </w:r>
          </w:p>
        </w:tc>
        <w:tc>
          <w:tcPr>
            <w:vAlign w:val="center"/>
          </w:tcPr>
          <w:p>
            <w:pPr>
              <w:jc w:val="right"/>
            </w:pPr>
            <w:r>
              <w:rPr>
                <w:color w:themeColor="text1" w:val="000000"/>
                <w:sz w:val="24"/>
              </w:rPr>
              <w:t>4.77%</w:t>
            </w:r>
          </w:p>
        </w:tc>
        <w:tc>
          <w:tcPr>
            <w:vAlign w:val="center"/>
          </w:tcPr>
          <w:p>
            <w:pPr>
              <w:jc w:val="right"/>
            </w:pPr>
            <w:r>
              <w:rPr>
                <w:color w:themeColor="text1" w:val="000000"/>
                <w:sz w:val="24"/>
              </w:rPr>
              <w:t>0.00%</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11.29%</w:t>
            </w:r>
          </w:p>
        </w:tc>
        <w:tc>
          <w:tcPr>
            <w:vAlign w:val="center"/>
          </w:tcPr>
          <w:p>
            <w:pPr>
              <w:jc w:val="right"/>
            </w:pPr>
            <w:r>
              <w:rPr>
                <w:color w:themeColor="text1" w:val="000000"/>
                <w:sz w:val="24"/>
              </w:rPr>
              <w:t>1.25%</w:t>
            </w:r>
          </w:p>
        </w:tc>
        <w:tc>
          <w:tcPr>
            <w:vAlign w:val="center"/>
          </w:tcPr>
          <w:p>
            <w:pPr>
              <w:jc w:val="right"/>
            </w:pPr>
            <w:r>
              <w:rPr>
                <w:color w:themeColor="text1" w:val="000000"/>
                <w:sz w:val="24"/>
              </w:rPr>
              <w:t>-2.05%</w:t>
            </w:r>
          </w:p>
        </w:tc>
        <w:tc>
          <w:tcPr>
            <w:vAlign w:val="center"/>
          </w:tcPr>
          <w:p>
            <w:pPr>
              <w:jc w:val="right"/>
            </w:pPr>
            <w:r>
              <w:rPr>
                <w:color w:themeColor="text1" w:val="000000"/>
                <w:sz w:val="24"/>
              </w:rPr>
              <w:t>1.23%</w:t>
            </w:r>
          </w:p>
        </w:tc>
        <w:tc>
          <w:tcPr>
            <w:vAlign w:val="center"/>
          </w:tcPr>
          <w:p>
            <w:pPr>
              <w:jc w:val="right"/>
            </w:pPr>
            <w:r>
              <w:rPr>
                <w:color w:themeColor="text1" w:val="000000"/>
                <w:sz w:val="24"/>
              </w:rPr>
              <w:t>13.34%</w:t>
            </w:r>
          </w:p>
        </w:tc>
        <w:tc>
          <w:tcPr>
            <w:vAlign w:val="center"/>
          </w:tcPr>
          <w:p>
            <w:pPr>
              <w:jc w:val="right"/>
            </w:pPr>
            <w:r>
              <w:rPr>
                <w:color w:themeColor="text1" w:val="000000"/>
                <w:sz w:val="24"/>
              </w:rPr>
              <w:t>0.02%</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16.09%</w:t>
            </w:r>
          </w:p>
        </w:tc>
        <w:tc>
          <w:tcPr>
            <w:vAlign w:val="center"/>
          </w:tcPr>
          <w:p>
            <w:pPr>
              <w:jc w:val="right"/>
            </w:pPr>
            <w:r>
              <w:rPr>
                <w:color w:themeColor="text1" w:val="000000"/>
                <w:sz w:val="24"/>
              </w:rPr>
              <w:t>1.17%</w:t>
            </w:r>
          </w:p>
        </w:tc>
        <w:tc>
          <w:tcPr>
            <w:vAlign w:val="center"/>
          </w:tcPr>
          <w:p>
            <w:pPr>
              <w:jc w:val="right"/>
            </w:pPr>
            <w:r>
              <w:rPr>
                <w:color w:themeColor="text1" w:val="000000"/>
                <w:sz w:val="24"/>
              </w:rPr>
              <w:t>0.48%</w:t>
            </w:r>
          </w:p>
        </w:tc>
        <w:tc>
          <w:tcPr>
            <w:vAlign w:val="center"/>
          </w:tcPr>
          <w:p>
            <w:pPr>
              <w:jc w:val="right"/>
            </w:pPr>
            <w:r>
              <w:rPr>
                <w:color w:themeColor="text1" w:val="000000"/>
                <w:sz w:val="24"/>
              </w:rPr>
              <w:t>1.16%</w:t>
            </w:r>
          </w:p>
        </w:tc>
        <w:tc>
          <w:tcPr>
            <w:vAlign w:val="center"/>
          </w:tcPr>
          <w:p>
            <w:pPr>
              <w:jc w:val="right"/>
            </w:pPr>
            <w:r>
              <w:rPr>
                <w:color w:themeColor="text1" w:val="000000"/>
                <w:sz w:val="24"/>
              </w:rPr>
              <w:t>15.61%</w:t>
            </w:r>
          </w:p>
        </w:tc>
        <w:tc>
          <w:tcPr>
            <w:vAlign w:val="center"/>
          </w:tcPr>
          <w:p>
            <w:pPr>
              <w:jc w:val="right"/>
            </w:pPr>
            <w:r>
              <w:rPr>
                <w:color w:themeColor="text1" w:val="000000"/>
                <w:sz w:val="24"/>
              </w:rPr>
              <w:t>0.01%</w:t>
            </w:r>
          </w:p>
        </w:tc>
      </w:tr>
    </w:tbl>
    <w:p w:rsidP="00775284" w:rsidR="0065601A" w:rsidRDefault="0065601A" w:rsidRPr="00A67563">
      <w:pPr>
        <w:adjustRightInd w:val="0"/>
        <w:spacing w:before="156" w:beforeLines="50" w:line="360" w:lineRule="auto"/>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Pr="00A67563">
        <w:rPr>
          <w:b/>
          <w:color w:themeColor="text1" w:val="000000"/>
          <w:kern w:val="0"/>
          <w:sz w:val="24"/>
        </w:rPr>
        <w:t>易方达香港恒生综合小型股指数（QDII-LOF）C</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13.39%</w:t>
            </w:r>
          </w:p>
        </w:tc>
        <w:tc>
          <w:tcPr>
            <w:vAlign w:val="center"/>
          </w:tcPr>
          <w:p>
            <w:pPr>
              <w:jc w:val="right"/>
            </w:pPr>
            <w:r>
              <w:rPr>
                <w:color w:themeColor="text1" w:val="000000"/>
                <w:sz w:val="24"/>
              </w:rPr>
              <w:t>1.27%</w:t>
            </w:r>
          </w:p>
        </w:tc>
        <w:tc>
          <w:tcPr>
            <w:vAlign w:val="center"/>
          </w:tcPr>
          <w:p>
            <w:pPr>
              <w:jc w:val="right"/>
            </w:pPr>
            <w:r>
              <w:rPr>
                <w:color w:themeColor="text1" w:val="000000"/>
                <w:sz w:val="24"/>
              </w:rPr>
              <w:t>13.01%</w:t>
            </w:r>
          </w:p>
        </w:tc>
        <w:tc>
          <w:tcPr>
            <w:vAlign w:val="center"/>
          </w:tcPr>
          <w:p>
            <w:pPr>
              <w:jc w:val="right"/>
            </w:pPr>
            <w:r>
              <w:rPr>
                <w:color w:themeColor="text1" w:val="000000"/>
                <w:sz w:val="24"/>
              </w:rPr>
              <w:t>1.23%</w:t>
            </w:r>
          </w:p>
        </w:tc>
        <w:tc>
          <w:tcPr>
            <w:vAlign w:val="center"/>
          </w:tcPr>
          <w:p>
            <w:pPr>
              <w:jc w:val="right"/>
            </w:pPr>
            <w:r>
              <w:rPr>
                <w:color w:themeColor="text1" w:val="000000"/>
                <w:sz w:val="24"/>
              </w:rPr>
              <w:t>0.38%</w:t>
            </w:r>
          </w:p>
        </w:tc>
        <w:tc>
          <w:tcPr>
            <w:vAlign w:val="center"/>
          </w:tcPr>
          <w:p>
            <w:pPr>
              <w:jc w:val="right"/>
            </w:pPr>
            <w:r>
              <w:rPr>
                <w:color w:themeColor="text1" w:val="000000"/>
                <w:sz w:val="24"/>
              </w:rPr>
              <w:t>0.04%</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2.09%</w:t>
            </w:r>
          </w:p>
        </w:tc>
        <w:tc>
          <w:tcPr>
            <w:vAlign w:val="center"/>
          </w:tcPr>
          <w:p>
            <w:pPr>
              <w:jc w:val="right"/>
            </w:pPr>
            <w:r>
              <w:rPr>
                <w:color w:themeColor="text1" w:val="000000"/>
                <w:sz w:val="24"/>
              </w:rPr>
              <w:t>1.73%</w:t>
            </w:r>
          </w:p>
        </w:tc>
        <w:tc>
          <w:tcPr>
            <w:vAlign w:val="center"/>
          </w:tcPr>
          <w:p>
            <w:pPr>
              <w:jc w:val="right"/>
            </w:pPr>
            <w:r>
              <w:rPr>
                <w:color w:themeColor="text1" w:val="000000"/>
                <w:sz w:val="24"/>
              </w:rPr>
              <w:t>0.81%</w:t>
            </w:r>
          </w:p>
        </w:tc>
        <w:tc>
          <w:tcPr>
            <w:vAlign w:val="center"/>
          </w:tcPr>
          <w:p>
            <w:pPr>
              <w:jc w:val="right"/>
            </w:pPr>
            <w:r>
              <w:rPr>
                <w:color w:themeColor="text1" w:val="000000"/>
                <w:sz w:val="24"/>
              </w:rPr>
              <w:t>1.74%</w:t>
            </w:r>
          </w:p>
        </w:tc>
        <w:tc>
          <w:tcPr>
            <w:vAlign w:val="center"/>
          </w:tcPr>
          <w:p>
            <w:pPr>
              <w:jc w:val="right"/>
            </w:pPr>
            <w:r>
              <w:rPr>
                <w:color w:themeColor="text1" w:val="000000"/>
                <w:sz w:val="24"/>
              </w:rPr>
              <w:t>1.28%</w:t>
            </w:r>
          </w:p>
        </w:tc>
        <w:tc>
          <w:tcPr>
            <w:vAlign w:val="center"/>
          </w:tcPr>
          <w:p>
            <w:pPr>
              <w:jc w:val="right"/>
            </w:pPr>
            <w:r>
              <w:rPr>
                <w:color w:themeColor="text1" w:val="000000"/>
                <w:sz w:val="24"/>
              </w:rPr>
              <w:t>-0.01%</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5.45%</w:t>
            </w:r>
          </w:p>
        </w:tc>
        <w:tc>
          <w:tcPr>
            <w:vAlign w:val="center"/>
          </w:tcPr>
          <w:p>
            <w:pPr>
              <w:jc w:val="right"/>
            </w:pPr>
            <w:r>
              <w:rPr>
                <w:color w:themeColor="text1" w:val="000000"/>
                <w:sz w:val="24"/>
              </w:rPr>
              <w:t>1.33%</w:t>
            </w:r>
          </w:p>
        </w:tc>
        <w:tc>
          <w:tcPr>
            <w:vAlign w:val="center"/>
          </w:tcPr>
          <w:p>
            <w:pPr>
              <w:jc w:val="right"/>
            </w:pPr>
            <w:r>
              <w:rPr>
                <w:color w:themeColor="text1" w:val="000000"/>
                <w:sz w:val="24"/>
              </w:rPr>
              <w:t>0.72%</w:t>
            </w:r>
          </w:p>
        </w:tc>
        <w:tc>
          <w:tcPr>
            <w:vAlign w:val="center"/>
          </w:tcPr>
          <w:p>
            <w:pPr>
              <w:jc w:val="right"/>
            </w:pPr>
            <w:r>
              <w:rPr>
                <w:color w:themeColor="text1" w:val="000000"/>
                <w:sz w:val="24"/>
              </w:rPr>
              <w:t>1.34%</w:t>
            </w:r>
          </w:p>
        </w:tc>
        <w:tc>
          <w:tcPr>
            <w:vAlign w:val="center"/>
          </w:tcPr>
          <w:p>
            <w:pPr>
              <w:jc w:val="right"/>
            </w:pPr>
            <w:r>
              <w:rPr>
                <w:color w:themeColor="text1" w:val="000000"/>
                <w:sz w:val="24"/>
              </w:rPr>
              <w:t>4.73%</w:t>
            </w:r>
          </w:p>
        </w:tc>
        <w:tc>
          <w:tcPr>
            <w:vAlign w:val="center"/>
          </w:tcPr>
          <w:p>
            <w:pPr>
              <w:jc w:val="right"/>
            </w:pPr>
            <w:r>
              <w:rPr>
                <w:color w:themeColor="text1" w:val="000000"/>
                <w:sz w:val="24"/>
              </w:rPr>
              <w:t>-0.01%</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1.28%</w:t>
            </w:r>
          </w:p>
        </w:tc>
        <w:tc>
          <w:tcPr>
            <w:vAlign w:val="center"/>
          </w:tcPr>
          <w:p>
            <w:pPr>
              <w:jc w:val="right"/>
            </w:pPr>
            <w:r>
              <w:rPr>
                <w:color w:themeColor="text1" w:val="000000"/>
                <w:sz w:val="24"/>
              </w:rPr>
              <w:t>1.29%</w:t>
            </w:r>
          </w:p>
        </w:tc>
        <w:tc>
          <w:tcPr>
            <w:vAlign w:val="center"/>
          </w:tcPr>
          <w:p>
            <w:pPr>
              <w:jc w:val="right"/>
            </w:pPr>
            <w:r>
              <w:rPr>
                <w:color w:themeColor="text1" w:val="000000"/>
                <w:sz w:val="24"/>
              </w:rPr>
              <w:t>-8.36%</w:t>
            </w:r>
          </w:p>
        </w:tc>
        <w:tc>
          <w:tcPr>
            <w:vAlign w:val="center"/>
          </w:tcPr>
          <w:p>
            <w:pPr>
              <w:jc w:val="right"/>
            </w:pPr>
            <w:r>
              <w:rPr>
                <w:color w:themeColor="text1" w:val="000000"/>
                <w:sz w:val="24"/>
              </w:rPr>
              <w:t>1.28%</w:t>
            </w:r>
          </w:p>
        </w:tc>
        <w:tc>
          <w:tcPr>
            <w:vAlign w:val="center"/>
          </w:tcPr>
          <w:p>
            <w:pPr>
              <w:jc w:val="right"/>
            </w:pPr>
            <w:r>
              <w:rPr>
                <w:color w:themeColor="text1" w:val="000000"/>
                <w:sz w:val="24"/>
              </w:rPr>
              <w:t>9.64%</w:t>
            </w:r>
          </w:p>
        </w:tc>
        <w:tc>
          <w:tcPr>
            <w:vAlign w:val="center"/>
          </w:tcPr>
          <w:p>
            <w:pPr>
              <w:jc w:val="right"/>
            </w:pPr>
            <w:r>
              <w:rPr>
                <w:color w:themeColor="text1" w:val="000000"/>
                <w:sz w:val="24"/>
              </w:rPr>
              <w:t>0.01%</w:t>
            </w:r>
          </w:p>
        </w:tc>
      </w:tr>
    </w:tbl>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3.2.2</w:t>
      </w:r>
      <w:r w:rsidRPr="00A67563">
        <w:rPr>
          <w:b/>
          <w:color w:themeColor="text1" w:val="000000"/>
          <w:kern w:val="0"/>
          <w:sz w:val="24"/>
        </w:rPr>
        <w:t xml:space="preserve">　</w:t>
      </w:r>
      <w:r w:rsidR="009779FD" w:rsidRPr="00A67563">
        <w:rPr>
          <w:rStyle w:val="af8"/>
          <w:color w:themeColor="text1" w:val="000000"/>
          <w:sz w:val="24"/>
          <w:shd w:color="auto" w:fill="FFFFFF" w:val="clear"/>
        </w:rPr>
        <w:t/>
      </w:r>
      <w:proofErr w:type="spellStart"/>
      <w:r w:rsidR="009779FD" w:rsidRPr="00A67563">
        <w:rPr>
          <w:rStyle w:val="af8"/>
          <w:color w:themeColor="text1" w:val="000000"/>
          <w:sz w:val="24"/>
          <w:shd w:color="auto" w:fill="FFFFFF" w:val="clear"/>
        </w:rPr>
        <w:t/>
      </w:r>
      <w:proofErr w:type="spellEnd"/>
      <w:r w:rsidR="009779FD" w:rsidRPr="00A67563">
        <w:rPr>
          <w:rStyle w:val="af8"/>
          <w:color w:themeColor="text1" w:val="000000"/>
          <w:sz w:val="24"/>
          <w:shd w:color="auto" w:fill="FFFFFF" w:val="clear"/>
        </w:rPr>
        <w:t>自基金合同生效以来</w:t>
      </w:r>
      <w:r w:rsidRPr="00A67563">
        <w:rPr>
          <w:b/>
          <w:color w:themeColor="text1" w:val="000000"/>
          <w:kern w:val="0"/>
          <w:sz w:val="24"/>
        </w:rPr>
        <w:t>基金累计</w:t>
      </w:r>
      <w:r w:rsidR="004339D9" w:rsidRPr="00A67563">
        <w:rPr>
          <w:b/>
          <w:color w:themeColor="text1" w:val="000000"/>
          <w:kern w:val="0"/>
          <w:sz w:val="24"/>
        </w:rPr>
        <w:t>份额</w:t>
      </w:r>
      <w:r w:rsidRPr="00A67563">
        <w:rPr>
          <w:b/>
          <w:color w:themeColor="text1" w:val="000000"/>
          <w:kern w:val="0"/>
          <w:sz w:val="24"/>
        </w:rPr>
        <w:t>净值增长率变动及其与同期业绩比较基准收益率变动的比较</w:t>
      </w:r>
    </w:p>
    <w:p w:rsidP="00EC4BA3" w:rsidR="00A96FD9" w:rsidRDefault="00A96FD9" w:rsidRPr="00A67563">
      <w:pPr>
        <w:spacing w:line="360" w:lineRule="auto"/>
        <w:jc w:val="center"/>
        <w:rPr>
          <w:color w:themeColor="text1" w:val="00000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易方达香港恒生综合小型股指数证券投资基金（LOF）</w:t>
      </w:r>
    </w:p>
    <w:p w:rsidP="00520D90" w:rsidR="00520D90" w:rsidRDefault="0008610C">
      <w:pPr>
        <w:pStyle w:val="a5"/>
        <w:snapToGrid w:val="0"/>
        <w:spacing w:line="360" w:lineRule="auto"/>
        <w:ind w:firstLine="480"/>
        <w:jc w:val="center"/>
        <w:rPr>
          <w:rFonts w:ascii="Times New Roman" w:eastAsiaTheme="minorEastAsia" w:hAnsi="Times New Roman"/>
          <w:color w:themeColor="text1" w:val="000000"/>
          <w:sz w:val="24"/>
          <w:szCs w:val="24"/>
        </w:rPr>
      </w:pPr>
      <w:r>
        <w:rPr>
          <w:rFonts w:ascii="Times New Roman" w:hAnsi="Times New Roman" w:hint="eastAsia"/>
          <w:color w:val="000000"/>
          <w:sz w:val="24"/>
          <w:szCs w:val="24"/>
        </w:rPr>
        <w:t>累计净值增长率与业绩比较基准收益率的历史走势对比图</w:t>
      </w:r>
    </w:p>
    <w:p w:rsidP="00520D90" w:rsidR="00520D90" w:rsidRDefault="0065601A">
      <w:pPr>
        <w:snapToGrid w:val="0"/>
        <w:spacing w:line="360" w:lineRule="auto"/>
        <w:rPr>
          <w:rFonts w:eastAsiaTheme="minorEastAsia" w:hAnsiTheme="minorEastAsia"/>
          <w:color w:themeColor="text1" w:val="000000"/>
          <w:sz w:val="24"/>
        </w:rPr>
      </w:pPr>
      <w:r w:rsidRPr="00A67563">
        <w:rPr>
          <w:color w:themeColor="text1" w:val="000000"/>
          <w:sz w:val="24"/>
        </w:rPr>
        <w:t/>
      </w:r>
      <w:proofErr w:type="gramStart"/>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gramEnd"/>
      <w:r w:rsidRPr="00A67563">
        <w:rPr>
          <w:color w:themeColor="text1" w:val="000000"/>
          <w:sz w:val="24"/>
        </w:rPr>
        <w:t>易方达香港恒生综合小型股指数（QDII-LOF）A</w:t>
      </w:r>
    </w:p>
    <w:p w:rsidP="00520D90" w:rsidR="0065601A" w:rsidRDefault="00520D90" w:rsidRPr="00520D90">
      <w:pPr>
        <w:pStyle w:val="a5"/>
        <w:snapToGrid w:val="0"/>
        <w:spacing w:line="360" w:lineRule="auto"/>
        <w:jc w:val="center"/>
        <w:rPr>
          <w:rFonts w:ascii="Times New Roman" w:hAnsi="Times New Roman"/>
          <w:sz w:val="24"/>
          <w:szCs w:val="24"/>
        </w:rPr>
      </w:pPr>
      <w:r w:rsidRPr="00520D90">
        <w:rPr>
          <w:rFonts w:ascii="Times New Roman" w:hAnsi="Times New Roman"/>
          <w:sz w:val="24"/>
          <w:szCs w:val="24"/>
        </w:rPr>
        <w:t/>
      </w:r>
      <w:proofErr w:type="spellStart"/>
      <w:proofErr w:type="gramStart"/>
      <w:r w:rsidRPr="00520D90">
        <w:rPr>
          <w:rFonts w:ascii="Times New Roman" w:hAnsi="Times New Roman"/>
          <w:sz w:val="24"/>
          <w:szCs w:val="24"/>
        </w:rPr>
        <w:t/>
      </w:r>
      <w:proofErr w:type="spellEnd"/>
      <w:r w:rsidRPr="00520D90">
        <w:rPr>
          <w:rFonts w:ascii="Times New Roman" w:hAnsi="Times New Roman"/>
          <w:sz w:val="24"/>
          <w:szCs w:val="24"/>
        </w:rPr>
        <w:t/>
      </w:r>
      <w:proofErr w:type="gramEnd"/>
      <w:r w:rsidRPr="00520D90">
        <w:rPr>
          <w:rFonts w:ascii="Times New Roman" w:hAnsi="Times New Roman"/>
          <w:sz w:val="24"/>
          <w:szCs w:val="24"/>
        </w:rPr>
        <w:t>（2016年11月2日至2020年6月30日）</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0">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520D90" w:rsidR="00520D90" w:rsidRDefault="0065601A">
      <w:pPr>
        <w:snapToGrid w:val="0"/>
        <w:spacing w:before="312" w:beforeLines="100" w:line="360" w:lineRule="auto"/>
        <w:rPr>
          <w:rFonts w:eastAsiaTheme="minorEastAsia" w:hAnsiTheme="minorEastAsia"/>
          <w:color w:themeColor="text1" w:val="000000"/>
          <w:sz w:val="24"/>
        </w:rPr>
      </w:pPr>
      <w:r w:rsidRPr="00A67563">
        <w:rPr>
          <w:color w:themeColor="text1" w:val="000000"/>
          <w:sz w:val="24"/>
        </w:rPr>
        <w:t/>
      </w:r>
      <w:proofErr w:type="gramStart"/>
      <w:r w:rsidRPr="00A67563">
        <w:rPr>
          <w:color w:themeColor="text1" w:val="000000"/>
          <w:sz w:val="24"/>
        </w:rPr>
        <w:t/>
      </w:r>
      <w:proofErr w:type="gramEnd"/>
      <w:r w:rsidRPr="00A67563">
        <w:rPr>
          <w:color w:themeColor="text1" w:val="000000"/>
          <w:sz w:val="24"/>
        </w:rPr>
        <w:t>易方达香港恒生综合小型股指数（QDII-LOF）C</w:t>
      </w:r>
    </w:p>
    <w:p w:rsidP="00520D90" w:rsidR="0065601A" w:rsidRDefault="00520D90" w:rsidRPr="00520D90">
      <w:pPr>
        <w:pStyle w:val="a5"/>
        <w:snapToGrid w:val="0"/>
        <w:spacing w:line="360" w:lineRule="auto"/>
        <w:jc w:val="center"/>
        <w:rPr>
          <w:rFonts w:ascii="Times New Roman" w:hAnsi="Times New Roman"/>
          <w:sz w:val="24"/>
          <w:szCs w:val="24"/>
        </w:rPr>
      </w:pPr>
      <w:r w:rsidRPr="00520D90">
        <w:rPr>
          <w:rFonts w:ascii="Times New Roman" w:hAnsi="Times New Roman"/>
          <w:sz w:val="24"/>
          <w:szCs w:val="24"/>
        </w:rPr>
        <w:t/>
      </w:r>
      <w:proofErr w:type="spellStart"/>
      <w:proofErr w:type="gramStart"/>
      <w:r w:rsidRPr="00520D90">
        <w:rPr>
          <w:rFonts w:ascii="Times New Roman" w:hAnsi="Times New Roman"/>
          <w:sz w:val="24"/>
          <w:szCs w:val="24"/>
        </w:rPr>
        <w:t/>
      </w:r>
      <w:proofErr w:type="spellEnd"/>
      <w:r w:rsidRPr="00520D90">
        <w:rPr>
          <w:rFonts w:ascii="Times New Roman" w:hAnsi="Times New Roman"/>
          <w:sz w:val="24"/>
          <w:szCs w:val="24"/>
        </w:rPr>
        <w:t/>
      </w:r>
      <w:proofErr w:type="gramEnd"/>
      <w:r w:rsidRPr="00520D90">
        <w:rPr>
          <w:rFonts w:ascii="Times New Roman" w:hAnsi="Times New Roman"/>
          <w:sz w:val="24"/>
          <w:szCs w:val="24"/>
        </w:rPr>
        <w:t>（2018年8月14日至2020年6月30日）</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注：1.本基金的业绩比较基准已经转换为以人民币计价。</w:t>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2.自2018年8月13日起,本基金增设C类份额类别,份额首次确认日为2018年8月14日,增设当期的相关数据和指标按实际存续期计算。</w:t>
      </w:r>
    </w:p>
    <w:p w:rsidP="0062493E" w:rsidR="00845292" w:rsidRDefault="0065601A"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gramStart"/>
      <w:r w:rsidRPr="00A67563">
        <w:rPr>
          <w:color w:themeColor="text1" w:val="000000"/>
          <w:sz w:val="24"/>
        </w:rPr>
        <w:t/>
      </w:r>
      <w:proofErr w:type="gramEnd"/>
      <w:r w:rsidRPr="00A67563">
        <w:rPr>
          <w:color w:themeColor="text1" w:val="000000"/>
          <w:sz w:val="24"/>
        </w:rPr>
        <w:t>3.自基金合同生效至报告期末,A类基金份额净值增长率为16.09%,同期业绩比较基准收益率为0.48%。C类基金份额净值增长率为1.28%,同期业绩比较基准收益率为-8.36%。</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§4  </w:t>
      </w:r>
      <w:r w:rsidRPr="00A67563">
        <w:rPr>
          <w:color w:themeColor="text1" w:val="000000"/>
          <w:kern w:val="0"/>
          <w:sz w:val="24"/>
          <w:szCs w:val="24"/>
        </w:rPr>
        <w:t>管理人报告</w:t>
      </w:r>
    </w:p>
    <w:p w:rsidP="0040617F" w:rsidR="0040617F" w:rsidRDefault="0076518F" w:rsidRPr="006506EF">
      <w:pPr>
        <w:autoSpaceDE w:val="0"/>
        <w:autoSpaceDN w:val="0"/>
        <w:adjustRightInd w:val="0"/>
        <w:spacing w:line="360" w:lineRule="auto"/>
        <w:jc w:val="left"/>
        <w:rPr>
          <w:b/>
          <w:color w:val="000000"/>
          <w:kern w:val="0"/>
          <w:sz w:val="24"/>
        </w:rPr>
      </w:pPr>
      <w:r w:rsidRPr="00A67563">
        <w:rPr>
          <w:b/>
          <w:color w:themeColor="text1" w:val="000000"/>
          <w:kern w:val="0"/>
          <w:sz w:val="24"/>
        </w:rPr>
        <w:t xml:space="preserve">4.1 </w:t>
      </w:r>
      <w:r w:rsidRPr="00A67563">
        <w:rPr>
          <w:b/>
          <w:color w:themeColor="text1"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40617F" w:rsidRPr="006506EF" w:rsidTr="003A661A">
        <w:trPr>
          <w:cantSplit/>
          <w:trHeight w:val="292"/>
        </w:trPr>
        <w:tc>
          <w:tcPr>
            <w:tcW w:type="dxa" w:w="851"/>
            <w:vMerge w:val="restart"/>
            <w:vAlign w:val="center"/>
          </w:tcPr>
          <w:p w:rsidP="003A661A" w:rsidR="0040617F" w:rsidRDefault="0040617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3A661A" w:rsidR="0040617F" w:rsidRDefault="0040617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3A661A" w:rsidR="0040617F" w:rsidRDefault="0040617F" w:rsidRPr="006506EF">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3A661A">
        <w:trPr>
          <w:cantSplit/>
        </w:trPr>
        <w:tc>
          <w:tcPr>
            <w:tcW w:type="dxa" w:w="851"/>
            <w:vMerge/>
            <w:vAlign w:val="center"/>
          </w:tcPr>
          <w:p w:rsidP="003A661A" w:rsidR="0040617F" w:rsidRDefault="0040617F" w:rsidRPr="006506EF">
            <w:pPr>
              <w:widowControl/>
              <w:spacing w:line="360" w:lineRule="auto"/>
              <w:jc w:val="left"/>
              <w:rPr>
                <w:color w:val="000000"/>
                <w:kern w:val="0"/>
                <w:sz w:val="24"/>
              </w:rPr>
            </w:pPr>
          </w:p>
        </w:tc>
        <w:tc>
          <w:tcPr>
            <w:tcW w:type="dxa" w:w="3260"/>
            <w:vMerge/>
            <w:vAlign w:val="center"/>
          </w:tcPr>
          <w:p w:rsidP="003A661A" w:rsidR="0040617F" w:rsidRDefault="0040617F" w:rsidRPr="006506EF">
            <w:pPr>
              <w:widowControl/>
              <w:spacing w:line="360" w:lineRule="auto"/>
              <w:jc w:val="left"/>
              <w:rPr>
                <w:color w:val="000000"/>
                <w:kern w:val="0"/>
                <w:sz w:val="24"/>
              </w:rPr>
            </w:pPr>
          </w:p>
        </w:tc>
        <w:tc>
          <w:tcPr>
            <w:tcW w:type="dxa" w:w="1276"/>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3A661A" w:rsidR="0040617F" w:rsidRDefault="0040617F" w:rsidRPr="006506EF">
            <w:pPr>
              <w:widowControl/>
              <w:spacing w:line="360" w:lineRule="auto"/>
              <w:jc w:val="left"/>
              <w:rPr>
                <w:color w:val="000000"/>
                <w:kern w:val="0"/>
                <w:sz w:val="24"/>
              </w:rPr>
            </w:pPr>
          </w:p>
        </w:tc>
        <w:tc>
          <w:tcPr>
            <w:tcW w:type="dxa" w:w="1418"/>
            <w:vMerge/>
            <w:vAlign w:val="center"/>
          </w:tcPr>
          <w:p w:rsidP="003A661A" w:rsidR="0040617F" w:rsidRDefault="0040617F" w:rsidRPr="006506EF">
            <w:pPr>
              <w:widowControl/>
              <w:spacing w:line="360" w:lineRule="auto"/>
              <w:jc w:val="left"/>
              <w:rPr>
                <w:color w:val="000000"/>
                <w:kern w:val="0"/>
                <w:sz w:val="24"/>
              </w:rPr>
            </w:pP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生物科技指数分级证券投资基金的基金经理、易方达深证100交易型开放式指数证券投资基金联接基金的基金经理、易方达并购重组指数分级证券投资基金的基金经理、易方达创业板交易型开放式指数证券投资基金的基金经理、易方达银行指数分级证券投资基金的基金经理、易方达创业板交易型开放式指数证券投资基金联接基金的基金经理、易方达中小板指数证券投资基金（LOF）的基金经理、易方达标普信息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标普生物科技指数证券投资基金（LOF）的基金经理（自2018年08月11日至2020年04月22日）、易方达标普500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left"/>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color w:themeColor="text1" w:val="000000"/>
          <w:kern w:val="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62493E" w:rsidR="0076518F" w:rsidRDefault="0040617F" w:rsidRPr="00A67563">
      <w:pPr>
        <w:autoSpaceDE w:val="0"/>
        <w:autoSpaceDN w:val="0"/>
        <w:adjustRightInd w:val="0"/>
        <w:spacing w:line="360" w:lineRule="auto"/>
        <w:ind w:firstLine="480" w:firstLineChars="200"/>
        <w:jc w:val="left"/>
        <w:rPr>
          <w:color w:themeColor="text1" w:val="000000"/>
          <w:kern w:val="0"/>
          <w:sz w:val="24"/>
        </w:rPr>
      </w:pPr>
      <w:r w:rsidRPr="006506EF">
        <w:rPr>
          <w:color w:val="000000"/>
          <w:sz w:val="24"/>
        </w:rPr>
        <w:t/>
      </w:r>
      <w:proofErr w:type="gramStart"/>
      <w:r w:rsidRPr="006506EF">
        <w:rPr>
          <w:color w:val="000000"/>
          <w:sz w:val="24"/>
        </w:rPr>
        <w:t/>
      </w:r>
      <w:proofErr w:type="gramEnd"/>
      <w:r w:rsidRPr="006506EF">
        <w:rPr>
          <w:color w:val="000000"/>
          <w:sz w:val="24"/>
        </w:rPr>
        <w:t>2.证券从业的含义遵从《证券业从业人员资格管理办法》的相关规定。</w:t>
      </w:r>
    </w:p>
    <w:p w:rsidP="00EC4BA3" w:rsidR="0076518F" w:rsidRDefault="00B95E5A"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F077D2" w:rsidRPr="00A67563">
        <w:rPr>
          <w:b/>
          <w:color w:themeColor="text1" w:val="000000"/>
          <w:kern w:val="0"/>
          <w:sz w:val="24"/>
        </w:rPr>
        <w:t>2</w:t>
      </w:r>
      <w:r w:rsidR="00A32FDA" w:rsidRPr="00A67563">
        <w:rPr>
          <w:b/>
          <w:color w:themeColor="text1" w:val="000000"/>
          <w:kern w:val="0"/>
          <w:sz w:val="24"/>
        </w:rPr>
        <w:t xml:space="preserve"> </w:t>
      </w:r>
      <w:r w:rsidR="0076518F" w:rsidRPr="00A67563">
        <w:rPr>
          <w:b/>
          <w:color w:themeColor="text1" w:val="000000"/>
          <w:kern w:val="0"/>
          <w:sz w:val="24"/>
        </w:rPr>
        <w:t>境外投资顾问为本基金提供投资建议的主要成员简介</w:t>
      </w:r>
    </w:p>
    <w:p w:rsidP="0062493E" w:rsidR="00FB47E0" w:rsidRDefault="00363E15"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本基金未聘请境外投资顾问。</w:t>
      </w:r>
    </w:p>
    <w:p w:rsidP="0008610C" w:rsidR="0008610C" w:rsidRDefault="00B95E5A">
      <w:pPr>
        <w:autoSpaceDE w:val="0"/>
        <w:autoSpaceDN w:val="0"/>
        <w:adjustRightInd w:val="0"/>
        <w:spacing w:line="360" w:lineRule="auto"/>
        <w:jc w:val="left"/>
        <w:rPr>
          <w:b/>
          <w:color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A32FDA" w:rsidRPr="00A67563">
        <w:rPr>
          <w:b/>
          <w:color w:themeColor="text1" w:val="000000"/>
          <w:kern w:val="0"/>
          <w:sz w:val="24"/>
        </w:rPr>
        <w:t>3</w:t>
      </w:r>
      <w:r w:rsidR="0008610C">
        <w:rPr>
          <w:rFonts w:hint="eastAsia"/>
          <w:b/>
          <w:color w:val="000000"/>
          <w:kern w:val="0"/>
          <w:sz w:val="24"/>
        </w:rPr>
        <w:t>报告期内本基金运作遵规守信情况说明</w:t>
      </w:r>
    </w:p>
    <w:p w:rsidP="0062493E" w:rsidR="0076518F" w:rsidRDefault="00363E15"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4</w:t>
      </w:r>
      <w:r w:rsidRPr="00A67563">
        <w:rPr>
          <w:b/>
          <w:color w:themeColor="text1" w:val="000000"/>
          <w:kern w:val="0"/>
          <w:sz w:val="24"/>
        </w:rPr>
        <w:t xml:space="preserve"> </w:t>
      </w:r>
      <w:r w:rsidRPr="00A67563">
        <w:rPr>
          <w:b/>
          <w:color w:themeColor="text1" w:val="000000"/>
          <w:kern w:val="0"/>
          <w:sz w:val="24"/>
        </w:rPr>
        <w:t>公平交易专项说明</w:t>
      </w:r>
    </w:p>
    <w:p w:rsidP="00A70E23" w:rsidR="00AB42E2" w:rsidRDefault="00AB42E2" w:rsidRPr="00A67563">
      <w:pPr>
        <w:spacing w:line="360" w:lineRule="auto"/>
        <w:rPr>
          <w:color w:themeColor="text1" w:val="000000"/>
          <w:sz w:val="24"/>
        </w:rPr>
      </w:pPr>
      <w:r w:rsidRPr="00A67563">
        <w:rPr>
          <w:color w:themeColor="text1" w:val="000000"/>
          <w:sz w:val="24"/>
        </w:rPr>
        <w:t>4.</w:t>
      </w:r>
      <w:r w:rsidR="00A32FDA" w:rsidRPr="00A67563">
        <w:rPr>
          <w:color w:themeColor="text1" w:val="000000"/>
          <w:sz w:val="24"/>
        </w:rPr>
        <w:t>4.1</w:t>
      </w:r>
      <w:r w:rsidRPr="00A67563">
        <w:rPr>
          <w:color w:themeColor="text1" w:val="000000"/>
          <w:sz w:val="24"/>
        </w:rPr>
        <w:t>公平交易制度的执行情况</w:t>
      </w:r>
    </w:p>
    <w:p w:rsidP="00797DD2" w:rsidR="00AB42E2" w:rsidRDefault="001F3C28"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AB42E2" w:rsidRDefault="00AB42E2" w:rsidRPr="00A67563">
      <w:pPr>
        <w:spacing w:line="360" w:lineRule="auto"/>
        <w:rPr>
          <w:color w:themeColor="text1" w:val="000000"/>
          <w:sz w:val="24"/>
        </w:rPr>
      </w:pPr>
      <w:r w:rsidRPr="00A67563">
        <w:rPr>
          <w:color w:themeColor="text1" w:val="000000"/>
          <w:sz w:val="24"/>
        </w:rPr>
        <w:t>4.</w:t>
      </w:r>
      <w:r w:rsidR="00A32FDA" w:rsidRPr="00A67563">
        <w:rPr>
          <w:color w:themeColor="text1" w:val="000000"/>
          <w:sz w:val="24"/>
        </w:rPr>
        <w:t>4</w:t>
      </w:r>
      <w:r w:rsidRPr="00A67563">
        <w:rPr>
          <w:color w:themeColor="text1" w:val="000000"/>
          <w:sz w:val="24"/>
        </w:rPr>
        <w:t>.</w:t>
      </w:r>
      <w:r w:rsidR="00A32FDA" w:rsidRPr="00A67563">
        <w:rPr>
          <w:color w:themeColor="text1" w:val="000000"/>
          <w:sz w:val="24"/>
        </w:rPr>
        <w:t>2</w:t>
      </w:r>
      <w:r w:rsidRPr="00A67563">
        <w:rPr>
          <w:color w:themeColor="text1" w:val="000000"/>
          <w:sz w:val="24"/>
        </w:rPr>
        <w:t>异常交易行为的专项说明</w:t>
      </w:r>
    </w:p>
    <w:p>
      <w:pPr>
        <w:spacing w:line="360" w:lineRule="auto"/>
        <w:ind w:firstLine="480" w:firstLineChars="200"/>
        <w:rPr>
          <w:color w:themeColor="text1" w:val="000000"/>
          <w:kern w:val="0"/>
          <w:sz w:val="24"/>
        </w:rPr>
      </w:pPr>
      <w:r>
        <w:rPr>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2493E" w:rsidR="0076518F" w:rsidRDefault="001F3C28"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本报告期内，未发现本基金有可能导致不公平交易和利益输送的异常交易。</w:t>
      </w:r>
    </w:p>
    <w:p w:rsidP="0067094A" w:rsidR="0067094A" w:rsidRDefault="0076518F">
      <w:pPr>
        <w:autoSpaceDE w:val="0"/>
        <w:autoSpaceDN w:val="0"/>
        <w:adjustRightInd w:val="0"/>
        <w:spacing w:line="360" w:lineRule="auto"/>
        <w:jc w:val="left"/>
        <w:rPr>
          <w:sz w:val="24"/>
        </w:rPr>
      </w:pPr>
      <w:r w:rsidRPr="00A67563">
        <w:rPr>
          <w:b/>
          <w:color w:themeColor="text1" w:val="000000"/>
          <w:kern w:val="0"/>
          <w:sz w:val="24"/>
        </w:rPr>
        <w:t>4.</w:t>
      </w:r>
      <w:r w:rsidR="00A32FDA" w:rsidRPr="00A67563">
        <w:rPr>
          <w:b/>
          <w:color w:themeColor="text1" w:val="000000"/>
          <w:kern w:val="0"/>
          <w:sz w:val="24"/>
        </w:rPr>
        <w:t>5</w:t>
      </w:r>
      <w:r w:rsidRPr="00A67563">
        <w:rPr>
          <w:b/>
          <w:color w:themeColor="text1" w:val="000000"/>
          <w:kern w:val="0"/>
          <w:sz w:val="24"/>
        </w:rPr>
        <w:t xml:space="preserve"> </w:t>
      </w:r>
      <w:r w:rsidR="0067094A">
        <w:rPr>
          <w:rFonts w:hint="eastAsia"/>
          <w:b/>
          <w:color w:val="000000"/>
          <w:kern w:val="0"/>
          <w:sz w:val="24"/>
        </w:rPr>
        <w:t>报告期内基金的投资策略和业绩表现说明</w:t>
      </w:r>
    </w:p>
    <w:p>
      <w:pPr>
        <w:spacing w:line="360" w:lineRule="auto"/>
        <w:ind w:firstLine="480" w:firstLineChars="200"/>
        <w:rPr>
          <w:color w:themeColor="text1" w:val="000000"/>
          <w:sz w:val="24"/>
        </w:rPr>
      </w:pPr>
      <w:r>
        <w:rPr>
          <w:color w:themeColor="text1" w:val="000000"/>
          <w:sz w:val="24"/>
        </w:rPr>
        <w:t>本基金跟踪的标的指数为恒生综合小型股指数，恒生综合小型股指数涵盖恒生综合指数成份股总市值的后5%，成份股市值偏小，企业基本面情况与股价走势同时受国内外经济形势影响。2020年2季度，随着人们对新冠疫情恐慌情绪的缓解，海外股票市场在充裕流动性等因素的支持下迅速反弹，纳斯达克指数更是突破了疫情前的高点创出新高。国内方面，新冠疫情得到有效的控制和缓解，随着各行业陆续复工、复产，经济发展在系列政策的刺激和支持下逐步走向复苏，5月份全国规模以上工业企业利润总额同比增速回升转正至6.0%，6月制造业PMI升至50.9%好于市场预期。A股市场在医药生物、食品饮料、科技等板块的带动下开启了一波反弹行情。港股市场也随之反弹，今年以来南下资金持续流入港股市场，总额合计约2700亿人民币，反映出市场对港股市场的认可。本报告期，恒生综合小型股指数上涨13.7%（人民币计价）。</w:t>
      </w:r>
    </w:p>
    <w:p>
      <w:pPr>
        <w:spacing w:line="360" w:lineRule="auto"/>
        <w:ind w:firstLine="480" w:firstLineChars="200"/>
        <w:rPr>
          <w:color w:themeColor="text1" w:val="000000"/>
          <w:sz w:val="24"/>
        </w:rPr>
      </w:pPr>
      <w:r>
        <w:rPr>
          <w:color w:themeColor="text1" w:val="000000"/>
          <w:sz w:val="24"/>
        </w:rPr>
        <w:t>易方达恒生综合小型股指数基金（香港小盘LOF）属于被动跟踪指数的证券投资基金。报告期内，除基金管理人认为不适合投资的成份股外，本基金跟随指数的成份股变化进行日常调整操作，控制基金组合与指数权重基本一致。</w:t>
      </w:r>
    </w:p>
    <w:p w:rsidP="00A70E23" w:rsidR="00C736BB" w:rsidRDefault="00AF65C5" w:rsidRPr="00A67563">
      <w:pPr>
        <w:spacing w:line="360" w:lineRule="auto"/>
        <w:ind w:firstLine="480" w:firstLineChars="200"/>
        <w:rPr>
          <w:color w:themeColor="text1" w:val="000000"/>
          <w:sz w:val="24"/>
        </w:rPr>
      </w:pPr>
      <w:r>
        <w:rPr>
          <w:color w:themeColor="text1" w:val="000000"/>
          <w:sz w:val="24"/>
        </w:rPr>
        <w:t/>
      </w:r>
      <w:proofErr w:type="spellStart"/>
      <w:proofErr w:type="gramStart"/>
      <w:r>
        <w:rPr>
          <w:color w:themeColor="text1" w:val="000000"/>
          <w:sz w:val="24"/>
        </w:rPr>
        <w:t/>
      </w:r>
      <w:r w:rsidR="0067094A" w:rsidRPr="00F47E2F">
        <w:rPr>
          <w:color w:themeColor="text1" w:val="000000"/>
          <w:sz w:val="24"/>
        </w:rPr>
        <w:t/>
      </w:r>
      <w:proofErr w:type="spellEnd"/>
      <w:proofErr w:type="gramEnd"/>
      <w:r w:rsidR="0067094A" w:rsidRPr="00F47E2F">
        <w:rPr>
          <w:color w:themeColor="text1" w:val="000000"/>
          <w:sz w:val="24"/>
        </w:rPr>
        <w:t>截至报告期末，本基金A类基金份额净值为1.1609元，本报告期份额净值增长率为13.45%，同期业绩比较基准收益率为13.01%；C类基金份额净值为1.1577元，本报告期份额净值增长率为13.39%，同期业绩比较基准收益率为13.01%。年化跟踪误差1.65%，在合同规定的目标控制范围之内。</w:t>
      </w:r>
    </w:p>
    <w:p w:rsidP="00D9766F" w:rsidR="00D9766F" w:rsidRDefault="00D9766F" w:rsidRPr="00A67563">
      <w:pPr>
        <w:spacing w:line="360" w:lineRule="auto"/>
        <w:rPr>
          <w:color w:themeColor="text1" w:val="00000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4.6</w:t>
      </w:r>
      <w:r w:rsidR="00AF65C5">
        <w:rPr>
          <w:rFonts w:hint="eastAsia"/>
          <w:b/>
          <w:color w:themeColor="text1" w:val="000000"/>
          <w:kern w:val="0"/>
          <w:sz w:val="24"/>
        </w:rPr>
        <w:t xml:space="preserve"> </w:t>
      </w:r>
      <w:r w:rsidRPr="00A67563">
        <w:rPr>
          <w:b/>
          <w:color w:themeColor="text1" w:val="000000"/>
          <w:kern w:val="0"/>
          <w:sz w:val="24"/>
        </w:rPr>
        <w:t>报告期内基金持有人数或基金资产净值预警说明</w:t>
      </w:r>
    </w:p>
    <w:p>
      <w:pPr>
        <w:spacing w:line="360" w:lineRule="auto"/>
        <w:ind w:firstLine="480" w:firstLineChars="200"/>
        <w:rPr>
          <w:color w:themeColor="text1" w:val="000000"/>
          <w:sz w:val="24"/>
        </w:rPr>
      </w:pPr>
      <w:r>
        <w:rPr>
          <w:color w:themeColor="text1" w:val="000000"/>
          <w:kern w:val="0"/>
          <w:sz w:val="24"/>
        </w:rPr>
        <w:t>本报告期，本基金均存在连续二十个工作日基金资产净值低于五千万元的情形。</w:t>
      </w:r>
    </w:p>
    <w:p w:rsidP="00D9766F" w:rsidR="00D9766F" w:rsidRDefault="00D9766F" w:rsidRPr="00A67563">
      <w:pPr>
        <w:spacing w:line="360" w:lineRule="auto"/>
        <w:ind w:firstLine="480" w:firstLineChars="200"/>
        <w:rPr>
          <w:color w:themeColor="text1" w:val="000000"/>
          <w:sz w:val="24"/>
        </w:rPr>
      </w:pPr>
      <w:r w:rsidRPr="00A67563">
        <w:rPr>
          <w:color w:themeColor="text1" w:val="000000"/>
          <w:kern w:val="0"/>
          <w:sz w:val="24"/>
        </w:rPr>
        <w:t/>
      </w:r>
      <w:r w:rsidRPr="00A67563">
        <w:rPr>
          <w:color w:themeColor="text1" w:val="000000"/>
          <w:sz w:val="24"/>
        </w:rPr>
        <w:t/>
      </w:r>
      <w:r w:rsidRPr="00A67563">
        <w:rPr>
          <w:color w:themeColor="text1" w:val="000000"/>
          <w:kern w:val="0"/>
          <w:sz w:val="24"/>
        </w:rPr>
        <w:t>本报告期，本基金均存在连续六十个工作日基金资产净值低于五千万元的情形。基金资产净值的下滑主要受市场环境影响，基金管理人已按照法律法规及《基金合同》的有关规定向中国证监会报送《关于易方达香港恒生综合小型股指数证券投资基金（LOF）终止基金合同并召开基金份额持有人大会的请示》，拟召开基金份额持有人大会审议终止本基金《基金合同》等事项。请投资者关注相关风险。</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§5  </w:t>
      </w:r>
      <w:r w:rsidRPr="00A67563">
        <w:rPr>
          <w:color w:themeColor="text1" w:val="000000"/>
          <w:kern w:val="0"/>
          <w:sz w:val="24"/>
          <w:szCs w:val="24"/>
        </w:rPr>
        <w:t>投资组合报告</w:t>
      </w: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5.1 </w:t>
      </w:r>
      <w:r w:rsidRPr="00A67563">
        <w:rPr>
          <w:b/>
          <w:color w:themeColor="text1" w:val="000000"/>
          <w:kern w:val="0"/>
          <w:sz w:val="24"/>
        </w:rPr>
        <w:t>报告期末基金资产组合情况</w:t>
      </w:r>
    </w:p>
    <w:tbl>
      <w:tblPr>
        <w:tblW w:type="dxa" w:w="9498"/>
        <w:jc w:val="center"/>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51"/>
        <w:gridCol w:w="4253"/>
        <w:gridCol w:w="2835"/>
        <w:gridCol w:w="1559"/>
      </w:tblGrid>
      <w:tr w:rsidR="008277FF" w:rsidRPr="00A67563" w:rsidTr="006C750F">
        <w:trPr>
          <w:jc w:val="center"/>
        </w:trPr>
        <w:tc>
          <w:tcPr>
            <w:tcW w:type="dxa" w:w="851"/>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序号</w:t>
            </w:r>
          </w:p>
        </w:tc>
        <w:tc>
          <w:tcPr>
            <w:tcW w:type="dxa" w:w="4253"/>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项目</w:t>
            </w:r>
            <w:r w:rsidR="00304106" w:rsidRPr="00A67563">
              <w:rPr>
                <w:color w:themeColor="text1" w:val="000000"/>
                <w:sz w:val="24"/>
              </w:rPr>
              <w:t/>
            </w:r>
            <w:proofErr w:type="spellStart"/>
            <w:r w:rsidR="00304106" w:rsidRPr="00A67563">
              <w:rPr>
                <w:color w:themeColor="text1" w:val="000000"/>
                <w:sz w:val="24"/>
              </w:rPr>
              <w:t/>
            </w:r>
            <w:proofErr w:type="spellEnd"/>
            <w:r w:rsidR="00304106" w:rsidRPr="00A67563">
              <w:rPr>
                <w:color w:themeColor="text1" w:val="000000"/>
                <w:sz w:val="24"/>
              </w:rPr>
              <w:t/>
            </w:r>
          </w:p>
        </w:tc>
        <w:tc>
          <w:tcPr>
            <w:tcW w:type="dxa" w:w="2835"/>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金额</w:t>
            </w:r>
            <w:r w:rsidRPr="00A67563">
              <w:rPr>
                <w:color w:themeColor="text1" w:val="000000"/>
                <w:sz w:val="24"/>
              </w:rPr>
              <w:t>(</w:t>
            </w:r>
            <w:r w:rsidR="002655D4" w:rsidRPr="00A67563">
              <w:rPr>
                <w:color w:themeColor="text1" w:val="000000"/>
                <w:sz w:val="24"/>
              </w:rPr>
              <w:t>人民币</w:t>
            </w:r>
            <w:r w:rsidRPr="00A67563">
              <w:rPr>
                <w:color w:themeColor="text1" w:val="000000"/>
                <w:sz w:val="24"/>
              </w:rPr>
              <w:t>元</w:t>
            </w:r>
            <w:r w:rsidRPr="00A67563">
              <w:rPr>
                <w:color w:themeColor="text1" w:val="000000"/>
                <w:sz w:val="24"/>
              </w:rPr>
              <w:t>)</w:t>
            </w:r>
          </w:p>
        </w:tc>
        <w:tc>
          <w:tcPr>
            <w:tcW w:type="dxa" w:w="1559"/>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占基金总资产的比例</w:t>
            </w: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1</w:t>
            </w:r>
          </w:p>
        </w:tc>
        <w:tc>
          <w:tcPr>
            <w:tcW w:type="dxa" w:w="4253"/>
            <w:shd w:color="auto" w:fill="auto" w:val="clear"/>
            <w:vAlign w:val="center"/>
          </w:tcPr>
          <w:p w:rsidP="00877D98" w:rsidR="00363E15" w:rsidRDefault="00363E15" w:rsidRPr="00A67563">
            <w:pPr>
              <w:spacing w:before="29" w:line="360" w:lineRule="auto"/>
              <w:ind w:left="17"/>
              <w:rPr>
                <w:color w:themeColor="text1" w:val="000000"/>
                <w:sz w:val="24"/>
              </w:rPr>
            </w:pPr>
            <w:r w:rsidRPr="00A67563">
              <w:rPr>
                <w:color w:themeColor="text1" w:val="000000"/>
                <w:sz w:val="24"/>
              </w:rPr>
              <w:t>权益投资</w:t>
            </w:r>
          </w:p>
        </w:tc>
        <w:tc>
          <w:tcPr>
            <w:tcW w:type="dxa" w:w="2835"/>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21,826,559.71</w:t>
            </w:r>
          </w:p>
        </w:tc>
        <w:tc>
          <w:tcPr>
            <w:tcW w:type="dxa" w:w="1559"/>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lastRenderedPageBreak/>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91.13</w:t>
            </w:r>
          </w:p>
        </w:tc>
      </w:tr>
      <w:tr w:rsidR="008277FF" w:rsidRPr="00A67563" w:rsidTr="006C750F">
        <w:trPr>
          <w:jc w:val="center"/>
        </w:trPr>
        <w:tc>
          <w:tcPr>
            <w:tcW w:type="dxa" w:w="851"/>
            <w:shd w:color="auto" w:fill="auto" w:val="clear"/>
            <w:vAlign w:val="center"/>
          </w:tcPr>
          <w:p w:rsidP="00B918B8" w:rsidR="00363E15" w:rsidRDefault="00363E15" w:rsidRPr="00A67563">
            <w:pPr>
              <w:spacing w:before="29" w:line="360" w:lineRule="auto"/>
              <w:ind w:left="17"/>
              <w:jc w:val="center"/>
              <w:rPr>
                <w:color w:themeColor="text1" w:val="000000"/>
                <w:sz w:val="24"/>
              </w:rPr>
            </w:pPr>
          </w:p>
        </w:tc>
        <w:tc>
          <w:tcPr>
            <w:tcW w:type="dxa" w:w="4253"/>
            <w:shd w:color="auto" w:fill="auto" w:val="clear"/>
            <w:vAlign w:val="center"/>
          </w:tcPr>
          <w:p w:rsidP="00877D98" w:rsidR="00363E15" w:rsidRDefault="00363E15" w:rsidRPr="00A67563">
            <w:pPr>
              <w:spacing w:before="29" w:line="360" w:lineRule="auto"/>
              <w:ind w:left="17"/>
              <w:rPr>
                <w:color w:themeColor="text1" w:val="000000"/>
                <w:sz w:val="24"/>
              </w:rPr>
            </w:pPr>
            <w:r w:rsidRPr="00A67563">
              <w:rPr>
                <w:color w:themeColor="text1" w:val="000000"/>
                <w:sz w:val="24"/>
              </w:rPr>
              <w:t>其中：</w:t>
            </w:r>
            <w:r w:rsidR="00E462F4" w:rsidRPr="00A67563">
              <w:rPr>
                <w:color w:themeColor="text1" w:val="000000"/>
                <w:sz w:val="24"/>
              </w:rPr>
              <w:t>普通股</w:t>
            </w:r>
          </w:p>
        </w:tc>
        <w:tc>
          <w:tcPr>
            <w:tcW w:type="dxa" w:w="2835"/>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t/>
            </w:r>
            <w:proofErr w:type="spellStart"/>
            <w:r w:rsidR="008B0A73" w:rsidRPr="00A67563">
              <w:rPr>
                <w:color w:themeColor="text1" w:val="000000"/>
                <w:sz w:val="24"/>
              </w:rPr>
              <w:t/>
            </w:r>
            <w:proofErr w:type="spellEnd"/>
            <w:r w:rsidRPr="00A67563">
              <w:rPr>
                <w:color w:themeColor="text1" w:val="000000"/>
                <w:sz w:val="24"/>
              </w:rPr>
              <w:t>21,560,533.29</w:t>
            </w:r>
          </w:p>
        </w:tc>
        <w:tc>
          <w:tcPr>
            <w:tcW w:type="dxa" w:w="1559"/>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t/>
            </w:r>
            <w:proofErr w:type="spellStart"/>
            <w:r w:rsidR="008620ED" w:rsidRPr="00A67563">
              <w:rPr>
                <w:color w:themeColor="text1" w:val="000000"/>
                <w:sz w:val="24"/>
              </w:rPr>
              <w:t/>
            </w:r>
            <w:proofErr w:type="spellEnd"/>
            <w:r w:rsidRPr="00A67563">
              <w:rPr>
                <w:color w:themeColor="text1" w:val="000000"/>
                <w:sz w:val="24"/>
              </w:rPr>
              <w:t>90.02</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spacing w:before="29" w:line="360" w:lineRule="auto"/>
              <w:ind w:firstLine="720" w:firstLineChars="300" w:left="17"/>
              <w:rPr>
                <w:color w:themeColor="text1" w:val="000000"/>
                <w:sz w:val="24"/>
              </w:rPr>
            </w:pPr>
            <w:r w:rsidRPr="00A67563">
              <w:rPr>
                <w:color w:themeColor="text1" w:val="000000"/>
                <w:sz w:val="24"/>
              </w:rPr>
              <w:t>存托凭证</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CE4499" w:rsidRDefault="00CE4499" w:rsidRPr="00A67563">
            <w:pPr>
              <w:spacing w:before="29" w:line="360" w:lineRule="auto"/>
              <w:ind w:left="17"/>
              <w:jc w:val="center"/>
              <w:rPr>
                <w:color w:themeColor="text1" w:val="000000"/>
                <w:sz w:val="24"/>
              </w:rPr>
            </w:pPr>
          </w:p>
        </w:tc>
        <w:tc>
          <w:tcPr>
            <w:tcW w:type="dxa" w:w="4253"/>
            <w:shd w:color="auto" w:fill="auto" w:val="clear"/>
            <w:vAlign w:val="center"/>
          </w:tcPr>
          <w:p w:rsidP="00877D98" w:rsidR="00CE4499" w:rsidRDefault="00CE4499" w:rsidRPr="00A67563">
            <w:pPr>
              <w:spacing w:before="29" w:line="360" w:lineRule="auto"/>
              <w:ind w:firstLine="720" w:firstLineChars="300" w:left="17"/>
              <w:rPr>
                <w:color w:themeColor="text1" w:val="000000"/>
                <w:sz w:val="24"/>
              </w:rPr>
            </w:pPr>
            <w:r w:rsidRPr="00A67563">
              <w:rPr>
                <w:color w:themeColor="text1" w:val="000000"/>
                <w:sz w:val="24"/>
              </w:rPr>
              <w:t>优先股</w:t>
            </w:r>
          </w:p>
        </w:tc>
        <w:tc>
          <w:tcPr>
            <w:tcW w:type="dxa" w:w="2835"/>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CE4499" w:rsidRDefault="00CE4499" w:rsidRPr="00A67563">
            <w:pPr>
              <w:spacing w:before="29" w:line="360" w:lineRule="auto"/>
              <w:ind w:left="17"/>
              <w:jc w:val="center"/>
              <w:rPr>
                <w:color w:themeColor="text1" w:val="000000"/>
                <w:sz w:val="24"/>
              </w:rPr>
            </w:pPr>
          </w:p>
        </w:tc>
        <w:tc>
          <w:tcPr>
            <w:tcW w:type="dxa" w:w="4253"/>
            <w:shd w:color="auto" w:fill="auto" w:val="clear"/>
            <w:vAlign w:val="center"/>
          </w:tcPr>
          <w:p w:rsidP="00877D98" w:rsidR="00CE4499" w:rsidRDefault="00CE4499" w:rsidRPr="00A67563">
            <w:pPr>
              <w:spacing w:before="29" w:line="360" w:lineRule="auto"/>
              <w:ind w:firstLine="720" w:firstLineChars="300" w:left="17"/>
              <w:rPr>
                <w:color w:themeColor="text1" w:val="000000"/>
                <w:sz w:val="24"/>
              </w:rPr>
            </w:pPr>
            <w:r w:rsidRPr="00A67563">
              <w:rPr>
                <w:color w:themeColor="text1" w:val="000000"/>
                <w:sz w:val="24"/>
              </w:rPr>
              <w:t>房地产信托</w:t>
            </w:r>
          </w:p>
        </w:tc>
        <w:tc>
          <w:tcPr>
            <w:tcW w:type="dxa" w:w="2835"/>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266,026.42</w:t>
            </w:r>
          </w:p>
        </w:tc>
        <w:tc>
          <w:tcPr>
            <w:tcW w:type="dxa" w:w="1559"/>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1.11</w:t>
            </w:r>
          </w:p>
        </w:tc>
      </w:tr>
      <w:tr w:rsidR="008277FF" w:rsidRPr="00A67563" w:rsidTr="006C750F">
        <w:trPr>
          <w:jc w:val="center"/>
        </w:trPr>
        <w:tc>
          <w:tcPr>
            <w:tcW w:type="dxa" w:w="851"/>
            <w:shd w:color="auto" w:fill="auto" w:val="clear"/>
            <w:vAlign w:val="center"/>
          </w:tcPr>
          <w:p w:rsidP="00877D98" w:rsidR="00E462F4" w:rsidRDefault="00E462F4" w:rsidRPr="00A67563">
            <w:pPr>
              <w:adjustRightInd w:val="0"/>
              <w:snapToGrid w:val="0"/>
              <w:spacing w:line="400" w:lineRule="exact"/>
              <w:jc w:val="center"/>
              <w:rPr>
                <w:color w:themeColor="text1" w:val="000000"/>
                <w:sz w:val="24"/>
              </w:rPr>
            </w:pPr>
            <w:r w:rsidRPr="00A67563">
              <w:rPr>
                <w:color w:themeColor="text1" w:val="000000"/>
                <w:sz w:val="24"/>
              </w:rPr>
              <w:lastRenderedPageBreak/>
              <w:t>2</w:t>
            </w:r>
          </w:p>
        </w:tc>
        <w:tc>
          <w:tcPr>
            <w:tcW w:type="dxa" w:w="4253"/>
            <w:shd w:color="auto" w:fill="auto" w:val="clear"/>
            <w:vAlign w:val="center"/>
          </w:tcPr>
          <w:p w:rsidP="00877D98" w:rsidR="00E462F4" w:rsidRDefault="00E462F4" w:rsidRPr="00A67563">
            <w:pPr>
              <w:adjustRightInd w:val="0"/>
              <w:snapToGrid w:val="0"/>
              <w:spacing w:line="400" w:lineRule="exact"/>
              <w:rPr>
                <w:color w:themeColor="text1" w:val="000000"/>
                <w:sz w:val="24"/>
              </w:rPr>
            </w:pPr>
            <w:r w:rsidRPr="00A67563">
              <w:rPr>
                <w:color w:themeColor="text1" w:val="000000"/>
                <w:sz w:val="24"/>
              </w:rPr>
              <w:t>基金投资</w:t>
            </w:r>
          </w:p>
        </w:tc>
        <w:tc>
          <w:tcPr>
            <w:tcW w:type="dxa" w:w="2835"/>
            <w:shd w:color="auto" w:fill="auto" w:val="clear"/>
            <w:vAlign w:val="center"/>
          </w:tcPr>
          <w:p w:rsidP="00BF1DD5" w:rsidR="00E462F4" w:rsidRDefault="006C4E16"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C4E16"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r w:rsidRPr="00A67563">
              <w:rPr>
                <w:color w:themeColor="text1" w:val="000000"/>
                <w:sz w:val="24"/>
              </w:rPr>
              <w:t>3</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固定收益投资</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r w:rsidR="00900F02" w:rsidRPr="00A67563">
              <w:rPr>
                <w:color w:themeColor="text1" w:val="000000"/>
                <w:sz w:val="24"/>
              </w:rPr>
              <w:t/>
            </w: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其中：债券</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utoSpaceDE w:val="0"/>
              <w:autoSpaceDN w:val="0"/>
              <w:adjustRightInd w:val="0"/>
              <w:spacing w:before="29" w:line="360" w:lineRule="auto"/>
              <w:ind w:firstLine="720" w:firstLineChars="300" w:left="17"/>
              <w:rPr>
                <w:color w:themeColor="text1" w:val="000000"/>
                <w:sz w:val="24"/>
              </w:rPr>
            </w:pPr>
            <w:r w:rsidRPr="00A67563">
              <w:rPr>
                <w:color w:themeColor="text1" w:val="000000"/>
                <w:sz w:val="24"/>
              </w:rPr>
              <w:t>资产支持证券</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r w:rsidRPr="00A67563">
              <w:rPr>
                <w:color w:themeColor="text1" w:val="000000"/>
                <w:sz w:val="24"/>
              </w:rPr>
              <w:t>4</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金融衍生品投资</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djustRightInd w:val="0"/>
              <w:snapToGrid w:val="0"/>
              <w:spacing w:line="400" w:lineRule="exact"/>
              <w:rPr>
                <w:color w:themeColor="text1" w:val="000000"/>
                <w:sz w:val="24"/>
              </w:rPr>
            </w:pPr>
            <w:r w:rsidRPr="00A67563">
              <w:rPr>
                <w:color w:themeColor="text1" w:val="000000"/>
                <w:sz w:val="24"/>
              </w:rPr>
              <w:t>其中：远期</w:t>
            </w:r>
          </w:p>
        </w:tc>
        <w:tc>
          <w:tcPr>
            <w:tcW w:type="dxa" w:w="2835"/>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Del="00455464" w:rsidP="00877D98" w:rsidR="00E462F4" w:rsidRDefault="00E462F4" w:rsidRPr="00A67563">
            <w:pPr>
              <w:adjustRightInd w:val="0"/>
              <w:snapToGrid w:val="0"/>
              <w:spacing w:line="400" w:lineRule="exact"/>
              <w:ind w:firstLine="720" w:firstLineChars="300"/>
              <w:rPr>
                <w:color w:themeColor="text1" w:val="000000"/>
                <w:sz w:val="24"/>
              </w:rPr>
            </w:pPr>
            <w:r w:rsidRPr="00A67563">
              <w:rPr>
                <w:color w:themeColor="text1" w:val="000000"/>
                <w:sz w:val="24"/>
              </w:rPr>
              <w:t>期货</w:t>
            </w:r>
          </w:p>
        </w:tc>
        <w:tc>
          <w:tcPr>
            <w:tcW w:type="dxa" w:w="2835"/>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djustRightInd w:val="0"/>
              <w:snapToGrid w:val="0"/>
              <w:spacing w:line="400" w:lineRule="exact"/>
              <w:ind w:firstLine="720" w:firstLineChars="300"/>
              <w:rPr>
                <w:color w:themeColor="text1" w:val="000000"/>
                <w:sz w:val="24"/>
              </w:rPr>
            </w:pPr>
            <w:r w:rsidRPr="00A67563">
              <w:rPr>
                <w:color w:themeColor="text1" w:val="000000"/>
                <w:sz w:val="24"/>
              </w:rPr>
              <w:t>期权</w:t>
            </w:r>
          </w:p>
        </w:tc>
        <w:tc>
          <w:tcPr>
            <w:tcW w:type="dxa" w:w="2835"/>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djustRightInd w:val="0"/>
              <w:snapToGrid w:val="0"/>
              <w:spacing w:line="400" w:lineRule="exact"/>
              <w:ind w:firstLine="715" w:firstLineChars="298"/>
              <w:rPr>
                <w:color w:themeColor="text1" w:val="000000"/>
                <w:sz w:val="24"/>
              </w:rPr>
            </w:pPr>
            <w:r w:rsidRPr="00A67563">
              <w:rPr>
                <w:color w:themeColor="text1" w:val="000000"/>
                <w:sz w:val="24"/>
              </w:rPr>
              <w:t>权证</w:t>
            </w:r>
          </w:p>
        </w:tc>
        <w:tc>
          <w:tcPr>
            <w:tcW w:type="dxa" w:w="2835"/>
            <w:shd w:color="auto" w:fill="auto" w:val="clear"/>
            <w:vAlign w:val="center"/>
          </w:tcPr>
          <w:p w:rsidP="00877D98"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877D98"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r w:rsidRPr="00A67563">
              <w:rPr>
                <w:color w:themeColor="text1" w:val="000000"/>
                <w:sz w:val="24"/>
              </w:rPr>
              <w:lastRenderedPageBreak/>
              <w:t>5</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买入返售金融资产</w:t>
            </w:r>
          </w:p>
        </w:tc>
        <w:tc>
          <w:tcPr>
            <w:tcW w:type="dxa" w:w="2835"/>
            <w:shd w:color="auto" w:fill="auto" w:val="clear"/>
            <w:vAlign w:val="center"/>
          </w:tcPr>
          <w:p w:rsidP="00877D98"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877D98"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其中：买断式回购的买入返售金融资产</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adjustRightInd w:val="0"/>
              <w:snapToGrid w:val="0"/>
              <w:spacing w:line="400" w:lineRule="exact"/>
              <w:jc w:val="center"/>
              <w:rPr>
                <w:color w:themeColor="text1" w:val="000000"/>
                <w:sz w:val="24"/>
              </w:rPr>
            </w:pPr>
            <w:r w:rsidRPr="00A67563">
              <w:rPr>
                <w:color w:themeColor="text1" w:val="000000"/>
                <w:sz w:val="24"/>
              </w:rPr>
              <w:t>6</w:t>
            </w:r>
          </w:p>
        </w:tc>
        <w:tc>
          <w:tcPr>
            <w:tcW w:type="dxa" w:w="4253"/>
            <w:shd w:color="auto" w:fill="auto" w:val="clear"/>
            <w:vAlign w:val="center"/>
          </w:tcPr>
          <w:p w:rsidP="00877D98" w:rsidR="00E462F4" w:rsidRDefault="00E462F4" w:rsidRPr="00A67563">
            <w:pPr>
              <w:adjustRightInd w:val="0"/>
              <w:snapToGrid w:val="0"/>
              <w:spacing w:line="400" w:lineRule="exact"/>
              <w:rPr>
                <w:color w:themeColor="text1" w:val="000000"/>
                <w:sz w:val="24"/>
              </w:rPr>
            </w:pPr>
            <w:r w:rsidRPr="00A67563">
              <w:rPr>
                <w:color w:themeColor="text1" w:val="000000"/>
                <w:sz w:val="24"/>
              </w:rPr>
              <w:t>货币市场工具</w:t>
            </w:r>
          </w:p>
        </w:tc>
        <w:tc>
          <w:tcPr>
            <w:tcW w:type="dxa" w:w="2835"/>
            <w:shd w:color="auto" w:fill="auto" w:val="clear"/>
            <w:vAlign w:val="center"/>
          </w:tcPr>
          <w:p w:rsidP="00BF1DD5" w:rsidR="00E462F4" w:rsidRDefault="00CE7FC6"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CE7FC6"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r w:rsidRPr="00A67563">
              <w:rPr>
                <w:color w:themeColor="text1" w:val="000000"/>
                <w:sz w:val="24"/>
              </w:rPr>
              <w:t>7</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银行存款和结算备付金合计</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1,845,662.72</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7.71</w:t>
            </w:r>
          </w:p>
        </w:tc>
      </w:tr>
      <w:tr w:rsidR="008277FF" w:rsidRPr="00A67563" w:rsidTr="006C750F">
        <w:trPr>
          <w:jc w:val="center"/>
        </w:trPr>
        <w:tc>
          <w:tcPr>
            <w:tcW w:type="dxa" w:w="851"/>
            <w:shd w:color="auto" w:fill="auto" w:val="clear"/>
            <w:vAlign w:val="center"/>
          </w:tcPr>
          <w:p w:rsidP="00466B17" w:rsidR="00E462F4" w:rsidRDefault="00E462F4" w:rsidRPr="00A67563">
            <w:pPr>
              <w:spacing w:before="29" w:line="360" w:lineRule="auto"/>
              <w:ind w:left="17"/>
              <w:jc w:val="center"/>
              <w:rPr>
                <w:color w:themeColor="text1" w:val="000000"/>
                <w:sz w:val="24"/>
              </w:rPr>
            </w:pPr>
            <w:r w:rsidRPr="00A67563">
              <w:rPr>
                <w:color w:themeColor="text1" w:val="000000"/>
                <w:sz w:val="24"/>
              </w:rPr>
              <w:t/>
            </w:r>
            <w:r w:rsidR="00466B17" w:rsidRPr="00A67563">
              <w:rPr>
                <w:color w:themeColor="text1" w:val="000000"/>
                <w:sz w:val="24"/>
              </w:rPr>
              <w:t/>
            </w:r>
            <w:r w:rsidRPr="00A67563">
              <w:rPr>
                <w:color w:themeColor="text1" w:val="000000"/>
                <w:sz w:val="24"/>
              </w:rPr>
              <w:t>8</w:t>
            </w:r>
          </w:p>
        </w:tc>
        <w:tc>
          <w:tcPr>
            <w:tcW w:type="dxa" w:w="4253"/>
            <w:shd w:color="auto" w:fill="auto" w:val="clear"/>
            <w:vAlign w:val="center"/>
          </w:tcPr>
          <w:p w:rsidP="00797DD2" w:rsidR="00E462F4" w:rsidRDefault="001457F4" w:rsidRPr="00A67563">
            <w:pPr>
              <w:rPr>
                <w:color w:themeColor="text1" w:val="000000"/>
                <w:sz w:val="24"/>
              </w:rPr>
            </w:pPr>
            <w:r>
              <w:rPr>
                <w:color w:themeColor="text1" w:val="000000"/>
                <w:sz w:val="24"/>
              </w:rPr>
              <w:t>其他</w:t>
            </w:r>
            <w:r w:rsidR="00E462F4" w:rsidRPr="00A67563">
              <w:rPr>
                <w:color w:themeColor="text1" w:val="000000"/>
                <w:sz w:val="24"/>
              </w:rPr>
              <w:t>资产</w:t>
            </w:r>
          </w:p>
        </w:tc>
        <w:tc>
          <w:tcPr>
            <w:tcW w:type="dxa" w:w="2835"/>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279,670.79</w:t>
            </w:r>
          </w:p>
        </w:tc>
        <w:tc>
          <w:tcPr>
            <w:tcW w:type="dxa" w:w="1559"/>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1.17</w:t>
            </w:r>
          </w:p>
        </w:tc>
      </w:tr>
      <w:tr w:rsidR="008277FF" w:rsidRPr="00A67563" w:rsidTr="006C750F">
        <w:trPr>
          <w:jc w:val="center"/>
        </w:trPr>
        <w:tc>
          <w:tcPr>
            <w:tcW w:type="dxa" w:w="851"/>
            <w:shd w:color="auto" w:fill="auto" w:val="clear"/>
            <w:vAlign w:val="center"/>
          </w:tcPr>
          <w:p w:rsidP="00466B17" w:rsidR="00E462F4" w:rsidRDefault="00E462F4" w:rsidRPr="00A67563">
            <w:pPr>
              <w:spacing w:before="29" w:line="360" w:lineRule="auto"/>
              <w:ind w:left="17"/>
              <w:jc w:val="center"/>
              <w:rPr>
                <w:color w:themeColor="text1" w:val="000000"/>
                <w:sz w:val="24"/>
              </w:rPr>
            </w:pPr>
            <w:r w:rsidRPr="00A67563">
              <w:rPr>
                <w:color w:themeColor="text1" w:val="000000"/>
                <w:sz w:val="24"/>
              </w:rPr>
              <w:t/>
            </w:r>
            <w:r w:rsidR="00466B17" w:rsidRPr="00A67563">
              <w:rPr>
                <w:color w:themeColor="text1" w:val="000000"/>
                <w:sz w:val="24"/>
              </w:rPr>
              <w:t/>
            </w:r>
            <w:r w:rsidRPr="00A67563">
              <w:rPr>
                <w:color w:themeColor="text1" w:val="000000"/>
                <w:sz w:val="24"/>
              </w:rPr>
              <w:t>9</w:t>
            </w:r>
          </w:p>
        </w:tc>
        <w:tc>
          <w:tcPr>
            <w:tcW w:type="dxa" w:w="4253"/>
            <w:shd w:color="auto" w:fill="auto" w:val="clear"/>
            <w:vAlign w:val="center"/>
          </w:tcPr>
          <w:p w:rsidP="00797DD2" w:rsidR="00E462F4" w:rsidRDefault="00E462F4" w:rsidRPr="00A67563">
            <w:pPr>
              <w:rPr>
                <w:color w:themeColor="text1" w:val="000000"/>
                <w:sz w:val="24"/>
              </w:rPr>
            </w:pPr>
            <w:r w:rsidRPr="00A67563">
              <w:rPr>
                <w:color w:themeColor="text1" w:val="000000"/>
                <w:sz w:val="24"/>
              </w:rPr>
              <w:t>合计</w:t>
            </w:r>
          </w:p>
        </w:tc>
        <w:tc>
          <w:tcPr>
            <w:tcW w:type="dxa" w:w="2835"/>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23,951,893.22</w:t>
            </w:r>
          </w:p>
        </w:tc>
        <w:tc>
          <w:tcPr>
            <w:tcW w:type="dxa" w:w="1559"/>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100.00</w:t>
            </w:r>
          </w:p>
        </w:tc>
      </w:tr>
    </w:tbl>
    <w:p w:rsidP="00EC4BA3" w:rsidR="0076518F" w:rsidRDefault="00A82C02"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2</w:t>
      </w:r>
      <w:r w:rsidRPr="00A67563">
        <w:rPr>
          <w:b/>
          <w:color w:themeColor="text1" w:val="000000"/>
          <w:kern w:val="0"/>
          <w:sz w:val="24"/>
        </w:rPr>
        <w:t xml:space="preserve"> </w:t>
      </w:r>
      <w:r w:rsidR="0076518F" w:rsidRPr="00A67563">
        <w:rPr>
          <w:b/>
          <w:color w:themeColor="text1" w:val="000000"/>
          <w:kern w:val="0"/>
          <w:sz w:val="24"/>
        </w:rPr>
        <w:t>报告期末在各个国家（地区）证券市场的股票及存托凭证投资分布</w:t>
      </w:r>
    </w:p>
    <w:tbl>
      <w:tblPr>
        <w:tblStyle w:val="af7"/>
        <w:tblW w:type="dxa" w:w="8604"/>
        <w:jc w:val="center"/>
        <w:tblLayout w:type="fixed"/>
        <w:tblLook w:firstColumn="1" w:firstRow="1" w:lastColumn="0" w:lastRow="0" w:noHBand="0" w:noVBand="1" w:val="04A0"/>
      </w:tblPr>
      <w:tblGrid>
        <w:gridCol w:w="2410"/>
        <w:gridCol w:w="3118"/>
        <w:gridCol w:w="3076"/>
      </w:tblGrid>
      <w:tr w:rsidR="008277FF" w:rsidRPr="00A67563" w:rsidTr="002C042C">
        <w:trPr>
          <w:jc w:val="center"/>
        </w:trPr>
        <w:tc>
          <w:tcPr>
            <w:tcW w:type="dxa" w:w="2410"/>
            <w:vAlign w:val="center"/>
          </w:tcPr>
          <w:p w:rsidP="00797DD2" w:rsidR="002C042C" w:rsidRDefault="002C042C"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国家（地区）</w:t>
            </w:r>
            <w:r w:rsidR="00A421B6" w:rsidRPr="00A67563">
              <w:rPr>
                <w:color w:themeColor="text1" w:val="000000"/>
                <w:sz w:val="24"/>
              </w:rPr>
              <w:t/>
            </w:r>
            <w:proofErr w:type="spellStart"/>
            <w:r w:rsidR="00A421B6" w:rsidRPr="00A67563">
              <w:rPr>
                <w:color w:themeColor="text1" w:val="000000"/>
                <w:sz w:val="24"/>
              </w:rPr>
              <w:t/>
            </w:r>
            <w:proofErr w:type="spellEnd"/>
            <w:r w:rsidR="00A421B6" w:rsidRPr="00A67563">
              <w:rPr>
                <w:color w:themeColor="text1" w:val="000000"/>
                <w:sz w:val="24"/>
              </w:rPr>
              <w:t/>
            </w:r>
          </w:p>
        </w:tc>
        <w:tc>
          <w:tcPr>
            <w:tcW w:type="dxa" w:w="3118"/>
            <w:vAlign w:val="center"/>
          </w:tcPr>
          <w:p w:rsidP="00797DD2" w:rsidR="002C042C" w:rsidRDefault="002C042C"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公允价值</w:t>
            </w:r>
            <w:r w:rsidRPr="00A67563">
              <w:rPr>
                <w:color w:themeColor="text1" w:val="000000"/>
                <w:kern w:val="0"/>
                <w:sz w:val="24"/>
              </w:rPr>
              <w:t>(</w:t>
            </w:r>
            <w:r w:rsidRPr="00A67563">
              <w:rPr>
                <w:color w:themeColor="text1" w:val="000000"/>
                <w:kern w:val="0"/>
                <w:sz w:val="24"/>
              </w:rPr>
              <w:t>人民币元</w:t>
            </w:r>
            <w:r w:rsidRPr="00A67563">
              <w:rPr>
                <w:color w:themeColor="text1" w:val="000000"/>
                <w:kern w:val="0"/>
                <w:sz w:val="24"/>
              </w:rPr>
              <w:t>)</w:t>
            </w:r>
          </w:p>
        </w:tc>
        <w:tc>
          <w:tcPr>
            <w:tcW w:type="dxa" w:w="3076"/>
            <w:vAlign w:val="center"/>
          </w:tcPr>
          <w:p w:rsidP="00797DD2" w:rsidR="002C042C" w:rsidRDefault="002C042C"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占基金资产净值比例（％）</w:t>
            </w:r>
          </w:p>
        </w:tc>
      </w:tr>
      <w:tr>
        <w:tc>
          <w:tcPr>
            <w:vAlign w:val="center"/>
          </w:tcPr>
          <w:p>
            <w:pPr>
              <w:jc w:val="left"/>
            </w:pPr>
            <w:r>
              <w:rPr>
                <w:color w:themeColor="text1" w:val="000000"/>
                <w:sz w:val="24"/>
              </w:rPr>
              <w:t>中国香港</w:t>
            </w:r>
          </w:p>
        </w:tc>
        <w:tc>
          <w:tcPr>
            <w:vAlign w:val="center"/>
          </w:tcPr>
          <w:p>
            <w:pPr>
              <w:jc w:val="right"/>
            </w:pPr>
            <w:r>
              <w:rPr>
                <w:color w:themeColor="text1" w:val="000000"/>
                <w:sz w:val="24"/>
              </w:rPr>
              <w:t>21,826,559.71</w:t>
            </w:r>
          </w:p>
        </w:tc>
        <w:tc>
          <w:tcPr>
            <w:vAlign w:val="center"/>
          </w:tcPr>
          <w:p>
            <w:pPr>
              <w:jc w:val="right"/>
            </w:pPr>
            <w:r>
              <w:rPr>
                <w:color w:themeColor="text1" w:val="000000"/>
                <w:sz w:val="24"/>
              </w:rPr>
              <w:t>93.03</w:t>
            </w:r>
          </w:p>
        </w:tc>
      </w:tr>
      <w:tr w:rsidR="008277FF" w:rsidRPr="00A67563" w:rsidTr="00877D98">
        <w:trPr>
          <w:jc w:val="center"/>
        </w:trPr>
        <w:tc>
          <w:tcPr>
            <w:tcW w:type="dxa" w:w="2410"/>
            <w:vAlign w:val="center"/>
          </w:tcPr>
          <w:p w:rsidP="00877D98" w:rsidR="002C042C" w:rsidRDefault="002C042C" w:rsidRPr="00A67563">
            <w:pPr>
              <w:autoSpaceDE w:val="0"/>
              <w:autoSpaceDN w:val="0"/>
              <w:adjustRightInd w:val="0"/>
              <w:spacing w:before="29" w:line="360" w:lineRule="auto"/>
              <w:rPr>
                <w:color w:themeColor="text1" w:val="000000"/>
                <w:sz w:val="24"/>
              </w:rPr>
            </w:pPr>
            <w:r w:rsidRPr="00A67563">
              <w:rPr>
                <w:color w:themeColor="text1" w:val="000000"/>
                <w:sz w:val="24"/>
              </w:rPr>
              <w:t>合计</w:t>
            </w:r>
          </w:p>
        </w:tc>
        <w:tc>
          <w:tcPr>
            <w:tcW w:type="dxa" w:w="3118"/>
            <w:vAlign w:val="center"/>
          </w:tcPr>
          <w:p w:rsidP="00877D98" w:rsidR="002C042C" w:rsidRDefault="002C042C" w:rsidRPr="00A67563">
            <w:pPr>
              <w:autoSpaceDE w:val="0"/>
              <w:autoSpaceDN w:val="0"/>
              <w:adjustRightInd w:val="0"/>
              <w:spacing w:before="29" w:line="360" w:lineRule="auto"/>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21,826,559.71</w:t>
            </w:r>
          </w:p>
        </w:tc>
        <w:tc>
          <w:tcPr>
            <w:tcW w:type="dxa" w:w="3076"/>
            <w:vAlign w:val="center"/>
          </w:tcPr>
          <w:p w:rsidP="00877D98" w:rsidR="002C042C" w:rsidRDefault="002C042C" w:rsidRPr="00A67563">
            <w:pPr>
              <w:autoSpaceDE w:val="0"/>
              <w:autoSpaceDN w:val="0"/>
              <w:adjustRightInd w:val="0"/>
              <w:spacing w:before="29" w:line="360" w:lineRule="auto"/>
              <w:jc w:val="right"/>
              <w:rPr>
                <w:color w:themeColor="text1" w:val="000000"/>
                <w:sz w:val="24"/>
              </w:rPr>
            </w:pPr>
            <w:r w:rsidRPr="00A67563">
              <w:rPr>
                <w:color w:themeColor="text1" w:val="000000"/>
                <w:sz w:val="24"/>
              </w:rPr>
              <w:t/>
            </w:r>
            <w:r w:rsidRPr="00A67563">
              <w:rPr>
                <w:color w:themeColor="text1" w:val="000000"/>
                <w:sz w:val="24"/>
              </w:rPr>
              <w:lastRenderedPageBreak/>
              <w:t>93.03</w:t>
            </w:r>
          </w:p>
        </w:tc>
      </w:tr>
    </w:tbl>
    <w:p>
      <w:pPr>
        <w:autoSpaceDE w:val="0"/>
        <w:autoSpaceDN w:val="0"/>
        <w:adjustRightInd w:val="0"/>
        <w:spacing w:line="360" w:lineRule="auto"/>
        <w:ind w:firstLine="480" w:firstLineChars="200"/>
        <w:jc w:val="left"/>
        <w:rPr>
          <w:color w:themeColor="text1" w:val="000000"/>
          <w:kern w:val="0"/>
          <w:sz w:val="24"/>
        </w:rPr>
      </w:pPr>
      <w:r>
        <w:rPr>
          <w:color w:themeColor="text1" w:val="000000"/>
          <w:sz w:val="24"/>
        </w:rPr>
        <w:t>注：1.国家(地区)类别根据其所在的证券交易所确定。</w:t>
      </w:r>
    </w:p>
    <w:p w:rsidP="006C750F" w:rsidR="0076518F" w:rsidRDefault="00363E15"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2.ADR、GDR按照存托凭证本身挂牌的证券交易所确定。</w:t>
      </w:r>
    </w:p>
    <w:p w:rsidP="00EC4BA3" w:rsidR="00C37E98"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3</w:t>
      </w:r>
      <w:r w:rsidR="0076518F" w:rsidRPr="00A67563">
        <w:rPr>
          <w:b/>
          <w:color w:themeColor="text1" w:val="000000"/>
          <w:kern w:val="0"/>
          <w:sz w:val="24"/>
        </w:rPr>
        <w:t xml:space="preserve"> </w:t>
      </w:r>
      <w:r w:rsidR="0076518F" w:rsidRPr="00A67563">
        <w:rPr>
          <w:b/>
          <w:color w:themeColor="text1" w:val="000000"/>
          <w:kern w:val="0"/>
          <w:sz w:val="24"/>
        </w:rPr>
        <w:t>报告期末按行业分类的股票及存托凭证投资组合</w:t>
      </w:r>
    </w:p>
    <w:tbl>
      <w:tblPr>
        <w:tblStyle w:val="af7"/>
        <w:tblW w:type="auto" w:w="0"/>
        <w:tblInd w:type="dxa" w:w="15"/>
        <w:tblLayout w:type="fixed"/>
        <w:tblLook w:firstColumn="1" w:firstRow="1" w:lastColumn="0" w:lastRow="0" w:noHBand="0" w:noVBand="1" w:val="04A0"/>
      </w:tblPr>
      <w:tblGrid>
        <w:gridCol w:w="2787"/>
        <w:gridCol w:w="2551"/>
        <w:gridCol w:w="3175"/>
      </w:tblGrid>
      <w:tr w:rsidR="008277FF" w:rsidRPr="00A67563" w:rsidTr="008B2EAD">
        <w:tc>
          <w:tcPr>
            <w:tcW w:type="dxa" w:w="2787"/>
            <w:vAlign w:val="center"/>
          </w:tcPr>
          <w:p w:rsidP="00797DD2" w:rsidR="00C37E98" w:rsidRDefault="00C37E9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行业类别</w:t>
            </w:r>
            <w:r w:rsidR="00304E97" w:rsidRPr="00A67563">
              <w:rPr>
                <w:color w:themeColor="text1" w:val="000000"/>
                <w:kern w:val="0"/>
                <w:sz w:val="24"/>
              </w:rPr>
              <w:t/>
            </w:r>
            <w:proofErr w:type="spellStart"/>
            <w:r w:rsidR="00304E97" w:rsidRPr="00A67563">
              <w:rPr>
                <w:color w:themeColor="text1" w:val="000000"/>
                <w:kern w:val="0"/>
                <w:sz w:val="24"/>
              </w:rPr>
              <w:t/>
            </w:r>
            <w:proofErr w:type="spellEnd"/>
            <w:r w:rsidR="00304E97" w:rsidRPr="00A67563">
              <w:rPr>
                <w:color w:themeColor="text1" w:val="000000"/>
                <w:kern w:val="0"/>
                <w:sz w:val="24"/>
              </w:rPr>
              <w:t/>
            </w:r>
          </w:p>
        </w:tc>
        <w:tc>
          <w:tcPr>
            <w:tcW w:type="dxa" w:w="2551"/>
            <w:vAlign w:val="center"/>
          </w:tcPr>
          <w:p w:rsidP="00797DD2" w:rsidR="00C37E98" w:rsidRDefault="00C37E9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公允价值（人民币元）</w:t>
            </w:r>
          </w:p>
        </w:tc>
        <w:tc>
          <w:tcPr>
            <w:tcW w:type="dxa" w:w="3175"/>
            <w:vAlign w:val="center"/>
          </w:tcPr>
          <w:p w:rsidP="00797DD2" w:rsidR="00C37E98" w:rsidRDefault="00C37E9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占基金资产净值比例（％）</w:t>
            </w:r>
          </w:p>
        </w:tc>
      </w:tr>
      <w:tr>
        <w:tc>
          <w:tcPr>
            <w:vAlign w:val="center"/>
          </w:tcPr>
          <w:p>
            <w:pPr>
              <w:jc w:val="left"/>
            </w:pPr>
            <w:r>
              <w:rPr>
                <w:color w:themeColor="text1" w:val="000000"/>
                <w:sz w:val="24"/>
              </w:rPr>
              <w:t>能源</w:t>
            </w:r>
          </w:p>
        </w:tc>
        <w:tc>
          <w:tcPr>
            <w:vAlign w:val="center"/>
          </w:tcPr>
          <w:p>
            <w:pPr>
              <w:jc w:val="right"/>
            </w:pPr>
            <w:r>
              <w:rPr>
                <w:color w:themeColor="text1" w:val="000000"/>
                <w:sz w:val="24"/>
              </w:rPr>
              <w:t>242,266.98</w:t>
            </w:r>
          </w:p>
        </w:tc>
        <w:tc>
          <w:tcPr>
            <w:vAlign w:val="center"/>
          </w:tcPr>
          <w:p>
            <w:pPr>
              <w:jc w:val="right"/>
            </w:pPr>
            <w:r>
              <w:rPr>
                <w:color w:themeColor="text1" w:val="000000"/>
                <w:sz w:val="24"/>
              </w:rPr>
              <w:t>1.03</w:t>
            </w:r>
          </w:p>
        </w:tc>
      </w:tr>
      <w:tr>
        <w:tc>
          <w:tcPr>
            <w:vAlign w:val="center"/>
          </w:tcPr>
          <w:p>
            <w:pPr>
              <w:jc w:val="left"/>
            </w:pPr>
            <w:r>
              <w:rPr>
                <w:color w:themeColor="text1" w:val="000000"/>
                <w:sz w:val="24"/>
              </w:rPr>
              <w:t>材料</w:t>
            </w:r>
          </w:p>
        </w:tc>
        <w:tc>
          <w:tcPr>
            <w:vAlign w:val="center"/>
          </w:tcPr>
          <w:p>
            <w:pPr>
              <w:jc w:val="right"/>
            </w:pPr>
            <w:r>
              <w:rPr>
                <w:color w:themeColor="text1" w:val="000000"/>
                <w:sz w:val="24"/>
              </w:rPr>
              <w:t>1,992,018.57</w:t>
            </w:r>
          </w:p>
        </w:tc>
        <w:tc>
          <w:tcPr>
            <w:vAlign w:val="center"/>
          </w:tcPr>
          <w:p>
            <w:pPr>
              <w:jc w:val="right"/>
            </w:pPr>
            <w:r>
              <w:rPr>
                <w:color w:themeColor="text1" w:val="000000"/>
                <w:sz w:val="24"/>
              </w:rPr>
              <w:t>8.49</w:t>
            </w:r>
          </w:p>
        </w:tc>
      </w:tr>
      <w:tr>
        <w:tc>
          <w:tcPr>
            <w:vAlign w:val="center"/>
          </w:tcPr>
          <w:p>
            <w:pPr>
              <w:jc w:val="left"/>
            </w:pPr>
            <w:r>
              <w:rPr>
                <w:color w:themeColor="text1" w:val="000000"/>
                <w:sz w:val="24"/>
              </w:rPr>
              <w:t>工业</w:t>
            </w:r>
          </w:p>
        </w:tc>
        <w:tc>
          <w:tcPr>
            <w:vAlign w:val="center"/>
          </w:tcPr>
          <w:p>
            <w:pPr>
              <w:jc w:val="right"/>
            </w:pPr>
            <w:r>
              <w:rPr>
                <w:color w:themeColor="text1" w:val="000000"/>
                <w:sz w:val="24"/>
              </w:rPr>
              <w:t>3,036,853.24</w:t>
            </w:r>
          </w:p>
        </w:tc>
        <w:tc>
          <w:tcPr>
            <w:vAlign w:val="center"/>
          </w:tcPr>
          <w:p>
            <w:pPr>
              <w:jc w:val="right"/>
            </w:pPr>
            <w:r>
              <w:rPr>
                <w:color w:themeColor="text1" w:val="000000"/>
                <w:sz w:val="24"/>
              </w:rPr>
              <w:t>12.94</w:t>
            </w:r>
          </w:p>
        </w:tc>
      </w:tr>
      <w:tr>
        <w:tc>
          <w:tcPr>
            <w:vAlign w:val="center"/>
          </w:tcPr>
          <w:p>
            <w:pPr>
              <w:jc w:val="left"/>
            </w:pPr>
            <w:r>
              <w:rPr>
                <w:color w:themeColor="text1" w:val="000000"/>
                <w:sz w:val="24"/>
              </w:rPr>
              <w:t>非必需消费品</w:t>
            </w:r>
          </w:p>
        </w:tc>
        <w:tc>
          <w:tcPr>
            <w:vAlign w:val="center"/>
          </w:tcPr>
          <w:p>
            <w:pPr>
              <w:jc w:val="right"/>
            </w:pPr>
            <w:r>
              <w:rPr>
                <w:color w:themeColor="text1" w:val="000000"/>
                <w:sz w:val="24"/>
              </w:rPr>
              <w:t>3,832,911.12</w:t>
            </w:r>
          </w:p>
        </w:tc>
        <w:tc>
          <w:tcPr>
            <w:vAlign w:val="center"/>
          </w:tcPr>
          <w:p>
            <w:pPr>
              <w:jc w:val="right"/>
            </w:pPr>
            <w:r>
              <w:rPr>
                <w:color w:themeColor="text1" w:val="000000"/>
                <w:sz w:val="24"/>
              </w:rPr>
              <w:t>16.34</w:t>
            </w:r>
          </w:p>
        </w:tc>
      </w:tr>
      <w:tr>
        <w:tc>
          <w:tcPr>
            <w:vAlign w:val="center"/>
          </w:tcPr>
          <w:p>
            <w:pPr>
              <w:jc w:val="left"/>
            </w:pPr>
            <w:r>
              <w:rPr>
                <w:color w:themeColor="text1" w:val="000000"/>
                <w:sz w:val="24"/>
              </w:rPr>
              <w:t>必需消费品</w:t>
            </w:r>
          </w:p>
        </w:tc>
        <w:tc>
          <w:tcPr>
            <w:vAlign w:val="center"/>
          </w:tcPr>
          <w:p>
            <w:pPr>
              <w:jc w:val="right"/>
            </w:pPr>
            <w:r>
              <w:rPr>
                <w:color w:themeColor="text1" w:val="000000"/>
                <w:sz w:val="24"/>
              </w:rPr>
              <w:t>283,039.26</w:t>
            </w:r>
          </w:p>
        </w:tc>
        <w:tc>
          <w:tcPr>
            <w:vAlign w:val="center"/>
          </w:tcPr>
          <w:p>
            <w:pPr>
              <w:jc w:val="right"/>
            </w:pPr>
            <w:r>
              <w:rPr>
                <w:color w:themeColor="text1" w:val="000000"/>
                <w:sz w:val="24"/>
              </w:rPr>
              <w:t>1.21</w:t>
            </w:r>
          </w:p>
        </w:tc>
      </w:tr>
      <w:tr>
        <w:tc>
          <w:tcPr>
            <w:vAlign w:val="center"/>
          </w:tcPr>
          <w:p>
            <w:pPr>
              <w:jc w:val="left"/>
            </w:pPr>
            <w:r>
              <w:rPr>
                <w:color w:themeColor="text1" w:val="000000"/>
                <w:sz w:val="24"/>
              </w:rPr>
              <w:t>保健</w:t>
            </w:r>
          </w:p>
        </w:tc>
        <w:tc>
          <w:tcPr>
            <w:vAlign w:val="center"/>
          </w:tcPr>
          <w:p>
            <w:pPr>
              <w:jc w:val="right"/>
            </w:pPr>
            <w:r>
              <w:rPr>
                <w:color w:themeColor="text1" w:val="000000"/>
                <w:sz w:val="24"/>
              </w:rPr>
              <w:t>4,031,119.20</w:t>
            </w:r>
          </w:p>
        </w:tc>
        <w:tc>
          <w:tcPr>
            <w:vAlign w:val="center"/>
          </w:tcPr>
          <w:p>
            <w:pPr>
              <w:jc w:val="right"/>
            </w:pPr>
            <w:r>
              <w:rPr>
                <w:color w:themeColor="text1" w:val="000000"/>
                <w:sz w:val="24"/>
              </w:rPr>
              <w:t>17.18</w:t>
            </w:r>
          </w:p>
        </w:tc>
      </w:tr>
      <w:tr>
        <w:tc>
          <w:tcPr>
            <w:vAlign w:val="center"/>
          </w:tcPr>
          <w:p>
            <w:pPr>
              <w:jc w:val="left"/>
            </w:pPr>
            <w:r>
              <w:rPr>
                <w:color w:themeColor="text1" w:val="000000"/>
                <w:sz w:val="24"/>
              </w:rPr>
              <w:t>金融</w:t>
            </w:r>
          </w:p>
        </w:tc>
        <w:tc>
          <w:tcPr>
            <w:vAlign w:val="center"/>
          </w:tcPr>
          <w:p>
            <w:pPr>
              <w:jc w:val="right"/>
            </w:pPr>
            <w:r>
              <w:rPr>
                <w:color w:themeColor="text1" w:val="000000"/>
                <w:sz w:val="24"/>
              </w:rPr>
              <w:t>971,935.70</w:t>
            </w:r>
          </w:p>
        </w:tc>
        <w:tc>
          <w:tcPr>
            <w:vAlign w:val="center"/>
          </w:tcPr>
          <w:p>
            <w:pPr>
              <w:jc w:val="right"/>
            </w:pPr>
            <w:r>
              <w:rPr>
                <w:color w:themeColor="text1" w:val="000000"/>
                <w:sz w:val="24"/>
              </w:rPr>
              <w:t>4.14</w:t>
            </w:r>
          </w:p>
        </w:tc>
      </w:tr>
      <w:tr>
        <w:tc>
          <w:tcPr>
            <w:vAlign w:val="center"/>
          </w:tcPr>
          <w:p>
            <w:pPr>
              <w:jc w:val="left"/>
            </w:pPr>
            <w:r>
              <w:rPr>
                <w:color w:themeColor="text1" w:val="000000"/>
                <w:sz w:val="24"/>
              </w:rPr>
              <w:t>信息技术</w:t>
            </w:r>
          </w:p>
        </w:tc>
        <w:tc>
          <w:tcPr>
            <w:vAlign w:val="center"/>
          </w:tcPr>
          <w:p>
            <w:pPr>
              <w:jc w:val="right"/>
            </w:pPr>
            <w:r>
              <w:rPr>
                <w:color w:themeColor="text1" w:val="000000"/>
                <w:sz w:val="24"/>
              </w:rPr>
              <w:t>1,537,694.94</w:t>
            </w:r>
          </w:p>
        </w:tc>
        <w:tc>
          <w:tcPr>
            <w:vAlign w:val="center"/>
          </w:tcPr>
          <w:p>
            <w:pPr>
              <w:jc w:val="right"/>
            </w:pPr>
            <w:r>
              <w:rPr>
                <w:color w:themeColor="text1" w:val="000000"/>
                <w:sz w:val="24"/>
              </w:rPr>
              <w:t>6.55</w:t>
            </w:r>
          </w:p>
        </w:tc>
      </w:tr>
      <w:tr>
        <w:tc>
          <w:tcPr>
            <w:vAlign w:val="center"/>
          </w:tcPr>
          <w:p>
            <w:pPr>
              <w:jc w:val="left"/>
            </w:pPr>
            <w:r>
              <w:rPr>
                <w:color w:themeColor="text1" w:val="000000"/>
                <w:sz w:val="24"/>
              </w:rPr>
              <w:t>电信服务</w:t>
            </w:r>
          </w:p>
        </w:tc>
        <w:tc>
          <w:tcPr>
            <w:vAlign w:val="center"/>
          </w:tcPr>
          <w:p>
            <w:pPr>
              <w:jc w:val="right"/>
            </w:pPr>
            <w:r>
              <w:rPr>
                <w:color w:themeColor="text1" w:val="000000"/>
                <w:sz w:val="24"/>
              </w:rPr>
              <w:t>1,425,893.12</w:t>
            </w:r>
          </w:p>
        </w:tc>
        <w:tc>
          <w:tcPr>
            <w:vAlign w:val="center"/>
          </w:tcPr>
          <w:p>
            <w:pPr>
              <w:jc w:val="right"/>
            </w:pPr>
            <w:r>
              <w:rPr>
                <w:color w:themeColor="text1" w:val="000000"/>
                <w:sz w:val="24"/>
              </w:rPr>
              <w:t>6.08</w:t>
            </w:r>
          </w:p>
        </w:tc>
      </w:tr>
      <w:tr>
        <w:tc>
          <w:tcPr>
            <w:vAlign w:val="center"/>
          </w:tcPr>
          <w:p>
            <w:pPr>
              <w:jc w:val="left"/>
            </w:pPr>
            <w:r>
              <w:rPr>
                <w:color w:themeColor="text1" w:val="000000"/>
                <w:sz w:val="24"/>
              </w:rPr>
              <w:t>公用事业</w:t>
            </w:r>
          </w:p>
        </w:tc>
        <w:tc>
          <w:tcPr>
            <w:vAlign w:val="center"/>
          </w:tcPr>
          <w:p>
            <w:pPr>
              <w:jc w:val="right"/>
            </w:pPr>
            <w:r>
              <w:rPr>
                <w:color w:themeColor="text1" w:val="000000"/>
                <w:sz w:val="24"/>
              </w:rPr>
              <w:t>1,055,566.89</w:t>
            </w:r>
          </w:p>
        </w:tc>
        <w:tc>
          <w:tcPr>
            <w:vAlign w:val="center"/>
          </w:tcPr>
          <w:p>
            <w:pPr>
              <w:jc w:val="right"/>
            </w:pPr>
            <w:r>
              <w:rPr>
                <w:color w:themeColor="text1" w:val="000000"/>
                <w:sz w:val="24"/>
              </w:rPr>
              <w:t>4.50</w:t>
            </w:r>
          </w:p>
        </w:tc>
      </w:tr>
      <w:tr>
        <w:tc>
          <w:tcPr>
            <w:vAlign w:val="center"/>
          </w:tcPr>
          <w:p>
            <w:pPr>
              <w:jc w:val="left"/>
            </w:pPr>
            <w:r>
              <w:rPr>
                <w:color w:themeColor="text1" w:val="000000"/>
                <w:sz w:val="24"/>
              </w:rPr>
              <w:t>房地产</w:t>
            </w:r>
          </w:p>
        </w:tc>
        <w:tc>
          <w:tcPr>
            <w:vAlign w:val="center"/>
          </w:tcPr>
          <w:p>
            <w:pPr>
              <w:jc w:val="right"/>
            </w:pPr>
            <w:r>
              <w:rPr>
                <w:color w:themeColor="text1" w:val="000000"/>
                <w:sz w:val="24"/>
              </w:rPr>
              <w:t>3,417,260.69</w:t>
            </w:r>
          </w:p>
        </w:tc>
        <w:tc>
          <w:tcPr>
            <w:vAlign w:val="center"/>
          </w:tcPr>
          <w:p>
            <w:pPr>
              <w:jc w:val="right"/>
            </w:pPr>
            <w:r>
              <w:rPr>
                <w:color w:themeColor="text1" w:val="000000"/>
                <w:sz w:val="24"/>
              </w:rPr>
              <w:t>14.57</w:t>
            </w:r>
          </w:p>
        </w:tc>
      </w:tr>
      <w:tr w:rsidR="008277FF" w:rsidRPr="00A67563" w:rsidTr="00877D98">
        <w:tc>
          <w:tcPr>
            <w:tcW w:type="dxa" w:w="2787"/>
            <w:vAlign w:val="center"/>
          </w:tcPr>
          <w:p w:rsidP="00877D98" w:rsidR="00C37E98" w:rsidRDefault="00C37E98" w:rsidRPr="00A67563">
            <w:pPr>
              <w:autoSpaceDE w:val="0"/>
              <w:autoSpaceDN w:val="0"/>
              <w:adjustRightInd w:val="0"/>
              <w:spacing w:before="29" w:line="360" w:lineRule="auto"/>
              <w:ind w:left="15"/>
              <w:rPr>
                <w:color w:themeColor="text1" w:val="000000"/>
                <w:sz w:val="24"/>
              </w:rPr>
            </w:pPr>
            <w:r w:rsidRPr="00A67563">
              <w:rPr>
                <w:color w:themeColor="text1" w:val="000000"/>
                <w:sz w:val="24"/>
              </w:rPr>
              <w:t>合计</w:t>
            </w:r>
          </w:p>
        </w:tc>
        <w:tc>
          <w:tcPr>
            <w:tcW w:type="dxa" w:w="2551"/>
            <w:vAlign w:val="center"/>
          </w:tcPr>
          <w:p w:rsidP="00C9504A" w:rsidR="00C37E98" w:rsidRDefault="00C37E98" w:rsidRPr="00A67563">
            <w:pPr>
              <w:autoSpaceDE w:val="0"/>
              <w:autoSpaceDN w:val="0"/>
              <w:adjustRightInd w:val="0"/>
              <w:spacing w:before="29" w:line="360" w:lineRule="auto"/>
              <w:ind w:left="15"/>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21,826,559.71</w:t>
            </w:r>
          </w:p>
        </w:tc>
        <w:tc>
          <w:tcPr>
            <w:tcW w:type="dxa" w:w="3175"/>
            <w:vAlign w:val="center"/>
          </w:tcPr>
          <w:p w:rsidP="00C9504A" w:rsidR="00C37E98" w:rsidRDefault="00C37E98" w:rsidRPr="00A67563">
            <w:pPr>
              <w:autoSpaceDE w:val="0"/>
              <w:autoSpaceDN w:val="0"/>
              <w:adjustRightInd w:val="0"/>
              <w:spacing w:before="29" w:line="360" w:lineRule="auto"/>
              <w:ind w:left="15"/>
              <w:jc w:val="right"/>
              <w:rPr>
                <w:color w:themeColor="text1" w:val="000000"/>
                <w:sz w:val="24"/>
              </w:rPr>
            </w:pPr>
            <w:r w:rsidRPr="00A67563">
              <w:rPr>
                <w:color w:themeColor="text1" w:val="000000"/>
                <w:sz w:val="24"/>
              </w:rPr>
              <w:t>93.03</w:t>
            </w:r>
          </w:p>
        </w:tc>
      </w:tr>
    </w:tbl>
    <w:p w:rsidP="006C750F" w:rsidR="000A521D" w:rsidRDefault="00363E1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r w:rsidR="000A521D" w:rsidRPr="00A67563">
        <w:rPr>
          <w:color w:themeColor="text1" w:val="000000"/>
          <w:sz w:val="24"/>
        </w:rPr>
        <w:t/>
      </w:r>
      <w:proofErr w:type="spellStart"/>
      <w:proofErr w:type="gramStart"/>
      <w:r w:rsidR="000A521D" w:rsidRPr="00A67563">
        <w:rPr>
          <w:color w:themeColor="text1" w:val="000000"/>
          <w:sz w:val="24"/>
        </w:rPr>
        <w:t/>
      </w:r>
      <w:proofErr w:type="spellEnd"/>
      <w:proofErr w:type="gramEnd"/>
      <w:r w:rsidR="000A521D" w:rsidRPr="00A67563">
        <w:rPr>
          <w:color w:themeColor="text1" w:val="000000"/>
          <w:sz w:val="24"/>
        </w:rPr>
        <w:t>注：以上分类采用全球行业分类标准(GICS)。</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4</w:t>
      </w:r>
      <w:r w:rsidR="0076518F"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报告期末按公允价值占基金资产净值比例大小排序的前十名股票及存托凭证投资明细</w:t>
      </w:r>
    </w:p>
    <w:tbl>
      <w:tblPr>
        <w:tblStyle w:val="af7"/>
        <w:tblW w:type="auto" w:w="0"/>
        <w:tblInd w:type="dxa" w:w="15"/>
        <w:tblLook w:firstColumn="1" w:firstRow="1" w:lastColumn="0" w:lastRow="0" w:noHBand="0" w:noVBand="1" w:val="04A0"/>
      </w:tblPr>
      <w:tblGrid>
        <w:gridCol w:w="773"/>
        <w:gridCol w:w="967"/>
        <w:gridCol w:w="989"/>
        <w:gridCol w:w="723"/>
        <w:gridCol w:w="773"/>
        <w:gridCol w:w="972"/>
        <w:gridCol w:w="1172"/>
        <w:gridCol w:w="972"/>
        <w:gridCol w:w="1172"/>
      </w:tblGrid>
      <w:tr w:rsidR="008277FF" w:rsidRPr="00A67563" w:rsidTr="001C7D5D">
        <w:tc>
          <w:tcPr>
            <w:tcW w:type="dxa" w:w="794"/>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序号</w:t>
            </w:r>
          </w:p>
        </w:tc>
        <w:tc>
          <w:tcPr>
            <w:tcW w:type="dxa" w:w="974"/>
            <w:vAlign w:val="center"/>
          </w:tcPr>
          <w:p w:rsidP="001C7D5D" w:rsidR="001C7D5D" w:rsidRDefault="001C7D5D" w:rsidRPr="00A67563">
            <w:pPr>
              <w:adjustRightInd w:val="0"/>
              <w:snapToGrid w:val="0"/>
              <w:spacing w:line="400" w:lineRule="exact"/>
              <w:jc w:val="center"/>
              <w:rPr>
                <w:color w:themeColor="text1" w:val="000000"/>
                <w:kern w:val="0"/>
                <w:sz w:val="24"/>
              </w:rPr>
            </w:pPr>
            <w:r w:rsidRPr="00A67563">
              <w:rPr>
                <w:color w:themeColor="text1" w:val="000000"/>
                <w:kern w:val="0"/>
                <w:sz w:val="24"/>
              </w:rPr>
              <w:t>公司名称（英文）</w:t>
            </w:r>
          </w:p>
        </w:tc>
        <w:tc>
          <w:tcPr>
            <w:tcW w:type="dxa" w:w="1019"/>
            <w:vAlign w:val="center"/>
          </w:tcPr>
          <w:p w:rsidP="00797DD2" w:rsidR="001C7D5D" w:rsidRDefault="001C7D5D" w:rsidRPr="00A67563">
            <w:pPr>
              <w:adjustRightInd w:val="0"/>
              <w:snapToGrid w:val="0"/>
              <w:spacing w:line="400" w:lineRule="exact"/>
              <w:jc w:val="center"/>
              <w:rPr>
                <w:color w:themeColor="text1" w:val="000000"/>
                <w:kern w:val="0"/>
                <w:sz w:val="24"/>
              </w:rPr>
            </w:pPr>
            <w:r w:rsidRPr="00A67563">
              <w:rPr>
                <w:color w:themeColor="text1" w:val="000000"/>
                <w:kern w:val="0"/>
                <w:sz w:val="24"/>
              </w:rPr>
              <w:t>公司名称（中文）</w:t>
            </w:r>
          </w:p>
        </w:tc>
        <w:tc>
          <w:tcPr>
            <w:tcW w:type="dxa" w:w="703"/>
            <w:vAlign w:val="center"/>
          </w:tcPr>
          <w:p w:rsidP="00797DD2" w:rsidR="001C7D5D" w:rsidRDefault="001C7D5D" w:rsidRPr="00A67563">
            <w:pPr>
              <w:adjustRightInd w:val="0"/>
              <w:snapToGrid w:val="0"/>
              <w:spacing w:line="400" w:lineRule="exact"/>
              <w:jc w:val="center"/>
              <w:rPr>
                <w:color w:themeColor="text1" w:val="000000"/>
                <w:kern w:val="0"/>
                <w:sz w:val="24"/>
              </w:rPr>
            </w:pPr>
            <w:r w:rsidRPr="00A67563">
              <w:rPr>
                <w:color w:themeColor="text1" w:val="000000"/>
                <w:kern w:val="0"/>
                <w:sz w:val="24"/>
              </w:rPr>
              <w:t>证券代码</w:t>
            </w:r>
          </w:p>
        </w:tc>
        <w:tc>
          <w:tcPr>
            <w:tcW w:type="dxa" w:w="793"/>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所在证</w:t>
            </w:r>
          </w:p>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券市场</w:t>
            </w:r>
          </w:p>
        </w:tc>
        <w:tc>
          <w:tcPr>
            <w:tcW w:type="dxa" w:w="969"/>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所属国家</w:t>
            </w:r>
          </w:p>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（地区</w:t>
            </w:r>
            <w:r w:rsidRPr="00A67563">
              <w:rPr>
                <w:color w:themeColor="text1" w:val="000000"/>
                <w:kern w:val="0"/>
                <w:sz w:val="24"/>
              </w:rPr>
              <w:t>)</w:t>
            </w:r>
          </w:p>
        </w:tc>
        <w:tc>
          <w:tcPr>
            <w:tcW w:type="dxa" w:w="1146"/>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数量</w:t>
            </w:r>
          </w:p>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（股）</w:t>
            </w:r>
          </w:p>
        </w:tc>
        <w:tc>
          <w:tcPr>
            <w:tcW w:type="dxa" w:w="969"/>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公允价值（人民币元）</w:t>
            </w:r>
          </w:p>
        </w:tc>
        <w:tc>
          <w:tcPr>
            <w:tcW w:type="dxa" w:w="1146"/>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占基金资产净值比例（％）</w:t>
            </w:r>
          </w:p>
        </w:tc>
      </w:tr>
      <w:tr>
        <w:tc>
          <w:tcPr>
            <w:vAlign w:val="center"/>
          </w:tcPr>
          <w:p>
            <w:pPr>
              <w:jc w:val="center"/>
            </w:pPr>
            <w:r>
              <w:rPr>
                <w:color w:themeColor="text1" w:val="000000"/>
                <w:sz w:val="24"/>
              </w:rPr>
              <w:t>1</w:t>
            </w:r>
          </w:p>
        </w:tc>
        <w:tc>
          <w:tcPr>
            <w:vAlign w:val="center"/>
          </w:tcPr>
          <w:p>
            <w:pPr>
              <w:jc w:val="center"/>
            </w:pPr>
            <w:r>
              <w:rPr>
                <w:color w:themeColor="text1" w:val="000000"/>
                <w:sz w:val="24"/>
              </w:rPr>
              <w:t>MicroPort Scientific Corporation</w:t>
            </w:r>
          </w:p>
        </w:tc>
        <w:tc>
          <w:tcPr>
            <w:vAlign w:val="center"/>
          </w:tcPr>
          <w:p>
            <w:pPr>
              <w:jc w:val="center"/>
            </w:pPr>
            <w:r>
              <w:rPr>
                <w:color w:themeColor="text1" w:val="000000"/>
                <w:sz w:val="24"/>
              </w:rPr>
              <w:t>微创医疗科学有限公司</w:t>
            </w:r>
          </w:p>
        </w:tc>
        <w:tc>
          <w:tcPr>
            <w:vAlign w:val="center"/>
          </w:tcPr>
          <w:p>
            <w:pPr>
              <w:jc w:val="center"/>
            </w:pPr>
            <w:r>
              <w:rPr>
                <w:color w:themeColor="text1" w:val="000000"/>
                <w:sz w:val="24"/>
              </w:rPr>
              <w:t>853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32,000</w:t>
            </w:r>
          </w:p>
        </w:tc>
        <w:tc>
          <w:tcPr>
            <w:vAlign w:val="center"/>
          </w:tcPr>
          <w:p>
            <w:pPr>
              <w:jc w:val="right"/>
            </w:pPr>
            <w:r>
              <w:rPr>
                <w:color w:themeColor="text1" w:val="000000"/>
                <w:sz w:val="24"/>
              </w:rPr>
              <w:t>911,978.50</w:t>
            </w:r>
          </w:p>
        </w:tc>
        <w:tc>
          <w:tcPr>
            <w:vAlign w:val="center"/>
          </w:tcPr>
          <w:p>
            <w:pPr>
              <w:jc w:val="right"/>
            </w:pPr>
            <w:r>
              <w:rPr>
                <w:color w:themeColor="text1" w:val="000000"/>
                <w:sz w:val="24"/>
              </w:rPr>
              <w:t>3.89</w:t>
            </w:r>
          </w:p>
        </w:tc>
      </w:tr>
      <w:tr>
        <w:tc>
          <w:tcPr>
            <w:vAlign w:val="center"/>
          </w:tcPr>
          <w:p>
            <w:pPr>
              <w:jc w:val="center"/>
            </w:pPr>
            <w:r>
              <w:rPr>
                <w:color w:themeColor="text1" w:val="000000"/>
                <w:sz w:val="24"/>
              </w:rPr>
              <w:t>2</w:t>
            </w:r>
          </w:p>
        </w:tc>
        <w:tc>
          <w:tcPr>
            <w:vAlign w:val="center"/>
          </w:tcPr>
          <w:p>
            <w:pPr>
              <w:jc w:val="center"/>
            </w:pPr>
            <w:r>
              <w:rPr>
                <w:color w:themeColor="text1" w:val="000000"/>
                <w:sz w:val="24"/>
              </w:rPr>
              <w:t>WuXi Apptec Co.,Ltd.</w:t>
            </w:r>
          </w:p>
        </w:tc>
        <w:tc>
          <w:tcPr>
            <w:vAlign w:val="center"/>
          </w:tcPr>
          <w:p>
            <w:pPr>
              <w:jc w:val="center"/>
            </w:pPr>
            <w:r>
              <w:rPr>
                <w:color w:themeColor="text1" w:val="000000"/>
                <w:sz w:val="24"/>
              </w:rPr>
              <w:t>无锡药明康德新药开发股份有限公司</w:t>
            </w:r>
          </w:p>
        </w:tc>
        <w:tc>
          <w:tcPr>
            <w:vAlign w:val="center"/>
          </w:tcPr>
          <w:p>
            <w:pPr>
              <w:jc w:val="center"/>
            </w:pPr>
            <w:r>
              <w:rPr>
                <w:color w:themeColor="text1" w:val="000000"/>
                <w:sz w:val="24"/>
              </w:rPr>
              <w:t>2359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7,823</w:t>
            </w:r>
          </w:p>
        </w:tc>
        <w:tc>
          <w:tcPr>
            <w:vAlign w:val="center"/>
          </w:tcPr>
          <w:p>
            <w:pPr>
              <w:jc w:val="right"/>
            </w:pPr>
            <w:r>
              <w:rPr>
                <w:color w:themeColor="text1" w:val="000000"/>
                <w:sz w:val="24"/>
              </w:rPr>
              <w:t>719,586.20</w:t>
            </w:r>
          </w:p>
        </w:tc>
        <w:tc>
          <w:tcPr>
            <w:vAlign w:val="center"/>
          </w:tcPr>
          <w:p>
            <w:pPr>
              <w:jc w:val="right"/>
            </w:pPr>
            <w:r>
              <w:rPr>
                <w:color w:themeColor="text1" w:val="000000"/>
                <w:sz w:val="24"/>
              </w:rPr>
              <w:t>3.07</w:t>
            </w:r>
          </w:p>
        </w:tc>
      </w:tr>
      <w:tr>
        <w:tc>
          <w:tcPr>
            <w:vAlign w:val="center"/>
          </w:tcPr>
          <w:p>
            <w:pPr>
              <w:jc w:val="center"/>
            </w:pPr>
            <w:r>
              <w:rPr>
                <w:color w:themeColor="text1" w:val="000000"/>
                <w:sz w:val="24"/>
              </w:rPr>
              <w:t>3</w:t>
            </w:r>
          </w:p>
        </w:tc>
        <w:tc>
          <w:tcPr>
            <w:vAlign w:val="center"/>
          </w:tcPr>
          <w:p>
            <w:pPr>
              <w:jc w:val="center"/>
            </w:pPr>
            <w:r>
              <w:rPr>
                <w:color w:themeColor="text1" w:val="000000"/>
                <w:sz w:val="24"/>
              </w:rPr>
              <w:t>A-Living Services Co., Ltd.</w:t>
            </w:r>
          </w:p>
        </w:tc>
        <w:tc>
          <w:tcPr>
            <w:vAlign w:val="center"/>
          </w:tcPr>
          <w:p>
            <w:pPr>
              <w:jc w:val="center"/>
            </w:pPr>
            <w:r>
              <w:rPr>
                <w:color w:themeColor="text1" w:val="000000"/>
                <w:sz w:val="24"/>
              </w:rPr>
              <w:t>雅居乐雅生活服务股份有限公司</w:t>
            </w:r>
          </w:p>
        </w:tc>
        <w:tc>
          <w:tcPr>
            <w:vAlign w:val="center"/>
          </w:tcPr>
          <w:p>
            <w:pPr>
              <w:jc w:val="center"/>
            </w:pPr>
            <w:r>
              <w:rPr>
                <w:color w:themeColor="text1" w:val="000000"/>
                <w:sz w:val="24"/>
              </w:rPr>
              <w:t>3319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14,000</w:t>
            </w:r>
          </w:p>
        </w:tc>
        <w:tc>
          <w:tcPr>
            <w:vAlign w:val="center"/>
          </w:tcPr>
          <w:p>
            <w:pPr>
              <w:jc w:val="right"/>
            </w:pPr>
            <w:r>
              <w:rPr>
                <w:color w:themeColor="text1" w:val="000000"/>
                <w:sz w:val="24"/>
              </w:rPr>
              <w:t>499,377.65</w:t>
            </w:r>
          </w:p>
        </w:tc>
        <w:tc>
          <w:tcPr>
            <w:vAlign w:val="center"/>
          </w:tcPr>
          <w:p>
            <w:pPr>
              <w:jc w:val="right"/>
            </w:pPr>
            <w:r>
              <w:rPr>
                <w:color w:themeColor="text1" w:val="000000"/>
                <w:sz w:val="24"/>
              </w:rPr>
              <w:t>2.13</w:t>
            </w:r>
          </w:p>
        </w:tc>
      </w:tr>
      <w:tr>
        <w:tc>
          <w:tcPr>
            <w:vAlign w:val="center"/>
          </w:tcPr>
          <w:p>
            <w:pPr>
              <w:jc w:val="center"/>
            </w:pPr>
            <w:r>
              <w:rPr>
                <w:color w:themeColor="text1" w:val="000000"/>
                <w:sz w:val="24"/>
              </w:rPr>
              <w:t>4</w:t>
            </w:r>
          </w:p>
        </w:tc>
        <w:tc>
          <w:tcPr>
            <w:vAlign w:val="center"/>
          </w:tcPr>
          <w:p>
            <w:pPr>
              <w:jc w:val="center"/>
            </w:pPr>
            <w:r>
              <w:rPr>
                <w:color w:themeColor="text1" w:val="000000"/>
                <w:sz w:val="24"/>
              </w:rPr>
              <w:t>Weimob Inc.</w:t>
            </w:r>
          </w:p>
        </w:tc>
        <w:tc>
          <w:tcPr>
            <w:vAlign w:val="center"/>
          </w:tcPr>
          <w:p>
            <w:pPr>
              <w:jc w:val="center"/>
            </w:pPr>
            <w:r>
              <w:rPr>
                <w:color w:themeColor="text1" w:val="000000"/>
                <w:sz w:val="24"/>
              </w:rPr>
              <w:t>微盟集团</w:t>
            </w:r>
          </w:p>
        </w:tc>
        <w:tc>
          <w:tcPr>
            <w:vAlign w:val="center"/>
          </w:tcPr>
          <w:p>
            <w:pPr>
              <w:jc w:val="center"/>
            </w:pPr>
            <w:r>
              <w:rPr>
                <w:color w:themeColor="text1" w:val="000000"/>
                <w:sz w:val="24"/>
              </w:rPr>
              <w:t>2013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53,041</w:t>
            </w:r>
          </w:p>
        </w:tc>
        <w:tc>
          <w:tcPr>
            <w:vAlign w:val="center"/>
          </w:tcPr>
          <w:p>
            <w:pPr>
              <w:jc w:val="right"/>
            </w:pPr>
            <w:r>
              <w:rPr>
                <w:color w:themeColor="text1" w:val="000000"/>
                <w:sz w:val="24"/>
              </w:rPr>
              <w:t>471,416.27</w:t>
            </w:r>
          </w:p>
        </w:tc>
        <w:tc>
          <w:tcPr>
            <w:vAlign w:val="center"/>
          </w:tcPr>
          <w:p>
            <w:pPr>
              <w:jc w:val="right"/>
            </w:pPr>
            <w:r>
              <w:rPr>
                <w:color w:themeColor="text1" w:val="000000"/>
                <w:sz w:val="24"/>
              </w:rPr>
              <w:t>2.01</w:t>
            </w:r>
          </w:p>
        </w:tc>
      </w:tr>
      <w:tr>
        <w:tc>
          <w:tcPr>
            <w:vAlign w:val="center"/>
          </w:tcPr>
          <w:p>
            <w:pPr>
              <w:jc w:val="center"/>
            </w:pPr>
            <w:r>
              <w:rPr>
                <w:color w:themeColor="text1" w:val="000000"/>
                <w:sz w:val="24"/>
              </w:rPr>
              <w:t>5</w:t>
            </w:r>
          </w:p>
        </w:tc>
        <w:tc>
          <w:tcPr>
            <w:vAlign w:val="center"/>
          </w:tcPr>
          <w:p>
            <w:pPr>
              <w:jc w:val="center"/>
            </w:pPr>
            <w:r>
              <w:rPr>
                <w:color w:themeColor="text1" w:val="000000"/>
                <w:sz w:val="24"/>
              </w:rPr>
              <w:t>Ak Medical Holdings Limited</w:t>
            </w:r>
          </w:p>
        </w:tc>
        <w:tc>
          <w:tcPr>
            <w:vAlign w:val="center"/>
          </w:tcPr>
          <w:p>
            <w:pPr>
              <w:jc w:val="center"/>
            </w:pPr>
            <w:r>
              <w:rPr>
                <w:color w:themeColor="text1" w:val="000000"/>
                <w:sz w:val="24"/>
              </w:rPr>
              <w:t>爱康医疗控股有限公司</w:t>
            </w:r>
          </w:p>
        </w:tc>
        <w:tc>
          <w:tcPr>
            <w:vAlign w:val="center"/>
          </w:tcPr>
          <w:p>
            <w:pPr>
              <w:jc w:val="center"/>
            </w:pPr>
            <w:r>
              <w:rPr>
                <w:color w:themeColor="text1" w:val="000000"/>
                <w:sz w:val="24"/>
              </w:rPr>
              <w:t>1789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20,000</w:t>
            </w:r>
          </w:p>
        </w:tc>
        <w:tc>
          <w:tcPr>
            <w:vAlign w:val="center"/>
          </w:tcPr>
          <w:p>
            <w:pPr>
              <w:jc w:val="right"/>
            </w:pPr>
            <w:r>
              <w:rPr>
                <w:color w:themeColor="text1" w:val="000000"/>
                <w:sz w:val="24"/>
              </w:rPr>
              <w:t>450,325.92</w:t>
            </w:r>
          </w:p>
        </w:tc>
        <w:tc>
          <w:tcPr>
            <w:vAlign w:val="center"/>
          </w:tcPr>
          <w:p>
            <w:pPr>
              <w:jc w:val="right"/>
            </w:pPr>
            <w:r>
              <w:rPr>
                <w:color w:themeColor="text1" w:val="000000"/>
                <w:sz w:val="24"/>
              </w:rPr>
              <w:t>1.92</w:t>
            </w:r>
          </w:p>
        </w:tc>
      </w:tr>
      <w:tr>
        <w:tc>
          <w:tcPr>
            <w:vAlign w:val="center"/>
          </w:tcPr>
          <w:p>
            <w:pPr>
              <w:jc w:val="center"/>
            </w:pPr>
            <w:r>
              <w:rPr>
                <w:color w:themeColor="text1" w:val="000000"/>
                <w:sz w:val="24"/>
              </w:rPr>
              <w:t>6</w:t>
            </w:r>
          </w:p>
        </w:tc>
        <w:tc>
          <w:tcPr>
            <w:vAlign w:val="center"/>
          </w:tcPr>
          <w:p>
            <w:pPr>
              <w:jc w:val="center"/>
            </w:pPr>
            <w:r>
              <w:rPr>
                <w:color w:themeColor="text1" w:val="000000"/>
                <w:sz w:val="24"/>
              </w:rPr>
              <w:t>HKBN Ltd.</w:t>
            </w:r>
          </w:p>
        </w:tc>
        <w:tc>
          <w:tcPr>
            <w:vAlign w:val="center"/>
          </w:tcPr>
          <w:p>
            <w:pPr>
              <w:jc w:val="center"/>
            </w:pPr>
            <w:r>
              <w:rPr>
                <w:color w:themeColor="text1" w:val="000000"/>
                <w:sz w:val="24"/>
              </w:rPr>
              <w:t>香港宽频有限公司</w:t>
            </w:r>
          </w:p>
        </w:tc>
        <w:tc>
          <w:tcPr>
            <w:vAlign w:val="center"/>
          </w:tcPr>
          <w:p>
            <w:pPr>
              <w:jc w:val="center"/>
            </w:pPr>
            <w:r>
              <w:rPr>
                <w:color w:themeColor="text1" w:val="000000"/>
                <w:sz w:val="24"/>
              </w:rPr>
              <w:t>1310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35,500</w:t>
            </w:r>
          </w:p>
        </w:tc>
        <w:tc>
          <w:tcPr>
            <w:vAlign w:val="center"/>
          </w:tcPr>
          <w:p>
            <w:pPr>
              <w:jc w:val="right"/>
            </w:pPr>
            <w:r>
              <w:rPr>
                <w:color w:themeColor="text1" w:val="000000"/>
                <w:sz w:val="24"/>
              </w:rPr>
              <w:t>439,711.75</w:t>
            </w:r>
          </w:p>
        </w:tc>
        <w:tc>
          <w:tcPr>
            <w:vAlign w:val="center"/>
          </w:tcPr>
          <w:p>
            <w:pPr>
              <w:jc w:val="right"/>
            </w:pPr>
            <w:r>
              <w:rPr>
                <w:color w:themeColor="text1" w:val="000000"/>
                <w:sz w:val="24"/>
              </w:rPr>
              <w:t>1.87</w:t>
            </w:r>
          </w:p>
        </w:tc>
      </w:tr>
      <w:tr>
        <w:tc>
          <w:tcPr>
            <w:vAlign w:val="center"/>
          </w:tcPr>
          <w:p>
            <w:pPr>
              <w:jc w:val="center"/>
            </w:pPr>
            <w:r>
              <w:rPr>
                <w:color w:themeColor="text1" w:val="000000"/>
                <w:sz w:val="24"/>
              </w:rPr>
              <w:t>7</w:t>
            </w:r>
          </w:p>
        </w:tc>
        <w:tc>
          <w:tcPr>
            <w:vAlign w:val="center"/>
          </w:tcPr>
          <w:p>
            <w:pPr>
              <w:jc w:val="center"/>
            </w:pPr>
            <w:r>
              <w:rPr>
                <w:color w:themeColor="text1" w:val="000000"/>
                <w:sz w:val="24"/>
              </w:rPr>
              <w:t>China Overseas Property Holdings Limited</w:t>
            </w:r>
          </w:p>
        </w:tc>
        <w:tc>
          <w:tcPr>
            <w:vAlign w:val="center"/>
          </w:tcPr>
          <w:p>
            <w:pPr>
              <w:jc w:val="center"/>
            </w:pPr>
            <w:r>
              <w:rPr>
                <w:color w:themeColor="text1" w:val="000000"/>
                <w:sz w:val="24"/>
              </w:rPr>
              <w:t>中海物业集团有限公司</w:t>
            </w:r>
          </w:p>
        </w:tc>
        <w:tc>
          <w:tcPr>
            <w:vAlign w:val="center"/>
          </w:tcPr>
          <w:p>
            <w:pPr>
              <w:jc w:val="center"/>
            </w:pPr>
            <w:r>
              <w:rPr>
                <w:color w:themeColor="text1" w:val="000000"/>
                <w:sz w:val="24"/>
              </w:rPr>
              <w:t>2669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51,544</w:t>
            </w:r>
          </w:p>
        </w:tc>
        <w:tc>
          <w:tcPr>
            <w:vAlign w:val="center"/>
          </w:tcPr>
          <w:p>
            <w:pPr>
              <w:jc w:val="right"/>
            </w:pPr>
            <w:r>
              <w:rPr>
                <w:color w:themeColor="text1" w:val="000000"/>
                <w:sz w:val="24"/>
              </w:rPr>
              <w:t>386,075.28</w:t>
            </w:r>
          </w:p>
        </w:tc>
        <w:tc>
          <w:tcPr>
            <w:vAlign w:val="center"/>
          </w:tcPr>
          <w:p>
            <w:pPr>
              <w:jc w:val="right"/>
            </w:pPr>
            <w:r>
              <w:rPr>
                <w:color w:themeColor="text1" w:val="000000"/>
                <w:sz w:val="24"/>
              </w:rPr>
              <w:t>1.65</w:t>
            </w:r>
          </w:p>
        </w:tc>
      </w:tr>
      <w:tr>
        <w:tc>
          <w:tcPr>
            <w:vAlign w:val="center"/>
          </w:tcPr>
          <w:p>
            <w:pPr>
              <w:jc w:val="center"/>
            </w:pPr>
            <w:r>
              <w:rPr>
                <w:color w:themeColor="text1" w:val="000000"/>
                <w:sz w:val="24"/>
              </w:rPr>
              <w:t>8</w:t>
            </w:r>
          </w:p>
        </w:tc>
        <w:tc>
          <w:tcPr>
            <w:vAlign w:val="center"/>
          </w:tcPr>
          <w:p>
            <w:pPr>
              <w:jc w:val="center"/>
            </w:pPr>
            <w:r>
              <w:rPr>
                <w:color w:themeColor="text1" w:val="000000"/>
                <w:sz w:val="24"/>
              </w:rPr>
              <w:t>Poly Property Development Co., Ltd.</w:t>
            </w:r>
          </w:p>
        </w:tc>
        <w:tc>
          <w:tcPr>
            <w:vAlign w:val="center"/>
          </w:tcPr>
          <w:p>
            <w:pPr>
              <w:jc w:val="center"/>
            </w:pPr>
            <w:r>
              <w:rPr>
                <w:color w:themeColor="text1" w:val="000000"/>
                <w:sz w:val="24"/>
              </w:rPr>
              <w:t>保利物业发展股份有限公司</w:t>
            </w:r>
          </w:p>
        </w:tc>
        <w:tc>
          <w:tcPr>
            <w:vAlign w:val="center"/>
          </w:tcPr>
          <w:p>
            <w:pPr>
              <w:jc w:val="center"/>
            </w:pPr>
            <w:r>
              <w:rPr>
                <w:color w:themeColor="text1" w:val="000000"/>
                <w:sz w:val="24"/>
              </w:rPr>
              <w:t>6049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5,400</w:t>
            </w:r>
          </w:p>
        </w:tc>
        <w:tc>
          <w:tcPr>
            <w:vAlign w:val="center"/>
          </w:tcPr>
          <w:p>
            <w:pPr>
              <w:jc w:val="right"/>
            </w:pPr>
            <w:r>
              <w:rPr>
                <w:color w:themeColor="text1" w:val="000000"/>
                <w:sz w:val="24"/>
              </w:rPr>
              <w:t>384,740.93</w:t>
            </w:r>
          </w:p>
        </w:tc>
        <w:tc>
          <w:tcPr>
            <w:vAlign w:val="center"/>
          </w:tcPr>
          <w:p>
            <w:pPr>
              <w:jc w:val="right"/>
            </w:pPr>
            <w:r>
              <w:rPr>
                <w:color w:themeColor="text1" w:val="000000"/>
                <w:sz w:val="24"/>
              </w:rPr>
              <w:t>1.64</w:t>
            </w:r>
          </w:p>
        </w:tc>
      </w:tr>
      <w:tr>
        <w:tc>
          <w:tcPr>
            <w:vAlign w:val="center"/>
          </w:tcPr>
          <w:p>
            <w:pPr>
              <w:jc w:val="center"/>
            </w:pPr>
            <w:r>
              <w:rPr>
                <w:color w:themeColor="text1" w:val="000000"/>
                <w:sz w:val="24"/>
              </w:rPr>
              <w:t>9</w:t>
            </w:r>
          </w:p>
        </w:tc>
        <w:tc>
          <w:tcPr>
            <w:vAlign w:val="center"/>
          </w:tcPr>
          <w:p>
            <w:pPr>
              <w:jc w:val="center"/>
            </w:pPr>
            <w:r>
              <w:rPr>
                <w:color w:themeColor="text1" w:val="000000"/>
                <w:sz w:val="24"/>
              </w:rPr>
              <w:t>Koolearn Technology Holding Limited</w:t>
            </w:r>
          </w:p>
        </w:tc>
        <w:tc>
          <w:tcPr>
            <w:vAlign w:val="center"/>
          </w:tcPr>
          <w:p>
            <w:pPr>
              <w:jc w:val="center"/>
            </w:pPr>
            <w:r>
              <w:rPr>
                <w:color w:themeColor="text1" w:val="000000"/>
                <w:sz w:val="24"/>
              </w:rPr>
              <w:t>新东方在线科技控股有限公司</w:t>
            </w:r>
          </w:p>
        </w:tc>
        <w:tc>
          <w:tcPr>
            <w:vAlign w:val="center"/>
          </w:tcPr>
          <w:p>
            <w:pPr>
              <w:jc w:val="center"/>
            </w:pPr>
            <w:r>
              <w:rPr>
                <w:color w:themeColor="text1" w:val="000000"/>
                <w:sz w:val="24"/>
              </w:rPr>
              <w:t>1797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13,500</w:t>
            </w:r>
          </w:p>
        </w:tc>
        <w:tc>
          <w:tcPr>
            <w:vAlign w:val="center"/>
          </w:tcPr>
          <w:p>
            <w:pPr>
              <w:jc w:val="right"/>
            </w:pPr>
            <w:r>
              <w:rPr>
                <w:color w:themeColor="text1" w:val="000000"/>
                <w:sz w:val="24"/>
              </w:rPr>
              <w:t>383,507.78</w:t>
            </w:r>
          </w:p>
        </w:tc>
        <w:tc>
          <w:tcPr>
            <w:vAlign w:val="center"/>
          </w:tcPr>
          <w:p>
            <w:pPr>
              <w:jc w:val="right"/>
            </w:pPr>
            <w:r>
              <w:rPr>
                <w:color w:themeColor="text1" w:val="000000"/>
                <w:sz w:val="24"/>
              </w:rPr>
              <w:t>1.63</w:t>
            </w:r>
          </w:p>
        </w:tc>
      </w:tr>
      <w:tr>
        <w:tc>
          <w:tcPr>
            <w:vAlign w:val="center"/>
          </w:tcPr>
          <w:p>
            <w:pPr>
              <w:jc w:val="center"/>
            </w:pPr>
            <w:r>
              <w:rPr>
                <w:color w:themeColor="text1" w:val="000000"/>
                <w:sz w:val="24"/>
              </w:rPr>
              <w:t>10</w:t>
            </w:r>
          </w:p>
        </w:tc>
        <w:tc>
          <w:tcPr>
            <w:vAlign w:val="center"/>
          </w:tcPr>
          <w:p>
            <w:pPr>
              <w:jc w:val="center"/>
            </w:pPr>
            <w:r>
              <w:rPr>
                <w:color w:themeColor="text1" w:val="000000"/>
                <w:sz w:val="24"/>
              </w:rPr>
              <w:t>Tianneng Power International Ltd</w:t>
            </w:r>
          </w:p>
        </w:tc>
        <w:tc>
          <w:tcPr>
            <w:vAlign w:val="center"/>
          </w:tcPr>
          <w:p>
            <w:pPr>
              <w:jc w:val="center"/>
            </w:pPr>
            <w:r>
              <w:rPr>
                <w:color w:themeColor="text1" w:val="000000"/>
                <w:sz w:val="24"/>
              </w:rPr>
              <w:t>天能动力国际有限公司</w:t>
            </w:r>
          </w:p>
        </w:tc>
        <w:tc>
          <w:tcPr>
            <w:vAlign w:val="center"/>
          </w:tcPr>
          <w:p>
            <w:pPr>
              <w:jc w:val="center"/>
            </w:pPr>
            <w:r>
              <w:rPr>
                <w:color w:themeColor="text1" w:val="000000"/>
                <w:sz w:val="24"/>
              </w:rPr>
              <w:t>819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28,712</w:t>
            </w:r>
          </w:p>
        </w:tc>
        <w:tc>
          <w:tcPr>
            <w:vAlign w:val="center"/>
          </w:tcPr>
          <w:p>
            <w:pPr>
              <w:jc w:val="right"/>
            </w:pPr>
            <w:r>
              <w:rPr>
                <w:color w:themeColor="text1" w:val="000000"/>
                <w:sz w:val="24"/>
              </w:rPr>
              <w:t>346,192.30</w:t>
            </w:r>
          </w:p>
        </w:tc>
        <w:tc>
          <w:tcPr>
            <w:vAlign w:val="center"/>
          </w:tcPr>
          <w:p>
            <w:pPr>
              <w:jc w:val="right"/>
            </w:pPr>
            <w:r>
              <w:rPr>
                <w:color w:themeColor="text1" w:val="000000"/>
                <w:sz w:val="24"/>
              </w:rPr>
              <w:t>1.48</w:t>
            </w:r>
          </w:p>
        </w:tc>
      </w:tr>
    </w:tbl>
    <w:p w:rsidP="006C750F" w:rsidR="00521EDE" w:rsidRDefault="009B223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00B62914" w:rsidRPr="00A67563">
        <w:rPr>
          <w:color w:themeColor="text1" w:val="000000"/>
          <w:sz w:val="24"/>
        </w:rPr>
        <w:t/>
      </w:r>
      <w:proofErr w:type="spellEnd"/>
      <w:proofErr w:type="gramEnd"/>
      <w:r w:rsidR="00E73C41" w:rsidRPr="00A67563">
        <w:rPr>
          <w:color w:themeColor="text1" w:val="000000"/>
          <w:sz w:val="24"/>
        </w:rPr>
        <w:t>注：此处所用证券代码的类别是当地市场代码。</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5</w:t>
      </w:r>
      <w:r w:rsidR="0076518F" w:rsidRPr="00A67563">
        <w:rPr>
          <w:b/>
          <w:color w:themeColor="text1" w:val="000000"/>
          <w:kern w:val="0"/>
          <w:sz w:val="24"/>
        </w:rPr>
        <w:t xml:space="preserve"> </w:t>
      </w:r>
      <w:r w:rsidR="0076518F" w:rsidRPr="00A67563">
        <w:rPr>
          <w:b/>
          <w:color w:themeColor="text1" w:val="000000"/>
          <w:kern w:val="0"/>
          <w:sz w:val="24"/>
        </w:rPr>
        <w:t>报告期末按债券信用等级分类的债券投资组合</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本基金本报告期末未持有债券。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6</w:t>
      </w:r>
      <w:r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w:t>
      </w:r>
      <w:r w:rsidR="00B26CF4">
        <w:rPr>
          <w:rFonts w:hint="eastAsia"/>
          <w:b/>
          <w:color w:themeColor="text1" w:val="000000"/>
          <w:kern w:val="0"/>
          <w:sz w:val="24"/>
        </w:rPr>
        <w:t>序</w:t>
      </w:r>
      <w:r w:rsidR="0076518F" w:rsidRPr="00A67563">
        <w:rPr>
          <w:b/>
          <w:color w:themeColor="text1" w:val="000000"/>
          <w:kern w:val="0"/>
          <w:sz w:val="24"/>
        </w:rPr>
        <w:t>的前五名债券投资明细</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本基金本报告期末未持有债券。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7</w:t>
      </w:r>
      <w:r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w:t>
      </w:r>
      <w:r w:rsidR="00B26CF4">
        <w:rPr>
          <w:rFonts w:hint="eastAsia"/>
          <w:b/>
          <w:color w:themeColor="text1" w:val="000000"/>
          <w:kern w:val="0"/>
          <w:sz w:val="24"/>
        </w:rPr>
        <w:t>序</w:t>
      </w:r>
      <w:r w:rsidR="0076518F" w:rsidRPr="00A67563">
        <w:rPr>
          <w:b/>
          <w:color w:themeColor="text1" w:val="000000"/>
          <w:kern w:val="0"/>
          <w:sz w:val="24"/>
        </w:rPr>
        <w:t>的前十名资产支持证券投资明细</w:t>
      </w:r>
    </w:p>
    <w:p w:rsidP="002D6955" w:rsidR="00521EDE" w:rsidRDefault="00521EDE"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本基金本报告期末未持有资产支持证券。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proofErr w:type="gramStart"/>
      <w:r w:rsidRPr="00A67563">
        <w:rPr>
          <w:b/>
          <w:color w:themeColor="text1" w:val="000000"/>
          <w:kern w:val="0"/>
          <w:sz w:val="24"/>
        </w:rPr>
        <w:t>.</w:t>
      </w:r>
      <w:r w:rsidR="002A0FA2" w:rsidRPr="00A67563">
        <w:rPr>
          <w:b/>
          <w:color w:themeColor="text1" w:val="000000"/>
          <w:kern w:val="0"/>
          <w:sz w:val="24"/>
        </w:rPr>
        <w:t/>
      </w:r>
      <w:proofErr w:type="gramEnd"/>
      <w:r w:rsidR="002A0FA2" w:rsidRPr="00A67563">
        <w:rPr>
          <w:b/>
          <w:color w:themeColor="text1" w:val="000000"/>
          <w:kern w:val="0"/>
          <w:sz w:val="24"/>
        </w:rPr>
        <w:t/>
      </w:r>
      <w:r w:rsidRPr="00A67563">
        <w:rPr>
          <w:b/>
          <w:color w:themeColor="text1" w:val="000000"/>
          <w:kern w:val="0"/>
          <w:sz w:val="24"/>
        </w:rPr>
        <w:t>8</w:t>
      </w:r>
      <w:r w:rsidR="0076518F"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w:t>
      </w:r>
      <w:r w:rsidR="00B26CF4">
        <w:rPr>
          <w:rFonts w:hint="eastAsia"/>
          <w:b/>
          <w:color w:themeColor="text1" w:val="000000"/>
          <w:kern w:val="0"/>
          <w:sz w:val="24"/>
        </w:rPr>
        <w:t>序</w:t>
      </w:r>
      <w:r w:rsidR="0076518F" w:rsidRPr="00A67563">
        <w:rPr>
          <w:b/>
          <w:color w:themeColor="text1" w:val="000000"/>
          <w:kern w:val="0"/>
          <w:sz w:val="24"/>
        </w:rPr>
        <w:t>的前五名金融衍生品投资明细</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本基金本报告期末未持有金融衍生品。</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00B22A61" w:rsidRPr="00A67563">
        <w:rPr>
          <w:b/>
          <w:color w:themeColor="text1" w:val="000000"/>
          <w:kern w:val="0"/>
          <w:sz w:val="24"/>
        </w:rPr>
        <w:t>5.</w:t>
      </w:r>
      <w:r w:rsidRPr="00A67563">
        <w:rPr>
          <w:b/>
          <w:color w:themeColor="text1" w:val="000000"/>
          <w:kern w:val="0"/>
          <w:sz w:val="24"/>
        </w:rPr>
        <w:t/>
      </w:r>
      <w:r w:rsidR="00B22A61" w:rsidRPr="00A67563">
        <w:rPr>
          <w:b/>
          <w:color w:themeColor="text1" w:val="000000"/>
          <w:kern w:val="0"/>
          <w:sz w:val="24"/>
        </w:rPr>
        <w:t>9</w:t>
      </w:r>
      <w:r w:rsidR="0076518F" w:rsidRPr="00A67563">
        <w:rPr>
          <w:b/>
          <w:color w:themeColor="text1" w:val="000000"/>
          <w:kern w:val="0"/>
          <w:sz w:val="24"/>
        </w:rPr>
        <w:t>报告期末按公允价值占基金资产净值比例大小排序的前十名基金投资明细</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本基金本报告期末未持有基金。</w:t>
      </w:r>
    </w:p>
    <w:p w:rsidP="0049659A" w:rsidR="0076518F" w:rsidRDefault="00B22A61"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00B55EA7" w:rsidRPr="00A67563">
        <w:rPr>
          <w:b/>
          <w:color w:themeColor="text1" w:val="000000"/>
          <w:kern w:val="0"/>
          <w:sz w:val="24"/>
        </w:rPr>
        <w:t>5</w:t>
      </w:r>
      <w:r w:rsidR="0076518F" w:rsidRPr="00A67563">
        <w:rPr>
          <w:b/>
          <w:color w:themeColor="text1" w:val="000000"/>
          <w:kern w:val="0"/>
          <w:sz w:val="24"/>
        </w:rPr>
        <w:t>.</w:t>
      </w:r>
      <w:r w:rsidRPr="00A67563">
        <w:rPr>
          <w:b/>
          <w:color w:themeColor="text1" w:val="000000"/>
          <w:kern w:val="0"/>
          <w:sz w:val="24"/>
        </w:rPr>
        <w:t/>
      </w:r>
      <w:r w:rsidR="00B55EA7" w:rsidRPr="00A67563">
        <w:rPr>
          <w:b/>
          <w:color w:themeColor="text1" w:val="000000"/>
          <w:kern w:val="0"/>
          <w:sz w:val="24"/>
        </w:rPr>
        <w:t>10</w:t>
      </w:r>
      <w:r w:rsidR="0076518F" w:rsidRPr="00A67563">
        <w:rPr>
          <w:b/>
          <w:color w:themeColor="text1" w:val="000000"/>
          <w:kern w:val="0"/>
          <w:sz w:val="24"/>
        </w:rPr>
        <w:t xml:space="preserve"> </w:t>
      </w:r>
      <w:r w:rsidR="0076518F" w:rsidRPr="00A67563">
        <w:rPr>
          <w:b/>
          <w:color w:themeColor="text1" w:val="000000"/>
          <w:kern w:val="0"/>
          <w:sz w:val="24"/>
        </w:rPr>
        <w:t>投资组合报告附注</w:t>
      </w:r>
    </w:p>
    <w:p w:rsidP="000E3F11" w:rsidR="00B55EA7" w:rsidRDefault="00B55EA7" w:rsidRPr="00A67563">
      <w:pPr>
        <w:widowControl/>
        <w:spacing w:line="360" w:lineRule="auto"/>
        <w:ind w:hanging="120" w:hangingChars="50" w:left="120"/>
        <w:rPr>
          <w:color w:themeColor="text1" w:val="000000"/>
          <w:sz w:val="24"/>
        </w:rPr>
      </w:pPr>
      <w:r w:rsidRPr="00A67563">
        <w:rPr>
          <w:color w:themeColor="text1" w:val="000000"/>
          <w:sz w:val="24"/>
        </w:rPr>
        <w:t>5.10.1</w:t>
      </w:r>
      <w:r w:rsidR="008212BF">
        <w:rPr>
          <w:rFonts w:hint="eastAsia"/>
          <w:color w:themeColor="text1" w:val="000000"/>
          <w:sz w:val="24"/>
        </w:rPr>
        <w:t xml:space="preserve"> </w:t>
      </w:r>
      <w:r w:rsidRPr="00A67563">
        <w:rPr>
          <w:color w:themeColor="text1" w:val="000000"/>
          <w:sz w:val="24"/>
        </w:rPr>
        <w:t>本基金投资的前十名证券的发行主体本期没有出现被监管部门立案调查，或在报告编制日前一年内受到公开谴责、处罚的情形。</w:t>
      </w:r>
    </w:p>
    <w:p w:rsidP="00B55EA7" w:rsidR="00B55EA7" w:rsidRDefault="00B55EA7" w:rsidRPr="00A67563">
      <w:pPr>
        <w:widowControl/>
        <w:spacing w:line="360" w:lineRule="auto"/>
        <w:rPr>
          <w:color w:themeColor="text1" w:val="000000"/>
          <w:sz w:val="24"/>
        </w:rPr>
      </w:pPr>
      <w:r w:rsidRPr="00A67563">
        <w:rPr>
          <w:color w:themeColor="text1" w:val="000000"/>
          <w:sz w:val="24"/>
        </w:rPr>
        <w:t/>
      </w:r>
      <w:proofErr w:type="gramStart"/>
      <w:r w:rsidRPr="00A67563">
        <w:rPr>
          <w:color w:themeColor="text1" w:val="000000"/>
          <w:sz w:val="24"/>
        </w:rPr>
        <w:t/>
      </w:r>
      <w:proofErr w:type="gramEnd"/>
      <w:r w:rsidRPr="00A67563">
        <w:rPr>
          <w:color w:themeColor="text1" w:val="000000"/>
          <w:sz w:val="24"/>
        </w:rPr>
        <w:t>5.10.2</w:t>
      </w:r>
      <w:r w:rsidR="008212BF">
        <w:rPr>
          <w:rFonts w:hint="eastAsia"/>
          <w:color w:themeColor="text1" w:val="000000"/>
          <w:sz w:val="24"/>
        </w:rPr>
        <w:t xml:space="preserve"> </w:t>
      </w:r>
      <w:r w:rsidRPr="00A67563">
        <w:rPr>
          <w:color w:themeColor="text1" w:val="000000"/>
          <w:sz w:val="24"/>
        </w:rPr>
        <w:t>本基金投资的前十名股票没有超出基金合同规定的备选股票库。</w:t>
      </w:r>
    </w:p>
    <w:p w:rsidP="0049659A"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5.1</w:t>
      </w:r>
      <w:r w:rsidR="002A0FA2" w:rsidRPr="00A67563">
        <w:rPr>
          <w:b/>
          <w:color w:themeColor="text1" w:val="000000"/>
          <w:kern w:val="0"/>
          <w:sz w:val="24"/>
        </w:rPr>
        <w:t>0</w:t>
      </w:r>
      <w:r w:rsidR="0076518F" w:rsidRPr="00A67563">
        <w:rPr>
          <w:b/>
          <w:color w:themeColor="text1" w:val="000000"/>
          <w:kern w:val="0"/>
          <w:sz w:val="24"/>
        </w:rPr>
        <w:t>.3</w:t>
      </w:r>
      <w:r w:rsidR="0076518F" w:rsidRPr="00A67563">
        <w:rPr>
          <w:b/>
          <w:color w:themeColor="text1" w:val="000000"/>
          <w:kern w:val="0"/>
          <w:sz w:val="24"/>
        </w:rPr>
        <w:t>其他</w:t>
      </w:r>
      <w:bookmarkStart w:id="2" w:name="_GoBack"/>
      <w:bookmarkEnd w:id="2"/>
      <w:r w:rsidR="0076518F" w:rsidRPr="00A67563">
        <w:rPr>
          <w:b/>
          <w:color w:themeColor="text1" w:val="000000"/>
          <w:kern w:val="0"/>
          <w:sz w:val="24"/>
        </w:rPr>
        <w:t>资产构成</w:t>
      </w:r>
    </w:p>
    <w:tbl>
      <w:tblPr>
        <w:tblStyle w:val="af7"/>
        <w:tblW w:type="auto" w:w="0"/>
        <w:tblInd w:type="dxa" w:w="15"/>
        <w:tblLayout w:type="fixed"/>
        <w:tblLook w:firstColumn="1" w:firstRow="1" w:lastColumn="0" w:lastRow="0" w:noHBand="0" w:noVBand="1" w:val="04A0"/>
      </w:tblPr>
      <w:tblGrid>
        <w:gridCol w:w="802"/>
        <w:gridCol w:w="2903"/>
        <w:gridCol w:w="4808"/>
      </w:tblGrid>
      <w:tr w:rsidR="008277FF" w:rsidRPr="00A67563" w:rsidTr="004C05F3">
        <w:tc>
          <w:tcPr>
            <w:tcW w:type="dxa" w:w="802"/>
            <w:vAlign w:val="center"/>
          </w:tcPr>
          <w:p w:rsidP="00797DD2" w:rsidR="002C2678" w:rsidRDefault="002C2678"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序号</w:t>
            </w:r>
          </w:p>
        </w:tc>
        <w:tc>
          <w:tcPr>
            <w:tcW w:type="dxa" w:w="2903"/>
            <w:vAlign w:val="center"/>
          </w:tcPr>
          <w:p w:rsidP="00797DD2" w:rsidR="002C2678" w:rsidRDefault="002C2678"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名称</w:t>
            </w:r>
          </w:p>
        </w:tc>
        <w:tc>
          <w:tcPr>
            <w:tcW w:type="dxa" w:w="4808"/>
            <w:vAlign w:val="center"/>
          </w:tcPr>
          <w:p w:rsidP="00797DD2" w:rsidR="002C2678" w:rsidRDefault="002C2678"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金额</w:t>
            </w:r>
            <w:r w:rsidRPr="00A67563">
              <w:rPr>
                <w:color w:themeColor="text1" w:val="000000"/>
                <w:kern w:val="0"/>
                <w:sz w:val="24"/>
              </w:rPr>
              <w:t>(</w:t>
            </w:r>
            <w:r w:rsidR="00C42431" w:rsidRPr="00A67563">
              <w:rPr>
                <w:color w:themeColor="text1" w:val="000000"/>
                <w:kern w:val="0"/>
                <w:sz w:val="24"/>
              </w:rPr>
              <w:t>人民币</w:t>
            </w:r>
            <w:r w:rsidRPr="00A67563">
              <w:rPr>
                <w:color w:themeColor="text1" w:val="000000"/>
                <w:kern w:val="0"/>
                <w:sz w:val="24"/>
              </w:rPr>
              <w:t>元</w:t>
            </w:r>
            <w:r w:rsidRPr="00A67563">
              <w:rPr>
                <w:color w:themeColor="text1" w:val="000000"/>
                <w:kern w:val="0"/>
                <w:sz w:val="24"/>
              </w:rPr>
              <w:t>)</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sz w:val="24"/>
              </w:rPr>
              <w:t>1</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存出保证金</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2</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应收证券清算款</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3</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应收股利</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194,185.82</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4</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应收利息</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80.47</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5</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应收申购款</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85,404.50</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6</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其他应收款</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F951CF" w:rsidRDefault="00F951CF"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7</w:t>
            </w:r>
          </w:p>
        </w:tc>
        <w:tc>
          <w:tcPr>
            <w:tcW w:type="dxa" w:w="2903"/>
            <w:vAlign w:val="center"/>
          </w:tcPr>
          <w:p w:rsidP="009E3391" w:rsidR="00F951CF" w:rsidRDefault="00F951CF" w:rsidRPr="00A67563">
            <w:pPr>
              <w:autoSpaceDE w:val="0"/>
              <w:autoSpaceDN w:val="0"/>
              <w:adjustRightInd w:val="0"/>
              <w:spacing w:before="29" w:line="360" w:lineRule="auto"/>
              <w:ind w:left="15"/>
              <w:rPr>
                <w:color w:themeColor="text1" w:val="000000"/>
                <w:sz w:val="24"/>
              </w:rPr>
            </w:pPr>
            <w:r w:rsidRPr="00A67563">
              <w:rPr>
                <w:color w:themeColor="text1" w:val="000000"/>
                <w:sz w:val="24"/>
              </w:rPr>
              <w:t>待摊费用</w:t>
            </w:r>
          </w:p>
        </w:tc>
        <w:tc>
          <w:tcPr>
            <w:tcW w:type="dxa" w:w="4808"/>
            <w:vAlign w:val="center"/>
          </w:tcPr>
          <w:p w:rsidP="00797DD2" w:rsidR="00F951CF" w:rsidRDefault="00F951CF" w:rsidRPr="00A67563">
            <w:pPr>
              <w:autoSpaceDE w:val="0"/>
              <w:autoSpaceDN w:val="0"/>
              <w:adjustRightInd w:val="0"/>
              <w:spacing w:before="29" w:line="360" w:lineRule="auto"/>
              <w:ind w:left="15"/>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9E3391">
        <w:tc>
          <w:tcPr>
            <w:tcW w:type="dxa" w:w="802"/>
            <w:vAlign w:val="center"/>
          </w:tcPr>
          <w:p w:rsidP="00797DD2" w:rsidR="00F951CF" w:rsidRDefault="00F951CF"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8</w:t>
            </w:r>
          </w:p>
        </w:tc>
        <w:tc>
          <w:tcPr>
            <w:tcW w:type="dxa" w:w="2903"/>
            <w:vAlign w:val="center"/>
          </w:tcPr>
          <w:p w:rsidP="009E3391" w:rsidR="00F951CF" w:rsidRDefault="00F951CF"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其他</w:t>
            </w:r>
          </w:p>
        </w:tc>
        <w:tc>
          <w:tcPr>
            <w:tcW w:type="dxa" w:w="4808"/>
            <w:vAlign w:val="center"/>
          </w:tcPr>
          <w:p w:rsidP="00797DD2" w:rsidR="00F951CF" w:rsidRDefault="00F951C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F951CF" w:rsidRDefault="00F951CF"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9</w:t>
            </w:r>
          </w:p>
        </w:tc>
        <w:tc>
          <w:tcPr>
            <w:tcW w:type="dxa" w:w="2903"/>
            <w:vAlign w:val="center"/>
          </w:tcPr>
          <w:p w:rsidP="009E3391" w:rsidR="00F951CF" w:rsidRDefault="00F951CF"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合计</w:t>
            </w:r>
          </w:p>
        </w:tc>
        <w:tc>
          <w:tcPr>
            <w:tcW w:type="dxa" w:w="4808"/>
            <w:vAlign w:val="center"/>
          </w:tcPr>
          <w:p w:rsidP="00797DD2" w:rsidR="00F951CF" w:rsidRDefault="00F951C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279,670.79</w:t>
            </w:r>
          </w:p>
        </w:tc>
      </w:tr>
    </w:tbl>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5.1</w:t>
      </w:r>
      <w:r w:rsidR="002A0FA2" w:rsidRPr="00A67563">
        <w:rPr>
          <w:b/>
          <w:color w:themeColor="text1" w:val="000000"/>
          <w:kern w:val="0"/>
          <w:sz w:val="24"/>
        </w:rPr>
        <w:t>0</w:t>
      </w:r>
      <w:r w:rsidR="0076518F" w:rsidRPr="00A67563">
        <w:rPr>
          <w:b/>
          <w:color w:themeColor="text1" w:val="000000"/>
          <w:kern w:val="0"/>
          <w:sz w:val="24"/>
        </w:rPr>
        <w:t>.4</w:t>
      </w:r>
      <w:r w:rsidR="0076518F" w:rsidRPr="00A67563">
        <w:rPr>
          <w:b/>
          <w:color w:themeColor="text1" w:val="000000"/>
          <w:kern w:val="0"/>
          <w:sz w:val="24"/>
        </w:rPr>
        <w:t>报告期末持有的处于转股期的可转换债券明细</w:t>
      </w:r>
    </w:p>
    <w:p w:rsidP="006C750F" w:rsidR="009E3391" w:rsidRDefault="000A55B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本基金本报告期末未持有处于转股期的可转换债券。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5.1</w:t>
      </w:r>
      <w:r w:rsidR="002A0FA2" w:rsidRPr="00A67563">
        <w:rPr>
          <w:b/>
          <w:color w:themeColor="text1" w:val="000000"/>
          <w:kern w:val="0"/>
          <w:sz w:val="24"/>
        </w:rPr>
        <w:t>0</w:t>
      </w:r>
      <w:r w:rsidR="0076518F" w:rsidRPr="00A67563">
        <w:rPr>
          <w:b/>
          <w:color w:themeColor="text1" w:val="000000"/>
          <w:kern w:val="0"/>
          <w:sz w:val="24"/>
        </w:rPr>
        <w:t xml:space="preserve">.5 </w:t>
      </w:r>
      <w:r w:rsidR="0076518F" w:rsidRPr="00A67563">
        <w:rPr>
          <w:b/>
          <w:color w:themeColor="text1" w:val="000000"/>
          <w:kern w:val="0"/>
          <w:sz w:val="24"/>
        </w:rPr>
        <w:t>报告</w:t>
      </w:r>
      <w:proofErr w:type="gramStart"/>
      <w:r w:rsidR="0076518F" w:rsidRPr="00A67563">
        <w:rPr>
          <w:b/>
          <w:color w:themeColor="text1" w:val="000000"/>
          <w:kern w:val="0"/>
          <w:sz w:val="24"/>
        </w:rPr>
        <w:t>期末前</w:t>
      </w:r>
      <w:proofErr w:type="gramEnd"/>
      <w:r w:rsidR="0076518F" w:rsidRPr="00A67563">
        <w:rPr>
          <w:b/>
          <w:color w:themeColor="text1" w:val="000000"/>
          <w:kern w:val="0"/>
          <w:sz w:val="24"/>
        </w:rPr>
        <w:t>十名股票中存在流通受限情况的说明</w:t>
      </w:r>
    </w:p>
    <w:p w:rsidP="002D6955" w:rsidR="000A55BD" w:rsidRDefault="000A55B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本基金本报告期末前十名股票中不存在流通受限情况。</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§6  </w:t>
      </w:r>
      <w:r w:rsidRPr="00A67563">
        <w:rPr>
          <w:color w:themeColor="text1" w:val="000000"/>
          <w:kern w:val="0"/>
          <w:sz w:val="24"/>
          <w:szCs w:val="24"/>
        </w:rPr>
        <w:t>开放式基金份额变动</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单位：份</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225051" w:rsidRPr="00A67563" w:rsidTr="006C750F">
        <w:trPr>
          <w:jc w:val="center"/>
        </w:trPr>
        <w:tc>
          <w:tcPr>
            <w:tcW w:type="dxa" w:w="3900"/>
            <w:vAlign w:val="center"/>
          </w:tcPr>
          <w:p w:rsidP="00845292" w:rsidR="00225051" w:rsidRDefault="00225051"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项目</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易方达香港恒生综合小型股指数（QDII-LOF）A</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t/>
            </w:r>
            <w:r w:rsidRPr="00A67563">
              <w:rPr>
                <w:color w:themeColor="text1" w:val="000000"/>
                <w:sz w:val="24"/>
              </w:rPr>
              <w:t>易方达香港恒生综合小型股指数（QDII-LOF）C</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lastRenderedPageBreak/>
              <w:t>报告期期</w:t>
            </w:r>
            <w:proofErr w:type="gramStart"/>
            <w:r w:rsidRPr="00A67563">
              <w:rPr>
                <w:color w:themeColor="text1" w:val="000000"/>
                <w:kern w:val="0"/>
                <w:sz w:val="24"/>
              </w:rPr>
              <w:t>初基金</w:t>
            </w:r>
            <w:proofErr w:type="gramEnd"/>
            <w:r w:rsidRPr="00A67563">
              <w:rPr>
                <w:color w:themeColor="text1" w:val="000000"/>
                <w:kern w:val="0"/>
                <w:sz w:val="24"/>
              </w:rPr>
              <w:t>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21,936,533.38</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2,887,336.59</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基金总申购份额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973,522.00</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989,817.63</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减：</w:t>
            </w: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基金总赎回份额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4,881,116.70</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1,691,593.27</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基金拆分变动份额</w:t>
            </w:r>
            <w:r w:rsidR="00A40508">
              <w:rPr>
                <w:rFonts w:hint="eastAsia"/>
                <w:color w:val="000000"/>
                <w:kern w:val="0"/>
                <w:sz w:val="24"/>
              </w:rPr>
              <w:t>（份额减少以“</w:t>
            </w:r>
            <w:r w:rsidR="00A40508">
              <w:rPr>
                <w:color w:val="000000"/>
                <w:kern w:val="0"/>
                <w:sz w:val="24"/>
              </w:rPr>
              <w:t>-</w:t>
            </w:r>
            <w:r w:rsidR="00A40508">
              <w:rPr>
                <w:rFonts w:hint="eastAsia"/>
                <w:color w:val="000000"/>
                <w:kern w:val="0"/>
                <w:sz w:val="24"/>
              </w:rPr>
              <w:t>”填列）</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报告期期末基金份额总额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18,028,938.68</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2,185,560.95</w:t>
            </w:r>
          </w:p>
        </w:tc>
      </w:tr>
    </w:tbl>
    <w:p w:rsidP="00775284" w:rsidR="00BB5F3D" w:rsidRDefault="00BB5F3D" w:rsidRPr="00A67563">
      <w:pPr>
        <w:pStyle w:val="1"/>
        <w:tabs>
          <w:tab w:pos="4156" w:val="center"/>
          <w:tab w:pos="8312" w:val="right"/>
        </w:tabs>
        <w:spacing w:after="312" w:afterLines="100" w:before="312" w:beforeLines="100" w:line="360" w:lineRule="auto"/>
        <w:jc w:val="center"/>
        <w:rPr>
          <w:color w:themeColor="text1" w:val="000000"/>
          <w:sz w:val="24"/>
        </w:rPr>
      </w:pPr>
      <w:r w:rsidRPr="00A67563">
        <w:rPr>
          <w:color w:themeColor="text1" w:val="000000"/>
          <w:kern w:val="0"/>
          <w:sz w:val="24"/>
          <w:szCs w:val="24"/>
        </w:rPr>
        <w:t/>
      </w:r>
      <w:proofErr w:type="spellStart"/>
      <w:r w:rsidRPr="00A67563">
        <w:rPr>
          <w:color w:themeColor="text1" w:val="000000"/>
          <w:kern w:val="0"/>
          <w:sz w:val="24"/>
          <w:szCs w:val="24"/>
        </w:rPr>
        <w:t/>
      </w:r>
      <w:proofErr w:type="spellEnd"/>
      <w:r w:rsidRPr="00A67563">
        <w:rPr>
          <w:color w:themeColor="text1" w:val="000000"/>
          <w:kern w:val="0"/>
          <w:sz w:val="24"/>
          <w:szCs w:val="24"/>
        </w:rPr>
        <w:t>§</w:t>
      </w:r>
      <w:r w:rsidR="007D62A3" w:rsidRPr="00A67563">
        <w:rPr>
          <w:color w:themeColor="text1" w:val="000000"/>
          <w:kern w:val="0"/>
          <w:sz w:val="24"/>
          <w:szCs w:val="24"/>
        </w:rPr>
        <w:t/>
      </w:r>
      <w:r w:rsidRPr="00A67563">
        <w:rPr>
          <w:color w:themeColor="text1" w:val="000000"/>
          <w:kern w:val="0"/>
          <w:sz w:val="24"/>
          <w:szCs w:val="24"/>
        </w:rPr>
        <w:t xml:space="preserve">7  </w:t>
      </w:r>
      <w:r w:rsidRPr="00A67563">
        <w:rPr>
          <w:color w:themeColor="text1" w:val="000000"/>
          <w:sz w:val="24"/>
          <w:szCs w:val="24"/>
        </w:rPr>
        <w:t>基金管理人运用固有资金投资本基金</w:t>
      </w:r>
      <w:r w:rsidR="00775284">
        <w:rPr>
          <w:rFonts w:hint="eastAsia"/>
          <w:color w:val="000000"/>
          <w:kern w:val="0"/>
          <w:sz w:val="24"/>
        </w:rPr>
        <w:t>交易明细</w:t>
      </w:r>
    </w:p>
    <w:p w:rsidP="00E2281D" w:rsidR="005E64DA" w:rsidRDefault="00BB5F3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本报告期内基金管理人未运用固有资金申购、赎回、买卖本基金份额。</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w:t>
      </w:r>
      <w:r w:rsidR="002711AA" w:rsidRPr="00A67563">
        <w:rPr>
          <w:color w:themeColor="text1" w:val="000000"/>
          <w:kern w:val="0"/>
          <w:sz w:val="24"/>
          <w:szCs w:val="24"/>
        </w:rPr>
        <w:t/>
      </w:r>
      <w:r w:rsidR="00376A15" w:rsidRPr="00A67563">
        <w:rPr>
          <w:color w:themeColor="text1" w:val="000000"/>
          <w:kern w:val="0"/>
          <w:sz w:val="24"/>
          <w:szCs w:val="24"/>
        </w:rPr>
        <w:t/>
      </w:r>
      <w:r w:rsidR="00AE7D44" w:rsidRPr="00A67563">
        <w:rPr>
          <w:color w:themeColor="text1" w:val="000000"/>
          <w:kern w:val="0"/>
          <w:sz w:val="24"/>
          <w:szCs w:val="24"/>
        </w:rPr>
        <w:t/>
      </w:r>
      <w:r w:rsidR="00B111B9" w:rsidRPr="00A67563">
        <w:rPr>
          <w:color w:themeColor="text1" w:val="000000"/>
          <w:kern w:val="0"/>
          <w:sz w:val="24"/>
          <w:szCs w:val="24"/>
        </w:rPr>
        <w:t/>
      </w:r>
      <w:r w:rsidR="002711AA" w:rsidRPr="00A67563">
        <w:rPr>
          <w:color w:themeColor="text1" w:val="000000"/>
          <w:kern w:val="0"/>
          <w:sz w:val="24"/>
          <w:szCs w:val="24"/>
        </w:rPr>
        <w:t>8</w:t>
      </w:r>
      <w:r w:rsidR="00BD7FC1" w:rsidRPr="00A67563">
        <w:rPr>
          <w:bCs w:val="0"/>
          <w:color w:themeColor="text1" w:val="000000"/>
          <w:kern w:val="2"/>
          <w:sz w:val="24"/>
          <w:szCs w:val="24"/>
        </w:rPr>
        <w:t xml:space="preserve">  </w:t>
      </w:r>
      <w:r w:rsidRPr="00A67563">
        <w:rPr>
          <w:color w:themeColor="text1" w:val="000000"/>
          <w:kern w:val="0"/>
          <w:sz w:val="24"/>
          <w:szCs w:val="24"/>
        </w:rPr>
        <w:t>备查文件目录</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
      </w:r>
      <w:r w:rsidR="008975BC" w:rsidRPr="00A67563">
        <w:rPr>
          <w:b/>
          <w:bCs/>
          <w:color w:themeColor="text1" w:val="000000"/>
          <w:kern w:val="0"/>
          <w:sz w:val="24"/>
        </w:rPr>
        <w:t/>
      </w:r>
      <w:r w:rsidR="00376A15" w:rsidRPr="00A67563">
        <w:rPr>
          <w:b/>
          <w:bCs/>
          <w:color w:themeColor="text1" w:val="000000"/>
          <w:kern w:val="0"/>
          <w:sz w:val="24"/>
        </w:rPr>
        <w:t>1</w:t>
      </w:r>
      <w:r w:rsidR="008975BC" w:rsidRPr="00A67563">
        <w:rPr>
          <w:b/>
          <w:bCs/>
          <w:color w:themeColor="text1" w:val="000000"/>
          <w:kern w:val="0"/>
          <w:sz w:val="24"/>
        </w:rPr>
        <w:t xml:space="preserve"> </w:t>
      </w:r>
      <w:r w:rsidR="008975BC" w:rsidRPr="00A67563">
        <w:rPr>
          <w:b/>
          <w:bCs/>
          <w:color w:themeColor="text1" w:val="000000"/>
          <w:kern w:val="0"/>
          <w:sz w:val="24"/>
        </w:rPr>
        <w:t>备查文件目录</w:t>
      </w:r>
    </w:p>
    <w:p>
      <w:pPr>
        <w:spacing w:line="360" w:lineRule="auto"/>
        <w:ind w:firstLine="480" w:firstLineChars="200"/>
        <w:rPr>
          <w:color w:themeColor="text1" w:val="000000"/>
          <w:sz w:val="24"/>
        </w:rPr>
      </w:pPr>
      <w:r>
        <w:rPr>
          <w:color w:themeColor="text1" w:val="000000"/>
          <w:sz w:val="24"/>
        </w:rPr>
        <w:t>1.中国证监会准予易方达香港恒生综合小型股指数证券投资基金（LOF）注册的文件；</w:t>
      </w:r>
    </w:p>
    <w:p>
      <w:pPr>
        <w:spacing w:line="360" w:lineRule="auto"/>
        <w:ind w:firstLine="480" w:firstLineChars="200"/>
        <w:rPr>
          <w:color w:themeColor="text1" w:val="000000"/>
          <w:sz w:val="24"/>
        </w:rPr>
      </w:pPr>
      <w:r>
        <w:rPr>
          <w:color w:themeColor="text1" w:val="000000"/>
          <w:sz w:val="24"/>
        </w:rPr>
        <w:t>2. 《易方达香港恒生综合小型股指数证券投资基金（LOF）基金合同》；</w:t>
      </w:r>
    </w:p>
    <w:p>
      <w:pPr>
        <w:spacing w:line="360" w:lineRule="auto"/>
        <w:ind w:firstLine="480" w:firstLineChars="200"/>
        <w:rPr>
          <w:color w:themeColor="text1" w:val="000000"/>
          <w:sz w:val="24"/>
        </w:rPr>
      </w:pPr>
      <w:r>
        <w:rPr>
          <w:color w:themeColor="text1" w:val="000000"/>
          <w:sz w:val="24"/>
        </w:rPr>
        <w:t>3. 《易方达香港恒生综合小型股指数证券投资基金（LOF）托管协议》；</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4. 基金管理人业务资格批件和营业执照。</w:t>
      </w:r>
    </w:p>
    <w:p w:rsidP="000C7596" w:rsidR="008A2EC6" w:rsidRDefault="008A2EC6" w:rsidRPr="00A67563">
      <w:pPr>
        <w:spacing w:line="360" w:lineRule="auto"/>
        <w:ind w:firstLine="480" w:firstLineChars="200"/>
        <w:rPr>
          <w:color w:themeColor="text1" w:val="000000"/>
          <w:sz w:val="24"/>
        </w:rPr>
      </w:pP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2</w:t>
      </w:r>
      <w:r w:rsidR="008975BC" w:rsidRPr="00A67563">
        <w:rPr>
          <w:b/>
          <w:bCs/>
          <w:color w:themeColor="text1" w:val="000000"/>
          <w:kern w:val="0"/>
          <w:sz w:val="24"/>
        </w:rPr>
        <w:t xml:space="preserve"> </w:t>
      </w:r>
      <w:r w:rsidR="008975BC" w:rsidRPr="00A67563">
        <w:rPr>
          <w:b/>
          <w:bCs/>
          <w:color w:themeColor="text1" w:val="000000"/>
          <w:kern w:val="0"/>
          <w:sz w:val="24"/>
        </w:rPr>
        <w:t>存放地点</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广州市天河区珠江新城珠江东路30号广州银行大厦40-43楼。</w:t>
      </w:r>
    </w:p>
    <w:p w:rsidP="000C7596" w:rsidR="008A2EC6" w:rsidRDefault="008A2EC6" w:rsidRPr="00A67563">
      <w:pPr>
        <w:spacing w:line="360" w:lineRule="auto"/>
        <w:ind w:firstLine="480" w:firstLineChars="200"/>
        <w:rPr>
          <w:color w:themeColor="text1" w:val="000000"/>
          <w:sz w:val="24"/>
        </w:rPr>
      </w:pP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3</w:t>
      </w:r>
      <w:r w:rsidR="008975BC" w:rsidRPr="00A67563">
        <w:rPr>
          <w:b/>
          <w:bCs/>
          <w:color w:themeColor="text1" w:val="000000"/>
          <w:kern w:val="0"/>
          <w:sz w:val="24"/>
        </w:rPr>
        <w:t xml:space="preserve"> </w:t>
      </w:r>
      <w:r w:rsidR="008975BC" w:rsidRPr="00A67563">
        <w:rPr>
          <w:b/>
          <w:bCs/>
          <w:color w:themeColor="text1" w:val="000000"/>
          <w:kern w:val="0"/>
          <w:sz w:val="24"/>
        </w:rPr>
        <w:t>查阅方式</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投资者可在营业时间免费查阅，也可按工本费购买复印件。</w:t>
      </w:r>
    </w:p>
    <w:p w:rsidP="008B6A4A" w:rsidR="0076518F" w:rsidRDefault="0076518F" w:rsidRPr="00A67563">
      <w:pPr>
        <w:spacing w:line="360" w:lineRule="auto"/>
        <w:ind w:firstLine="480" w:firstLineChars="200"/>
        <w:rPr>
          <w:color w:themeColor="text1" w:val="000000"/>
          <w:sz w:val="24"/>
        </w:rPr>
      </w:pPr>
    </w:p>
    <w:p w:rsidP="008B6A4A" w:rsidR="008A2EC6" w:rsidRDefault="008A2EC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76518F" w:rsidRDefault="0076518F" w:rsidRPr="00A67563">
      <w:pPr>
        <w:spacing w:line="360" w:lineRule="auto"/>
        <w:ind w:firstLine="480" w:firstLineChars="200"/>
        <w:rPr>
          <w:color w:themeColor="text1" w:val="000000"/>
          <w:sz w:val="24"/>
        </w:rPr>
      </w:pPr>
    </w:p>
    <w:p w:rsidP="000C7596" w:rsidR="008975BC" w:rsidRDefault="008975BC"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易方达基金管理有限公司</w:t>
      </w:r>
    </w:p>
    <w:p w:rsidP="000C7596" w:rsidR="0076518F" w:rsidRDefault="00623556"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二〇二〇年七月二十一日</w:t>
      </w:r>
    </w:p>
    <w:sectPr w:rsidR="0076518F" w:rsidRPr="00A67563" w:rsidSect="00DB4450">
      <w:headerReference r:id="rId12" w:type="even"/>
      <w:footerReference r:id="rId13" w:type="even"/>
      <w:footerReference r:id="rId14" w:type="default"/>
      <w:headerReference r:id="rId15" w:type="first"/>
      <w:footerReference r:id="rId16"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8A3" w:rsidRDefault="00F008A3">
      <w:r>
        <w:separator/>
      </w:r>
    </w:p>
  </w:endnote>
  <w:endnote w:type="continuationSeparator" w:id="0">
    <w:p w:rsidR="00F008A3" w:rsidRDefault="00F0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3A661A" w:rsidRDefault="003A661A" w:rsidRPr="001D0DB0">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C273E">
      <w:rPr>
        <w:noProof/>
        <w:kern w:val="0"/>
        <w:szCs w:val="21"/>
      </w:rPr>
      <w:t>1</w:t>
    </w:r>
    <w:r>
      <w:rPr>
        <w:kern w:val="0"/>
        <w:szCs w:val="21"/>
      </w:rPr>
      <w:fldChar w:fldCharType="end"/>
    </w:r>
    <w:proofErr w:type="gramStart"/>
    <w:r>
      <w:rPr>
        <w:rFonts w:hint="eastAsia"/>
        <w:kern w:val="0"/>
        <w:szCs w:val="21"/>
      </w:rPr>
      <w:t>页共</w:t>
    </w:r>
    <w:proofErr w:type="gramEnd"/>
    <w:r>
      <w:rPr>
        <w:kern w:val="0"/>
        <w:szCs w:val="21"/>
      </w:rPr>
      <w:fldChar w:fldCharType="begin"/>
    </w:r>
    <w:r>
      <w:rPr>
        <w:kern w:val="0"/>
        <w:szCs w:val="21"/>
      </w:rPr>
      <w:instrText xml:space="preserve"> NUMPAGES </w:instrText>
    </w:r>
    <w:r>
      <w:rPr>
        <w:kern w:val="0"/>
        <w:szCs w:val="21"/>
      </w:rPr>
      <w:fldChar w:fldCharType="separate"/>
    </w:r>
    <w:r w:rsidR="007C273E">
      <w:rPr>
        <w:noProof/>
        <w:kern w:val="0"/>
        <w:szCs w:val="21"/>
      </w:rPr>
      <w:t>24</w:t>
    </w:r>
    <w:r>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end"/>
    </w:r>
  </w:p>
  <w:p w:rsidR="003A661A" w:rsidRDefault="003A661A">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separate"/>
    </w:r>
    <w:r w:rsidR="007C273E">
      <w:rPr>
        <w:rStyle w:val="a7"/>
        <w:noProof/>
      </w:rPr>
      <w:t>17</w:t>
    </w:r>
    <w:r>
      <w:rPr>
        <w:rStyle w:val="a7"/>
      </w:rPr>
      <w:fldChar w:fldCharType="end"/>
    </w:r>
  </w:p>
  <w:p w:rsidR="003A661A" w:rsidRDefault="003A661A">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F008A3" w:rsidRDefault="00F008A3">
      <w:r>
        <w:separator/>
      </w:r>
    </w:p>
  </w:footnote>
  <w:footnote w:id="0" w:type="continuationSeparator">
    <w:p w:rsidR="00F008A3" w:rsidRDefault="00F008A3">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3A661A" w:rsidRDefault="003A661A" w:rsidRPr="006669C9">
    <w:pPr>
      <w:pStyle w:val="a9"/>
      <w:pBdr>
        <w:bottom w:color="auto" w:space="0" w:sz="6" w:val="single"/>
      </w:pBdr>
      <w:jc w:val="right"/>
    </w:pPr>
    <w:r w:rsidRPr="006669C9">
      <w:t/>
    </w:r>
    <w:proofErr w:type="spellStart"/>
    <w:proofErr w:type="gramStart"/>
    <w:r w:rsidRPr="006669C9">
      <w:t/>
    </w:r>
    <w:proofErr w:type="spellEnd"/>
    <w:proofErr w:type="gramEnd"/>
    <w:r w:rsidRPr="006669C9">
      <w:t>易方达香港恒生综合小型股指数证券投资基金（LOF）</w:t>
    </w:r>
    <w:proofErr w:type="spellStart"/>
    <w:r w:rsidRPr="006669C9">
      <w:t/>
    </w:r>
    <w:proofErr w:type="spellEnd"/>
    <w:r w:rsidRPr="006669C9">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doNotDisplayPageBoundaries/>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7FB4"/>
    <w:rsid w:val="0000403B"/>
    <w:rsid w:val="00005911"/>
    <w:rsid w:val="00010A83"/>
    <w:rsid w:val="00010A8E"/>
    <w:rsid w:val="00010AC3"/>
    <w:rsid w:val="00011D4F"/>
    <w:rsid w:val="00011E10"/>
    <w:rsid w:val="00011EB5"/>
    <w:rsid w:val="00017581"/>
    <w:rsid w:val="00017739"/>
    <w:rsid w:val="00020583"/>
    <w:rsid w:val="00021DD4"/>
    <w:rsid w:val="0002303F"/>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610C"/>
    <w:rsid w:val="000876A0"/>
    <w:rsid w:val="00087CF7"/>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76"/>
    <w:rsid w:val="000C7596"/>
    <w:rsid w:val="000D01F4"/>
    <w:rsid w:val="000D121F"/>
    <w:rsid w:val="000D1519"/>
    <w:rsid w:val="000E1F7C"/>
    <w:rsid w:val="000E26E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7F4"/>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325A"/>
    <w:rsid w:val="00184DA0"/>
    <w:rsid w:val="00186199"/>
    <w:rsid w:val="0018734E"/>
    <w:rsid w:val="001928F7"/>
    <w:rsid w:val="00194537"/>
    <w:rsid w:val="00194F40"/>
    <w:rsid w:val="001A21A9"/>
    <w:rsid w:val="001A2E94"/>
    <w:rsid w:val="001A59D8"/>
    <w:rsid w:val="001A5FA6"/>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55D4"/>
    <w:rsid w:val="00265865"/>
    <w:rsid w:val="00267D54"/>
    <w:rsid w:val="002711AA"/>
    <w:rsid w:val="00273F86"/>
    <w:rsid w:val="002758B5"/>
    <w:rsid w:val="00276834"/>
    <w:rsid w:val="002774F0"/>
    <w:rsid w:val="00280566"/>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09D1"/>
    <w:rsid w:val="0031104D"/>
    <w:rsid w:val="00311094"/>
    <w:rsid w:val="0031598C"/>
    <w:rsid w:val="00316339"/>
    <w:rsid w:val="003204E9"/>
    <w:rsid w:val="00321E8C"/>
    <w:rsid w:val="00322A5E"/>
    <w:rsid w:val="00322A86"/>
    <w:rsid w:val="00323AE8"/>
    <w:rsid w:val="00324548"/>
    <w:rsid w:val="003251F4"/>
    <w:rsid w:val="003303E3"/>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61E7E"/>
    <w:rsid w:val="00363E15"/>
    <w:rsid w:val="00370AA4"/>
    <w:rsid w:val="00371FF4"/>
    <w:rsid w:val="003745DA"/>
    <w:rsid w:val="0037468D"/>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BC4"/>
    <w:rsid w:val="003A458A"/>
    <w:rsid w:val="003A661A"/>
    <w:rsid w:val="003B2F13"/>
    <w:rsid w:val="003B405E"/>
    <w:rsid w:val="003B57D3"/>
    <w:rsid w:val="003C1F58"/>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1E6A"/>
    <w:rsid w:val="00443C8F"/>
    <w:rsid w:val="00450AA3"/>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6C8B"/>
    <w:rsid w:val="00497079"/>
    <w:rsid w:val="00497E38"/>
    <w:rsid w:val="004A0BD6"/>
    <w:rsid w:val="004A1493"/>
    <w:rsid w:val="004A1BBA"/>
    <w:rsid w:val="004A3039"/>
    <w:rsid w:val="004A3E3C"/>
    <w:rsid w:val="004B0E6D"/>
    <w:rsid w:val="004B16E8"/>
    <w:rsid w:val="004B254D"/>
    <w:rsid w:val="004B327C"/>
    <w:rsid w:val="004B38A1"/>
    <w:rsid w:val="004B3F56"/>
    <w:rsid w:val="004B6250"/>
    <w:rsid w:val="004B76B1"/>
    <w:rsid w:val="004C0057"/>
    <w:rsid w:val="004C0541"/>
    <w:rsid w:val="004C05F3"/>
    <w:rsid w:val="004C2C46"/>
    <w:rsid w:val="004C30D5"/>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0D90"/>
    <w:rsid w:val="00521EDE"/>
    <w:rsid w:val="00525E59"/>
    <w:rsid w:val="005318CC"/>
    <w:rsid w:val="005346F1"/>
    <w:rsid w:val="005349B1"/>
    <w:rsid w:val="005374BC"/>
    <w:rsid w:val="00543367"/>
    <w:rsid w:val="00543BFA"/>
    <w:rsid w:val="0054649D"/>
    <w:rsid w:val="00547D9C"/>
    <w:rsid w:val="00547DA1"/>
    <w:rsid w:val="00550511"/>
    <w:rsid w:val="0055513C"/>
    <w:rsid w:val="00560C94"/>
    <w:rsid w:val="0056133A"/>
    <w:rsid w:val="0056291C"/>
    <w:rsid w:val="00565A63"/>
    <w:rsid w:val="00566588"/>
    <w:rsid w:val="00571BD3"/>
    <w:rsid w:val="0057275D"/>
    <w:rsid w:val="005749DF"/>
    <w:rsid w:val="005800A9"/>
    <w:rsid w:val="00580488"/>
    <w:rsid w:val="0058074D"/>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68CB"/>
    <w:rsid w:val="005F7085"/>
    <w:rsid w:val="005F79F9"/>
    <w:rsid w:val="00602ACD"/>
    <w:rsid w:val="006033E3"/>
    <w:rsid w:val="00605748"/>
    <w:rsid w:val="00610C82"/>
    <w:rsid w:val="0061321C"/>
    <w:rsid w:val="0062145B"/>
    <w:rsid w:val="00623556"/>
    <w:rsid w:val="0062386E"/>
    <w:rsid w:val="00623F01"/>
    <w:rsid w:val="00624407"/>
    <w:rsid w:val="0062493E"/>
    <w:rsid w:val="00626E2D"/>
    <w:rsid w:val="00627D94"/>
    <w:rsid w:val="00630B42"/>
    <w:rsid w:val="0063181A"/>
    <w:rsid w:val="00636CF5"/>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094A"/>
    <w:rsid w:val="00671124"/>
    <w:rsid w:val="006727B0"/>
    <w:rsid w:val="0067307E"/>
    <w:rsid w:val="00686EC0"/>
    <w:rsid w:val="00687AD5"/>
    <w:rsid w:val="00691153"/>
    <w:rsid w:val="00695251"/>
    <w:rsid w:val="00695ADE"/>
    <w:rsid w:val="00695C0D"/>
    <w:rsid w:val="00696356"/>
    <w:rsid w:val="006A1DAE"/>
    <w:rsid w:val="006A2C8E"/>
    <w:rsid w:val="006A72C6"/>
    <w:rsid w:val="006B02DA"/>
    <w:rsid w:val="006B077E"/>
    <w:rsid w:val="006B1FD1"/>
    <w:rsid w:val="006B2065"/>
    <w:rsid w:val="006B2E18"/>
    <w:rsid w:val="006B2F2B"/>
    <w:rsid w:val="006B3940"/>
    <w:rsid w:val="006B47D1"/>
    <w:rsid w:val="006C0411"/>
    <w:rsid w:val="006C124D"/>
    <w:rsid w:val="006C168D"/>
    <w:rsid w:val="006C1D52"/>
    <w:rsid w:val="006C4E16"/>
    <w:rsid w:val="006C55C8"/>
    <w:rsid w:val="006C5E36"/>
    <w:rsid w:val="006C642C"/>
    <w:rsid w:val="006C6FC6"/>
    <w:rsid w:val="006C750F"/>
    <w:rsid w:val="006D00D5"/>
    <w:rsid w:val="006E0BCB"/>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284"/>
    <w:rsid w:val="007756ED"/>
    <w:rsid w:val="007870FC"/>
    <w:rsid w:val="00787CD0"/>
    <w:rsid w:val="00791053"/>
    <w:rsid w:val="00791A3A"/>
    <w:rsid w:val="00791BB9"/>
    <w:rsid w:val="00794196"/>
    <w:rsid w:val="00794251"/>
    <w:rsid w:val="00795592"/>
    <w:rsid w:val="00796EC9"/>
    <w:rsid w:val="00797637"/>
    <w:rsid w:val="00797DD2"/>
    <w:rsid w:val="007A3680"/>
    <w:rsid w:val="007A59B8"/>
    <w:rsid w:val="007A75F5"/>
    <w:rsid w:val="007B2862"/>
    <w:rsid w:val="007B662A"/>
    <w:rsid w:val="007B73ED"/>
    <w:rsid w:val="007C273E"/>
    <w:rsid w:val="007D1292"/>
    <w:rsid w:val="007D28C9"/>
    <w:rsid w:val="007D3CC8"/>
    <w:rsid w:val="007D5584"/>
    <w:rsid w:val="007D62A3"/>
    <w:rsid w:val="007D62F9"/>
    <w:rsid w:val="007D63A4"/>
    <w:rsid w:val="007E1AA2"/>
    <w:rsid w:val="007E303C"/>
    <w:rsid w:val="007E4C1F"/>
    <w:rsid w:val="007F0759"/>
    <w:rsid w:val="007F25C0"/>
    <w:rsid w:val="007F26D5"/>
    <w:rsid w:val="007F4CD3"/>
    <w:rsid w:val="007F5F52"/>
    <w:rsid w:val="007F768B"/>
    <w:rsid w:val="007F77C6"/>
    <w:rsid w:val="008003A1"/>
    <w:rsid w:val="008006B7"/>
    <w:rsid w:val="00800FDB"/>
    <w:rsid w:val="00801249"/>
    <w:rsid w:val="00802081"/>
    <w:rsid w:val="00806461"/>
    <w:rsid w:val="0081096D"/>
    <w:rsid w:val="00810EAD"/>
    <w:rsid w:val="00811833"/>
    <w:rsid w:val="008118B6"/>
    <w:rsid w:val="008174D4"/>
    <w:rsid w:val="00820FE6"/>
    <w:rsid w:val="008212BF"/>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712A3"/>
    <w:rsid w:val="00871E07"/>
    <w:rsid w:val="00872CE4"/>
    <w:rsid w:val="00877B62"/>
    <w:rsid w:val="00877D98"/>
    <w:rsid w:val="00881015"/>
    <w:rsid w:val="008810B0"/>
    <w:rsid w:val="008819B6"/>
    <w:rsid w:val="00881AAC"/>
    <w:rsid w:val="0088256A"/>
    <w:rsid w:val="008836B7"/>
    <w:rsid w:val="008841D3"/>
    <w:rsid w:val="00884359"/>
    <w:rsid w:val="00887C7E"/>
    <w:rsid w:val="00887DE6"/>
    <w:rsid w:val="00890172"/>
    <w:rsid w:val="008911D2"/>
    <w:rsid w:val="00893048"/>
    <w:rsid w:val="00894C2A"/>
    <w:rsid w:val="008975BC"/>
    <w:rsid w:val="00897708"/>
    <w:rsid w:val="00897D88"/>
    <w:rsid w:val="00897E6F"/>
    <w:rsid w:val="008A2EC6"/>
    <w:rsid w:val="008A2F16"/>
    <w:rsid w:val="008A6D69"/>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2509"/>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545C"/>
    <w:rsid w:val="00985BF7"/>
    <w:rsid w:val="00990071"/>
    <w:rsid w:val="00991EA9"/>
    <w:rsid w:val="00992BA2"/>
    <w:rsid w:val="00992F83"/>
    <w:rsid w:val="00993250"/>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4AE3"/>
    <w:rsid w:val="00A16675"/>
    <w:rsid w:val="00A22CD6"/>
    <w:rsid w:val="00A22D4B"/>
    <w:rsid w:val="00A234EC"/>
    <w:rsid w:val="00A2417A"/>
    <w:rsid w:val="00A27804"/>
    <w:rsid w:val="00A32FDA"/>
    <w:rsid w:val="00A35A8D"/>
    <w:rsid w:val="00A36AB5"/>
    <w:rsid w:val="00A37DDA"/>
    <w:rsid w:val="00A40508"/>
    <w:rsid w:val="00A411D1"/>
    <w:rsid w:val="00A41566"/>
    <w:rsid w:val="00A421B6"/>
    <w:rsid w:val="00A43389"/>
    <w:rsid w:val="00A43C40"/>
    <w:rsid w:val="00A43E71"/>
    <w:rsid w:val="00A45753"/>
    <w:rsid w:val="00A47B15"/>
    <w:rsid w:val="00A47E47"/>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5C5"/>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26CF4"/>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EFD"/>
    <w:rsid w:val="00C013E1"/>
    <w:rsid w:val="00C01611"/>
    <w:rsid w:val="00C01C01"/>
    <w:rsid w:val="00C02C6D"/>
    <w:rsid w:val="00C02D59"/>
    <w:rsid w:val="00C030B6"/>
    <w:rsid w:val="00C03284"/>
    <w:rsid w:val="00C04855"/>
    <w:rsid w:val="00C050D7"/>
    <w:rsid w:val="00C05B5F"/>
    <w:rsid w:val="00C0667A"/>
    <w:rsid w:val="00C104CC"/>
    <w:rsid w:val="00C130C1"/>
    <w:rsid w:val="00C147DA"/>
    <w:rsid w:val="00C152FE"/>
    <w:rsid w:val="00C16739"/>
    <w:rsid w:val="00C22CCE"/>
    <w:rsid w:val="00C23BA2"/>
    <w:rsid w:val="00C2458C"/>
    <w:rsid w:val="00C25D0C"/>
    <w:rsid w:val="00C32AF2"/>
    <w:rsid w:val="00C33204"/>
    <w:rsid w:val="00C338EB"/>
    <w:rsid w:val="00C33E2E"/>
    <w:rsid w:val="00C3465D"/>
    <w:rsid w:val="00C379E9"/>
    <w:rsid w:val="00C37E98"/>
    <w:rsid w:val="00C412BF"/>
    <w:rsid w:val="00C42431"/>
    <w:rsid w:val="00C439FB"/>
    <w:rsid w:val="00C43F23"/>
    <w:rsid w:val="00C442A1"/>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A4F"/>
    <w:rsid w:val="00CA3977"/>
    <w:rsid w:val="00CA5927"/>
    <w:rsid w:val="00CA79EC"/>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63FA"/>
    <w:rsid w:val="00E012CC"/>
    <w:rsid w:val="00E02B71"/>
    <w:rsid w:val="00E02DEB"/>
    <w:rsid w:val="00E042A1"/>
    <w:rsid w:val="00E104FA"/>
    <w:rsid w:val="00E1082A"/>
    <w:rsid w:val="00E11166"/>
    <w:rsid w:val="00E13182"/>
    <w:rsid w:val="00E15383"/>
    <w:rsid w:val="00E1738C"/>
    <w:rsid w:val="00E174D4"/>
    <w:rsid w:val="00E2281D"/>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5548D"/>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08A3"/>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F00"/>
    <w:rsid w:val="00F23155"/>
    <w:rsid w:val="00F24E0E"/>
    <w:rsid w:val="00F26693"/>
    <w:rsid w:val="00F36130"/>
    <w:rsid w:val="00F40444"/>
    <w:rsid w:val="00F423BD"/>
    <w:rsid w:val="00F432FF"/>
    <w:rsid w:val="00F4715C"/>
    <w:rsid w:val="00F47E2F"/>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6E0"/>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D1C3C"/>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qFormat/>
    <w:rsid w:val="00EB72C1"/>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rsid w:val="00EB72C1"/>
    <w:pPr>
      <w:ind w:firstLine="420" w:firstLineChars="200"/>
    </w:pPr>
  </w:style>
  <w:style w:styleId="a4" w:type="paragraph">
    <w:name w:val="Body Text Indent"/>
    <w:basedOn w:val="a"/>
    <w:rsid w:val="00EB72C1"/>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EB72C1"/>
    <w:rPr>
      <w:rFonts w:ascii="宋体" w:hAnsi="Courier New"/>
      <w:szCs w:val="21"/>
    </w:rPr>
  </w:style>
  <w:style w:styleId="20" w:type="paragraph">
    <w:name w:val="Body Text Indent 2"/>
    <w:basedOn w:val="a"/>
    <w:rsid w:val="00EB72C1"/>
    <w:pPr>
      <w:spacing w:line="560" w:lineRule="exact"/>
      <w:ind w:firstLine="480" w:firstLineChars="200"/>
    </w:pPr>
    <w:rPr>
      <w:rFonts w:ascii="宋体" w:hAnsi="宋体"/>
      <w:color w:val="FF0000"/>
      <w:sz w:val="24"/>
    </w:rPr>
  </w:style>
  <w:style w:styleId="a6" w:type="paragraph">
    <w:name w:val="footer"/>
    <w:basedOn w:val="a"/>
    <w:rsid w:val="00EB72C1"/>
    <w:pPr>
      <w:tabs>
        <w:tab w:pos="4153" w:val="center"/>
        <w:tab w:pos="8306" w:val="right"/>
      </w:tabs>
      <w:snapToGrid w:val="0"/>
      <w:jc w:val="left"/>
    </w:pPr>
    <w:rPr>
      <w:sz w:val="18"/>
      <w:szCs w:val="18"/>
    </w:rPr>
  </w:style>
  <w:style w:styleId="a7" w:type="character">
    <w:name w:val="page number"/>
    <w:basedOn w:val="a1"/>
    <w:rsid w:val="00EB72C1"/>
  </w:style>
  <w:style w:styleId="a8" w:type="character">
    <w:name w:val="Hyperlink"/>
    <w:rsid w:val="00EB72C1"/>
    <w:rPr>
      <w:color w:val="0000FF"/>
      <w:u w:val="single"/>
    </w:rPr>
  </w:style>
  <w:style w:styleId="3" w:type="paragraph">
    <w:name w:val="Body Text Indent 3"/>
    <w:basedOn w:val="a"/>
    <w:rsid w:val="00EB72C1"/>
    <w:pPr>
      <w:spacing w:line="560" w:lineRule="exact"/>
      <w:ind w:firstLine="420" w:firstLineChars="200"/>
    </w:pPr>
    <w:rPr>
      <w:rFonts w:ascii="Arial" w:cs="Arial" w:hAnsi="Arial"/>
      <w:color w:val="FF0000"/>
    </w:rPr>
  </w:style>
  <w:style w:styleId="a9" w:type="paragraph">
    <w:name w:val="header"/>
    <w:basedOn w:val="a"/>
    <w:link w:val="Char0"/>
    <w:uiPriority w:val="99"/>
    <w:rsid w:val="00EB72C1"/>
    <w:pPr>
      <w:pBdr>
        <w:bottom w:color="auto" w:space="1" w:sz="6" w:val="single"/>
      </w:pBdr>
      <w:tabs>
        <w:tab w:pos="4153" w:val="center"/>
        <w:tab w:pos="8306" w:val="right"/>
      </w:tabs>
      <w:snapToGrid w:val="0"/>
      <w:jc w:val="center"/>
    </w:pPr>
    <w:rPr>
      <w:sz w:val="18"/>
      <w:szCs w:val="18"/>
    </w:rPr>
  </w:style>
  <w:style w:styleId="aa" w:type="character">
    <w:name w:val="FollowedHyperlink"/>
    <w:rsid w:val="00EB72C1"/>
    <w:rPr>
      <w:color w:val="800080"/>
      <w:u w:val="single"/>
    </w:rPr>
  </w:style>
  <w:style w:styleId="ab" w:type="paragraph">
    <w:name w:val="List"/>
    <w:basedOn w:val="ac"/>
    <w:rsid w:val="00EB72C1"/>
    <w:pPr>
      <w:spacing w:after="220" w:line="220" w:lineRule="atLeast"/>
      <w:ind w:hanging="360" w:left="1440"/>
    </w:pPr>
    <w:rPr>
      <w:szCs w:val="20"/>
    </w:rPr>
  </w:style>
  <w:style w:styleId="ac" w:type="paragraph">
    <w:name w:val="Body Text"/>
    <w:basedOn w:val="a"/>
    <w:rsid w:val="00EB72C1"/>
    <w:pPr>
      <w:spacing w:after="120"/>
    </w:pPr>
  </w:style>
  <w:style w:styleId="ad" w:type="paragraph">
    <w:name w:val="Date"/>
    <w:basedOn w:val="a"/>
    <w:next w:val="a"/>
    <w:link w:val="Char1"/>
    <w:uiPriority w:val="99"/>
    <w:rsid w:val="00EB72C1"/>
    <w:rPr>
      <w:sz w:val="24"/>
      <w:szCs w:val="20"/>
    </w:rPr>
  </w:style>
  <w:style w:customStyle="1" w:styleId="c1" w:type="character">
    <w:name w:val="c1"/>
    <w:rsid w:val="00EB72C1"/>
    <w:rPr>
      <w:color w:val="000000"/>
      <w:sz w:val="18"/>
      <w:szCs w:val="18"/>
    </w:rPr>
  </w:style>
  <w:style w:styleId="10" w:type="paragraph">
    <w:name w:val="index 1"/>
    <w:basedOn w:val="a"/>
    <w:next w:val="a"/>
    <w:autoRedefine/>
    <w:semiHidden/>
    <w:rsid w:val="00EB72C1"/>
    <w:pPr>
      <w:jc w:val="right"/>
    </w:pPr>
    <w:rPr>
      <w:color w:val="008000"/>
    </w:rPr>
  </w:style>
  <w:style w:customStyle="1" w:styleId="font5" w:type="paragraph">
    <w:name w:val="font5"/>
    <w:basedOn w:val="a"/>
    <w:rsid w:val="00EB72C1"/>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semiHidden/>
    <w:rsid w:val="00EB72C1"/>
    <w:rPr>
      <w:sz w:val="18"/>
      <w:szCs w:val="18"/>
    </w:rPr>
  </w:style>
  <w:style w:styleId="af" w:type="character">
    <w:name w:val="annotation reference"/>
    <w:semiHidden/>
    <w:rsid w:val="00EB72C1"/>
    <w:rPr>
      <w:sz w:val="21"/>
      <w:szCs w:val="21"/>
    </w:rPr>
  </w:style>
  <w:style w:styleId="af0" w:type="paragraph">
    <w:name w:val="annotation text"/>
    <w:basedOn w:val="a"/>
    <w:semiHidden/>
    <w:rsid w:val="00EB72C1"/>
    <w:pPr>
      <w:jc w:val="left"/>
    </w:pPr>
  </w:style>
  <w:style w:styleId="af1" w:type="paragraph">
    <w:name w:val="annotation subject"/>
    <w:basedOn w:val="af0"/>
    <w:next w:val="af0"/>
    <w:semiHidden/>
    <w:rsid w:val="00EB72C1"/>
    <w:rPr>
      <w:b/>
      <w:bCs/>
    </w:rPr>
  </w:style>
  <w:style w:customStyle="1" w:styleId="Char2" w:type="paragraph">
    <w:name w:val="Char"/>
    <w:basedOn w:val="a"/>
    <w:rsid w:val="00EB72C1"/>
  </w:style>
  <w:style w:styleId="af2" w:type="paragraph">
    <w:name w:val="Document Map"/>
    <w:basedOn w:val="a"/>
    <w:semiHidden/>
    <w:rsid w:val="000A549A"/>
    <w:pPr>
      <w:shd w:color="auto" w:fill="000080" w:val="clear"/>
    </w:pPr>
  </w:style>
  <w:style w:customStyle="1" w:styleId="af3" w:type="paragraph">
    <w:name w:val="正文 + (符号) 宋体"/>
    <w:aliases w:val="小四,紧缩量  0.2 磅"/>
    <w:basedOn w:val="a"/>
    <w:rsid w:val="00C22CCE"/>
    <w:pPr>
      <w:autoSpaceDE w:val="0"/>
      <w:autoSpaceDN w:val="0"/>
      <w:adjustRightInd w:val="0"/>
      <w:ind w:firstLine="1229" w:firstLineChars="512" w:right="1409" w:rightChars="671"/>
      <w:jc w:val="distribute"/>
    </w:pPr>
    <w:rPr>
      <w:sz w:val="24"/>
    </w:rPr>
  </w:style>
  <w:style w:styleId="af4" w:type="paragraph">
    <w:name w:val="footnote text"/>
    <w:basedOn w:val="a"/>
    <w:semiHidden/>
    <w:rsid w:val="00547D9C"/>
    <w:pPr>
      <w:snapToGrid w:val="0"/>
      <w:jc w:val="left"/>
    </w:pPr>
    <w:rPr>
      <w:sz w:val="18"/>
      <w:szCs w:val="18"/>
    </w:rPr>
  </w:style>
  <w:style w:styleId="af5" w:type="character">
    <w:name w:val="footnote reference"/>
    <w:semiHidden/>
    <w:rsid w:val="00547D9C"/>
    <w:rPr>
      <w:vertAlign w:val="superscript"/>
    </w:rPr>
  </w:style>
  <w:style w:styleId="af6" w:type="paragraph">
    <w:name w:val="Normal (Web)"/>
    <w:basedOn w:val="a"/>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3" w:type="paragraph">
    <w:name w:val="Char"/>
    <w:basedOn w:val="a"/>
    <w:rsid w:val="00043ABF"/>
  </w:style>
  <w:style w:customStyle="1" w:styleId="CharCharCharCharCharChar1CharCharChar" w:type="paragraph">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customStyle="1" w:styleId="Char" w:type="character">
    <w:name w:val="纯文本 Char"/>
    <w:link w:val="a5"/>
    <w:uiPriority w:val="99"/>
    <w:rsid w:val="00A96FD9"/>
    <w:rPr>
      <w:rFonts w:ascii="宋体" w:hAnsi="Courier New"/>
      <w:kern w:val="2"/>
      <w:sz w:val="21"/>
      <w:szCs w:val="21"/>
    </w:rPr>
  </w:style>
  <w:style w:customStyle="1" w:styleId="Char0" w:type="character">
    <w:name w:val="页眉 Char"/>
    <w:basedOn w:val="a1"/>
    <w:link w:val="a9"/>
    <w:uiPriority w:val="99"/>
    <w:rsid w:val="001D1356"/>
    <w:rPr>
      <w:kern w:val="2"/>
      <w:sz w:val="18"/>
      <w:szCs w:val="18"/>
    </w:rPr>
  </w:style>
  <w:style w:customStyle="1" w:styleId="1Char" w:type="character">
    <w:name w:val="标题 1 Char"/>
    <w:basedOn w:val="a1"/>
    <w:link w:val="1"/>
    <w:rsid w:val="00A7634D"/>
    <w:rPr>
      <w:b/>
      <w:bCs/>
      <w:kern w:val="44"/>
      <w:sz w:val="44"/>
      <w:szCs w:val="44"/>
    </w:rPr>
  </w:style>
  <w:style w:customStyle="1" w:styleId="Char1" w:type="character">
    <w:name w:val="日期 Char"/>
    <w:basedOn w:val="a1"/>
    <w:link w:val="ad"/>
    <w:uiPriority w:val="99"/>
    <w:rsid w:val="00C503D3"/>
    <w:rPr>
      <w:kern w:val="2"/>
      <w:sz w:val="24"/>
    </w:rPr>
  </w:style>
  <w:style w:styleId="af8" w:type="character">
    <w:name w:val="Strong"/>
    <w:basedOn w:val="a1"/>
    <w:uiPriority w:val="22"/>
    <w:qFormat/>
    <w:rsid w:val="009779F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648">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73522549">
      <w:bodyDiv w:val="1"/>
      <w:marLeft w:val="0"/>
      <w:marRight w:val="0"/>
      <w:marTop w:val="0"/>
      <w:marBottom w:val="0"/>
      <w:divBdr>
        <w:top w:val="none" w:sz="0" w:space="0" w:color="auto"/>
        <w:left w:val="none" w:sz="0" w:space="0" w:color="auto"/>
        <w:bottom w:val="none" w:sz="0" w:space="0" w:color="auto"/>
        <w:right w:val="none" w:sz="0" w:space="0" w:color="auto"/>
      </w:divBdr>
    </w:div>
    <w:div w:id="4967272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64007311">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5093356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776706476">
      <w:bodyDiv w:val="1"/>
      <w:marLeft w:val="0"/>
      <w:marRight w:val="0"/>
      <w:marTop w:val="0"/>
      <w:marBottom w:val="0"/>
      <w:divBdr>
        <w:top w:val="none" w:sz="0" w:space="0" w:color="auto"/>
        <w:left w:val="none" w:sz="0" w:space="0" w:color="auto"/>
        <w:bottom w:val="none" w:sz="0" w:space="0" w:color="auto"/>
        <w:right w:val="none" w:sz="0" w:space="0" w:color="auto"/>
      </w:divBdr>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03641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header2.xml" Type="http://schemas.openxmlformats.org/officeDocument/2006/relationships/header"/>
<Relationship Id="rId13" Target="footer2.xml" Type="http://schemas.openxmlformats.org/officeDocument/2006/relationships/footer"/>
<Relationship Id="rId14" Target="footer3.xml" Type="http://schemas.openxmlformats.org/officeDocument/2006/relationships/footer"/>
<Relationship Id="rId15" Target="header3.xml" Type="http://schemas.openxmlformats.org/officeDocument/2006/relationships/header"/>
<Relationship Id="rId16" Target="footer4.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207</TotalTime>
  <Pages>24</Pages>
  <Words>3470</Words>
  <Characters>19781</Characters>
  <Application>Microsoft Office Word</Application>
  <DocSecurity>0</DocSecurity>
  <Lines>164</Lines>
  <Paragraphs>46</Paragraphs>
  <ScaleCrop>false</ScaleCrop>
  <Company>TRT. Ltd. Co.</Company>
  <LinksUpToDate>false</LinksUpToDate>
  <CharactersWithSpaces>23205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2014-12-16T02:40:00Z</dcterms:created>
  <dc:creator>bonnieliu</dc:creator>
  <cp:lastModifiedBy>sirong han</cp:lastModifiedBy>
  <cp:lastPrinted>2007-07-19T00:46:00Z</cp:lastPrinted>
  <dcterms:modified xsi:type="dcterms:W3CDTF">2020-07-09T02:50:00Z</dcterms:modified>
  <cp:revision>67</cp:revision>
</cp:coreProperties>
</file>