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易方达并购重组指数分级证券投资基金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易方达重组分级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161123</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161123</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2015年6月3日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662,110,347.66</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中证万得并购重组指数收益率×95%+活期存款利率（税后）×5%</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易方达重组分级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易方达重组分级A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易方达重组分级B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重组分级</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重组A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重组B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161123</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150259</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150260</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646,579,857.66</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7,765,245.00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7,765,245.00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42,744,167.94</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121,374,430.55</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0.1788</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729,693,128.37</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1.1021</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19.08%</w:t>
            </w:r>
          </w:p>
        </w:tc>
        <w:tc>
          <w:tcPr>
            <w:vAlign w:val="center"/>
          </w:tcPr>
          <w:p>
            <w:pPr>
              <w:jc w:val="center"/>
            </w:pPr>
            <w:r>
              <w:rPr>
                <w:color w:val="000000"/>
                <w:sz w:val="24"/>
              </w:rPr>
              <w:t>1.09%</w:t>
            </w:r>
          </w:p>
        </w:tc>
        <w:tc>
          <w:tcPr>
            <w:vAlign w:val="center"/>
          </w:tcPr>
          <w:p>
            <w:pPr>
              <w:jc w:val="center"/>
            </w:pPr>
            <w:r>
              <w:rPr>
                <w:color w:val="000000"/>
                <w:sz w:val="24"/>
              </w:rPr>
              <w:t>17.44%</w:t>
            </w:r>
          </w:p>
        </w:tc>
        <w:tc>
          <w:tcPr>
            <w:vAlign w:val="center"/>
          </w:tcPr>
          <w:p>
            <w:pPr>
              <w:jc w:val="center"/>
            </w:pPr>
            <w:r>
              <w:rPr>
                <w:color w:val="000000"/>
                <w:sz w:val="24"/>
              </w:rPr>
              <w:t>1.08%</w:t>
            </w:r>
          </w:p>
        </w:tc>
        <w:tc>
          <w:tcPr>
            <w:vAlign w:val="center"/>
          </w:tcPr>
          <w:p>
            <w:pPr>
              <w:jc w:val="center"/>
            </w:pPr>
            <w:r>
              <w:rPr>
                <w:color w:val="000000"/>
                <w:sz w:val="24"/>
              </w:rPr>
              <w:t>1.64%</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16.82%</w:t>
            </w:r>
          </w:p>
        </w:tc>
        <w:tc>
          <w:tcPr>
            <w:vAlign w:val="center"/>
          </w:tcPr>
          <w:p>
            <w:pPr>
              <w:jc w:val="center"/>
            </w:pPr>
            <w:r>
              <w:rPr>
                <w:color w:val="000000"/>
                <w:sz w:val="24"/>
              </w:rPr>
              <w:t>1.66%</w:t>
            </w:r>
          </w:p>
        </w:tc>
        <w:tc>
          <w:tcPr>
            <w:vAlign w:val="center"/>
          </w:tcPr>
          <w:p>
            <w:pPr>
              <w:jc w:val="center"/>
            </w:pPr>
            <w:r>
              <w:rPr>
                <w:color w:val="000000"/>
                <w:sz w:val="24"/>
              </w:rPr>
              <w:t>13.38%</w:t>
            </w:r>
          </w:p>
        </w:tc>
        <w:tc>
          <w:tcPr>
            <w:vAlign w:val="center"/>
          </w:tcPr>
          <w:p>
            <w:pPr>
              <w:jc w:val="center"/>
            </w:pPr>
            <w:r>
              <w:rPr>
                <w:color w:val="000000"/>
                <w:sz w:val="24"/>
              </w:rPr>
              <w:t>1.66%</w:t>
            </w:r>
          </w:p>
        </w:tc>
        <w:tc>
          <w:tcPr>
            <w:vAlign w:val="center"/>
          </w:tcPr>
          <w:p>
            <w:pPr>
              <w:jc w:val="center"/>
            </w:pPr>
            <w:r>
              <w:rPr>
                <w:color w:val="000000"/>
                <w:sz w:val="24"/>
              </w:rPr>
              <w:t>3.44%</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26.16%</w:t>
            </w:r>
          </w:p>
        </w:tc>
        <w:tc>
          <w:tcPr>
            <w:vAlign w:val="center"/>
          </w:tcPr>
          <w:p>
            <w:pPr>
              <w:jc w:val="center"/>
            </w:pPr>
            <w:r>
              <w:rPr>
                <w:color w:val="000000"/>
                <w:sz w:val="24"/>
              </w:rPr>
              <w:t>1.33%</w:t>
            </w:r>
          </w:p>
        </w:tc>
        <w:tc>
          <w:tcPr>
            <w:vAlign w:val="center"/>
          </w:tcPr>
          <w:p>
            <w:pPr>
              <w:jc w:val="center"/>
            </w:pPr>
            <w:r>
              <w:rPr>
                <w:color w:val="000000"/>
                <w:sz w:val="24"/>
              </w:rPr>
              <w:t>21.72%</w:t>
            </w:r>
          </w:p>
        </w:tc>
        <w:tc>
          <w:tcPr>
            <w:vAlign w:val="center"/>
          </w:tcPr>
          <w:p>
            <w:pPr>
              <w:jc w:val="center"/>
            </w:pPr>
            <w:r>
              <w:rPr>
                <w:color w:val="000000"/>
                <w:sz w:val="24"/>
              </w:rPr>
              <w:t>1.33%</w:t>
            </w:r>
          </w:p>
        </w:tc>
        <w:tc>
          <w:tcPr>
            <w:vAlign w:val="center"/>
          </w:tcPr>
          <w:p>
            <w:pPr>
              <w:jc w:val="center"/>
            </w:pPr>
            <w:r>
              <w:rPr>
                <w:color w:val="000000"/>
                <w:sz w:val="24"/>
              </w:rPr>
              <w:t>4.44%</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-13.09%</w:t>
            </w:r>
          </w:p>
        </w:tc>
        <w:tc>
          <w:tcPr>
            <w:vAlign w:val="center"/>
          </w:tcPr>
          <w:p>
            <w:pPr>
              <w:jc w:val="center"/>
            </w:pPr>
            <w:r>
              <w:rPr>
                <w:color w:val="000000"/>
                <w:sz w:val="24"/>
              </w:rPr>
              <w:t>1.29%</w:t>
            </w:r>
          </w:p>
        </w:tc>
        <w:tc>
          <w:tcPr>
            <w:vAlign w:val="center"/>
          </w:tcPr>
          <w:p>
            <w:pPr>
              <w:jc w:val="center"/>
            </w:pPr>
            <w:r>
              <w:rPr>
                <w:color w:val="000000"/>
                <w:sz w:val="24"/>
              </w:rPr>
              <w:t>-14.35%</w:t>
            </w:r>
          </w:p>
        </w:tc>
        <w:tc>
          <w:tcPr>
            <w:vAlign w:val="center"/>
          </w:tcPr>
          <w:p>
            <w:pPr>
              <w:jc w:val="center"/>
            </w:pPr>
            <w:r>
              <w:rPr>
                <w:color w:val="000000"/>
                <w:sz w:val="24"/>
              </w:rPr>
              <w:t>1.29%</w:t>
            </w:r>
          </w:p>
        </w:tc>
        <w:tc>
          <w:tcPr>
            <w:vAlign w:val="center"/>
          </w:tcPr>
          <w:p>
            <w:pPr>
              <w:jc w:val="center"/>
            </w:pPr>
            <w:r>
              <w:rPr>
                <w:color w:val="000000"/>
                <w:sz w:val="24"/>
              </w:rPr>
              <w:t>1.26%</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-41.73%</w:t>
            </w:r>
          </w:p>
        </w:tc>
        <w:tc>
          <w:tcPr>
            <w:vAlign w:val="center"/>
          </w:tcPr>
          <w:p>
            <w:pPr>
              <w:jc w:val="center"/>
            </w:pPr>
            <w:r>
              <w:rPr>
                <w:color w:val="000000"/>
                <w:sz w:val="24"/>
              </w:rPr>
              <w:t>1.68%</w:t>
            </w:r>
          </w:p>
        </w:tc>
        <w:tc>
          <w:tcPr>
            <w:vAlign w:val="center"/>
          </w:tcPr>
          <w:p>
            <w:pPr>
              <w:jc w:val="center"/>
            </w:pPr>
            <w:r>
              <w:rPr>
                <w:color w:val="000000"/>
                <w:sz w:val="24"/>
              </w:rPr>
              <w:t>-40.97%</w:t>
            </w:r>
          </w:p>
        </w:tc>
        <w:tc>
          <w:tcPr>
            <w:vAlign w:val="center"/>
          </w:tcPr>
          <w:p>
            <w:pPr>
              <w:jc w:val="center"/>
            </w:pPr>
            <w:r>
              <w:rPr>
                <w:color w:val="000000"/>
                <w:sz w:val="24"/>
              </w:rPr>
              <w:t>1.65%</w:t>
            </w:r>
          </w:p>
        </w:tc>
        <w:tc>
          <w:tcPr>
            <w:vAlign w:val="center"/>
          </w:tcPr>
          <w:p>
            <w:pPr>
              <w:jc w:val="center"/>
            </w:pPr>
            <w:r>
              <w:rPr>
                <w:color w:val="000000"/>
                <w:sz w:val="24"/>
              </w:rPr>
              <w:t>-0.76%</w:t>
            </w:r>
          </w:p>
        </w:tc>
        <w:tc>
          <w:tcPr>
            <w:vAlign w:val="center"/>
          </w:tcPr>
          <w:p>
            <w:pPr>
              <w:jc w:val="center"/>
            </w:pPr>
            <w:r>
              <w:rPr>
                <w:color w:val="000000"/>
                <w:sz w:val="24"/>
              </w:rPr>
              <w:t>0.03%</w:t>
            </w:r>
          </w:p>
        </w:tc>
      </w:tr>
      <w:tr>
        <w:tc>
          <w:tcPr>
            <w:vAlign w:val="center"/>
          </w:tcPr>
          <w:p>
            <w:pPr>
              <w:jc w:val="left"/>
            </w:pPr>
            <w:r>
              <w:rPr>
                <w:color w:val="000000"/>
                <w:sz w:val="24"/>
              </w:rPr>
              <w:t>自基金合同生效起至今</w:t>
            </w:r>
          </w:p>
        </w:tc>
        <w:tc>
          <w:tcPr>
            <w:vAlign w:val="center"/>
          </w:tcPr>
          <w:p>
            <w:pPr>
              <w:jc w:val="center"/>
            </w:pPr>
            <w:r>
              <w:rPr>
                <w:color w:val="000000"/>
                <w:sz w:val="24"/>
              </w:rPr>
              <w:t>-54.73%</w:t>
            </w:r>
          </w:p>
        </w:tc>
        <w:tc>
          <w:tcPr>
            <w:vAlign w:val="center"/>
          </w:tcPr>
          <w:p>
            <w:pPr>
              <w:jc w:val="center"/>
            </w:pPr>
            <w:r>
              <w:rPr>
                <w:color w:val="000000"/>
                <w:sz w:val="24"/>
              </w:rPr>
              <w:t>1.72%</w:t>
            </w:r>
          </w:p>
        </w:tc>
        <w:tc>
          <w:tcPr>
            <w:vAlign w:val="center"/>
          </w:tcPr>
          <w:p>
            <w:pPr>
              <w:jc w:val="center"/>
            </w:pPr>
            <w:r>
              <w:rPr>
                <w:color w:val="000000"/>
                <w:sz w:val="24"/>
              </w:rPr>
              <w:t>-55.67%</w:t>
            </w:r>
          </w:p>
        </w:tc>
        <w:tc>
          <w:tcPr>
            <w:vAlign w:val="center"/>
          </w:tcPr>
          <w:p>
            <w:pPr>
              <w:jc w:val="center"/>
            </w:pPr>
            <w:r>
              <w:rPr>
                <w:color w:val="000000"/>
                <w:sz w:val="24"/>
              </w:rPr>
              <w:t>1.70%</w:t>
            </w:r>
          </w:p>
        </w:tc>
        <w:tc>
          <w:tcPr>
            <w:vAlign w:val="center"/>
          </w:tcPr>
          <w:p>
            <w:pPr>
              <w:jc w:val="center"/>
            </w:pPr>
            <w:r>
              <w:rPr>
                <w:color w:val="000000"/>
                <w:sz w:val="24"/>
              </w:rPr>
              <w:t>0.94%</w:t>
            </w:r>
          </w:p>
        </w:tc>
        <w:tc>
          <w:tcPr>
            <w:vAlign w:val="center"/>
          </w:tcPr>
          <w:p>
            <w:pPr>
              <w:jc w:val="center"/>
            </w:pPr>
            <w:r>
              <w:rPr>
                <w:color w:val="000000"/>
                <w:sz w:val="24"/>
              </w:rPr>
              <w:t>0.02%</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易方达并购重组指数分级证券投资基金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2015年6月3日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注：自基金合同生效至报告期末，基金份额净值增长率为-54.73%，同期业绩比较基准收益率为-55.67%。</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生物科技指数分级证券投资基金的基金经理（自2016年05月07日至2020年04月22日）、易方达中小板指数证券投资基金（LOF）的基金经理（自2016年05月07日至2020年04月22日）、易方达深证100交易型开放式指数基金的基金经理、易方达创业板交易型开放式指数证券投资基金的基金经理、易方达银行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中小板指数证券投资基金（LOF）的基金经理、易方达银行指数分级证券投资基金的基金经理、易方达生物科技指数分级证券投资基金的基金经理、易方达深证100交易型开放式指数证券投资基金联接基金的基金经理、易方达创业板交易型开放式指数证券投资基金联接基金的基金经理、易方达创业板交易型开放式指数证券投资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本基金跟踪的标的指数为中证万得并购重组指数，中证万得并购重组指数由处于并购或资产重组进程的股票组成，是衡量涉及并购或者资产重组股票整体走势的代表性指数。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rPr>
      </w:pPr>
      <w:r>
        <w:rPr>
          <w:color w:val="000000"/>
          <w:sz w:val="24"/>
        </w:rPr>
        <w:t>并购重组指数走势受监管政策以及市场情绪影响较大。2020年初，再融资新规落地，一直严禁借壳的创业板开始对借壳上市松绑；另外，科创板并购重组第一案华兴源创也给其他上市公司带来示范效应，上市公司并购重组活动重新活跃。并购重组相关上市公司受到二级市场关注和认可。本报告期内，中证万得并购重组指数上涨18.41%，沪深300指数上涨12.96%，中证万得并购重组指数走势强于大盘。</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基金运作层面，报告期内，本基金严守基金合同认真对待投资者申购、赎回以及成份股调整事项，保障基金的正常运作，基金跟踪误差以及日均偏离度等指标控制在合同规定范围之内。</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截至报告期末，本基金份额净值为1.1021元，本报告期份额净值增长率为19.08%，同期业绩比较基准收益率为17.44%，日跟踪偏离度的均值为0.04%，年化跟踪误差0.85%，在合同规定的目标控制范围之内。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667,573,359.34</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85.04</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667,573,359.34</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85.04</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737,300.00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0.09</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737,300.00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0.09</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52,855,079.46</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6.73</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63,842,423.68</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8.13</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785,008,162.48</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403,358,094.27</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55.28</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27,980,485.32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3.83</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5,996,475.20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0.82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65,364,143.66</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8.96</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9,415,602.00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1.29</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24,475,046.77</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3.35</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55,355,878.00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7.59</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27,398,793.52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3.75</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2,894,007.60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0.40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33,742,401.00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4.62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11,592,432.00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1.59</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667,573,359.34</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91.49</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300661</w:t>
            </w:r>
          </w:p>
        </w:tc>
        <w:tc>
          <w:tcPr>
            <w:vAlign w:val="center"/>
          </w:tcPr>
          <w:p>
            <w:pPr>
              <w:jc w:val="center"/>
            </w:pPr>
            <w:r>
              <w:rPr>
                <w:color w:val="000000"/>
                <w:kern w:val="0"/>
                <w:sz w:val="24"/>
              </w:rPr>
              <w:t>圣邦股份</w:t>
            </w:r>
          </w:p>
        </w:tc>
        <w:tc>
          <w:tcPr>
            <w:vAlign w:val="center"/>
          </w:tcPr>
          <w:p>
            <w:pPr>
              <w:jc w:val="right"/>
            </w:pPr>
            <w:r>
              <w:rPr>
                <w:color w:val="000000"/>
                <w:kern w:val="0"/>
                <w:sz w:val="24"/>
              </w:rPr>
              <w:t>113,909</w:t>
            </w:r>
          </w:p>
        </w:tc>
        <w:tc>
          <w:tcPr>
            <w:vAlign w:val="center"/>
          </w:tcPr>
          <w:p>
            <w:pPr>
              <w:jc w:val="right"/>
            </w:pPr>
            <w:r>
              <w:rPr>
                <w:color w:val="000000"/>
                <w:kern w:val="0"/>
                <w:sz w:val="24"/>
              </w:rPr>
              <w:t>34,747,940.45</w:t>
            </w:r>
          </w:p>
        </w:tc>
        <w:tc>
          <w:tcPr>
            <w:vAlign w:val="center"/>
          </w:tcPr>
          <w:p>
            <w:pPr>
              <w:jc w:val="right"/>
            </w:pPr>
            <w:r>
              <w:rPr>
                <w:color w:val="000000"/>
                <w:kern w:val="0"/>
                <w:sz w:val="24"/>
              </w:rPr>
              <w:t>4.76</w:t>
            </w:r>
          </w:p>
        </w:tc>
      </w:tr>
      <w:tr>
        <w:tc>
          <w:tcPr>
            <w:vAlign w:val="center"/>
          </w:tcPr>
          <w:p>
            <w:pPr>
              <w:jc w:val="center"/>
            </w:pPr>
            <w:r>
              <w:rPr>
                <w:color w:val="000000"/>
                <w:kern w:val="0"/>
                <w:sz w:val="24"/>
              </w:rPr>
              <w:t>2</w:t>
            </w:r>
          </w:p>
        </w:tc>
        <w:tc>
          <w:tcPr>
            <w:vAlign w:val="center"/>
          </w:tcPr>
          <w:p>
            <w:pPr>
              <w:jc w:val="center"/>
            </w:pPr>
            <w:r>
              <w:rPr>
                <w:color w:val="000000"/>
                <w:kern w:val="0"/>
                <w:sz w:val="24"/>
              </w:rPr>
              <w:t>600739</w:t>
            </w:r>
          </w:p>
        </w:tc>
        <w:tc>
          <w:tcPr>
            <w:vAlign w:val="center"/>
          </w:tcPr>
          <w:p>
            <w:pPr>
              <w:jc w:val="center"/>
            </w:pPr>
            <w:r>
              <w:rPr>
                <w:color w:val="000000"/>
                <w:kern w:val="0"/>
                <w:sz w:val="24"/>
              </w:rPr>
              <w:t>辽宁成大</w:t>
            </w:r>
          </w:p>
        </w:tc>
        <w:tc>
          <w:tcPr>
            <w:vAlign w:val="center"/>
          </w:tcPr>
          <w:p>
            <w:pPr>
              <w:jc w:val="right"/>
            </w:pPr>
            <w:r>
              <w:rPr>
                <w:color w:val="000000"/>
                <w:kern w:val="0"/>
                <w:sz w:val="24"/>
              </w:rPr>
              <w:t>1,829,173</w:t>
            </w:r>
          </w:p>
        </w:tc>
        <w:tc>
          <w:tcPr>
            <w:vAlign w:val="center"/>
          </w:tcPr>
          <w:p>
            <w:pPr>
              <w:jc w:val="right"/>
            </w:pPr>
            <w:r>
              <w:rPr>
                <w:color w:val="000000"/>
                <w:kern w:val="0"/>
                <w:sz w:val="24"/>
              </w:rPr>
              <w:t>34,626,244.89</w:t>
            </w:r>
          </w:p>
        </w:tc>
        <w:tc>
          <w:tcPr>
            <w:vAlign w:val="center"/>
          </w:tcPr>
          <w:p>
            <w:pPr>
              <w:jc w:val="right"/>
            </w:pPr>
            <w:r>
              <w:rPr>
                <w:color w:val="000000"/>
                <w:kern w:val="0"/>
                <w:sz w:val="24"/>
              </w:rPr>
              <w:t>4.75</w:t>
            </w:r>
          </w:p>
        </w:tc>
      </w:tr>
      <w:tr>
        <w:tc>
          <w:tcPr>
            <w:vAlign w:val="center"/>
          </w:tcPr>
          <w:p>
            <w:pPr>
              <w:jc w:val="center"/>
            </w:pPr>
            <w:r>
              <w:rPr>
                <w:color w:val="000000"/>
                <w:kern w:val="0"/>
                <w:sz w:val="24"/>
              </w:rPr>
              <w:t>3</w:t>
            </w:r>
          </w:p>
        </w:tc>
        <w:tc>
          <w:tcPr>
            <w:vAlign w:val="center"/>
          </w:tcPr>
          <w:p>
            <w:pPr>
              <w:jc w:val="center"/>
            </w:pPr>
            <w:r>
              <w:rPr>
                <w:color w:val="000000"/>
                <w:kern w:val="0"/>
                <w:sz w:val="24"/>
              </w:rPr>
              <w:t>600690</w:t>
            </w:r>
          </w:p>
        </w:tc>
        <w:tc>
          <w:tcPr>
            <w:vAlign w:val="center"/>
          </w:tcPr>
          <w:p>
            <w:pPr>
              <w:jc w:val="center"/>
            </w:pPr>
            <w:r>
              <w:rPr>
                <w:color w:val="000000"/>
                <w:kern w:val="0"/>
                <w:sz w:val="24"/>
              </w:rPr>
              <w:t>海尔智家</w:t>
            </w:r>
          </w:p>
        </w:tc>
        <w:tc>
          <w:tcPr>
            <w:vAlign w:val="center"/>
          </w:tcPr>
          <w:p>
            <w:pPr>
              <w:jc w:val="right"/>
            </w:pPr>
            <w:r>
              <w:rPr>
                <w:color w:val="000000"/>
                <w:kern w:val="0"/>
                <w:sz w:val="24"/>
              </w:rPr>
              <w:t>1,908,869</w:t>
            </w:r>
          </w:p>
        </w:tc>
        <w:tc>
          <w:tcPr>
            <w:vAlign w:val="center"/>
          </w:tcPr>
          <w:p>
            <w:pPr>
              <w:jc w:val="right"/>
            </w:pPr>
            <w:r>
              <w:rPr>
                <w:color w:val="000000"/>
                <w:kern w:val="0"/>
                <w:sz w:val="24"/>
              </w:rPr>
              <w:t>33,786,981.30</w:t>
            </w:r>
          </w:p>
        </w:tc>
        <w:tc>
          <w:tcPr>
            <w:vAlign w:val="center"/>
          </w:tcPr>
          <w:p>
            <w:pPr>
              <w:jc w:val="right"/>
            </w:pPr>
            <w:r>
              <w:rPr>
                <w:color w:val="000000"/>
                <w:kern w:val="0"/>
                <w:sz w:val="24"/>
              </w:rPr>
              <w:t>4.63</w:t>
            </w:r>
          </w:p>
        </w:tc>
      </w:tr>
      <w:tr>
        <w:tc>
          <w:tcPr>
            <w:vAlign w:val="center"/>
          </w:tcPr>
          <w:p>
            <w:pPr>
              <w:jc w:val="center"/>
            </w:pPr>
            <w:r>
              <w:rPr>
                <w:color w:val="000000"/>
                <w:kern w:val="0"/>
                <w:sz w:val="24"/>
              </w:rPr>
              <w:t>4</w:t>
            </w:r>
          </w:p>
        </w:tc>
        <w:tc>
          <w:tcPr>
            <w:vAlign w:val="center"/>
          </w:tcPr>
          <w:p>
            <w:pPr>
              <w:jc w:val="center"/>
            </w:pPr>
            <w:r>
              <w:rPr>
                <w:color w:val="000000"/>
                <w:kern w:val="0"/>
                <w:sz w:val="24"/>
              </w:rPr>
              <w:t>300015</w:t>
            </w:r>
          </w:p>
        </w:tc>
        <w:tc>
          <w:tcPr>
            <w:vAlign w:val="center"/>
          </w:tcPr>
          <w:p>
            <w:pPr>
              <w:jc w:val="center"/>
            </w:pPr>
            <w:r>
              <w:rPr>
                <w:color w:val="000000"/>
                <w:kern w:val="0"/>
                <w:sz w:val="24"/>
              </w:rPr>
              <w:t>爱尔眼科</w:t>
            </w:r>
          </w:p>
        </w:tc>
        <w:tc>
          <w:tcPr>
            <w:vAlign w:val="center"/>
          </w:tcPr>
          <w:p>
            <w:pPr>
              <w:jc w:val="right"/>
            </w:pPr>
            <w:r>
              <w:rPr>
                <w:color w:val="000000"/>
                <w:kern w:val="0"/>
                <w:sz w:val="24"/>
              </w:rPr>
              <w:t>776,580</w:t>
            </w:r>
          </w:p>
        </w:tc>
        <w:tc>
          <w:tcPr>
            <w:vAlign w:val="center"/>
          </w:tcPr>
          <w:p>
            <w:pPr>
              <w:jc w:val="right"/>
            </w:pPr>
            <w:r>
              <w:rPr>
                <w:color w:val="000000"/>
                <w:kern w:val="0"/>
                <w:sz w:val="24"/>
              </w:rPr>
              <w:t>33,742,401.00</w:t>
            </w:r>
          </w:p>
        </w:tc>
        <w:tc>
          <w:tcPr>
            <w:vAlign w:val="center"/>
          </w:tcPr>
          <w:p>
            <w:pPr>
              <w:jc w:val="right"/>
            </w:pPr>
            <w:r>
              <w:rPr>
                <w:color w:val="000000"/>
                <w:kern w:val="0"/>
                <w:sz w:val="24"/>
              </w:rPr>
              <w:t>4.62</w:t>
            </w:r>
          </w:p>
        </w:tc>
      </w:tr>
      <w:tr>
        <w:tc>
          <w:tcPr>
            <w:vAlign w:val="center"/>
          </w:tcPr>
          <w:p>
            <w:pPr>
              <w:jc w:val="center"/>
            </w:pPr>
            <w:r>
              <w:rPr>
                <w:color w:val="000000"/>
                <w:kern w:val="0"/>
                <w:sz w:val="24"/>
              </w:rPr>
              <w:t>5</w:t>
            </w:r>
          </w:p>
        </w:tc>
        <w:tc>
          <w:tcPr>
            <w:vAlign w:val="center"/>
          </w:tcPr>
          <w:p>
            <w:pPr>
              <w:jc w:val="center"/>
            </w:pPr>
            <w:r>
              <w:rPr>
                <w:color w:val="000000"/>
                <w:kern w:val="0"/>
                <w:sz w:val="24"/>
              </w:rPr>
              <w:t>600132</w:t>
            </w:r>
          </w:p>
        </w:tc>
        <w:tc>
          <w:tcPr>
            <w:vAlign w:val="center"/>
          </w:tcPr>
          <w:p>
            <w:pPr>
              <w:jc w:val="center"/>
            </w:pPr>
            <w:r>
              <w:rPr>
                <w:color w:val="000000"/>
                <w:kern w:val="0"/>
                <w:sz w:val="24"/>
              </w:rPr>
              <w:t>重庆啤酒</w:t>
            </w:r>
          </w:p>
        </w:tc>
        <w:tc>
          <w:tcPr>
            <w:vAlign w:val="center"/>
          </w:tcPr>
          <w:p>
            <w:pPr>
              <w:jc w:val="right"/>
            </w:pPr>
            <w:r>
              <w:rPr>
                <w:color w:val="000000"/>
                <w:kern w:val="0"/>
                <w:sz w:val="24"/>
              </w:rPr>
              <w:t>451,761</w:t>
            </w:r>
          </w:p>
        </w:tc>
        <w:tc>
          <w:tcPr>
            <w:vAlign w:val="center"/>
          </w:tcPr>
          <w:p>
            <w:pPr>
              <w:jc w:val="right"/>
            </w:pPr>
            <w:r>
              <w:rPr>
                <w:color w:val="000000"/>
                <w:kern w:val="0"/>
                <w:sz w:val="24"/>
              </w:rPr>
              <w:t>32,978,553.00</w:t>
            </w:r>
          </w:p>
        </w:tc>
        <w:tc>
          <w:tcPr>
            <w:vAlign w:val="center"/>
          </w:tcPr>
          <w:p>
            <w:pPr>
              <w:jc w:val="right"/>
            </w:pPr>
            <w:r>
              <w:rPr>
                <w:color w:val="000000"/>
                <w:kern w:val="0"/>
                <w:sz w:val="24"/>
              </w:rPr>
              <w:t>4.52</w:t>
            </w:r>
          </w:p>
        </w:tc>
      </w:tr>
      <w:tr>
        <w:tc>
          <w:tcPr>
            <w:vAlign w:val="center"/>
          </w:tcPr>
          <w:p>
            <w:pPr>
              <w:jc w:val="center"/>
            </w:pPr>
            <w:r>
              <w:rPr>
                <w:color w:val="000000"/>
                <w:kern w:val="0"/>
                <w:sz w:val="24"/>
              </w:rPr>
              <w:t>6</w:t>
            </w:r>
          </w:p>
        </w:tc>
        <w:tc>
          <w:tcPr>
            <w:vAlign w:val="center"/>
          </w:tcPr>
          <w:p>
            <w:pPr>
              <w:jc w:val="center"/>
            </w:pPr>
            <w:r>
              <w:rPr>
                <w:color w:val="000000"/>
                <w:kern w:val="0"/>
                <w:sz w:val="24"/>
              </w:rPr>
              <w:t>002075</w:t>
            </w:r>
          </w:p>
        </w:tc>
        <w:tc>
          <w:tcPr>
            <w:vAlign w:val="center"/>
          </w:tcPr>
          <w:p>
            <w:pPr>
              <w:jc w:val="center"/>
            </w:pPr>
            <w:r>
              <w:rPr>
                <w:color w:val="000000"/>
                <w:kern w:val="0"/>
                <w:sz w:val="24"/>
              </w:rPr>
              <w:t>沙钢股份</w:t>
            </w:r>
          </w:p>
        </w:tc>
        <w:tc>
          <w:tcPr>
            <w:vAlign w:val="center"/>
          </w:tcPr>
          <w:p>
            <w:pPr>
              <w:jc w:val="right"/>
            </w:pPr>
            <w:r>
              <w:rPr>
                <w:color w:val="000000"/>
                <w:kern w:val="0"/>
                <w:sz w:val="24"/>
              </w:rPr>
              <w:t>2,562,280</w:t>
            </w:r>
          </w:p>
        </w:tc>
        <w:tc>
          <w:tcPr>
            <w:vAlign w:val="center"/>
          </w:tcPr>
          <w:p>
            <w:pPr>
              <w:jc w:val="right"/>
            </w:pPr>
            <w:r>
              <w:rPr>
                <w:color w:val="000000"/>
                <w:kern w:val="0"/>
                <w:sz w:val="24"/>
              </w:rPr>
              <w:t>32,028,500.00</w:t>
            </w:r>
          </w:p>
        </w:tc>
        <w:tc>
          <w:tcPr>
            <w:vAlign w:val="center"/>
          </w:tcPr>
          <w:p>
            <w:pPr>
              <w:jc w:val="right"/>
            </w:pPr>
            <w:r>
              <w:rPr>
                <w:color w:val="000000"/>
                <w:kern w:val="0"/>
                <w:sz w:val="24"/>
              </w:rPr>
              <w:t>4.39</w:t>
            </w:r>
          </w:p>
        </w:tc>
      </w:tr>
      <w:tr>
        <w:tc>
          <w:tcPr>
            <w:vAlign w:val="center"/>
          </w:tcPr>
          <w:p>
            <w:pPr>
              <w:jc w:val="center"/>
            </w:pPr>
            <w:r>
              <w:rPr>
                <w:color w:val="000000"/>
                <w:kern w:val="0"/>
                <w:sz w:val="24"/>
              </w:rPr>
              <w:t>7</w:t>
            </w:r>
          </w:p>
        </w:tc>
        <w:tc>
          <w:tcPr>
            <w:vAlign w:val="center"/>
          </w:tcPr>
          <w:p>
            <w:pPr>
              <w:jc w:val="center"/>
            </w:pPr>
            <w:r>
              <w:rPr>
                <w:color w:val="000000"/>
                <w:kern w:val="0"/>
                <w:sz w:val="24"/>
              </w:rPr>
              <w:t>600390</w:t>
            </w:r>
          </w:p>
        </w:tc>
        <w:tc>
          <w:tcPr>
            <w:vAlign w:val="center"/>
          </w:tcPr>
          <w:p>
            <w:pPr>
              <w:jc w:val="center"/>
            </w:pPr>
            <w:r>
              <w:rPr>
                <w:color w:val="000000"/>
                <w:kern w:val="0"/>
                <w:sz w:val="24"/>
              </w:rPr>
              <w:t>五矿资本</w:t>
            </w:r>
          </w:p>
        </w:tc>
        <w:tc>
          <w:tcPr>
            <w:vAlign w:val="center"/>
          </w:tcPr>
          <w:p>
            <w:pPr>
              <w:jc w:val="right"/>
            </w:pPr>
            <w:r>
              <w:rPr>
                <w:color w:val="000000"/>
                <w:kern w:val="0"/>
                <w:sz w:val="24"/>
              </w:rPr>
              <w:t>4,198,700</w:t>
            </w:r>
          </w:p>
        </w:tc>
        <w:tc>
          <w:tcPr>
            <w:vAlign w:val="center"/>
          </w:tcPr>
          <w:p>
            <w:pPr>
              <w:jc w:val="right"/>
            </w:pPr>
            <w:r>
              <w:rPr>
                <w:color w:val="000000"/>
                <w:kern w:val="0"/>
                <w:sz w:val="24"/>
              </w:rPr>
              <w:t>29,642,822.00</w:t>
            </w:r>
          </w:p>
        </w:tc>
        <w:tc>
          <w:tcPr>
            <w:vAlign w:val="center"/>
          </w:tcPr>
          <w:p>
            <w:pPr>
              <w:jc w:val="right"/>
            </w:pPr>
            <w:r>
              <w:rPr>
                <w:color w:val="000000"/>
                <w:kern w:val="0"/>
                <w:sz w:val="24"/>
              </w:rPr>
              <w:t>4.06</w:t>
            </w:r>
          </w:p>
        </w:tc>
      </w:tr>
      <w:tr>
        <w:tc>
          <w:tcPr>
            <w:vAlign w:val="center"/>
          </w:tcPr>
          <w:p>
            <w:pPr>
              <w:jc w:val="center"/>
            </w:pPr>
            <w:r>
              <w:rPr>
                <w:color w:val="000000"/>
                <w:kern w:val="0"/>
                <w:sz w:val="24"/>
              </w:rPr>
              <w:t>8</w:t>
            </w:r>
          </w:p>
        </w:tc>
        <w:tc>
          <w:tcPr>
            <w:vAlign w:val="center"/>
          </w:tcPr>
          <w:p>
            <w:pPr>
              <w:jc w:val="center"/>
            </w:pPr>
            <w:r>
              <w:rPr>
                <w:color w:val="000000"/>
                <w:kern w:val="0"/>
                <w:sz w:val="24"/>
              </w:rPr>
              <w:t>600126</w:t>
            </w:r>
          </w:p>
        </w:tc>
        <w:tc>
          <w:tcPr>
            <w:vAlign w:val="center"/>
          </w:tcPr>
          <w:p>
            <w:pPr>
              <w:jc w:val="center"/>
            </w:pPr>
            <w:r>
              <w:rPr>
                <w:color w:val="000000"/>
                <w:kern w:val="0"/>
                <w:sz w:val="24"/>
              </w:rPr>
              <w:t>杭钢股份</w:t>
            </w:r>
          </w:p>
        </w:tc>
        <w:tc>
          <w:tcPr>
            <w:vAlign w:val="center"/>
          </w:tcPr>
          <w:p>
            <w:pPr>
              <w:jc w:val="right"/>
            </w:pPr>
            <w:r>
              <w:rPr>
                <w:color w:val="000000"/>
                <w:kern w:val="0"/>
                <w:sz w:val="24"/>
              </w:rPr>
              <w:t>2,521,960</w:t>
            </w:r>
          </w:p>
        </w:tc>
        <w:tc>
          <w:tcPr>
            <w:vAlign w:val="center"/>
          </w:tcPr>
          <w:p>
            <w:pPr>
              <w:jc w:val="right"/>
            </w:pPr>
            <w:r>
              <w:rPr>
                <w:color w:val="000000"/>
                <w:kern w:val="0"/>
                <w:sz w:val="24"/>
              </w:rPr>
              <w:t>26,228,384.00</w:t>
            </w:r>
          </w:p>
        </w:tc>
        <w:tc>
          <w:tcPr>
            <w:vAlign w:val="center"/>
          </w:tcPr>
          <w:p>
            <w:pPr>
              <w:jc w:val="right"/>
            </w:pPr>
            <w:r>
              <w:rPr>
                <w:color w:val="000000"/>
                <w:kern w:val="0"/>
                <w:sz w:val="24"/>
              </w:rPr>
              <w:t>3.59</w:t>
            </w:r>
          </w:p>
        </w:tc>
      </w:tr>
      <w:tr>
        <w:tc>
          <w:tcPr>
            <w:vAlign w:val="center"/>
          </w:tcPr>
          <w:p>
            <w:pPr>
              <w:jc w:val="center"/>
            </w:pPr>
            <w:r>
              <w:rPr>
                <w:color w:val="000000"/>
                <w:kern w:val="0"/>
                <w:sz w:val="24"/>
              </w:rPr>
              <w:t>9</w:t>
            </w:r>
          </w:p>
        </w:tc>
        <w:tc>
          <w:tcPr>
            <w:vAlign w:val="center"/>
          </w:tcPr>
          <w:p>
            <w:pPr>
              <w:jc w:val="center"/>
            </w:pPr>
            <w:r>
              <w:rPr>
                <w:color w:val="000000"/>
                <w:kern w:val="0"/>
                <w:sz w:val="24"/>
              </w:rPr>
              <w:t>600884</w:t>
            </w:r>
          </w:p>
        </w:tc>
        <w:tc>
          <w:tcPr>
            <w:vAlign w:val="center"/>
          </w:tcPr>
          <w:p>
            <w:pPr>
              <w:jc w:val="center"/>
            </w:pPr>
            <w:r>
              <w:rPr>
                <w:color w:val="000000"/>
                <w:kern w:val="0"/>
                <w:sz w:val="24"/>
              </w:rPr>
              <w:t>杉杉股份</w:t>
            </w:r>
          </w:p>
        </w:tc>
        <w:tc>
          <w:tcPr>
            <w:vAlign w:val="center"/>
          </w:tcPr>
          <w:p>
            <w:pPr>
              <w:jc w:val="right"/>
            </w:pPr>
            <w:r>
              <w:rPr>
                <w:color w:val="000000"/>
                <w:kern w:val="0"/>
                <w:sz w:val="24"/>
              </w:rPr>
              <w:t>2,127,467</w:t>
            </w:r>
          </w:p>
        </w:tc>
        <w:tc>
          <w:tcPr>
            <w:vAlign w:val="center"/>
          </w:tcPr>
          <w:p>
            <w:pPr>
              <w:jc w:val="right"/>
            </w:pPr>
            <w:r>
              <w:rPr>
                <w:color w:val="000000"/>
                <w:kern w:val="0"/>
                <w:sz w:val="24"/>
              </w:rPr>
              <w:t>25,082,835.93</w:t>
            </w:r>
          </w:p>
        </w:tc>
        <w:tc>
          <w:tcPr>
            <w:vAlign w:val="center"/>
          </w:tcPr>
          <w:p>
            <w:pPr>
              <w:jc w:val="right"/>
            </w:pPr>
            <w:r>
              <w:rPr>
                <w:color w:val="000000"/>
                <w:kern w:val="0"/>
                <w:sz w:val="24"/>
              </w:rPr>
              <w:t>3.44</w:t>
            </w:r>
          </w:p>
        </w:tc>
      </w:tr>
      <w:tr>
        <w:tc>
          <w:tcPr>
            <w:vAlign w:val="center"/>
          </w:tcPr>
          <w:p>
            <w:pPr>
              <w:jc w:val="center"/>
            </w:pPr>
            <w:r>
              <w:rPr>
                <w:color w:val="000000"/>
                <w:kern w:val="0"/>
                <w:sz w:val="24"/>
              </w:rPr>
              <w:t>10</w:t>
            </w:r>
          </w:p>
        </w:tc>
        <w:tc>
          <w:tcPr>
            <w:vAlign w:val="center"/>
          </w:tcPr>
          <w:p>
            <w:pPr>
              <w:jc w:val="center"/>
            </w:pPr>
            <w:r>
              <w:rPr>
                <w:color w:val="000000"/>
                <w:kern w:val="0"/>
                <w:sz w:val="24"/>
              </w:rPr>
              <w:t>000403</w:t>
            </w:r>
          </w:p>
        </w:tc>
        <w:tc>
          <w:tcPr>
            <w:vAlign w:val="center"/>
          </w:tcPr>
          <w:p>
            <w:pPr>
              <w:jc w:val="center"/>
            </w:pPr>
            <w:r>
              <w:rPr>
                <w:color w:val="000000"/>
                <w:kern w:val="0"/>
                <w:sz w:val="24"/>
              </w:rPr>
              <w:t>双林生物</w:t>
            </w:r>
          </w:p>
        </w:tc>
        <w:tc>
          <w:tcPr>
            <w:vAlign w:val="center"/>
          </w:tcPr>
          <w:p>
            <w:pPr>
              <w:jc w:val="right"/>
            </w:pPr>
            <w:r>
              <w:rPr>
                <w:color w:val="000000"/>
                <w:kern w:val="0"/>
                <w:sz w:val="24"/>
              </w:rPr>
              <w:t>256,204</w:t>
            </w:r>
          </w:p>
        </w:tc>
        <w:tc>
          <w:tcPr>
            <w:vAlign w:val="center"/>
          </w:tcPr>
          <w:p>
            <w:pPr>
              <w:jc w:val="right"/>
            </w:pPr>
            <w:r>
              <w:rPr>
                <w:color w:val="000000"/>
                <w:kern w:val="0"/>
                <w:sz w:val="24"/>
              </w:rPr>
              <w:t>18,992,402.52</w:t>
            </w:r>
          </w:p>
        </w:tc>
        <w:tc>
          <w:tcPr>
            <w:vAlign w:val="center"/>
          </w:tcPr>
          <w:p>
            <w:pPr>
              <w:jc w:val="right"/>
            </w:pPr>
            <w:r>
              <w:rPr>
                <w:color w:val="000000"/>
                <w:kern w:val="0"/>
                <w:sz w:val="24"/>
              </w:rPr>
              <w:t>2.60</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序号</w:t>
            </w:r>
          </w:p>
        </w:tc>
        <w:tc>
          <w:tcPr>
            <w:tcW w:type="dxa" w:w="3260"/>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债券品种</w:t>
            </w: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
            </w:r>
          </w:p>
        </w:tc>
        <w:tc>
          <w:tcPr>
            <w:tcW w:type="dxa" w:w="2835"/>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公允价值</w:t>
            </w:r>
            <w:r w:rsidRPr="00653BAC">
              <w:rPr>
                <w:rFonts w:eastAsiaTheme="minorEastAsia"/>
                <w:color w:themeColor="text1" w:val="000000"/>
                <w:sz w:val="24"/>
              </w:rPr>
              <w:t>(</w:t>
            </w:r>
            <w:r w:rsidRPr="00653BAC">
              <w:rPr>
                <w:rFonts w:eastAsiaTheme="minorEastAsia"/>
                <w:color w:themeColor="text1" w:val="000000"/>
                <w:sz w:val="24"/>
              </w:rPr>
              <w:t>元</w:t>
            </w:r>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占基金资产净值比例</w:t>
            </w:r>
            <w:r w:rsidRPr="00653BAC">
              <w:rPr>
                <w:rFonts w:eastAsiaTheme="minorEastAsia"/>
                <w:color w:themeColor="text1" w:val="000000"/>
                <w:sz w:val="24"/>
              </w:rPr>
              <w:t>(</w:t>
            </w:r>
            <w:r w:rsidRPr="00653BAC">
              <w:rPr>
                <w:rFonts w:eastAsiaTheme="minorEastAsia"/>
                <w:color w:themeColor="text1" w:val="000000"/>
                <w:sz w:val="24"/>
              </w:rPr>
              <w:t>％</w:t>
            </w: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1</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国家债券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r w:rsidRPr="00653BAC">
              <w:rPr>
                <w:rFonts w:eastAsiaTheme="minorEastAsia"/>
                <w:color w:themeColor="text1" w:val="000000"/>
                <w:sz w:val="24"/>
              </w:rPr>
              <w:lastRenderedPageBreak/>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2</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央行票据</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3</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金融债券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其中：政策性金融债</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4</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企业债券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5</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企业短期融资券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6</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中期票据</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7</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可转债</w:t>
            </w:r>
            <w:r w:rsidR="00C77034" w:rsidRPr="00C77034">
              <w:rPr>
                <w:rFonts w:eastAsiaTheme="minorEastAsia" w:hint="eastAsia"/>
                <w:color w:themeColor="text1" w:val="000000"/>
                <w:sz w:val="24"/>
              </w:rPr>
              <w:t>（可交换债）</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737,300.00</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0.10</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8</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同业存单</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9</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其他</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10</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合计</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737,300.00</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0.10</w:t>
            </w:r>
          </w:p>
        </w:tc>
      </w:tr>
    </w:tbl>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418"/>
        <w:gridCol w:w="1701"/>
        <w:gridCol w:w="1559"/>
        <w:gridCol w:w="1843"/>
        <w:gridCol w:w="1190"/>
      </w:tblGrid>
      <w:tr w:rsidR="001C36D8" w:rsidRPr="00272E0C" w:rsidTr="003A20AA">
        <w:tc>
          <w:tcPr>
            <w:tcW w:type="dxa" w:w="817"/>
            <w:vAlign w:val="center"/>
          </w:tcPr>
          <w:p w:rsidP="007A6BEA"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1418"/>
            <w:vAlign w:val="center"/>
          </w:tcPr>
          <w:p w:rsidP="007A6BEA" w:rsidR="001C36D8" w:rsidRDefault="001C36D8" w:rsidRPr="005B1E0B">
            <w:pPr>
              <w:spacing w:before="29" w:line="360" w:lineRule="auto"/>
              <w:ind w:left="17"/>
              <w:jc w:val="center"/>
              <w:rPr>
                <w:color w:val="000000"/>
                <w:sz w:val="24"/>
              </w:rPr>
            </w:pPr>
            <w:r w:rsidRPr="005B1E0B">
              <w:rPr>
                <w:color w:val="000000"/>
                <w:sz w:val="24"/>
              </w:rPr>
              <w:t>债券代码</w:t>
            </w:r>
          </w:p>
        </w:tc>
        <w:tc>
          <w:tcPr>
            <w:tcW w:type="dxa" w:w="1701"/>
            <w:vAlign w:val="center"/>
          </w:tcPr>
          <w:p w:rsidP="007A6BEA" w:rsidR="001C36D8" w:rsidRDefault="001C36D8" w:rsidRPr="005B1E0B">
            <w:pPr>
              <w:spacing w:before="29" w:line="360" w:lineRule="auto"/>
              <w:ind w:left="17"/>
              <w:jc w:val="center"/>
              <w:rPr>
                <w:color w:val="000000"/>
                <w:sz w:val="24"/>
              </w:rPr>
            </w:pPr>
            <w:r w:rsidRPr="005B1E0B">
              <w:rPr>
                <w:color w:val="000000"/>
                <w:sz w:val="24"/>
              </w:rPr>
              <w:t>债券名称</w:t>
            </w:r>
          </w:p>
        </w:tc>
        <w:tc>
          <w:tcPr>
            <w:tcW w:type="dxa" w:w="1559"/>
            <w:vAlign w:val="center"/>
          </w:tcPr>
          <w:p w:rsidP="0015779C" w:rsidR="001C36D8" w:rsidRDefault="001C36D8" w:rsidRPr="005B1E0B">
            <w:pPr>
              <w:spacing w:before="29" w:line="360" w:lineRule="auto"/>
              <w:ind w:left="17"/>
              <w:jc w:val="center"/>
              <w:rPr>
                <w:color w:val="000000"/>
                <w:sz w:val="24"/>
              </w:rPr>
            </w:pPr>
            <w:r w:rsidRPr="005B1E0B">
              <w:rPr>
                <w:color w:val="000000"/>
                <w:sz w:val="24"/>
              </w:rPr>
              <w:t>数量</w:t>
            </w:r>
            <w:r w:rsidR="0015779C" w:rsidRPr="005B1E0B">
              <w:rPr>
                <w:color w:val="000000"/>
                <w:sz w:val="24"/>
              </w:rPr>
              <w:t>（张）</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公允价值</w:t>
            </w:r>
            <w:r w:rsidR="0015779C" w:rsidRPr="005B1E0B">
              <w:rPr>
                <w:color w:val="000000"/>
                <w:sz w:val="24"/>
              </w:rPr>
              <w:t>（元）</w:t>
            </w:r>
          </w:p>
        </w:tc>
        <w:tc>
          <w:tcPr>
            <w:tcW w:type="dxa" w:w="1190"/>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占基金资产净值比例</w:t>
            </w:r>
            <w:r w:rsidR="0015779C" w:rsidRPr="005B1E0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123053</w:t>
            </w:r>
          </w:p>
        </w:tc>
        <w:tc>
          <w:tcPr>
            <w:vAlign w:val="center"/>
          </w:tcPr>
          <w:p>
            <w:pPr>
              <w:jc w:val="center"/>
            </w:pPr>
            <w:r>
              <w:rPr>
                <w:color w:val="000000"/>
                <w:sz w:val="24"/>
              </w:rPr>
              <w:t>宝通转债</w:t>
            </w:r>
          </w:p>
        </w:tc>
        <w:tc>
          <w:tcPr>
            <w:vAlign w:val="center"/>
          </w:tcPr>
          <w:p>
            <w:pPr>
              <w:jc w:val="right"/>
            </w:pPr>
            <w:r>
              <w:rPr>
                <w:color w:val="000000"/>
                <w:sz w:val="24"/>
              </w:rPr>
              <w:t>7,373</w:t>
            </w:r>
          </w:p>
        </w:tc>
        <w:tc>
          <w:tcPr>
            <w:vAlign w:val="center"/>
          </w:tcPr>
          <w:p>
            <w:pPr>
              <w:jc w:val="right"/>
            </w:pPr>
            <w:r>
              <w:rPr>
                <w:color w:val="000000"/>
                <w:sz w:val="24"/>
              </w:rPr>
              <w:t>737,300.00</w:t>
            </w:r>
          </w:p>
        </w:tc>
        <w:tc>
          <w:tcPr>
            <w:vAlign w:val="center"/>
          </w:tcPr>
          <w:p>
            <w:pPr>
              <w:jc w:val="right"/>
            </w:pPr>
            <w:r>
              <w:rPr>
                <w:color w:val="000000"/>
                <w:sz w:val="24"/>
              </w:rPr>
              <w:t>0.10</w:t>
            </w:r>
          </w:p>
        </w:tc>
      </w:tr>
    </w:tbl>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85,908.59</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63,717,316.71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7,880.97</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31,317.41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63,842,423.68</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易方达重组分级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易方达重组分级A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易方达重组分级B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673,338,130.97</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8,239,553.00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8,239,553.00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706,377.98</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43,026,085.59</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15,561,434.30</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-474,308.00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-474,308.00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646,579,857.66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7,765,245.00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7,765,245.00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注：拆分变动份额包括三类份额之间的配对转换份额及折算调整份额。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1.中国证监会准予易方达并购重组指数分级证券投资基金募集注册的文件；</w:t>
      </w:r>
    </w:p>
    <w:p>
      <w:pPr>
        <w:spacing w:line="360" w:lineRule="auto"/>
        <w:ind w:firstLine="480" w:firstLineChars="200"/>
        <w:rPr>
          <w:color w:val="000000"/>
          <w:sz w:val="24"/>
        </w:rPr>
      </w:pPr>
      <w:r>
        <w:rPr>
          <w:color w:val="000000"/>
          <w:sz w:val="24"/>
        </w:rPr>
        <w:t>2.《易方达并购重组指数分级证券投资基金基金合同》；</w:t>
      </w:r>
    </w:p>
    <w:p>
      <w:pPr>
        <w:spacing w:line="360" w:lineRule="auto"/>
        <w:ind w:firstLine="480" w:firstLineChars="200"/>
        <w:rPr>
          <w:color w:val="000000"/>
          <w:sz w:val="24"/>
        </w:rPr>
      </w:pPr>
      <w:r>
        <w:rPr>
          <w:color w:val="000000"/>
          <w:sz w:val="24"/>
        </w:rPr>
        <w:t>3.《易方达并购重组指数分级证券投资基金托管协议》；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易方达并购重组指数分级证券投资基金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