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074E9F" w:rsidR="001C36D8" w:rsidRDefault="001C36D8" w:rsidRPr="00272E0C">
      <w:pPr>
        <w:autoSpaceDE w:val="0"/>
        <w:autoSpaceDN w:val="0"/>
        <w:adjustRightInd w:val="0"/>
        <w:spacing w:line="360" w:lineRule="auto"/>
        <w:jc w:val="left"/>
        <w:rPr>
          <w:rFonts w:ascii="宋体" w:cs="Arial"/>
          <w:color w:val="000000"/>
          <w:kern w:val="0"/>
          <w:sz w:val="24"/>
        </w:rPr>
      </w:pPr>
    </w:p>
    <w:p w:rsidP="00074E9F" w:rsidR="001C36D8" w:rsidRDefault="001C36D8" w:rsidRPr="00272E0C">
      <w:pPr>
        <w:autoSpaceDE w:val="0"/>
        <w:autoSpaceDN w:val="0"/>
        <w:adjustRightInd w:val="0"/>
        <w:spacing w:line="360" w:lineRule="auto"/>
        <w:jc w:val="left"/>
        <w:rPr>
          <w:rFonts w:ascii="宋体" w:cs="Arial"/>
          <w:color w:val="000000"/>
          <w:kern w:val="0"/>
          <w:sz w:val="24"/>
        </w:rPr>
      </w:pPr>
    </w:p>
    <w:p w:rsidP="00074E9F" w:rsidR="001C36D8" w:rsidRDefault="001C36D8" w:rsidRPr="00272E0C">
      <w:pPr>
        <w:autoSpaceDE w:val="0"/>
        <w:autoSpaceDN w:val="0"/>
        <w:adjustRightInd w:val="0"/>
        <w:spacing w:line="360" w:lineRule="auto"/>
        <w:jc w:val="left"/>
        <w:rPr>
          <w:rFonts w:ascii="宋体" w:cs="Arial"/>
          <w:color w:val="000000"/>
          <w:kern w:val="0"/>
          <w:sz w:val="24"/>
        </w:rPr>
      </w:pPr>
    </w:p>
    <w:p w:rsidP="00074E9F" w:rsidR="001C36D8" w:rsidRDefault="001C36D8" w:rsidRPr="00272E0C">
      <w:pPr>
        <w:autoSpaceDE w:val="0"/>
        <w:autoSpaceDN w:val="0"/>
        <w:adjustRightInd w:val="0"/>
        <w:spacing w:line="360" w:lineRule="auto"/>
        <w:jc w:val="left"/>
        <w:rPr>
          <w:rFonts w:ascii="宋体" w:cs="Arial"/>
          <w:color w:val="000000"/>
          <w:kern w:val="0"/>
          <w:sz w:val="24"/>
        </w:rPr>
      </w:pPr>
    </w:p>
    <w:p w:rsidP="007951F3" w:rsidR="001C36D8" w:rsidRDefault="001C36D8" w:rsidRPr="00272E0C">
      <w:pPr>
        <w:spacing w:line="360" w:lineRule="auto"/>
        <w:jc w:val="center"/>
        <w:rPr>
          <w:rFonts w:ascii="宋体" w:hAnsi="宋体"/>
          <w:b/>
          <w:sz w:val="36"/>
          <w:szCs w:val="36"/>
        </w:rPr>
      </w:pPr>
      <w:r w:rsidRPr="00272E0C">
        <w:rPr>
          <w:rFonts w:ascii="宋体"/>
          <w:b/>
          <w:sz w:val="36"/>
          <w:szCs w:val="36"/>
        </w:rPr>
        <w:t/>
      </w:r>
      <w:proofErr w:type="spellStart"/>
      <w:proofErr w:type="gramStart"/>
      <w:r w:rsidRPr="00272E0C">
        <w:rPr>
          <w:rFonts w:ascii="宋体" w:hAnsi="宋体"/>
          <w:b/>
          <w:sz w:val="36"/>
          <w:szCs w:val="36"/>
        </w:rPr>
        <w:t/>
      </w:r>
      <w:proofErr w:type="spellEnd"/>
      <w:proofErr w:type="gramEnd"/>
      <w:r w:rsidRPr="00272E0C">
        <w:rPr>
          <w:rFonts w:ascii="宋体" w:hAnsi="宋体"/>
          <w:b/>
          <w:sz w:val="36"/>
          <w:szCs w:val="36"/>
        </w:rPr>
        <w:t>易方达银行指数分级证券投资基金</w:t>
      </w:r>
    </w:p>
    <w:p w:rsidP="007951F3" w:rsidR="001C36D8" w:rsidRDefault="001C36D8" w:rsidRPr="00272E0C">
      <w:pPr>
        <w:spacing w:line="360" w:lineRule="auto"/>
        <w:jc w:val="center"/>
        <w:rPr>
          <w:rFonts w:ascii="宋体" w:hAnsi="宋体"/>
          <w:b/>
          <w:sz w:val="36"/>
          <w:szCs w:val="36"/>
        </w:rPr>
      </w:pPr>
      <w:r w:rsidRPr="00272E0C">
        <w:rPr>
          <w:rFonts w:ascii="宋体" w:hAnsi="宋体"/>
          <w:b/>
          <w:sz w:val="36"/>
          <w:szCs w:val="36"/>
        </w:rPr>
        <w:t/>
      </w:r>
      <w:proofErr w:type="spellStart"/>
      <w:r w:rsidRPr="00272E0C">
        <w:rPr>
          <w:rFonts w:ascii="宋体" w:hAnsi="宋体"/>
          <w:b/>
          <w:sz w:val="36"/>
          <w:szCs w:val="36"/>
        </w:rPr>
        <w:t/>
      </w:r>
      <w:proofErr w:type="spellEnd"/>
      <w:r w:rsidRPr="00272E0C">
        <w:rPr>
          <w:rFonts w:ascii="宋体" w:hAnsi="宋体"/>
          <w:b/>
          <w:sz w:val="36"/>
          <w:szCs w:val="36"/>
        </w:rPr>
        <w:t>2020年第2季度报告</w:t>
      </w:r>
    </w:p>
    <w:p w:rsidP="007951F3" w:rsidR="001C36D8" w:rsidRDefault="001C36D8" w:rsidRPr="00717C29">
      <w:pPr>
        <w:spacing w:line="360" w:lineRule="auto"/>
        <w:jc w:val="center"/>
        <w:rPr>
          <w:rFonts w:ascii="宋体" w:hAnsi="宋体"/>
          <w:b/>
          <w:sz w:val="24"/>
          <w:szCs w:val="36"/>
        </w:rPr>
      </w:pPr>
      <w:r w:rsidRPr="00717C29">
        <w:rPr>
          <w:rFonts w:ascii="宋体"/>
          <w:b/>
          <w:sz w:val="24"/>
          <w:szCs w:val="36"/>
        </w:rPr>
        <w:t/>
      </w:r>
      <w:proofErr w:type="spellStart"/>
      <w:proofErr w:type="gramStart"/>
      <w:r w:rsidRPr="00717C29">
        <w:rPr>
          <w:rFonts w:ascii="宋体" w:hAnsi="宋体"/>
          <w:b/>
          <w:sz w:val="24"/>
          <w:szCs w:val="36"/>
        </w:rPr>
        <w:t/>
      </w:r>
      <w:proofErr w:type="spellEnd"/>
      <w:proofErr w:type="gramEnd"/>
      <w:r w:rsidRPr="00717C29">
        <w:rPr>
          <w:rFonts w:ascii="宋体" w:hAnsi="宋体"/>
          <w:b/>
          <w:sz w:val="24"/>
          <w:szCs w:val="36"/>
        </w:rPr>
        <w:t>2020年6月30日</w:t>
      </w: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rPr>
          <w:rFonts w:ascii="宋体"/>
          <w:b/>
          <w:color w:val="000000"/>
          <w:sz w:val="24"/>
        </w:rPr>
      </w:pPr>
    </w:p>
    <w:p w:rsidP="0015779C" w:rsidR="001C36D8" w:rsidRDefault="001C36D8" w:rsidRPr="00272E0C">
      <w:pPr>
        <w:spacing w:line="360" w:lineRule="auto"/>
        <w:ind w:firstLine="2168" w:firstLineChars="900"/>
        <w:rPr>
          <w:rFonts w:ascii="宋体" w:hAnsi="宋体"/>
          <w:b/>
          <w:color w:val="000000"/>
          <w:sz w:val="24"/>
        </w:rPr>
      </w:pPr>
      <w:r w:rsidRPr="00272E0C">
        <w:rPr>
          <w:rFonts w:ascii="宋体" w:hAnsi="宋体" w:hint="eastAsia"/>
          <w:b/>
          <w:color w:val="000000"/>
          <w:sz w:val="24"/>
        </w:rPr>
        <w:t>基金管理人：</w:t>
      </w:r>
      <w:r w:rsidRPr="00272E0C">
        <w:rPr>
          <w:rFonts w:ascii="宋体"/>
          <w:b/>
          <w:color w:val="000000"/>
          <w:sz w:val="24"/>
        </w:rPr>
        <w:t/>
      </w:r>
      <w:proofErr w:type="spellStart"/>
      <w:r w:rsidRPr="00272E0C">
        <w:rPr>
          <w:rFonts w:ascii="宋体" w:hAnsi="宋体"/>
          <w:b/>
          <w:color w:val="000000"/>
          <w:sz w:val="24"/>
        </w:rPr>
        <w:t/>
      </w:r>
      <w:proofErr w:type="spellEnd"/>
      <w:r w:rsidRPr="00272E0C">
        <w:rPr>
          <w:rFonts w:ascii="宋体" w:hAnsi="宋体"/>
          <w:b/>
          <w:color w:val="000000"/>
          <w:sz w:val="24"/>
        </w:rPr>
        <w:t>易方达基金管理有限公司</w:t>
      </w:r>
    </w:p>
    <w:p w:rsidP="0015779C" w:rsidR="001C36D8" w:rsidRDefault="001C36D8" w:rsidRPr="00272E0C">
      <w:pPr>
        <w:spacing w:line="360" w:lineRule="auto"/>
        <w:ind w:firstLine="2168" w:firstLineChars="900"/>
        <w:rPr>
          <w:rFonts w:ascii="宋体" w:hAnsi="宋体"/>
          <w:b/>
          <w:color w:val="000000"/>
          <w:sz w:val="24"/>
        </w:rPr>
      </w:pPr>
      <w:r w:rsidRPr="00272E0C">
        <w:rPr>
          <w:rFonts w:ascii="宋体" w:hAnsi="宋体" w:hint="eastAsia"/>
          <w:b/>
          <w:color w:val="000000"/>
          <w:sz w:val="24"/>
        </w:rPr>
        <w:t>基金托管人：</w:t>
      </w:r>
      <w:r w:rsidRPr="00272E0C">
        <w:rPr>
          <w:rFonts w:ascii="宋体"/>
          <w:b/>
          <w:color w:val="000000"/>
          <w:sz w:val="24"/>
        </w:rPr>
        <w:t/>
      </w:r>
      <w:proofErr w:type="spellStart"/>
      <w:r w:rsidRPr="00272E0C">
        <w:rPr>
          <w:rFonts w:ascii="宋体" w:hAnsi="宋体"/>
          <w:b/>
          <w:color w:val="000000"/>
          <w:sz w:val="24"/>
        </w:rPr>
        <w:t/>
      </w:r>
      <w:proofErr w:type="spellEnd"/>
      <w:r w:rsidRPr="00272E0C">
        <w:rPr>
          <w:rFonts w:ascii="宋体" w:hAnsi="宋体"/>
          <w:b/>
          <w:color w:val="000000"/>
          <w:sz w:val="24"/>
        </w:rPr>
        <w:t>中国建设银行股份有限公司</w:t>
      </w:r>
    </w:p>
    <w:p w:rsidP="0015779C" w:rsidR="001C36D8" w:rsidRDefault="001C36D8" w:rsidRPr="00272E0C">
      <w:pPr>
        <w:spacing w:line="360" w:lineRule="auto"/>
        <w:ind w:firstLine="2168" w:firstLineChars="900"/>
        <w:rPr>
          <w:rFonts w:ascii="宋体" w:hAnsi="宋体"/>
          <w:b/>
          <w:color w:val="000000"/>
          <w:sz w:val="24"/>
        </w:rPr>
        <w:sectPr w:rsidR="001C36D8" w:rsidRPr="00272E0C" w:rsidSect="00230A66">
          <w:headerReference r:id="rId8" w:type="default"/>
          <w:footerReference r:id="rId9" w:type="default"/>
          <w:pgSz w:h="15840" w:w="11926"/>
          <w:pgMar w:bottom="851" w:footer="992" w:gutter="0" w:header="851" w:left="1418" w:right="1418" w:top="1418"/>
          <w:cols w:space="720"/>
          <w:noEndnote/>
        </w:sectPr>
      </w:pPr>
      <w:r w:rsidRPr="00272E0C">
        <w:rPr>
          <w:rFonts w:ascii="宋体" w:hAnsi="宋体" w:hint="eastAsia"/>
          <w:b/>
          <w:color w:val="000000"/>
          <w:sz w:val="24"/>
        </w:rPr>
        <w:t>报告送出日期：</w:t>
      </w:r>
      <w:r w:rsidRPr="00272E0C">
        <w:rPr>
          <w:rFonts w:ascii="宋体"/>
          <w:b/>
          <w:color w:val="000000"/>
          <w:sz w:val="24"/>
        </w:rPr>
        <w:t/>
      </w:r>
      <w:proofErr w:type="spellStart"/>
      <w:r w:rsidRPr="00272E0C">
        <w:rPr>
          <w:rFonts w:ascii="宋体" w:hAnsi="宋体"/>
          <w:b/>
          <w:color w:val="000000"/>
          <w:sz w:val="24"/>
        </w:rPr>
        <w:t/>
      </w:r>
      <w:proofErr w:type="spellEnd"/>
      <w:r w:rsidRPr="00272E0C">
        <w:rPr>
          <w:rFonts w:ascii="宋体" w:hAnsi="宋体"/>
          <w:b/>
          <w:color w:val="000000"/>
          <w:sz w:val="24"/>
        </w:rPr>
        <w:t>二〇二〇年七月二十一日</w:t>
      </w:r>
    </w:p>
    <w:p w:rsidP="005C6DF3" w:rsidR="001C36D8" w:rsidRDefault="001C36D8" w:rsidRPr="00272E0C">
      <w:pPr>
        <w:pStyle w:val="1"/>
        <w:spacing w:after="312" w:afterLines="100" w:before="312" w:beforeLines="100" w:line="360" w:lineRule="auto"/>
        <w:jc w:val="center"/>
        <w:rPr>
          <w:rFonts w:ascii="宋体" w:cs="Arial"/>
          <w:b w:val="0"/>
          <w:color w:val="000000"/>
          <w:kern w:val="0"/>
          <w:sz w:val="24"/>
          <w:szCs w:val="24"/>
        </w:rPr>
      </w:pPr>
      <w:r w:rsidRPr="00272E0C">
        <w:rPr>
          <w:rFonts w:ascii="宋体" w:cs="Arial" w:hAnsi="宋体" w:hint="eastAsia"/>
          <w:color w:val="000000"/>
          <w:kern w:val="0"/>
          <w:sz w:val="24"/>
          <w:szCs w:val="24"/>
        </w:rPr>
        <w:lastRenderedPageBreak/>
        <w:t>§</w:t>
      </w:r>
      <w:r w:rsidRPr="00272E0C">
        <w:rPr>
          <w:rFonts w:ascii="宋体" w:cs="Arial" w:hAnsi="宋体"/>
          <w:color w:val="000000"/>
          <w:kern w:val="0"/>
          <w:sz w:val="24"/>
          <w:szCs w:val="24"/>
        </w:rPr>
        <w:t xml:space="preserve">1  </w:t>
      </w:r>
      <w:r w:rsidRPr="00272E0C">
        <w:rPr>
          <w:rFonts w:ascii="宋体" w:cs="Arial" w:hAnsi="宋体" w:hint="eastAsia"/>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基金托管人中国建设银行股份有限公司根据本基金合同规定，于2020年7月17日复核了本报告中的财务指标、净值表现和投资组合报告等内容，保证复核内容不存在虚假记载、误导性陈述或者重大遗漏。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CC0C03" w:rsidR="001C36D8" w:rsidRDefault="001C36D8" w:rsidRPr="00CC0C03">
      <w:pPr>
        <w:spacing w:line="360" w:lineRule="auto"/>
        <w:ind w:firstLine="480" w:firstLineChars="200"/>
        <w:rPr>
          <w:color w:val="000000"/>
          <w:sz w:val="24"/>
        </w:rPr>
      </w:pPr>
      <w:r w:rsidRPr="00CC0C03">
        <w:rPr>
          <w:color w:val="000000"/>
          <w:sz w:val="24"/>
        </w:rPr>
        <w:t/>
      </w:r>
      <w:proofErr w:type="spellStart"/>
      <w:r w:rsidRPr="00CC0C03">
        <w:rPr>
          <w:color w:val="000000"/>
          <w:sz w:val="24"/>
        </w:rPr>
        <w:t/>
      </w:r>
      <w:proofErr w:type="spellEnd"/>
      <w:r w:rsidRPr="00CC0C03">
        <w:rPr>
          <w:color w:val="000000"/>
          <w:sz w:val="24"/>
        </w:rPr>
        <w:t>本报告期自2020年4月1日起至6月30日止。</w:t>
      </w:r>
    </w:p>
    <w:p w:rsidP="005C6DF3" w:rsidR="001C36D8" w:rsidRDefault="001C36D8" w:rsidRPr="00272E0C">
      <w:pPr>
        <w:pStyle w:val="1"/>
        <w:spacing w:after="312" w:afterLines="100" w:before="312" w:beforeLines="100" w:line="360" w:lineRule="auto"/>
        <w:jc w:val="center"/>
        <w:rPr>
          <w:rFonts w:ascii="宋体" w:cs="Arial"/>
          <w:color w:val="000000"/>
          <w:kern w:val="0"/>
          <w:sz w:val="24"/>
          <w:szCs w:val="24"/>
        </w:rPr>
      </w:pPr>
      <w:r w:rsidRPr="00272E0C">
        <w:rPr>
          <w:rFonts w:ascii="宋体" w:cs="Arial" w:hAnsi="宋体" w:hint="eastAsia"/>
          <w:color w:val="000000"/>
          <w:kern w:val="0"/>
          <w:sz w:val="24"/>
          <w:szCs w:val="24"/>
        </w:rPr>
        <w:t>§</w:t>
      </w:r>
      <w:r w:rsidRPr="00272E0C">
        <w:rPr>
          <w:rFonts w:ascii="宋体" w:cs="Arial" w:hAnsi="宋体"/>
          <w:color w:val="000000"/>
          <w:kern w:val="0"/>
          <w:sz w:val="24"/>
          <w:szCs w:val="24"/>
        </w:rPr>
        <w:t xml:space="preserve">2  </w:t>
      </w:r>
      <w:r w:rsidRPr="00272E0C">
        <w:rPr>
          <w:rFonts w:ascii="宋体" w:cs="Arial"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1826"/>
        <w:gridCol w:w="1826"/>
        <w:gridCol w:w="1827"/>
      </w:tblGrid>
      <w:tr w:rsidR="001C36D8" w:rsidRPr="00272E0C" w:rsidTr="007A6BEA">
        <w:tc>
          <w:tcPr>
            <w:tcW w:type="dxa" w:w="2835"/>
          </w:tcPr>
          <w:p w:rsidP="007A6BEA" w:rsidR="001C36D8" w:rsidRDefault="001C36D8" w:rsidRPr="004C6E88">
            <w:pPr>
              <w:adjustRightInd w:val="0"/>
              <w:spacing w:before="29" w:line="360" w:lineRule="auto"/>
              <w:ind w:left="17"/>
              <w:jc w:val="left"/>
              <w:rPr>
                <w:rFonts w:eastAsiaTheme="minorEastAsia"/>
                <w:kern w:val="0"/>
                <w:sz w:val="24"/>
              </w:rPr>
            </w:pPr>
            <w:r w:rsidRPr="004C6E88">
              <w:rPr>
                <w:rFonts w:eastAsiaTheme="minorEastAsia"/>
                <w:kern w:val="0"/>
                <w:sz w:val="24"/>
              </w:rPr>
              <w:t>基金简称</w:t>
            </w:r>
          </w:p>
        </w:tc>
        <w:tc>
          <w:tcPr>
            <w:tcW w:type="dxa" w:w="5479"/>
            <w:gridSpan w:val="3"/>
          </w:tcPr>
          <w:p w:rsidP="007A6BEA" w:rsidR="001C36D8" w:rsidRDefault="001C36D8" w:rsidRPr="004C6E88">
            <w:pPr>
              <w:adjustRightInd w:val="0"/>
              <w:spacing w:before="29" w:line="360" w:lineRule="auto"/>
              <w:ind w:left="17"/>
              <w:jc w:val="left"/>
              <w:rPr>
                <w:rFonts w:eastAsiaTheme="minorEastAsia"/>
                <w:color w:val="000000"/>
                <w:kern w:val="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易方达银行分级</w:t>
            </w:r>
          </w:p>
        </w:tc>
      </w:tr>
      <w:tr w:rsidR="001C36D8" w:rsidRPr="00272E0C" w:rsidTr="002A44F9">
        <w:tc>
          <w:tcPr>
            <w:tcW w:type="dxa" w:w="2835"/>
          </w:tcPr>
          <w:p w:rsidR="001C36D8" w:rsidRDefault="001C36D8" w:rsidRPr="004C6E88">
            <w:pPr>
              <w:adjustRightInd w:val="0"/>
              <w:spacing w:before="29" w:line="360" w:lineRule="auto"/>
              <w:ind w:left="17"/>
              <w:jc w:val="left"/>
              <w:rPr>
                <w:rFonts w:eastAsiaTheme="minorEastAsia"/>
                <w:kern w:val="0"/>
                <w:sz w:val="24"/>
              </w:rPr>
            </w:pPr>
            <w:r w:rsidRPr="004C6E88">
              <w:rPr>
                <w:rFonts w:eastAsiaTheme="minorEastAsia"/>
                <w:kern w:val="0"/>
                <w:sz w:val="24"/>
              </w:rPr>
              <w:t>基金主代码</w:t>
            </w:r>
          </w:p>
        </w:tc>
        <w:tc>
          <w:tcPr>
            <w:tcW w:type="dxa" w:w="5479"/>
            <w:gridSpan w:val="3"/>
          </w:tcPr>
          <w:p w:rsidR="001C36D8" w:rsidRDefault="001C36D8" w:rsidRPr="004C6E88">
            <w:pPr>
              <w:adjustRightInd w:val="0"/>
              <w:spacing w:before="29" w:line="360" w:lineRule="auto"/>
              <w:ind w:left="17"/>
              <w:jc w:val="left"/>
              <w:rPr>
                <w:rFonts w:eastAsiaTheme="minorEastAsia"/>
                <w:color w:val="000000"/>
                <w:kern w:val="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161121</w:t>
            </w:r>
          </w:p>
        </w:tc>
      </w:tr>
      <w:tr w:rsidR="003A768B" w:rsidRPr="00272E0C" w:rsidTr="002A44F9">
        <w:tc>
          <w:tcPr>
            <w:tcW w:type="dxa" w:w="2835"/>
          </w:tcPr>
          <w:p w:rsidP="00E43B0B" w:rsidR="003A768B" w:rsidRDefault="003A768B" w:rsidRPr="004C6E88">
            <w:pPr>
              <w:adjustRightInd w:val="0"/>
              <w:spacing w:before="29" w:line="360" w:lineRule="auto"/>
              <w:ind w:left="17"/>
              <w:jc w:val="left"/>
              <w:rPr>
                <w:rFonts w:eastAsiaTheme="minorEastAsia"/>
                <w:kern w:val="0"/>
                <w:sz w:val="24"/>
              </w:rPr>
            </w:pPr>
            <w:r w:rsidRPr="004C6E88">
              <w:rPr>
                <w:rFonts w:eastAsiaTheme="minorEastAsia"/>
                <w:kern w:val="0"/>
                <w:sz w:val="24"/>
              </w:rPr>
              <w:t>交易代码</w:t>
            </w:r>
          </w:p>
        </w:tc>
        <w:tc>
          <w:tcPr>
            <w:tcW w:type="dxa" w:w="5479"/>
            <w:gridSpan w:val="3"/>
          </w:tcPr>
          <w:p w:rsidP="00E43B0B" w:rsidR="003A768B" w:rsidRDefault="003A768B" w:rsidRPr="004C6E88">
            <w:pPr>
              <w:adjustRightInd w:val="0"/>
              <w:spacing w:before="29" w:line="360" w:lineRule="auto"/>
              <w:ind w:left="17"/>
              <w:jc w:val="left"/>
              <w:rPr>
                <w:rFonts w:eastAsiaTheme="minorEastAsia"/>
                <w:color w:val="000000"/>
                <w:kern w:val="0"/>
                <w:sz w:val="24"/>
              </w:rPr>
            </w:pPr>
            <w:r w:rsidRPr="004C6E88">
              <w:rPr>
                <w:rFonts w:eastAsiaTheme="minorEastAsia"/>
                <w:kern w:val="0"/>
                <w:sz w:val="24"/>
              </w:rPr>
              <w:t/>
            </w:r>
            <w:proofErr w:type="spellStart"/>
            <w:r w:rsidRPr="004C6E88">
              <w:rPr>
                <w:rFonts w:eastAsiaTheme="minorEastAsia"/>
                <w:kern w:val="0"/>
                <w:sz w:val="24"/>
              </w:rPr>
              <w:t/>
            </w:r>
            <w:proofErr w:type="spellEnd"/>
            <w:r w:rsidRPr="004C6E88">
              <w:rPr>
                <w:rFonts w:eastAsiaTheme="minorEastAsia"/>
                <w:kern w:val="0"/>
                <w:sz w:val="24"/>
              </w:rPr>
              <w:t/>
            </w:r>
            <w:proofErr w:type="spellStart"/>
            <w:r w:rsidRPr="004C6E88">
              <w:rPr>
                <w:rFonts w:eastAsiaTheme="minorEastAsia"/>
                <w:kern w:val="0"/>
                <w:sz w:val="24"/>
              </w:rPr>
              <w:t/>
            </w:r>
            <w:proofErr w:type="spellEnd"/>
            <w:r w:rsidRPr="004C6E88">
              <w:rPr>
                <w:rFonts w:eastAsiaTheme="minorEastAsia"/>
                <w:kern w:val="0"/>
                <w:sz w:val="24"/>
              </w:rPr>
              <w:t/>
            </w:r>
            <w:proofErr w:type="spellStart"/>
            <w:r w:rsidRPr="004C6E88">
              <w:rPr>
                <w:rFonts w:eastAsiaTheme="minorEastAsia"/>
                <w:kern w:val="0"/>
                <w:sz w:val="24"/>
              </w:rPr>
              <w:t/>
            </w:r>
            <w:proofErr w:type="spellEnd"/>
            <w:r w:rsidRPr="004C6E88">
              <w:rPr>
                <w:rFonts w:eastAsiaTheme="minorEastAsia"/>
                <w:kern w:val="0"/>
                <w:sz w:val="24"/>
              </w:rPr>
              <w:t>161121</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基金运作方式</w:t>
            </w:r>
          </w:p>
        </w:tc>
        <w:tc>
          <w:tcPr>
            <w:tcW w:type="dxa" w:w="5479"/>
            <w:gridSpan w:val="3"/>
          </w:tcPr>
          <w:p w:rsidP="007A6BE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契约型开放式、分级基金</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基金合同生效日</w:t>
            </w:r>
          </w:p>
        </w:tc>
        <w:tc>
          <w:tcPr>
            <w:tcW w:type="dxa" w:w="5479"/>
            <w:gridSpan w:val="3"/>
          </w:tcPr>
          <w:p w:rsidP="007A6BEA" w:rsidR="003A768B" w:rsidRDefault="003A768B" w:rsidRPr="004C6E88">
            <w:pPr>
              <w:adjustRightInd w:val="0"/>
              <w:spacing w:before="29" w:line="360" w:lineRule="auto"/>
              <w:ind w:left="17"/>
              <w:jc w:val="left"/>
              <w:rPr>
                <w:rFonts w:eastAsiaTheme="minorEastAsia"/>
                <w:color w:val="000000"/>
                <w:kern w:val="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2015年6月3日</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报告期末基金份额总额</w:t>
            </w:r>
          </w:p>
        </w:tc>
        <w:tc>
          <w:tcPr>
            <w:tcW w:type="dxa" w:w="5479"/>
            <w:gridSpan w:val="3"/>
          </w:tcPr>
          <w:p w:rsidP="007A6BE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279,431,684.13</w:t>
            </w:r>
            <w:r w:rsidRPr="004C6E88">
              <w:rPr>
                <w:rFonts w:eastAsiaTheme="minorEastAsia"/>
                <w:color w:val="000000"/>
                <w:kern w:val="0"/>
                <w:sz w:val="24"/>
              </w:rPr>
              <w:t>份</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投资目标</w:t>
            </w:r>
          </w:p>
        </w:tc>
        <w:tc>
          <w:tcPr>
            <w:tcW w:type="dxa" w:w="5479"/>
            <w:gridSpan w:val="3"/>
          </w:tcPr>
          <w:p w:rsidP="007A6BE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紧密追踪业绩比较基准，追求跟踪偏离度与跟踪误差的最小化。</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投资策略</w:t>
            </w:r>
          </w:p>
        </w:tc>
        <w:tc>
          <w:tcPr>
            <w:tcW w:type="dxa" w:w="5479"/>
            <w:gridSpan w:val="3"/>
          </w:tcPr>
          <w:p w:rsidP="007A6BE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本基金主要采取完全复制法，即完全按照标的指数的成份股组成及其权重构建基金股票投资组合，并根据标的指数成份股及其权重的变动进行相应调整。但在因特殊情形导致基金无法完全投资于标的指数成份股时，基金管理人可采取其他指数投资技术适当调整基金投资组合，以达到紧密跟踪标的指数的目的。</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业绩比较基准</w:t>
            </w:r>
          </w:p>
        </w:tc>
        <w:tc>
          <w:tcPr>
            <w:tcW w:type="dxa" w:w="5479"/>
            <w:gridSpan w:val="3"/>
          </w:tcPr>
          <w:p w:rsidP="00CD0AAD"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中证银行指数收益率×95%+活期存款利率（税后）×5%</w:t>
            </w:r>
          </w:p>
        </w:tc>
      </w:tr>
      <w:tr w:rsidR="003A768B" w:rsidRPr="00272E0C" w:rsidTr="00A008DA">
        <w:tc>
          <w:tcPr>
            <w:tcW w:type="dxa" w:w="2835"/>
          </w:tcPr>
          <w:p w:rsidP="00A008D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风险收益特征</w:t>
            </w:r>
          </w:p>
        </w:tc>
        <w:tc>
          <w:tcPr>
            <w:tcW w:type="dxa" w:w="5479"/>
            <w:gridSpan w:val="3"/>
          </w:tcPr>
          <w:p w:rsidP="00A008D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本基金为股票型基金，主要采用完全复制策略跟踪标的指数的表现，其风险收益特征与标的指数相似。长期而言，其风险收益水平高于混合型基金、债券型基金和货币市场基金；A类份额具有预期风险、收益较低的特征；B类份额具有预期风险、收益较高的特征。</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基金管理人</w:t>
            </w:r>
          </w:p>
        </w:tc>
        <w:tc>
          <w:tcPr>
            <w:tcW w:type="dxa" w:w="5479"/>
            <w:gridSpan w:val="3"/>
          </w:tcPr>
          <w:p w:rsidP="007A6BE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易方达基金管理有限公司</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基金托管人</w:t>
            </w:r>
          </w:p>
        </w:tc>
        <w:tc>
          <w:tcPr>
            <w:tcW w:type="dxa" w:w="5479"/>
            <w:gridSpan w:val="3"/>
          </w:tcPr>
          <w:p w:rsidP="007A6BE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中国建设银行股份有限公司</w:t>
            </w:r>
          </w:p>
        </w:tc>
      </w:tr>
      <w:tr w:rsidR="003A768B" w:rsidRPr="00272E0C" w:rsidTr="00EB3E72">
        <w:tc>
          <w:tcPr>
            <w:tcW w:type="dxa" w:w="2835"/>
          </w:tcPr>
          <w:p w:rsidP="004C6E88" w:rsidR="003A768B" w:rsidRDefault="003A768B" w:rsidRPr="004C6E88">
            <w:pPr>
              <w:adjustRightInd w:val="0"/>
              <w:spacing w:before="29" w:line="360" w:lineRule="auto"/>
              <w:ind w:left="17"/>
              <w:jc w:val="left"/>
              <w:rPr>
                <w:rFonts w:eastAsiaTheme="minorEastAsia"/>
                <w:kern w:val="0"/>
                <w:sz w:val="24"/>
              </w:rPr>
            </w:pPr>
            <w:r w:rsidRPr="004C6E88">
              <w:rPr>
                <w:rFonts w:eastAsiaTheme="minorEastAsia"/>
                <w:color w:val="000000"/>
                <w:sz w:val="24"/>
              </w:rPr>
              <w:t>下属</w:t>
            </w:r>
            <w:r w:rsidR="004C6E88" w:rsidRPr="004C6E88">
              <w:rPr>
                <w:rFonts w:eastAsiaTheme="minorEastAsia"/>
                <w:color w:val="000000"/>
                <w:sz w:val="24"/>
              </w:rPr>
              <w:t>分</w:t>
            </w:r>
            <w:r w:rsidRPr="004C6E88">
              <w:rPr>
                <w:rFonts w:eastAsiaTheme="minorEastAsia"/>
                <w:color w:val="000000"/>
                <w:sz w:val="24"/>
              </w:rPr>
              <w:t>级基金的基金简称</w:t>
            </w:r>
          </w:p>
        </w:tc>
        <w:tc>
          <w:tcPr>
            <w:tcW w:type="dxa" w:w="1826"/>
            <w:vAlign w:val="center"/>
          </w:tcPr>
          <w:p w:rsidP="007A6BEA"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sz w:val="24"/>
              </w:rPr>
              <w:t/>
            </w:r>
            <w:proofErr w:type="spellEnd"/>
            <w:r w:rsidRPr="004C6E88">
              <w:rPr>
                <w:rFonts w:eastAsiaTheme="minorEastAsia"/>
                <w:sz w:val="24"/>
              </w:rPr>
              <w:t>易方达银行分级</w:t>
            </w:r>
          </w:p>
        </w:tc>
        <w:tc>
          <w:tcPr>
            <w:tcW w:type="dxa" w:w="1826"/>
            <w:vAlign w:val="center"/>
          </w:tcPr>
          <w:p w:rsidP="007A6BEA"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sz w:val="24"/>
              </w:rPr>
              <w:t/>
            </w:r>
            <w:proofErr w:type="spellEnd"/>
            <w:r w:rsidRPr="004C6E88">
              <w:rPr>
                <w:rFonts w:eastAsiaTheme="minorEastAsia"/>
                <w:sz w:val="24"/>
              </w:rPr>
              <w:t>易方达银行分级A</w:t>
            </w:r>
          </w:p>
        </w:tc>
        <w:tc>
          <w:tcPr>
            <w:tcW w:type="dxa" w:w="1827"/>
            <w:vAlign w:val="center"/>
          </w:tcPr>
          <w:p w:rsidP="007A6BEA"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sz w:val="24"/>
              </w:rPr>
              <w:t/>
            </w:r>
            <w:proofErr w:type="spellEnd"/>
            <w:r w:rsidRPr="004C6E88">
              <w:rPr>
                <w:rFonts w:eastAsiaTheme="minorEastAsia"/>
                <w:sz w:val="24"/>
              </w:rPr>
              <w:t/>
            </w:r>
            <w:r w:rsidRPr="004C6E88">
              <w:rPr>
                <w:rFonts w:eastAsiaTheme="minorEastAsia"/>
                <w:color w:val="000000"/>
                <w:kern w:val="0"/>
                <w:sz w:val="24"/>
              </w:rPr>
              <w:t/>
            </w:r>
            <w:r w:rsidRPr="004C6E88">
              <w:rPr>
                <w:rFonts w:eastAsiaTheme="minorEastAsia"/>
                <w:sz w:val="24"/>
              </w:rPr>
              <w:t>易方达银行分级B</w:t>
            </w:r>
          </w:p>
        </w:tc>
      </w:tr>
      <w:tr w:rsidR="002C2DE0" w:rsidRPr="00272E0C" w:rsidTr="00EB3E72">
        <w:tc>
          <w:tcPr>
            <w:tcW w:type="dxa" w:w="2835"/>
          </w:tcPr>
          <w:p w:rsidP="004C6E88" w:rsidR="002C2DE0" w:rsidRDefault="002C2DE0" w:rsidRPr="004C6E88">
            <w:pPr>
              <w:adjustRightInd w:val="0"/>
              <w:spacing w:before="29" w:line="360" w:lineRule="auto"/>
              <w:ind w:left="17"/>
              <w:jc w:val="left"/>
              <w:rPr>
                <w:rFonts w:eastAsiaTheme="minorEastAsia"/>
                <w:color w:val="000000"/>
                <w:sz w:val="24"/>
              </w:rPr>
            </w:pPr>
            <w:r w:rsidRPr="004C6E88">
              <w:rPr>
                <w:rFonts w:eastAsiaTheme="minorEastAsia"/>
                <w:color w:val="000000"/>
                <w:sz w:val="24"/>
              </w:rPr>
              <w:t>下属</w:t>
            </w:r>
            <w:r w:rsidR="004C6E88" w:rsidRPr="004C6E88">
              <w:rPr>
                <w:rFonts w:eastAsiaTheme="minorEastAsia"/>
                <w:color w:val="000000"/>
                <w:sz w:val="24"/>
              </w:rPr>
              <w:t>分</w:t>
            </w:r>
            <w:r w:rsidR="003168E2">
              <w:rPr>
                <w:rFonts w:eastAsiaTheme="minorEastAsia"/>
                <w:color w:val="000000"/>
                <w:sz w:val="24"/>
              </w:rPr>
              <w:t>级基金</w:t>
            </w:r>
            <w:r w:rsidRPr="004C6E88">
              <w:rPr>
                <w:rFonts w:eastAsiaTheme="minorEastAsia"/>
                <w:color w:val="000000"/>
                <w:sz w:val="24"/>
              </w:rPr>
              <w:t>场内简称</w:t>
            </w:r>
          </w:p>
        </w:tc>
        <w:tc>
          <w:tcPr>
            <w:tcW w:type="dxa" w:w="1826"/>
            <w:vAlign w:val="center"/>
          </w:tcPr>
          <w:p w:rsidP="00E43B0B" w:rsidR="002C2DE0" w:rsidRDefault="002C2DE0" w:rsidRPr="004C6E88">
            <w:pPr>
              <w:rPr>
                <w:rFonts w:eastAsiaTheme="minorEastAsia"/>
                <w:color w:val="000000"/>
                <w:kern w:val="0"/>
                <w:sz w:val="24"/>
              </w:rPr>
            </w:pPr>
            <w:r w:rsidRPr="004C6E88">
              <w:rPr>
                <w:rFonts w:eastAsiaTheme="minorEastAsia"/>
                <w:sz w:val="24"/>
              </w:rPr>
              <w:t/>
            </w:r>
            <w:proofErr w:type="spellStart"/>
            <w:r w:rsidRPr="004C6E88">
              <w:rPr>
                <w:rFonts w:eastAsiaTheme="minorEastAsia"/>
                <w:sz w:val="24"/>
              </w:rPr>
              <w:t/>
            </w:r>
            <w:proofErr w:type="spellEnd"/>
            <w:r w:rsidRPr="004C6E88">
              <w:rPr>
                <w:rFonts w:eastAsiaTheme="minorEastAsia"/>
                <w:sz w:val="24"/>
              </w:rPr>
              <w:t/>
            </w:r>
            <w:proofErr w:type="spellStart"/>
            <w:r w:rsidRPr="004C6E88">
              <w:rPr>
                <w:rFonts w:eastAsiaTheme="minorEastAsia"/>
                <w:sz w:val="24"/>
              </w:rPr>
              <w:t/>
            </w:r>
            <w:proofErr w:type="spellEnd"/>
            <w:r w:rsidRPr="004C6E88">
              <w:rPr>
                <w:rFonts w:eastAsiaTheme="minorEastAsia"/>
                <w:sz w:val="24"/>
              </w:rPr>
              <w:t>银行业</w:t>
            </w:r>
          </w:p>
        </w:tc>
        <w:tc>
          <w:tcPr>
            <w:tcW w:type="dxa" w:w="1826"/>
            <w:vAlign w:val="center"/>
          </w:tcPr>
          <w:p w:rsidP="00E43B0B" w:rsidR="002C2DE0" w:rsidRDefault="002C2DE0" w:rsidRPr="004C6E88">
            <w:pPr>
              <w:rPr>
                <w:rFonts w:eastAsiaTheme="minorEastAsia"/>
                <w:color w:val="000000"/>
                <w:kern w:val="0"/>
                <w:sz w:val="24"/>
              </w:rPr>
            </w:pPr>
            <w:r w:rsidRPr="004C6E88">
              <w:rPr>
                <w:rFonts w:eastAsiaTheme="minorEastAsia"/>
                <w:sz w:val="24"/>
              </w:rPr>
              <w:t/>
            </w:r>
            <w:proofErr w:type="spellStart"/>
            <w:r w:rsidRPr="004C6E88">
              <w:rPr>
                <w:rFonts w:eastAsiaTheme="minorEastAsia"/>
                <w:sz w:val="24"/>
              </w:rPr>
              <w:t/>
            </w:r>
            <w:proofErr w:type="spellEnd"/>
            <w:r w:rsidRPr="004C6E88">
              <w:rPr>
                <w:rFonts w:eastAsiaTheme="minorEastAsia"/>
                <w:sz w:val="24"/>
              </w:rPr>
              <w:t/>
            </w:r>
            <w:proofErr w:type="spellStart"/>
            <w:r w:rsidRPr="004C6E88">
              <w:rPr>
                <w:rFonts w:eastAsiaTheme="minorEastAsia"/>
                <w:sz w:val="24"/>
              </w:rPr>
              <w:t/>
            </w:r>
            <w:proofErr w:type="spellEnd"/>
            <w:r w:rsidRPr="004C6E88">
              <w:rPr>
                <w:rFonts w:eastAsiaTheme="minorEastAsia"/>
                <w:sz w:val="24"/>
              </w:rPr>
              <w:t>银行业A</w:t>
            </w:r>
          </w:p>
        </w:tc>
        <w:tc>
          <w:tcPr>
            <w:tcW w:type="dxa" w:w="1827"/>
            <w:vAlign w:val="center"/>
          </w:tcPr>
          <w:p w:rsidP="00E43B0B" w:rsidR="002C2DE0" w:rsidRDefault="002C2DE0" w:rsidRPr="004C6E88">
            <w:pPr>
              <w:rPr>
                <w:rFonts w:eastAsiaTheme="minorEastAsia"/>
                <w:color w:val="000000"/>
                <w:kern w:val="0"/>
                <w:sz w:val="24"/>
              </w:rPr>
            </w:pPr>
            <w:r w:rsidRPr="004C6E88">
              <w:rPr>
                <w:rFonts w:eastAsiaTheme="minorEastAsia"/>
                <w:sz w:val="24"/>
              </w:rPr>
              <w:t/>
            </w:r>
            <w:proofErr w:type="spellStart"/>
            <w:r w:rsidRPr="004C6E88">
              <w:rPr>
                <w:rFonts w:eastAsiaTheme="minorEastAsia"/>
                <w:sz w:val="24"/>
              </w:rPr>
              <w:t/>
            </w:r>
            <w:proofErr w:type="spellEnd"/>
            <w:r w:rsidRPr="004C6E88">
              <w:rPr>
                <w:rFonts w:eastAsiaTheme="minorEastAsia"/>
                <w:sz w:val="24"/>
              </w:rPr>
              <w:t/>
            </w:r>
            <w:proofErr w:type="spellStart"/>
            <w:r w:rsidRPr="004C6E88">
              <w:rPr>
                <w:rFonts w:eastAsiaTheme="minorEastAsia"/>
                <w:sz w:val="24"/>
              </w:rPr>
              <w:t/>
            </w:r>
            <w:proofErr w:type="spellEnd"/>
            <w:r w:rsidRPr="004C6E88">
              <w:rPr>
                <w:rFonts w:eastAsiaTheme="minorEastAsia"/>
                <w:sz w:val="24"/>
              </w:rPr>
              <w:t/>
            </w:r>
            <w:r w:rsidRPr="004C6E88">
              <w:rPr>
                <w:rFonts w:eastAsiaTheme="minorEastAsia"/>
                <w:color w:val="000000"/>
                <w:kern w:val="0"/>
                <w:sz w:val="24"/>
              </w:rPr>
              <w:t/>
            </w:r>
            <w:r w:rsidRPr="004C6E88">
              <w:rPr>
                <w:rFonts w:eastAsiaTheme="minorEastAsia"/>
                <w:sz w:val="24"/>
              </w:rPr>
              <w:t>银行业B</w:t>
            </w:r>
          </w:p>
        </w:tc>
      </w:tr>
      <w:tr w:rsidR="003A768B" w:rsidRPr="00272E0C" w:rsidTr="00EB3E72">
        <w:tc>
          <w:tcPr>
            <w:tcW w:type="dxa" w:w="2835"/>
          </w:tcPr>
          <w:p w:rsidP="004C6E88"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sz w:val="24"/>
              </w:rPr>
              <w:t>下属</w:t>
            </w:r>
            <w:r w:rsidR="004C6E88" w:rsidRPr="004C6E88">
              <w:rPr>
                <w:rFonts w:eastAsiaTheme="minorEastAsia"/>
                <w:color w:val="000000"/>
                <w:sz w:val="24"/>
              </w:rPr>
              <w:t>分</w:t>
            </w:r>
            <w:r w:rsidRPr="004C6E88">
              <w:rPr>
                <w:rFonts w:eastAsiaTheme="minorEastAsia"/>
                <w:color w:val="000000"/>
                <w:sz w:val="24"/>
              </w:rPr>
              <w:t>级基金的交易代码</w:t>
            </w:r>
          </w:p>
        </w:tc>
        <w:tc>
          <w:tcPr>
            <w:tcW w:type="dxa" w:w="1826"/>
            <w:vAlign w:val="center"/>
          </w:tcPr>
          <w:p w:rsidP="007A6BEA"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sz w:val="24"/>
              </w:rPr>
              <w:t/>
            </w:r>
            <w:proofErr w:type="spellEnd"/>
            <w:r w:rsidRPr="004C6E88">
              <w:rPr>
                <w:rFonts w:eastAsiaTheme="minorEastAsia"/>
                <w:sz w:val="24"/>
              </w:rPr>
              <w:t>161121</w:t>
            </w:r>
          </w:p>
        </w:tc>
        <w:tc>
          <w:tcPr>
            <w:tcW w:type="dxa" w:w="1826"/>
            <w:vAlign w:val="center"/>
          </w:tcPr>
          <w:p w:rsidP="007A6BEA"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sz w:val="24"/>
              </w:rPr>
              <w:t/>
            </w:r>
            <w:proofErr w:type="spellEnd"/>
            <w:r w:rsidRPr="004C6E88">
              <w:rPr>
                <w:rFonts w:eastAsiaTheme="minorEastAsia"/>
                <w:sz w:val="24"/>
              </w:rPr>
              <w:t>150255</w:t>
            </w:r>
          </w:p>
        </w:tc>
        <w:tc>
          <w:tcPr>
            <w:tcW w:type="dxa" w:w="1827"/>
            <w:vAlign w:val="center"/>
          </w:tcPr>
          <w:p w:rsidP="007A6BEA"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sz w:val="24"/>
              </w:rPr>
              <w:t/>
            </w:r>
            <w:proofErr w:type="spellEnd"/>
            <w:r w:rsidRPr="004C6E88">
              <w:rPr>
                <w:rFonts w:eastAsiaTheme="minorEastAsia"/>
                <w:sz w:val="24"/>
              </w:rPr>
              <w:t/>
            </w:r>
            <w:r w:rsidRPr="004C6E88">
              <w:rPr>
                <w:rFonts w:eastAsiaTheme="minorEastAsia"/>
                <w:color w:val="000000"/>
                <w:kern w:val="0"/>
                <w:sz w:val="24"/>
              </w:rPr>
              <w:t/>
            </w:r>
            <w:r w:rsidRPr="004C6E88">
              <w:rPr>
                <w:rFonts w:eastAsiaTheme="minorEastAsia"/>
                <w:sz w:val="24"/>
              </w:rPr>
              <w:t>150256</w:t>
            </w:r>
          </w:p>
        </w:tc>
      </w:tr>
      <w:tr w:rsidR="003A768B" w:rsidRPr="00272E0C" w:rsidTr="00EB3E72">
        <w:tc>
          <w:tcPr>
            <w:tcW w:type="dxa" w:w="2835"/>
          </w:tcPr>
          <w:p w:rsidP="004C6E88"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sz w:val="24"/>
              </w:rPr>
              <w:lastRenderedPageBreak/>
              <w:t>报告期末下属</w:t>
            </w:r>
            <w:r w:rsidR="004C6E88" w:rsidRPr="004C6E88">
              <w:rPr>
                <w:rFonts w:eastAsiaTheme="minorEastAsia"/>
                <w:color w:val="000000"/>
                <w:sz w:val="24"/>
              </w:rPr>
              <w:t>分</w:t>
            </w:r>
            <w:r w:rsidRPr="004C6E88">
              <w:rPr>
                <w:rFonts w:eastAsiaTheme="minorEastAsia"/>
                <w:color w:val="000000"/>
                <w:sz w:val="24"/>
              </w:rPr>
              <w:t>级基金的份额总额</w:t>
            </w:r>
          </w:p>
        </w:tc>
        <w:tc>
          <w:tcPr>
            <w:tcW w:type="dxa" w:w="1826"/>
            <w:vAlign w:val="center"/>
          </w:tcPr>
          <w:p w:rsidP="00057DD3"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
            </w:r>
            <w:r w:rsidRPr="004C6E88">
              <w:rPr>
                <w:rFonts w:eastAsiaTheme="minorEastAsia"/>
                <w:sz w:val="24"/>
              </w:rPr>
              <w:t>184,055,280.13</w:t>
            </w:r>
            <w:r w:rsidRPr="004C6E88">
              <w:rPr>
                <w:rFonts w:eastAsiaTheme="minorEastAsia"/>
                <w:color w:val="000000"/>
                <w:kern w:val="0"/>
                <w:sz w:val="24"/>
              </w:rPr>
              <w:t>份</w:t>
            </w:r>
          </w:p>
        </w:tc>
        <w:tc>
          <w:tcPr>
            <w:tcW w:type="dxa" w:w="1826"/>
            <w:vAlign w:val="center"/>
          </w:tcPr>
          <w:p w:rsidP="00057DD3"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sz w:val="24"/>
              </w:rPr>
              <w:t>47,688,202.00</w:t>
            </w:r>
            <w:r w:rsidRPr="004C6E88">
              <w:rPr>
                <w:rFonts w:eastAsiaTheme="minorEastAsia"/>
                <w:color w:val="000000"/>
                <w:kern w:val="0"/>
                <w:sz w:val="24"/>
              </w:rPr>
              <w:t>份</w:t>
            </w:r>
          </w:p>
        </w:tc>
        <w:tc>
          <w:tcPr>
            <w:tcW w:type="dxa" w:w="1827"/>
            <w:vAlign w:val="center"/>
          </w:tcPr>
          <w:p w:rsidP="00057DD3"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sz w:val="24"/>
              </w:rPr>
              <w:t/>
            </w:r>
            <w:r w:rsidRPr="004C6E88">
              <w:rPr>
                <w:rFonts w:eastAsiaTheme="minorEastAsia"/>
                <w:color w:val="000000"/>
                <w:kern w:val="0"/>
                <w:sz w:val="24"/>
              </w:rPr>
              <w:t/>
            </w:r>
            <w:r w:rsidRPr="004C6E88">
              <w:rPr>
                <w:rFonts w:eastAsiaTheme="minorEastAsia"/>
                <w:sz w:val="24"/>
              </w:rPr>
              <w:t>47,688,202.00</w:t>
            </w:r>
            <w:r w:rsidRPr="004C6E88">
              <w:rPr>
                <w:rFonts w:eastAsiaTheme="minorEastAsia"/>
                <w:color w:val="000000"/>
                <w:kern w:val="0"/>
                <w:sz w:val="24"/>
              </w:rPr>
              <w:t>份</w:t>
            </w:r>
          </w:p>
        </w:tc>
      </w:tr>
      <w:tr w:rsidR="003A768B" w:rsidRPr="00272E0C" w:rsidTr="00EB3E72">
        <w:tc>
          <w:tcPr>
            <w:tcW w:type="dxa" w:w="2835"/>
          </w:tcPr>
          <w:p w:rsidP="004C6E88" w:rsidR="003A768B" w:rsidRDefault="003A768B" w:rsidRPr="004C6E88">
            <w:pPr>
              <w:adjustRightInd w:val="0"/>
              <w:spacing w:before="29" w:line="360" w:lineRule="auto"/>
              <w:ind w:left="17"/>
              <w:jc w:val="left"/>
              <w:rPr>
                <w:rFonts w:eastAsiaTheme="minorEastAsia"/>
                <w:sz w:val="24"/>
              </w:rPr>
            </w:pPr>
            <w:r w:rsidRPr="004C6E88">
              <w:rPr>
                <w:rFonts w:eastAsiaTheme="minorEastAsia"/>
                <w:color w:val="000000"/>
                <w:kern w:val="0"/>
                <w:sz w:val="24"/>
              </w:rPr>
              <w:t>下属</w:t>
            </w:r>
            <w:r w:rsidR="004C6E88" w:rsidRPr="004C6E88">
              <w:rPr>
                <w:rFonts w:eastAsiaTheme="minorEastAsia"/>
                <w:color w:val="000000"/>
                <w:kern w:val="0"/>
                <w:sz w:val="24"/>
              </w:rPr>
              <w:t>分</w:t>
            </w:r>
            <w:r w:rsidRPr="004C6E88">
              <w:rPr>
                <w:rFonts w:eastAsiaTheme="minorEastAsia"/>
                <w:color w:val="000000"/>
                <w:kern w:val="0"/>
                <w:sz w:val="24"/>
              </w:rPr>
              <w:t>级基金的</w:t>
            </w:r>
            <w:r w:rsidRPr="004C6E88">
              <w:rPr>
                <w:rFonts w:eastAsiaTheme="minorEastAsia"/>
                <w:kern w:val="0"/>
                <w:sz w:val="24"/>
              </w:rPr>
              <w:t>风险收益特征</w:t>
            </w:r>
          </w:p>
        </w:tc>
        <w:tc>
          <w:tcPr>
            <w:tcW w:type="dxa" w:w="1826"/>
          </w:tcPr>
          <w:p w:rsidP="00A008D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基础份额为股票型基金，其风险收益水平高于混合型基金、债券型基金和货币市场基金。</w:t>
            </w:r>
          </w:p>
        </w:tc>
        <w:tc>
          <w:tcPr>
            <w:tcW w:type="dxa" w:w="1826"/>
          </w:tcPr>
          <w:p w:rsidP="00A008D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与基础份额相比，A类份额的预期收益和预期风险低于基础份额。</w:t>
            </w:r>
          </w:p>
        </w:tc>
        <w:tc>
          <w:tcPr>
            <w:tcW w:type="dxa" w:w="1827"/>
          </w:tcPr>
          <w:p w:rsidP="00A008D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与基础份额相比，B类份额的预期收益和预期风险高于基础份额。</w:t>
            </w:r>
          </w:p>
        </w:tc>
      </w:tr>
    </w:tbl>
    <w:p w:rsidP="005C6DF3" w:rsidR="001C36D8" w:rsidRDefault="001C36D8" w:rsidRPr="00272E0C">
      <w:pPr>
        <w:pStyle w:val="1"/>
        <w:spacing w:after="312" w:afterLines="100" w:before="312" w:beforeLines="100" w:line="360" w:lineRule="auto"/>
        <w:jc w:val="center"/>
        <w:rPr>
          <w:rFonts w:ascii="宋体" w:cs="Arial"/>
          <w:color w:val="000000"/>
          <w:kern w:val="0"/>
          <w:sz w:val="24"/>
          <w:szCs w:val="24"/>
        </w:rPr>
      </w:pPr>
      <w:r w:rsidRPr="00272E0C">
        <w:rPr>
          <w:rFonts w:ascii="宋体" w:cs="Arial" w:hAnsi="宋体" w:hint="eastAsia"/>
          <w:color w:val="000000"/>
          <w:kern w:val="0"/>
          <w:sz w:val="24"/>
          <w:szCs w:val="24"/>
        </w:rPr>
        <w:t>§</w:t>
      </w:r>
      <w:r w:rsidRPr="00272E0C">
        <w:rPr>
          <w:rFonts w:ascii="宋体" w:cs="Arial" w:hAnsi="宋体"/>
          <w:color w:val="000000"/>
          <w:kern w:val="0"/>
          <w:sz w:val="24"/>
          <w:szCs w:val="24"/>
        </w:rPr>
        <w:t xml:space="preserve">3  </w:t>
      </w:r>
      <w:r w:rsidRPr="00272E0C">
        <w:rPr>
          <w:rFonts w:ascii="宋体" w:cs="Arial" w:hAnsi="宋体" w:hint="eastAsia"/>
          <w:color w:val="000000"/>
          <w:kern w:val="0"/>
          <w:sz w:val="24"/>
          <w:szCs w:val="24"/>
        </w:rPr>
        <w:t>主要财务指标和基金净值表现</w:t>
      </w:r>
    </w:p>
    <w:p w:rsidP="003A4DA3"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 xml:space="preserve">3.1 </w:t>
      </w:r>
      <w:r w:rsidRPr="00272E0C">
        <w:rPr>
          <w:rFonts w:ascii="宋体" w:cs="Arial" w:hAnsi="宋体" w:hint="eastAsia"/>
          <w:b/>
          <w:color w:val="000000"/>
          <w:kern w:val="0"/>
          <w:sz w:val="24"/>
        </w:rPr>
        <w:t>主要财务指标</w:t>
      </w:r>
    </w:p>
    <w:p w:rsidP="0008378B" w:rsidR="0008378B" w:rsidRDefault="0008378B"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08378B" w:rsidRPr="006506EF" w:rsidTr="005D3A22">
        <w:tc>
          <w:tcPr>
            <w:tcW w:type="dxa" w:w="3402"/>
            <w:vAlign w:val="center"/>
          </w:tcPr>
          <w:p w:rsidP="005D3A22" w:rsidR="0008378B" w:rsidRDefault="0008378B"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5D3A22" w:rsidR="0008378B" w:rsidRDefault="0008378B" w:rsidRPr="006506EF">
            <w:pPr>
              <w:adjustRightInd w:val="0"/>
              <w:spacing w:before="29" w:line="360" w:lineRule="auto"/>
              <w:ind w:left="17"/>
              <w:jc w:val="center"/>
              <w:rPr>
                <w:color w:val="000000"/>
                <w:sz w:val="24"/>
              </w:rPr>
            </w:pPr>
            <w:r w:rsidRPr="006506EF">
              <w:rPr>
                <w:color w:val="000000"/>
                <w:sz w:val="24"/>
              </w:rPr>
              <w:t>报告期</w:t>
            </w:r>
          </w:p>
          <w:p w:rsidP="005D3A22" w:rsidR="0008378B" w:rsidRDefault="0008378B"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5D3A22" w:rsidR="0008378B" w:rsidRDefault="0008378B"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08378B" w:rsidRPr="006506EF" w:rsidTr="005D3A22">
        <w:tc>
          <w:tcPr>
            <w:tcW w:type="dxa" w:w="3402"/>
          </w:tcPr>
          <w:p w:rsidP="005D3A22" w:rsidR="0008378B" w:rsidRDefault="0008378B"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9,359,710.93</w:t>
            </w:r>
          </w:p>
        </w:tc>
        <w:tc>
          <w:tcPr>
            <w:tcW w:type="dxa" w:w="2410"/>
            <w:hMerge/>
            <w:vAlign w:val="bottom"/>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w:t>
            </w:r>
          </w:p>
        </w:tc>
      </w:tr>
      <w:tr w:rsidR="0008378B" w:rsidRPr="006506EF" w:rsidTr="005D3A22">
        <w:tc>
          <w:tcPr>
            <w:tcW w:type="dxa" w:w="3402"/>
          </w:tcPr>
          <w:p w:rsidP="005D3A22" w:rsidR="0008378B" w:rsidRDefault="0008378B"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10,668,950.84</w:t>
            </w:r>
          </w:p>
        </w:tc>
        <w:tc>
          <w:tcPr>
            <w:tcW w:type="dxa" w:w="2410"/>
            <w:hMerge/>
            <w:vAlign w:val="bottom"/>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w:t>
            </w:r>
          </w:p>
        </w:tc>
      </w:tr>
      <w:tr w:rsidR="0008378B" w:rsidRPr="006506EF" w:rsidTr="005D3A22">
        <w:tc>
          <w:tcPr>
            <w:tcW w:type="dxa" w:w="3402"/>
          </w:tcPr>
          <w:p w:rsidP="005D3A22" w:rsidR="0008378B" w:rsidRDefault="0008378B"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0.0393</w:t>
            </w:r>
          </w:p>
        </w:tc>
        <w:tc>
          <w:tcPr>
            <w:tcW w:type="dxa" w:w="2410"/>
            <w:hMerge/>
            <w:vAlign w:val="bottom"/>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w:t>
            </w:r>
          </w:p>
        </w:tc>
      </w:tr>
      <w:tr w:rsidR="0008378B" w:rsidRPr="006506EF" w:rsidTr="005D3A22">
        <w:tc>
          <w:tcPr>
            <w:tcW w:type="dxa" w:w="3402"/>
          </w:tcPr>
          <w:p w:rsidP="005D3A22" w:rsidR="0008378B" w:rsidRDefault="0008378B"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262,077,997.70</w:t>
            </w:r>
          </w:p>
        </w:tc>
        <w:tc>
          <w:tcPr>
            <w:tcW w:type="dxa" w:w="2410"/>
            <w:hMerge/>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w:t>
            </w:r>
          </w:p>
        </w:tc>
      </w:tr>
      <w:tr w:rsidR="0008378B" w:rsidRPr="006506EF" w:rsidTr="005D3A22">
        <w:trPr>
          <w:trHeight w:val="158"/>
        </w:trPr>
        <w:tc>
          <w:tcPr>
            <w:tcW w:type="dxa" w:w="3402"/>
          </w:tcPr>
          <w:p w:rsidP="005D3A22" w:rsidR="0008378B" w:rsidRDefault="0008378B"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r w:rsidRPr="006506EF">
              <w:rPr>
                <w:color w:val="000000"/>
                <w:sz w:val="24"/>
              </w:rPr>
              <w:lastRenderedPageBreak/>
              <w:t/>
            </w:r>
            <w:proofErr w:type="spellEnd"/>
            <w:r w:rsidRPr="006506EF">
              <w:rPr>
                <w:color w:val="000000"/>
                <w:sz w:val="24"/>
              </w:rPr>
              <w:t>0.9379</w:t>
            </w:r>
          </w:p>
        </w:tc>
        <w:tc>
          <w:tcPr>
            <w:tcW w:type="dxa" w:w="2410"/>
            <w:hMerge/>
          </w:tcPr>
          <w:p w:rsidP="005D3A22" w:rsidR="0008378B" w:rsidRDefault="0008378B" w:rsidRPr="006506EF">
            <w:pPr>
              <w:adjustRightInd w:val="0"/>
              <w:spacing w:before="29" w:line="360" w:lineRule="auto"/>
              <w:ind w:left="17"/>
              <w:jc w:val="right"/>
              <w:rPr>
                <w:color w:val="000000"/>
                <w:sz w:val="24"/>
              </w:rPr>
            </w:pPr>
            <w:r w:rsidRPr="006506EF">
              <w:rPr>
                <w:color w:val="000000"/>
                <w:sz w:val="24"/>
              </w:rPr>
              <w:lastRenderedPageBreak/>
              <w:t/>
            </w:r>
            <w:r w:rsidRPr="006506EF">
              <w:rPr>
                <w:color w:val="000000"/>
                <w:sz w:val="24"/>
              </w:rPr>
              <w:lastRenderedPageBreak/>
              <w:t>-</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E43B0B" w:rsidR="001C36D8" w:rsidRDefault="0008378B" w:rsidRPr="00E43B0B">
      <w:pPr>
        <w:spacing w:line="360" w:lineRule="auto"/>
        <w:ind w:firstLine="480" w:firstLineChars="200"/>
        <w:rPr>
          <w:color w:val="000000"/>
          <w:sz w:val="24"/>
        </w:rPr>
      </w:pPr>
      <w:r w:rsidRPr="006506EF">
        <w:rPr>
          <w:color w:val="000000"/>
          <w:sz w:val="24"/>
        </w:rPr>
        <w:lastRenderedPageBreak/>
        <w:t/>
      </w:r>
      <w:proofErr w:type="spellStart"/>
      <w:r w:rsidRPr="006506EF">
        <w:rPr>
          <w:color w:val="000000"/>
          <w:sz w:val="24"/>
        </w:rPr>
        <w:t/>
      </w:r>
      <w:proofErr w:type="spellEnd"/>
      <w:r w:rsidRPr="006506EF">
        <w:rPr>
          <w:color w:val="000000"/>
          <w:sz w:val="24"/>
        </w:rPr>
        <w:t/>
      </w:r>
      <w:proofErr w:type="spellStart"/>
      <w:r w:rsidRPr="006506EF">
        <w:rPr>
          <w:color w:val="000000"/>
          <w:sz w:val="24"/>
        </w:rPr>
        <w:t/>
      </w:r>
      <w:proofErr w:type="spell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3A4DA3"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 xml:space="preserve">3.2 </w:t>
      </w:r>
      <w:r w:rsidRPr="00272E0C">
        <w:rPr>
          <w:rFonts w:ascii="宋体" w:cs="Arial" w:hAnsi="宋体" w:hint="eastAsia"/>
          <w:b/>
          <w:color w:val="000000"/>
          <w:kern w:val="0"/>
          <w:sz w:val="24"/>
        </w:rPr>
        <w:t>基金净值表现</w:t>
      </w:r>
    </w:p>
    <w:p w:rsidP="003A4DA3" w:rsidR="001C36D8" w:rsidRDefault="001C36D8" w:rsidRPr="00272E0C">
      <w:pPr>
        <w:autoSpaceDE w:val="0"/>
        <w:autoSpaceDN w:val="0"/>
        <w:adjustRightInd w:val="0"/>
        <w:spacing w:line="360" w:lineRule="auto"/>
        <w:jc w:val="left"/>
        <w:rPr>
          <w:rFonts w:ascii="宋体" w:cs="Arial"/>
          <w:b/>
          <w:color w:val="000000"/>
          <w:kern w:val="0"/>
          <w:sz w:val="24"/>
        </w:rPr>
      </w:pPr>
      <w:smartTag w:element="chsdate" w:uri="urn:schemas-microsoft-com:office:smarttags">
        <w:smartTagPr>
          <w:attr w:name="IsROCDate" w:val="False"/>
          <w:attr w:name="IsLunarDate" w:val="False"/>
          <w:attr w:name="Day" w:val="30"/>
          <w:attr w:name="Month" w:val="12"/>
          <w:attr w:name="Year" w:val="1899"/>
        </w:smartTagPr>
        <w:r w:rsidRPr="00272E0C">
          <w:rPr>
            <w:rFonts w:ascii="宋体" w:cs="Arial" w:hAnsi="宋体"/>
            <w:b/>
            <w:color w:val="000000"/>
            <w:kern w:val="0"/>
            <w:sz w:val="24"/>
          </w:rPr>
          <w:t>3.2.1</w:t>
        </w:r>
      </w:smartTag>
      <w:r w:rsidRPr="00272E0C">
        <w:rPr>
          <w:rFonts w:ascii="宋体" w:cs="Arial" w:hAnsi="宋体" w:hint="eastAsia"/>
          <w:b/>
          <w:color w:val="000000"/>
          <w:kern w:val="0"/>
          <w:sz w:val="24"/>
        </w:rPr>
        <w:t>本报告期基金份额净值增长率及其与同期业绩比较基准收益率的比较</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15"/>
        <w:gridCol w:w="1216"/>
        <w:gridCol w:w="1216"/>
        <w:gridCol w:w="1216"/>
        <w:gridCol w:w="1216"/>
        <w:gridCol w:w="1217"/>
        <w:gridCol w:w="1217"/>
      </w:tblGrid>
      <w:tr w:rsidR="001C36D8" w:rsidRPr="00272E0C" w:rsidTr="001A09F9">
        <w:tc>
          <w:tcPr>
            <w:tcW w:type="dxa" w:w="1215"/>
            <w:vAlign w:val="center"/>
          </w:tcPr>
          <w:p w:rsidP="001A09F9" w:rsidR="001C36D8" w:rsidRDefault="001C36D8" w:rsidRPr="00E43B0B">
            <w:pPr>
              <w:snapToGrid w:val="0"/>
              <w:spacing w:line="288" w:lineRule="auto"/>
              <w:jc w:val="center"/>
              <w:rPr>
                <w:color w:val="000000"/>
                <w:sz w:val="24"/>
              </w:rPr>
            </w:pPr>
            <w:r w:rsidRPr="00E43B0B">
              <w:rPr>
                <w:color w:val="000000"/>
                <w:sz w:val="24"/>
              </w:rPr>
              <w:t>阶段</w:t>
            </w:r>
            <w:r w:rsidRPr="00E43B0B">
              <w:rPr>
                <w:color w:val="000000"/>
                <w:sz w:val="24"/>
              </w:rPr>
              <w:t/>
            </w:r>
            <w:proofErr w:type="spellStart"/>
            <w:r w:rsidRPr="00E43B0B">
              <w:rPr>
                <w:color w:val="000000"/>
                <w:sz w:val="24"/>
              </w:rPr>
              <w:t/>
            </w:r>
            <w:proofErr w:type="spellEnd"/>
            <w:r w:rsidRPr="00E43B0B">
              <w:rPr>
                <w:color w:val="000000"/>
                <w:sz w:val="24"/>
              </w:rPr>
              <w:t/>
            </w:r>
          </w:p>
        </w:tc>
        <w:tc>
          <w:tcPr>
            <w:tcW w:type="dxa" w:w="1216"/>
            <w:vAlign w:val="center"/>
          </w:tcPr>
          <w:p w:rsidP="001A09F9" w:rsidR="001C36D8" w:rsidRDefault="001C36D8" w:rsidRPr="00E43B0B">
            <w:pPr>
              <w:snapToGrid w:val="0"/>
              <w:spacing w:line="288" w:lineRule="auto"/>
              <w:jc w:val="center"/>
              <w:rPr>
                <w:color w:val="000000"/>
                <w:sz w:val="24"/>
                <w:highlight w:val="green"/>
              </w:rPr>
            </w:pPr>
            <w:r w:rsidRPr="00E43B0B">
              <w:rPr>
                <w:color w:val="000000"/>
                <w:sz w:val="24"/>
              </w:rPr>
              <w:t>净值增长率</w:t>
            </w:r>
            <w:r w:rsidRPr="00E43B0B">
              <w:rPr>
                <w:rFonts w:ascii="宋体" w:cs="宋体" w:hAnsi="宋体" w:hint="eastAsia"/>
                <w:color w:val="000000"/>
                <w:sz w:val="24"/>
              </w:rPr>
              <w:t>①</w:t>
            </w:r>
          </w:p>
        </w:tc>
        <w:tc>
          <w:tcPr>
            <w:tcW w:type="dxa" w:w="1216"/>
            <w:vAlign w:val="center"/>
          </w:tcPr>
          <w:p w:rsidP="001A09F9" w:rsidR="001C36D8" w:rsidRDefault="001C36D8" w:rsidRPr="00E43B0B">
            <w:pPr>
              <w:snapToGrid w:val="0"/>
              <w:spacing w:line="288" w:lineRule="auto"/>
              <w:jc w:val="center"/>
              <w:rPr>
                <w:color w:val="000000"/>
                <w:sz w:val="24"/>
                <w:highlight w:val="green"/>
              </w:rPr>
            </w:pPr>
            <w:r w:rsidRPr="00E43B0B">
              <w:rPr>
                <w:color w:val="000000"/>
                <w:sz w:val="24"/>
              </w:rPr>
              <w:t>净值增长率标准差</w:t>
            </w:r>
            <w:r w:rsidRPr="00E43B0B">
              <w:rPr>
                <w:rFonts w:ascii="宋体" w:cs="宋体" w:hAnsi="宋体" w:hint="eastAsia"/>
                <w:color w:val="000000"/>
                <w:sz w:val="24"/>
              </w:rPr>
              <w:t>②</w:t>
            </w:r>
          </w:p>
        </w:tc>
        <w:tc>
          <w:tcPr>
            <w:tcW w:type="dxa" w:w="1216"/>
            <w:vAlign w:val="center"/>
          </w:tcPr>
          <w:p w:rsidP="001A09F9" w:rsidR="001C36D8" w:rsidRDefault="001C36D8" w:rsidRPr="00E43B0B">
            <w:pPr>
              <w:snapToGrid w:val="0"/>
              <w:spacing w:line="288" w:lineRule="auto"/>
              <w:jc w:val="center"/>
              <w:rPr>
                <w:color w:val="000000"/>
                <w:sz w:val="24"/>
              </w:rPr>
            </w:pPr>
            <w:r w:rsidRPr="00E43B0B">
              <w:rPr>
                <w:color w:val="000000"/>
                <w:sz w:val="24"/>
              </w:rPr>
              <w:t>业绩比较基准收益率</w:t>
            </w:r>
            <w:r w:rsidRPr="00E43B0B">
              <w:rPr>
                <w:rFonts w:ascii="宋体" w:cs="宋体" w:hAnsi="宋体" w:hint="eastAsia"/>
                <w:color w:val="000000"/>
                <w:sz w:val="24"/>
              </w:rPr>
              <w:t>③</w:t>
            </w:r>
          </w:p>
        </w:tc>
        <w:tc>
          <w:tcPr>
            <w:tcW w:type="dxa" w:w="1216"/>
            <w:vAlign w:val="center"/>
          </w:tcPr>
          <w:p w:rsidP="001A09F9" w:rsidR="001C36D8" w:rsidRDefault="001C36D8" w:rsidRPr="00E43B0B">
            <w:pPr>
              <w:snapToGrid w:val="0"/>
              <w:spacing w:line="288" w:lineRule="auto"/>
              <w:jc w:val="center"/>
              <w:rPr>
                <w:color w:val="000000"/>
                <w:sz w:val="24"/>
              </w:rPr>
            </w:pPr>
            <w:r w:rsidRPr="00E43B0B">
              <w:rPr>
                <w:color w:val="000000"/>
                <w:sz w:val="24"/>
              </w:rPr>
              <w:t>业绩比较基准收益率标准差</w:t>
            </w:r>
            <w:r w:rsidRPr="00E43B0B">
              <w:rPr>
                <w:rFonts w:ascii="宋体" w:cs="宋体" w:hAnsi="宋体" w:hint="eastAsia"/>
                <w:color w:val="000000"/>
                <w:sz w:val="24"/>
              </w:rPr>
              <w:t>④</w:t>
            </w:r>
          </w:p>
        </w:tc>
        <w:tc>
          <w:tcPr>
            <w:tcW w:type="dxa" w:w="1217"/>
            <w:vAlign w:val="center"/>
          </w:tcPr>
          <w:p w:rsidP="001A09F9" w:rsidR="001C36D8" w:rsidRDefault="001C36D8" w:rsidRPr="00E43B0B">
            <w:pPr>
              <w:snapToGrid w:val="0"/>
              <w:spacing w:line="288" w:lineRule="auto"/>
              <w:jc w:val="center"/>
              <w:rPr>
                <w:color w:val="000000"/>
                <w:sz w:val="24"/>
              </w:rPr>
            </w:pPr>
            <w:r w:rsidRPr="00E43B0B">
              <w:rPr>
                <w:rFonts w:ascii="宋体" w:cs="宋体" w:hAnsi="宋体" w:hint="eastAsia"/>
                <w:color w:val="000000"/>
                <w:sz w:val="24"/>
              </w:rPr>
              <w:t>①</w:t>
            </w:r>
            <w:r w:rsidRPr="00E43B0B">
              <w:rPr>
                <w:color w:val="000000"/>
                <w:sz w:val="24"/>
              </w:rPr>
              <w:t>－</w:t>
            </w:r>
            <w:r w:rsidRPr="00E43B0B">
              <w:rPr>
                <w:rFonts w:ascii="宋体" w:cs="宋体" w:hAnsi="宋体" w:hint="eastAsia"/>
                <w:color w:val="000000"/>
                <w:sz w:val="24"/>
              </w:rPr>
              <w:t>③</w:t>
            </w:r>
          </w:p>
        </w:tc>
        <w:tc>
          <w:tcPr>
            <w:tcW w:type="dxa" w:w="1217"/>
            <w:vAlign w:val="center"/>
          </w:tcPr>
          <w:p w:rsidP="001A09F9" w:rsidR="001C36D8" w:rsidRDefault="001C36D8" w:rsidRPr="00E43B0B">
            <w:pPr>
              <w:snapToGrid w:val="0"/>
              <w:spacing w:line="288" w:lineRule="auto"/>
              <w:jc w:val="center"/>
              <w:rPr>
                <w:color w:val="000000"/>
                <w:sz w:val="24"/>
              </w:rPr>
            </w:pPr>
            <w:r w:rsidRPr="00E43B0B">
              <w:rPr>
                <w:rFonts w:ascii="宋体" w:cs="宋体" w:hAnsi="宋体" w:hint="eastAsia"/>
                <w:color w:val="000000"/>
                <w:sz w:val="24"/>
              </w:rPr>
              <w:t>②</w:t>
            </w:r>
            <w:r w:rsidRPr="00E43B0B">
              <w:rPr>
                <w:color w:val="000000"/>
                <w:sz w:val="24"/>
              </w:rPr>
              <w:t>－</w:t>
            </w:r>
            <w:r w:rsidRPr="00E43B0B">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4.30%</w:t>
            </w:r>
          </w:p>
        </w:tc>
        <w:tc>
          <w:tcPr>
            <w:vAlign w:val="center"/>
          </w:tcPr>
          <w:p>
            <w:pPr>
              <w:jc w:val="center"/>
            </w:pPr>
            <w:r>
              <w:rPr>
                <w:color w:val="000000"/>
                <w:sz w:val="24"/>
              </w:rPr>
              <w:t>0.73%</w:t>
            </w:r>
          </w:p>
        </w:tc>
        <w:tc>
          <w:tcPr>
            <w:vAlign w:val="center"/>
          </w:tcPr>
          <w:p>
            <w:pPr>
              <w:jc w:val="center"/>
            </w:pPr>
            <w:r>
              <w:rPr>
                <w:color w:val="000000"/>
                <w:sz w:val="24"/>
              </w:rPr>
              <w:t>0.93%</w:t>
            </w:r>
          </w:p>
        </w:tc>
        <w:tc>
          <w:tcPr>
            <w:vAlign w:val="center"/>
          </w:tcPr>
          <w:p>
            <w:pPr>
              <w:jc w:val="center"/>
            </w:pPr>
            <w:r>
              <w:rPr>
                <w:color w:val="000000"/>
                <w:sz w:val="24"/>
              </w:rPr>
              <w:t>0.72%</w:t>
            </w:r>
          </w:p>
        </w:tc>
        <w:tc>
          <w:tcPr>
            <w:vAlign w:val="center"/>
          </w:tcPr>
          <w:p>
            <w:pPr>
              <w:jc w:val="center"/>
            </w:pPr>
            <w:r>
              <w:rPr>
                <w:color w:val="000000"/>
                <w:sz w:val="24"/>
              </w:rPr>
              <w:t>3.37%</w:t>
            </w:r>
          </w:p>
        </w:tc>
        <w:tc>
          <w:tcPr>
            <w:vAlign w:val="center"/>
          </w:tcPr>
          <w:p>
            <w:pPr>
              <w:jc w:val="center"/>
            </w:pPr>
            <w:r>
              <w:rPr>
                <w:color w:val="000000"/>
                <w:sz w:val="24"/>
              </w:rPr>
              <w:t>0.01%</w:t>
            </w:r>
          </w:p>
        </w:tc>
      </w:tr>
      <w:tr>
        <w:tc>
          <w:tcPr>
            <w:vAlign w:val="center"/>
          </w:tcPr>
          <w:p>
            <w:pPr>
              <w:jc w:val="left"/>
            </w:pPr>
            <w:r>
              <w:rPr>
                <w:color w:val="000000"/>
                <w:sz w:val="24"/>
              </w:rPr>
              <w:t>过去六个月</w:t>
            </w:r>
          </w:p>
        </w:tc>
        <w:tc>
          <w:tcPr>
            <w:vAlign w:val="center"/>
          </w:tcPr>
          <w:p>
            <w:pPr>
              <w:jc w:val="center"/>
            </w:pPr>
            <w:r>
              <w:rPr>
                <w:color w:val="000000"/>
                <w:sz w:val="24"/>
              </w:rPr>
              <w:t>-8.17%</w:t>
            </w:r>
          </w:p>
        </w:tc>
        <w:tc>
          <w:tcPr>
            <w:vAlign w:val="center"/>
          </w:tcPr>
          <w:p>
            <w:pPr>
              <w:jc w:val="center"/>
            </w:pPr>
            <w:r>
              <w:rPr>
                <w:color w:val="000000"/>
                <w:sz w:val="24"/>
              </w:rPr>
              <w:t>1.19%</w:t>
            </w:r>
          </w:p>
        </w:tc>
        <w:tc>
          <w:tcPr>
            <w:vAlign w:val="center"/>
          </w:tcPr>
          <w:p>
            <w:pPr>
              <w:jc w:val="center"/>
            </w:pPr>
            <w:r>
              <w:rPr>
                <w:color w:val="000000"/>
                <w:sz w:val="24"/>
              </w:rPr>
              <w:t>-13.37%</w:t>
            </w:r>
          </w:p>
        </w:tc>
        <w:tc>
          <w:tcPr>
            <w:vAlign w:val="center"/>
          </w:tcPr>
          <w:p>
            <w:pPr>
              <w:jc w:val="center"/>
            </w:pPr>
            <w:r>
              <w:rPr>
                <w:color w:val="000000"/>
                <w:sz w:val="24"/>
              </w:rPr>
              <w:t>1.19%</w:t>
            </w:r>
          </w:p>
        </w:tc>
        <w:tc>
          <w:tcPr>
            <w:vAlign w:val="center"/>
          </w:tcPr>
          <w:p>
            <w:pPr>
              <w:jc w:val="center"/>
            </w:pPr>
            <w:r>
              <w:rPr>
                <w:color w:val="000000"/>
                <w:sz w:val="24"/>
              </w:rPr>
              <w:t>5.20%</w:t>
            </w:r>
          </w:p>
        </w:tc>
        <w:tc>
          <w:tcPr>
            <w:vAlign w:val="center"/>
          </w:tcPr>
          <w:p>
            <w:pPr>
              <w:jc w:val="center"/>
            </w:pPr>
            <w:r>
              <w:rPr>
                <w:color w:val="000000"/>
                <w:sz w:val="24"/>
              </w:rPr>
              <w:t>0.00%</w:t>
            </w:r>
          </w:p>
        </w:tc>
      </w:tr>
      <w:tr>
        <w:tc>
          <w:tcPr>
            <w:vAlign w:val="center"/>
          </w:tcPr>
          <w:p>
            <w:pPr>
              <w:jc w:val="left"/>
            </w:pPr>
            <w:r>
              <w:rPr>
                <w:color w:val="000000"/>
                <w:sz w:val="24"/>
              </w:rPr>
              <w:t>过去一年</w:t>
            </w:r>
          </w:p>
        </w:tc>
        <w:tc>
          <w:tcPr>
            <w:vAlign w:val="center"/>
          </w:tcPr>
          <w:p>
            <w:pPr>
              <w:jc w:val="center"/>
            </w:pPr>
            <w:r>
              <w:rPr>
                <w:color w:val="000000"/>
                <w:sz w:val="24"/>
              </w:rPr>
              <w:t>-1.17%</w:t>
            </w:r>
          </w:p>
        </w:tc>
        <w:tc>
          <w:tcPr>
            <w:vAlign w:val="center"/>
          </w:tcPr>
          <w:p>
            <w:pPr>
              <w:jc w:val="center"/>
            </w:pPr>
            <w:r>
              <w:rPr>
                <w:color w:val="000000"/>
                <w:sz w:val="24"/>
              </w:rPr>
              <w:t>1.00%</w:t>
            </w:r>
          </w:p>
        </w:tc>
        <w:tc>
          <w:tcPr>
            <w:vAlign w:val="center"/>
          </w:tcPr>
          <w:p>
            <w:pPr>
              <w:jc w:val="center"/>
            </w:pPr>
            <w:r>
              <w:rPr>
                <w:color w:val="000000"/>
                <w:sz w:val="24"/>
              </w:rPr>
              <w:t>-10.09%</w:t>
            </w:r>
          </w:p>
        </w:tc>
        <w:tc>
          <w:tcPr>
            <w:vAlign w:val="center"/>
          </w:tcPr>
          <w:p>
            <w:pPr>
              <w:jc w:val="center"/>
            </w:pPr>
            <w:r>
              <w:rPr>
                <w:color w:val="000000"/>
                <w:sz w:val="24"/>
              </w:rPr>
              <w:t>1.00%</w:t>
            </w:r>
          </w:p>
        </w:tc>
        <w:tc>
          <w:tcPr>
            <w:vAlign w:val="center"/>
          </w:tcPr>
          <w:p>
            <w:pPr>
              <w:jc w:val="center"/>
            </w:pPr>
            <w:r>
              <w:rPr>
                <w:color w:val="000000"/>
                <w:sz w:val="24"/>
              </w:rPr>
              <w:t>8.92%</w:t>
            </w:r>
          </w:p>
        </w:tc>
        <w:tc>
          <w:tcPr>
            <w:vAlign w:val="center"/>
          </w:tcPr>
          <w:p>
            <w:pPr>
              <w:jc w:val="center"/>
            </w:pPr>
            <w:r>
              <w:rPr>
                <w:color w:val="000000"/>
                <w:sz w:val="24"/>
              </w:rPr>
              <w:t>0.00%</w:t>
            </w:r>
          </w:p>
        </w:tc>
      </w:tr>
      <w:tr>
        <w:tc>
          <w:tcPr>
            <w:vAlign w:val="center"/>
          </w:tcPr>
          <w:p>
            <w:pPr>
              <w:jc w:val="left"/>
            </w:pPr>
            <w:r>
              <w:rPr>
                <w:color w:val="000000"/>
                <w:sz w:val="24"/>
              </w:rPr>
              <w:t>过去三年</w:t>
            </w:r>
          </w:p>
        </w:tc>
        <w:tc>
          <w:tcPr>
            <w:vAlign w:val="center"/>
          </w:tcPr>
          <w:p>
            <w:pPr>
              <w:jc w:val="center"/>
            </w:pPr>
            <w:r>
              <w:rPr>
                <w:color w:val="000000"/>
                <w:sz w:val="24"/>
              </w:rPr>
              <w:t>14.29%</w:t>
            </w:r>
          </w:p>
        </w:tc>
        <w:tc>
          <w:tcPr>
            <w:vAlign w:val="center"/>
          </w:tcPr>
          <w:p>
            <w:pPr>
              <w:jc w:val="center"/>
            </w:pPr>
            <w:r>
              <w:rPr>
                <w:color w:val="000000"/>
                <w:sz w:val="24"/>
              </w:rPr>
              <w:t>1.11%</w:t>
            </w:r>
          </w:p>
        </w:tc>
        <w:tc>
          <w:tcPr>
            <w:vAlign w:val="center"/>
          </w:tcPr>
          <w:p>
            <w:pPr>
              <w:jc w:val="center"/>
            </w:pPr>
            <w:r>
              <w:rPr>
                <w:color w:val="000000"/>
                <w:sz w:val="24"/>
              </w:rPr>
              <w:t>-3.46%</w:t>
            </w:r>
          </w:p>
        </w:tc>
        <w:tc>
          <w:tcPr>
            <w:vAlign w:val="center"/>
          </w:tcPr>
          <w:p>
            <w:pPr>
              <w:jc w:val="center"/>
            </w:pPr>
            <w:r>
              <w:rPr>
                <w:color w:val="000000"/>
                <w:sz w:val="24"/>
              </w:rPr>
              <w:t>1.11%</w:t>
            </w:r>
          </w:p>
        </w:tc>
        <w:tc>
          <w:tcPr>
            <w:vAlign w:val="center"/>
          </w:tcPr>
          <w:p>
            <w:pPr>
              <w:jc w:val="center"/>
            </w:pPr>
            <w:r>
              <w:rPr>
                <w:color w:val="000000"/>
                <w:sz w:val="24"/>
              </w:rPr>
              <w:t>17.75%</w:t>
            </w:r>
          </w:p>
        </w:tc>
        <w:tc>
          <w:tcPr>
            <w:vAlign w:val="center"/>
          </w:tcPr>
          <w:p>
            <w:pPr>
              <w:jc w:val="center"/>
            </w:pPr>
            <w:r>
              <w:rPr>
                <w:color w:val="000000"/>
                <w:sz w:val="24"/>
              </w:rPr>
              <w:t>0.00%</w:t>
            </w:r>
          </w:p>
        </w:tc>
      </w:tr>
      <w:tr>
        <w:tc>
          <w:tcPr>
            <w:vAlign w:val="center"/>
          </w:tcPr>
          <w:p>
            <w:pPr>
              <w:jc w:val="left"/>
            </w:pPr>
            <w:r>
              <w:rPr>
                <w:color w:val="000000"/>
                <w:sz w:val="24"/>
              </w:rPr>
              <w:t>过去五年</w:t>
            </w:r>
          </w:p>
        </w:tc>
        <w:tc>
          <w:tcPr>
            <w:vAlign w:val="center"/>
          </w:tcPr>
          <w:p>
            <w:pPr>
              <w:jc w:val="center"/>
            </w:pPr>
            <w:r>
              <w:rPr>
                <w:color w:val="000000"/>
                <w:sz w:val="24"/>
              </w:rPr>
              <w:t>14.50%</w:t>
            </w:r>
          </w:p>
        </w:tc>
        <w:tc>
          <w:tcPr>
            <w:vAlign w:val="center"/>
          </w:tcPr>
          <w:p>
            <w:pPr>
              <w:jc w:val="center"/>
            </w:pPr>
            <w:r>
              <w:rPr>
                <w:color w:val="000000"/>
                <w:sz w:val="24"/>
              </w:rPr>
              <w:t>1.23%</w:t>
            </w:r>
          </w:p>
        </w:tc>
        <w:tc>
          <w:tcPr>
            <w:vAlign w:val="center"/>
          </w:tcPr>
          <w:p>
            <w:pPr>
              <w:jc w:val="center"/>
            </w:pPr>
            <w:r>
              <w:rPr>
                <w:color w:val="000000"/>
                <w:sz w:val="24"/>
              </w:rPr>
              <w:t>-8.81%</w:t>
            </w:r>
          </w:p>
        </w:tc>
        <w:tc>
          <w:tcPr>
            <w:vAlign w:val="center"/>
          </w:tcPr>
          <w:p>
            <w:pPr>
              <w:jc w:val="center"/>
            </w:pPr>
            <w:r>
              <w:rPr>
                <w:color w:val="000000"/>
                <w:sz w:val="24"/>
              </w:rPr>
              <w:t>1.24%</w:t>
            </w:r>
          </w:p>
        </w:tc>
        <w:tc>
          <w:tcPr>
            <w:vAlign w:val="center"/>
          </w:tcPr>
          <w:p>
            <w:pPr>
              <w:jc w:val="center"/>
            </w:pPr>
            <w:r>
              <w:rPr>
                <w:color w:val="000000"/>
                <w:sz w:val="24"/>
              </w:rPr>
              <w:t>23.31%</w:t>
            </w:r>
          </w:p>
        </w:tc>
        <w:tc>
          <w:tcPr>
            <w:vAlign w:val="center"/>
          </w:tcPr>
          <w:p>
            <w:pPr>
              <w:jc w:val="center"/>
            </w:pPr>
            <w:r>
              <w:rPr>
                <w:color w:val="000000"/>
                <w:sz w:val="24"/>
              </w:rPr>
              <w:t>-0.01%</w:t>
            </w:r>
          </w:p>
        </w:tc>
      </w:tr>
      <w:tr>
        <w:tc>
          <w:tcPr>
            <w:vAlign w:val="center"/>
          </w:tcPr>
          <w:p>
            <w:pPr>
              <w:jc w:val="left"/>
            </w:pPr>
            <w:r>
              <w:rPr>
                <w:color w:val="000000"/>
                <w:sz w:val="24"/>
              </w:rPr>
              <w:t>自基金合同生效起至今</w:t>
            </w:r>
          </w:p>
        </w:tc>
        <w:tc>
          <w:tcPr>
            <w:vAlign w:val="center"/>
          </w:tcPr>
          <w:p>
            <w:pPr>
              <w:jc w:val="center"/>
            </w:pPr>
            <w:r>
              <w:rPr>
                <w:color w:val="000000"/>
                <w:sz w:val="24"/>
              </w:rPr>
              <w:t>7.00%</w:t>
            </w:r>
          </w:p>
        </w:tc>
        <w:tc>
          <w:tcPr>
            <w:vAlign w:val="center"/>
          </w:tcPr>
          <w:p>
            <w:pPr>
              <w:jc w:val="center"/>
            </w:pPr>
            <w:r>
              <w:rPr>
                <w:color w:val="000000"/>
                <w:sz w:val="24"/>
              </w:rPr>
              <w:t>1.26%</w:t>
            </w:r>
          </w:p>
        </w:tc>
        <w:tc>
          <w:tcPr>
            <w:vAlign w:val="center"/>
          </w:tcPr>
          <w:p>
            <w:pPr>
              <w:jc w:val="center"/>
            </w:pPr>
            <w:r>
              <w:rPr>
                <w:color w:val="000000"/>
                <w:sz w:val="24"/>
              </w:rPr>
              <w:t>-9.87%</w:t>
            </w:r>
          </w:p>
        </w:tc>
        <w:tc>
          <w:tcPr>
            <w:vAlign w:val="center"/>
          </w:tcPr>
          <w:p>
            <w:pPr>
              <w:jc w:val="center"/>
            </w:pPr>
            <w:r>
              <w:rPr>
                <w:color w:val="000000"/>
                <w:sz w:val="24"/>
              </w:rPr>
              <w:t>1.29%</w:t>
            </w:r>
          </w:p>
        </w:tc>
        <w:tc>
          <w:tcPr>
            <w:vAlign w:val="center"/>
          </w:tcPr>
          <w:p>
            <w:pPr>
              <w:jc w:val="center"/>
            </w:pPr>
            <w:r>
              <w:rPr>
                <w:color w:val="000000"/>
                <w:sz w:val="24"/>
              </w:rPr>
              <w:t>16.87%</w:t>
            </w:r>
          </w:p>
        </w:tc>
        <w:tc>
          <w:tcPr>
            <w:vAlign w:val="center"/>
          </w:tcPr>
          <w:p>
            <w:pPr>
              <w:jc w:val="center"/>
            </w:pPr>
            <w:r>
              <w:rPr>
                <w:color w:val="000000"/>
                <w:sz w:val="24"/>
              </w:rPr>
              <w:t>-0.03%</w:t>
            </w:r>
          </w:p>
        </w:tc>
      </w:tr>
    </w:tbl>
    <w:p w:rsidP="003A4DA3" w:rsidR="001C36D8" w:rsidRDefault="001C36D8" w:rsidRPr="00272E0C">
      <w:pPr>
        <w:spacing w:line="360" w:lineRule="auto"/>
        <w:rPr>
          <w:rFonts w:ascii="宋体" w:cs="Arial"/>
          <w:b/>
          <w:color w:val="000000"/>
          <w:kern w:val="0"/>
          <w:sz w:val="24"/>
        </w:rPr>
      </w:pPr>
      <w:smartTag w:element="chsdate" w:uri="urn:schemas-microsoft-com:office:smarttags">
        <w:smartTagPr>
          <w:attr w:name="IsROCDate" w:val="False"/>
          <w:attr w:name="IsLunarDate" w:val="False"/>
          <w:attr w:name="Day" w:val="30"/>
          <w:attr w:name="Month" w:val="12"/>
          <w:attr w:name="Year" w:val="1899"/>
        </w:smartTagPr>
        <w:r w:rsidRPr="00272E0C">
          <w:rPr>
            <w:rFonts w:ascii="宋体" w:cs="Arial" w:hAnsi="宋体"/>
            <w:b/>
            <w:color w:val="000000"/>
            <w:kern w:val="0"/>
            <w:sz w:val="24"/>
          </w:rPr>
          <w:t>3.2.2</w:t>
        </w:r>
        <w:r w:rsidR="00193F07" w:rsidRPr="00370BEA">
          <w:rPr>
            <w:rStyle w:val="af8"/>
            <w:rFonts w:hint="eastAsia"/>
            <w:color w:val="000000"/>
            <w:sz w:val="24"/>
            <w:shd w:color="auto" w:fill="FFFFFF" w:val="clear"/>
          </w:rPr>
          <w:t/>
        </w:r>
        <w:proofErr w:type="spellStart"/>
        <w:r w:rsidR="00193F07" w:rsidRPr="00370BEA">
          <w:rPr>
            <w:rStyle w:val="af8"/>
            <w:rFonts w:hint="eastAsia"/>
            <w:color w:val="000000"/>
            <w:sz w:val="24"/>
            <w:shd w:color="auto" w:fill="FFFFFF" w:val="clear"/>
          </w:rPr>
          <w:t/>
        </w:r>
        <w:proofErr w:type="spellEnd"/>
        <w:r w:rsidR="00193F07" w:rsidRPr="00370BEA">
          <w:rPr>
            <w:rStyle w:val="af8"/>
            <w:rFonts w:hint="eastAsia"/>
            <w:color w:val="000000"/>
            <w:sz w:val="24"/>
            <w:shd w:color="auto" w:fill="FFFFFF" w:val="clear"/>
          </w:rPr>
          <w:t>自基金合同生效以来</w:t>
        </w:r>
      </w:smartTag>
      <w:r w:rsidRPr="00272E0C">
        <w:rPr>
          <w:rFonts w:ascii="宋体" w:hAnsi="宋体" w:hint="eastAsia"/>
          <w:b/>
          <w:bCs/>
          <w:color w:val="000000"/>
          <w:sz w:val="24"/>
        </w:rPr>
        <w:t>基金累计净值增长率变动及其与同期业绩比较基准收益率变动的比较</w:t>
      </w:r>
    </w:p>
    <w:p w:rsidP="003A4DA3" w:rsidR="001C36D8" w:rsidRDefault="001C36D8" w:rsidRPr="00E43B0B">
      <w:pPr>
        <w:spacing w:line="360" w:lineRule="auto"/>
        <w:jc w:val="center"/>
        <w:rPr>
          <w:sz w:val="24"/>
        </w:rPr>
      </w:pPr>
      <w:r w:rsidRPr="00E43B0B">
        <w:rPr>
          <w:sz w:val="24"/>
        </w:rPr>
        <w:t/>
      </w:r>
      <w:proofErr w:type="spellStart"/>
      <w:r w:rsidRPr="00E43B0B">
        <w:rPr>
          <w:sz w:val="24"/>
        </w:rPr>
        <w:t/>
      </w:r>
      <w:proofErr w:type="spellEnd"/>
      <w:r w:rsidRPr="00E43B0B">
        <w:rPr>
          <w:sz w:val="24"/>
        </w:rPr>
        <w:t>易方达银行指数分级证券投资基金</w:t>
      </w:r>
    </w:p>
    <w:p w:rsidP="003A4DA3" w:rsidR="001C36D8" w:rsidRDefault="006F4C30" w:rsidRPr="00E43B0B">
      <w:pPr>
        <w:pStyle w:val="a5"/>
        <w:snapToGrid w:val="0"/>
        <w:spacing w:line="360" w:lineRule="auto"/>
        <w:jc w:val="center"/>
        <w:rPr>
          <w:rFonts w:ascii="Times New Roman" w:hAnsi="Times New Roman"/>
          <w:color w:val="000000"/>
          <w:sz w:val="24"/>
          <w:szCs w:val="24"/>
        </w:rPr>
      </w:pPr>
      <w:r w:rsidRPr="00E43B0B">
        <w:rPr>
          <w:rFonts w:ascii="Times New Roman" w:hAnsi="Times New Roman"/>
          <w:color w:val="000000"/>
          <w:sz w:val="24"/>
          <w:szCs w:val="24"/>
        </w:rPr>
        <w:t>累计</w:t>
      </w:r>
      <w:r w:rsidR="001C36D8" w:rsidRPr="00E43B0B">
        <w:rPr>
          <w:rFonts w:ascii="Times New Roman" w:hAnsi="Times New Roman"/>
          <w:color w:val="000000"/>
          <w:sz w:val="24"/>
          <w:szCs w:val="24"/>
        </w:rPr>
        <w:t>净值增长率与业绩比较基准收益率历史走势对比图</w:t>
      </w:r>
    </w:p>
    <w:p w:rsidP="003A4DA3" w:rsidR="001C36D8" w:rsidRDefault="001C36D8" w:rsidRPr="00E43B0B">
      <w:pPr>
        <w:spacing w:line="360" w:lineRule="auto"/>
        <w:jc w:val="center"/>
        <w:rPr>
          <w:sz w:val="24"/>
        </w:rPr>
      </w:pPr>
      <w:r w:rsidRPr="00E43B0B">
        <w:rPr>
          <w:color w:val="000000"/>
          <w:kern w:val="0"/>
          <w:sz w:val="24"/>
        </w:rPr>
        <w:t>（</w:t>
      </w:r>
      <w:r w:rsidRPr="00E43B0B">
        <w:rPr>
          <w:color w:val="000000"/>
          <w:kern w:val="0"/>
          <w:sz w:val="24"/>
        </w:rPr>
        <w:t/>
      </w:r>
      <w:proofErr w:type="spellStart"/>
      <w:r w:rsidRPr="00E43B0B">
        <w:rPr>
          <w:color w:val="000000"/>
          <w:kern w:val="0"/>
          <w:sz w:val="24"/>
        </w:rPr>
        <w:t/>
      </w:r>
      <w:proofErr w:type="spellEnd"/>
      <w:r w:rsidRPr="00E43B0B">
        <w:rPr>
          <w:color w:val="000000"/>
          <w:kern w:val="0"/>
          <w:sz w:val="24"/>
        </w:rPr>
        <w:t>2015年6月3日</w:t>
      </w:r>
      <w:r w:rsidRPr="00E43B0B">
        <w:rPr>
          <w:color w:val="000000"/>
          <w:kern w:val="0"/>
          <w:sz w:val="24"/>
        </w:rPr>
        <w:t>至</w:t>
      </w:r>
      <w:r w:rsidRPr="00E43B0B">
        <w:rPr>
          <w:color w:val="000000"/>
          <w:kern w:val="0"/>
          <w:sz w:val="24"/>
        </w:rPr>
        <w:t/>
      </w:r>
      <w:proofErr w:type="spellStart"/>
      <w:r w:rsidRPr="00E43B0B">
        <w:rPr>
          <w:color w:val="000000"/>
          <w:kern w:val="0"/>
          <w:sz w:val="24"/>
        </w:rPr>
        <w:t/>
      </w:r>
      <w:proofErr w:type="spellEnd"/>
      <w:r w:rsidRPr="00E43B0B">
        <w:rPr>
          <w:color w:val="000000"/>
          <w:kern w:val="0"/>
          <w:sz w:val="24"/>
        </w:rPr>
        <w:t>2020年6月30日</w:t>
      </w:r>
      <w:r w:rsidRPr="00E43B0B">
        <w:rPr>
          <w:color w:val="000000"/>
          <w:kern w:val="0"/>
          <w:sz w:val="24"/>
        </w:rPr>
        <w:t>）</w:t>
      </w:r>
    </w:p>
    <w:p w:rsidP="0042253F" w:rsidR="001C36D8" w:rsidRDefault="00FE4BF2" w:rsidRPr="00272E0C">
      <w:pPr>
        <w:tabs>
          <w:tab w:pos="1800" w:val="left"/>
        </w:tabs>
        <w:spacing w:line="360" w:lineRule="auto"/>
        <w:jc w:val="center"/>
        <w:rPr>
          <w:rFonts w:ascii="宋体"/>
          <w:color w:val="000000"/>
          <w:sz w:val="24"/>
        </w:rPr>
      </w:pPr>
      <w:r>
        <w:rPr>
          <w:rFonts w:ascii="宋体"/>
          <w:noProof/>
          <w:color w:val="000000"/>
          <w:sz w:val="24"/>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1.4pt;height:241.5pt;visibility:visible" type="#_x0000_t75">
            <v:imagedata o:title="" r:id="rId10"/>
          </v:shape>
        </w:pict>
      </w:r>
    </w:p>
    <w:p w:rsidP="00E43B0B" w:rsidR="001C36D8" w:rsidRDefault="001C36D8" w:rsidRPr="00E43B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
      </w:r>
      <w:proofErr w:type="spellStart"/>
      <w:r w:rsidRPr="003D22BD">
        <w:rPr>
          <w:color w:val="000000"/>
          <w:sz w:val="24"/>
        </w:rPr>
        <w:t/>
      </w:r>
      <w:proofErr w:type="spellEnd"/>
      <w:r w:rsidRPr="003D22BD">
        <w:rPr>
          <w:color w:val="000000"/>
          <w:sz w:val="24"/>
        </w:rPr>
        <w:t>注：自基金合同生效至报告期末，基金份额净值增长率为7.00%，同期业绩比较基准收益率为-9.87%。</w:t>
      </w:r>
    </w:p>
    <w:p w:rsidP="005C6DF3" w:rsidR="001C36D8" w:rsidRDefault="001C36D8" w:rsidRPr="00272E0C">
      <w:pPr>
        <w:pStyle w:val="1"/>
        <w:spacing w:after="312" w:afterLines="100" w:before="312" w:beforeLines="100" w:line="360" w:lineRule="auto"/>
        <w:jc w:val="center"/>
        <w:rPr>
          <w:rFonts w:ascii="宋体" w:cs="Arial"/>
          <w:color w:val="000000"/>
          <w:kern w:val="0"/>
          <w:sz w:val="24"/>
          <w:szCs w:val="24"/>
        </w:rPr>
      </w:pPr>
      <w:r w:rsidRPr="00272E0C">
        <w:rPr>
          <w:rFonts w:ascii="宋体" w:cs="Arial" w:hAnsi="宋体" w:hint="eastAsia"/>
          <w:color w:val="000000"/>
          <w:kern w:val="0"/>
          <w:sz w:val="24"/>
          <w:szCs w:val="24"/>
        </w:rPr>
        <w:t>§</w:t>
      </w:r>
      <w:r w:rsidRPr="00272E0C">
        <w:rPr>
          <w:rFonts w:ascii="宋体" w:cs="Arial" w:hAnsi="宋体"/>
          <w:color w:val="000000"/>
          <w:kern w:val="0"/>
          <w:sz w:val="24"/>
          <w:szCs w:val="24"/>
        </w:rPr>
        <w:t xml:space="preserve">4  </w:t>
      </w:r>
      <w:r w:rsidRPr="00272E0C">
        <w:rPr>
          <w:rFonts w:ascii="宋体" w:cs="Arial" w:hAnsi="宋体" w:hint="eastAsia"/>
          <w:color w:val="000000"/>
          <w:kern w:val="0"/>
          <w:sz w:val="24"/>
          <w:szCs w:val="24"/>
        </w:rPr>
        <w:t>管理人报告</w:t>
      </w:r>
    </w:p>
    <w:p w:rsidP="005C6DF3" w:rsidR="005C6DF3" w:rsidRDefault="001C36D8" w:rsidRPr="0078105B">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 xml:space="preserve">4.1 </w:t>
      </w:r>
      <w:r w:rsidRPr="00272E0C">
        <w:rPr>
          <w:rFonts w:ascii="宋体" w:cs="Arial" w:hAnsi="宋体" w:hint="eastAsia"/>
          <w:b/>
          <w:color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5C6DF3" w:rsidRPr="0078105B" w:rsidTr="00B7074C">
        <w:trPr>
          <w:cantSplit/>
        </w:trPr>
        <w:tc>
          <w:tcPr>
            <w:tcW w:type="dxa" w:w="567"/>
            <w:vMerge w:val="restart"/>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B7074C" w:rsidR="005C6DF3" w:rsidRDefault="005C6DF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w:t>
            </w:r>
            <w:r w:rsidRPr="00FA472B">
              <w:rPr>
                <w:color w:val="000000"/>
                <w:kern w:val="0"/>
                <w:sz w:val="24"/>
              </w:rPr>
              <w:lastRenderedPageBreak/>
              <w:t>年限</w:t>
            </w:r>
          </w:p>
        </w:tc>
        <w:tc>
          <w:tcPr>
            <w:tcW w:type="dxa" w:w="2977"/>
            <w:vMerge w:val="restart"/>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lastRenderedPageBreak/>
              <w:t>说明</w:t>
            </w:r>
          </w:p>
        </w:tc>
      </w:tr>
      <w:tr w:rsidR="005C6DF3" w:rsidRPr="0078105B" w:rsidTr="00B7074C">
        <w:trPr>
          <w:cantSplit/>
        </w:trPr>
        <w:tc>
          <w:tcPr>
            <w:tcW w:type="dxa" w:w="567"/>
            <w:vMerge/>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p>
        </w:tc>
        <w:tc>
          <w:tcPr>
            <w:tcW w:type="dxa" w:w="2835"/>
            <w:vMerge/>
          </w:tcPr>
          <w:p w:rsidP="00B7074C" w:rsidR="005C6DF3" w:rsidRDefault="005C6DF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成曦</w:t>
            </w:r>
          </w:p>
        </w:tc>
        <w:tc>
          <w:tcPr>
            <w:vAlign w:val="center"/>
          </w:tcPr>
          <w:p>
            <w:pPr>
              <w:jc w:val="left"/>
            </w:pPr>
            <w:r>
              <w:rPr>
                <w:color w:val="000000"/>
                <w:sz w:val="24"/>
              </w:rPr>
              <w:t>本基金的基金经理、易方达并购重组指数分级证券投资基金的基金经理（自2016年05月07日至2020年04月22日）、易方达中小板指数证券投资基金（LOF）的基金经理（自2016年05月07日至2020年04月22日）、易方达深证100交易型开放式指数基金的基金经理、易方达创业板交易型开放式指数证券投资基金的基金经理、易方达生物科技指数分级证券投资基金的基金经理（自2016年05月07日至2020年04月22日）、易方达创业板交易型开放式指数证券投资基金联接基金的基金经理、易方达深证100交易型开放式指数证券投资基金联接基金的基金经理、易方达MSCI中国A股国际通交易型开放式指数证券投资基金的基金经理（自2018年05月17日至2020年04月22日）、易方达纳斯达克100指数证券投资基金（LOF）的基金经理（自2018年08月11日至2020年04月22日）、易方达恒生中国企业交易型开放式指数证券投资基金的基金经理、易方达原油证券投资基金（QDII）的基金经理、易方达恒生中国企业交易型开放式指数证券投资基金联接基金的基金经理、易方达MSCI中国A股国际通交易型开放式指数证券投资基金发起式联接基金的基金经理（自2019年03月13日至2020年04月22日）、易方达上证50交易型开放式指数证券投资基金的基金经理、易方达上证50交易型开放式指数证券投资基金发起式联接基金的基金经理、易方达中证香港证券投资主题交易型开放式指数证券投资基金的基金经理</w:t>
            </w:r>
          </w:p>
        </w:tc>
        <w:tc>
          <w:tcPr>
            <w:vAlign w:val="center"/>
          </w:tcPr>
          <w:p>
            <w:pPr>
              <w:jc w:val="center"/>
            </w:pPr>
            <w:r>
              <w:rPr>
                <w:color w:val="000000"/>
                <w:sz w:val="24"/>
              </w:rPr>
              <w:t>2016-05-07</w:t>
            </w:r>
          </w:p>
        </w:tc>
        <w:tc>
          <w:tcPr>
            <w:vAlign w:val="center"/>
          </w:tcPr>
          <w:p>
            <w:pPr>
              <w:jc w:val="center"/>
            </w:pPr>
            <w:r>
              <w:rPr>
                <w:color w:val="000000"/>
                <w:sz w:val="24"/>
              </w:rPr>
              <w:t>2020-04-23</w:t>
            </w:r>
          </w:p>
        </w:tc>
        <w:tc>
          <w:tcPr>
            <w:vAlign w:val="center"/>
          </w:tcPr>
          <w:p>
            <w:pPr>
              <w:jc w:val="center"/>
            </w:pPr>
            <w:r>
              <w:rPr>
                <w:color w:val="000000"/>
                <w:sz w:val="24"/>
              </w:rPr>
              <w:t>12年</w:t>
            </w:r>
          </w:p>
        </w:tc>
        <w:tc>
          <w:tcPr>
            <w:vAlign w:val="center"/>
          </w:tcPr>
          <w:p>
            <w:pPr>
              <w:jc w:val="both"/>
            </w:pPr>
            <w:r>
              <w:rPr>
                <w:color w:val="000000"/>
                <w:sz w:val="24"/>
              </w:rPr>
              <w:t>硕士研究生，具有基金从业资格。曾任华泰联合证券资产管理部研究员，易方达基金管理有限公司集中交易室交易员、指数与量化投资部指数基金运作专员、基金经理助理、易方达深证成指交易型开放式指数证券投资基金基金经理、易方达深证成指交易型开放式指数证券投资基金联接基金基金经理。</w:t>
            </w:r>
          </w:p>
        </w:tc>
      </w:tr>
      <w:tr>
        <w:tc>
          <w:tcPr>
            <w:vAlign w:val="center"/>
          </w:tcPr>
          <w:p>
            <w:pPr>
              <w:jc w:val="center"/>
            </w:pPr>
            <w:r>
              <w:rPr>
                <w:color w:val="000000"/>
                <w:sz w:val="24"/>
              </w:rPr>
              <w:t>刘树荣</w:t>
            </w:r>
          </w:p>
        </w:tc>
        <w:tc>
          <w:tcPr>
            <w:vAlign w:val="center"/>
          </w:tcPr>
          <w:p>
            <w:pPr>
              <w:jc w:val="left"/>
            </w:pPr>
            <w:r>
              <w:rPr>
                <w:color w:val="000000"/>
                <w:sz w:val="24"/>
              </w:rPr>
              <w:t>本基金的基金经理、易方达深证100交易型开放式指数基金的基金经理、易方达中小板指数证券投资基金（LOF）的基金经理、易方达生物科技指数分级证券投资基金的基金经理、易方达并购重组指数分级证券投资基金的基金经理、易方达深证100交易型开放式指数证券投资基金联接基金的基金经理、易方达创业板交易型开放式指数证券投资基金联接基金的基金经理、易方达创业板交易型开放式指数证券投资基金的基金经理、易方达标普500指数证券投资基金（LOF）的基金经理、易方达标普信息科技指数证券投资基金（LOF）的基金经理（自2018年08月11日至2020年04月22日）、易方达标普生物科技指数证券投资基金（LOF）的基金经理（自2018年08月11日至2020年04月22日）、易方达标普医疗保健指数证券投资基金（LOF）的基金经理（自2018年08月11日至2020年04月22日）、易方达上证中盘交易型开放式指数证券投资基金的基金经理、易方达上证中盘交易型开放式指数证券投资基金联接基金的基金经理、易方达香港恒生综合小型股指数证券投资基金（LOF）的基金经理、易方达中证800交易型开放式指数证券投资基金的基金经理、易方达中证800交易型开放式指数证券投资基金发起式联接基金的基金经理、易方达中证国企一带一路交易型开放式指数证券投资基金的基金经理、易方达中证国企一带一路交易型开放式指数证券投资基金联接基金的基金经理、易方达中证浙江新动能交易型开放式指数证券投资基金联接基金的基金经理、易方达中证浙江新动能交易型开放式指数证券投资基金的基金经理</w:t>
            </w:r>
          </w:p>
        </w:tc>
        <w:tc>
          <w:tcPr>
            <w:vAlign w:val="center"/>
          </w:tcPr>
          <w:p>
            <w:pPr>
              <w:jc w:val="center"/>
            </w:pPr>
            <w:r>
              <w:rPr>
                <w:color w:val="000000"/>
                <w:sz w:val="24"/>
              </w:rPr>
              <w:t>2017-07-18</w:t>
            </w:r>
          </w:p>
        </w:tc>
        <w:tc>
          <w:tcPr>
            <w:vAlign w:val="center"/>
          </w:tcPr>
          <w:p>
            <w:pPr>
              <w:jc w:val="center"/>
            </w:pPr>
            <w:r>
              <w:rPr>
                <w:color w:val="000000"/>
                <w:sz w:val="24"/>
              </w:rPr>
              <w:t>-</w:t>
            </w:r>
          </w:p>
        </w:tc>
        <w:tc>
          <w:tcPr>
            <w:vAlign w:val="center"/>
          </w:tcPr>
          <w:p>
            <w:pPr>
              <w:jc w:val="center"/>
            </w:pPr>
            <w:r>
              <w:rPr>
                <w:color w:val="000000"/>
                <w:sz w:val="24"/>
              </w:rPr>
              <w:t>13年</w:t>
            </w:r>
          </w:p>
        </w:tc>
        <w:tc>
          <w:tcPr>
            <w:vAlign w:val="center"/>
          </w:tcPr>
          <w:p>
            <w:pPr>
              <w:jc w:val="both"/>
            </w:pPr>
            <w:r>
              <w:rPr>
                <w:color w:val="000000"/>
                <w:sz w:val="24"/>
              </w:rPr>
              <w:t>硕士研究生，具有基金从业资格。曾任招商银行资产托管部基金会计，易方达基金管理有限公司核算部基金核算专员、指数与量化投资部运作支持专员、基金经理助理、易方达深证成指交易型开放式指数证券投资基金基金经理、易方达深证成指交易型开放式指数证券投资基金联接基金基金经理。</w:t>
            </w:r>
          </w:p>
        </w:tc>
      </w:tr>
    </w:tbl>
    <w:p>
      <w:pPr>
        <w:autoSpaceDE w:val="0"/>
        <w:autoSpaceDN w:val="0"/>
        <w:adjustRightInd w:val="0"/>
        <w:spacing w:line="360" w:lineRule="auto"/>
        <w:ind w:firstLine="480" w:firstLineChars="200"/>
        <w:jc w:val="left"/>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5C6DF3" w:rsidR="00CB041A" w:rsidRDefault="005C6DF3" w:rsidRPr="00232B03">
      <w:pPr>
        <w:autoSpaceDE w:val="0"/>
        <w:autoSpaceDN w:val="0"/>
        <w:adjustRightInd w:val="0"/>
        <w:spacing w:line="360" w:lineRule="auto"/>
        <w:ind w:firstLine="480" w:firstLineChars="200"/>
        <w:jc w:val="left"/>
        <w:rPr>
          <w:color w:val="000000"/>
          <w:sz w:val="24"/>
        </w:rPr>
      </w:pPr>
      <w:r w:rsidRPr="00DF18FE">
        <w:rPr>
          <w:color w:val="000000"/>
          <w:sz w:val="24"/>
        </w:rPr>
        <w:t>2.证券从业的含义遵从《证券业从业人员资格管理办法》的相关规定。</w:t>
      </w:r>
    </w:p>
    <w:p w:rsidP="00CB041A"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4.2</w:t>
      </w:r>
      <w:r w:rsidRPr="00272E0C">
        <w:rPr>
          <w:rFonts w:ascii="宋体" w:hAnsi="宋体" w:hint="eastAsia"/>
          <w:b/>
          <w:bCs/>
          <w:color w:val="000000"/>
          <w:sz w:val="24"/>
        </w:rPr>
        <w:t>管理人对报告期内本基金运作遵规守信情况的说明</w:t>
      </w:r>
    </w:p>
    <w:p w:rsidP="00E43B0B" w:rsidR="001C36D8" w:rsidRDefault="001C36D8" w:rsidRPr="00E43B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3A4DA3"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 xml:space="preserve">4.3 </w:t>
      </w:r>
      <w:r w:rsidRPr="00272E0C">
        <w:rPr>
          <w:rFonts w:ascii="宋体" w:cs="Arial" w:hAnsi="宋体" w:hint="eastAsia"/>
          <w:b/>
          <w:color w:val="000000"/>
          <w:kern w:val="0"/>
          <w:sz w:val="24"/>
        </w:rPr>
        <w:t>公平交易专项说明</w:t>
      </w:r>
    </w:p>
    <w:p w:rsidP="003A4DA3" w:rsidR="001C36D8" w:rsidRDefault="001C36D8" w:rsidRPr="00272E0C">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272E0C">
          <w:rPr>
            <w:rFonts w:ascii="宋体" w:hAnsi="宋体"/>
            <w:sz w:val="24"/>
          </w:rPr>
          <w:t>4.3.1</w:t>
        </w:r>
      </w:smartTag>
      <w:r w:rsidRPr="00272E0C">
        <w:rPr>
          <w:rFonts w:ascii="宋体" w:hAnsi="宋体" w:hint="eastAsia"/>
          <w:sz w:val="24"/>
        </w:rPr>
        <w:t>公平交易制度的执行情况</w:t>
      </w:r>
    </w:p>
    <w:p w:rsidP="0015779C" w:rsidR="001C36D8" w:rsidRDefault="001C36D8" w:rsidRPr="003D22BD">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3A4DA3" w:rsidR="001C36D8" w:rsidRDefault="001C36D8" w:rsidRPr="00272E0C">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272E0C">
          <w:rPr>
            <w:rFonts w:ascii="宋体" w:hAnsi="宋体"/>
            <w:sz w:val="24"/>
          </w:rPr>
          <w:t>4.3.2</w:t>
        </w:r>
      </w:smartTag>
      <w:r w:rsidRPr="00272E0C">
        <w:rPr>
          <w:rFonts w:ascii="宋体" w:hAnsi="宋体" w:hint="eastAsia"/>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E43B0B" w:rsidR="001C36D8" w:rsidRDefault="001C36D8" w:rsidRPr="00E43B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本报告期内，未发现本基金有可能导致不公平交易和利益输送的异常交易。</w:t>
      </w:r>
    </w:p>
    <w:p w:rsidP="003A4DA3"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 xml:space="preserve">4.4 </w:t>
      </w:r>
      <w:r w:rsidRPr="00272E0C">
        <w:rPr>
          <w:rFonts w:ascii="宋体" w:cs="Arial" w:hAnsi="宋体" w:hint="eastAsia"/>
          <w:b/>
          <w:color w:val="000000"/>
          <w:kern w:val="0"/>
          <w:sz w:val="24"/>
        </w:rPr>
        <w:t>报告期内基金的投资策略和业绩表现说明</w:t>
      </w:r>
    </w:p>
    <w:p w:rsidP="003A4DA3" w:rsidR="001C36D8" w:rsidRDefault="001C36D8" w:rsidRPr="00272E0C">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272E0C">
          <w:rPr>
            <w:rFonts w:ascii="宋体" w:hAnsi="宋体"/>
            <w:sz w:val="24"/>
          </w:rPr>
          <w:t>4.4.1</w:t>
        </w:r>
      </w:smartTag>
      <w:r w:rsidRPr="00272E0C">
        <w:rPr>
          <w:rFonts w:ascii="宋体" w:hAnsi="宋体" w:hint="eastAsia"/>
          <w:sz w:val="24"/>
        </w:rPr>
        <w:t>报告期内基金投资策略和运作分析</w:t>
      </w:r>
    </w:p>
    <w:p>
      <w:pPr>
        <w:spacing w:line="360" w:lineRule="auto"/>
        <w:ind w:firstLine="480" w:firstLineChars="200"/>
        <w:rPr>
          <w:color w:val="000000"/>
          <w:sz w:val="24"/>
        </w:rPr>
      </w:pPr>
      <w:r>
        <w:rPr>
          <w:color w:val="000000"/>
          <w:sz w:val="24"/>
        </w:rPr>
        <w:t>本基金跟踪的标的指数为中证银行指数，中证银行指数由沪深交易所上市交易的银行股组成，是衡量银行股整体走势最具代表性的指数。报告期内，本基金主要采取完全复制法的投资策略，即完全按照标的指数的成份股组成及其权重构建基金股票投资组合，并根据标的指数成份股及其权重的变动而进行相应调整。</w:t>
      </w:r>
    </w:p>
    <w:p>
      <w:pPr>
        <w:spacing w:line="360" w:lineRule="auto"/>
        <w:ind w:firstLine="480" w:firstLineChars="200"/>
        <w:rPr>
          <w:color w:val="000000"/>
          <w:sz w:val="24"/>
        </w:rPr>
      </w:pPr>
      <w:r>
        <w:rPr>
          <w:color w:val="000000"/>
          <w:sz w:val="24"/>
        </w:rPr>
        <w:t>2020年2季度，银行板块二级市场走势在经历了一季度单边下跌之后，呈现出止跌回升的迹象。一方面，国内经济延续复苏势头，5月份全国规模以上工业企业利润总额同比增速回升转正至6.0%，6月制造业PMI升至50.9%好于市场预期。另一方面，随着国务院常务会议明确“推动金融系统全年向各类企业合理让利1.5万亿元”后，银行让利规模得以明确，央行下调再贷款、再贴现利率等系列举措也有利于银行板块行情的修复。本报告期，中证银行指数上涨0.96%。</w:t>
      </w:r>
    </w:p>
    <w:p w:rsidP="0015779C" w:rsidR="001C36D8" w:rsidRDefault="001C36D8" w:rsidRPr="003D22BD">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基金运作层面，报告期内，本基金严守基金合同认真对待投资者申购、赎回以及成份股调整事项，保障基金的正常运作，基金跟踪误差以及日均偏离度等指标控制在合同规定范围之内。</w:t>
      </w:r>
    </w:p>
    <w:p w:rsidP="003A4DA3" w:rsidR="001C36D8" w:rsidRDefault="001C36D8" w:rsidRPr="00272E0C">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272E0C">
          <w:rPr>
            <w:rFonts w:ascii="宋体" w:hAnsi="宋体"/>
            <w:sz w:val="24"/>
          </w:rPr>
          <w:t>4.4.2</w:t>
        </w:r>
      </w:smartTag>
      <w:r w:rsidRPr="00272E0C">
        <w:rPr>
          <w:rFonts w:ascii="宋体" w:hAnsi="宋体" w:hint="eastAsia"/>
          <w:sz w:val="24"/>
        </w:rPr>
        <w:t>报告期内基金的业绩表现</w:t>
      </w:r>
    </w:p>
    <w:p w:rsidP="00E43B0B" w:rsidR="001C36D8" w:rsidRDefault="001C36D8" w:rsidRPr="00E43B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截至报告期末，本基金份额净值为0.9379元，本报告期份额净值增长率为4.30%，同期业绩比较基准收益率为0.93%，日跟踪偏离度的均值为0.07%，年化跟踪误差1.60%，在合同规定的目标控制范围之内。</w:t>
      </w:r>
    </w:p>
    <w:p w:rsidP="005C6DF3" w:rsidR="001C36D8" w:rsidRDefault="001C36D8" w:rsidRPr="00272E0C">
      <w:pPr>
        <w:pStyle w:val="1"/>
        <w:spacing w:after="312" w:afterLines="100" w:before="312" w:beforeLines="100" w:line="360" w:lineRule="auto"/>
        <w:jc w:val="center"/>
        <w:rPr>
          <w:rFonts w:ascii="宋体" w:cs="Arial"/>
          <w:color w:val="000000"/>
          <w:kern w:val="0"/>
          <w:sz w:val="24"/>
          <w:szCs w:val="24"/>
        </w:rPr>
      </w:pPr>
      <w:r w:rsidRPr="00272E0C">
        <w:rPr>
          <w:rFonts w:ascii="宋体" w:cs="Arial" w:hAnsi="宋体" w:hint="eastAsia"/>
          <w:color w:val="000000"/>
          <w:kern w:val="0"/>
          <w:sz w:val="24"/>
          <w:szCs w:val="24"/>
        </w:rPr>
        <w:t>§</w:t>
      </w:r>
      <w:r w:rsidRPr="00272E0C">
        <w:rPr>
          <w:rFonts w:ascii="宋体" w:cs="Arial" w:hAnsi="宋体"/>
          <w:color w:val="000000"/>
          <w:kern w:val="0"/>
          <w:sz w:val="24"/>
          <w:szCs w:val="24"/>
        </w:rPr>
        <w:t xml:space="preserve">5  </w:t>
      </w:r>
      <w:r w:rsidRPr="00272E0C">
        <w:rPr>
          <w:rFonts w:ascii="宋体" w:cs="Arial" w:hAnsi="宋体" w:hint="eastAsia"/>
          <w:color w:val="000000"/>
          <w:kern w:val="0"/>
          <w:sz w:val="24"/>
          <w:szCs w:val="24"/>
        </w:rPr>
        <w:t>投资组合报告</w:t>
      </w:r>
    </w:p>
    <w:p w:rsidP="003A4DA3"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 xml:space="preserve">5.1 </w:t>
      </w:r>
      <w:r w:rsidRPr="00272E0C">
        <w:rPr>
          <w:rFonts w:ascii="宋体" w:cs="Arial" w:hAnsi="宋体" w:hint="eastAsia"/>
          <w:b/>
          <w:color w:val="000000"/>
          <w:kern w:val="0"/>
          <w:sz w:val="24"/>
        </w:rPr>
        <w:t>报告期末基金资产组合情况</w:t>
      </w:r>
    </w:p>
    <w:tbl>
      <w:tblPr>
        <w:tblW w:type="dxa" w:w="8746"/>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643"/>
        <w:gridCol w:w="3283"/>
        <w:gridCol w:w="2977"/>
        <w:gridCol w:w="1843"/>
      </w:tblGrid>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t>序号</w:t>
            </w:r>
          </w:p>
        </w:tc>
        <w:tc>
          <w:tcPr>
            <w:tcW w:type="dxa" w:w="3283"/>
            <w:vAlign w:val="center"/>
          </w:tcPr>
          <w:p w:rsidP="001A09F9" w:rsidR="001C36D8" w:rsidRDefault="001C36D8" w:rsidRPr="005B1E0B">
            <w:pPr>
              <w:spacing w:before="29" w:line="360" w:lineRule="auto"/>
              <w:ind w:left="17"/>
              <w:jc w:val="center"/>
              <w:rPr>
                <w:color w:val="000000"/>
                <w:sz w:val="24"/>
              </w:rPr>
            </w:pPr>
            <w:r w:rsidRPr="005B1E0B">
              <w:rPr>
                <w:color w:val="000000"/>
                <w:sz w:val="24"/>
              </w:rPr>
              <w:t>项目</w:t>
            </w:r>
          </w:p>
        </w:tc>
        <w:tc>
          <w:tcPr>
            <w:tcW w:type="dxa" w:w="2977"/>
            <w:vAlign w:val="center"/>
          </w:tcPr>
          <w:p w:rsidP="0015779C" w:rsidR="001C36D8" w:rsidRDefault="001C36D8" w:rsidRPr="005B1E0B">
            <w:pPr>
              <w:spacing w:before="29" w:line="360" w:lineRule="auto"/>
              <w:ind w:left="17"/>
              <w:jc w:val="center"/>
              <w:rPr>
                <w:color w:val="000000"/>
                <w:sz w:val="24"/>
              </w:rPr>
            </w:pPr>
            <w:r w:rsidRPr="005B1E0B">
              <w:rPr>
                <w:color w:val="000000"/>
                <w:sz w:val="24"/>
              </w:rPr>
              <w:t>金额</w:t>
            </w:r>
            <w:r w:rsidR="0015779C" w:rsidRPr="005B1E0B">
              <w:rPr>
                <w:color w:val="000000"/>
                <w:sz w:val="24"/>
              </w:rPr>
              <w:t>（元）</w:t>
            </w:r>
          </w:p>
        </w:tc>
        <w:tc>
          <w:tcPr>
            <w:tcW w:type="dxa" w:w="1843"/>
            <w:vAlign w:val="center"/>
          </w:tcPr>
          <w:p w:rsidP="0015779C" w:rsidR="001C36D8" w:rsidRDefault="001C36D8" w:rsidRPr="005B1E0B">
            <w:pPr>
              <w:spacing w:before="29" w:line="360" w:lineRule="auto"/>
              <w:ind w:left="17"/>
              <w:jc w:val="center"/>
              <w:rPr>
                <w:color w:val="000000"/>
                <w:sz w:val="24"/>
              </w:rPr>
            </w:pPr>
            <w:r w:rsidRPr="005B1E0B">
              <w:rPr>
                <w:color w:val="000000"/>
                <w:sz w:val="24"/>
              </w:rPr>
              <w:t>占基金总资产的比例</w:t>
            </w:r>
            <w:r w:rsidR="0015779C" w:rsidRPr="005B1E0B">
              <w:rPr>
                <w:color w:val="000000"/>
                <w:sz w:val="24"/>
              </w:rPr>
              <w:t>（</w:t>
            </w:r>
            <w:r w:rsidR="0015779C" w:rsidRPr="005B1E0B">
              <w:rPr>
                <w:color w:val="000000"/>
                <w:sz w:val="24"/>
              </w:rPr>
              <w:t>%</w:t>
            </w:r>
            <w:r w:rsidR="0015779C" w:rsidRPr="005B1E0B">
              <w:rPr>
                <w:color w:val="000000"/>
                <w:sz w:val="24"/>
              </w:rPr>
              <w:t>）</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lastRenderedPageBreak/>
              <w:t>1</w:t>
            </w:r>
          </w:p>
        </w:tc>
        <w:tc>
          <w:tcPr>
            <w:tcW w:type="dxa" w:w="3283"/>
            <w:vAlign w:val="center"/>
          </w:tcPr>
          <w:p w:rsidP="001A09F9" w:rsidR="001C36D8" w:rsidRDefault="001C36D8" w:rsidRPr="005B1E0B">
            <w:pPr>
              <w:spacing w:before="29" w:line="360" w:lineRule="auto"/>
              <w:ind w:left="17"/>
              <w:jc w:val="left"/>
              <w:rPr>
                <w:sz w:val="24"/>
              </w:rPr>
            </w:pPr>
            <w:r w:rsidRPr="005B1E0B">
              <w:rPr>
                <w:color w:val="000000"/>
                <w:sz w:val="24"/>
              </w:rPr>
              <w:t>权益投资</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245,649,690.89</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92.81</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p>
        </w:tc>
        <w:tc>
          <w:tcPr>
            <w:tcW w:type="dxa" w:w="3283"/>
            <w:vAlign w:val="center"/>
          </w:tcPr>
          <w:p w:rsidP="001A09F9" w:rsidR="001C36D8" w:rsidRDefault="001C36D8" w:rsidRPr="005B1E0B">
            <w:pPr>
              <w:spacing w:before="29" w:line="360" w:lineRule="auto"/>
              <w:ind w:left="17"/>
              <w:jc w:val="left"/>
              <w:rPr>
                <w:sz w:val="24"/>
              </w:rPr>
            </w:pPr>
            <w:r w:rsidRPr="005B1E0B">
              <w:rPr>
                <w:color w:val="000000"/>
                <w:sz w:val="24"/>
              </w:rPr>
              <w:t>其中：股票</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245,649,690.89</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92.81</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t>2</w:t>
            </w:r>
          </w:p>
        </w:tc>
        <w:tc>
          <w:tcPr>
            <w:tcW w:type="dxa" w:w="3283"/>
            <w:vAlign w:val="center"/>
          </w:tcPr>
          <w:p w:rsidP="001A09F9" w:rsidR="001C36D8" w:rsidRDefault="001C36D8" w:rsidRPr="005B1E0B">
            <w:pPr>
              <w:spacing w:before="29" w:line="360" w:lineRule="auto"/>
              <w:ind w:left="17"/>
              <w:jc w:val="left"/>
              <w:rPr>
                <w:sz w:val="24"/>
              </w:rPr>
            </w:pPr>
            <w:r w:rsidRPr="005B1E0B">
              <w:rPr>
                <w:color w:val="000000"/>
                <w:sz w:val="24"/>
              </w:rPr>
              <w:t>固定收益投资</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p>
        </w:tc>
        <w:tc>
          <w:tcPr>
            <w:tcW w:type="dxa" w:w="3283"/>
            <w:vAlign w:val="center"/>
          </w:tcPr>
          <w:p w:rsidP="001A09F9" w:rsidR="001C36D8" w:rsidRDefault="001C36D8" w:rsidRPr="005B1E0B">
            <w:pPr>
              <w:spacing w:before="29" w:line="360" w:lineRule="auto"/>
              <w:ind w:left="17"/>
              <w:jc w:val="left"/>
              <w:rPr>
                <w:sz w:val="24"/>
              </w:rPr>
            </w:pPr>
            <w:r w:rsidRPr="005B1E0B">
              <w:rPr>
                <w:color w:val="000000"/>
                <w:sz w:val="24"/>
              </w:rPr>
              <w:t>其中：债券</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p>
        </w:tc>
        <w:tc>
          <w:tcPr>
            <w:tcW w:type="dxa" w:w="3283"/>
            <w:vAlign w:val="center"/>
          </w:tcPr>
          <w:p w:rsidP="001A09F9" w:rsidR="001C36D8" w:rsidRDefault="001C36D8" w:rsidRPr="005B1E0B">
            <w:pPr>
              <w:autoSpaceDE w:val="0"/>
              <w:autoSpaceDN w:val="0"/>
              <w:adjustRightInd w:val="0"/>
              <w:spacing w:before="29" w:line="360" w:lineRule="auto"/>
              <w:ind w:left="17"/>
              <w:jc w:val="left"/>
              <w:rPr>
                <w:color w:val="000000"/>
                <w:sz w:val="24"/>
              </w:rPr>
            </w:pPr>
            <w:r w:rsidRPr="005B1E0B">
              <w:rPr>
                <w:color w:val="000000"/>
                <w:sz w:val="24"/>
              </w:rPr>
              <w:t>资产支持证券</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w:t>
            </w:r>
          </w:p>
        </w:tc>
      </w:tr>
      <w:tr w:rsidR="001C36D8" w:rsidRPr="00264E55" w:rsidTr="00737AB0">
        <w:trPr>
          <w:jc w:val="center"/>
        </w:trPr>
        <w:tc>
          <w:tcPr>
            <w:tcW w:type="dxa" w:w="643"/>
          </w:tcPr>
          <w:p w:rsidP="001A09F9" w:rsidR="001C36D8" w:rsidRDefault="001C36D8" w:rsidRPr="005B1E0B">
            <w:pPr>
              <w:spacing w:before="29" w:line="360" w:lineRule="auto"/>
              <w:ind w:left="17"/>
              <w:jc w:val="center"/>
              <w:rPr>
                <w:color w:val="000000"/>
                <w:sz w:val="24"/>
              </w:rPr>
            </w:pPr>
            <w:r w:rsidRPr="005B1E0B">
              <w:rPr>
                <w:color w:val="000000"/>
                <w:sz w:val="24"/>
              </w:rPr>
              <w:t>3</w:t>
            </w:r>
          </w:p>
        </w:tc>
        <w:tc>
          <w:tcPr>
            <w:tcW w:type="dxa" w:w="3283"/>
          </w:tcPr>
          <w:p w:rsidP="0015779C" w:rsidR="001C36D8" w:rsidRDefault="001C36D8" w:rsidRPr="005B1E0B">
            <w:pPr>
              <w:spacing w:before="29" w:line="360" w:lineRule="auto"/>
              <w:ind w:left="105" w:leftChars="50"/>
              <w:rPr>
                <w:color w:val="000000"/>
                <w:sz w:val="24"/>
              </w:rPr>
            </w:pPr>
            <w:r w:rsidRPr="005B1E0B">
              <w:rPr>
                <w:color w:val="000000"/>
                <w:sz w:val="24"/>
              </w:rPr>
              <w:t>贵金属投资</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r w:rsidRPr="005B1E0B">
              <w:rPr>
                <w:color w:val="000000"/>
                <w:sz w:val="24"/>
              </w:rPr>
              <w:lastRenderedPageBreak/>
              <w:t/>
            </w:r>
            <w:proofErr w:type="spellEnd"/>
            <w:r w:rsidRPr="005B1E0B">
              <w:rPr>
                <w:color w:val="000000"/>
                <w:sz w:val="24"/>
              </w:rPr>
              <w:t>-</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lastRenderedPageBreak/>
              <w:t/>
            </w:r>
            <w:proofErr w:type="spellStart"/>
            <w:r w:rsidRPr="005B1E0B">
              <w:rPr>
                <w:color w:val="000000"/>
                <w:sz w:val="24"/>
              </w:rPr>
              <w:t/>
            </w:r>
            <w:r w:rsidRPr="005B1E0B">
              <w:rPr>
                <w:color w:val="000000"/>
                <w:sz w:val="24"/>
              </w:rPr>
              <w:lastRenderedPageBreak/>
              <w:t/>
            </w:r>
            <w:proofErr w:type="spellEnd"/>
            <w:r w:rsidRPr="005B1E0B">
              <w:rPr>
                <w:color w:val="000000"/>
                <w:sz w:val="24"/>
              </w:rPr>
              <w:t>-</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lastRenderedPageBreak/>
              <w:t>4</w:t>
            </w:r>
          </w:p>
        </w:tc>
        <w:tc>
          <w:tcPr>
            <w:tcW w:type="dxa" w:w="3283"/>
            <w:vAlign w:val="center"/>
          </w:tcPr>
          <w:p w:rsidP="001A09F9" w:rsidR="001C36D8" w:rsidRDefault="001C36D8" w:rsidRPr="005B1E0B">
            <w:pPr>
              <w:spacing w:before="29" w:line="360" w:lineRule="auto"/>
              <w:ind w:left="17"/>
              <w:jc w:val="left"/>
              <w:rPr>
                <w:color w:val="000000"/>
                <w:sz w:val="24"/>
              </w:rPr>
            </w:pPr>
            <w:r w:rsidRPr="005B1E0B">
              <w:rPr>
                <w:color w:val="000000"/>
                <w:sz w:val="24"/>
              </w:rPr>
              <w:t>金融衍生品投资</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t>5</w:t>
            </w:r>
          </w:p>
        </w:tc>
        <w:tc>
          <w:tcPr>
            <w:tcW w:type="dxa" w:w="3283"/>
            <w:vAlign w:val="center"/>
          </w:tcPr>
          <w:p w:rsidP="001A09F9" w:rsidR="001C36D8" w:rsidRDefault="001C36D8" w:rsidRPr="005B1E0B">
            <w:pPr>
              <w:spacing w:before="29" w:line="360" w:lineRule="auto"/>
              <w:ind w:left="17"/>
              <w:jc w:val="left"/>
              <w:rPr>
                <w:sz w:val="24"/>
              </w:rPr>
            </w:pPr>
            <w:r w:rsidRPr="005B1E0B">
              <w:rPr>
                <w:color w:val="000000"/>
                <w:sz w:val="24"/>
              </w:rPr>
              <w:t>买入返售金融资产</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p>
        </w:tc>
        <w:tc>
          <w:tcPr>
            <w:tcW w:type="dxa" w:w="3283"/>
            <w:vAlign w:val="center"/>
          </w:tcPr>
          <w:p w:rsidP="001A09F9" w:rsidR="001C36D8" w:rsidRDefault="001C36D8" w:rsidRPr="005B1E0B">
            <w:pPr>
              <w:spacing w:before="29" w:line="360" w:lineRule="auto"/>
              <w:ind w:left="17"/>
              <w:jc w:val="left"/>
              <w:rPr>
                <w:sz w:val="24"/>
              </w:rPr>
            </w:pPr>
            <w:r w:rsidRPr="005B1E0B">
              <w:rPr>
                <w:color w:val="000000"/>
                <w:sz w:val="24"/>
              </w:rPr>
              <w:t>其中：买断式回购的买入返售金融资产</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t>6</w:t>
            </w:r>
          </w:p>
        </w:tc>
        <w:tc>
          <w:tcPr>
            <w:tcW w:type="dxa" w:w="3283"/>
            <w:vAlign w:val="center"/>
          </w:tcPr>
          <w:p w:rsidP="001A09F9" w:rsidR="001C36D8" w:rsidRDefault="001C36D8" w:rsidRPr="005B1E0B">
            <w:pPr>
              <w:spacing w:before="29" w:line="360" w:lineRule="auto"/>
              <w:ind w:left="17"/>
              <w:jc w:val="left"/>
              <w:rPr>
                <w:sz w:val="24"/>
              </w:rPr>
            </w:pPr>
            <w:r w:rsidRPr="005B1E0B">
              <w:rPr>
                <w:color w:val="000000"/>
                <w:sz w:val="24"/>
              </w:rPr>
              <w:t>银行存款和结算备付金合计</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17,507,969.73</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r w:rsidRPr="005B1E0B">
              <w:rPr>
                <w:color w:val="000000"/>
                <w:sz w:val="24"/>
              </w:rPr>
              <w:lastRenderedPageBreak/>
              <w:t>6.61</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t>7</w:t>
            </w:r>
          </w:p>
        </w:tc>
        <w:tc>
          <w:tcPr>
            <w:tcW w:type="dxa" w:w="3283"/>
            <w:vAlign w:val="center"/>
          </w:tcPr>
          <w:p w:rsidP="001A09F9" w:rsidR="001C36D8" w:rsidRDefault="001C36D8" w:rsidRPr="005B1E0B">
            <w:pPr>
              <w:jc w:val="left"/>
              <w:rPr>
                <w:sz w:val="24"/>
              </w:rPr>
            </w:pPr>
            <w:r w:rsidRPr="005B1E0B">
              <w:rPr>
                <w:color w:val="000000"/>
                <w:sz w:val="24"/>
              </w:rPr>
              <w:t>其他资产</w:t>
            </w:r>
          </w:p>
        </w:tc>
        <w:tc>
          <w:tcPr>
            <w:tcW w:type="dxa" w:w="2977"/>
            <w:vAlign w:val="center"/>
          </w:tcPr>
          <w:p w:rsidP="001A09F9" w:rsidR="001C36D8" w:rsidRDefault="001C36D8" w:rsidRPr="005B1E0B">
            <w:pPr>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1,518,690.65</w:t>
            </w:r>
          </w:p>
        </w:tc>
        <w:tc>
          <w:tcPr>
            <w:tcW w:type="dxa" w:w="1843"/>
            <w:vAlign w:val="center"/>
          </w:tcPr>
          <w:p w:rsidP="001A09F9" w:rsidR="001C36D8" w:rsidRDefault="001C36D8" w:rsidRPr="005B1E0B">
            <w:pPr>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0.57</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t>8</w:t>
            </w:r>
          </w:p>
        </w:tc>
        <w:tc>
          <w:tcPr>
            <w:tcW w:type="dxa" w:w="3283"/>
            <w:vAlign w:val="center"/>
          </w:tcPr>
          <w:p w:rsidP="001A09F9" w:rsidR="001C36D8" w:rsidRDefault="001C36D8" w:rsidRPr="005B1E0B">
            <w:pPr>
              <w:jc w:val="left"/>
              <w:rPr>
                <w:sz w:val="24"/>
              </w:rPr>
            </w:pPr>
            <w:r w:rsidRPr="005B1E0B">
              <w:rPr>
                <w:color w:val="000000"/>
                <w:sz w:val="24"/>
              </w:rPr>
              <w:t>合计</w:t>
            </w:r>
          </w:p>
        </w:tc>
        <w:tc>
          <w:tcPr>
            <w:tcW w:type="dxa" w:w="2977"/>
            <w:vAlign w:val="center"/>
          </w:tcPr>
          <w:p w:rsidP="001A09F9" w:rsidR="001C36D8" w:rsidRDefault="001C36D8" w:rsidRPr="005B1E0B">
            <w:pPr>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264,676,351.27</w:t>
            </w:r>
          </w:p>
        </w:tc>
        <w:tc>
          <w:tcPr>
            <w:tcW w:type="dxa" w:w="1843"/>
            <w:vAlign w:val="center"/>
          </w:tcPr>
          <w:p w:rsidP="001A09F9" w:rsidR="001C36D8" w:rsidRDefault="001C36D8" w:rsidRPr="005B1E0B">
            <w:pPr>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100.00</w:t>
            </w:r>
          </w:p>
        </w:tc>
      </w:tr>
    </w:tbl>
    <w:p w:rsidP="00737AB0" w:rsidR="00737AB0" w:rsidRDefault="00737AB0"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rPr>
      </w:pPr>
      <w:r w:rsidRPr="00220C32">
        <w:rPr>
          <w:rFonts w:asciiTheme="minorEastAsia" w:eastAsiaTheme="minorEastAsia" w:hAnsiTheme="minorEastAsia"/>
          <w:b/>
          <w:bCs/>
          <w:color w:themeColor="text1" w:val="000000"/>
          <w:kern w:val="0"/>
          <w:sz w:val="24"/>
        </w:rPr>
        <w:t xml:space="preserve">5.2 </w:t>
      </w:r>
      <w:r w:rsidRPr="00220C32">
        <w:rPr>
          <w:rFonts w:asciiTheme="minorEastAsia" w:eastAsiaTheme="minorEastAsia" w:hAnsiTheme="minorEastAsia" w:hint="eastAsia"/>
          <w:b/>
          <w:bCs/>
          <w:color w:themeColor="text1" w:val="000000"/>
          <w:kern w:val="0"/>
          <w:sz w:val="24"/>
        </w:rPr>
        <w:t>报告期末按行业分类的股票投资组合</w:t>
      </w:r>
    </w:p>
    <w:p w:rsidP="00737AB0" w:rsidR="00737AB0" w:rsidRDefault="00737AB0" w:rsidRPr="000D7474">
      <w:pPr>
        <w:rPr>
          <w:rFonts w:asciiTheme="minorEastAsia" w:eastAsiaTheme="minorEastAsia" w:hAnsiTheme="minorEastAsia"/>
          <w:b/>
          <w:bCs/>
          <w:color w:themeColor="text1" w:val="000000"/>
          <w:kern w:val="0"/>
          <w:sz w:val="24"/>
        </w:rPr>
      </w:pPr>
      <w:r w:rsidRPr="000D7474">
        <w:rPr>
          <w:rFonts w:asciiTheme="minorEastAsia" w:eastAsiaTheme="minorEastAsia" w:hAnsiTheme="minorEastAsia"/>
          <w:b/>
          <w:bCs/>
          <w:color w:themeColor="text1" w:val="000000"/>
          <w:kern w:val="0"/>
          <w:sz w:val="24"/>
        </w:rPr>
        <w:t/>
      </w:r>
      <w:proofErr w:type="spellStart"/>
      <w:r w:rsidRPr="000D7474">
        <w:rPr>
          <w:rFonts w:asciiTheme="minorEastAsia" w:eastAsiaTheme="minorEastAsia" w:hAnsiTheme="minorEastAsia"/>
          <w:b/>
          <w:bCs/>
          <w:color w:themeColor="text1" w:val="000000"/>
          <w:kern w:val="0"/>
          <w:sz w:val="24"/>
        </w:rPr>
        <w:t/>
      </w:r>
      <w:proofErr w:type="spellEnd"/>
      <w:r w:rsidRPr="000D7474">
        <w:rPr>
          <w:rFonts w:asciiTheme="minorEastAsia" w:eastAsiaTheme="minorEastAsia" w:hAnsiTheme="minorEastAsia"/>
          <w:b/>
          <w:bCs/>
          <w:color w:themeColor="text1" w:val="000000"/>
          <w:kern w:val="0"/>
          <w:sz w:val="24"/>
        </w:rPr>
        <w:t/>
      </w:r>
      <w:r w:rsidRPr="000D7474">
        <w:rPr>
          <w:rFonts w:asciiTheme="minorEastAsia" w:eastAsiaTheme="minorEastAsia" w:hAnsiTheme="minorEastAsia" w:hint="eastAsia"/>
          <w:b/>
          <w:bCs/>
          <w:color w:themeColor="text1" w:val="000000"/>
          <w:kern w:val="0"/>
          <w:sz w:val="24"/>
        </w:rPr>
        <w:t>5.2.1报告期末按行业分类的境内股票投资组合</w:t>
      </w:r>
    </w:p>
    <w:tbl>
      <w:tblPr>
        <w:tblW w:type="dxa" w:w="8976"/>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85"/>
        <w:gridCol w:w="3691"/>
        <w:gridCol w:w="2852"/>
        <w:gridCol w:w="1648"/>
      </w:tblGrid>
      <w:tr w:rsidR="00737AB0" w:rsidRPr="008C2A4F" w:rsidTr="00EF063B">
        <w:trPr>
          <w:trHeight w:val="390"/>
        </w:trPr>
        <w:tc>
          <w:tcPr>
            <w:tcW w:type="dxa" w:w="785"/>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代码</w:t>
            </w: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行业类别</w:t>
            </w:r>
          </w:p>
        </w:tc>
        <w:tc>
          <w:tcPr>
            <w:tcW w:type="dxa" w:w="2852"/>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公允价值（元）</w:t>
            </w:r>
          </w:p>
        </w:tc>
        <w:tc>
          <w:tcPr>
            <w:tcW w:type="dxa" w:w="1648"/>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占基金资产净值比例（％）</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A</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农、林、牧、渔业</w:t>
            </w:r>
          </w:p>
        </w:tc>
        <w:tc>
          <w:tcPr>
            <w:tcW w:type="dxa" w:w="2852"/>
            <w:vAlign w:val="center"/>
          </w:tcPr>
          <w:p w:rsidP="00D94F96" w:rsidR="00737AB0" w:rsidRDefault="00737AB0" w:rsidRPr="008C2A4F">
            <w:pPr>
              <w:autoSpaceDE w:val="0"/>
              <w:autoSpaceDN w:val="0"/>
              <w:adjustRightInd w:val="0"/>
              <w:spacing w:before="29" w:line="360" w:lineRule="auto"/>
              <w:ind w:left="15"/>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autoSpaceDE w:val="0"/>
              <w:autoSpaceDN w:val="0"/>
              <w:adjustRightInd w:val="0"/>
              <w:spacing w:before="29" w:line="360" w:lineRule="auto"/>
              <w:ind w:left="15"/>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B</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采矿业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p w:rsidP="00D94F96" w:rsidR="00737AB0" w:rsidRDefault="00737AB0" w:rsidRPr="008C2A4F">
            <w:pPr>
              <w:jc w:val="right"/>
              <w:rPr>
                <w:rFonts w:eastAsiaTheme="minorEastAsia"/>
                <w:color w:themeColor="text1" w:val="000000"/>
                <w:kern w:val="0"/>
                <w:sz w:val="24"/>
              </w:rPr>
            </w:pP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p w:rsidP="00D94F96" w:rsidR="00737AB0" w:rsidRDefault="00737AB0" w:rsidRPr="008C2A4F">
            <w:pPr>
              <w:jc w:val="right"/>
              <w:rPr>
                <w:rFonts w:eastAsiaTheme="minorEastAsia"/>
                <w:color w:themeColor="text1" w:val="000000"/>
                <w:kern w:val="0"/>
                <w:sz w:val="24"/>
              </w:rPr>
            </w:pP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C</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制造业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2,122,073.19</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0.81</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D</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电力、热力、燃气及水生产和供应</w:t>
            </w:r>
            <w:r w:rsidRPr="008C2A4F">
              <w:rPr>
                <w:rFonts w:eastAsiaTheme="minorEastAsia"/>
                <w:color w:themeColor="text1" w:val="000000"/>
                <w:kern w:val="0"/>
                <w:sz w:val="24"/>
              </w:rPr>
              <w:lastRenderedPageBreak/>
              <w:t>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lastRenderedPageBreak/>
              <w:t/>
            </w:r>
            <w:r w:rsidRPr="008C2A4F">
              <w:rPr>
                <w:rFonts w:eastAsiaTheme="minorEastAsia"/>
                <w:color w:themeColor="text1" w:val="000000"/>
                <w:kern w:val="0"/>
                <w:sz w:val="24"/>
              </w:rPr>
              <w:lastRenderedPageBreak/>
              <w:t>12,766.32</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lastRenderedPageBreak/>
              <w:t/>
            </w:r>
            <w:r w:rsidRPr="008C2A4F">
              <w:rPr>
                <w:rFonts w:eastAsiaTheme="minorEastAsia"/>
                <w:color w:themeColor="text1" w:val="000000"/>
                <w:kern w:val="0"/>
                <w:sz w:val="24"/>
              </w:rPr>
              <w:lastRenderedPageBreak/>
              <w:t>0.00</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lastRenderedPageBreak/>
              <w:t>E</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建筑业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F</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批发和零售业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G</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交通运输、仓储和邮政业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H</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住宿和餐饮业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I</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信息传输、软件和信息技术服务业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329,073.22</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0.13</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J</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金融业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243,006,231.03</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92.72</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K</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房地产业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L</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租赁和商务服务业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M</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科学研究和技术服务业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r w:rsidRPr="008C2A4F">
              <w:rPr>
                <w:rFonts w:eastAsiaTheme="minorEastAsia"/>
                <w:color w:themeColor="text1" w:val="000000"/>
                <w:kern w:val="0"/>
                <w:sz w:val="24"/>
              </w:rPr>
              <w:lastRenderedPageBreak/>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lastRenderedPageBreak/>
              <w:t/>
            </w:r>
            <w:proofErr w:type="spellStart"/>
            <w:r w:rsidRPr="008C2A4F">
              <w:rPr>
                <w:rFonts w:eastAsiaTheme="minorEastAsia"/>
                <w:color w:themeColor="text1" w:val="000000"/>
                <w:kern w:val="0"/>
                <w:sz w:val="24"/>
              </w:rPr>
              <w:t/>
            </w:r>
            <w:r w:rsidRPr="008C2A4F">
              <w:rPr>
                <w:rFonts w:eastAsiaTheme="minorEastAsia"/>
                <w:color w:themeColor="text1" w:val="000000"/>
                <w:kern w:val="0"/>
                <w:sz w:val="24"/>
              </w:rPr>
              <w:lastRenderedPageBreak/>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lastRenderedPageBreak/>
              <w:t>N</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水利、环境和公共设施管理业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179,547.13</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0.07</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O</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居民服务、修理和其他服务业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P</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教育</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Q</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卫生和社会工作</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R</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文化、体育和娱乐业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S</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综合</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合计</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245,649,690.89</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93.73</w:t>
            </w:r>
          </w:p>
        </w:tc>
      </w:tr>
    </w:tbl>
    <w:p w:rsidP="000F2837" w:rsidR="000F2837" w:rsidRDefault="001C36D8" w:rsidRPr="000F2837">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5.3</w:t>
      </w:r>
      <w:r w:rsidR="00291A74" w:rsidRPr="00291A74">
        <w:rPr>
          <w:rFonts w:ascii="宋体" w:cs="Arial" w:hAnsi="宋体" w:hint="eastAsia"/>
          <w:b/>
          <w:color w:val="000000"/>
          <w:kern w:val="0"/>
          <w:sz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0F2837" w:rsidRPr="00264E55" w:rsidTr="002406DE">
        <w:tc>
          <w:tcPr>
            <w:tcW w:type="dxa" w:w="851"/>
            <w:vAlign w:val="center"/>
          </w:tcPr>
          <w:p w:rsidP="002406DE" w:rsidR="000F2837" w:rsidRDefault="000F2837" w:rsidRPr="00232B03">
            <w:pPr>
              <w:spacing w:before="29" w:line="360" w:lineRule="auto"/>
              <w:ind w:left="17"/>
              <w:jc w:val="center"/>
              <w:rPr>
                <w:color w:val="000000"/>
                <w:kern w:val="0"/>
                <w:sz w:val="24"/>
              </w:rPr>
            </w:pPr>
            <w:r w:rsidRPr="00232B03">
              <w:rPr>
                <w:color w:val="000000"/>
                <w:kern w:val="0"/>
                <w:sz w:val="24"/>
              </w:rPr>
              <w:t>序号</w:t>
            </w:r>
          </w:p>
        </w:tc>
        <w:tc>
          <w:tcPr>
            <w:tcW w:type="dxa" w:w="1276"/>
            <w:vAlign w:val="center"/>
          </w:tcPr>
          <w:p w:rsidP="002406DE" w:rsidR="000F2837" w:rsidRDefault="000F2837" w:rsidRPr="00232B03">
            <w:pPr>
              <w:spacing w:before="29" w:line="360" w:lineRule="auto"/>
              <w:ind w:left="17"/>
              <w:jc w:val="center"/>
              <w:rPr>
                <w:color w:val="000000"/>
                <w:kern w:val="0"/>
                <w:sz w:val="24"/>
              </w:rPr>
            </w:pPr>
            <w:r w:rsidRPr="00232B03">
              <w:rPr>
                <w:color w:val="000000"/>
                <w:kern w:val="0"/>
                <w:sz w:val="24"/>
              </w:rPr>
              <w:t>股票代码</w:t>
            </w:r>
          </w:p>
        </w:tc>
        <w:tc>
          <w:tcPr>
            <w:tcW w:type="dxa" w:w="1418"/>
            <w:vAlign w:val="center"/>
          </w:tcPr>
          <w:p w:rsidP="002406DE" w:rsidR="000F2837" w:rsidRDefault="000F2837" w:rsidRPr="00232B03">
            <w:pPr>
              <w:spacing w:before="29" w:line="360" w:lineRule="auto"/>
              <w:ind w:left="17"/>
              <w:jc w:val="center"/>
              <w:rPr>
                <w:color w:val="000000"/>
                <w:kern w:val="0"/>
                <w:sz w:val="24"/>
              </w:rPr>
            </w:pPr>
            <w:r w:rsidRPr="00232B03">
              <w:rPr>
                <w:color w:val="000000"/>
                <w:kern w:val="0"/>
                <w:sz w:val="24"/>
              </w:rPr>
              <w:t>股票名称</w:t>
            </w:r>
          </w:p>
        </w:tc>
        <w:tc>
          <w:tcPr>
            <w:tcW w:type="dxa" w:w="1701"/>
            <w:vAlign w:val="center"/>
          </w:tcPr>
          <w:p w:rsidP="002406DE" w:rsidR="000F2837" w:rsidRDefault="000F2837" w:rsidRPr="00232B03">
            <w:pPr>
              <w:spacing w:before="29" w:line="360" w:lineRule="auto"/>
              <w:ind w:left="17"/>
              <w:jc w:val="center"/>
              <w:rPr>
                <w:color w:val="000000"/>
                <w:kern w:val="0"/>
                <w:sz w:val="24"/>
              </w:rPr>
            </w:pPr>
            <w:r w:rsidRPr="00232B03">
              <w:rPr>
                <w:color w:val="000000"/>
                <w:kern w:val="0"/>
                <w:sz w:val="24"/>
              </w:rPr>
              <w:t>数量（股）</w:t>
            </w:r>
          </w:p>
        </w:tc>
        <w:tc>
          <w:tcPr>
            <w:tcW w:type="dxa" w:w="1984"/>
            <w:vAlign w:val="center"/>
          </w:tcPr>
          <w:p w:rsidP="002406DE" w:rsidR="000F2837" w:rsidRDefault="000F2837" w:rsidRPr="00232B03">
            <w:pPr>
              <w:autoSpaceDE w:val="0"/>
              <w:autoSpaceDN w:val="0"/>
              <w:adjustRightInd w:val="0"/>
              <w:spacing w:before="29" w:line="360" w:lineRule="auto"/>
              <w:ind w:left="17"/>
              <w:jc w:val="center"/>
              <w:rPr>
                <w:color w:val="000000"/>
                <w:kern w:val="0"/>
                <w:sz w:val="24"/>
              </w:rPr>
            </w:pPr>
            <w:r w:rsidRPr="00232B03">
              <w:rPr>
                <w:color w:val="000000"/>
                <w:kern w:val="0"/>
                <w:sz w:val="24"/>
              </w:rPr>
              <w:t>公允价值（元）</w:t>
            </w:r>
          </w:p>
        </w:tc>
        <w:tc>
          <w:tcPr>
            <w:tcW w:type="dxa" w:w="1559"/>
            <w:vAlign w:val="center"/>
          </w:tcPr>
          <w:p w:rsidP="002406DE" w:rsidR="000F2837" w:rsidRDefault="000F2837" w:rsidRPr="00232B03">
            <w:pPr>
              <w:spacing w:before="29" w:line="360" w:lineRule="auto"/>
              <w:ind w:left="17"/>
              <w:jc w:val="center"/>
              <w:rPr>
                <w:color w:val="000000"/>
                <w:kern w:val="0"/>
                <w:sz w:val="24"/>
              </w:rPr>
            </w:pPr>
            <w:r w:rsidRPr="00232B03">
              <w:rPr>
                <w:color w:val="000000"/>
                <w:kern w:val="0"/>
                <w:sz w:val="24"/>
              </w:rPr>
              <w:t>占基金资产净值比例（％）</w:t>
            </w:r>
          </w:p>
        </w:tc>
      </w:tr>
      <w:tr>
        <w:tc>
          <w:tcPr>
            <w:vAlign w:val="center"/>
          </w:tcPr>
          <w:p>
            <w:pPr>
              <w:jc w:val="center"/>
            </w:pPr>
            <w:r>
              <w:rPr>
                <w:color w:val="000000"/>
                <w:kern w:val="0"/>
                <w:sz w:val="24"/>
              </w:rPr>
              <w:t>1</w:t>
            </w:r>
          </w:p>
        </w:tc>
        <w:tc>
          <w:tcPr>
            <w:vAlign w:val="center"/>
          </w:tcPr>
          <w:p>
            <w:pPr>
              <w:jc w:val="center"/>
            </w:pPr>
            <w:r>
              <w:rPr>
                <w:color w:val="000000"/>
                <w:kern w:val="0"/>
                <w:sz w:val="24"/>
              </w:rPr>
              <w:t>600036</w:t>
            </w:r>
          </w:p>
        </w:tc>
        <w:tc>
          <w:tcPr>
            <w:vAlign w:val="center"/>
          </w:tcPr>
          <w:p>
            <w:pPr>
              <w:jc w:val="center"/>
            </w:pPr>
            <w:r>
              <w:rPr>
                <w:color w:val="000000"/>
                <w:kern w:val="0"/>
                <w:sz w:val="24"/>
              </w:rPr>
              <w:t>招商银行</w:t>
            </w:r>
          </w:p>
        </w:tc>
        <w:tc>
          <w:tcPr>
            <w:vAlign w:val="center"/>
          </w:tcPr>
          <w:p>
            <w:pPr>
              <w:jc w:val="right"/>
            </w:pPr>
            <w:r>
              <w:rPr>
                <w:color w:val="000000"/>
                <w:kern w:val="0"/>
                <w:sz w:val="24"/>
              </w:rPr>
              <w:t>1,051,457</w:t>
            </w:r>
          </w:p>
        </w:tc>
        <w:tc>
          <w:tcPr>
            <w:vAlign w:val="center"/>
          </w:tcPr>
          <w:p>
            <w:pPr>
              <w:jc w:val="right"/>
            </w:pPr>
            <w:r>
              <w:rPr>
                <w:color w:val="000000"/>
                <w:kern w:val="0"/>
                <w:sz w:val="24"/>
              </w:rPr>
              <w:t>35,455,130.04</w:t>
            </w:r>
          </w:p>
        </w:tc>
        <w:tc>
          <w:tcPr>
            <w:vAlign w:val="center"/>
          </w:tcPr>
          <w:p>
            <w:pPr>
              <w:jc w:val="right"/>
            </w:pPr>
            <w:r>
              <w:rPr>
                <w:color w:val="000000"/>
                <w:kern w:val="0"/>
                <w:sz w:val="24"/>
              </w:rPr>
              <w:t>13.53</w:t>
            </w:r>
          </w:p>
        </w:tc>
      </w:tr>
      <w:tr>
        <w:tc>
          <w:tcPr>
            <w:vAlign w:val="center"/>
          </w:tcPr>
          <w:p>
            <w:pPr>
              <w:jc w:val="center"/>
            </w:pPr>
            <w:r>
              <w:rPr>
                <w:color w:val="000000"/>
                <w:kern w:val="0"/>
                <w:sz w:val="24"/>
              </w:rPr>
              <w:t>2</w:t>
            </w:r>
          </w:p>
        </w:tc>
        <w:tc>
          <w:tcPr>
            <w:vAlign w:val="center"/>
          </w:tcPr>
          <w:p>
            <w:pPr>
              <w:jc w:val="center"/>
            </w:pPr>
            <w:r>
              <w:rPr>
                <w:color w:val="000000"/>
                <w:kern w:val="0"/>
                <w:sz w:val="24"/>
              </w:rPr>
              <w:t>601166</w:t>
            </w:r>
          </w:p>
        </w:tc>
        <w:tc>
          <w:tcPr>
            <w:vAlign w:val="center"/>
          </w:tcPr>
          <w:p>
            <w:pPr>
              <w:jc w:val="center"/>
            </w:pPr>
            <w:r>
              <w:rPr>
                <w:color w:val="000000"/>
                <w:kern w:val="0"/>
                <w:sz w:val="24"/>
              </w:rPr>
              <w:t>兴业银行</w:t>
            </w:r>
          </w:p>
        </w:tc>
        <w:tc>
          <w:tcPr>
            <w:vAlign w:val="center"/>
          </w:tcPr>
          <w:p>
            <w:pPr>
              <w:jc w:val="right"/>
            </w:pPr>
            <w:r>
              <w:rPr>
                <w:color w:val="000000"/>
                <w:kern w:val="0"/>
                <w:sz w:val="24"/>
              </w:rPr>
              <w:t>1,510,000</w:t>
            </w:r>
          </w:p>
        </w:tc>
        <w:tc>
          <w:tcPr>
            <w:vAlign w:val="center"/>
          </w:tcPr>
          <w:p>
            <w:pPr>
              <w:jc w:val="right"/>
            </w:pPr>
            <w:r>
              <w:rPr>
                <w:color w:val="000000"/>
                <w:kern w:val="0"/>
                <w:sz w:val="24"/>
              </w:rPr>
              <w:t>23,827,800.00</w:t>
            </w:r>
          </w:p>
        </w:tc>
        <w:tc>
          <w:tcPr>
            <w:vAlign w:val="center"/>
          </w:tcPr>
          <w:p>
            <w:pPr>
              <w:jc w:val="right"/>
            </w:pPr>
            <w:r>
              <w:rPr>
                <w:color w:val="000000"/>
                <w:kern w:val="0"/>
                <w:sz w:val="24"/>
              </w:rPr>
              <w:t>9.09</w:t>
            </w:r>
          </w:p>
        </w:tc>
      </w:tr>
      <w:tr>
        <w:tc>
          <w:tcPr>
            <w:vAlign w:val="center"/>
          </w:tcPr>
          <w:p>
            <w:pPr>
              <w:jc w:val="center"/>
            </w:pPr>
            <w:r>
              <w:rPr>
                <w:color w:val="000000"/>
                <w:kern w:val="0"/>
                <w:sz w:val="24"/>
              </w:rPr>
              <w:t>3</w:t>
            </w:r>
          </w:p>
        </w:tc>
        <w:tc>
          <w:tcPr>
            <w:vAlign w:val="center"/>
          </w:tcPr>
          <w:p>
            <w:pPr>
              <w:jc w:val="center"/>
            </w:pPr>
            <w:r>
              <w:rPr>
                <w:color w:val="000000"/>
                <w:kern w:val="0"/>
                <w:sz w:val="24"/>
              </w:rPr>
              <w:t>601398</w:t>
            </w:r>
          </w:p>
        </w:tc>
        <w:tc>
          <w:tcPr>
            <w:vAlign w:val="center"/>
          </w:tcPr>
          <w:p>
            <w:pPr>
              <w:jc w:val="center"/>
            </w:pPr>
            <w:r>
              <w:rPr>
                <w:color w:val="000000"/>
                <w:kern w:val="0"/>
                <w:sz w:val="24"/>
              </w:rPr>
              <w:t>工商银行</w:t>
            </w:r>
          </w:p>
        </w:tc>
        <w:tc>
          <w:tcPr>
            <w:vAlign w:val="center"/>
          </w:tcPr>
          <w:p>
            <w:pPr>
              <w:jc w:val="right"/>
            </w:pPr>
            <w:r>
              <w:rPr>
                <w:color w:val="000000"/>
                <w:kern w:val="0"/>
                <w:sz w:val="24"/>
              </w:rPr>
              <w:t>4,245,997</w:t>
            </w:r>
          </w:p>
        </w:tc>
        <w:tc>
          <w:tcPr>
            <w:vAlign w:val="center"/>
          </w:tcPr>
          <w:p>
            <w:pPr>
              <w:jc w:val="right"/>
            </w:pPr>
            <w:r>
              <w:rPr>
                <w:color w:val="000000"/>
                <w:kern w:val="0"/>
                <w:sz w:val="24"/>
              </w:rPr>
              <w:t>21,145,065.06</w:t>
            </w:r>
          </w:p>
        </w:tc>
        <w:tc>
          <w:tcPr>
            <w:vAlign w:val="center"/>
          </w:tcPr>
          <w:p>
            <w:pPr>
              <w:jc w:val="right"/>
            </w:pPr>
            <w:r>
              <w:rPr>
                <w:color w:val="000000"/>
                <w:kern w:val="0"/>
                <w:sz w:val="24"/>
              </w:rPr>
              <w:t>8.07</w:t>
            </w:r>
          </w:p>
        </w:tc>
      </w:tr>
      <w:tr>
        <w:tc>
          <w:tcPr>
            <w:vAlign w:val="center"/>
          </w:tcPr>
          <w:p>
            <w:pPr>
              <w:jc w:val="center"/>
            </w:pPr>
            <w:r>
              <w:rPr>
                <w:color w:val="000000"/>
                <w:kern w:val="0"/>
                <w:sz w:val="24"/>
              </w:rPr>
              <w:t>4</w:t>
            </w:r>
          </w:p>
        </w:tc>
        <w:tc>
          <w:tcPr>
            <w:vAlign w:val="center"/>
          </w:tcPr>
          <w:p>
            <w:pPr>
              <w:jc w:val="center"/>
            </w:pPr>
            <w:r>
              <w:rPr>
                <w:color w:val="000000"/>
                <w:kern w:val="0"/>
                <w:sz w:val="24"/>
              </w:rPr>
              <w:t>601328</w:t>
            </w:r>
          </w:p>
        </w:tc>
        <w:tc>
          <w:tcPr>
            <w:vAlign w:val="center"/>
          </w:tcPr>
          <w:p>
            <w:pPr>
              <w:jc w:val="center"/>
            </w:pPr>
            <w:r>
              <w:rPr>
                <w:color w:val="000000"/>
                <w:kern w:val="0"/>
                <w:sz w:val="24"/>
              </w:rPr>
              <w:t>交通银行</w:t>
            </w:r>
          </w:p>
        </w:tc>
        <w:tc>
          <w:tcPr>
            <w:vAlign w:val="center"/>
          </w:tcPr>
          <w:p>
            <w:pPr>
              <w:jc w:val="right"/>
            </w:pPr>
            <w:r>
              <w:rPr>
                <w:color w:val="000000"/>
                <w:kern w:val="0"/>
                <w:sz w:val="24"/>
              </w:rPr>
              <w:t>3,328,450</w:t>
            </w:r>
          </w:p>
        </w:tc>
        <w:tc>
          <w:tcPr>
            <w:vAlign w:val="center"/>
          </w:tcPr>
          <w:p>
            <w:pPr>
              <w:jc w:val="right"/>
            </w:pPr>
            <w:r>
              <w:rPr>
                <w:color w:val="000000"/>
                <w:kern w:val="0"/>
                <w:sz w:val="24"/>
              </w:rPr>
              <w:t>17,074,948.50</w:t>
            </w:r>
          </w:p>
        </w:tc>
        <w:tc>
          <w:tcPr>
            <w:vAlign w:val="center"/>
          </w:tcPr>
          <w:p>
            <w:pPr>
              <w:jc w:val="right"/>
            </w:pPr>
            <w:r>
              <w:rPr>
                <w:color w:val="000000"/>
                <w:kern w:val="0"/>
                <w:sz w:val="24"/>
              </w:rPr>
              <w:t>6.52</w:t>
            </w:r>
          </w:p>
        </w:tc>
      </w:tr>
      <w:tr>
        <w:tc>
          <w:tcPr>
            <w:vAlign w:val="center"/>
          </w:tcPr>
          <w:p>
            <w:pPr>
              <w:jc w:val="center"/>
            </w:pPr>
            <w:r>
              <w:rPr>
                <w:color w:val="000000"/>
                <w:kern w:val="0"/>
                <w:sz w:val="24"/>
              </w:rPr>
              <w:t>5</w:t>
            </w:r>
          </w:p>
        </w:tc>
        <w:tc>
          <w:tcPr>
            <w:vAlign w:val="center"/>
          </w:tcPr>
          <w:p>
            <w:pPr>
              <w:jc w:val="center"/>
            </w:pPr>
            <w:r>
              <w:rPr>
                <w:color w:val="000000"/>
                <w:kern w:val="0"/>
                <w:sz w:val="24"/>
              </w:rPr>
              <w:t>600000</w:t>
            </w:r>
          </w:p>
        </w:tc>
        <w:tc>
          <w:tcPr>
            <w:vAlign w:val="center"/>
          </w:tcPr>
          <w:p>
            <w:pPr>
              <w:jc w:val="center"/>
            </w:pPr>
            <w:r>
              <w:rPr>
                <w:color w:val="000000"/>
                <w:kern w:val="0"/>
                <w:sz w:val="24"/>
              </w:rPr>
              <w:t>浦发银行</w:t>
            </w:r>
          </w:p>
        </w:tc>
        <w:tc>
          <w:tcPr>
            <w:vAlign w:val="center"/>
          </w:tcPr>
          <w:p>
            <w:pPr>
              <w:jc w:val="right"/>
            </w:pPr>
            <w:r>
              <w:rPr>
                <w:color w:val="000000"/>
                <w:kern w:val="0"/>
                <w:sz w:val="24"/>
              </w:rPr>
              <w:t>1,422,354</w:t>
            </w:r>
          </w:p>
        </w:tc>
        <w:tc>
          <w:tcPr>
            <w:vAlign w:val="center"/>
          </w:tcPr>
          <w:p>
            <w:pPr>
              <w:jc w:val="right"/>
            </w:pPr>
            <w:r>
              <w:rPr>
                <w:color w:val="000000"/>
                <w:kern w:val="0"/>
                <w:sz w:val="24"/>
              </w:rPr>
              <w:t>15,048,505.32</w:t>
            </w:r>
          </w:p>
        </w:tc>
        <w:tc>
          <w:tcPr>
            <w:vAlign w:val="center"/>
          </w:tcPr>
          <w:p>
            <w:pPr>
              <w:jc w:val="right"/>
            </w:pPr>
            <w:r>
              <w:rPr>
                <w:color w:val="000000"/>
                <w:kern w:val="0"/>
                <w:sz w:val="24"/>
              </w:rPr>
              <w:t>5.74</w:t>
            </w:r>
          </w:p>
        </w:tc>
      </w:tr>
      <w:tr>
        <w:tc>
          <w:tcPr>
            <w:vAlign w:val="center"/>
          </w:tcPr>
          <w:p>
            <w:pPr>
              <w:jc w:val="center"/>
            </w:pPr>
            <w:r>
              <w:rPr>
                <w:color w:val="000000"/>
                <w:kern w:val="0"/>
                <w:sz w:val="24"/>
              </w:rPr>
              <w:t>6</w:t>
            </w:r>
          </w:p>
        </w:tc>
        <w:tc>
          <w:tcPr>
            <w:vAlign w:val="center"/>
          </w:tcPr>
          <w:p>
            <w:pPr>
              <w:jc w:val="center"/>
            </w:pPr>
            <w:r>
              <w:rPr>
                <w:color w:val="000000"/>
                <w:kern w:val="0"/>
                <w:sz w:val="24"/>
              </w:rPr>
              <w:t>000001</w:t>
            </w:r>
          </w:p>
        </w:tc>
        <w:tc>
          <w:tcPr>
            <w:vAlign w:val="center"/>
          </w:tcPr>
          <w:p>
            <w:pPr>
              <w:jc w:val="center"/>
            </w:pPr>
            <w:r>
              <w:rPr>
                <w:color w:val="000000"/>
                <w:kern w:val="0"/>
                <w:sz w:val="24"/>
              </w:rPr>
              <w:t>平安银行</w:t>
            </w:r>
          </w:p>
        </w:tc>
        <w:tc>
          <w:tcPr>
            <w:vAlign w:val="center"/>
          </w:tcPr>
          <w:p>
            <w:pPr>
              <w:jc w:val="right"/>
            </w:pPr>
            <w:r>
              <w:rPr>
                <w:color w:val="000000"/>
                <w:kern w:val="0"/>
                <w:sz w:val="24"/>
              </w:rPr>
              <w:t>1,175,469</w:t>
            </w:r>
          </w:p>
        </w:tc>
        <w:tc>
          <w:tcPr>
            <w:vAlign w:val="center"/>
          </w:tcPr>
          <w:p>
            <w:pPr>
              <w:jc w:val="right"/>
            </w:pPr>
            <w:r>
              <w:rPr>
                <w:color w:val="000000"/>
                <w:kern w:val="0"/>
                <w:sz w:val="24"/>
              </w:rPr>
              <w:t>15,046,003.20</w:t>
            </w:r>
          </w:p>
        </w:tc>
        <w:tc>
          <w:tcPr>
            <w:vAlign w:val="center"/>
          </w:tcPr>
          <w:p>
            <w:pPr>
              <w:jc w:val="right"/>
            </w:pPr>
            <w:r>
              <w:rPr>
                <w:color w:val="000000"/>
                <w:kern w:val="0"/>
                <w:sz w:val="24"/>
              </w:rPr>
              <w:t>5.74</w:t>
            </w:r>
          </w:p>
        </w:tc>
      </w:tr>
      <w:tr>
        <w:tc>
          <w:tcPr>
            <w:vAlign w:val="center"/>
          </w:tcPr>
          <w:p>
            <w:pPr>
              <w:jc w:val="center"/>
            </w:pPr>
            <w:r>
              <w:rPr>
                <w:color w:val="000000"/>
                <w:kern w:val="0"/>
                <w:sz w:val="24"/>
              </w:rPr>
              <w:t>7</w:t>
            </w:r>
          </w:p>
        </w:tc>
        <w:tc>
          <w:tcPr>
            <w:vAlign w:val="center"/>
          </w:tcPr>
          <w:p>
            <w:pPr>
              <w:jc w:val="center"/>
            </w:pPr>
            <w:r>
              <w:rPr>
                <w:color w:val="000000"/>
                <w:kern w:val="0"/>
                <w:sz w:val="24"/>
              </w:rPr>
              <w:t>600016</w:t>
            </w:r>
          </w:p>
        </w:tc>
        <w:tc>
          <w:tcPr>
            <w:vAlign w:val="center"/>
          </w:tcPr>
          <w:p>
            <w:pPr>
              <w:jc w:val="center"/>
            </w:pPr>
            <w:r>
              <w:rPr>
                <w:color w:val="000000"/>
                <w:kern w:val="0"/>
                <w:sz w:val="24"/>
              </w:rPr>
              <w:t>民生银行</w:t>
            </w:r>
          </w:p>
        </w:tc>
        <w:tc>
          <w:tcPr>
            <w:vAlign w:val="center"/>
          </w:tcPr>
          <w:p>
            <w:pPr>
              <w:jc w:val="right"/>
            </w:pPr>
            <w:r>
              <w:rPr>
                <w:color w:val="000000"/>
                <w:kern w:val="0"/>
                <w:sz w:val="24"/>
              </w:rPr>
              <w:t>2,577,608</w:t>
            </w:r>
          </w:p>
        </w:tc>
        <w:tc>
          <w:tcPr>
            <w:vAlign w:val="center"/>
          </w:tcPr>
          <w:p>
            <w:pPr>
              <w:jc w:val="right"/>
            </w:pPr>
            <w:r>
              <w:rPr>
                <w:color w:val="000000"/>
                <w:kern w:val="0"/>
                <w:sz w:val="24"/>
              </w:rPr>
              <w:t>14,615,037.36</w:t>
            </w:r>
          </w:p>
        </w:tc>
        <w:tc>
          <w:tcPr>
            <w:vAlign w:val="center"/>
          </w:tcPr>
          <w:p>
            <w:pPr>
              <w:jc w:val="right"/>
            </w:pPr>
            <w:r>
              <w:rPr>
                <w:color w:val="000000"/>
                <w:kern w:val="0"/>
                <w:sz w:val="24"/>
              </w:rPr>
              <w:t>5.58</w:t>
            </w:r>
          </w:p>
        </w:tc>
      </w:tr>
      <w:tr>
        <w:tc>
          <w:tcPr>
            <w:vAlign w:val="center"/>
          </w:tcPr>
          <w:p>
            <w:pPr>
              <w:jc w:val="center"/>
            </w:pPr>
            <w:r>
              <w:rPr>
                <w:color w:val="000000"/>
                <w:kern w:val="0"/>
                <w:sz w:val="24"/>
              </w:rPr>
              <w:t>8</w:t>
            </w:r>
          </w:p>
        </w:tc>
        <w:tc>
          <w:tcPr>
            <w:vAlign w:val="center"/>
          </w:tcPr>
          <w:p>
            <w:pPr>
              <w:jc w:val="center"/>
            </w:pPr>
            <w:r>
              <w:rPr>
                <w:color w:val="000000"/>
                <w:kern w:val="0"/>
                <w:sz w:val="24"/>
              </w:rPr>
              <w:t>601288</w:t>
            </w:r>
          </w:p>
        </w:tc>
        <w:tc>
          <w:tcPr>
            <w:vAlign w:val="center"/>
          </w:tcPr>
          <w:p>
            <w:pPr>
              <w:jc w:val="center"/>
            </w:pPr>
            <w:r>
              <w:rPr>
                <w:color w:val="000000"/>
                <w:kern w:val="0"/>
                <w:sz w:val="24"/>
              </w:rPr>
              <w:t>农业银行</w:t>
            </w:r>
          </w:p>
        </w:tc>
        <w:tc>
          <w:tcPr>
            <w:vAlign w:val="center"/>
          </w:tcPr>
          <w:p>
            <w:pPr>
              <w:jc w:val="right"/>
            </w:pPr>
            <w:r>
              <w:rPr>
                <w:color w:val="000000"/>
                <w:kern w:val="0"/>
                <w:sz w:val="24"/>
              </w:rPr>
              <w:t>3,480,624</w:t>
            </w:r>
          </w:p>
        </w:tc>
        <w:tc>
          <w:tcPr>
            <w:vAlign w:val="center"/>
          </w:tcPr>
          <w:p>
            <w:pPr>
              <w:jc w:val="right"/>
            </w:pPr>
            <w:r>
              <w:rPr>
                <w:color w:val="000000"/>
                <w:kern w:val="0"/>
                <w:sz w:val="24"/>
              </w:rPr>
              <w:t>11,764,509.12</w:t>
            </w:r>
          </w:p>
        </w:tc>
        <w:tc>
          <w:tcPr>
            <w:vAlign w:val="center"/>
          </w:tcPr>
          <w:p>
            <w:pPr>
              <w:jc w:val="right"/>
            </w:pPr>
            <w:r>
              <w:rPr>
                <w:color w:val="000000"/>
                <w:kern w:val="0"/>
                <w:sz w:val="24"/>
              </w:rPr>
              <w:t>4.49</w:t>
            </w:r>
          </w:p>
        </w:tc>
      </w:tr>
      <w:tr>
        <w:tc>
          <w:tcPr>
            <w:vAlign w:val="center"/>
          </w:tcPr>
          <w:p>
            <w:pPr>
              <w:jc w:val="center"/>
            </w:pPr>
            <w:r>
              <w:rPr>
                <w:color w:val="000000"/>
                <w:kern w:val="0"/>
                <w:sz w:val="24"/>
              </w:rPr>
              <w:t>9</w:t>
            </w:r>
          </w:p>
        </w:tc>
        <w:tc>
          <w:tcPr>
            <w:vAlign w:val="center"/>
          </w:tcPr>
          <w:p>
            <w:pPr>
              <w:jc w:val="center"/>
            </w:pPr>
            <w:r>
              <w:rPr>
                <w:color w:val="000000"/>
                <w:kern w:val="0"/>
                <w:sz w:val="24"/>
              </w:rPr>
              <w:t>601229</w:t>
            </w:r>
          </w:p>
        </w:tc>
        <w:tc>
          <w:tcPr>
            <w:vAlign w:val="center"/>
          </w:tcPr>
          <w:p>
            <w:pPr>
              <w:jc w:val="center"/>
            </w:pPr>
            <w:r>
              <w:rPr>
                <w:color w:val="000000"/>
                <w:kern w:val="0"/>
                <w:sz w:val="24"/>
              </w:rPr>
              <w:t>上海银行</w:t>
            </w:r>
          </w:p>
        </w:tc>
        <w:tc>
          <w:tcPr>
            <w:vAlign w:val="center"/>
          </w:tcPr>
          <w:p>
            <w:pPr>
              <w:jc w:val="right"/>
            </w:pPr>
            <w:r>
              <w:rPr>
                <w:color w:val="000000"/>
                <w:kern w:val="0"/>
                <w:sz w:val="24"/>
              </w:rPr>
              <w:t>1,204,710</w:t>
            </w:r>
          </w:p>
        </w:tc>
        <w:tc>
          <w:tcPr>
            <w:vAlign w:val="center"/>
          </w:tcPr>
          <w:p>
            <w:pPr>
              <w:jc w:val="right"/>
            </w:pPr>
            <w:r>
              <w:rPr>
                <w:color w:val="000000"/>
                <w:kern w:val="0"/>
                <w:sz w:val="24"/>
              </w:rPr>
              <w:t>9,999,093.00</w:t>
            </w:r>
          </w:p>
        </w:tc>
        <w:tc>
          <w:tcPr>
            <w:vAlign w:val="center"/>
          </w:tcPr>
          <w:p>
            <w:pPr>
              <w:jc w:val="right"/>
            </w:pPr>
            <w:r>
              <w:rPr>
                <w:color w:val="000000"/>
                <w:kern w:val="0"/>
                <w:sz w:val="24"/>
              </w:rPr>
              <w:t>3.82</w:t>
            </w:r>
          </w:p>
        </w:tc>
      </w:tr>
      <w:tr>
        <w:tc>
          <w:tcPr>
            <w:vAlign w:val="center"/>
          </w:tcPr>
          <w:p>
            <w:pPr>
              <w:jc w:val="center"/>
            </w:pPr>
            <w:r>
              <w:rPr>
                <w:color w:val="000000"/>
                <w:kern w:val="0"/>
                <w:sz w:val="24"/>
              </w:rPr>
              <w:t>10</w:t>
            </w:r>
          </w:p>
        </w:tc>
        <w:tc>
          <w:tcPr>
            <w:vAlign w:val="center"/>
          </w:tcPr>
          <w:p>
            <w:pPr>
              <w:jc w:val="center"/>
            </w:pPr>
            <w:r>
              <w:rPr>
                <w:color w:val="000000"/>
                <w:kern w:val="0"/>
                <w:sz w:val="24"/>
              </w:rPr>
              <w:t>002142</w:t>
            </w:r>
          </w:p>
        </w:tc>
        <w:tc>
          <w:tcPr>
            <w:vAlign w:val="center"/>
          </w:tcPr>
          <w:p>
            <w:pPr>
              <w:jc w:val="center"/>
            </w:pPr>
            <w:r>
              <w:rPr>
                <w:color w:val="000000"/>
                <w:kern w:val="0"/>
                <w:sz w:val="24"/>
              </w:rPr>
              <w:t>宁波银行</w:t>
            </w:r>
          </w:p>
        </w:tc>
        <w:tc>
          <w:tcPr>
            <w:vAlign w:val="center"/>
          </w:tcPr>
          <w:p>
            <w:pPr>
              <w:jc w:val="right"/>
            </w:pPr>
            <w:r>
              <w:rPr>
                <w:color w:val="000000"/>
                <w:kern w:val="0"/>
                <w:sz w:val="24"/>
              </w:rPr>
              <w:t>363,967</w:t>
            </w:r>
          </w:p>
        </w:tc>
        <w:tc>
          <w:tcPr>
            <w:vAlign w:val="center"/>
          </w:tcPr>
          <w:p>
            <w:pPr>
              <w:jc w:val="right"/>
            </w:pPr>
            <w:r>
              <w:rPr>
                <w:color w:val="000000"/>
                <w:kern w:val="0"/>
                <w:sz w:val="24"/>
              </w:rPr>
              <w:t>9,561,413.09</w:t>
            </w:r>
          </w:p>
        </w:tc>
        <w:tc>
          <w:tcPr>
            <w:vAlign w:val="center"/>
          </w:tcPr>
          <w:p>
            <w:pPr>
              <w:jc w:val="right"/>
            </w:pPr>
            <w:r>
              <w:rPr>
                <w:color w:val="000000"/>
                <w:kern w:val="0"/>
                <w:sz w:val="24"/>
              </w:rPr>
              <w:t>3.65</w:t>
            </w:r>
          </w:p>
        </w:tc>
      </w:tr>
    </w:tbl>
    <w:p w:rsidP="00653BAC" w:rsidR="00653BAC" w:rsidRDefault="001C36D8" w:rsidRPr="00653BAC">
      <w:pPr>
        <w:autoSpaceDE w:val="0"/>
        <w:autoSpaceDN w:val="0"/>
        <w:adjustRightInd w:val="0"/>
        <w:spacing w:line="360" w:lineRule="auto"/>
        <w:jc w:val="left"/>
        <w:rPr>
          <w:rFonts w:eastAsiaTheme="minorEastAsia"/>
          <w:b/>
          <w:color w:themeColor="text1" w:val="000000"/>
          <w:kern w:val="0"/>
          <w:sz w:val="24"/>
        </w:rPr>
      </w:pPr>
      <w:r w:rsidRPr="00272E0C">
        <w:rPr>
          <w:rFonts w:ascii="宋体" w:cs="Arial" w:hAnsi="宋体"/>
          <w:b/>
          <w:color w:val="000000"/>
          <w:kern w:val="0"/>
          <w:sz w:val="24"/>
        </w:rPr>
        <w:t xml:space="preserve">5.4 </w:t>
      </w:r>
      <w:r w:rsidRPr="00272E0C">
        <w:rPr>
          <w:rFonts w:ascii="宋体" w:cs="Arial" w:hAnsi="宋体" w:hint="eastAsia"/>
          <w:b/>
          <w:color w:val="000000"/>
          <w:kern w:val="0"/>
          <w:sz w:val="24"/>
        </w:rPr>
        <w:t>报告期末按债券品种分类的债券投资组合</w:t>
      </w:r>
    </w:p>
    <w:p w:rsidP="00653BAC" w:rsidR="001C36D8" w:rsidRDefault="00653BAC" w:rsidRPr="00653BAC">
      <w:pPr>
        <w:spacing w:line="360" w:lineRule="auto"/>
        <w:ind w:firstLine="480" w:firstLineChars="200"/>
        <w:rPr>
          <w:color w:val="000000"/>
          <w:sz w:val="24"/>
        </w:rPr>
      </w:pPr>
      <w:r w:rsidRPr="00653BAC">
        <w:rPr>
          <w:color w:val="000000"/>
          <w:sz w:val="24"/>
        </w:rPr>
        <w:t/>
      </w:r>
      <w:proofErr w:type="spellStart"/>
      <w:r w:rsidRPr="00653BAC">
        <w:rPr>
          <w:color w:val="000000"/>
          <w:sz w:val="24"/>
        </w:rPr>
        <w:t/>
      </w:r>
      <w:proofErr w:type="spellEnd"/>
      <w:r w:rsidRPr="00653BAC">
        <w:rPr>
          <w:color w:val="000000"/>
          <w:sz w:val="24"/>
        </w:rPr>
        <w:t/>
      </w:r>
      <w:proofErr w:type="spellStart"/>
      <w:r w:rsidRPr="00653BAC">
        <w:rPr>
          <w:color w:val="000000"/>
          <w:sz w:val="24"/>
        </w:rPr>
        <w:t/>
      </w:r>
      <w:proofErr w:type="spellEnd"/>
      <w:r w:rsidRPr="00653BAC">
        <w:rPr>
          <w:color w:val="000000"/>
          <w:sz w:val="24"/>
        </w:rPr>
        <w:t>本基金本报告期末未持有债券。</w:t>
      </w:r>
    </w:p>
    <w:p w:rsidP="00576862"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 xml:space="preserve">5.5 </w:t>
      </w:r>
      <w:r w:rsidRPr="00272E0C">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272E0C">
        <w:rPr>
          <w:rFonts w:ascii="宋体" w:cs="Arial" w:hAnsi="宋体" w:hint="eastAsia"/>
          <w:b/>
          <w:color w:val="000000"/>
          <w:kern w:val="0"/>
          <w:sz w:val="24"/>
        </w:rPr>
        <w:t>的前五名债券投资明细</w:t>
      </w:r>
    </w:p>
    <w:p w:rsidP="005B1E0B" w:rsidR="001C36D8" w:rsidRDefault="001C36D8" w:rsidRPr="005B1E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
      </w:r>
      <w:proofErr w:type="spellStart"/>
      <w:r w:rsidRPr="003D22BD">
        <w:rPr>
          <w:color w:val="000000"/>
          <w:sz w:val="24"/>
        </w:rPr>
        <w:t/>
      </w:r>
      <w:r w:rsidRPr="003D22BD">
        <w:rPr>
          <w:color w:val="000000"/>
          <w:sz w:val="24"/>
        </w:rPr>
        <w:lastRenderedPageBreak/>
        <w:t/>
      </w:r>
      <w:proofErr w:type="spellEnd"/>
      <w:r w:rsidRPr="003D22BD">
        <w:rPr>
          <w:color w:val="000000"/>
          <w:sz w:val="24"/>
        </w:rPr>
        <w:t>本基金本报告期末未持有债券。</w:t>
      </w:r>
    </w:p>
    <w:p w:rsidP="00576862"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5.6</w:t>
      </w:r>
      <w:r w:rsidRPr="00272E0C">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272E0C">
        <w:rPr>
          <w:rFonts w:ascii="宋体" w:cs="Arial" w:hAnsi="宋体" w:hint="eastAsia"/>
          <w:b/>
          <w:color w:val="000000"/>
          <w:kern w:val="0"/>
          <w:sz w:val="24"/>
        </w:rPr>
        <w:t>的前十名资产支持证券投资明细</w:t>
      </w:r>
    </w:p>
    <w:p w:rsidP="005B1E0B" w:rsidR="001C36D8" w:rsidRDefault="001C36D8" w:rsidRPr="005B1E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
      </w:r>
      <w:proofErr w:type="spellStart"/>
      <w:r w:rsidRPr="003D22BD">
        <w:rPr>
          <w:color w:val="000000"/>
          <w:sz w:val="24"/>
        </w:rPr>
        <w:t/>
      </w:r>
      <w:proofErr w:type="spellEnd"/>
      <w:r w:rsidRPr="003D22BD">
        <w:rPr>
          <w:color w:val="000000"/>
          <w:sz w:val="24"/>
        </w:rPr>
        <w:t>本基金本报告期末未持有资产支持证券。</w:t>
      </w:r>
    </w:p>
    <w:p w:rsidP="001C123E" w:rsidR="001C36D8" w:rsidRDefault="001C36D8" w:rsidRPr="001D63BB">
      <w:pPr>
        <w:autoSpaceDE w:val="0"/>
        <w:autoSpaceDN w:val="0"/>
        <w:adjustRightInd w:val="0"/>
        <w:spacing w:line="360" w:lineRule="auto"/>
        <w:jc w:val="left"/>
        <w:rPr>
          <w:rFonts w:ascii="宋体"/>
          <w:b/>
          <w:bCs/>
          <w:color w:val="000000"/>
          <w:kern w:val="0"/>
          <w:sz w:val="24"/>
        </w:rPr>
      </w:pPr>
      <w:r w:rsidRPr="001B0A62">
        <w:rPr>
          <w:rFonts w:ascii="宋体"/>
          <w:b/>
          <w:bCs/>
          <w:color w:val="000000"/>
          <w:kern w:val="0"/>
          <w:sz w:val="24"/>
        </w:rPr>
        <w:t/>
      </w:r>
      <w:r w:rsidRPr="001B0A62">
        <w:rPr>
          <w:rFonts w:ascii="宋体" w:hAnsi="宋体"/>
          <w:b/>
          <w:bCs/>
          <w:color w:val="000000"/>
          <w:kern w:val="0"/>
          <w:sz w:val="24"/>
        </w:rPr>
        <w:t>5.</w:t>
      </w:r>
      <w:r>
        <w:rPr>
          <w:rFonts w:ascii="宋体" w:hAnsi="宋体"/>
          <w:b/>
          <w:bCs/>
          <w:color w:val="000000"/>
          <w:kern w:val="0"/>
          <w:sz w:val="24"/>
        </w:rPr>
        <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P="005B1E0B" w:rsidR="001C36D8" w:rsidRDefault="001C36D8" w:rsidRPr="005B1E0B">
      <w:pPr>
        <w:spacing w:line="360" w:lineRule="auto"/>
        <w:ind w:firstLine="480" w:firstLineChars="200"/>
        <w:rPr>
          <w:color w:val="000000"/>
          <w:sz w:val="24"/>
        </w:rPr>
      </w:pPr>
      <w:r w:rsidRPr="003D22BD">
        <w:rPr>
          <w:color w:val="000000"/>
          <w:sz w:val="24"/>
        </w:rPr>
        <w:lastRenderedPageBreak/>
        <w:t/>
      </w:r>
      <w:proofErr w:type="spellStart"/>
      <w:r w:rsidRPr="003D22BD">
        <w:rPr>
          <w:color w:val="000000"/>
          <w:sz w:val="24"/>
        </w:rPr>
        <w:t/>
      </w:r>
      <w:proofErr w:type="spellEnd"/>
      <w:r w:rsidRPr="003D22BD">
        <w:rPr>
          <w:color w:val="000000"/>
          <w:sz w:val="24"/>
        </w:rPr>
        <w:t/>
      </w:r>
      <w:proofErr w:type="spellStart"/>
      <w:r w:rsidRPr="003D22BD">
        <w:rPr>
          <w:color w:val="000000"/>
          <w:sz w:val="24"/>
        </w:rPr>
        <w:t/>
      </w:r>
      <w:proofErr w:type="spellEnd"/>
      <w:r w:rsidRPr="003D22BD">
        <w:rPr>
          <w:color w:val="000000"/>
          <w:sz w:val="24"/>
        </w:rPr>
        <w:t>本基金本报告期末未持有贵金属。</w:t>
      </w:r>
    </w:p>
    <w:p w:rsidP="00576862" w:rsidR="001C36D8" w:rsidRDefault="001C36D8" w:rsidRPr="00272E0C">
      <w:pPr>
        <w:autoSpaceDE w:val="0"/>
        <w:autoSpaceDN w:val="0"/>
        <w:adjustRightInd w:val="0"/>
        <w:spacing w:line="360" w:lineRule="auto"/>
        <w:jc w:val="left"/>
        <w:rPr>
          <w:rFonts w:ascii="宋体" w:cs="Arial"/>
          <w:b/>
          <w:color w:val="000000"/>
          <w:kern w:val="0"/>
          <w:sz w:val="24"/>
        </w:rPr>
      </w:pPr>
      <w:r>
        <w:rPr>
          <w:rFonts w:ascii="宋体"/>
          <w:b/>
          <w:bCs/>
          <w:color w:val="000000"/>
          <w:kern w:val="0"/>
          <w:sz w:val="24"/>
        </w:rPr>
        <w:t/>
      </w:r>
      <w:r>
        <w:rPr>
          <w:rFonts w:ascii="宋体" w:hAnsi="宋体"/>
          <w:b/>
          <w:bCs/>
          <w:color w:val="000000"/>
          <w:kern w:val="0"/>
          <w:sz w:val="24"/>
        </w:rPr>
        <w:t/>
      </w:r>
      <w:r w:rsidRPr="001B0A62">
        <w:rPr>
          <w:rFonts w:ascii="宋体"/>
          <w:b/>
          <w:bCs/>
          <w:color w:val="000000"/>
          <w:kern w:val="0"/>
          <w:sz w:val="24"/>
        </w:rPr>
        <w:t>5.</w:t>
      </w:r>
      <w:r w:rsidRPr="001B0A62">
        <w:rPr>
          <w:rFonts w:ascii="宋体" w:hAnsi="宋体"/>
          <w:b/>
          <w:bCs/>
          <w:color w:val="000000"/>
          <w:kern w:val="0"/>
          <w:sz w:val="24"/>
        </w:rPr>
        <w:t/>
      </w:r>
      <w:r>
        <w:rPr>
          <w:rFonts w:ascii="宋体" w:hAnsi="宋体"/>
          <w:b/>
          <w:bCs/>
          <w:color w:val="000000"/>
          <w:kern w:val="0"/>
          <w:sz w:val="24"/>
        </w:rPr>
        <w:t/>
      </w:r>
      <w:r w:rsidRPr="001B0A62">
        <w:rPr>
          <w:rFonts w:ascii="宋体"/>
          <w:b/>
          <w:bCs/>
          <w:color w:val="000000"/>
          <w:kern w:val="0"/>
          <w:sz w:val="24"/>
        </w:rPr>
        <w:t>8</w:t>
      </w:r>
      <w:r w:rsidRPr="00272E0C">
        <w:rPr>
          <w:rFonts w:ascii="宋体" w:hAnsi="宋体" w:hint="eastAsia"/>
          <w:b/>
          <w:bCs/>
          <w:color w:val="000000"/>
          <w:sz w:val="24"/>
        </w:rPr>
        <w:t>报告期末按公允价值占基金资产净值比例大小排</w:t>
      </w:r>
      <w:r>
        <w:rPr>
          <w:rFonts w:ascii="宋体" w:hAnsi="宋体" w:hint="eastAsia"/>
          <w:b/>
          <w:bCs/>
          <w:color w:val="000000"/>
          <w:sz w:val="24"/>
        </w:rPr>
        <w:t>序</w:t>
      </w:r>
      <w:r w:rsidRPr="00272E0C">
        <w:rPr>
          <w:rFonts w:ascii="宋体" w:hAnsi="宋体" w:hint="eastAsia"/>
          <w:b/>
          <w:bCs/>
          <w:color w:val="000000"/>
          <w:sz w:val="24"/>
        </w:rPr>
        <w:t>的前五名权证投资明细</w:t>
      </w:r>
    </w:p>
    <w:p w:rsidP="005B1E0B" w:rsidR="001C36D8" w:rsidRDefault="001C36D8" w:rsidRPr="005B1E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
      </w:r>
      <w:proofErr w:type="spellStart"/>
      <w:r w:rsidRPr="003D22BD">
        <w:rPr>
          <w:color w:val="000000"/>
          <w:sz w:val="24"/>
        </w:rPr>
        <w:t/>
      </w:r>
      <w:proofErr w:type="spellEnd"/>
      <w:r w:rsidRPr="003D22BD">
        <w:rPr>
          <w:color w:val="000000"/>
          <w:sz w:val="24"/>
        </w:rPr>
        <w:t>本基金本报告期末未持有权证。</w:t>
      </w:r>
    </w:p>
    <w:p w:rsidP="00E57068" w:rsidR="001C36D8" w:rsidRDefault="00B55281"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sidRPr="00E85E29">
        <w:rPr>
          <w:rFonts w:ascii="宋体" w:hAnsi="宋体"/>
          <w:b/>
          <w:sz w:val="24"/>
        </w:rPr>
        <w:t/>
      </w:r>
      <w:r w:rsidR="001C36D8">
        <w:rPr>
          <w:rFonts w:ascii="宋体"/>
          <w:b/>
          <w:bCs/>
          <w:color w:val="000000"/>
          <w:kern w:val="0"/>
          <w:sz w:val="24"/>
        </w:rPr>
        <w:t/>
      </w:r>
      <w:r w:rsidR="001C36D8">
        <w:rPr>
          <w:rFonts w:ascii="宋体" w:hAnsi="宋体"/>
          <w:b/>
          <w:bCs/>
          <w:color w:val="000000"/>
          <w:kern w:val="0"/>
          <w:sz w:val="24"/>
        </w:rPr>
        <w:t/>
      </w:r>
      <w:r w:rsidR="001C36D8" w:rsidRPr="001B0A62">
        <w:rPr>
          <w:rFonts w:ascii="宋体"/>
          <w:b/>
          <w:bCs/>
          <w:color w:val="000000"/>
          <w:kern w:val="0"/>
          <w:sz w:val="24"/>
        </w:rPr>
        <w:t>5.</w:t>
      </w:r>
      <w:r w:rsidR="001C36D8" w:rsidRPr="001B0A62">
        <w:rPr>
          <w:rFonts w:ascii="宋体" w:hAnsi="宋体"/>
          <w:b/>
          <w:bCs/>
          <w:color w:val="000000"/>
          <w:kern w:val="0"/>
          <w:sz w:val="24"/>
        </w:rPr>
        <w:t/>
      </w:r>
      <w:r w:rsidR="001C36D8">
        <w:rPr>
          <w:rFonts w:ascii="宋体" w:hAnsi="宋体"/>
          <w:b/>
          <w:bCs/>
          <w:color w:val="000000"/>
          <w:kern w:val="0"/>
          <w:sz w:val="24"/>
        </w:rPr>
        <w:t/>
      </w:r>
      <w:r w:rsidR="001C36D8" w:rsidRPr="001B0A62">
        <w:rPr>
          <w:rFonts w:ascii="宋体"/>
          <w:b/>
          <w:bCs/>
          <w:color w:val="000000"/>
          <w:kern w:val="0"/>
          <w:sz w:val="24"/>
        </w:rPr>
        <w:t>9</w:t>
      </w:r>
      <w:r w:rsidR="001C36D8" w:rsidRPr="00E85E29">
        <w:rPr>
          <w:rFonts w:ascii="宋体" w:hAnsi="宋体" w:hint="eastAsia"/>
          <w:b/>
          <w:sz w:val="24"/>
        </w:rPr>
        <w:t>报告期末本基金投资的股指期货交易情况说明</w:t>
      </w:r>
    </w:p>
    <w:p w:rsidP="003B3D0C" w:rsidR="003B3D0C" w:rsidRDefault="003B3D0C">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576862" w:rsidR="001C36D8" w:rsidRDefault="00B55281" w:rsidRPr="00272E0C">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sidRPr="00E85E29">
        <w:rPr>
          <w:rFonts w:ascii="宋体" w:hAnsi="宋体"/>
          <w:b/>
          <w:sz w:val="24"/>
        </w:rPr>
        <w:t/>
      </w:r>
      <w:r w:rsidR="001C36D8">
        <w:rPr>
          <w:rFonts w:ascii="宋体"/>
          <w:b/>
          <w:sz w:val="24"/>
        </w:rPr>
        <w:t/>
      </w:r>
      <w:r w:rsidR="001C36D8">
        <w:rPr>
          <w:rFonts w:ascii="宋体" w:hAnsi="宋体"/>
          <w:b/>
          <w:sz w:val="24"/>
        </w:rPr>
        <w:t>5</w:t>
      </w:r>
      <w:r w:rsidR="001C36D8" w:rsidRPr="00272E0C">
        <w:rPr>
          <w:rFonts w:ascii="宋体"/>
          <w:b/>
          <w:sz w:val="24"/>
        </w:rPr>
        <w:t>.</w:t>
      </w:r>
      <w:r w:rsidR="001C36D8">
        <w:rPr>
          <w:rFonts w:ascii="宋体"/>
          <w:b/>
          <w:sz w:val="24"/>
        </w:rPr>
        <w:t/>
      </w:r>
      <w:r w:rsidR="001C36D8">
        <w:rPr>
          <w:rFonts w:ascii="宋体" w:hAnsi="宋体"/>
          <w:b/>
          <w:sz w:val="24"/>
        </w:rPr>
        <w:t>10</w:t>
      </w:r>
      <w:r w:rsidR="001C36D8" w:rsidRPr="00272E0C">
        <w:rPr>
          <w:rFonts w:ascii="宋体" w:hAnsi="宋体" w:hint="eastAsia"/>
          <w:b/>
          <w:sz w:val="24"/>
        </w:rPr>
        <w:t>报告期末本基金投资的国债期货交易情况说明</w:t>
      </w:r>
    </w:p>
    <w:p w:rsidP="000C44BD" w:rsidR="000C44BD" w:rsidRDefault="000C44BD">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576862" w:rsidR="001C36D8" w:rsidRDefault="001C36D8" w:rsidRPr="00272E0C">
      <w:pPr>
        <w:autoSpaceDE w:val="0"/>
        <w:autoSpaceDN w:val="0"/>
        <w:adjustRightInd w:val="0"/>
        <w:spacing w:line="360" w:lineRule="auto"/>
        <w:jc w:val="left"/>
        <w:rPr>
          <w:rFonts w:ascii="宋体" w:cs="Arial"/>
          <w:b/>
          <w:color w:val="000000"/>
          <w:kern w:val="0"/>
          <w:sz w:val="24"/>
        </w:rPr>
      </w:pPr>
      <w:r>
        <w:rPr>
          <w:rFonts w:ascii="宋体" w:cs="Arial"/>
          <w:b/>
          <w:color w:val="000000"/>
          <w:kern w:val="0"/>
          <w:sz w:val="24"/>
        </w:rPr>
        <w:t/>
      </w:r>
      <w:r>
        <w:rPr>
          <w:rFonts w:ascii="宋体" w:cs="Arial" w:hAnsi="宋体"/>
          <w:b/>
          <w:color w:val="000000"/>
          <w:kern w:val="0"/>
          <w:sz w:val="24"/>
        </w:rPr>
        <w:t>5</w:t>
      </w:r>
      <w:r w:rsidRPr="00272E0C">
        <w:rPr>
          <w:rFonts w:ascii="宋体" w:cs="Arial"/>
          <w:b/>
          <w:color w:val="000000"/>
          <w:kern w:val="0"/>
          <w:sz w:val="24"/>
        </w:rPr>
        <w:t>.</w:t>
      </w:r>
      <w:r>
        <w:rPr>
          <w:rFonts w:ascii="宋体" w:cs="Arial"/>
          <w:b/>
          <w:color w:val="000000"/>
          <w:kern w:val="0"/>
          <w:sz w:val="24"/>
        </w:rPr>
        <w:t/>
      </w:r>
      <w:r>
        <w:rPr>
          <w:rFonts w:ascii="宋体" w:cs="Arial" w:hAnsi="宋体"/>
          <w:b/>
          <w:color w:val="000000"/>
          <w:kern w:val="0"/>
          <w:sz w:val="24"/>
        </w:rPr>
        <w:t>11</w:t>
      </w:r>
      <w:r w:rsidRPr="00272E0C">
        <w:rPr>
          <w:rFonts w:ascii="宋体" w:cs="Arial" w:hAnsi="宋体" w:hint="eastAsia"/>
          <w:b/>
          <w:color w:val="000000"/>
          <w:kern w:val="0"/>
          <w:sz w:val="24"/>
        </w:rPr>
        <w:t>投资组合报告附注</w:t>
      </w:r>
    </w:p>
    <w:p w:rsidP="00576862" w:rsidR="001C36D8" w:rsidRDefault="00B60FD1" w:rsidRPr="005B1E0B">
      <w:pPr>
        <w:spacing w:line="360" w:lineRule="auto"/>
        <w:rPr>
          <w:color w:val="000000"/>
          <w:kern w:val="0"/>
          <w:sz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1C36D8" w:rsidRPr="001C123E">
        <w:rPr>
          <w:rFonts w:ascii="宋体"/>
          <w:bCs/>
          <w:color w:val="000000"/>
          <w:kern w:val="0"/>
          <w:sz w:val="24"/>
        </w:rPr>
        <w:t/>
      </w:r>
      <w:r w:rsidR="001C36D8" w:rsidRPr="001C123E">
        <w:rPr>
          <w:rFonts w:ascii="宋体" w:hAnsi="宋体"/>
          <w:bCs/>
          <w:color w:val="000000"/>
          <w:kern w:val="0"/>
          <w:sz w:val="24"/>
        </w:rPr>
        <w:t>5.11.1</w:t>
      </w:r>
      <w:r w:rsidR="00D8121C">
        <w:rPr>
          <w:rFonts w:ascii="宋体" w:hAnsi="宋体" w:hint="eastAsia"/>
          <w:bCs/>
          <w:color w:val="000000"/>
          <w:kern w:val="0"/>
          <w:sz w:val="24"/>
        </w:rPr>
        <w:t xml:space="preserve"> </w:t>
      </w:r>
      <w:r w:rsidR="001C36D8" w:rsidRPr="005B1E0B">
        <w:rPr>
          <w:color w:val="000000"/>
          <w:kern w:val="0"/>
          <w:sz w:val="24"/>
        </w:rPr>
        <w:t>2019年7月25日，中国银行保险监督管理委员会上海监管局对交通银行股份有限公司太平洋信用卡中心的如下违法违规行为作出“处以责令改正，并处罚款40万元”的行政处罚决定：2017年6月至10月期间在办理部分客户信用卡业务时未遵守总授信额度管理制度。</w:t>
      </w:r>
    </w:p>
    <w:p>
      <w:pPr>
        <w:spacing w:line="360" w:lineRule="auto"/>
        <w:rPr>
          <w:color w:val="000000"/>
          <w:kern w:val="0"/>
          <w:sz w:val="24"/>
        </w:rPr>
      </w:pPr>
      <w:r>
        <w:rPr>
          <w:color w:val="000000"/>
          <w:kern w:val="0"/>
          <w:sz w:val="24"/>
        </w:rPr>
        <w:t>2019年12月27日，中国银行保险监督管理委员会对交通银行股份有限公司如下违法违规行为作出“罚款150万元”的行政处罚：1、授信审批不审慎；2、总行对分支机构管控不力承担管理责任。</w:t>
      </w:r>
    </w:p>
    <w:p>
      <w:pPr>
        <w:spacing w:line="360" w:lineRule="auto"/>
        <w:rPr>
          <w:color w:val="000000"/>
          <w:kern w:val="0"/>
          <w:sz w:val="24"/>
        </w:rPr>
      </w:pPr>
      <w:r>
        <w:rPr>
          <w:color w:val="000000"/>
          <w:kern w:val="0"/>
          <w:sz w:val="24"/>
        </w:rPr>
        <w:t>2020年4月20日，中国银行保险监督管理委员会针对交通银行股份有限公司监管标准化数据（EAST）系统数据质量及数据报送存在以下违法违规行为：1、理财产品数量漏报；2、资金交易信息漏报严重；3、贸易融资业务漏报；4、信贷业务担保合同漏报；5、分户账明细记录应报未报；6、分户账账户数据应报未报；7、关键且应报字段漏报或填报错误，处以责令改正，并处罚款260万元的行政处罚。</w:t>
      </w:r>
    </w:p>
    <w:p>
      <w:pPr>
        <w:spacing w:line="360" w:lineRule="auto"/>
        <w:rPr>
          <w:color w:val="000000"/>
          <w:kern w:val="0"/>
          <w:sz w:val="24"/>
        </w:rPr>
      </w:pPr>
      <w:r>
        <w:rPr>
          <w:color w:val="000000"/>
          <w:kern w:val="0"/>
          <w:sz w:val="24"/>
        </w:rPr>
        <w:t>2019年12月14日，中国银行保险监督管理委员会北京监管局对中国民生银行股份有限公司如下违法违规行为作出“责令改正，并给予合计700万元罚款的行政处罚”的决定：1、总行同业票据业务管理失控；2、总行违反内控指引要求计量转贴现卖断业务信用风险加权资产；3、总行案件风险信息报送管理不到位；4、总行未有效管理承兑业务；5、总行办理无真实贸易背景承兑业务；6、总行承兑业务质押资金来源为本行贷款；7、银川分行为已注销法人公司办理票据贴现业务；8、杭州分行为票据中介办理票据贴现业务；9、上海自贸区分行为票据中介办理票据贴现业务；10、福州分行、苏州分行、郑州分行转贴现卖断业务担保情况数据严重失实。</w:t>
      </w:r>
    </w:p>
    <w:p>
      <w:pPr>
        <w:spacing w:line="360" w:lineRule="auto"/>
        <w:rPr>
          <w:color w:val="000000"/>
          <w:kern w:val="0"/>
          <w:sz w:val="24"/>
        </w:rPr>
      </w:pPr>
      <w:r>
        <w:rPr>
          <w:color w:val="000000"/>
          <w:kern w:val="0"/>
          <w:sz w:val="24"/>
        </w:rPr>
        <w:t>2020年2月10日，中国人民银行对中国民生银行股份有限公司的如下违法违规行为作出“罚款2360万元”的行政处罚决定：1.未按规定履行客户身份识别义务；2.未按规定保存客户身份资料和交易记录；3.未按规定报送大额交易报告和可疑交易报告；4.与身份不明的客户进行交易。</w:t>
      </w:r>
    </w:p>
    <w:p>
      <w:pPr>
        <w:spacing w:line="360" w:lineRule="auto"/>
        <w:rPr>
          <w:color w:val="000000"/>
          <w:kern w:val="0"/>
          <w:sz w:val="24"/>
        </w:rPr>
      </w:pPr>
      <w:r>
        <w:rPr>
          <w:color w:val="000000"/>
          <w:kern w:val="0"/>
          <w:sz w:val="24"/>
        </w:rPr>
        <w:t>2019年12月5日，宁波银保监局对宁波银行作出“罚款人民币40万元，并责令该行对相关直接责任人给予纪律处分”的行政处罚。违法违规事由：设立时点性规模考核指标，股权质押管理不合规。</w:t>
      </w:r>
    </w:p>
    <w:p>
      <w:pPr>
        <w:spacing w:line="360" w:lineRule="auto"/>
        <w:rPr>
          <w:color w:val="000000"/>
          <w:kern w:val="0"/>
          <w:sz w:val="24"/>
        </w:rPr>
      </w:pPr>
      <w:r>
        <w:rPr>
          <w:color w:val="000000"/>
          <w:kern w:val="0"/>
          <w:sz w:val="24"/>
        </w:rPr>
        <w:t>2019年7月25日，中国银行保险监督管理委员会上海监管局针对中国农业银行股份有限公司信用卡中心2017年5月至2018年6月在办理部分客户信用卡业务时未遵守总授信额度管理制度的违法违规事实，责令改正，并处罚款20万元。</w:t>
      </w:r>
    </w:p>
    <w:p>
      <w:pPr>
        <w:spacing w:line="360" w:lineRule="auto"/>
        <w:rPr>
          <w:color w:val="000000"/>
          <w:kern w:val="0"/>
          <w:sz w:val="24"/>
        </w:rPr>
      </w:pPr>
      <w:r>
        <w:rPr>
          <w:color w:val="000000"/>
          <w:kern w:val="0"/>
          <w:sz w:val="24"/>
        </w:rPr>
        <w:t>2020年1月19日，国家税务总局北京市海淀区税务局对中国农业银行股份有限公司未按照规定期限办理纳税申报和报送纳税资料的违法违规事实，作出罚款50万元的行政处罚决定。</w:t>
      </w:r>
    </w:p>
    <w:p>
      <w:pPr>
        <w:spacing w:line="360" w:lineRule="auto"/>
        <w:rPr>
          <w:color w:val="000000"/>
          <w:kern w:val="0"/>
          <w:sz w:val="24"/>
        </w:rPr>
      </w:pPr>
      <w:r>
        <w:rPr>
          <w:color w:val="000000"/>
          <w:kern w:val="0"/>
          <w:sz w:val="24"/>
        </w:rPr>
        <w:t>2020年3月9日，中国银行保险监督管理委员会对中国农业银行股份有限公司的如下违法违规行为作出罚款50万元的行政处罚决定：可回溯制度执行不到位、可回溯基础管理不到位、部分可回溯视频质检结果未反馈给保险公司、可回溯资料不符合监管规定。</w:t>
      </w:r>
    </w:p>
    <w:p>
      <w:pPr>
        <w:spacing w:line="360" w:lineRule="auto"/>
        <w:rPr>
          <w:color w:val="000000"/>
          <w:kern w:val="0"/>
          <w:sz w:val="24"/>
        </w:rPr>
      </w:pPr>
      <w:r>
        <w:rPr>
          <w:color w:val="000000"/>
          <w:kern w:val="0"/>
          <w:sz w:val="24"/>
        </w:rPr>
        <w:t>2020年4月22日，中国银行保险监督管理委员会针对中国农业银行股份有限公司监管标准化数据（EAST）系统数据质量及数据报送存在以下违法违规行为：1、资金交易信息漏报严重；2、信贷资产转让业务漏报；3、贷款融资业务漏报；4、分户账明细记录应报未报；5、分户账账户数据应报未报；6、关键且应报字段漏报或填报错误，处以责令改正，并处罚款230万元的行政处罚。</w:t>
      </w:r>
    </w:p>
    <w:p>
      <w:pPr>
        <w:spacing w:line="360" w:lineRule="auto"/>
        <w:rPr>
          <w:color w:val="000000"/>
          <w:kern w:val="0"/>
          <w:sz w:val="24"/>
        </w:rPr>
      </w:pPr>
      <w:r>
        <w:rPr>
          <w:color w:val="000000"/>
          <w:kern w:val="0"/>
          <w:sz w:val="24"/>
        </w:rPr>
        <w:t>2020年4月22日，中国银行保险监督管理委员会对中国农业银行股份有限公司的如下违法违规行为作出罚款200万元的行政处罚决定：1、“两会一层”境外机构管理履职不到位；2、国别风险管理不满足监管要求；3、信贷资金被挪用作保证金；4、未将集团成员纳入集团客户统一授信管理。</w:t>
      </w:r>
    </w:p>
    <w:p>
      <w:pPr>
        <w:spacing w:line="360" w:lineRule="auto"/>
        <w:rPr>
          <w:color w:val="000000"/>
          <w:kern w:val="0"/>
          <w:sz w:val="24"/>
        </w:rPr>
      </w:pPr>
      <w:r>
        <w:rPr>
          <w:color w:val="000000"/>
          <w:kern w:val="0"/>
          <w:sz w:val="24"/>
        </w:rPr>
        <w:t>2020年4月20日，中国银行保险监督管理委员会针对中国工商银行股份有限公司监管标准化数据（EAST）系统数据质量及数据报送存在以下违法违规行为：1、理财产品数量漏报；2、资金交易信息漏报严重；3、信贷资产转让业务漏报；4、贷款核销业务漏报；5、分户账明细记录应报未报；6、分户账账户数据应报未报；7、委托贷款业务应报未报；8、关键且应报字段漏报或填报错误，处以责令改正，并处罚款270万元的行政处罚。</w:t>
      </w:r>
    </w:p>
    <w:p>
      <w:pPr>
        <w:spacing w:line="360" w:lineRule="auto"/>
        <w:rPr>
          <w:color w:val="000000"/>
          <w:kern w:val="0"/>
          <w:sz w:val="24"/>
        </w:rPr>
      </w:pPr>
      <w:r>
        <w:rPr>
          <w:color w:val="000000"/>
          <w:kern w:val="0"/>
          <w:sz w:val="24"/>
        </w:rPr>
        <w:t>2019年8月12日，中国银行保险监督管理委员会上海监管局针对平安银行股份有限公司资金运营中心2017年末至2018年9月信息科技风险管理严重违反审慎经营规则的违法违规事实，责令改正，并处罚款20万元。</w:t>
      </w:r>
    </w:p>
    <w:p>
      <w:pPr>
        <w:spacing w:line="360" w:lineRule="auto"/>
        <w:rPr>
          <w:color w:val="000000"/>
          <w:kern w:val="0"/>
          <w:sz w:val="24"/>
        </w:rPr>
      </w:pPr>
      <w:r>
        <w:rPr>
          <w:color w:val="000000"/>
          <w:kern w:val="0"/>
          <w:sz w:val="24"/>
        </w:rPr>
        <w:t>2020年1月20日，中国银保监会深圳监管局对平安银行股份有限公司的如下违法违规行为作出罚款720万元的行政处罚决定：1.汽车金融事业部将贷款调查的核心事项委托第三方完成；2.代理保险销售的人员为非商业银行人员；3.汽车消费贷款风险分类结果不能反映真实风险水平；4.个人消费贷款风险分类结果不能反映真实风险水平；5.个人经营性贷款分类结果不能反映真实风险水平；6.汽车消费贷款和汽车抵押贷款贷前调查存在缺失；7.汽车消费及经营贷款审查不到位；8.个人汽车贷款和汽车抵押贷款业务存在同一抵押物重复抵押；9.个别汽车消费贷款和汽车抵押贷款用途管控不力，贷款资金被挪用；10.个人消费贷款及个人经营性贷款用途管控不力，贷款资金被挪用；11.部分个人消费贷款未按要求进行受托支付；12.信用卡现金分期用途管控不力；13.代销产品风险评级结果与合作机构评级结果不一致，未采用较高风险评级的评级结果；14.代销产品底层资产涉及本行非标资产，没有实现代销业务与其他业务的风险隔离；15.“双录”管理审慎性不足，理财销售人员销售话术不当。</w:t>
      </w:r>
    </w:p>
    <w:p>
      <w:pPr>
        <w:spacing w:line="360" w:lineRule="auto"/>
        <w:rPr>
          <w:color w:val="000000"/>
          <w:kern w:val="0"/>
          <w:sz w:val="24"/>
        </w:rPr>
      </w:pPr>
      <w:r>
        <w:rPr>
          <w:color w:val="000000"/>
          <w:kern w:val="0"/>
          <w:sz w:val="24"/>
        </w:rPr>
        <w:t>2019年7月8日，中国银行保险监督管理委员会上海监管局对上海浦东发展银行股份有限公司信用卡中心的如下违法违规行为作出“责令改正，并处罚款30万元”的行政处罚决定：2015年至2018年6月，该中心在为部分客户办理信用卡业务时，对申请人收入核定严重不审慎。</w:t>
      </w:r>
    </w:p>
    <w:p>
      <w:pPr>
        <w:spacing w:line="360" w:lineRule="auto"/>
        <w:rPr>
          <w:color w:val="000000"/>
          <w:kern w:val="0"/>
          <w:sz w:val="24"/>
        </w:rPr>
      </w:pPr>
      <w:r>
        <w:rPr>
          <w:color w:val="000000"/>
          <w:kern w:val="0"/>
          <w:sz w:val="24"/>
        </w:rPr>
        <w:t>2019年12月3日中国银行保险监督管理委员会上海监管局对上海浦东发展银行股份有限公司信用卡中心2019年1月信用卡催收外包管理严重违反审慎经营规则的违法违规事实，作出“责令改正，并处罚款50万元”的行政处罚决定。</w:t>
      </w:r>
    </w:p>
    <w:p>
      <w:pPr>
        <w:spacing w:line="360" w:lineRule="auto"/>
        <w:rPr>
          <w:color w:val="000000"/>
          <w:kern w:val="0"/>
          <w:sz w:val="24"/>
        </w:rPr>
      </w:pPr>
      <w:r>
        <w:rPr>
          <w:color w:val="000000"/>
          <w:kern w:val="0"/>
          <w:sz w:val="24"/>
        </w:rPr>
        <w:t>2019年7月8日，中国银行保险监督管理委员会上海监管局对上海银行股份有限公司信用卡中心的如下违法违规行为作出“责令改正，并处罚款40万元”的行政处罚决定：2017年12月，该中心在为部分客户办理信用卡业务时，未遵守总授信额度管理制度。</w:t>
      </w:r>
    </w:p>
    <w:p>
      <w:pPr>
        <w:spacing w:line="360" w:lineRule="auto"/>
        <w:rPr>
          <w:color w:val="000000"/>
          <w:kern w:val="0"/>
          <w:sz w:val="24"/>
        </w:rPr>
      </w:pPr>
      <w:r>
        <w:rPr>
          <w:color w:val="000000"/>
          <w:kern w:val="0"/>
          <w:sz w:val="24"/>
        </w:rPr>
        <w:t>2019年11月2日，中国人民银行上海分行对上海银行股份有限公司违反支付业务规定的行为，没收违法所得1,762,787.61元，并处以1,762,787.61元罚款，共计3,525,575.22元，同时对相关高级管理人员作出处罚。</w:t>
      </w:r>
    </w:p>
    <w:p>
      <w:pPr>
        <w:spacing w:line="360" w:lineRule="auto"/>
        <w:rPr>
          <w:color w:val="000000"/>
          <w:kern w:val="0"/>
          <w:sz w:val="24"/>
        </w:rPr>
      </w:pPr>
      <w:r>
        <w:rPr>
          <w:color w:val="000000"/>
          <w:kern w:val="0"/>
          <w:sz w:val="24"/>
        </w:rPr>
        <w:t>2019年7月8日，中国银行保险监督管理委员会上海监管局针对兴业银行股份有限公司信用卡中心的如下违法违规行为作出责令改正、并处罚款40万元的行政处罚决定：1、2016年1月至2018年1月在为部分客户办理信用卡业务时未遵守总授信额度管理制度；2、2016年至2018年8月对部分信用卡申请人资信水平调查严重不尽职的违法违规行为。</w:t>
      </w:r>
    </w:p>
    <w:p>
      <w:pPr>
        <w:spacing w:line="360" w:lineRule="auto"/>
        <w:rPr>
          <w:color w:val="000000"/>
          <w:kern w:val="0"/>
          <w:sz w:val="24"/>
        </w:rPr>
      </w:pPr>
      <w:r>
        <w:rPr>
          <w:color w:val="000000"/>
          <w:kern w:val="0"/>
          <w:sz w:val="24"/>
        </w:rPr>
        <w:t>2019年7月8日，中国银行保险监督管理委员会上海监管局针对招商银行股份有限公司信用卡中心在为部分客户办理信用卡业务时未遵守总授信额度管理制度的行为，对招商银行股份有限公司处以责令改正，并处罚款20万元。</w:t>
      </w:r>
    </w:p>
    <w:p>
      <w:pPr>
        <w:spacing w:line="360" w:lineRule="auto"/>
        <w:rPr>
          <w:color w:val="000000"/>
          <w:kern w:val="0"/>
          <w:sz w:val="24"/>
        </w:rPr>
      </w:pPr>
      <w:r>
        <w:rPr>
          <w:color w:val="000000"/>
          <w:kern w:val="0"/>
          <w:sz w:val="24"/>
        </w:rPr>
        <w:t>本基金为指数型基金，上述股票系标的指数成份股，上述股票的投资决策程序符合公司投资制度的规定。</w:t>
      </w:r>
    </w:p>
    <w:p w:rsidP="00576862" w:rsidR="001C36D8" w:rsidRDefault="00B60FD1" w:rsidRPr="005B1E0B">
      <w:pPr>
        <w:spacing w:line="360" w:lineRule="auto"/>
        <w:rPr>
          <w:color w:val="000000"/>
          <w:kern w:val="0"/>
          <w:sz w:val="24"/>
        </w:rPr>
      </w:pPr>
      <w:r>
        <w:rPr>
          <w:rFonts w:hint="eastAsia"/>
          <w:color w:val="000000"/>
          <w:sz w:val="24"/>
        </w:rPr>
        <w:t/>
      </w:r>
      <w:r w:rsidR="001C36D8" w:rsidRPr="001C123E">
        <w:rPr>
          <w:rFonts w:ascii="宋体"/>
          <w:bCs/>
          <w:color w:val="000000"/>
          <w:kern w:val="0"/>
          <w:sz w:val="24"/>
        </w:rPr>
        <w:t/>
      </w:r>
      <w:r w:rsidR="001C36D8" w:rsidRPr="001C123E">
        <w:rPr>
          <w:rFonts w:ascii="宋体" w:hAnsi="宋体"/>
          <w:bCs/>
          <w:color w:val="000000"/>
          <w:kern w:val="0"/>
          <w:sz w:val="24"/>
        </w:rPr>
        <w:t>5.11.2</w:t>
      </w:r>
      <w:r w:rsidR="00D8121C">
        <w:rPr>
          <w:rFonts w:ascii="宋体" w:hAnsi="宋体" w:hint="eastAsia"/>
          <w:bCs/>
          <w:color w:val="000000"/>
          <w:kern w:val="0"/>
          <w:sz w:val="24"/>
        </w:rPr>
        <w:t xml:space="preserve"> </w:t>
      </w:r>
      <w:r w:rsidR="001C36D8" w:rsidRPr="005B1E0B">
        <w:rPr>
          <w:color w:val="000000"/>
          <w:kern w:val="0"/>
          <w:sz w:val="24"/>
        </w:rPr>
        <w:t>本基金投资的前十名股票没有超出基金合同规定的备选股票库。</w:t>
      </w:r>
    </w:p>
    <w:p w:rsidP="00576862" w:rsidR="001C36D8" w:rsidRDefault="001C36D8" w:rsidRPr="00717C29">
      <w:pPr>
        <w:autoSpaceDE w:val="0"/>
        <w:autoSpaceDN w:val="0"/>
        <w:adjustRightInd w:val="0"/>
        <w:spacing w:line="360" w:lineRule="auto"/>
        <w:jc w:val="left"/>
        <w:rPr>
          <w:rFonts w:ascii="宋体" w:cs="Arial"/>
          <w:color w:val="000000"/>
          <w:kern w:val="0"/>
          <w:sz w:val="24"/>
        </w:rPr>
      </w:pPr>
      <w:r w:rsidRPr="00717C29">
        <w:rPr>
          <w:rFonts w:ascii="宋体"/>
          <w:bCs/>
          <w:color w:val="000000"/>
          <w:kern w:val="0"/>
          <w:sz w:val="24"/>
        </w:rPr>
        <w:t/>
      </w:r>
      <w:r w:rsidRPr="00717C29">
        <w:rPr>
          <w:rFonts w:ascii="宋体" w:hAnsi="宋体"/>
          <w:bCs/>
          <w:color w:val="000000"/>
          <w:kern w:val="0"/>
          <w:sz w:val="24"/>
        </w:rPr>
        <w:t>5.11.3</w:t>
      </w:r>
      <w:r w:rsidR="00FE4BF2">
        <w:rPr>
          <w:rFonts w:ascii="宋体" w:cs="Arial" w:hAnsi="宋体" w:hint="eastAsia"/>
          <w:color w:val="000000"/>
          <w:kern w:val="0"/>
          <w:sz w:val="24"/>
        </w:rPr>
        <w:t>其他</w:t>
      </w:r>
      <w:bookmarkStart w:id="2" w:name="_GoBack"/>
      <w:bookmarkEnd w:id="2"/>
      <w:r w:rsidRPr="00717C29">
        <w:rPr>
          <w:rFonts w:ascii="宋体" w:cs="Arial" w:hAnsi="宋体" w:hint="eastAsia"/>
          <w:color w:val="000000"/>
          <w:kern w:val="0"/>
          <w:sz w:val="24"/>
        </w:rPr>
        <w:t>资产构成</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2761"/>
        <w:gridCol w:w="4808"/>
      </w:tblGrid>
      <w:tr w:rsidR="001C36D8" w:rsidRPr="00272E0C" w:rsidTr="001A09F9">
        <w:tc>
          <w:tcPr>
            <w:tcW w:type="dxa" w:w="959"/>
          </w:tcPr>
          <w:p w:rsidP="001A09F9" w:rsidR="001C36D8" w:rsidRDefault="001C36D8" w:rsidRPr="005B1E0B">
            <w:pPr>
              <w:autoSpaceDE w:val="0"/>
              <w:autoSpaceDN w:val="0"/>
              <w:adjustRightInd w:val="0"/>
              <w:spacing w:line="360" w:lineRule="auto"/>
              <w:jc w:val="left"/>
              <w:rPr>
                <w:color w:val="000000"/>
                <w:sz w:val="24"/>
              </w:rPr>
            </w:pPr>
            <w:r w:rsidRPr="005B1E0B">
              <w:rPr>
                <w:color w:val="000000"/>
                <w:sz w:val="24"/>
              </w:rPr>
              <w:t>序号</w:t>
            </w:r>
          </w:p>
        </w:tc>
        <w:tc>
          <w:tcPr>
            <w:tcW w:type="dxa" w:w="2761"/>
          </w:tcPr>
          <w:p w:rsidP="001A09F9" w:rsidR="001C36D8" w:rsidRDefault="001C36D8" w:rsidRPr="005B1E0B">
            <w:pPr>
              <w:autoSpaceDE w:val="0"/>
              <w:autoSpaceDN w:val="0"/>
              <w:adjustRightInd w:val="0"/>
              <w:spacing w:line="360" w:lineRule="auto"/>
              <w:jc w:val="left"/>
              <w:rPr>
                <w:color w:val="000000"/>
                <w:sz w:val="24"/>
              </w:rPr>
            </w:pPr>
            <w:r w:rsidRPr="005B1E0B">
              <w:rPr>
                <w:color w:val="000000"/>
                <w:sz w:val="24"/>
              </w:rPr>
              <w:t>名称</w:t>
            </w:r>
          </w:p>
        </w:tc>
        <w:tc>
          <w:tcPr>
            <w:tcW w:type="dxa" w:w="4808"/>
          </w:tcPr>
          <w:p w:rsidP="001A09F9" w:rsidR="001C36D8" w:rsidRDefault="001C36D8" w:rsidRPr="005B1E0B">
            <w:pPr>
              <w:autoSpaceDE w:val="0"/>
              <w:autoSpaceDN w:val="0"/>
              <w:adjustRightInd w:val="0"/>
              <w:spacing w:line="360" w:lineRule="auto"/>
              <w:jc w:val="left"/>
              <w:rPr>
                <w:color w:val="000000"/>
                <w:sz w:val="24"/>
              </w:rPr>
            </w:pPr>
            <w:r w:rsidRPr="005B1E0B">
              <w:rPr>
                <w:color w:val="000000"/>
                <w:sz w:val="24"/>
              </w:rPr>
              <w:t>金额（元）</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kern w:val="0"/>
                <w:sz w:val="24"/>
              </w:rPr>
            </w:pPr>
            <w:r w:rsidRPr="005B1E0B">
              <w:rPr>
                <w:color w:val="000000"/>
                <w:sz w:val="24"/>
              </w:rPr>
              <w:t>1</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存出保证金</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12,513.25</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2</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应收证券清算款</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3</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应收股利</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4</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应收利息</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3,058.19</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5</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应收申购款</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1,503,119.21</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6</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其他应收款</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w:t>
            </w:r>
          </w:p>
        </w:tc>
      </w:tr>
      <w:tr w:rsidR="001C36D8" w:rsidRPr="00272E0C" w:rsidTr="001A09F9">
        <w:tc>
          <w:tcPr>
            <w:tcW w:type="dxa" w:w="959"/>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7</w:t>
            </w:r>
          </w:p>
        </w:tc>
        <w:tc>
          <w:tcPr>
            <w:tcW w:type="dxa" w:w="2761"/>
          </w:tcPr>
          <w:p w:rsidP="0015779C" w:rsidR="001C36D8" w:rsidRDefault="001C36D8" w:rsidRPr="005B1E0B">
            <w:pPr>
              <w:autoSpaceDE w:val="0"/>
              <w:autoSpaceDN w:val="0"/>
              <w:adjustRightInd w:val="0"/>
              <w:spacing w:before="29" w:line="360" w:lineRule="auto"/>
              <w:ind w:left="105" w:leftChars="50"/>
              <w:rPr>
                <w:color w:val="000000"/>
                <w:sz w:val="24"/>
              </w:rPr>
            </w:pPr>
            <w:r w:rsidRPr="005B1E0B">
              <w:rPr>
                <w:color w:val="000000"/>
                <w:sz w:val="24"/>
              </w:rPr>
              <w:t>待摊费用</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8</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其他</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9</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合计</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1,518,690.65</w:t>
            </w:r>
          </w:p>
        </w:tc>
      </w:tr>
    </w:tbl>
    <w:p w:rsidP="00576862" w:rsidR="001C36D8" w:rsidRDefault="001C36D8" w:rsidRPr="00717C29">
      <w:pPr>
        <w:autoSpaceDE w:val="0"/>
        <w:autoSpaceDN w:val="0"/>
        <w:adjustRightInd w:val="0"/>
        <w:spacing w:line="360" w:lineRule="auto"/>
        <w:jc w:val="left"/>
        <w:rPr>
          <w:rFonts w:ascii="宋体" w:cs="Arial"/>
          <w:color w:val="000000"/>
          <w:kern w:val="0"/>
          <w:sz w:val="24"/>
        </w:rPr>
      </w:pPr>
      <w:r w:rsidRPr="00717C29">
        <w:rPr>
          <w:rFonts w:ascii="宋体"/>
          <w:bCs/>
          <w:color w:val="000000"/>
          <w:kern w:val="0"/>
          <w:sz w:val="24"/>
        </w:rPr>
        <w:t/>
      </w:r>
      <w:r w:rsidRPr="00717C29">
        <w:rPr>
          <w:rFonts w:ascii="宋体" w:hAnsi="宋体"/>
          <w:bCs/>
          <w:color w:val="000000"/>
          <w:kern w:val="0"/>
          <w:sz w:val="24"/>
        </w:rPr>
        <w:t>5.11.4</w:t>
      </w:r>
      <w:r w:rsidRPr="00717C29">
        <w:rPr>
          <w:rFonts w:ascii="宋体" w:cs="Arial" w:hAnsi="宋体" w:hint="eastAsia"/>
          <w:color w:val="000000"/>
          <w:kern w:val="0"/>
          <w:sz w:val="24"/>
        </w:rPr>
        <w:t>报告期末持有的处于转股期的可转换债券明细</w:t>
      </w:r>
    </w:p>
    <w:p w:rsidP="003D22BD" w:rsidR="001C36D8" w:rsidRDefault="001C36D8" w:rsidRPr="003D22BD">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
      </w:r>
      <w:proofErr w:type="spellStart"/>
      <w:r w:rsidRPr="003D22BD">
        <w:rPr>
          <w:color w:val="000000"/>
          <w:sz w:val="24"/>
        </w:rPr>
        <w:t/>
      </w:r>
      <w:proofErr w:type="spellEnd"/>
      <w:r w:rsidRPr="003D22BD">
        <w:rPr>
          <w:color w:val="000000"/>
          <w:sz w:val="24"/>
        </w:rPr>
        <w:t>本基金本报告期末未持有处于转股期的可转换债券。</w:t>
      </w:r>
    </w:p>
    <w:p w:rsidP="00924A95" w:rsidR="00924A95" w:rsidRDefault="00924A95" w:rsidRPr="001C7E00">
      <w:pPr>
        <w:autoSpaceDE w:val="0"/>
        <w:autoSpaceDN w:val="0"/>
        <w:adjustRightInd w:val="0"/>
        <w:spacing w:line="360" w:lineRule="auto"/>
        <w:jc w:val="left"/>
        <w:rPr>
          <w:rFonts w:ascii="宋体"/>
          <w:bCs/>
          <w:color w:val="000000"/>
          <w:kern w:val="0"/>
          <w:sz w:val="24"/>
        </w:rPr>
      </w:pPr>
      <w:r w:rsidRPr="001C7E00">
        <w:rPr>
          <w:rFonts w:ascii="宋体"/>
          <w:bCs/>
          <w:color w:val="000000"/>
          <w:kern w:val="0"/>
          <w:sz w:val="24"/>
        </w:rPr>
        <w:t/>
      </w:r>
      <w:r w:rsidRPr="001C7E00">
        <w:rPr>
          <w:rFonts w:ascii="宋体" w:hAnsi="宋体"/>
          <w:bCs/>
          <w:color w:val="000000"/>
          <w:kern w:val="0"/>
          <w:sz w:val="24"/>
        </w:rPr>
        <w:t>5.11.5</w:t>
      </w:r>
      <w:r w:rsidRPr="001C7E00">
        <w:rPr>
          <w:rFonts w:ascii="宋体" w:hAnsi="宋体" w:hint="eastAsia"/>
          <w:bCs/>
          <w:color w:val="000000"/>
          <w:kern w:val="0"/>
          <w:sz w:val="24"/>
        </w:rPr>
        <w:t>报告期末前十名股票中存在流通受限情况的说明</w:t>
      </w:r>
    </w:p>
    <w:p w:rsidP="005B1E0B" w:rsidR="001C36D8" w:rsidRDefault="00924A95" w:rsidRPr="005B1E0B">
      <w:pPr>
        <w:spacing w:line="360" w:lineRule="auto"/>
        <w:ind w:firstLine="480" w:firstLineChars="200"/>
        <w:rPr>
          <w:color w:val="000000"/>
          <w:sz w:val="24"/>
        </w:rPr>
      </w:pPr>
      <w:r w:rsidRPr="006C56AA">
        <w:rPr>
          <w:color w:val="000000"/>
          <w:sz w:val="24"/>
        </w:rPr>
        <w:t/>
      </w:r>
      <w:r w:rsidRPr="006C56AA">
        <w:rPr>
          <w:color w:val="000000"/>
          <w:sz w:val="24"/>
        </w:rPr>
        <w:lastRenderedPageBreak/>
        <w:t>本基金本报告期末前十名股票中不存在流通受限情况。</w:t>
      </w:r>
    </w:p>
    <w:p w:rsidP="005C6DF3" w:rsidR="001C36D8" w:rsidRDefault="001C36D8" w:rsidRPr="00272E0C">
      <w:pPr>
        <w:pStyle w:val="1"/>
        <w:spacing w:after="312" w:afterLines="100" w:before="312" w:beforeLines="100" w:line="360" w:lineRule="auto"/>
        <w:jc w:val="center"/>
        <w:rPr>
          <w:rFonts w:ascii="宋体" w:cs="Arial"/>
          <w:color w:val="000000"/>
          <w:kern w:val="0"/>
          <w:sz w:val="24"/>
          <w:szCs w:val="24"/>
        </w:rPr>
      </w:pPr>
      <w:r w:rsidRPr="00272E0C">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6</w:t>
      </w:r>
      <w:r w:rsidR="005D2CC7" w:rsidRPr="00272E0C">
        <w:rPr>
          <w:rFonts w:ascii="宋体" w:cs="Arial" w:hAnsi="宋体"/>
          <w:color w:val="000000"/>
          <w:kern w:val="0"/>
          <w:sz w:val="24"/>
          <w:szCs w:val="24"/>
        </w:rPr>
        <w:t xml:space="preserve">  </w:t>
      </w:r>
      <w:r w:rsidRPr="00272E0C">
        <w:rPr>
          <w:rFonts w:ascii="宋体" w:cs="Arial" w:hAnsi="宋体" w:hint="eastAsia"/>
          <w:color w:val="000000"/>
          <w:kern w:val="0"/>
          <w:sz w:val="24"/>
          <w:szCs w:val="24"/>
        </w:rPr>
        <w:t>开放式基金份额变动</w:t>
      </w:r>
    </w:p>
    <w:p w:rsidP="0019563C" w:rsidR="001C36D8" w:rsidRDefault="001C36D8" w:rsidRPr="00272E0C">
      <w:pPr>
        <w:autoSpaceDE w:val="0"/>
        <w:autoSpaceDN w:val="0"/>
        <w:adjustRightInd w:val="0"/>
        <w:spacing w:before="29" w:line="360" w:lineRule="auto"/>
        <w:ind w:left="15"/>
        <w:jc w:val="right"/>
        <w:rPr>
          <w:rFonts w:ascii="宋体" w:cs="Arial"/>
          <w:color w:val="000000"/>
          <w:kern w:val="0"/>
          <w:sz w:val="24"/>
        </w:rPr>
      </w:pPr>
      <w:r w:rsidRPr="00272E0C">
        <w:rPr>
          <w:rFonts w:ascii="宋体" w:cs="Arial" w:hAnsi="宋体" w:hint="eastAsia"/>
          <w:color w:val="000000"/>
          <w:kern w:val="0"/>
          <w:sz w:val="24"/>
        </w:rPr>
        <w:t>单位：份</w:t>
      </w:r>
    </w:p>
    <w:tbl>
      <w:tblPr>
        <w:tblW w:type="dxa" w:w="8719"/>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1774"/>
        <w:gridCol w:w="2409"/>
        <w:gridCol w:w="2410"/>
        <w:gridCol w:w="2126"/>
      </w:tblGrid>
      <w:tr w:rsidR="001C36D8" w:rsidRPr="00272E0C" w:rsidTr="00EF063B">
        <w:tc>
          <w:tcPr>
            <w:tcW w:type="dxa" w:w="1774"/>
            <w:vAlign w:val="center"/>
          </w:tcPr>
          <w:p w:rsidP="007A6BEA" w:rsidR="001C36D8" w:rsidRDefault="001C36D8" w:rsidRPr="005B1E0B">
            <w:pPr>
              <w:autoSpaceDE w:val="0"/>
              <w:autoSpaceDN w:val="0"/>
              <w:adjustRightInd w:val="0"/>
              <w:spacing w:before="29" w:line="360" w:lineRule="auto"/>
              <w:ind w:left="17"/>
              <w:jc w:val="left"/>
              <w:rPr>
                <w:color w:val="000000"/>
                <w:kern w:val="0"/>
                <w:sz w:val="24"/>
              </w:rPr>
            </w:pPr>
            <w:r w:rsidRPr="005B1E0B">
              <w:rPr>
                <w:color w:val="000000"/>
                <w:kern w:val="0"/>
                <w:sz w:val="24"/>
              </w:rPr>
              <w:t>项目</w:t>
            </w:r>
          </w:p>
        </w:tc>
        <w:tc>
          <w:tcPr>
            <w:tcW w:type="dxa" w:w="2409"/>
            <w:vAlign w:val="center"/>
          </w:tcPr>
          <w:p w:rsidP="005B14F0" w:rsidR="001C36D8" w:rsidRDefault="001C36D8" w:rsidRPr="005B1E0B">
            <w:pPr>
              <w:autoSpaceDE w:val="0"/>
              <w:autoSpaceDN w:val="0"/>
              <w:adjustRightInd w:val="0"/>
              <w:spacing w:before="29" w:line="360" w:lineRule="auto"/>
              <w:ind w:left="17"/>
              <w:jc w:val="right"/>
              <w:rPr>
                <w:sz w:val="24"/>
              </w:rPr>
            </w:pPr>
            <w:r w:rsidRPr="005B1E0B">
              <w:rPr>
                <w:color w:val="000000"/>
                <w:kern w:val="0"/>
                <w:sz w:val="24"/>
              </w:rPr>
              <w:t/>
            </w:r>
            <w:proofErr w:type="spellStart"/>
            <w:r w:rsidRPr="005B1E0B">
              <w:rPr>
                <w:sz w:val="24"/>
              </w:rPr>
              <w:t/>
            </w:r>
            <w:proofErr w:type="spellEnd"/>
            <w:r w:rsidRPr="005B1E0B">
              <w:rPr>
                <w:sz w:val="24"/>
              </w:rPr>
              <w:t>易方达银行分级</w:t>
            </w:r>
          </w:p>
        </w:tc>
        <w:tc>
          <w:tcPr>
            <w:tcW w:type="dxa" w:w="2410"/>
            <w:vAlign w:val="center"/>
          </w:tcPr>
          <w:p w:rsidP="007A6BEA" w:rsidR="001C36D8" w:rsidRDefault="001C36D8" w:rsidRPr="005B1E0B">
            <w:pPr>
              <w:autoSpaceDE w:val="0"/>
              <w:autoSpaceDN w:val="0"/>
              <w:adjustRightInd w:val="0"/>
              <w:spacing w:before="29" w:line="360" w:lineRule="auto"/>
              <w:ind w:left="17"/>
              <w:jc w:val="right"/>
              <w:rPr>
                <w:color w:val="000000"/>
                <w:sz w:val="24"/>
              </w:rPr>
            </w:pPr>
            <w:r w:rsidRPr="005B1E0B">
              <w:rPr>
                <w:color w:val="000000"/>
                <w:kern w:val="0"/>
                <w:sz w:val="24"/>
              </w:rPr>
              <w:t/>
            </w:r>
            <w:proofErr w:type="spellStart"/>
            <w:r w:rsidRPr="005B1E0B">
              <w:rPr>
                <w:sz w:val="24"/>
              </w:rPr>
              <w:t/>
            </w:r>
            <w:proofErr w:type="spellEnd"/>
            <w:r w:rsidRPr="005B1E0B">
              <w:rPr>
                <w:sz w:val="24"/>
              </w:rPr>
              <w:t>易方达银行分级A</w:t>
            </w:r>
          </w:p>
        </w:tc>
        <w:tc>
          <w:tcPr>
            <w:tcW w:type="dxa" w:w="2126"/>
            <w:vAlign w:val="center"/>
          </w:tcPr>
          <w:p w:rsidP="00183C9E" w:rsidR="001C36D8" w:rsidRDefault="001C36D8" w:rsidRPr="005B1E0B">
            <w:pPr>
              <w:autoSpaceDE w:val="0"/>
              <w:autoSpaceDN w:val="0"/>
              <w:adjustRightInd w:val="0"/>
              <w:spacing w:before="29" w:line="360" w:lineRule="auto"/>
              <w:ind w:left="17"/>
              <w:jc w:val="right"/>
              <w:rPr>
                <w:color w:val="000000"/>
                <w:sz w:val="24"/>
              </w:rPr>
            </w:pPr>
            <w:r w:rsidRPr="005B1E0B">
              <w:rPr>
                <w:color w:val="000000"/>
                <w:kern w:val="0"/>
                <w:sz w:val="24"/>
              </w:rPr>
              <w:t/>
            </w:r>
            <w:proofErr w:type="spellStart"/>
            <w:r w:rsidRPr="005B1E0B">
              <w:rPr>
                <w:sz w:val="24"/>
              </w:rPr>
              <w:t/>
            </w:r>
            <w:proofErr w:type="spellEnd"/>
            <w:r w:rsidRPr="005B1E0B">
              <w:rPr>
                <w:sz w:val="24"/>
              </w:rPr>
              <w:t>易方达银行分级B</w:t>
            </w:r>
          </w:p>
        </w:tc>
      </w:tr>
      <w:tr w:rsidR="001C36D8" w:rsidRPr="00272E0C" w:rsidTr="00EF063B">
        <w:tc>
          <w:tcPr>
            <w:tcW w:type="dxa" w:w="1774"/>
            <w:vAlign w:val="center"/>
          </w:tcPr>
          <w:p w:rsidP="007A6BEA" w:rsidR="001C36D8" w:rsidRDefault="001C36D8" w:rsidRPr="005B1E0B">
            <w:pPr>
              <w:autoSpaceDE w:val="0"/>
              <w:autoSpaceDN w:val="0"/>
              <w:adjustRightInd w:val="0"/>
              <w:spacing w:before="29" w:line="360" w:lineRule="auto"/>
              <w:ind w:left="17"/>
              <w:jc w:val="left"/>
              <w:rPr>
                <w:color w:val="000000"/>
                <w:kern w:val="0"/>
                <w:sz w:val="24"/>
              </w:rPr>
            </w:pPr>
            <w:r w:rsidRPr="005B1E0B">
              <w:rPr>
                <w:color w:val="000000"/>
                <w:kern w:val="0"/>
                <w:sz w:val="24"/>
              </w:rPr>
              <w:t>报告期期初基金份额总额</w:t>
            </w:r>
          </w:p>
        </w:tc>
        <w:tc>
          <w:tcPr>
            <w:tcW w:type="dxa" w:w="2409"/>
            <w:vAlign w:val="center"/>
          </w:tcPr>
          <w:p w:rsidP="007A6BEA"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167,869,843.58</w:t>
            </w:r>
          </w:p>
        </w:tc>
        <w:tc>
          <w:tcPr>
            <w:tcW w:type="dxa" w:w="2410"/>
            <w:vAlign w:val="center"/>
          </w:tcPr>
          <w:p w:rsidP="00465C86"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47,673,575.00</w:t>
            </w:r>
          </w:p>
        </w:tc>
        <w:tc>
          <w:tcPr>
            <w:tcW w:type="dxa" w:w="2126"/>
            <w:vAlign w:val="center"/>
          </w:tcPr>
          <w:p w:rsidP="00183C9E"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
            </w:r>
            <w:r w:rsidRPr="005B1E0B">
              <w:rPr>
                <w:sz w:val="24"/>
              </w:rPr>
              <w:t>47,673,575.00</w:t>
            </w:r>
          </w:p>
        </w:tc>
      </w:tr>
      <w:tr w:rsidR="001C36D8" w:rsidRPr="00272E0C" w:rsidTr="00EF063B">
        <w:tc>
          <w:tcPr>
            <w:tcW w:type="dxa" w:w="1774"/>
            <w:vAlign w:val="center"/>
          </w:tcPr>
          <w:p w:rsidP="007A6BEA" w:rsidR="001C36D8" w:rsidRDefault="001C36D8" w:rsidRPr="005B1E0B">
            <w:pPr>
              <w:autoSpaceDE w:val="0"/>
              <w:autoSpaceDN w:val="0"/>
              <w:adjustRightInd w:val="0"/>
              <w:spacing w:before="29" w:line="360" w:lineRule="auto"/>
              <w:ind w:left="17"/>
              <w:jc w:val="lef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报告期</w:t>
            </w:r>
            <w:r w:rsidRPr="005B1E0B">
              <w:rPr>
                <w:color w:val="000000"/>
                <w:kern w:val="0"/>
                <w:sz w:val="24"/>
              </w:rPr>
              <w:t>基金总申购份额</w:t>
            </w:r>
          </w:p>
        </w:tc>
        <w:tc>
          <w:tcPr>
            <w:tcW w:type="dxa" w:w="2409"/>
            <w:vAlign w:val="center"/>
          </w:tcPr>
          <w:p w:rsidP="007A6BEA"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30,821,641.21</w:t>
            </w:r>
          </w:p>
        </w:tc>
        <w:tc>
          <w:tcPr>
            <w:tcW w:type="dxa" w:w="2410"/>
            <w:vAlign w:val="center"/>
          </w:tcPr>
          <w:p w:rsidP="00465C86"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c>
          <w:tcPr>
            <w:tcW w:type="dxa" w:w="2126"/>
            <w:vAlign w:val="center"/>
          </w:tcPr>
          <w:p w:rsidP="00183C9E"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
            </w:r>
            <w:r w:rsidRPr="005B1E0B">
              <w:rPr>
                <w:sz w:val="24"/>
              </w:rPr>
              <w:t>-</w:t>
            </w:r>
          </w:p>
        </w:tc>
      </w:tr>
      <w:tr w:rsidR="001C36D8" w:rsidRPr="00272E0C" w:rsidTr="00EF063B">
        <w:tc>
          <w:tcPr>
            <w:tcW w:type="dxa" w:w="1774"/>
            <w:vAlign w:val="center"/>
          </w:tcPr>
          <w:p w:rsidP="007A6BEA" w:rsidR="001C36D8" w:rsidRDefault="001C36D8" w:rsidRPr="005B1E0B">
            <w:pPr>
              <w:autoSpaceDE w:val="0"/>
              <w:autoSpaceDN w:val="0"/>
              <w:adjustRightInd w:val="0"/>
              <w:spacing w:before="29" w:line="360" w:lineRule="auto"/>
              <w:ind w:left="17"/>
              <w:jc w:val="left"/>
              <w:rPr>
                <w:color w:val="000000"/>
                <w:kern w:val="0"/>
                <w:sz w:val="24"/>
              </w:rPr>
            </w:pPr>
            <w:r w:rsidRPr="005B1E0B">
              <w:rPr>
                <w:color w:val="000000"/>
                <w:kern w:val="0"/>
                <w:sz w:val="24"/>
              </w:rPr>
              <w:t>减：</w:t>
            </w:r>
            <w:r w:rsidRPr="005B1E0B">
              <w:rPr>
                <w:color w:val="000000"/>
                <w:kern w:val="0"/>
                <w:sz w:val="24"/>
              </w:rPr>
              <w:t/>
            </w:r>
            <w:proofErr w:type="spellStart"/>
            <w:r w:rsidRPr="005B1E0B">
              <w:rPr>
                <w:color w:val="000000"/>
                <w:kern w:val="0"/>
                <w:sz w:val="24"/>
              </w:rPr>
              <w:t/>
            </w:r>
            <w:proofErr w:type="spellEnd"/>
            <w:r w:rsidRPr="005B1E0B">
              <w:rPr>
                <w:color w:val="000000"/>
                <w:kern w:val="0"/>
                <w:sz w:val="24"/>
              </w:rPr>
              <w:t>报告期</w:t>
            </w:r>
            <w:r w:rsidRPr="005B1E0B">
              <w:rPr>
                <w:color w:val="000000"/>
                <w:kern w:val="0"/>
                <w:sz w:val="24"/>
              </w:rPr>
              <w:t>基金总赎回份额</w:t>
            </w:r>
          </w:p>
        </w:tc>
        <w:tc>
          <w:tcPr>
            <w:tcW w:type="dxa" w:w="2409"/>
            <w:vAlign w:val="center"/>
          </w:tcPr>
          <w:p w:rsidP="007A6BEA"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21,102,586.42</w:t>
            </w:r>
          </w:p>
        </w:tc>
        <w:tc>
          <w:tcPr>
            <w:tcW w:type="dxa" w:w="2410"/>
            <w:vAlign w:val="center"/>
          </w:tcPr>
          <w:p w:rsidP="00465C86"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c>
          <w:tcPr>
            <w:tcW w:type="dxa" w:w="2126"/>
            <w:vAlign w:val="center"/>
          </w:tcPr>
          <w:p w:rsidP="00183C9E"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
            </w:r>
            <w:r w:rsidRPr="005B1E0B">
              <w:rPr>
                <w:sz w:val="24"/>
              </w:rPr>
              <w:t>-</w:t>
            </w:r>
          </w:p>
        </w:tc>
      </w:tr>
      <w:tr w:rsidR="001C36D8" w:rsidRPr="00272E0C" w:rsidTr="00EF063B">
        <w:trPr>
          <w:trHeight w:val="1718"/>
        </w:trPr>
        <w:tc>
          <w:tcPr>
            <w:tcW w:type="dxa" w:w="1774"/>
            <w:vAlign w:val="center"/>
          </w:tcPr>
          <w:p w:rsidP="007A6BEA" w:rsidR="001C36D8" w:rsidRDefault="001C36D8" w:rsidRPr="005B1E0B">
            <w:pPr>
              <w:autoSpaceDE w:val="0"/>
              <w:autoSpaceDN w:val="0"/>
              <w:adjustRightInd w:val="0"/>
              <w:spacing w:before="29" w:line="360" w:lineRule="auto"/>
              <w:ind w:left="17"/>
              <w:jc w:val="left"/>
              <w:rPr>
                <w:color w:val="000000"/>
                <w:kern w:val="0"/>
                <w:sz w:val="24"/>
              </w:rPr>
            </w:pPr>
            <w:r w:rsidRPr="005B1E0B">
              <w:rPr>
                <w:color w:val="000000"/>
                <w:kern w:val="0"/>
                <w:sz w:val="24"/>
              </w:rPr>
              <w:lastRenderedPageBreak/>
              <w:t/>
            </w:r>
            <w:proofErr w:type="spellStart"/>
            <w:r w:rsidRPr="005B1E0B">
              <w:rPr>
                <w:color w:val="000000"/>
                <w:kern w:val="0"/>
                <w:sz w:val="24"/>
              </w:rPr>
              <w:t/>
            </w:r>
            <w:proofErr w:type="spellEnd"/>
            <w:r w:rsidRPr="005B1E0B">
              <w:rPr>
                <w:color w:val="000000"/>
                <w:kern w:val="0"/>
                <w:sz w:val="24"/>
              </w:rPr>
              <w:t>报告期</w:t>
            </w:r>
            <w:r w:rsidRPr="005B1E0B">
              <w:rPr>
                <w:color w:val="000000"/>
                <w:kern w:val="0"/>
                <w:sz w:val="24"/>
              </w:rPr>
              <w:t>基金拆分变动份额</w:t>
            </w:r>
            <w:r w:rsidR="005541BC" w:rsidRPr="00921BFA">
              <w:rPr>
                <w:rFonts w:hint="eastAsia"/>
                <w:color w:val="000000"/>
                <w:kern w:val="0"/>
                <w:sz w:val="24"/>
              </w:rPr>
              <w:t>（份额减少以“</w:t>
            </w:r>
            <w:r w:rsidR="005541BC" w:rsidRPr="00921BFA">
              <w:rPr>
                <w:rFonts w:hint="eastAsia"/>
                <w:color w:val="000000"/>
                <w:kern w:val="0"/>
                <w:sz w:val="24"/>
              </w:rPr>
              <w:t>-</w:t>
            </w:r>
            <w:r w:rsidR="005541BC" w:rsidRPr="00921BFA">
              <w:rPr>
                <w:rFonts w:hint="eastAsia"/>
                <w:color w:val="000000"/>
                <w:kern w:val="0"/>
                <w:sz w:val="24"/>
              </w:rPr>
              <w:t>”填列）</w:t>
            </w:r>
          </w:p>
        </w:tc>
        <w:tc>
          <w:tcPr>
            <w:tcW w:type="dxa" w:w="2409"/>
            <w:vAlign w:val="center"/>
          </w:tcPr>
          <w:p w:rsidP="007A6BEA"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6,466,381.76</w:t>
            </w:r>
          </w:p>
        </w:tc>
        <w:tc>
          <w:tcPr>
            <w:tcW w:type="dxa" w:w="2410"/>
            <w:vAlign w:val="center"/>
          </w:tcPr>
          <w:p w:rsidP="00465C86"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14,627.00</w:t>
            </w:r>
          </w:p>
        </w:tc>
        <w:tc>
          <w:tcPr>
            <w:tcW w:type="dxa" w:w="2126"/>
            <w:vAlign w:val="center"/>
          </w:tcPr>
          <w:p w:rsidP="00183C9E"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
            </w:r>
            <w:r w:rsidRPr="005B1E0B">
              <w:rPr>
                <w:sz w:val="24"/>
              </w:rPr>
              <w:t>14,627.00</w:t>
            </w:r>
          </w:p>
        </w:tc>
      </w:tr>
      <w:tr w:rsidR="001C36D8" w:rsidRPr="00272E0C" w:rsidTr="00EF063B">
        <w:tc>
          <w:tcPr>
            <w:tcW w:type="dxa" w:w="1774"/>
            <w:vAlign w:val="center"/>
          </w:tcPr>
          <w:p w:rsidP="007A6BEA" w:rsidR="001C36D8" w:rsidRDefault="001C36D8" w:rsidRPr="005B1E0B">
            <w:pPr>
              <w:autoSpaceDE w:val="0"/>
              <w:autoSpaceDN w:val="0"/>
              <w:adjustRightInd w:val="0"/>
              <w:spacing w:before="29" w:line="360" w:lineRule="auto"/>
              <w:ind w:left="17"/>
              <w:jc w:val="left"/>
              <w:rPr>
                <w:color w:val="000000"/>
                <w:kern w:val="0"/>
                <w:sz w:val="24"/>
              </w:rPr>
            </w:pPr>
            <w:r w:rsidRPr="005B1E0B">
              <w:rPr>
                <w:color w:val="000000"/>
                <w:kern w:val="0"/>
                <w:sz w:val="24"/>
              </w:rPr>
              <w:t>报告期期末基金份额总额</w:t>
            </w:r>
          </w:p>
        </w:tc>
        <w:tc>
          <w:tcPr>
            <w:tcW w:type="dxa" w:w="2409"/>
            <w:vAlign w:val="center"/>
          </w:tcPr>
          <w:p w:rsidP="007A6BEA"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184,055,280.13</w:t>
            </w:r>
          </w:p>
        </w:tc>
        <w:tc>
          <w:tcPr>
            <w:tcW w:type="dxa" w:w="2410"/>
            <w:vAlign w:val="center"/>
          </w:tcPr>
          <w:p w:rsidP="00465C86"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47,688,202.00</w:t>
            </w:r>
          </w:p>
        </w:tc>
        <w:tc>
          <w:tcPr>
            <w:tcW w:type="dxa" w:w="2126"/>
            <w:vAlign w:val="center"/>
          </w:tcPr>
          <w:p w:rsidP="00183C9E"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r w:rsidRPr="005B1E0B">
              <w:rPr>
                <w:sz w:val="24"/>
              </w:rPr>
              <w:t/>
            </w:r>
            <w:proofErr w:type="spellEnd"/>
            <w:r w:rsidRPr="005B1E0B">
              <w:rPr>
                <w:sz w:val="24"/>
              </w:rPr>
              <w:t>47,688,202.00</w:t>
            </w:r>
          </w:p>
        </w:tc>
      </w:tr>
    </w:tbl>
    <w:p w:rsidP="003D22BD" w:rsidR="001C36D8" w:rsidRDefault="001C36D8" w:rsidRPr="003D22BD">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
      </w:r>
      <w:proofErr w:type="spellStart"/>
      <w:r w:rsidRPr="003D22BD">
        <w:rPr>
          <w:color w:val="000000"/>
          <w:sz w:val="24"/>
        </w:rPr>
        <w:t/>
      </w:r>
      <w:proofErr w:type="spellEnd"/>
      <w:r w:rsidRPr="003D22BD">
        <w:rPr>
          <w:color w:val="000000"/>
          <w:sz w:val="24"/>
        </w:rPr>
        <w:t>注：拆分变动份额包括三类份额之间的配对转换份额及折算调整份额。</w:t>
      </w:r>
    </w:p>
    <w:p w:rsidP="005C6DF3" w:rsidR="001C36D8" w:rsidRDefault="001C36D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olor w:val="000000"/>
          <w:kern w:val="0"/>
          <w:sz w:val="24"/>
          <w:szCs w:val="24"/>
        </w:rPr>
        <w:t/>
      </w:r>
      <w:proofErr w:type="spellStart"/>
      <w:r>
        <w:rPr>
          <w:rFonts w:ascii="宋体" w:hAnsi="宋体"/>
          <w:color w:val="000000"/>
          <w:kern w:val="0"/>
          <w:sz w:val="24"/>
          <w:szCs w:val="24"/>
        </w:rPr>
        <w:t/>
      </w:r>
      <w:proofErr w:type="spellEnd"/>
      <w:r>
        <w:rPr>
          <w:rFonts w:ascii="宋体" w:hAnsi="宋体"/>
          <w:color w:val="000000"/>
          <w:kern w:val="0"/>
          <w:sz w:val="24"/>
          <w:szCs w:val="24"/>
        </w:rPr>
        <w:t/>
      </w:r>
      <w:r>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3D4E5A" w:rsidR="001C36D8" w:rsidRDefault="001C36D8">
      <w:pPr>
        <w:spacing w:line="360" w:lineRule="auto"/>
        <w:jc w:val="left"/>
        <w:rPr>
          <w:sz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5B1E0B" w:rsidR="001C36D8" w:rsidRDefault="00BF63AF" w:rsidRPr="005B1E0B">
      <w:pPr>
        <w:spacing w:line="360" w:lineRule="auto"/>
        <w:ind w:firstLine="480" w:firstLineChars="200"/>
        <w:rPr>
          <w:color w:val="000000"/>
          <w:sz w:val="24"/>
        </w:rPr>
      </w:pPr>
      <w:r w:rsidRPr="00510DAB">
        <w:rPr>
          <w:color w:val="000000"/>
          <w:sz w:val="24"/>
        </w:rPr>
        <w:t/>
      </w:r>
      <w:proofErr w:type="spellStart"/>
      <w:r w:rsidRPr="00510DAB">
        <w:rPr>
          <w:color w:val="000000"/>
          <w:sz w:val="24"/>
        </w:rPr>
        <w:t/>
      </w:r>
      <w:proofErr w:type="spellEnd"/>
      <w:r w:rsidRPr="00510DAB">
        <w:rPr>
          <w:color w:val="000000"/>
          <w:sz w:val="24"/>
        </w:rPr>
        <w:t>本报告期内基金管理人未持有本基金份额。</w:t>
      </w:r>
    </w:p>
    <w:p w:rsidP="003D4E5A" w:rsidR="001C36D8" w:rsidRDefault="001C36D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3D22BD" w:rsidR="001C36D8" w:rsidRDefault="001C36D8" w:rsidRPr="003D22BD">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
      </w:r>
      <w:proofErr w:type="spellStart"/>
      <w:r w:rsidRPr="003D22BD">
        <w:rPr>
          <w:color w:val="000000"/>
          <w:sz w:val="24"/>
        </w:rPr>
        <w:t/>
      </w:r>
      <w:proofErr w:type="spellEnd"/>
      <w:r w:rsidRPr="003D22BD">
        <w:rPr>
          <w:color w:val="000000"/>
          <w:sz w:val="24"/>
        </w:rPr>
        <w:t>本报告期内基金管理人未运用固有资金申购、赎回、买卖本基金份额。</w:t>
      </w:r>
    </w:p>
    <w:p w:rsidP="00A12EEF" w:rsidR="00A12EEF" w:rsidRDefault="00A12EEF" w:rsidRPr="005D2CC7">
      <w:pPr>
        <w:pStyle w:val="1"/>
        <w:spacing w:after="312" w:afterLines="100" w:before="312" w:beforeLines="100" w:line="360" w:lineRule="auto"/>
        <w:jc w:val="center"/>
        <w:rPr>
          <w:rFonts w:ascii="宋体" w:cs="Arial" w:hAnsi="宋体"/>
          <w:color w:val="000000"/>
          <w:kern w:val="0"/>
          <w:sz w:val="24"/>
          <w:szCs w:val="24"/>
        </w:rPr>
      </w:pPr>
      <w:r w:rsidRPr="005D2CC7">
        <w:rPr>
          <w:rFonts w:ascii="宋体" w:cs="Arial" w:hAnsi="宋体"/>
          <w:color w:val="000000"/>
          <w:kern w:val="0"/>
          <w:sz w:val="24"/>
          <w:szCs w:val="24"/>
        </w:rPr>
        <w:t/>
      </w:r>
      <w:proofErr w:type="spellStart"/>
      <w:r w:rsidRPr="005D2CC7">
        <w:rPr>
          <w:rFonts w:ascii="宋体" w:cs="Arial" w:hAnsi="宋体"/>
          <w:color w:val="000000"/>
          <w:kern w:val="0"/>
          <w:sz w:val="24"/>
          <w:szCs w:val="24"/>
        </w:rPr>
        <w:t/>
      </w:r>
      <w:proofErr w:type="spellEnd"/>
      <w:r w:rsidRPr="005D2CC7">
        <w:rPr>
          <w:rFonts w:ascii="宋体" w:cs="Arial" w:hAnsi="宋体"/>
          <w:color w:val="000000"/>
          <w:kern w:val="0"/>
          <w:sz w:val="24"/>
          <w:szCs w:val="24"/>
        </w:rPr>
        <w:t>§8</w:t>
      </w:r>
      <w:r w:rsidR="005D2CC7" w:rsidRPr="00272E0C">
        <w:rPr>
          <w:rFonts w:ascii="宋体" w:cs="Arial" w:hAnsi="宋体"/>
          <w:color w:val="000000"/>
          <w:kern w:val="0"/>
          <w:sz w:val="24"/>
          <w:szCs w:val="24"/>
        </w:rPr>
        <w:t xml:space="preserve">  </w:t>
      </w:r>
      <w:r w:rsidRPr="005D2CC7">
        <w:rPr>
          <w:rFonts w:ascii="宋体" w:cs="Arial" w:hAnsi="宋体"/>
          <w:color w:val="000000"/>
          <w:kern w:val="0"/>
          <w:sz w:val="24"/>
          <w:szCs w:val="24"/>
        </w:rPr>
        <w:t>影响投资者决策的其他重要信息</w:t>
      </w:r>
    </w:p>
    <w:p w:rsidP="004B7CA0" w:rsidR="004B7CA0" w:rsidRDefault="004B7CA0" w:rsidRPr="00654C5E">
      <w:pPr>
        <w:autoSpaceDE w:val="0"/>
        <w:autoSpaceDN w:val="0"/>
        <w:adjustRightInd w:val="0"/>
        <w:spacing w:line="360" w:lineRule="auto"/>
        <w:jc w:val="left"/>
        <w:rPr>
          <w:rFonts w:ascii="宋体"/>
          <w:b/>
          <w:bCs/>
          <w:color w:val="000000"/>
          <w:kern w:val="0"/>
          <w:sz w:val="24"/>
        </w:rPr>
      </w:pPr>
      <w:r w:rsidRPr="00654C5E">
        <w:rPr>
          <w:rFonts w:ascii="宋体"/>
          <w:b/>
          <w:bCs/>
          <w:color w:val="000000"/>
          <w:kern w:val="0"/>
          <w:sz w:val="24"/>
        </w:rPr>
        <w:t/>
      </w:r>
      <w:proofErr w:type="spellStart"/>
      <w:r w:rsidRPr="00654C5E">
        <w:rPr>
          <w:rFonts w:ascii="宋体"/>
          <w:b/>
          <w:bCs/>
          <w:color w:val="000000"/>
          <w:kern w:val="0"/>
          <w:sz w:val="24"/>
        </w:rPr>
        <w:t/>
      </w:r>
      <w:proofErr w:type="spellEnd"/>
      <w:r w:rsidRPr="00654C5E">
        <w:rPr>
          <w:rFonts w:ascii="宋体"/>
          <w:b/>
          <w:bCs/>
          <w:color w:val="000000"/>
          <w:kern w:val="0"/>
          <w:sz w:val="24"/>
        </w:rPr>
        <w:t>8.1 报告期内单一投资者持有基金份额比例达到或超过20%的情况</w:t>
      </w:r>
    </w:p>
    <w:tbl>
      <w:tblPr>
        <w:tblStyle w:val="af7"/>
        <w:tblW w:type="dxa" w:w="9640"/>
        <w:jc w:val="center"/>
        <w:tblLayout w:type="fixed"/>
        <w:tblLook w:firstColumn="1" w:firstRow="1" w:lastColumn="0" w:lastRow="0" w:noHBand="0" w:noVBand="1" w:val="04A0"/>
      </w:tblPr>
      <w:tblGrid>
        <w:gridCol w:w="709"/>
        <w:gridCol w:w="709"/>
        <w:gridCol w:w="2126"/>
        <w:gridCol w:w="1276"/>
        <w:gridCol w:w="1276"/>
        <w:gridCol w:w="1276"/>
        <w:gridCol w:w="1417"/>
        <w:gridCol w:w="851"/>
      </w:tblGrid>
      <w:tr w:rsidR="004B7CA0" w:rsidRPr="00FC0759" w:rsidTr="00F12FB0">
        <w:trPr>
          <w:jc w:val="center"/>
        </w:trPr>
        <w:tc>
          <w:tcPr>
            <w:tcW w:type="dxa" w:w="709"/>
            <w:vMerge w:val="restart"/>
            <w:vAlign w:val="center"/>
          </w:tcPr>
          <w:p w:rsidP="00F12FB0" w:rsidR="004B7CA0" w:rsidRDefault="004B7CA0" w:rsidRPr="00FC0759">
            <w:pPr>
              <w:autoSpaceDE w:val="0"/>
              <w:autoSpaceDN w:val="0"/>
              <w:adjustRightInd w:val="0"/>
              <w:jc w:val="center"/>
              <w:rPr>
                <w:rFonts w:eastAsiaTheme="minorEastAsia"/>
                <w:b/>
                <w:bCs/>
                <w:color w:themeColor="text1" w:val="000000"/>
                <w:sz w:val="24"/>
              </w:rPr>
            </w:pPr>
            <w:r w:rsidRPr="00FC0759">
              <w:rPr>
                <w:color w:val="000000"/>
                <w:sz w:val="24"/>
              </w:rPr>
              <w:lastRenderedPageBreak/>
              <w:t>投资者类别</w:t>
            </w:r>
            <w:r w:rsidRPr="00FC0759">
              <w:rPr>
                <w:rFonts w:eastAsia="仿宋"/>
                <w:color w:themeColor="text1" w:val="000000"/>
                <w:sz w:val="24"/>
              </w:rPr>
              <w:t/>
            </w:r>
            <w:proofErr w:type="spellStart"/>
            <w:r w:rsidRPr="00FC0759">
              <w:rPr>
                <w:rFonts w:eastAsia="仿宋"/>
                <w:color w:themeColor="text1" w:val="000000"/>
                <w:sz w:val="24"/>
              </w:rPr>
              <w:t/>
            </w:r>
            <w:proofErr w:type="spellEnd"/>
            <w:r w:rsidRPr="00FC0759">
              <w:rPr>
                <w:rFonts w:eastAsia="仿宋"/>
                <w:color w:themeColor="text1" w:val="000000"/>
                <w:sz w:val="24"/>
              </w:rPr>
              <w:t/>
            </w:r>
            <w:proofErr w:type="spellStart"/>
            <w:r w:rsidRPr="00FC0759">
              <w:rPr>
                <w:rFonts w:eastAsia="仿宋"/>
                <w:color w:themeColor="text1" w:val="000000"/>
                <w:sz w:val="24"/>
              </w:rPr>
              <w:t/>
            </w:r>
            <w:proofErr w:type="spellEnd"/>
            <w:r w:rsidRPr="00FC0759">
              <w:rPr>
                <w:rFonts w:eastAsia="仿宋"/>
                <w:color w:themeColor="text1" w:val="000000"/>
                <w:sz w:val="24"/>
              </w:rPr>
              <w:t/>
            </w:r>
          </w:p>
        </w:tc>
        <w:tc>
          <w:tcPr>
            <w:tcW w:type="dxa" w:w="6663"/>
            <w:gridSpan w:val="5"/>
            <w:vAlign w:val="center"/>
          </w:tcPr>
          <w:p w:rsidP="00F12FB0" w:rsidR="004B7CA0" w:rsidRDefault="004B7CA0" w:rsidRPr="00FC0759">
            <w:pPr>
              <w:autoSpaceDE w:val="0"/>
              <w:autoSpaceDN w:val="0"/>
              <w:adjustRightInd w:val="0"/>
              <w:ind w:firstLine="1126"/>
              <w:jc w:val="center"/>
              <w:rPr>
                <w:rFonts w:eastAsiaTheme="minorEastAsia"/>
                <w:b/>
                <w:bCs/>
                <w:color w:themeColor="text1" w:val="000000"/>
                <w:sz w:val="24"/>
              </w:rPr>
            </w:pPr>
            <w:r w:rsidRPr="00FC0759">
              <w:rPr>
                <w:color w:val="000000"/>
                <w:sz w:val="24"/>
              </w:rPr>
              <w:t>报告期内持有基金份额变化情况</w:t>
            </w:r>
          </w:p>
        </w:tc>
        <w:tc>
          <w:tcPr>
            <w:tcW w:type="dxa" w:w="2268"/>
            <w:gridSpan w:val="2"/>
            <w:vAlign w:val="center"/>
          </w:tcPr>
          <w:p w:rsidP="00F12FB0" w:rsidR="004B7CA0" w:rsidRDefault="004B7CA0" w:rsidRPr="00FC0759">
            <w:pPr>
              <w:autoSpaceDE w:val="0"/>
              <w:autoSpaceDN w:val="0"/>
              <w:adjustRightInd w:val="0"/>
              <w:jc w:val="center"/>
              <w:rPr>
                <w:rFonts w:eastAsiaTheme="minorEastAsia"/>
                <w:b/>
                <w:bCs/>
                <w:color w:themeColor="text1" w:val="000000"/>
                <w:sz w:val="24"/>
              </w:rPr>
            </w:pPr>
            <w:r w:rsidRPr="00FC0759">
              <w:rPr>
                <w:color w:val="000000"/>
                <w:sz w:val="24"/>
              </w:rPr>
              <w:t>报告期末持有基金情况</w:t>
            </w:r>
          </w:p>
        </w:tc>
      </w:tr>
      <w:tr w:rsidR="004B7CA0" w:rsidRPr="00FC0759" w:rsidTr="00F12FB0">
        <w:trPr>
          <w:jc w:val="center"/>
        </w:trPr>
        <w:tc>
          <w:tcPr>
            <w:tcW w:type="dxa" w:w="709"/>
            <w:vMerge/>
            <w:vAlign w:val="center"/>
          </w:tcPr>
          <w:p w:rsidP="00F12FB0" w:rsidR="004B7CA0" w:rsidRDefault="004B7CA0" w:rsidRPr="00FC0759">
            <w:pPr>
              <w:autoSpaceDE w:val="0"/>
              <w:autoSpaceDN w:val="0"/>
              <w:adjustRightInd w:val="0"/>
              <w:ind w:firstLine="1234"/>
              <w:jc w:val="center"/>
              <w:rPr>
                <w:rFonts w:eastAsiaTheme="minorEastAsia"/>
                <w:b/>
                <w:bCs/>
                <w:color w:themeColor="text1" w:val="000000"/>
                <w:sz w:val="24"/>
              </w:rPr>
            </w:pPr>
          </w:p>
        </w:tc>
        <w:tc>
          <w:tcPr>
            <w:tcW w:type="dxa" w:w="709"/>
            <w:vAlign w:val="center"/>
          </w:tcPr>
          <w:p w:rsidP="00F12FB0" w:rsidR="004B7CA0" w:rsidRDefault="004B7CA0" w:rsidRPr="00FC0759">
            <w:pPr>
              <w:autoSpaceDE w:val="0"/>
              <w:autoSpaceDN w:val="0"/>
              <w:adjustRightInd w:val="0"/>
              <w:jc w:val="center"/>
              <w:rPr>
                <w:rFonts w:eastAsiaTheme="minorEastAsia"/>
                <w:b/>
                <w:bCs/>
                <w:color w:themeColor="text1" w:val="000000"/>
                <w:sz w:val="24"/>
              </w:rPr>
            </w:pPr>
            <w:r w:rsidRPr="00FC0759">
              <w:rPr>
                <w:color w:val="000000"/>
                <w:sz w:val="24"/>
              </w:rPr>
              <w:t>序号</w:t>
            </w:r>
          </w:p>
        </w:tc>
        <w:tc>
          <w:tcPr>
            <w:tcW w:type="dxa" w:w="2126"/>
            <w:vAlign w:val="center"/>
          </w:tcPr>
          <w:p w:rsidP="00F12FB0" w:rsidR="004B7CA0" w:rsidRDefault="004B7CA0" w:rsidRPr="00FC0759">
            <w:pPr>
              <w:autoSpaceDE w:val="0"/>
              <w:autoSpaceDN w:val="0"/>
              <w:adjustRightInd w:val="0"/>
              <w:jc w:val="center"/>
              <w:rPr>
                <w:rFonts w:eastAsiaTheme="minorEastAsia"/>
                <w:b/>
                <w:bCs/>
                <w:color w:themeColor="text1" w:val="000000"/>
                <w:sz w:val="24"/>
              </w:rPr>
            </w:pPr>
            <w:r w:rsidRPr="00FC0759">
              <w:rPr>
                <w:color w:val="000000"/>
                <w:sz w:val="24"/>
              </w:rPr>
              <w:t>持有基金份额比例达到或者超过</w:t>
            </w:r>
            <w:r w:rsidRPr="00FC0759">
              <w:rPr>
                <w:color w:val="000000"/>
                <w:sz w:val="24"/>
              </w:rPr>
              <w:t>20%</w:t>
            </w:r>
            <w:r w:rsidRPr="00FC0759">
              <w:rPr>
                <w:color w:val="000000"/>
                <w:sz w:val="24"/>
              </w:rPr>
              <w:t>的时间区间</w:t>
            </w:r>
          </w:p>
        </w:tc>
        <w:tc>
          <w:tcPr>
            <w:tcW w:type="dxa" w:w="1276"/>
            <w:vAlign w:val="center"/>
          </w:tcPr>
          <w:p w:rsidP="00F12FB0" w:rsidR="004B7CA0" w:rsidRDefault="004B7CA0" w:rsidRPr="00FC0759">
            <w:pPr>
              <w:widowControl/>
              <w:rPr>
                <w:rFonts w:eastAsiaTheme="minorEastAsia"/>
                <w:b/>
                <w:bCs/>
                <w:color w:themeColor="text1" w:val="000000"/>
                <w:sz w:val="24"/>
              </w:rPr>
            </w:pPr>
            <w:r w:rsidRPr="00FC0759">
              <w:rPr>
                <w:color w:val="000000"/>
                <w:sz w:val="24"/>
              </w:rPr>
              <w:t>期初份额</w:t>
            </w:r>
          </w:p>
        </w:tc>
        <w:tc>
          <w:tcPr>
            <w:tcW w:type="dxa" w:w="1276"/>
            <w:vAlign w:val="center"/>
          </w:tcPr>
          <w:p w:rsidP="00F12FB0" w:rsidR="004B7CA0" w:rsidRDefault="004B7CA0" w:rsidRPr="00FC0759">
            <w:pPr>
              <w:widowControl/>
              <w:rPr>
                <w:rFonts w:eastAsiaTheme="minorEastAsia"/>
                <w:b/>
                <w:bCs/>
                <w:color w:themeColor="text1" w:val="000000"/>
                <w:sz w:val="24"/>
              </w:rPr>
            </w:pPr>
            <w:r w:rsidRPr="00FC0759">
              <w:rPr>
                <w:color w:val="000000"/>
                <w:sz w:val="24"/>
              </w:rPr>
              <w:t>申购份额</w:t>
            </w:r>
          </w:p>
        </w:tc>
        <w:tc>
          <w:tcPr>
            <w:tcW w:type="dxa" w:w="1276"/>
            <w:vAlign w:val="center"/>
          </w:tcPr>
          <w:p w:rsidP="00F12FB0" w:rsidR="004B7CA0" w:rsidRDefault="004B7CA0" w:rsidRPr="00FC0759">
            <w:pPr>
              <w:widowControl/>
              <w:rPr>
                <w:rFonts w:eastAsiaTheme="minorEastAsia"/>
                <w:b/>
                <w:bCs/>
                <w:color w:themeColor="text1" w:val="000000"/>
                <w:sz w:val="24"/>
              </w:rPr>
            </w:pPr>
            <w:r w:rsidRPr="00FC0759">
              <w:rPr>
                <w:color w:val="000000"/>
                <w:sz w:val="24"/>
              </w:rPr>
              <w:t>赎回份额</w:t>
            </w:r>
          </w:p>
        </w:tc>
        <w:tc>
          <w:tcPr>
            <w:tcW w:type="dxa" w:w="1417"/>
            <w:vAlign w:val="center"/>
          </w:tcPr>
          <w:p w:rsidP="00F12FB0" w:rsidR="004B7CA0" w:rsidRDefault="004B7CA0" w:rsidRPr="00FC0759">
            <w:pPr>
              <w:autoSpaceDE w:val="0"/>
              <w:autoSpaceDN w:val="0"/>
              <w:adjustRightInd w:val="0"/>
              <w:jc w:val="center"/>
              <w:rPr>
                <w:rFonts w:eastAsiaTheme="minorEastAsia"/>
                <w:b/>
                <w:bCs/>
                <w:color w:themeColor="text1" w:val="000000"/>
                <w:sz w:val="24"/>
              </w:rPr>
            </w:pPr>
            <w:r w:rsidRPr="00FC0759">
              <w:rPr>
                <w:color w:val="000000"/>
                <w:sz w:val="24"/>
              </w:rPr>
              <w:t>持有份额</w:t>
            </w:r>
          </w:p>
        </w:tc>
        <w:tc>
          <w:tcPr>
            <w:tcW w:type="dxa" w:w="851"/>
            <w:vAlign w:val="center"/>
          </w:tcPr>
          <w:p w:rsidP="00F12FB0" w:rsidR="004B7CA0" w:rsidRDefault="004B7CA0" w:rsidRPr="00FC0759">
            <w:pPr>
              <w:autoSpaceDE w:val="0"/>
              <w:autoSpaceDN w:val="0"/>
              <w:adjustRightInd w:val="0"/>
              <w:jc w:val="center"/>
              <w:rPr>
                <w:rFonts w:eastAsiaTheme="minorEastAsia"/>
                <w:b/>
                <w:bCs/>
                <w:color w:themeColor="text1" w:val="000000"/>
                <w:sz w:val="24"/>
              </w:rPr>
            </w:pPr>
            <w:r w:rsidRPr="00FC0759">
              <w:rPr>
                <w:color w:val="000000"/>
                <w:sz w:val="24"/>
              </w:rPr>
              <w:t>份额占比</w:t>
            </w:r>
          </w:p>
        </w:tc>
      </w:tr>
      <w:tr>
        <w:tc>
          <w:tcPr>
            <w:vMerge w:val="restart"/>
            <w:vAlign w:val="center"/>
          </w:tcPr>
          <w:p>
            <w:r>
              <w:rPr>
                <w:rFonts w:eastAsiaTheme="minorEastAsia"/>
                <w:bCs/>
                <w:color w:themeColor="text1" w:val="000000"/>
                <w:sz w:val="24"/>
              </w:rPr>
              <w:t>机构</w:t>
            </w:r>
          </w:p>
        </w:tc>
        <w:tc>
          <w:tcPr>
            <w:vAlign w:val="center"/>
          </w:tcPr>
          <w:p>
            <w:pPr>
              <w:jc w:val="center"/>
            </w:pPr>
            <w:r>
              <w:rPr>
                <w:sz w:val="24"/>
              </w:rPr>
              <w:t>1</w:t>
            </w:r>
          </w:p>
        </w:tc>
        <w:tc>
          <w:tcPr>
            <w:vAlign w:val="center"/>
          </w:tcPr>
          <w:p>
            <w:pPr>
              <w:jc w:val="center"/>
            </w:pPr>
            <w:r>
              <w:rPr>
                <w:sz w:val="24"/>
              </w:rPr>
              <w:t>2020年04月01日~2020年06月30日</w:t>
            </w:r>
          </w:p>
        </w:tc>
        <w:tc>
          <w:tcPr>
            <w:vAlign w:val="center"/>
          </w:tcPr>
          <w:p>
            <w:pPr>
              <w:jc w:val="center"/>
            </w:pPr>
            <w:r>
              <w:rPr>
                <w:sz w:val="24"/>
              </w:rPr>
              <w:t>68,066,411.25</w:t>
            </w:r>
          </w:p>
        </w:tc>
        <w:tc>
          <w:tcPr>
            <w:vAlign w:val="center"/>
          </w:tcPr>
          <w:p>
            <w:pPr>
              <w:jc w:val="center"/>
            </w:pPr>
            <w:r>
              <w:rPr>
                <w:sz w:val="24"/>
              </w:rPr>
              <w:t>819,536.34</w:t>
            </w:r>
          </w:p>
        </w:tc>
        <w:tc>
          <w:tcPr>
            <w:vAlign w:val="center"/>
          </w:tcPr>
          <w:p>
            <w:pPr>
              <w:jc w:val="center"/>
            </w:pPr>
            <w:r>
              <w:rPr>
                <w:sz w:val="24"/>
              </w:rPr>
              <w:t>-</w:t>
            </w:r>
          </w:p>
        </w:tc>
        <w:tc>
          <w:tcPr>
            <w:vAlign w:val="center"/>
          </w:tcPr>
          <w:p>
            <w:pPr>
              <w:jc w:val="center"/>
            </w:pPr>
            <w:r>
              <w:rPr>
                <w:sz w:val="24"/>
              </w:rPr>
              <w:t>68,885,947.59</w:t>
            </w:r>
          </w:p>
        </w:tc>
        <w:tc>
          <w:tcPr>
            <w:vAlign w:val="center"/>
          </w:tcPr>
          <w:p>
            <w:pPr>
              <w:jc w:val="center"/>
            </w:pPr>
            <w:r>
              <w:rPr>
                <w:sz w:val="24"/>
              </w:rPr>
              <w:t>24.65%</w:t>
            </w:r>
          </w:p>
        </w:tc>
      </w:tr>
    </w:tbl>
    <w:tbl>
      <w:tblPr>
        <w:tblStyle w:val="af7"/>
        <w:tblW w:type="dxa" w:w="9637"/>
        <w:jc w:val="center"/>
        <w:tblLayout w:type="fixed"/>
        <w:tblLook w:firstColumn="1" w:firstRow="1" w:lastColumn="0" w:lastRow="0" w:noHBand="0" w:noVBand="1" w:val="04A0"/>
      </w:tblPr>
      <w:tblGrid>
        <w:gridCol w:w="9637"/>
      </w:tblGrid>
      <w:tr w:rsidR="004B7CA0" w:rsidRPr="00FC0759" w:rsidTr="00F12FB0">
        <w:trPr>
          <w:jc w:val="center"/>
        </w:trPr>
        <w:tc>
          <w:tcPr>
            <w:tcW w:type="dxa" w:w="9637"/>
            <w:vAlign w:val="center"/>
          </w:tcPr>
          <w:p w:rsidP="007C2BCC" w:rsidR="004B7CA0" w:rsidRDefault="004B7CA0" w:rsidRPr="00FC0759">
            <w:pPr>
              <w:autoSpaceDE w:val="0"/>
              <w:autoSpaceDN w:val="0"/>
              <w:adjustRightInd w:val="0"/>
              <w:jc w:val="center"/>
              <w:rPr>
                <w:sz w:val="24"/>
              </w:rPr>
            </w:pPr>
            <w:r w:rsidRPr="00FC0759">
              <w:rPr>
                <w:color w:val="000000"/>
                <w:sz w:val="24"/>
              </w:rPr>
              <w:t>产品特有风险</w:t>
            </w:r>
            <w:r w:rsidRPr="00FC0759">
              <w:rPr>
                <w:sz w:val="24"/>
              </w:rPr>
              <w:t/>
            </w:r>
            <w:proofErr w:type="spellStart"/>
            <w:r w:rsidRPr="00FC0759">
              <w:rPr>
                <w:sz w:val="24"/>
              </w:rPr>
              <w:t/>
            </w:r>
            <w:proofErr w:type="spellEnd"/>
            <w:r w:rsidRPr="00FC0759">
              <w:rPr>
                <w:sz w:val="24"/>
              </w:rPr>
              <w:t/>
            </w:r>
          </w:p>
        </w:tc>
      </w:tr>
      <w:tr w:rsidR="004B7CA0" w:rsidRPr="00FC0759" w:rsidTr="00F12FB0">
        <w:trPr>
          <w:jc w:val="center"/>
        </w:trPr>
        <w:tc>
          <w:tcPr>
            <w:tcW w:type="dxa" w:w="9637"/>
            <w:vAlign w:val="center"/>
          </w:tcPr>
          <w:p w:rsidP="00F12FB0" w:rsidR="004B7CA0" w:rsidRDefault="004B7CA0" w:rsidRPr="00FC0759">
            <w:pPr>
              <w:autoSpaceDE w:val="0"/>
              <w:autoSpaceDN w:val="0"/>
              <w:adjustRightInd w:val="0"/>
              <w:jc w:val="left"/>
              <w:rPr>
                <w:sz w:val="24"/>
              </w:rPr>
            </w:pPr>
            <w:r w:rsidRPr="00FC0759">
              <w:rPr>
                <w:sz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5000万元，基金还可能面临转换运作方式、与其他基金合并或者终止基金合同等情形；持有基金份额占比较高的投资者在召开持有人大会并对审议事项进行投票表决时可能拥有较大话语权。</w:t>
            </w:r>
          </w:p>
        </w:tc>
      </w:tr>
    </w:tbl>
    <w:p w:rsidP="004B7CA0" w:rsidR="004B7CA0" w:rsidRDefault="004B7CA0" w:rsidRPr="00FC0759">
      <w:pPr>
        <w:autoSpaceDE w:val="0"/>
        <w:autoSpaceDN w:val="0"/>
        <w:adjustRightInd w:val="0"/>
        <w:spacing w:line="360" w:lineRule="auto"/>
        <w:ind w:firstLine="480" w:firstLineChars="200"/>
        <w:jc w:val="left"/>
        <w:rPr>
          <w:rFonts w:eastAsiaTheme="minorEastAsia"/>
          <w:bCs/>
          <w:color w:themeColor="text1" w:val="000000"/>
          <w:kern w:val="0"/>
          <w:sz w:val="24"/>
        </w:rPr>
      </w:pPr>
      <w:r w:rsidRPr="00FC0759">
        <w:rPr>
          <w:bCs/>
          <w:color w:themeColor="text1" w:val="000000"/>
          <w:kern w:val="0"/>
          <w:sz w:val="24"/>
        </w:rPr>
        <w:t>注：申购份额包括申购或者买入基金份额，赎回份额包括赎回或者卖出基金份额。</w:t>
      </w:r>
    </w:p>
    <w:p w:rsidP="004B7CA0" w:rsidR="004B7CA0" w:rsidRDefault="004B7CA0" w:rsidRPr="00654C5E">
      <w:pPr>
        <w:autoSpaceDE w:val="0"/>
        <w:autoSpaceDN w:val="0"/>
        <w:adjustRightInd w:val="0"/>
        <w:spacing w:line="360" w:lineRule="auto"/>
        <w:jc w:val="left"/>
        <w:rPr>
          <w:rFonts w:ascii="宋体"/>
          <w:b/>
          <w:bCs/>
          <w:color w:val="000000"/>
          <w:kern w:val="0"/>
          <w:sz w:val="24"/>
        </w:rPr>
      </w:pPr>
      <w:r w:rsidRPr="00654C5E">
        <w:rPr>
          <w:rFonts w:ascii="宋体"/>
          <w:b/>
          <w:bCs/>
          <w:color w:val="000000"/>
          <w:kern w:val="0"/>
          <w:sz w:val="24"/>
        </w:rPr>
        <w:t/>
      </w:r>
      <w:proofErr w:type="spellStart"/>
      <w:r w:rsidRPr="00654C5E">
        <w:rPr>
          <w:rFonts w:ascii="宋体"/>
          <w:b/>
          <w:bCs/>
          <w:color w:val="000000"/>
          <w:kern w:val="0"/>
          <w:sz w:val="24"/>
        </w:rPr>
        <w:t/>
      </w:r>
      <w:proofErr w:type="spellEnd"/>
      <w:r w:rsidRPr="00654C5E">
        <w:rPr>
          <w:rFonts w:ascii="宋体"/>
          <w:b/>
          <w:bCs/>
          <w:color w:val="000000"/>
          <w:kern w:val="0"/>
          <w:sz w:val="24"/>
        </w:rPr>
        <w:t>8.2 影响投资者决策的其他重要信息</w:t>
      </w:r>
    </w:p>
    <w:p w:rsidP="004B7CA0" w:rsidR="001C36D8" w:rsidRDefault="004B7CA0" w:rsidRPr="003D22BD">
      <w:pPr>
        <w:spacing w:line="360" w:lineRule="auto"/>
        <w:ind w:firstLine="480" w:firstLineChars="200"/>
        <w:rPr>
          <w:color w:val="000000"/>
          <w:sz w:val="24"/>
        </w:rPr>
      </w:pPr>
      <w:r w:rsidRPr="00FC0759">
        <w:rPr>
          <w:rFonts w:eastAsiaTheme="minorEastAsia"/>
          <w:color w:themeColor="text1" w:val="000000"/>
          <w:sz w:val="24"/>
        </w:rPr>
        <w:t/>
      </w:r>
      <w:proofErr w:type="spellStart"/>
      <w:r w:rsidRPr="00FC0759">
        <w:rPr>
          <w:color w:themeColor="text1" w:val="000000"/>
          <w:sz w:val="24"/>
        </w:rPr>
        <w:t/>
      </w:r>
      <w:proofErr w:type="spellEnd"/>
      <w:r w:rsidRPr="00FC0759">
        <w:rPr>
          <w:rFonts w:eastAsiaTheme="minorEastAsia"/>
          <w:color w:themeColor="text1" w:val="000000"/>
          <w:sz w:val="24"/>
        </w:rPr>
        <w:t>本基金于2020年6月8日至2020年7月6日期间以通讯方式召开了基金份额持有人大会，并于2020年7月7日表决通过了《关于易方达银行指数分级证券投资基金转型有关事项的议案》。本次基金份额持有人大会决议生效后，本基金的转型选择期为2020年7月8日至2020年8月4日，以供基金份额持有人做出赎回、卖出等选择。选择期结束后，基金管理人将以2020年8月5日为基金份额转换基准日。在基金份额转换基准日日终，以易方达银行分级份额的基金份额净值为基准，易方达银行分级A类份额、易方达银行分级B类份额按照各自的基金份额参考净值折算转换成易方达中证银行指数证券投资基金（LOF）A类基金份额的场内份额，此外就转型后形成的易方达中证银行指数证券投资基金（LOF）增加C类基金份额。基金管理人将按照深圳证券交易所的业务规则和《易方达银行指数分级证券投资基金基金合同》等的有关规定向深圳证券交易所申请易方达银行分级A类份额与易方达银行分级B类份额的终止上市。自2020年8月7日起，本基金正式变更为易方达中证银行指数证券投资基金（LOF），《易方达中证银行指数证券投资基金（LOF）基金合同》生效，《易方达银行指数分级证券投资基金基金合同》同日失效。有关重要事项详情可见基金管理人在2020年7月8日在《上海证券报》、易方达基金管理有限公司官网和中国证监会基金电子披露网站发布的《易方达基金管理有限公司关于易方达银行指数分级证券投资基金基金份额持有人大会表决结果暨决议生效的公告》。</w:t>
      </w:r>
    </w:p>
    <w:p w:rsidP="005C6DF3" w:rsidR="001C36D8" w:rsidRDefault="001C36D8" w:rsidRPr="00272E0C">
      <w:pPr>
        <w:pStyle w:val="1"/>
        <w:spacing w:after="312" w:afterLines="100" w:before="312" w:beforeLines="100" w:line="360" w:lineRule="auto"/>
        <w:jc w:val="center"/>
        <w:rPr>
          <w:rFonts w:ascii="宋体" w:cs="Arial"/>
          <w:color w:val="000000"/>
          <w:kern w:val="0"/>
          <w:sz w:val="24"/>
          <w:szCs w:val="24"/>
        </w:rPr>
      </w:pPr>
      <w:r w:rsidRPr="00272E0C">
        <w:rPr>
          <w:rFonts w:ascii="宋体" w:cs="Arial" w:hAnsi="宋体" w:hint="eastAsia"/>
          <w:color w:val="000000"/>
          <w:kern w:val="0"/>
          <w:sz w:val="24"/>
          <w:szCs w:val="24"/>
        </w:rPr>
        <w:t>§</w:t>
      </w:r>
      <w:r w:rsidRPr="00272E0C">
        <w:rPr>
          <w:rFonts w:ascii="宋体" w:cs="Arial"/>
          <w:color w:val="000000"/>
          <w:kern w:val="0"/>
          <w:sz w:val="24"/>
          <w:szCs w:val="24"/>
        </w:rPr>
        <w:t/>
      </w:r>
      <w:r w:rsidRPr="00272E0C">
        <w:rPr>
          <w:rFonts w:ascii="宋体" w:cs="Arial" w:hAnsi="宋体"/>
          <w:color w:val="000000"/>
          <w:kern w:val="0"/>
          <w:sz w:val="24"/>
          <w:szCs w:val="24"/>
        </w:rPr>
        <w:t>9</w:t>
      </w:r>
      <w:r w:rsidR="005D2CC7" w:rsidRPr="00272E0C">
        <w:rPr>
          <w:rFonts w:ascii="宋体" w:cs="Arial" w:hAnsi="宋体"/>
          <w:color w:val="000000"/>
          <w:kern w:val="0"/>
          <w:sz w:val="24"/>
          <w:szCs w:val="24"/>
        </w:rPr>
        <w:t xml:space="preserve">  </w:t>
      </w:r>
      <w:r w:rsidRPr="00272E0C">
        <w:rPr>
          <w:rFonts w:ascii="宋体" w:cs="Arial" w:hAnsi="宋体" w:hint="eastAsia"/>
          <w:color w:val="000000"/>
          <w:kern w:val="0"/>
          <w:sz w:val="24"/>
          <w:szCs w:val="24"/>
        </w:rPr>
        <w:t>备查文件目录</w:t>
      </w:r>
    </w:p>
    <w:p w:rsidP="001078B6" w:rsidR="001C36D8" w:rsidRDefault="001C36D8" w:rsidRPr="00CE2DE4">
      <w:pPr>
        <w:spacing w:line="360" w:lineRule="auto"/>
        <w:rPr>
          <w:rFonts w:ascii="宋体"/>
          <w:b/>
          <w:color w:val="000000"/>
          <w:kern w:val="0"/>
          <w:sz w:val="24"/>
        </w:rPr>
      </w:pPr>
      <w:r w:rsidRPr="00CE2DE4">
        <w:rPr>
          <w:rFonts w:ascii="宋体"/>
          <w:b/>
          <w:color w:val="000000"/>
          <w:sz w:val="24"/>
        </w:rPr>
        <w:t/>
      </w:r>
      <w:r w:rsidRPr="00CE2DE4">
        <w:rPr>
          <w:rFonts w:ascii="宋体" w:hAnsi="宋体"/>
          <w:b/>
          <w:color w:val="000000"/>
          <w:sz w:val="24"/>
        </w:rPr>
        <w:t xml:space="preserve">9.1 </w:t>
      </w:r>
      <w:r w:rsidRPr="00CE2DE4">
        <w:rPr>
          <w:rFonts w:ascii="宋体" w:hAnsi="宋体" w:hint="eastAsia"/>
          <w:b/>
          <w:color w:val="000000"/>
          <w:sz w:val="24"/>
        </w:rPr>
        <w:t>备查文件目录</w:t>
      </w:r>
    </w:p>
    <w:p>
      <w:pPr>
        <w:spacing w:line="360" w:lineRule="auto"/>
        <w:ind w:firstLine="480" w:firstLineChars="200"/>
        <w:rPr>
          <w:color w:val="000000"/>
          <w:sz w:val="24"/>
        </w:rPr>
      </w:pPr>
      <w:r>
        <w:rPr>
          <w:color w:val="000000"/>
          <w:sz w:val="24"/>
        </w:rPr>
        <w:t>1.中国证监会准予易方达银行指数分级证券投资基金募集注册的文件；</w:t>
      </w:r>
    </w:p>
    <w:p>
      <w:pPr>
        <w:spacing w:line="360" w:lineRule="auto"/>
        <w:ind w:firstLine="480" w:firstLineChars="200"/>
        <w:rPr>
          <w:color w:val="000000"/>
          <w:sz w:val="24"/>
        </w:rPr>
      </w:pPr>
      <w:r>
        <w:rPr>
          <w:color w:val="000000"/>
          <w:sz w:val="24"/>
        </w:rPr>
        <w:t>2.《易方达银行指数分级证券投资基金基金合同》；</w:t>
      </w:r>
    </w:p>
    <w:p>
      <w:pPr>
        <w:spacing w:line="360" w:lineRule="auto"/>
        <w:ind w:firstLine="480" w:firstLineChars="200"/>
        <w:rPr>
          <w:color w:val="000000"/>
          <w:sz w:val="24"/>
        </w:rPr>
      </w:pPr>
      <w:r>
        <w:rPr>
          <w:color w:val="000000"/>
          <w:sz w:val="24"/>
        </w:rPr>
        <w:t>3.《易方达银行指数分级证券投资基金托管协议》；</w:t>
      </w:r>
    </w:p>
    <w:p w:rsidP="00E43B0B" w:rsidR="001C36D8" w:rsidRDefault="001C36D8" w:rsidRPr="00E43B0B">
      <w:pPr>
        <w:spacing w:line="360" w:lineRule="auto"/>
        <w:ind w:firstLine="480" w:firstLineChars="200"/>
        <w:rPr>
          <w:color w:val="000000"/>
          <w:sz w:val="24"/>
        </w:rPr>
      </w:pPr>
      <w:r w:rsidRPr="003D22BD">
        <w:rPr>
          <w:color w:val="000000"/>
          <w:sz w:val="24"/>
        </w:rPr>
        <w:lastRenderedPageBreak/>
        <w:t/>
      </w:r>
      <w:proofErr w:type="spellStart"/>
      <w:r w:rsidRPr="003D22BD">
        <w:rPr>
          <w:color w:val="000000"/>
          <w:sz w:val="24"/>
        </w:rPr>
        <w:t/>
      </w:r>
      <w:proofErr w:type="spellEnd"/>
      <w:r w:rsidRPr="003D22BD">
        <w:rPr>
          <w:color w:val="000000"/>
          <w:sz w:val="24"/>
        </w:rPr>
        <w:t>4.基金管理人业务资格批件和营业执照。</w:t>
      </w:r>
    </w:p>
    <w:p w:rsidP="001078B6" w:rsidR="001C36D8" w:rsidRDefault="001C36D8" w:rsidRPr="00CE2DE4">
      <w:pPr>
        <w:spacing w:line="360" w:lineRule="auto"/>
        <w:rPr>
          <w:rFonts w:ascii="宋体"/>
          <w:b/>
          <w:color w:val="000000"/>
          <w:sz w:val="24"/>
        </w:rPr>
      </w:pPr>
      <w:r w:rsidRPr="00CE2DE4">
        <w:rPr>
          <w:rFonts w:ascii="宋体"/>
          <w:b/>
          <w:color w:val="000000"/>
          <w:sz w:val="24"/>
        </w:rPr>
        <w:t/>
      </w:r>
      <w:r w:rsidRPr="00CE2DE4">
        <w:rPr>
          <w:rFonts w:ascii="宋体" w:hAnsi="宋体"/>
          <w:b/>
          <w:color w:val="000000"/>
          <w:sz w:val="24"/>
        </w:rPr>
        <w:t xml:space="preserve">9.2 </w:t>
      </w:r>
      <w:r w:rsidRPr="00CE2DE4">
        <w:rPr>
          <w:rFonts w:ascii="宋体" w:hAnsi="宋体" w:hint="eastAsia"/>
          <w:b/>
          <w:color w:val="000000"/>
          <w:sz w:val="24"/>
        </w:rPr>
        <w:t>存放地点</w:t>
      </w:r>
    </w:p>
    <w:p w:rsidP="00E43B0B" w:rsidR="001C36D8" w:rsidRDefault="001C36D8" w:rsidRPr="00E43B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广州市天河区珠江新城珠江东路30号广州银行大厦40-43楼。</w:t>
      </w:r>
    </w:p>
    <w:p w:rsidP="001078B6" w:rsidR="001C36D8" w:rsidRDefault="001C36D8" w:rsidRPr="00CE2DE4">
      <w:pPr>
        <w:spacing w:line="360" w:lineRule="auto"/>
        <w:rPr>
          <w:rFonts w:ascii="宋体"/>
          <w:b/>
          <w:color w:val="000000"/>
          <w:sz w:val="24"/>
        </w:rPr>
      </w:pPr>
      <w:r w:rsidRPr="00CE2DE4">
        <w:rPr>
          <w:rFonts w:ascii="宋体"/>
          <w:b/>
          <w:color w:val="000000"/>
          <w:sz w:val="24"/>
        </w:rPr>
        <w:t/>
      </w:r>
      <w:r w:rsidRPr="00CE2DE4">
        <w:rPr>
          <w:rFonts w:ascii="宋体" w:hAnsi="宋体"/>
          <w:b/>
          <w:color w:val="000000"/>
          <w:sz w:val="24"/>
        </w:rPr>
        <w:t xml:space="preserve">9.3 </w:t>
      </w:r>
      <w:r w:rsidRPr="00CE2DE4">
        <w:rPr>
          <w:rFonts w:ascii="宋体" w:hAnsi="宋体" w:hint="eastAsia"/>
          <w:b/>
          <w:color w:val="000000"/>
          <w:sz w:val="24"/>
        </w:rPr>
        <w:t>查阅方式</w:t>
      </w:r>
    </w:p>
    <w:p w:rsidP="0015779C" w:rsidR="001C36D8" w:rsidRDefault="001C36D8" w:rsidRPr="003D22BD">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投资者可在营业时间免费查阅，也可按工本费购买复印件。</w:t>
      </w:r>
    </w:p>
    <w:p w:rsidP="0019563C" w:rsidR="001C36D8" w:rsidRDefault="001C36D8" w:rsidRPr="00272E0C">
      <w:pPr>
        <w:spacing w:line="360" w:lineRule="auto"/>
        <w:ind w:left="840"/>
        <w:jc w:val="right"/>
        <w:rPr>
          <w:rFonts w:ascii="宋体"/>
          <w:color w:val="000000"/>
          <w:sz w:val="24"/>
        </w:rPr>
      </w:pPr>
      <w:r w:rsidRPr="00272E0C">
        <w:rPr>
          <w:rFonts w:ascii="宋体"/>
          <w:color w:val="000000"/>
          <w:sz w:val="24"/>
        </w:rPr>
        <w:tab/>
      </w:r>
    </w:p>
    <w:p w:rsidP="0019563C" w:rsidR="001C36D8" w:rsidRDefault="001C36D8">
      <w:pPr>
        <w:spacing w:line="360" w:lineRule="auto"/>
        <w:ind w:left="840"/>
        <w:jc w:val="right"/>
        <w:rPr>
          <w:rFonts w:ascii="宋体"/>
          <w:color w:val="000000"/>
          <w:sz w:val="24"/>
        </w:rPr>
      </w:pPr>
    </w:p>
    <w:p w:rsidP="0019563C" w:rsidR="001C36D8" w:rsidRDefault="001C36D8">
      <w:pPr>
        <w:spacing w:line="360" w:lineRule="auto"/>
        <w:ind w:left="840"/>
        <w:jc w:val="right"/>
        <w:rPr>
          <w:rFonts w:ascii="宋体"/>
          <w:color w:val="000000"/>
          <w:sz w:val="24"/>
        </w:rPr>
      </w:pPr>
    </w:p>
    <w:p w:rsidP="0019563C" w:rsidR="001C36D8" w:rsidRDefault="001C36D8">
      <w:pPr>
        <w:spacing w:line="360" w:lineRule="auto"/>
        <w:ind w:left="840"/>
        <w:jc w:val="right"/>
        <w:rPr>
          <w:rFonts w:ascii="宋体"/>
          <w:color w:val="000000"/>
          <w:sz w:val="24"/>
        </w:rPr>
      </w:pPr>
    </w:p>
    <w:p w:rsidP="0019563C" w:rsidR="001C36D8" w:rsidRDefault="001C36D8" w:rsidRPr="00272E0C">
      <w:pPr>
        <w:spacing w:line="360" w:lineRule="auto"/>
        <w:ind w:left="840"/>
        <w:jc w:val="right"/>
        <w:rPr>
          <w:rFonts w:ascii="宋体"/>
          <w:color w:val="000000"/>
          <w:sz w:val="24"/>
        </w:rPr>
      </w:pPr>
    </w:p>
    <w:p w:rsidP="0019563C" w:rsidR="001C36D8" w:rsidRDefault="001C36D8" w:rsidRPr="00272E0C">
      <w:pPr>
        <w:spacing w:line="360" w:lineRule="auto"/>
        <w:ind w:left="840"/>
        <w:jc w:val="right"/>
        <w:rPr>
          <w:rFonts w:ascii="宋体"/>
          <w:color w:val="000000"/>
          <w:sz w:val="24"/>
        </w:rPr>
      </w:pPr>
    </w:p>
    <w:p w:rsidP="001078B6" w:rsidR="001C36D8" w:rsidRDefault="001C36D8" w:rsidRPr="00272E0C">
      <w:pPr>
        <w:spacing w:line="360" w:lineRule="auto"/>
        <w:jc w:val="right"/>
        <w:rPr>
          <w:rFonts w:ascii="宋体" w:hAnsi="宋体"/>
          <w:b/>
          <w:bCs/>
          <w:sz w:val="24"/>
        </w:rPr>
      </w:pPr>
      <w:r w:rsidRPr="00272E0C">
        <w:rPr>
          <w:rFonts w:ascii="宋体"/>
          <w:b/>
          <w:bCs/>
          <w:sz w:val="24"/>
        </w:rPr>
        <w:t/>
      </w:r>
      <w:proofErr w:type="spellStart"/>
      <w:r w:rsidRPr="00272E0C">
        <w:rPr>
          <w:rFonts w:ascii="宋体" w:hAnsi="宋体"/>
          <w:b/>
          <w:bCs/>
          <w:sz w:val="24"/>
        </w:rPr>
        <w:t/>
      </w:r>
      <w:proofErr w:type="spellEnd"/>
      <w:r w:rsidRPr="00272E0C">
        <w:rPr>
          <w:rFonts w:ascii="宋体" w:hAnsi="宋体"/>
          <w:b/>
          <w:bCs/>
          <w:sz w:val="24"/>
        </w:rPr>
        <w:t>易方达基金管理有限公司</w:t>
      </w:r>
    </w:p>
    <w:p w:rsidP="008C2A97" w:rsidR="001C36D8" w:rsidRDefault="001C36D8" w:rsidRPr="008C2A97">
      <w:pPr>
        <w:spacing w:line="360" w:lineRule="auto"/>
        <w:jc w:val="right"/>
        <w:rPr>
          <w:rFonts w:ascii="宋体" w:hAnsi="宋体"/>
          <w:b/>
          <w:bCs/>
          <w:sz w:val="24"/>
        </w:rPr>
      </w:pPr>
      <w:r w:rsidRPr="00272E0C">
        <w:rPr>
          <w:rFonts w:ascii="宋体" w:hAnsi="宋体"/>
          <w:b/>
          <w:bCs/>
          <w:sz w:val="24"/>
        </w:rPr>
        <w:t/>
      </w:r>
      <w:proofErr w:type="spellStart"/>
      <w:r w:rsidRPr="00272E0C">
        <w:rPr>
          <w:rFonts w:ascii="宋体" w:hAnsi="宋体"/>
          <w:b/>
          <w:bCs/>
          <w:sz w:val="24"/>
        </w:rPr>
        <w:t/>
      </w:r>
      <w:proofErr w:type="spellEnd"/>
      <w:r w:rsidRPr="00272E0C">
        <w:rPr>
          <w:rFonts w:ascii="宋体" w:hAnsi="宋体"/>
          <w:b/>
          <w:bCs/>
          <w:sz w:val="24"/>
        </w:rPr>
        <w:t>二〇二〇年七月二十一日</w:t>
      </w:r>
    </w:p>
    <w:sectPr w:rsidR="001C36D8" w:rsidRPr="008C2A97" w:rsidSect="00DB4450">
      <w:footerReference r:id="rId11" w:type="even"/>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9E0" w:rsidRDefault="001C19E0">
      <w:r>
        <w:separator/>
      </w:r>
    </w:p>
  </w:endnote>
  <w:endnote w:type="continuationSeparator" w:id="0">
    <w:p w:rsidR="001C19E0" w:rsidRDefault="001C1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TSong-Light">
    <w:altName w:val="Times New Roman"/>
    <w:panose1 w:val="00000000000000000000"/>
    <w:charset w:val="00"/>
    <w:family w:val="roman"/>
    <w:notTrueType/>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230A66" w:rsidR="00E43B0B" w:rsidRDefault="00E43B0B" w:rsidRPr="001D0DB0">
    <w:pPr>
      <w:pStyle w:val="a6"/>
      <w:jc w:val="center"/>
    </w:pPr>
    <w:r>
      <w:rPr>
        <w:rFonts w:hint="eastAsia"/>
        <w:kern w:val="0"/>
        <w:szCs w:val="21"/>
      </w:rPr>
      <w:t>第</w:t>
    </w:r>
    <w:r w:rsidR="0015021E">
      <w:rPr>
        <w:kern w:val="0"/>
        <w:szCs w:val="21"/>
      </w:rPr>
      <w:fldChar w:fldCharType="begin"/>
    </w:r>
    <w:r>
      <w:rPr>
        <w:kern w:val="0"/>
        <w:szCs w:val="21"/>
      </w:rPr>
      <w:instrText xml:space="preserve"> PAGE </w:instrText>
    </w:r>
    <w:r w:rsidR="0015021E">
      <w:rPr>
        <w:kern w:val="0"/>
        <w:szCs w:val="21"/>
      </w:rPr>
      <w:fldChar w:fldCharType="separate"/>
    </w:r>
    <w:r w:rsidR="00FE4BF2">
      <w:rPr>
        <w:noProof/>
        <w:kern w:val="0"/>
        <w:szCs w:val="21"/>
      </w:rPr>
      <w:t>1</w:t>
    </w:r>
    <w:r w:rsidR="0015021E">
      <w:rPr>
        <w:kern w:val="0"/>
        <w:szCs w:val="21"/>
      </w:rPr>
      <w:fldChar w:fldCharType="end"/>
    </w:r>
    <w:proofErr w:type="gramStart"/>
    <w:r>
      <w:rPr>
        <w:rFonts w:hint="eastAsia"/>
        <w:kern w:val="0"/>
        <w:szCs w:val="21"/>
      </w:rPr>
      <w:t>页共</w:t>
    </w:r>
    <w:proofErr w:type="gramEnd"/>
    <w:r w:rsidR="0015021E">
      <w:rPr>
        <w:kern w:val="0"/>
        <w:szCs w:val="21"/>
      </w:rPr>
      <w:fldChar w:fldCharType="begin"/>
    </w:r>
    <w:r>
      <w:rPr>
        <w:kern w:val="0"/>
        <w:szCs w:val="21"/>
      </w:rPr>
      <w:instrText xml:space="preserve"> NUMPAGES </w:instrText>
    </w:r>
    <w:r w:rsidR="0015021E">
      <w:rPr>
        <w:kern w:val="0"/>
        <w:szCs w:val="21"/>
      </w:rPr>
      <w:fldChar w:fldCharType="separate"/>
    </w:r>
    <w:r w:rsidR="00FE4BF2">
      <w:rPr>
        <w:noProof/>
        <w:kern w:val="0"/>
        <w:szCs w:val="21"/>
      </w:rPr>
      <w:t>28</w:t>
    </w:r>
    <w:r w:rsidR="0015021E">
      <w:rPr>
        <w:kern w:val="0"/>
        <w:szCs w:val="21"/>
      </w:rPr>
      <w:fldChar w:fldCharType="end"/>
    </w:r>
    <w:r>
      <w:rPr>
        <w:rFonts w:hint="eastAsia"/>
        <w:kern w:val="0"/>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E43B0B" w:rsidRDefault="0015021E">
    <w:pPr>
      <w:pStyle w:val="a6"/>
      <w:framePr w:hAnchor="margin" w:vAnchor="text" w:wrap="around" w:xAlign="center" w:y="1"/>
      <w:rPr>
        <w:rStyle w:val="a7"/>
      </w:rPr>
    </w:pPr>
    <w:r>
      <w:rPr>
        <w:rStyle w:val="a7"/>
      </w:rPr>
      <w:fldChar w:fldCharType="begin"/>
    </w:r>
    <w:r w:rsidR="00E43B0B">
      <w:rPr>
        <w:rStyle w:val="a7"/>
      </w:rPr>
      <w:instrText xml:space="preserve">PAGE  </w:instrText>
    </w:r>
    <w:r>
      <w:rPr>
        <w:rStyle w:val="a7"/>
      </w:rPr>
      <w:fldChar w:fldCharType="end"/>
    </w:r>
  </w:p>
  <w:p w:rsidR="00E43B0B" w:rsidRDefault="00E43B0B">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E43B0B" w:rsidRDefault="0015021E">
    <w:pPr>
      <w:pStyle w:val="a6"/>
      <w:framePr w:hAnchor="margin" w:vAnchor="text" w:wrap="around" w:xAlign="center" w:y="1"/>
      <w:rPr>
        <w:rStyle w:val="a7"/>
      </w:rPr>
    </w:pPr>
    <w:r>
      <w:rPr>
        <w:rStyle w:val="a7"/>
      </w:rPr>
      <w:fldChar w:fldCharType="begin"/>
    </w:r>
    <w:r w:rsidR="00E43B0B">
      <w:rPr>
        <w:rStyle w:val="a7"/>
      </w:rPr>
      <w:instrText xml:space="preserve">PAGE  </w:instrText>
    </w:r>
    <w:r>
      <w:rPr>
        <w:rStyle w:val="a7"/>
      </w:rPr>
      <w:fldChar w:fldCharType="separate"/>
    </w:r>
    <w:r w:rsidR="00FE4BF2">
      <w:rPr>
        <w:rStyle w:val="a7"/>
        <w:noProof/>
      </w:rPr>
      <w:t>19</w:t>
    </w:r>
    <w:r>
      <w:rPr>
        <w:rStyle w:val="a7"/>
      </w:rPr>
      <w:fldChar w:fldCharType="end"/>
    </w:r>
  </w:p>
  <w:p w:rsidR="00E43B0B" w:rsidRDefault="00E43B0B">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1C19E0" w:rsidRDefault="001C19E0">
      <w:r>
        <w:separator/>
      </w:r>
    </w:p>
  </w:footnote>
  <w:footnote w:id="0" w:type="continuationSeparator">
    <w:p w:rsidR="001C19E0" w:rsidRDefault="001C19E0">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B572A" w:rsidR="00E43B0B" w:rsidRDefault="00E43B0B" w:rsidRPr="00717C29">
    <w:pPr>
      <w:pStyle w:val="a9"/>
      <w:pBdr>
        <w:bottom w:color="auto" w:space="0" w:sz="6" w:val="single"/>
      </w:pBdr>
      <w:jc w:val="right"/>
      <w:rPr>
        <w:sz w:val="15"/>
      </w:rPr>
    </w:pPr>
    <w:r w:rsidRPr="00717C29">
      <w:rPr>
        <w:szCs w:val="21"/>
      </w:rPr>
      <w:t/>
    </w:r>
    <w:proofErr w:type="spellStart"/>
    <w:proofErr w:type="gramStart"/>
    <w:r w:rsidRPr="00717C29">
      <w:rPr>
        <w:szCs w:val="21"/>
      </w:rPr>
      <w:t/>
    </w:r>
    <w:proofErr w:type="spellEnd"/>
    <w:proofErr w:type="gramEnd"/>
    <w:r w:rsidRPr="00717C29">
      <w:rPr>
        <w:szCs w:val="21"/>
      </w:rPr>
      <w:t>易方达银行指数分级证券投资基金</w:t>
    </w:r>
    <w:proofErr w:type="spellStart"/>
    <w:r w:rsidRPr="00717C29">
      <w:rPr>
        <w:szCs w:val="21"/>
      </w:rPr>
      <w:t/>
    </w:r>
    <w:proofErr w:type="spellEnd"/>
    <w:r w:rsidRPr="00717C29">
      <w:rPr>
        <w:szCs w:val="21"/>
      </w:rPr>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142A56"/>
    <w:rsid w:val="0000116E"/>
    <w:rsid w:val="0000403B"/>
    <w:rsid w:val="00005911"/>
    <w:rsid w:val="0000595B"/>
    <w:rsid w:val="00010A83"/>
    <w:rsid w:val="00010A8E"/>
    <w:rsid w:val="00010AC3"/>
    <w:rsid w:val="000118A9"/>
    <w:rsid w:val="00011EB5"/>
    <w:rsid w:val="0001280C"/>
    <w:rsid w:val="00013023"/>
    <w:rsid w:val="000148F1"/>
    <w:rsid w:val="0001536C"/>
    <w:rsid w:val="00017581"/>
    <w:rsid w:val="00020149"/>
    <w:rsid w:val="00020583"/>
    <w:rsid w:val="00021DD4"/>
    <w:rsid w:val="00023BE7"/>
    <w:rsid w:val="00026AAE"/>
    <w:rsid w:val="00037FCF"/>
    <w:rsid w:val="000421B8"/>
    <w:rsid w:val="00043ABF"/>
    <w:rsid w:val="00044045"/>
    <w:rsid w:val="000445E4"/>
    <w:rsid w:val="00046906"/>
    <w:rsid w:val="000510AB"/>
    <w:rsid w:val="00055190"/>
    <w:rsid w:val="00055AF1"/>
    <w:rsid w:val="00056A75"/>
    <w:rsid w:val="00057DD3"/>
    <w:rsid w:val="000625A6"/>
    <w:rsid w:val="000627CD"/>
    <w:rsid w:val="00062BCE"/>
    <w:rsid w:val="00064AE3"/>
    <w:rsid w:val="00066524"/>
    <w:rsid w:val="00070CD1"/>
    <w:rsid w:val="0007171B"/>
    <w:rsid w:val="00074E9F"/>
    <w:rsid w:val="00081D05"/>
    <w:rsid w:val="0008378B"/>
    <w:rsid w:val="00085449"/>
    <w:rsid w:val="00087CF7"/>
    <w:rsid w:val="00090B0F"/>
    <w:rsid w:val="00090D91"/>
    <w:rsid w:val="00091214"/>
    <w:rsid w:val="00094876"/>
    <w:rsid w:val="00095912"/>
    <w:rsid w:val="00095CE0"/>
    <w:rsid w:val="00096933"/>
    <w:rsid w:val="00097230"/>
    <w:rsid w:val="0009778D"/>
    <w:rsid w:val="000A457E"/>
    <w:rsid w:val="000A53FD"/>
    <w:rsid w:val="000A549A"/>
    <w:rsid w:val="000A72F2"/>
    <w:rsid w:val="000B0C56"/>
    <w:rsid w:val="000B3E43"/>
    <w:rsid w:val="000B5974"/>
    <w:rsid w:val="000B5CC0"/>
    <w:rsid w:val="000C1038"/>
    <w:rsid w:val="000C1723"/>
    <w:rsid w:val="000C1B20"/>
    <w:rsid w:val="000C4107"/>
    <w:rsid w:val="000C44BD"/>
    <w:rsid w:val="000C45E7"/>
    <w:rsid w:val="000C57A8"/>
    <w:rsid w:val="000D0149"/>
    <w:rsid w:val="000D01F4"/>
    <w:rsid w:val="000D0D4E"/>
    <w:rsid w:val="000D1519"/>
    <w:rsid w:val="000E1618"/>
    <w:rsid w:val="000E4456"/>
    <w:rsid w:val="000F175F"/>
    <w:rsid w:val="000F17D1"/>
    <w:rsid w:val="000F2837"/>
    <w:rsid w:val="000F399F"/>
    <w:rsid w:val="000F60FF"/>
    <w:rsid w:val="000F635F"/>
    <w:rsid w:val="000F6C61"/>
    <w:rsid w:val="001008A1"/>
    <w:rsid w:val="00100C12"/>
    <w:rsid w:val="00102E56"/>
    <w:rsid w:val="001049B6"/>
    <w:rsid w:val="001051C6"/>
    <w:rsid w:val="001078B6"/>
    <w:rsid w:val="0011177A"/>
    <w:rsid w:val="00111D44"/>
    <w:rsid w:val="00116E31"/>
    <w:rsid w:val="00120BED"/>
    <w:rsid w:val="0012304E"/>
    <w:rsid w:val="001248EF"/>
    <w:rsid w:val="001257C7"/>
    <w:rsid w:val="00126DDF"/>
    <w:rsid w:val="001270BF"/>
    <w:rsid w:val="00127BAC"/>
    <w:rsid w:val="00134868"/>
    <w:rsid w:val="001366D4"/>
    <w:rsid w:val="00140FF8"/>
    <w:rsid w:val="00142A56"/>
    <w:rsid w:val="00144DF5"/>
    <w:rsid w:val="00145A97"/>
    <w:rsid w:val="00146485"/>
    <w:rsid w:val="00147338"/>
    <w:rsid w:val="0015021E"/>
    <w:rsid w:val="001506B4"/>
    <w:rsid w:val="00150A6E"/>
    <w:rsid w:val="00150AD6"/>
    <w:rsid w:val="00153B40"/>
    <w:rsid w:val="00154ADA"/>
    <w:rsid w:val="0015531A"/>
    <w:rsid w:val="00155953"/>
    <w:rsid w:val="0015779C"/>
    <w:rsid w:val="001600E8"/>
    <w:rsid w:val="00163B27"/>
    <w:rsid w:val="00165317"/>
    <w:rsid w:val="00170F80"/>
    <w:rsid w:val="00171BAD"/>
    <w:rsid w:val="001744B4"/>
    <w:rsid w:val="001756A1"/>
    <w:rsid w:val="001761EE"/>
    <w:rsid w:val="0017638D"/>
    <w:rsid w:val="00176EAA"/>
    <w:rsid w:val="0017725A"/>
    <w:rsid w:val="00177C4B"/>
    <w:rsid w:val="0018325A"/>
    <w:rsid w:val="00183C9E"/>
    <w:rsid w:val="00184556"/>
    <w:rsid w:val="00185D2B"/>
    <w:rsid w:val="00186199"/>
    <w:rsid w:val="001878B0"/>
    <w:rsid w:val="001928F7"/>
    <w:rsid w:val="00193F07"/>
    <w:rsid w:val="00194537"/>
    <w:rsid w:val="0019563C"/>
    <w:rsid w:val="001A09F9"/>
    <w:rsid w:val="001A14DB"/>
    <w:rsid w:val="001A21A9"/>
    <w:rsid w:val="001A363B"/>
    <w:rsid w:val="001A59D8"/>
    <w:rsid w:val="001A5FA6"/>
    <w:rsid w:val="001B0A62"/>
    <w:rsid w:val="001B2F0C"/>
    <w:rsid w:val="001B64E7"/>
    <w:rsid w:val="001C123E"/>
    <w:rsid w:val="001C19E0"/>
    <w:rsid w:val="001C36D8"/>
    <w:rsid w:val="001C37F6"/>
    <w:rsid w:val="001C4BEC"/>
    <w:rsid w:val="001C6288"/>
    <w:rsid w:val="001C7DE9"/>
    <w:rsid w:val="001D0DB0"/>
    <w:rsid w:val="001D0F6A"/>
    <w:rsid w:val="001D21BC"/>
    <w:rsid w:val="001D2FA5"/>
    <w:rsid w:val="001D35E0"/>
    <w:rsid w:val="001D5045"/>
    <w:rsid w:val="001D5387"/>
    <w:rsid w:val="001D5A44"/>
    <w:rsid w:val="001D63BB"/>
    <w:rsid w:val="001D724B"/>
    <w:rsid w:val="001E11D3"/>
    <w:rsid w:val="001E2A6A"/>
    <w:rsid w:val="001E3DC2"/>
    <w:rsid w:val="001E56FF"/>
    <w:rsid w:val="001E5C6B"/>
    <w:rsid w:val="001E6E4D"/>
    <w:rsid w:val="001F03E1"/>
    <w:rsid w:val="001F0DE2"/>
    <w:rsid w:val="001F218E"/>
    <w:rsid w:val="001F3CC6"/>
    <w:rsid w:val="001F40BA"/>
    <w:rsid w:val="001F4530"/>
    <w:rsid w:val="002010DE"/>
    <w:rsid w:val="00202968"/>
    <w:rsid w:val="00202A66"/>
    <w:rsid w:val="00202C32"/>
    <w:rsid w:val="00203AEF"/>
    <w:rsid w:val="00210344"/>
    <w:rsid w:val="00211A26"/>
    <w:rsid w:val="002125F7"/>
    <w:rsid w:val="00213171"/>
    <w:rsid w:val="00213917"/>
    <w:rsid w:val="00214463"/>
    <w:rsid w:val="00214756"/>
    <w:rsid w:val="00215CF2"/>
    <w:rsid w:val="00215E33"/>
    <w:rsid w:val="00216232"/>
    <w:rsid w:val="00220542"/>
    <w:rsid w:val="00220684"/>
    <w:rsid w:val="00221174"/>
    <w:rsid w:val="00225ADC"/>
    <w:rsid w:val="00230732"/>
    <w:rsid w:val="00230A66"/>
    <w:rsid w:val="00230EC2"/>
    <w:rsid w:val="002359EB"/>
    <w:rsid w:val="002363AB"/>
    <w:rsid w:val="00237FA3"/>
    <w:rsid w:val="0024172D"/>
    <w:rsid w:val="00241B12"/>
    <w:rsid w:val="0024260D"/>
    <w:rsid w:val="00243E40"/>
    <w:rsid w:val="00245012"/>
    <w:rsid w:val="0024504E"/>
    <w:rsid w:val="0024651F"/>
    <w:rsid w:val="002470BA"/>
    <w:rsid w:val="00250BE3"/>
    <w:rsid w:val="00251290"/>
    <w:rsid w:val="0025158D"/>
    <w:rsid w:val="00251D17"/>
    <w:rsid w:val="00251F3A"/>
    <w:rsid w:val="0025281A"/>
    <w:rsid w:val="00253D3C"/>
    <w:rsid w:val="0025435F"/>
    <w:rsid w:val="00255292"/>
    <w:rsid w:val="00260200"/>
    <w:rsid w:val="00263563"/>
    <w:rsid w:val="002648D8"/>
    <w:rsid w:val="00264E55"/>
    <w:rsid w:val="00270548"/>
    <w:rsid w:val="00272E0C"/>
    <w:rsid w:val="00273F86"/>
    <w:rsid w:val="002752B0"/>
    <w:rsid w:val="002774F0"/>
    <w:rsid w:val="0028459B"/>
    <w:rsid w:val="00284C5F"/>
    <w:rsid w:val="002873F0"/>
    <w:rsid w:val="00291A74"/>
    <w:rsid w:val="00292198"/>
    <w:rsid w:val="002964F9"/>
    <w:rsid w:val="00297EF3"/>
    <w:rsid w:val="002A1F14"/>
    <w:rsid w:val="002A2678"/>
    <w:rsid w:val="002A2E01"/>
    <w:rsid w:val="002A398F"/>
    <w:rsid w:val="002A44F9"/>
    <w:rsid w:val="002A5C6B"/>
    <w:rsid w:val="002A5D31"/>
    <w:rsid w:val="002A714F"/>
    <w:rsid w:val="002A74FB"/>
    <w:rsid w:val="002B1851"/>
    <w:rsid w:val="002B27FF"/>
    <w:rsid w:val="002B4429"/>
    <w:rsid w:val="002B6793"/>
    <w:rsid w:val="002C1726"/>
    <w:rsid w:val="002C1DF3"/>
    <w:rsid w:val="002C21A6"/>
    <w:rsid w:val="002C26D5"/>
    <w:rsid w:val="002C2DE0"/>
    <w:rsid w:val="002C5777"/>
    <w:rsid w:val="002C7FC3"/>
    <w:rsid w:val="002D1791"/>
    <w:rsid w:val="002D32E3"/>
    <w:rsid w:val="002D55E7"/>
    <w:rsid w:val="002E0FEB"/>
    <w:rsid w:val="002E1EBA"/>
    <w:rsid w:val="002F0F79"/>
    <w:rsid w:val="002F280E"/>
    <w:rsid w:val="002F3709"/>
    <w:rsid w:val="002F3A6C"/>
    <w:rsid w:val="002F3E9C"/>
    <w:rsid w:val="002F4296"/>
    <w:rsid w:val="00300951"/>
    <w:rsid w:val="003023C9"/>
    <w:rsid w:val="00302CA8"/>
    <w:rsid w:val="00302DE9"/>
    <w:rsid w:val="003041B1"/>
    <w:rsid w:val="00305084"/>
    <w:rsid w:val="003168E2"/>
    <w:rsid w:val="003204E9"/>
    <w:rsid w:val="00320DDA"/>
    <w:rsid w:val="00321E8C"/>
    <w:rsid w:val="00322A65"/>
    <w:rsid w:val="00322A86"/>
    <w:rsid w:val="00323AE8"/>
    <w:rsid w:val="00324548"/>
    <w:rsid w:val="003251F4"/>
    <w:rsid w:val="003303E3"/>
    <w:rsid w:val="00331FA4"/>
    <w:rsid w:val="003329EA"/>
    <w:rsid w:val="00332FDE"/>
    <w:rsid w:val="003407A5"/>
    <w:rsid w:val="00341188"/>
    <w:rsid w:val="0034147B"/>
    <w:rsid w:val="0034432A"/>
    <w:rsid w:val="00350238"/>
    <w:rsid w:val="0035109C"/>
    <w:rsid w:val="00351F0A"/>
    <w:rsid w:val="0035432B"/>
    <w:rsid w:val="00357EB5"/>
    <w:rsid w:val="00361E7E"/>
    <w:rsid w:val="003669EF"/>
    <w:rsid w:val="00370AA4"/>
    <w:rsid w:val="00371FF4"/>
    <w:rsid w:val="00373015"/>
    <w:rsid w:val="00375D24"/>
    <w:rsid w:val="00377520"/>
    <w:rsid w:val="00380D36"/>
    <w:rsid w:val="003822D3"/>
    <w:rsid w:val="0038409E"/>
    <w:rsid w:val="00384BC3"/>
    <w:rsid w:val="00386630"/>
    <w:rsid w:val="00390522"/>
    <w:rsid w:val="00390B25"/>
    <w:rsid w:val="00390C86"/>
    <w:rsid w:val="00397156"/>
    <w:rsid w:val="00397960"/>
    <w:rsid w:val="003A20AA"/>
    <w:rsid w:val="003A3BC4"/>
    <w:rsid w:val="003A458A"/>
    <w:rsid w:val="003A4DA3"/>
    <w:rsid w:val="003A768B"/>
    <w:rsid w:val="003B07C8"/>
    <w:rsid w:val="003B2082"/>
    <w:rsid w:val="003B2F13"/>
    <w:rsid w:val="003B3D0C"/>
    <w:rsid w:val="003B405E"/>
    <w:rsid w:val="003B57D3"/>
    <w:rsid w:val="003C1F58"/>
    <w:rsid w:val="003C792F"/>
    <w:rsid w:val="003D124B"/>
    <w:rsid w:val="003D18F3"/>
    <w:rsid w:val="003D22BD"/>
    <w:rsid w:val="003D4E5A"/>
    <w:rsid w:val="003D5951"/>
    <w:rsid w:val="003D74F2"/>
    <w:rsid w:val="003D78B5"/>
    <w:rsid w:val="003E1062"/>
    <w:rsid w:val="003E244F"/>
    <w:rsid w:val="003E3AE8"/>
    <w:rsid w:val="003E62A6"/>
    <w:rsid w:val="003E695F"/>
    <w:rsid w:val="003E6C9B"/>
    <w:rsid w:val="003E709C"/>
    <w:rsid w:val="003E7B89"/>
    <w:rsid w:val="003F20D3"/>
    <w:rsid w:val="003F4241"/>
    <w:rsid w:val="003F7C45"/>
    <w:rsid w:val="0040132C"/>
    <w:rsid w:val="00405085"/>
    <w:rsid w:val="004066FC"/>
    <w:rsid w:val="00407C10"/>
    <w:rsid w:val="004113B4"/>
    <w:rsid w:val="00414827"/>
    <w:rsid w:val="00416C10"/>
    <w:rsid w:val="004217C8"/>
    <w:rsid w:val="0042180E"/>
    <w:rsid w:val="004222C8"/>
    <w:rsid w:val="0042253F"/>
    <w:rsid w:val="00424726"/>
    <w:rsid w:val="00424EF3"/>
    <w:rsid w:val="004268BB"/>
    <w:rsid w:val="00431047"/>
    <w:rsid w:val="004318F0"/>
    <w:rsid w:val="00431B86"/>
    <w:rsid w:val="00431BC5"/>
    <w:rsid w:val="004344A5"/>
    <w:rsid w:val="004408EC"/>
    <w:rsid w:val="00441B38"/>
    <w:rsid w:val="00441D14"/>
    <w:rsid w:val="00441E6A"/>
    <w:rsid w:val="004432B9"/>
    <w:rsid w:val="00443C8F"/>
    <w:rsid w:val="00452481"/>
    <w:rsid w:val="00453E40"/>
    <w:rsid w:val="004542DD"/>
    <w:rsid w:val="00456CE0"/>
    <w:rsid w:val="004575E9"/>
    <w:rsid w:val="00457804"/>
    <w:rsid w:val="004646BF"/>
    <w:rsid w:val="00464744"/>
    <w:rsid w:val="00465C86"/>
    <w:rsid w:val="004665E3"/>
    <w:rsid w:val="004731F1"/>
    <w:rsid w:val="0047652F"/>
    <w:rsid w:val="00480BC8"/>
    <w:rsid w:val="00481265"/>
    <w:rsid w:val="004814BF"/>
    <w:rsid w:val="004828AE"/>
    <w:rsid w:val="0048587E"/>
    <w:rsid w:val="00487C2B"/>
    <w:rsid w:val="0049168F"/>
    <w:rsid w:val="00491ABD"/>
    <w:rsid w:val="0049297D"/>
    <w:rsid w:val="004929F2"/>
    <w:rsid w:val="00495A03"/>
    <w:rsid w:val="00497079"/>
    <w:rsid w:val="004A1BBA"/>
    <w:rsid w:val="004A1E8A"/>
    <w:rsid w:val="004A3E3C"/>
    <w:rsid w:val="004A3F71"/>
    <w:rsid w:val="004B0E6D"/>
    <w:rsid w:val="004B16E8"/>
    <w:rsid w:val="004B2326"/>
    <w:rsid w:val="004B4D2D"/>
    <w:rsid w:val="004B6250"/>
    <w:rsid w:val="004B76B1"/>
    <w:rsid w:val="004B7CA0"/>
    <w:rsid w:val="004C0057"/>
    <w:rsid w:val="004C04AE"/>
    <w:rsid w:val="004C0541"/>
    <w:rsid w:val="004C2C46"/>
    <w:rsid w:val="004C6E88"/>
    <w:rsid w:val="004C7235"/>
    <w:rsid w:val="004C7955"/>
    <w:rsid w:val="004D047F"/>
    <w:rsid w:val="004D3D96"/>
    <w:rsid w:val="004D650F"/>
    <w:rsid w:val="004D67E0"/>
    <w:rsid w:val="004E12E1"/>
    <w:rsid w:val="004E2133"/>
    <w:rsid w:val="004E32E2"/>
    <w:rsid w:val="004E5AB9"/>
    <w:rsid w:val="004E60FB"/>
    <w:rsid w:val="004F779C"/>
    <w:rsid w:val="004F7846"/>
    <w:rsid w:val="005000D4"/>
    <w:rsid w:val="005015FA"/>
    <w:rsid w:val="00505411"/>
    <w:rsid w:val="00510CAF"/>
    <w:rsid w:val="00510DAB"/>
    <w:rsid w:val="005128C5"/>
    <w:rsid w:val="00514754"/>
    <w:rsid w:val="0051478B"/>
    <w:rsid w:val="0051566A"/>
    <w:rsid w:val="00515D7B"/>
    <w:rsid w:val="005166E9"/>
    <w:rsid w:val="0052009E"/>
    <w:rsid w:val="0052302C"/>
    <w:rsid w:val="00525E59"/>
    <w:rsid w:val="00530D61"/>
    <w:rsid w:val="005318CC"/>
    <w:rsid w:val="00531D1B"/>
    <w:rsid w:val="005349B1"/>
    <w:rsid w:val="005374BC"/>
    <w:rsid w:val="00537A4E"/>
    <w:rsid w:val="00543188"/>
    <w:rsid w:val="00543367"/>
    <w:rsid w:val="00543BFA"/>
    <w:rsid w:val="00547D9C"/>
    <w:rsid w:val="00547DA1"/>
    <w:rsid w:val="005505E1"/>
    <w:rsid w:val="005541BC"/>
    <w:rsid w:val="0055513C"/>
    <w:rsid w:val="00557A54"/>
    <w:rsid w:val="00560C94"/>
    <w:rsid w:val="0056150F"/>
    <w:rsid w:val="0056291C"/>
    <w:rsid w:val="00565A63"/>
    <w:rsid w:val="00566588"/>
    <w:rsid w:val="0057155E"/>
    <w:rsid w:val="0057275D"/>
    <w:rsid w:val="00576862"/>
    <w:rsid w:val="005800A9"/>
    <w:rsid w:val="00580488"/>
    <w:rsid w:val="0058074D"/>
    <w:rsid w:val="00580FD1"/>
    <w:rsid w:val="00582FAD"/>
    <w:rsid w:val="00583489"/>
    <w:rsid w:val="005840E4"/>
    <w:rsid w:val="00590FE4"/>
    <w:rsid w:val="00591D9C"/>
    <w:rsid w:val="005961D7"/>
    <w:rsid w:val="00597057"/>
    <w:rsid w:val="00597D8B"/>
    <w:rsid w:val="005A1C30"/>
    <w:rsid w:val="005A229D"/>
    <w:rsid w:val="005A3295"/>
    <w:rsid w:val="005A46FF"/>
    <w:rsid w:val="005A5AE2"/>
    <w:rsid w:val="005B011E"/>
    <w:rsid w:val="005B14F0"/>
    <w:rsid w:val="005B1E0B"/>
    <w:rsid w:val="005B2E84"/>
    <w:rsid w:val="005B70C6"/>
    <w:rsid w:val="005B7B0E"/>
    <w:rsid w:val="005C526E"/>
    <w:rsid w:val="005C5409"/>
    <w:rsid w:val="005C69AC"/>
    <w:rsid w:val="005C6DCF"/>
    <w:rsid w:val="005C6DF3"/>
    <w:rsid w:val="005C722E"/>
    <w:rsid w:val="005D01A4"/>
    <w:rsid w:val="005D14DE"/>
    <w:rsid w:val="005D2CC7"/>
    <w:rsid w:val="005D44E4"/>
    <w:rsid w:val="005D45B3"/>
    <w:rsid w:val="005D4CEB"/>
    <w:rsid w:val="005D5F80"/>
    <w:rsid w:val="005E0C14"/>
    <w:rsid w:val="005E1D51"/>
    <w:rsid w:val="005F04E6"/>
    <w:rsid w:val="005F43B9"/>
    <w:rsid w:val="005F68CB"/>
    <w:rsid w:val="005F6A4A"/>
    <w:rsid w:val="006033E3"/>
    <w:rsid w:val="00603663"/>
    <w:rsid w:val="0061321C"/>
    <w:rsid w:val="006159E5"/>
    <w:rsid w:val="00620DB0"/>
    <w:rsid w:val="0062386E"/>
    <w:rsid w:val="00623D9A"/>
    <w:rsid w:val="00623F01"/>
    <w:rsid w:val="006242FB"/>
    <w:rsid w:val="00626E2D"/>
    <w:rsid w:val="00627D94"/>
    <w:rsid w:val="00630B42"/>
    <w:rsid w:val="00631DB3"/>
    <w:rsid w:val="00634900"/>
    <w:rsid w:val="00637BA7"/>
    <w:rsid w:val="00642072"/>
    <w:rsid w:val="006440ED"/>
    <w:rsid w:val="00645293"/>
    <w:rsid w:val="00651B78"/>
    <w:rsid w:val="00652263"/>
    <w:rsid w:val="00652881"/>
    <w:rsid w:val="00653BAC"/>
    <w:rsid w:val="00657CAF"/>
    <w:rsid w:val="00661974"/>
    <w:rsid w:val="00662F58"/>
    <w:rsid w:val="00664551"/>
    <w:rsid w:val="0066704D"/>
    <w:rsid w:val="006676A0"/>
    <w:rsid w:val="006706B6"/>
    <w:rsid w:val="00670857"/>
    <w:rsid w:val="00671124"/>
    <w:rsid w:val="006727B0"/>
    <w:rsid w:val="0067307E"/>
    <w:rsid w:val="006848C1"/>
    <w:rsid w:val="006868CD"/>
    <w:rsid w:val="00686EEA"/>
    <w:rsid w:val="00687AD5"/>
    <w:rsid w:val="00690EC4"/>
    <w:rsid w:val="00691D14"/>
    <w:rsid w:val="00695251"/>
    <w:rsid w:val="00695296"/>
    <w:rsid w:val="00695ADE"/>
    <w:rsid w:val="00695C0D"/>
    <w:rsid w:val="00696356"/>
    <w:rsid w:val="00696DDE"/>
    <w:rsid w:val="006A72C6"/>
    <w:rsid w:val="006B02DA"/>
    <w:rsid w:val="006B0806"/>
    <w:rsid w:val="006B10DA"/>
    <w:rsid w:val="006B2065"/>
    <w:rsid w:val="006B3940"/>
    <w:rsid w:val="006B5B3E"/>
    <w:rsid w:val="006C168D"/>
    <w:rsid w:val="006C4465"/>
    <w:rsid w:val="006C642C"/>
    <w:rsid w:val="006C6FC6"/>
    <w:rsid w:val="006D0E4F"/>
    <w:rsid w:val="006D676F"/>
    <w:rsid w:val="006D7693"/>
    <w:rsid w:val="006E231B"/>
    <w:rsid w:val="006E346E"/>
    <w:rsid w:val="006E34B7"/>
    <w:rsid w:val="006F103E"/>
    <w:rsid w:val="006F4C30"/>
    <w:rsid w:val="006F4CD8"/>
    <w:rsid w:val="006F53D9"/>
    <w:rsid w:val="007004DC"/>
    <w:rsid w:val="00701347"/>
    <w:rsid w:val="007027B6"/>
    <w:rsid w:val="00703E8A"/>
    <w:rsid w:val="00707FB8"/>
    <w:rsid w:val="0071006D"/>
    <w:rsid w:val="00711522"/>
    <w:rsid w:val="007124FE"/>
    <w:rsid w:val="007125A9"/>
    <w:rsid w:val="00713186"/>
    <w:rsid w:val="00713757"/>
    <w:rsid w:val="00716F79"/>
    <w:rsid w:val="00717772"/>
    <w:rsid w:val="00717C29"/>
    <w:rsid w:val="00721AF1"/>
    <w:rsid w:val="0072280F"/>
    <w:rsid w:val="00722B5E"/>
    <w:rsid w:val="0072708F"/>
    <w:rsid w:val="00727C6C"/>
    <w:rsid w:val="0073150B"/>
    <w:rsid w:val="00732D1D"/>
    <w:rsid w:val="00736034"/>
    <w:rsid w:val="0073681C"/>
    <w:rsid w:val="00737AB0"/>
    <w:rsid w:val="00740619"/>
    <w:rsid w:val="007411F1"/>
    <w:rsid w:val="00741EBE"/>
    <w:rsid w:val="00742ADF"/>
    <w:rsid w:val="00745829"/>
    <w:rsid w:val="00746130"/>
    <w:rsid w:val="00746A40"/>
    <w:rsid w:val="007479DC"/>
    <w:rsid w:val="00747ABE"/>
    <w:rsid w:val="00750358"/>
    <w:rsid w:val="00755CDF"/>
    <w:rsid w:val="00757A4C"/>
    <w:rsid w:val="007622F6"/>
    <w:rsid w:val="00764A94"/>
    <w:rsid w:val="007651E5"/>
    <w:rsid w:val="007665BF"/>
    <w:rsid w:val="007670DC"/>
    <w:rsid w:val="00767239"/>
    <w:rsid w:val="0077111A"/>
    <w:rsid w:val="00772272"/>
    <w:rsid w:val="007756ED"/>
    <w:rsid w:val="007870FC"/>
    <w:rsid w:val="0078729B"/>
    <w:rsid w:val="00787CD0"/>
    <w:rsid w:val="00791053"/>
    <w:rsid w:val="00791A3A"/>
    <w:rsid w:val="00794196"/>
    <w:rsid w:val="007941EA"/>
    <w:rsid w:val="007951F3"/>
    <w:rsid w:val="0079671E"/>
    <w:rsid w:val="00797637"/>
    <w:rsid w:val="007A0A57"/>
    <w:rsid w:val="007A3680"/>
    <w:rsid w:val="007A59B8"/>
    <w:rsid w:val="007A6BEA"/>
    <w:rsid w:val="007B2191"/>
    <w:rsid w:val="007B2862"/>
    <w:rsid w:val="007B3C32"/>
    <w:rsid w:val="007B505A"/>
    <w:rsid w:val="007B662A"/>
    <w:rsid w:val="007C2BCC"/>
    <w:rsid w:val="007C7E22"/>
    <w:rsid w:val="007D1C16"/>
    <w:rsid w:val="007D28C9"/>
    <w:rsid w:val="007D3CC8"/>
    <w:rsid w:val="007D62F9"/>
    <w:rsid w:val="007D63A4"/>
    <w:rsid w:val="007E008D"/>
    <w:rsid w:val="007E0F0C"/>
    <w:rsid w:val="007E1AA2"/>
    <w:rsid w:val="007E1AD0"/>
    <w:rsid w:val="007E4C1F"/>
    <w:rsid w:val="007E5EDC"/>
    <w:rsid w:val="007F0746"/>
    <w:rsid w:val="007F0759"/>
    <w:rsid w:val="007F15C0"/>
    <w:rsid w:val="007F25C0"/>
    <w:rsid w:val="007F35AA"/>
    <w:rsid w:val="007F47E2"/>
    <w:rsid w:val="007F523A"/>
    <w:rsid w:val="007F5F52"/>
    <w:rsid w:val="007F77C6"/>
    <w:rsid w:val="008003A1"/>
    <w:rsid w:val="008006B7"/>
    <w:rsid w:val="00800FDB"/>
    <w:rsid w:val="0080159F"/>
    <w:rsid w:val="00802081"/>
    <w:rsid w:val="008034CF"/>
    <w:rsid w:val="00804533"/>
    <w:rsid w:val="00806461"/>
    <w:rsid w:val="0081096D"/>
    <w:rsid w:val="00810EAD"/>
    <w:rsid w:val="00811833"/>
    <w:rsid w:val="00811C19"/>
    <w:rsid w:val="008174D4"/>
    <w:rsid w:val="00820FE6"/>
    <w:rsid w:val="00821985"/>
    <w:rsid w:val="00821A66"/>
    <w:rsid w:val="00822476"/>
    <w:rsid w:val="00822882"/>
    <w:rsid w:val="00823E6D"/>
    <w:rsid w:val="00824200"/>
    <w:rsid w:val="00825D22"/>
    <w:rsid w:val="00825F68"/>
    <w:rsid w:val="00827CB9"/>
    <w:rsid w:val="008305BF"/>
    <w:rsid w:val="00832748"/>
    <w:rsid w:val="00835408"/>
    <w:rsid w:val="008359DA"/>
    <w:rsid w:val="00836D2A"/>
    <w:rsid w:val="00837CEF"/>
    <w:rsid w:val="00840035"/>
    <w:rsid w:val="00840220"/>
    <w:rsid w:val="00840677"/>
    <w:rsid w:val="00840C20"/>
    <w:rsid w:val="008428A9"/>
    <w:rsid w:val="00844112"/>
    <w:rsid w:val="00844CBE"/>
    <w:rsid w:val="008456C9"/>
    <w:rsid w:val="0084611D"/>
    <w:rsid w:val="00850C62"/>
    <w:rsid w:val="00854463"/>
    <w:rsid w:val="00857643"/>
    <w:rsid w:val="00863011"/>
    <w:rsid w:val="0086312D"/>
    <w:rsid w:val="00863392"/>
    <w:rsid w:val="00865075"/>
    <w:rsid w:val="0086734C"/>
    <w:rsid w:val="0086748F"/>
    <w:rsid w:val="00872CE4"/>
    <w:rsid w:val="00874F4B"/>
    <w:rsid w:val="0087539B"/>
    <w:rsid w:val="00877B62"/>
    <w:rsid w:val="00880016"/>
    <w:rsid w:val="00881015"/>
    <w:rsid w:val="008810B0"/>
    <w:rsid w:val="008819B6"/>
    <w:rsid w:val="00881AAC"/>
    <w:rsid w:val="0088314B"/>
    <w:rsid w:val="008831C4"/>
    <w:rsid w:val="008836B7"/>
    <w:rsid w:val="008841D3"/>
    <w:rsid w:val="00884434"/>
    <w:rsid w:val="00886036"/>
    <w:rsid w:val="00887DE6"/>
    <w:rsid w:val="00894C2A"/>
    <w:rsid w:val="00894DE3"/>
    <w:rsid w:val="008976CB"/>
    <w:rsid w:val="00897708"/>
    <w:rsid w:val="00897D88"/>
    <w:rsid w:val="008A2F16"/>
    <w:rsid w:val="008A4909"/>
    <w:rsid w:val="008B11E0"/>
    <w:rsid w:val="008B1773"/>
    <w:rsid w:val="008B1823"/>
    <w:rsid w:val="008B65CD"/>
    <w:rsid w:val="008B6E16"/>
    <w:rsid w:val="008B7110"/>
    <w:rsid w:val="008C2029"/>
    <w:rsid w:val="008C2A97"/>
    <w:rsid w:val="008C3990"/>
    <w:rsid w:val="008C61D6"/>
    <w:rsid w:val="008C64F1"/>
    <w:rsid w:val="008D1BB0"/>
    <w:rsid w:val="008D20FF"/>
    <w:rsid w:val="008D3DE6"/>
    <w:rsid w:val="008D4223"/>
    <w:rsid w:val="008D44CC"/>
    <w:rsid w:val="008D46E3"/>
    <w:rsid w:val="008D6709"/>
    <w:rsid w:val="008D671F"/>
    <w:rsid w:val="008E083A"/>
    <w:rsid w:val="008E0E7C"/>
    <w:rsid w:val="008E2450"/>
    <w:rsid w:val="008E6497"/>
    <w:rsid w:val="008E7896"/>
    <w:rsid w:val="008F1C17"/>
    <w:rsid w:val="008F2477"/>
    <w:rsid w:val="00900DD1"/>
    <w:rsid w:val="009010F0"/>
    <w:rsid w:val="00901162"/>
    <w:rsid w:val="0090223A"/>
    <w:rsid w:val="009028E2"/>
    <w:rsid w:val="00904082"/>
    <w:rsid w:val="009055EC"/>
    <w:rsid w:val="009100C0"/>
    <w:rsid w:val="0091247B"/>
    <w:rsid w:val="0091320A"/>
    <w:rsid w:val="00914EAB"/>
    <w:rsid w:val="009150A1"/>
    <w:rsid w:val="00916808"/>
    <w:rsid w:val="00922D49"/>
    <w:rsid w:val="0092482C"/>
    <w:rsid w:val="00924A95"/>
    <w:rsid w:val="009259CF"/>
    <w:rsid w:val="00925E37"/>
    <w:rsid w:val="00925EDD"/>
    <w:rsid w:val="00927D0E"/>
    <w:rsid w:val="009309DA"/>
    <w:rsid w:val="00935771"/>
    <w:rsid w:val="00936688"/>
    <w:rsid w:val="00937CFA"/>
    <w:rsid w:val="009406B3"/>
    <w:rsid w:val="00945CF5"/>
    <w:rsid w:val="00946D66"/>
    <w:rsid w:val="009500A1"/>
    <w:rsid w:val="0095037E"/>
    <w:rsid w:val="00952AAD"/>
    <w:rsid w:val="00952F4F"/>
    <w:rsid w:val="00954567"/>
    <w:rsid w:val="009547A9"/>
    <w:rsid w:val="00957466"/>
    <w:rsid w:val="0096260B"/>
    <w:rsid w:val="00963F05"/>
    <w:rsid w:val="00965469"/>
    <w:rsid w:val="009664D5"/>
    <w:rsid w:val="0097008C"/>
    <w:rsid w:val="00970C69"/>
    <w:rsid w:val="009716AF"/>
    <w:rsid w:val="00971F1C"/>
    <w:rsid w:val="0097211D"/>
    <w:rsid w:val="00972E10"/>
    <w:rsid w:val="0097328D"/>
    <w:rsid w:val="009746CA"/>
    <w:rsid w:val="0097608D"/>
    <w:rsid w:val="0097659D"/>
    <w:rsid w:val="0097692D"/>
    <w:rsid w:val="00980242"/>
    <w:rsid w:val="00981963"/>
    <w:rsid w:val="00983C82"/>
    <w:rsid w:val="00983D29"/>
    <w:rsid w:val="00983E6E"/>
    <w:rsid w:val="00984520"/>
    <w:rsid w:val="0098545C"/>
    <w:rsid w:val="00990AAA"/>
    <w:rsid w:val="00992BA2"/>
    <w:rsid w:val="00992F83"/>
    <w:rsid w:val="0099508A"/>
    <w:rsid w:val="00997231"/>
    <w:rsid w:val="009974EB"/>
    <w:rsid w:val="009A1126"/>
    <w:rsid w:val="009A5029"/>
    <w:rsid w:val="009A63AC"/>
    <w:rsid w:val="009B1584"/>
    <w:rsid w:val="009B1B32"/>
    <w:rsid w:val="009B21CA"/>
    <w:rsid w:val="009B2648"/>
    <w:rsid w:val="009C03E5"/>
    <w:rsid w:val="009C0C11"/>
    <w:rsid w:val="009C3730"/>
    <w:rsid w:val="009C37BD"/>
    <w:rsid w:val="009C3AAC"/>
    <w:rsid w:val="009C4D19"/>
    <w:rsid w:val="009C5FDB"/>
    <w:rsid w:val="009C6493"/>
    <w:rsid w:val="009C693E"/>
    <w:rsid w:val="009C70CB"/>
    <w:rsid w:val="009D02B7"/>
    <w:rsid w:val="009D0628"/>
    <w:rsid w:val="009D1EA4"/>
    <w:rsid w:val="009D27AA"/>
    <w:rsid w:val="009D2D8B"/>
    <w:rsid w:val="009D38BA"/>
    <w:rsid w:val="009D4991"/>
    <w:rsid w:val="009D5BB5"/>
    <w:rsid w:val="009D696D"/>
    <w:rsid w:val="009D6ED2"/>
    <w:rsid w:val="009E0D5D"/>
    <w:rsid w:val="009E0F1A"/>
    <w:rsid w:val="009E140D"/>
    <w:rsid w:val="009E41E9"/>
    <w:rsid w:val="009E4465"/>
    <w:rsid w:val="009E6401"/>
    <w:rsid w:val="009E6C54"/>
    <w:rsid w:val="009F2261"/>
    <w:rsid w:val="009F2A25"/>
    <w:rsid w:val="009F3EB4"/>
    <w:rsid w:val="009F5235"/>
    <w:rsid w:val="009F531A"/>
    <w:rsid w:val="009F6550"/>
    <w:rsid w:val="009F786E"/>
    <w:rsid w:val="00A008DA"/>
    <w:rsid w:val="00A00902"/>
    <w:rsid w:val="00A039FF"/>
    <w:rsid w:val="00A05ACE"/>
    <w:rsid w:val="00A078CB"/>
    <w:rsid w:val="00A12EEF"/>
    <w:rsid w:val="00A14AE3"/>
    <w:rsid w:val="00A16675"/>
    <w:rsid w:val="00A22CD6"/>
    <w:rsid w:val="00A234EC"/>
    <w:rsid w:val="00A2417A"/>
    <w:rsid w:val="00A26668"/>
    <w:rsid w:val="00A27804"/>
    <w:rsid w:val="00A36822"/>
    <w:rsid w:val="00A36AB5"/>
    <w:rsid w:val="00A37A23"/>
    <w:rsid w:val="00A411D1"/>
    <w:rsid w:val="00A43389"/>
    <w:rsid w:val="00A43E71"/>
    <w:rsid w:val="00A45753"/>
    <w:rsid w:val="00A47B15"/>
    <w:rsid w:val="00A52F84"/>
    <w:rsid w:val="00A5533F"/>
    <w:rsid w:val="00A554CA"/>
    <w:rsid w:val="00A56394"/>
    <w:rsid w:val="00A56B05"/>
    <w:rsid w:val="00A57678"/>
    <w:rsid w:val="00A60E2F"/>
    <w:rsid w:val="00A63284"/>
    <w:rsid w:val="00A64CB8"/>
    <w:rsid w:val="00A67018"/>
    <w:rsid w:val="00A672F3"/>
    <w:rsid w:val="00A673DC"/>
    <w:rsid w:val="00A67D40"/>
    <w:rsid w:val="00A7076E"/>
    <w:rsid w:val="00A709BE"/>
    <w:rsid w:val="00A7162E"/>
    <w:rsid w:val="00A7195A"/>
    <w:rsid w:val="00A72D71"/>
    <w:rsid w:val="00A7519C"/>
    <w:rsid w:val="00A75705"/>
    <w:rsid w:val="00A77C69"/>
    <w:rsid w:val="00A83953"/>
    <w:rsid w:val="00A83A77"/>
    <w:rsid w:val="00A85AF5"/>
    <w:rsid w:val="00A900E7"/>
    <w:rsid w:val="00A903B6"/>
    <w:rsid w:val="00A90F4F"/>
    <w:rsid w:val="00A92E44"/>
    <w:rsid w:val="00A9418A"/>
    <w:rsid w:val="00A947AA"/>
    <w:rsid w:val="00A9769C"/>
    <w:rsid w:val="00AA1B53"/>
    <w:rsid w:val="00AA3556"/>
    <w:rsid w:val="00AA35FD"/>
    <w:rsid w:val="00AA3DB7"/>
    <w:rsid w:val="00AB0340"/>
    <w:rsid w:val="00AB3012"/>
    <w:rsid w:val="00AB321C"/>
    <w:rsid w:val="00AB5B99"/>
    <w:rsid w:val="00AB688F"/>
    <w:rsid w:val="00AB75EA"/>
    <w:rsid w:val="00AB7AA2"/>
    <w:rsid w:val="00AB7BE2"/>
    <w:rsid w:val="00AC4BC1"/>
    <w:rsid w:val="00AD04BD"/>
    <w:rsid w:val="00AD1C72"/>
    <w:rsid w:val="00AD25F6"/>
    <w:rsid w:val="00AD46E6"/>
    <w:rsid w:val="00AD7214"/>
    <w:rsid w:val="00AE1066"/>
    <w:rsid w:val="00AE2AD2"/>
    <w:rsid w:val="00AE4518"/>
    <w:rsid w:val="00AE5D7F"/>
    <w:rsid w:val="00AE79F0"/>
    <w:rsid w:val="00AF2089"/>
    <w:rsid w:val="00AF3350"/>
    <w:rsid w:val="00AF4305"/>
    <w:rsid w:val="00AF5585"/>
    <w:rsid w:val="00AF561C"/>
    <w:rsid w:val="00AF6EC1"/>
    <w:rsid w:val="00B00331"/>
    <w:rsid w:val="00B01A80"/>
    <w:rsid w:val="00B02675"/>
    <w:rsid w:val="00B07C27"/>
    <w:rsid w:val="00B10017"/>
    <w:rsid w:val="00B10DE1"/>
    <w:rsid w:val="00B10FF8"/>
    <w:rsid w:val="00B11A5B"/>
    <w:rsid w:val="00B203C4"/>
    <w:rsid w:val="00B20A27"/>
    <w:rsid w:val="00B22E81"/>
    <w:rsid w:val="00B23996"/>
    <w:rsid w:val="00B23CB2"/>
    <w:rsid w:val="00B24946"/>
    <w:rsid w:val="00B2561A"/>
    <w:rsid w:val="00B25A64"/>
    <w:rsid w:val="00B306AA"/>
    <w:rsid w:val="00B32AB3"/>
    <w:rsid w:val="00B34E7C"/>
    <w:rsid w:val="00B368EA"/>
    <w:rsid w:val="00B37EEF"/>
    <w:rsid w:val="00B424F8"/>
    <w:rsid w:val="00B46E00"/>
    <w:rsid w:val="00B52B4A"/>
    <w:rsid w:val="00B54370"/>
    <w:rsid w:val="00B55185"/>
    <w:rsid w:val="00B55281"/>
    <w:rsid w:val="00B60FD1"/>
    <w:rsid w:val="00B61923"/>
    <w:rsid w:val="00B621D6"/>
    <w:rsid w:val="00B63EF5"/>
    <w:rsid w:val="00B65D6F"/>
    <w:rsid w:val="00B67C23"/>
    <w:rsid w:val="00B70DC7"/>
    <w:rsid w:val="00B715FD"/>
    <w:rsid w:val="00B73042"/>
    <w:rsid w:val="00B74BB9"/>
    <w:rsid w:val="00B75283"/>
    <w:rsid w:val="00B75735"/>
    <w:rsid w:val="00B77142"/>
    <w:rsid w:val="00B807F5"/>
    <w:rsid w:val="00B80A2C"/>
    <w:rsid w:val="00B81F60"/>
    <w:rsid w:val="00B841AC"/>
    <w:rsid w:val="00B843ED"/>
    <w:rsid w:val="00B865B0"/>
    <w:rsid w:val="00B90497"/>
    <w:rsid w:val="00B90780"/>
    <w:rsid w:val="00B91F9C"/>
    <w:rsid w:val="00B9240D"/>
    <w:rsid w:val="00B97681"/>
    <w:rsid w:val="00BA08A9"/>
    <w:rsid w:val="00BA22A8"/>
    <w:rsid w:val="00BA3E48"/>
    <w:rsid w:val="00BA4BD3"/>
    <w:rsid w:val="00BB0187"/>
    <w:rsid w:val="00BB1EB3"/>
    <w:rsid w:val="00BB2678"/>
    <w:rsid w:val="00BC013A"/>
    <w:rsid w:val="00BC1F94"/>
    <w:rsid w:val="00BC2343"/>
    <w:rsid w:val="00BC41FB"/>
    <w:rsid w:val="00BD30C8"/>
    <w:rsid w:val="00BD32FA"/>
    <w:rsid w:val="00BD3EB4"/>
    <w:rsid w:val="00BD5C65"/>
    <w:rsid w:val="00BD71EE"/>
    <w:rsid w:val="00BE6018"/>
    <w:rsid w:val="00BF1F57"/>
    <w:rsid w:val="00BF4086"/>
    <w:rsid w:val="00BF426C"/>
    <w:rsid w:val="00BF58D0"/>
    <w:rsid w:val="00BF63AF"/>
    <w:rsid w:val="00BF7D6A"/>
    <w:rsid w:val="00C013E1"/>
    <w:rsid w:val="00C01611"/>
    <w:rsid w:val="00C02D59"/>
    <w:rsid w:val="00C030B6"/>
    <w:rsid w:val="00C03284"/>
    <w:rsid w:val="00C050D7"/>
    <w:rsid w:val="00C05B5F"/>
    <w:rsid w:val="00C06911"/>
    <w:rsid w:val="00C104CC"/>
    <w:rsid w:val="00C12898"/>
    <w:rsid w:val="00C152FE"/>
    <w:rsid w:val="00C16739"/>
    <w:rsid w:val="00C22C7D"/>
    <w:rsid w:val="00C22CCE"/>
    <w:rsid w:val="00C231D6"/>
    <w:rsid w:val="00C23BA2"/>
    <w:rsid w:val="00C272C4"/>
    <w:rsid w:val="00C31C12"/>
    <w:rsid w:val="00C32AF2"/>
    <w:rsid w:val="00C33204"/>
    <w:rsid w:val="00C338EB"/>
    <w:rsid w:val="00C3465D"/>
    <w:rsid w:val="00C35643"/>
    <w:rsid w:val="00C379E9"/>
    <w:rsid w:val="00C439FB"/>
    <w:rsid w:val="00C43F23"/>
    <w:rsid w:val="00C50011"/>
    <w:rsid w:val="00C52CA1"/>
    <w:rsid w:val="00C5755E"/>
    <w:rsid w:val="00C6379C"/>
    <w:rsid w:val="00C645E6"/>
    <w:rsid w:val="00C64D82"/>
    <w:rsid w:val="00C64FBC"/>
    <w:rsid w:val="00C65A83"/>
    <w:rsid w:val="00C724F2"/>
    <w:rsid w:val="00C72C6F"/>
    <w:rsid w:val="00C75057"/>
    <w:rsid w:val="00C77034"/>
    <w:rsid w:val="00C80F23"/>
    <w:rsid w:val="00C81151"/>
    <w:rsid w:val="00C81EFA"/>
    <w:rsid w:val="00C82CC6"/>
    <w:rsid w:val="00C850A3"/>
    <w:rsid w:val="00C85C32"/>
    <w:rsid w:val="00C87568"/>
    <w:rsid w:val="00C90DB6"/>
    <w:rsid w:val="00C913B6"/>
    <w:rsid w:val="00C9394F"/>
    <w:rsid w:val="00C93B1A"/>
    <w:rsid w:val="00C96F5F"/>
    <w:rsid w:val="00CA4126"/>
    <w:rsid w:val="00CA4574"/>
    <w:rsid w:val="00CA5927"/>
    <w:rsid w:val="00CA79EC"/>
    <w:rsid w:val="00CB041A"/>
    <w:rsid w:val="00CB39C2"/>
    <w:rsid w:val="00CB4664"/>
    <w:rsid w:val="00CB4C8C"/>
    <w:rsid w:val="00CB6782"/>
    <w:rsid w:val="00CC080A"/>
    <w:rsid w:val="00CC0994"/>
    <w:rsid w:val="00CC0C03"/>
    <w:rsid w:val="00CD0AAD"/>
    <w:rsid w:val="00CD6177"/>
    <w:rsid w:val="00CE182E"/>
    <w:rsid w:val="00CE2DAB"/>
    <w:rsid w:val="00CE2DE4"/>
    <w:rsid w:val="00CE2E79"/>
    <w:rsid w:val="00CE5277"/>
    <w:rsid w:val="00CE5A79"/>
    <w:rsid w:val="00CE6358"/>
    <w:rsid w:val="00CF2D54"/>
    <w:rsid w:val="00CF592C"/>
    <w:rsid w:val="00CF6992"/>
    <w:rsid w:val="00CF6AD7"/>
    <w:rsid w:val="00CF7B8C"/>
    <w:rsid w:val="00D03538"/>
    <w:rsid w:val="00D049B8"/>
    <w:rsid w:val="00D0516C"/>
    <w:rsid w:val="00D05EE7"/>
    <w:rsid w:val="00D068D0"/>
    <w:rsid w:val="00D078D1"/>
    <w:rsid w:val="00D129A8"/>
    <w:rsid w:val="00D12FB9"/>
    <w:rsid w:val="00D13FE2"/>
    <w:rsid w:val="00D200BD"/>
    <w:rsid w:val="00D22399"/>
    <w:rsid w:val="00D24B11"/>
    <w:rsid w:val="00D310BA"/>
    <w:rsid w:val="00D32C0A"/>
    <w:rsid w:val="00D33751"/>
    <w:rsid w:val="00D3382F"/>
    <w:rsid w:val="00D33924"/>
    <w:rsid w:val="00D34559"/>
    <w:rsid w:val="00D36F6E"/>
    <w:rsid w:val="00D3705B"/>
    <w:rsid w:val="00D37343"/>
    <w:rsid w:val="00D4205E"/>
    <w:rsid w:val="00D45DB6"/>
    <w:rsid w:val="00D5574C"/>
    <w:rsid w:val="00D604CE"/>
    <w:rsid w:val="00D61982"/>
    <w:rsid w:val="00D6267A"/>
    <w:rsid w:val="00D67D12"/>
    <w:rsid w:val="00D7585A"/>
    <w:rsid w:val="00D77B06"/>
    <w:rsid w:val="00D80618"/>
    <w:rsid w:val="00D8121C"/>
    <w:rsid w:val="00D82494"/>
    <w:rsid w:val="00D84A4B"/>
    <w:rsid w:val="00D92168"/>
    <w:rsid w:val="00D940B5"/>
    <w:rsid w:val="00D95CB0"/>
    <w:rsid w:val="00D977C0"/>
    <w:rsid w:val="00DA00A3"/>
    <w:rsid w:val="00DA13F3"/>
    <w:rsid w:val="00DA23C3"/>
    <w:rsid w:val="00DA2DE3"/>
    <w:rsid w:val="00DA475D"/>
    <w:rsid w:val="00DA7146"/>
    <w:rsid w:val="00DA716A"/>
    <w:rsid w:val="00DB1F4F"/>
    <w:rsid w:val="00DB37EE"/>
    <w:rsid w:val="00DB4450"/>
    <w:rsid w:val="00DB7B69"/>
    <w:rsid w:val="00DC234A"/>
    <w:rsid w:val="00DC27AD"/>
    <w:rsid w:val="00DC41E4"/>
    <w:rsid w:val="00DC5116"/>
    <w:rsid w:val="00DC7C77"/>
    <w:rsid w:val="00DD074A"/>
    <w:rsid w:val="00DD2417"/>
    <w:rsid w:val="00DD47BB"/>
    <w:rsid w:val="00DD7251"/>
    <w:rsid w:val="00DD7EA2"/>
    <w:rsid w:val="00DE00F2"/>
    <w:rsid w:val="00DE117F"/>
    <w:rsid w:val="00DE401C"/>
    <w:rsid w:val="00DF22DF"/>
    <w:rsid w:val="00DF63FA"/>
    <w:rsid w:val="00DF7589"/>
    <w:rsid w:val="00E00A1C"/>
    <w:rsid w:val="00E012CC"/>
    <w:rsid w:val="00E02818"/>
    <w:rsid w:val="00E02B71"/>
    <w:rsid w:val="00E02DEB"/>
    <w:rsid w:val="00E042A1"/>
    <w:rsid w:val="00E05A9C"/>
    <w:rsid w:val="00E067FB"/>
    <w:rsid w:val="00E104FA"/>
    <w:rsid w:val="00E1082A"/>
    <w:rsid w:val="00E11166"/>
    <w:rsid w:val="00E13182"/>
    <w:rsid w:val="00E15383"/>
    <w:rsid w:val="00E16313"/>
    <w:rsid w:val="00E1738C"/>
    <w:rsid w:val="00E207A1"/>
    <w:rsid w:val="00E22D28"/>
    <w:rsid w:val="00E230E3"/>
    <w:rsid w:val="00E27A14"/>
    <w:rsid w:val="00E30EDF"/>
    <w:rsid w:val="00E30F3C"/>
    <w:rsid w:val="00E31EC2"/>
    <w:rsid w:val="00E31FBA"/>
    <w:rsid w:val="00E32CB6"/>
    <w:rsid w:val="00E34042"/>
    <w:rsid w:val="00E34CDF"/>
    <w:rsid w:val="00E36AAE"/>
    <w:rsid w:val="00E41773"/>
    <w:rsid w:val="00E428DD"/>
    <w:rsid w:val="00E43B0B"/>
    <w:rsid w:val="00E44A50"/>
    <w:rsid w:val="00E477F6"/>
    <w:rsid w:val="00E50841"/>
    <w:rsid w:val="00E513F6"/>
    <w:rsid w:val="00E52F3B"/>
    <w:rsid w:val="00E53A45"/>
    <w:rsid w:val="00E53D94"/>
    <w:rsid w:val="00E53DEA"/>
    <w:rsid w:val="00E548E9"/>
    <w:rsid w:val="00E553CC"/>
    <w:rsid w:val="00E55667"/>
    <w:rsid w:val="00E57068"/>
    <w:rsid w:val="00E57630"/>
    <w:rsid w:val="00E616DB"/>
    <w:rsid w:val="00E627A4"/>
    <w:rsid w:val="00E630ED"/>
    <w:rsid w:val="00E74EC5"/>
    <w:rsid w:val="00E75FDC"/>
    <w:rsid w:val="00E76B86"/>
    <w:rsid w:val="00E8342F"/>
    <w:rsid w:val="00E847A7"/>
    <w:rsid w:val="00E85E29"/>
    <w:rsid w:val="00E85F25"/>
    <w:rsid w:val="00E86E79"/>
    <w:rsid w:val="00E87313"/>
    <w:rsid w:val="00E906B4"/>
    <w:rsid w:val="00E9095B"/>
    <w:rsid w:val="00E926B8"/>
    <w:rsid w:val="00E9399B"/>
    <w:rsid w:val="00E94008"/>
    <w:rsid w:val="00E94762"/>
    <w:rsid w:val="00E9588D"/>
    <w:rsid w:val="00E95CDA"/>
    <w:rsid w:val="00E96B52"/>
    <w:rsid w:val="00EA2244"/>
    <w:rsid w:val="00EA5D6D"/>
    <w:rsid w:val="00EA6FA7"/>
    <w:rsid w:val="00EB067F"/>
    <w:rsid w:val="00EB0BF5"/>
    <w:rsid w:val="00EB1F02"/>
    <w:rsid w:val="00EB3E72"/>
    <w:rsid w:val="00EB5BC5"/>
    <w:rsid w:val="00EC086C"/>
    <w:rsid w:val="00EC42D0"/>
    <w:rsid w:val="00EC58C8"/>
    <w:rsid w:val="00EC638F"/>
    <w:rsid w:val="00EC64D3"/>
    <w:rsid w:val="00ED0183"/>
    <w:rsid w:val="00ED48AC"/>
    <w:rsid w:val="00EE01D9"/>
    <w:rsid w:val="00EE224C"/>
    <w:rsid w:val="00EE4874"/>
    <w:rsid w:val="00EE79A6"/>
    <w:rsid w:val="00EF063B"/>
    <w:rsid w:val="00EF6111"/>
    <w:rsid w:val="00EF6232"/>
    <w:rsid w:val="00EF698A"/>
    <w:rsid w:val="00F005A0"/>
    <w:rsid w:val="00F006CC"/>
    <w:rsid w:val="00F05EAD"/>
    <w:rsid w:val="00F06616"/>
    <w:rsid w:val="00F11352"/>
    <w:rsid w:val="00F1498D"/>
    <w:rsid w:val="00F14DDF"/>
    <w:rsid w:val="00F152AD"/>
    <w:rsid w:val="00F2285F"/>
    <w:rsid w:val="00F23155"/>
    <w:rsid w:val="00F24236"/>
    <w:rsid w:val="00F24E0E"/>
    <w:rsid w:val="00F26693"/>
    <w:rsid w:val="00F27C38"/>
    <w:rsid w:val="00F36130"/>
    <w:rsid w:val="00F40444"/>
    <w:rsid w:val="00F40868"/>
    <w:rsid w:val="00F423BD"/>
    <w:rsid w:val="00F4255D"/>
    <w:rsid w:val="00F432FF"/>
    <w:rsid w:val="00F46DF9"/>
    <w:rsid w:val="00F4715C"/>
    <w:rsid w:val="00F54869"/>
    <w:rsid w:val="00F556B2"/>
    <w:rsid w:val="00F57252"/>
    <w:rsid w:val="00F5754B"/>
    <w:rsid w:val="00F576DE"/>
    <w:rsid w:val="00F63BF7"/>
    <w:rsid w:val="00F64563"/>
    <w:rsid w:val="00F65617"/>
    <w:rsid w:val="00F65D71"/>
    <w:rsid w:val="00F70112"/>
    <w:rsid w:val="00F710BE"/>
    <w:rsid w:val="00F723B1"/>
    <w:rsid w:val="00F736D2"/>
    <w:rsid w:val="00F7564C"/>
    <w:rsid w:val="00F76220"/>
    <w:rsid w:val="00F769BE"/>
    <w:rsid w:val="00F81C33"/>
    <w:rsid w:val="00F82A1D"/>
    <w:rsid w:val="00F82E6B"/>
    <w:rsid w:val="00F91F6D"/>
    <w:rsid w:val="00F97B71"/>
    <w:rsid w:val="00FA2DDA"/>
    <w:rsid w:val="00FA34CA"/>
    <w:rsid w:val="00FA4A55"/>
    <w:rsid w:val="00FA4D4F"/>
    <w:rsid w:val="00FA54E8"/>
    <w:rsid w:val="00FA7193"/>
    <w:rsid w:val="00FA7910"/>
    <w:rsid w:val="00FB2D17"/>
    <w:rsid w:val="00FB2F69"/>
    <w:rsid w:val="00FB368B"/>
    <w:rsid w:val="00FB45FF"/>
    <w:rsid w:val="00FB572A"/>
    <w:rsid w:val="00FB5D97"/>
    <w:rsid w:val="00FC1CA5"/>
    <w:rsid w:val="00FC2098"/>
    <w:rsid w:val="00FC219C"/>
    <w:rsid w:val="00FC2979"/>
    <w:rsid w:val="00FD1C3C"/>
    <w:rsid w:val="00FD1E02"/>
    <w:rsid w:val="00FD38A8"/>
    <w:rsid w:val="00FD6AC8"/>
    <w:rsid w:val="00FE3EA1"/>
    <w:rsid w:val="00FE4818"/>
    <w:rsid w:val="00FE4BF2"/>
    <w:rsid w:val="00FE5D80"/>
    <w:rsid w:val="00FE67F1"/>
    <w:rsid w:val="00FF1577"/>
    <w:rsid w:val="00FF3515"/>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header"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iPriority="0" w:unhideWhenUsed="0"/>
    <w:lsdException w:locked="1" w:name="HTML Preformatted"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2A5D31"/>
    <w:pPr>
      <w:widowControl w:val="0"/>
      <w:jc w:val="both"/>
    </w:pPr>
    <w:rPr>
      <w:kern w:val="2"/>
      <w:sz w:val="21"/>
      <w:szCs w:val="24"/>
    </w:rPr>
  </w:style>
  <w:style w:styleId="1" w:type="paragraph">
    <w:name w:val="heading 1"/>
    <w:basedOn w:val="a"/>
    <w:next w:val="a"/>
    <w:link w:val="1Char"/>
    <w:uiPriority w:val="99"/>
    <w:qFormat/>
    <w:rsid w:val="00FD1E02"/>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C12898"/>
    <w:pPr>
      <w:keepNext/>
      <w:keepLines/>
      <w:spacing w:after="260" w:before="260" w:line="360" w:lineRule="auto"/>
      <w:outlineLvl w:val="1"/>
    </w:pPr>
    <w:rPr>
      <w:rFonts w:ascii="Arial" w:cs="Arial" w:hAnsi="Arial"/>
      <w:b/>
      <w:bCs/>
      <w:sz w:val="24"/>
      <w:szCs w:val="28"/>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FD1E02"/>
    <w:rPr>
      <w:rFonts w:cs="Times New Roman"/>
      <w:b/>
      <w:bCs/>
      <w:kern w:val="44"/>
      <w:sz w:val="44"/>
      <w:szCs w:val="44"/>
    </w:rPr>
  </w:style>
  <w:style w:customStyle="1" w:styleId="2Char" w:type="character">
    <w:name w:val="标题 2 Char"/>
    <w:link w:val="2"/>
    <w:uiPriority w:val="99"/>
    <w:semiHidden/>
    <w:locked/>
    <w:rsid w:val="00140FF8"/>
    <w:rPr>
      <w:rFonts w:ascii="Cambria" w:cs="Times New Roman" w:eastAsia="宋体" w:hAnsi="Cambria"/>
      <w:b/>
      <w:bCs/>
      <w:sz w:val="32"/>
      <w:szCs w:val="32"/>
    </w:rPr>
  </w:style>
  <w:style w:styleId="a0" w:type="paragraph">
    <w:name w:val="Normal Indent"/>
    <w:basedOn w:val="a"/>
    <w:uiPriority w:val="99"/>
    <w:rsid w:val="00C12898"/>
    <w:pPr>
      <w:ind w:firstLine="420" w:firstLineChars="200"/>
    </w:pPr>
  </w:style>
  <w:style w:styleId="a4" w:type="paragraph">
    <w:name w:val="Body Text Indent"/>
    <w:basedOn w:val="a"/>
    <w:link w:val="Char"/>
    <w:uiPriority w:val="99"/>
    <w:rsid w:val="00C12898"/>
    <w:pPr>
      <w:widowControl/>
      <w:spacing w:after="100" w:afterAutospacing="1" w:before="100" w:beforeAutospacing="1"/>
      <w:jc w:val="left"/>
    </w:pPr>
    <w:rPr>
      <w:rFonts w:ascii="Arial Unicode MS" w:cs="Arial Unicode MS" w:eastAsia="Arial Unicode MS" w:hAnsi="Arial Unicode MS"/>
      <w:kern w:val="0"/>
      <w:sz w:val="24"/>
    </w:rPr>
  </w:style>
  <w:style w:customStyle="1" w:styleId="Char" w:type="character">
    <w:name w:val="正文文本缩进 Char"/>
    <w:link w:val="a4"/>
    <w:uiPriority w:val="99"/>
    <w:semiHidden/>
    <w:locked/>
    <w:rsid w:val="00140FF8"/>
    <w:rPr>
      <w:rFonts w:cs="Times New Roman"/>
      <w:sz w:val="24"/>
      <w:szCs w:val="24"/>
    </w:rPr>
  </w:style>
  <w:style w:styleId="a5" w:type="paragraph">
    <w:name w:val="Plain Text"/>
    <w:basedOn w:val="a"/>
    <w:link w:val="Char0"/>
    <w:uiPriority w:val="99"/>
    <w:rsid w:val="00C12898"/>
    <w:rPr>
      <w:rFonts w:ascii="宋体" w:hAnsi="Courier New"/>
      <w:szCs w:val="21"/>
    </w:rPr>
  </w:style>
  <w:style w:customStyle="1" w:styleId="Char0" w:type="character">
    <w:name w:val="纯文本 Char"/>
    <w:link w:val="a5"/>
    <w:uiPriority w:val="99"/>
    <w:locked/>
    <w:rsid w:val="0042253F"/>
    <w:rPr>
      <w:rFonts w:ascii="宋体" w:cs="Times New Roman" w:hAnsi="Courier New"/>
      <w:kern w:val="2"/>
      <w:sz w:val="21"/>
    </w:rPr>
  </w:style>
  <w:style w:styleId="20" w:type="paragraph">
    <w:name w:val="Body Text Indent 2"/>
    <w:basedOn w:val="a"/>
    <w:link w:val="2Char0"/>
    <w:uiPriority w:val="99"/>
    <w:rsid w:val="00C12898"/>
    <w:pPr>
      <w:spacing w:line="560" w:lineRule="exact"/>
      <w:ind w:firstLine="480" w:firstLineChars="200"/>
    </w:pPr>
    <w:rPr>
      <w:rFonts w:ascii="宋体" w:hAnsi="宋体"/>
      <w:color w:val="FF0000"/>
      <w:sz w:val="24"/>
    </w:rPr>
  </w:style>
  <w:style w:customStyle="1" w:styleId="2Char0" w:type="character">
    <w:name w:val="正文文本缩进 2 Char"/>
    <w:link w:val="20"/>
    <w:uiPriority w:val="99"/>
    <w:semiHidden/>
    <w:locked/>
    <w:rsid w:val="00140FF8"/>
    <w:rPr>
      <w:rFonts w:cs="Times New Roman"/>
      <w:sz w:val="24"/>
      <w:szCs w:val="24"/>
    </w:rPr>
  </w:style>
  <w:style w:styleId="a6" w:type="paragraph">
    <w:name w:val="footer"/>
    <w:basedOn w:val="a"/>
    <w:link w:val="Char1"/>
    <w:uiPriority w:val="99"/>
    <w:rsid w:val="00C12898"/>
    <w:pPr>
      <w:tabs>
        <w:tab w:pos="4153" w:val="center"/>
        <w:tab w:pos="8306" w:val="right"/>
      </w:tabs>
      <w:snapToGrid w:val="0"/>
      <w:jc w:val="left"/>
    </w:pPr>
    <w:rPr>
      <w:sz w:val="18"/>
      <w:szCs w:val="18"/>
    </w:rPr>
  </w:style>
  <w:style w:customStyle="1" w:styleId="Char1" w:type="character">
    <w:name w:val="页脚 Char"/>
    <w:link w:val="a6"/>
    <w:uiPriority w:val="99"/>
    <w:semiHidden/>
    <w:locked/>
    <w:rsid w:val="00140FF8"/>
    <w:rPr>
      <w:rFonts w:cs="Times New Roman"/>
      <w:sz w:val="18"/>
      <w:szCs w:val="18"/>
    </w:rPr>
  </w:style>
  <w:style w:styleId="a7" w:type="character">
    <w:name w:val="page number"/>
    <w:uiPriority w:val="99"/>
    <w:rsid w:val="00C12898"/>
    <w:rPr>
      <w:rFonts w:cs="Times New Roman"/>
    </w:rPr>
  </w:style>
  <w:style w:styleId="a8" w:type="character">
    <w:name w:val="Hyperlink"/>
    <w:uiPriority w:val="99"/>
    <w:rsid w:val="00C12898"/>
    <w:rPr>
      <w:rFonts w:cs="Times New Roman"/>
      <w:color w:val="0000FF"/>
      <w:u w:val="single"/>
    </w:rPr>
  </w:style>
  <w:style w:styleId="3" w:type="paragraph">
    <w:name w:val="Body Text Indent 3"/>
    <w:basedOn w:val="a"/>
    <w:link w:val="3Char"/>
    <w:uiPriority w:val="99"/>
    <w:rsid w:val="00C12898"/>
    <w:pPr>
      <w:spacing w:line="560" w:lineRule="exact"/>
      <w:ind w:firstLine="420" w:firstLineChars="200"/>
    </w:pPr>
    <w:rPr>
      <w:rFonts w:ascii="Arial" w:cs="Arial" w:hAnsi="Arial"/>
      <w:color w:val="FF0000"/>
    </w:rPr>
  </w:style>
  <w:style w:customStyle="1" w:styleId="3Char" w:type="character">
    <w:name w:val="正文文本缩进 3 Char"/>
    <w:link w:val="3"/>
    <w:uiPriority w:val="99"/>
    <w:semiHidden/>
    <w:locked/>
    <w:rsid w:val="00140FF8"/>
    <w:rPr>
      <w:rFonts w:cs="Times New Roman"/>
      <w:sz w:val="16"/>
      <w:szCs w:val="16"/>
    </w:rPr>
  </w:style>
  <w:style w:styleId="a9" w:type="paragraph">
    <w:name w:val="header"/>
    <w:basedOn w:val="a"/>
    <w:link w:val="Char2"/>
    <w:uiPriority w:val="99"/>
    <w:rsid w:val="00C12898"/>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FB572A"/>
    <w:rPr>
      <w:rFonts w:cs="Times New Roman"/>
      <w:kern w:val="2"/>
      <w:sz w:val="18"/>
      <w:szCs w:val="18"/>
    </w:rPr>
  </w:style>
  <w:style w:styleId="aa" w:type="character">
    <w:name w:val="FollowedHyperlink"/>
    <w:uiPriority w:val="99"/>
    <w:rsid w:val="00C12898"/>
    <w:rPr>
      <w:rFonts w:cs="Times New Roman"/>
      <w:color w:val="800080"/>
      <w:u w:val="single"/>
    </w:rPr>
  </w:style>
  <w:style w:styleId="ab" w:type="paragraph">
    <w:name w:val="List"/>
    <w:basedOn w:val="ac"/>
    <w:uiPriority w:val="99"/>
    <w:rsid w:val="00C12898"/>
    <w:pPr>
      <w:spacing w:after="220" w:line="220" w:lineRule="atLeast"/>
      <w:ind w:hanging="360" w:left="1440"/>
    </w:pPr>
    <w:rPr>
      <w:szCs w:val="20"/>
    </w:rPr>
  </w:style>
  <w:style w:styleId="ac" w:type="paragraph">
    <w:name w:val="Body Text"/>
    <w:basedOn w:val="a"/>
    <w:link w:val="Char3"/>
    <w:uiPriority w:val="99"/>
    <w:rsid w:val="00C12898"/>
    <w:pPr>
      <w:spacing w:after="120"/>
    </w:pPr>
  </w:style>
  <w:style w:customStyle="1" w:styleId="Char3" w:type="character">
    <w:name w:val="正文文本 Char"/>
    <w:link w:val="ac"/>
    <w:uiPriority w:val="99"/>
    <w:semiHidden/>
    <w:locked/>
    <w:rsid w:val="00140FF8"/>
    <w:rPr>
      <w:rFonts w:cs="Times New Roman"/>
      <w:sz w:val="24"/>
      <w:szCs w:val="24"/>
    </w:rPr>
  </w:style>
  <w:style w:styleId="ad" w:type="paragraph">
    <w:name w:val="Date"/>
    <w:basedOn w:val="a"/>
    <w:next w:val="a"/>
    <w:link w:val="Char4"/>
    <w:uiPriority w:val="99"/>
    <w:rsid w:val="00C12898"/>
    <w:rPr>
      <w:sz w:val="24"/>
      <w:szCs w:val="20"/>
    </w:rPr>
  </w:style>
  <w:style w:customStyle="1" w:styleId="Char4" w:type="character">
    <w:name w:val="日期 Char"/>
    <w:link w:val="ad"/>
    <w:uiPriority w:val="99"/>
    <w:locked/>
    <w:rsid w:val="00F27C38"/>
    <w:rPr>
      <w:rFonts w:cs="Times New Roman"/>
      <w:kern w:val="2"/>
      <w:sz w:val="24"/>
    </w:rPr>
  </w:style>
  <w:style w:customStyle="1" w:styleId="c1" w:type="character">
    <w:name w:val="c1"/>
    <w:uiPriority w:val="99"/>
    <w:rsid w:val="00C12898"/>
    <w:rPr>
      <w:rFonts w:cs="Times New Roman"/>
      <w:color w:val="000000"/>
      <w:sz w:val="18"/>
      <w:szCs w:val="18"/>
    </w:rPr>
  </w:style>
  <w:style w:styleId="10" w:type="paragraph">
    <w:name w:val="index 1"/>
    <w:basedOn w:val="a"/>
    <w:next w:val="a"/>
    <w:autoRedefine/>
    <w:uiPriority w:val="99"/>
    <w:semiHidden/>
    <w:rsid w:val="00C12898"/>
    <w:pPr>
      <w:jc w:val="right"/>
    </w:pPr>
    <w:rPr>
      <w:color w:val="008000"/>
    </w:rPr>
  </w:style>
  <w:style w:customStyle="1" w:styleId="font5" w:type="paragraph">
    <w:name w:val="font5"/>
    <w:basedOn w:val="a"/>
    <w:uiPriority w:val="99"/>
    <w:rsid w:val="00C12898"/>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C1289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C1289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C1289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C1289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C1289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C1289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C1289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C12898"/>
    <w:rPr>
      <w:sz w:val="18"/>
      <w:szCs w:val="18"/>
    </w:rPr>
  </w:style>
  <w:style w:customStyle="1" w:styleId="Char5" w:type="character">
    <w:name w:val="批注框文本 Char"/>
    <w:link w:val="ae"/>
    <w:uiPriority w:val="99"/>
    <w:semiHidden/>
    <w:locked/>
    <w:rsid w:val="00140FF8"/>
    <w:rPr>
      <w:rFonts w:cs="Times New Roman"/>
      <w:sz w:val="2"/>
    </w:rPr>
  </w:style>
  <w:style w:styleId="af" w:type="character">
    <w:name w:val="annotation reference"/>
    <w:uiPriority w:val="99"/>
    <w:semiHidden/>
    <w:rsid w:val="00C12898"/>
    <w:rPr>
      <w:rFonts w:cs="Times New Roman"/>
      <w:sz w:val="21"/>
      <w:szCs w:val="21"/>
    </w:rPr>
  </w:style>
  <w:style w:styleId="af0" w:type="paragraph">
    <w:name w:val="annotation text"/>
    <w:basedOn w:val="a"/>
    <w:link w:val="Char6"/>
    <w:uiPriority w:val="99"/>
    <w:semiHidden/>
    <w:rsid w:val="00C12898"/>
    <w:pPr>
      <w:jc w:val="left"/>
    </w:pPr>
  </w:style>
  <w:style w:customStyle="1" w:styleId="Char6" w:type="character">
    <w:name w:val="批注文字 Char"/>
    <w:link w:val="af0"/>
    <w:uiPriority w:val="99"/>
    <w:semiHidden/>
    <w:locked/>
    <w:rsid w:val="00140FF8"/>
    <w:rPr>
      <w:rFonts w:cs="Times New Roman"/>
      <w:sz w:val="24"/>
      <w:szCs w:val="24"/>
    </w:rPr>
  </w:style>
  <w:style w:styleId="af1" w:type="paragraph">
    <w:name w:val="annotation subject"/>
    <w:basedOn w:val="af0"/>
    <w:next w:val="af0"/>
    <w:link w:val="Char7"/>
    <w:uiPriority w:val="99"/>
    <w:semiHidden/>
    <w:rsid w:val="00C12898"/>
    <w:rPr>
      <w:b/>
      <w:bCs/>
    </w:rPr>
  </w:style>
  <w:style w:customStyle="1" w:styleId="Char7" w:type="character">
    <w:name w:val="批注主题 Char"/>
    <w:link w:val="af1"/>
    <w:uiPriority w:val="99"/>
    <w:semiHidden/>
    <w:locked/>
    <w:rsid w:val="00140FF8"/>
    <w:rPr>
      <w:rFonts w:cs="Times New Roman"/>
      <w:b/>
      <w:bCs/>
      <w:sz w:val="24"/>
      <w:szCs w:val="24"/>
    </w:rPr>
  </w:style>
  <w:style w:customStyle="1" w:styleId="Char8" w:type="paragraph">
    <w:name w:val="Char"/>
    <w:basedOn w:val="a"/>
    <w:uiPriority w:val="99"/>
    <w:rsid w:val="00C12898"/>
  </w:style>
  <w:style w:styleId="af2" w:type="paragraph">
    <w:name w:val="Document Map"/>
    <w:basedOn w:val="a"/>
    <w:link w:val="Char9"/>
    <w:uiPriority w:val="99"/>
    <w:semiHidden/>
    <w:rsid w:val="000A549A"/>
    <w:pPr>
      <w:shd w:color="auto" w:fill="000080" w:val="clear"/>
    </w:pPr>
  </w:style>
  <w:style w:customStyle="1" w:styleId="Char9" w:type="character">
    <w:name w:val="文档结构图 Char"/>
    <w:link w:val="af2"/>
    <w:uiPriority w:val="99"/>
    <w:semiHidden/>
    <w:locked/>
    <w:rsid w:val="00140FF8"/>
    <w:rPr>
      <w:rFonts w:cs="Times New Roman"/>
      <w:sz w:val="2"/>
    </w:rPr>
  </w:style>
  <w:style w:customStyle="1" w:styleId="af3" w:type="paragraph">
    <w:name w:val="正文 + (符号) 宋体"/>
    <w:aliases w:val="小四,紧缩量  0.2 磅"/>
    <w:basedOn w:val="a"/>
    <w:uiPriority w:val="99"/>
    <w:rsid w:val="00C22CCE"/>
    <w:pPr>
      <w:autoSpaceDE w:val="0"/>
      <w:autoSpaceDN w:val="0"/>
      <w:adjustRightInd w:val="0"/>
      <w:ind w:firstLine="1229" w:firstLineChars="512" w:right="1409" w:rightChars="671"/>
      <w:jc w:val="distribute"/>
    </w:pPr>
    <w:rPr>
      <w:sz w:val="24"/>
    </w:rPr>
  </w:style>
  <w:style w:styleId="af4" w:type="paragraph">
    <w:name w:val="footnote text"/>
    <w:basedOn w:val="a"/>
    <w:link w:val="Chara"/>
    <w:uiPriority w:val="99"/>
    <w:semiHidden/>
    <w:rsid w:val="00547D9C"/>
    <w:pPr>
      <w:snapToGrid w:val="0"/>
      <w:jc w:val="left"/>
    </w:pPr>
    <w:rPr>
      <w:sz w:val="18"/>
      <w:szCs w:val="18"/>
    </w:rPr>
  </w:style>
  <w:style w:customStyle="1" w:styleId="Chara" w:type="character">
    <w:name w:val="脚注文本 Char"/>
    <w:link w:val="af4"/>
    <w:uiPriority w:val="99"/>
    <w:semiHidden/>
    <w:locked/>
    <w:rsid w:val="00140FF8"/>
    <w:rPr>
      <w:rFonts w:cs="Times New Roman"/>
      <w:sz w:val="18"/>
      <w:szCs w:val="18"/>
    </w:rPr>
  </w:style>
  <w:style w:styleId="af5" w:type="character">
    <w:name w:val="footnote reference"/>
    <w:uiPriority w:val="99"/>
    <w:semiHidden/>
    <w:rsid w:val="00547D9C"/>
    <w:rPr>
      <w:rFonts w:cs="Times New Roman"/>
      <w:vertAlign w:val="superscript"/>
    </w:rPr>
  </w:style>
  <w:style w:styleId="af6" w:type="paragraph">
    <w:name w:val="Normal (Web)"/>
    <w:basedOn w:val="a"/>
    <w:uiPriority w:val="99"/>
    <w:rsid w:val="005D45B3"/>
    <w:pPr>
      <w:widowControl/>
      <w:spacing w:after="100" w:afterAutospacing="1" w:before="100" w:beforeAutospacing="1"/>
      <w:jc w:val="left"/>
    </w:pPr>
    <w:rPr>
      <w:rFonts w:ascii="宋体" w:hAnsi="宋体"/>
      <w:kern w:val="0"/>
      <w:sz w:val="24"/>
    </w:rPr>
  </w:style>
  <w:style w:styleId="af7" w:type="table">
    <w:name w:val="Table Grid"/>
    <w:basedOn w:val="a2"/>
    <w:qFormat/>
    <w:rsid w:val="002A5D31"/>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043ABF"/>
  </w:style>
  <w:style w:customStyle="1" w:styleId="CharCharCharCharCharChar1CharCharChar" w:type="paragraph">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customStyle="1" w:styleId="Default" w:type="paragraph">
    <w:name w:val="Default"/>
    <w:uiPriority w:val="99"/>
    <w:rsid w:val="00695296"/>
    <w:pPr>
      <w:widowControl w:val="0"/>
      <w:autoSpaceDE w:val="0"/>
      <w:autoSpaceDN w:val="0"/>
      <w:adjustRightInd w:val="0"/>
    </w:pPr>
    <w:rPr>
      <w:rFonts w:ascii="FangSong" w:cs="FangSong" w:hAnsi="FangSong"/>
      <w:color w:val="000000"/>
      <w:sz w:val="24"/>
      <w:szCs w:val="24"/>
    </w:rPr>
  </w:style>
  <w:style w:styleId="HTML" w:type="paragraph">
    <w:name w:val="HTML Preformatted"/>
    <w:basedOn w:val="a"/>
    <w:link w:val="HTMLChar"/>
    <w:uiPriority w:val="99"/>
    <w:rsid w:val="00634900"/>
    <w:pPr>
      <w:widowControl/>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jc w:val="left"/>
    </w:pPr>
    <w:rPr>
      <w:rFonts w:ascii="宋体" w:cs="宋体" w:hAnsi="宋体"/>
      <w:kern w:val="0"/>
      <w:sz w:val="24"/>
    </w:rPr>
  </w:style>
  <w:style w:customStyle="1" w:styleId="HTMLChar" w:type="character">
    <w:name w:val="HTML 预设格式 Char"/>
    <w:link w:val="HTML"/>
    <w:uiPriority w:val="99"/>
    <w:locked/>
    <w:rsid w:val="00634900"/>
    <w:rPr>
      <w:rFonts w:ascii="宋体" w:cs="宋体" w:eastAsia="宋体"/>
      <w:sz w:val="24"/>
      <w:szCs w:val="24"/>
    </w:rPr>
  </w:style>
  <w:style w:styleId="af8" w:type="character">
    <w:name w:val="Strong"/>
    <w:basedOn w:val="a1"/>
    <w:uiPriority w:val="22"/>
    <w:qFormat/>
    <w:locked/>
    <w:rsid w:val="00193F0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9413930">
      <w:bodyDiv w:val="1"/>
      <w:marLeft w:val="0"/>
      <w:marRight w:val="0"/>
      <w:marTop w:val="0"/>
      <w:marBottom w:val="0"/>
      <w:divBdr>
        <w:top w:val="none" w:sz="0" w:space="0" w:color="auto"/>
        <w:left w:val="none" w:sz="0" w:space="0" w:color="auto"/>
        <w:bottom w:val="none" w:sz="0" w:space="0" w:color="auto"/>
        <w:right w:val="none" w:sz="0" w:space="0" w:color="auto"/>
      </w:divBdr>
    </w:div>
    <w:div w:id="1077090524">
      <w:bodyDiv w:val="1"/>
      <w:marLeft w:val="0"/>
      <w:marRight w:val="0"/>
      <w:marTop w:val="0"/>
      <w:marBottom w:val="0"/>
      <w:divBdr>
        <w:top w:val="none" w:sz="0" w:space="0" w:color="auto"/>
        <w:left w:val="none" w:sz="0" w:space="0" w:color="auto"/>
        <w:bottom w:val="none" w:sz="0" w:space="0" w:color="auto"/>
        <w:right w:val="none" w:sz="0" w:space="0" w:color="auto"/>
      </w:divBdr>
    </w:div>
    <w:div w:id="1682857254">
      <w:marLeft w:val="0"/>
      <w:marRight w:val="0"/>
      <w:marTop w:val="0"/>
      <w:marBottom w:val="0"/>
      <w:divBdr>
        <w:top w:val="none" w:sz="0" w:space="0" w:color="auto"/>
        <w:left w:val="none" w:sz="0" w:space="0" w:color="auto"/>
        <w:bottom w:val="none" w:sz="0" w:space="0" w:color="auto"/>
        <w:right w:val="none" w:sz="0" w:space="0" w:color="auto"/>
      </w:divBdr>
    </w:div>
    <w:div w:id="1682857255">
      <w:marLeft w:val="0"/>
      <w:marRight w:val="0"/>
      <w:marTop w:val="0"/>
      <w:marBottom w:val="0"/>
      <w:divBdr>
        <w:top w:val="none" w:sz="0" w:space="0" w:color="auto"/>
        <w:left w:val="none" w:sz="0" w:space="0" w:color="auto"/>
        <w:bottom w:val="none" w:sz="0" w:space="0" w:color="auto"/>
        <w:right w:val="none" w:sz="0" w:space="0" w:color="auto"/>
      </w:divBdr>
    </w:div>
    <w:div w:id="1682857256">
      <w:marLeft w:val="0"/>
      <w:marRight w:val="0"/>
      <w:marTop w:val="0"/>
      <w:marBottom w:val="0"/>
      <w:divBdr>
        <w:top w:val="none" w:sz="0" w:space="0" w:color="auto"/>
        <w:left w:val="none" w:sz="0" w:space="0" w:color="auto"/>
        <w:bottom w:val="none" w:sz="0" w:space="0" w:color="auto"/>
        <w:right w:val="none" w:sz="0" w:space="0" w:color="auto"/>
      </w:divBdr>
    </w:div>
    <w:div w:id="1682857257">
      <w:marLeft w:val="0"/>
      <w:marRight w:val="0"/>
      <w:marTop w:val="0"/>
      <w:marBottom w:val="0"/>
      <w:divBdr>
        <w:top w:val="none" w:sz="0" w:space="0" w:color="auto"/>
        <w:left w:val="none" w:sz="0" w:space="0" w:color="auto"/>
        <w:bottom w:val="none" w:sz="0" w:space="0" w:color="auto"/>
        <w:right w:val="none" w:sz="0" w:space="0" w:color="auto"/>
      </w:divBdr>
    </w:div>
    <w:div w:id="1682857258">
      <w:marLeft w:val="0"/>
      <w:marRight w:val="0"/>
      <w:marTop w:val="0"/>
      <w:marBottom w:val="0"/>
      <w:divBdr>
        <w:top w:val="none" w:sz="0" w:space="0" w:color="auto"/>
        <w:left w:val="none" w:sz="0" w:space="0" w:color="auto"/>
        <w:bottom w:val="none" w:sz="0" w:space="0" w:color="auto"/>
        <w:right w:val="none" w:sz="0" w:space="0" w:color="auto"/>
      </w:divBdr>
    </w:div>
    <w:div w:id="1682857259">
      <w:marLeft w:val="0"/>
      <w:marRight w:val="0"/>
      <w:marTop w:val="0"/>
      <w:marBottom w:val="0"/>
      <w:divBdr>
        <w:top w:val="none" w:sz="0" w:space="0" w:color="auto"/>
        <w:left w:val="none" w:sz="0" w:space="0" w:color="auto"/>
        <w:bottom w:val="none" w:sz="0" w:space="0" w:color="auto"/>
        <w:right w:val="none" w:sz="0" w:space="0" w:color="auto"/>
      </w:divBdr>
    </w:div>
    <w:div w:id="1682857260">
      <w:marLeft w:val="0"/>
      <w:marRight w:val="0"/>
      <w:marTop w:val="0"/>
      <w:marBottom w:val="0"/>
      <w:divBdr>
        <w:top w:val="none" w:sz="0" w:space="0" w:color="auto"/>
        <w:left w:val="none" w:sz="0" w:space="0" w:color="auto"/>
        <w:bottom w:val="none" w:sz="0" w:space="0" w:color="auto"/>
        <w:right w:val="none" w:sz="0" w:space="0" w:color="auto"/>
      </w:divBdr>
    </w:div>
    <w:div w:id="1682857261">
      <w:marLeft w:val="0"/>
      <w:marRight w:val="0"/>
      <w:marTop w:val="0"/>
      <w:marBottom w:val="0"/>
      <w:divBdr>
        <w:top w:val="none" w:sz="0" w:space="0" w:color="auto"/>
        <w:left w:val="none" w:sz="0" w:space="0" w:color="auto"/>
        <w:bottom w:val="none" w:sz="0" w:space="0" w:color="auto"/>
        <w:right w:val="none" w:sz="0" w:space="0" w:color="auto"/>
      </w:divBdr>
    </w:div>
    <w:div w:id="1682857262">
      <w:marLeft w:val="0"/>
      <w:marRight w:val="0"/>
      <w:marTop w:val="0"/>
      <w:marBottom w:val="0"/>
      <w:divBdr>
        <w:top w:val="none" w:sz="0" w:space="0" w:color="auto"/>
        <w:left w:val="none" w:sz="0" w:space="0" w:color="auto"/>
        <w:bottom w:val="none" w:sz="0" w:space="0" w:color="auto"/>
        <w:right w:val="none" w:sz="0" w:space="0" w:color="auto"/>
      </w:divBdr>
    </w:div>
    <w:div w:id="1682857263">
      <w:marLeft w:val="0"/>
      <w:marRight w:val="0"/>
      <w:marTop w:val="0"/>
      <w:marBottom w:val="0"/>
      <w:divBdr>
        <w:top w:val="none" w:sz="0" w:space="0" w:color="auto"/>
        <w:left w:val="none" w:sz="0" w:space="0" w:color="auto"/>
        <w:bottom w:val="none" w:sz="0" w:space="0" w:color="auto"/>
        <w:right w:val="none" w:sz="0" w:space="0" w:color="auto"/>
      </w:divBdr>
    </w:div>
    <w:div w:id="1682857264">
      <w:marLeft w:val="0"/>
      <w:marRight w:val="0"/>
      <w:marTop w:val="0"/>
      <w:marBottom w:val="0"/>
      <w:divBdr>
        <w:top w:val="none" w:sz="0" w:space="0" w:color="auto"/>
        <w:left w:val="none" w:sz="0" w:space="0" w:color="auto"/>
        <w:bottom w:val="none" w:sz="0" w:space="0" w:color="auto"/>
        <w:right w:val="none" w:sz="0" w:space="0" w:color="auto"/>
      </w:divBdr>
    </w:div>
    <w:div w:id="16828572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footer2.xml" Type="http://schemas.openxmlformats.org/officeDocument/2006/relationships/footer"/>
<Relationship Id="rId12" Target="footer3.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250</TotalTime>
  <Pages>28</Pages>
  <Words>4041</Words>
  <Characters>23040</Characters>
  <Application>Microsoft Office Word</Application>
  <DocSecurity>0</DocSecurity>
  <Lines>192</Lines>
  <Paragraphs>54</Paragraphs>
  <ScaleCrop>false</ScaleCrop>
  <Company>TRT. Ltd. Co.</Company>
  <LinksUpToDate>false</LinksUpToDate>
  <CharactersWithSpaces>27027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2012-11-28T02:28:00Z</dcterms:created>
  <cp:lastModifiedBy>sirong han</cp:lastModifiedBy>
  <cp:lastPrinted>2007-07-19T00:46:00Z</cp:lastPrinted>
  <dcterms:modified xsi:type="dcterms:W3CDTF">2020-07-09T02:50:00Z</dcterms:modified>
  <cp:revision>186</cp:revision>
</cp:coreProperties>
</file>