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易方达中债新综合债券指数发起式证券投资基金（LOF）</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中国农业银行股份有限公司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基金托管人中国农业银行股份有限公司根据本基金合同规定，于2020年7月17日复核了本报告中的财务指标、净值表现和投资组合报告等内容，保证复核内容不存在虚假记载、误导性陈述或者重大遗漏。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易方达中债新综指发起式（LOF）</w:t>
            </w:r>
          </w:p>
        </w:tc>
      </w:tr>
      <w:tr w:rsidR="00D36169" w:rsidRPr="0078105B" w:rsidTr="00414367">
        <w:tc>
          <w:tcPr>
            <w:tcW w:type="dxa" w:w="2835"/>
            <w:vAlign w:val="center"/>
          </w:tcPr>
          <w:p w:rsidP="00611CB2" w:rsidR="00D36169" w:rsidRDefault="00D36169" w:rsidRPr="00C30CFF">
            <w:pPr>
              <w:adjustRightInd w:val="0"/>
              <w:spacing w:before="29" w:line="360" w:lineRule="auto"/>
              <w:ind w:left="17"/>
              <w:jc w:val="left"/>
              <w:rPr>
                <w:kern w:val="0"/>
                <w:sz w:val="24"/>
              </w:rPr>
            </w:pPr>
            <w:r w:rsidRPr="00C30CFF">
              <w:rPr>
                <w:kern w:val="0"/>
                <w:sz w:val="24"/>
              </w:rPr>
              <w:t>场内简称</w:t>
            </w:r>
          </w:p>
        </w:tc>
        <w:tc>
          <w:tcPr>
            <w:tcW w:type="dxa" w:w="5529"/>
            <w:gridSpan w:val="2"/>
            <w:vAlign w:val="center"/>
          </w:tcPr>
          <w:p w:rsidP="00611CB2" w:rsidR="00D36169" w:rsidRDefault="00D36169" w:rsidRPr="00C30CFF">
            <w:pPr>
              <w:adjustRightInd w:val="0"/>
              <w:spacing w:before="29" w:line="360" w:lineRule="auto"/>
              <w:ind w:left="17"/>
              <w:jc w:val="left"/>
              <w:rPr>
                <w:kern w:val="0"/>
                <w:sz w:val="24"/>
              </w:rPr>
            </w:pPr>
            <w:r w:rsidRPr="00C30CFF">
              <w:rPr>
                <w:kern w:val="0"/>
                <w:sz w:val="24"/>
              </w:rPr>
              <w:t/>
            </w:r>
            <w:proofErr w:type="spellStart"/>
            <w:r w:rsidRPr="00C30CFF">
              <w:rPr>
                <w:kern w:val="0"/>
                <w:sz w:val="24"/>
              </w:rPr>
              <w:t/>
            </w:r>
            <w:proofErr w:type="spellEnd"/>
            <w:r w:rsidRPr="00C30CFF">
              <w:rPr>
                <w:kern w:val="0"/>
                <w:sz w:val="24"/>
              </w:rPr>
              <w:t/>
            </w:r>
            <w:proofErr w:type="spellStart"/>
            <w:r w:rsidRPr="00C30CFF">
              <w:rPr>
                <w:kern w:val="0"/>
                <w:sz w:val="24"/>
              </w:rPr>
              <w:t/>
            </w:r>
            <w:proofErr w:type="spellEnd"/>
            <w:r w:rsidRPr="00C30CFF">
              <w:rPr>
                <w:kern w:val="0"/>
                <w:sz w:val="24"/>
              </w:rPr>
              <w:t>易基综债</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161119</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契约型、上市开放式（LOF）、发起式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2012年11月8日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400,975,571.92</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本基金通过指数化投资，争取在扣除各项费用之前获得与标的指数相似的总回报，追求跟踪偏离度及跟踪误差的最小化。</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本基金为被动管理的指数基金，主要采用分层抽样复制和动态最优化的方法，构造与标的指数风险收益特征相似的资产组合，以实现对标的指数的有效跟踪。</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中债-新综合指数</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本基金为债券型指数基金，其预期风险和预期收益低于股票基金、混合基金，高于货币市场基金。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中国农业银行股份有限公司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易方达中债新综指发起式（LOF）A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易方达中债新综指发起式（LOF）C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161119</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161120</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355,433,643.18</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45,541,928.74</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易方达中债新综指发起式（LOF）A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易方达中债新综指发起式（LOF）C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5,459,185.60</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958,261.94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-4,068,521.63</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-916,089.93</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-0.0124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-0.0150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508,629,944.85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63,841,063.08</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1.4310</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1.4018</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易方达中债新综指发起式（LOF）A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-0.43%</w:t>
            </w:r>
          </w:p>
        </w:tc>
        <w:tc>
          <w:tcPr>
            <w:vAlign w:val="center"/>
          </w:tcPr>
          <w:p>
            <w:pPr>
              <w:jc w:val="center"/>
            </w:pPr>
            <w:r>
              <w:rPr>
                <w:color w:val="000000"/>
                <w:sz w:val="24"/>
              </w:rPr>
              <w:t>0.16%</w:t>
            </w:r>
          </w:p>
        </w:tc>
        <w:tc>
          <w:tcPr>
            <w:vAlign w:val="center"/>
          </w:tcPr>
          <w:p>
            <w:pPr>
              <w:jc w:val="center"/>
            </w:pPr>
            <w:r>
              <w:rPr>
                <w:color w:val="000000"/>
                <w:sz w:val="24"/>
              </w:rPr>
              <w:t>-0.23%</w:t>
            </w:r>
          </w:p>
        </w:tc>
        <w:tc>
          <w:tcPr>
            <w:vAlign w:val="center"/>
          </w:tcPr>
          <w:p>
            <w:pPr>
              <w:jc w:val="center"/>
            </w:pPr>
            <w:r>
              <w:rPr>
                <w:color w:val="000000"/>
                <w:sz w:val="24"/>
              </w:rPr>
              <w:t>0.12%</w:t>
            </w:r>
          </w:p>
        </w:tc>
        <w:tc>
          <w:tcPr>
            <w:vAlign w:val="center"/>
          </w:tcPr>
          <w:p>
            <w:pPr>
              <w:jc w:val="center"/>
            </w:pPr>
            <w:r>
              <w:rPr>
                <w:color w:val="000000"/>
                <w:sz w:val="24"/>
              </w:rPr>
              <w:t>-0.20%</w:t>
            </w:r>
          </w:p>
        </w:tc>
        <w:tc>
          <w:tcPr>
            <w:vAlign w:val="center"/>
          </w:tcPr>
          <w:p>
            <w:pPr>
              <w:jc w:val="center"/>
            </w:pPr>
            <w:r>
              <w:rPr>
                <w:color w:val="000000"/>
                <w:sz w:val="24"/>
              </w:rPr>
              <w:t>0.04%</w:t>
            </w:r>
          </w:p>
        </w:tc>
      </w:tr>
      <w:tr>
        <w:tc>
          <w:tcPr>
            <w:vAlign w:val="center"/>
          </w:tcPr>
          <w:p>
            <w:pPr>
              <w:jc w:val="left"/>
            </w:pPr>
            <w:r>
              <w:rPr>
                <w:color w:val="000000"/>
                <w:sz w:val="24"/>
              </w:rPr>
              <w:t>过去六个月</w:t>
            </w:r>
          </w:p>
        </w:tc>
        <w:tc>
          <w:tcPr>
            <w:vAlign w:val="center"/>
          </w:tcPr>
          <w:p>
            <w:pPr>
              <w:jc w:val="center"/>
            </w:pPr>
            <w:r>
              <w:rPr>
                <w:color w:val="000000"/>
                <w:sz w:val="24"/>
              </w:rPr>
              <w:t>2.14%</w:t>
            </w:r>
          </w:p>
        </w:tc>
        <w:tc>
          <w:tcPr>
            <w:vAlign w:val="center"/>
          </w:tcPr>
          <w:p>
            <w:pPr>
              <w:jc w:val="center"/>
            </w:pPr>
            <w:r>
              <w:rPr>
                <w:color w:val="000000"/>
                <w:sz w:val="24"/>
              </w:rPr>
              <w:t>0.14%</w:t>
            </w:r>
          </w:p>
        </w:tc>
        <w:tc>
          <w:tcPr>
            <w:vAlign w:val="center"/>
          </w:tcPr>
          <w:p>
            <w:pPr>
              <w:jc w:val="center"/>
            </w:pPr>
            <w:r>
              <w:rPr>
                <w:color w:val="000000"/>
                <w:sz w:val="24"/>
              </w:rPr>
              <w:t>2.34%</w:t>
            </w:r>
          </w:p>
        </w:tc>
        <w:tc>
          <w:tcPr>
            <w:vAlign w:val="center"/>
          </w:tcPr>
          <w:p>
            <w:pPr>
              <w:jc w:val="center"/>
            </w:pPr>
            <w:r>
              <w:rPr>
                <w:color w:val="000000"/>
                <w:sz w:val="24"/>
              </w:rPr>
              <w:t>0.12%</w:t>
            </w:r>
          </w:p>
        </w:tc>
        <w:tc>
          <w:tcPr>
            <w:vAlign w:val="center"/>
          </w:tcPr>
          <w:p>
            <w:pPr>
              <w:jc w:val="center"/>
            </w:pPr>
            <w:r>
              <w:rPr>
                <w:color w:val="000000"/>
                <w:sz w:val="24"/>
              </w:rPr>
              <w:t>-0.20%</w:t>
            </w:r>
          </w:p>
        </w:tc>
        <w:tc>
          <w:tcPr>
            <w:vAlign w:val="center"/>
          </w:tcPr>
          <w:p>
            <w:pPr>
              <w:jc w:val="center"/>
            </w:pPr>
            <w:r>
              <w:rPr>
                <w:color w:val="000000"/>
                <w:sz w:val="24"/>
              </w:rPr>
              <w:t>0.02%</w:t>
            </w:r>
          </w:p>
        </w:tc>
      </w:tr>
      <w:tr>
        <w:tc>
          <w:tcPr>
            <w:vAlign w:val="center"/>
          </w:tcPr>
          <w:p>
            <w:pPr>
              <w:jc w:val="left"/>
            </w:pPr>
            <w:r>
              <w:rPr>
                <w:color w:val="000000"/>
                <w:sz w:val="24"/>
              </w:rPr>
              <w:t>过去一年</w:t>
            </w:r>
          </w:p>
        </w:tc>
        <w:tc>
          <w:tcPr>
            <w:vAlign w:val="center"/>
          </w:tcPr>
          <w:p>
            <w:pPr>
              <w:jc w:val="center"/>
            </w:pPr>
            <w:r>
              <w:rPr>
                <w:color w:val="000000"/>
                <w:sz w:val="24"/>
              </w:rPr>
              <w:t>4.58%</w:t>
            </w:r>
          </w:p>
        </w:tc>
        <w:tc>
          <w:tcPr>
            <w:vAlign w:val="center"/>
          </w:tcPr>
          <w:p>
            <w:pPr>
              <w:jc w:val="center"/>
            </w:pPr>
            <w:r>
              <w:rPr>
                <w:color w:val="000000"/>
                <w:sz w:val="24"/>
              </w:rPr>
              <w:t>0.10%</w:t>
            </w:r>
          </w:p>
        </w:tc>
        <w:tc>
          <w:tcPr>
            <w:vAlign w:val="center"/>
          </w:tcPr>
          <w:p>
            <w:pPr>
              <w:jc w:val="center"/>
            </w:pPr>
            <w:r>
              <w:rPr>
                <w:color w:val="000000"/>
                <w:sz w:val="24"/>
              </w:rPr>
              <w:t>5.12%</w:t>
            </w:r>
          </w:p>
        </w:tc>
        <w:tc>
          <w:tcPr>
            <w:vAlign w:val="center"/>
          </w:tcPr>
          <w:p>
            <w:pPr>
              <w:jc w:val="center"/>
            </w:pPr>
            <w:r>
              <w:rPr>
                <w:color w:val="000000"/>
                <w:sz w:val="24"/>
              </w:rPr>
              <w:t>0.09%</w:t>
            </w:r>
          </w:p>
        </w:tc>
        <w:tc>
          <w:tcPr>
            <w:vAlign w:val="center"/>
          </w:tcPr>
          <w:p>
            <w:pPr>
              <w:jc w:val="center"/>
            </w:pPr>
            <w:r>
              <w:rPr>
                <w:color w:val="000000"/>
                <w:sz w:val="24"/>
              </w:rPr>
              <w:t>-0.54%</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16.11%</w:t>
            </w:r>
          </w:p>
        </w:tc>
        <w:tc>
          <w:tcPr>
            <w:vAlign w:val="center"/>
          </w:tcPr>
          <w:p>
            <w:pPr>
              <w:jc w:val="center"/>
            </w:pPr>
            <w:r>
              <w:rPr>
                <w:color w:val="000000"/>
                <w:sz w:val="24"/>
              </w:rPr>
              <w:t>0.08%</w:t>
            </w:r>
          </w:p>
        </w:tc>
        <w:tc>
          <w:tcPr>
            <w:vAlign w:val="center"/>
          </w:tcPr>
          <w:p>
            <w:pPr>
              <w:jc w:val="center"/>
            </w:pPr>
            <w:r>
              <w:rPr>
                <w:color w:val="000000"/>
                <w:sz w:val="24"/>
              </w:rPr>
              <w:t>16.24%</w:t>
            </w:r>
          </w:p>
        </w:tc>
        <w:tc>
          <w:tcPr>
            <w:vAlign w:val="center"/>
          </w:tcPr>
          <w:p>
            <w:pPr>
              <w:jc w:val="center"/>
            </w:pPr>
            <w:r>
              <w:rPr>
                <w:color w:val="000000"/>
                <w:sz w:val="24"/>
              </w:rPr>
              <w:t>0.07%</w:t>
            </w:r>
          </w:p>
        </w:tc>
        <w:tc>
          <w:tcPr>
            <w:vAlign w:val="center"/>
          </w:tcPr>
          <w:p>
            <w:pPr>
              <w:jc w:val="center"/>
            </w:pPr>
            <w:r>
              <w:rPr>
                <w:color w:val="000000"/>
                <w:sz w:val="24"/>
              </w:rPr>
              <w:t>-0.13%</w:t>
            </w:r>
          </w:p>
        </w:tc>
        <w:tc>
          <w:tcPr>
            <w:vAlign w:val="center"/>
          </w:tcPr>
          <w:p>
            <w:pPr>
              <w:jc w:val="center"/>
            </w:pPr>
            <w:r>
              <w:rPr>
                <w:color w:val="000000"/>
                <w:sz w:val="24"/>
              </w:rPr>
              <w:t>0.01%</w:t>
            </w:r>
          </w:p>
        </w:tc>
      </w:tr>
      <w:tr>
        <w:tc>
          <w:tcPr>
            <w:vAlign w:val="center"/>
          </w:tcPr>
          <w:p>
            <w:pPr>
              <w:jc w:val="left"/>
            </w:pPr>
            <w:r>
              <w:rPr>
                <w:color w:val="000000"/>
                <w:sz w:val="24"/>
              </w:rPr>
              <w:t>过去五年</w:t>
            </w:r>
          </w:p>
        </w:tc>
        <w:tc>
          <w:tcPr>
            <w:vAlign w:val="center"/>
          </w:tcPr>
          <w:p>
            <w:pPr>
              <w:jc w:val="center"/>
            </w:pPr>
            <w:r>
              <w:rPr>
                <w:color w:val="000000"/>
                <w:sz w:val="24"/>
              </w:rPr>
              <w:t>28.13%</w:t>
            </w:r>
          </w:p>
        </w:tc>
        <w:tc>
          <w:tcPr>
            <w:vAlign w:val="center"/>
          </w:tcPr>
          <w:p>
            <w:pPr>
              <w:jc w:val="center"/>
            </w:pPr>
            <w:r>
              <w:rPr>
                <w:color w:val="000000"/>
                <w:sz w:val="24"/>
              </w:rPr>
              <w:t>0.08%</w:t>
            </w:r>
          </w:p>
        </w:tc>
        <w:tc>
          <w:tcPr>
            <w:vAlign w:val="center"/>
          </w:tcPr>
          <w:p>
            <w:pPr>
              <w:jc w:val="center"/>
            </w:pPr>
            <w:r>
              <w:rPr>
                <w:color w:val="000000"/>
                <w:sz w:val="24"/>
              </w:rPr>
              <w:t>24.04%</w:t>
            </w:r>
          </w:p>
        </w:tc>
        <w:tc>
          <w:tcPr>
            <w:vAlign w:val="center"/>
          </w:tcPr>
          <w:p>
            <w:pPr>
              <w:jc w:val="center"/>
            </w:pPr>
            <w:r>
              <w:rPr>
                <w:color w:val="000000"/>
                <w:sz w:val="24"/>
              </w:rPr>
              <w:t>0.08%</w:t>
            </w:r>
          </w:p>
        </w:tc>
        <w:tc>
          <w:tcPr>
            <w:vAlign w:val="center"/>
          </w:tcPr>
          <w:p>
            <w:pPr>
              <w:jc w:val="center"/>
            </w:pPr>
            <w:r>
              <w:rPr>
                <w:color w:val="000000"/>
                <w:sz w:val="24"/>
              </w:rPr>
              <w:t>4.09%</w:t>
            </w:r>
          </w:p>
        </w:tc>
        <w:tc>
          <w:tcPr>
            <w:vAlign w:val="center"/>
          </w:tcPr>
          <w:p>
            <w:pPr>
              <w:jc w:val="center"/>
            </w:pPr>
            <w:r>
              <w:rPr>
                <w:color w:val="000000"/>
                <w:sz w:val="24"/>
              </w:rPr>
              <w:t>0.00%</w:t>
            </w:r>
          </w:p>
        </w:tc>
      </w:tr>
      <w:tr>
        <w:tc>
          <w:tcPr>
            <w:vAlign w:val="center"/>
          </w:tcPr>
          <w:p>
            <w:pPr>
              <w:jc w:val="left"/>
            </w:pPr>
            <w:r>
              <w:rPr>
                <w:color w:val="000000"/>
                <w:sz w:val="24"/>
              </w:rPr>
              <w:t>自基金合同生效起至今</w:t>
            </w:r>
          </w:p>
        </w:tc>
        <w:tc>
          <w:tcPr>
            <w:vAlign w:val="center"/>
          </w:tcPr>
          <w:p>
            <w:pPr>
              <w:jc w:val="center"/>
            </w:pPr>
            <w:r>
              <w:rPr>
                <w:color w:val="000000"/>
                <w:sz w:val="24"/>
              </w:rPr>
              <w:t>43.10%</w:t>
            </w:r>
          </w:p>
        </w:tc>
        <w:tc>
          <w:tcPr>
            <w:vAlign w:val="center"/>
          </w:tcPr>
          <w:p>
            <w:pPr>
              <w:jc w:val="center"/>
            </w:pPr>
            <w:r>
              <w:rPr>
                <w:color w:val="000000"/>
                <w:sz w:val="24"/>
              </w:rPr>
              <w:t>0.10%</w:t>
            </w:r>
          </w:p>
        </w:tc>
        <w:tc>
          <w:tcPr>
            <w:vAlign w:val="center"/>
          </w:tcPr>
          <w:p>
            <w:pPr>
              <w:jc w:val="center"/>
            </w:pPr>
            <w:r>
              <w:rPr>
                <w:color w:val="000000"/>
                <w:sz w:val="24"/>
              </w:rPr>
              <w:t>41.42%</w:t>
            </w:r>
          </w:p>
        </w:tc>
        <w:tc>
          <w:tcPr>
            <w:vAlign w:val="center"/>
          </w:tcPr>
          <w:p>
            <w:pPr>
              <w:jc w:val="center"/>
            </w:pPr>
            <w:r>
              <w:rPr>
                <w:color w:val="000000"/>
                <w:sz w:val="24"/>
              </w:rPr>
              <w:t>0.08%</w:t>
            </w:r>
          </w:p>
        </w:tc>
        <w:tc>
          <w:tcPr>
            <w:vAlign w:val="center"/>
          </w:tcPr>
          <w:p>
            <w:pPr>
              <w:jc w:val="center"/>
            </w:pPr>
            <w:r>
              <w:rPr>
                <w:color w:val="000000"/>
                <w:sz w:val="24"/>
              </w:rPr>
              <w:t>1.68%</w:t>
            </w:r>
          </w:p>
        </w:tc>
        <w:tc>
          <w:tcPr>
            <w:vAlign w:val="center"/>
          </w:tcPr>
          <w:p>
            <w:pPr>
              <w:jc w:val="center"/>
            </w:pPr>
            <w:r>
              <w:rPr>
                <w:color w:val="000000"/>
                <w:sz w:val="24"/>
              </w:rPr>
              <w:t>0.02%</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易方达中债新综指发起式（LOF）C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-0.52%</w:t>
            </w:r>
          </w:p>
        </w:tc>
        <w:tc>
          <w:tcPr>
            <w:vAlign w:val="center"/>
          </w:tcPr>
          <w:p>
            <w:pPr>
              <w:jc w:val="center"/>
            </w:pPr>
            <w:r>
              <w:rPr>
                <w:color w:val="000000"/>
                <w:sz w:val="24"/>
              </w:rPr>
              <w:t>0.15%</w:t>
            </w:r>
          </w:p>
        </w:tc>
        <w:tc>
          <w:tcPr>
            <w:vAlign w:val="center"/>
          </w:tcPr>
          <w:p>
            <w:pPr>
              <w:jc w:val="center"/>
            </w:pPr>
            <w:r>
              <w:rPr>
                <w:color w:val="000000"/>
                <w:sz w:val="24"/>
              </w:rPr>
              <w:t>-0.23%</w:t>
            </w:r>
          </w:p>
        </w:tc>
        <w:tc>
          <w:tcPr>
            <w:vAlign w:val="center"/>
          </w:tcPr>
          <w:p>
            <w:pPr>
              <w:jc w:val="center"/>
            </w:pPr>
            <w:r>
              <w:rPr>
                <w:color w:val="000000"/>
                <w:sz w:val="24"/>
              </w:rPr>
              <w:t>0.12%</w:t>
            </w:r>
          </w:p>
        </w:tc>
        <w:tc>
          <w:tcPr>
            <w:vAlign w:val="center"/>
          </w:tcPr>
          <w:p>
            <w:pPr>
              <w:jc w:val="center"/>
            </w:pPr>
            <w:r>
              <w:rPr>
                <w:color w:val="000000"/>
                <w:sz w:val="24"/>
              </w:rPr>
              <w:t>-0.29%</w:t>
            </w:r>
          </w:p>
        </w:tc>
        <w:tc>
          <w:tcPr>
            <w:vAlign w:val="center"/>
          </w:tcPr>
          <w:p>
            <w:pPr>
              <w:jc w:val="center"/>
            </w:pPr>
            <w:r>
              <w:rPr>
                <w:color w:val="000000"/>
                <w:sz w:val="24"/>
              </w:rPr>
              <w:t>0.03%</w:t>
            </w:r>
          </w:p>
        </w:tc>
      </w:tr>
      <w:tr>
        <w:tc>
          <w:tcPr>
            <w:vAlign w:val="center"/>
          </w:tcPr>
          <w:p>
            <w:pPr>
              <w:jc w:val="left"/>
            </w:pPr>
            <w:r>
              <w:rPr>
                <w:color w:val="000000"/>
                <w:sz w:val="24"/>
              </w:rPr>
              <w:t>过去六个月</w:t>
            </w:r>
          </w:p>
        </w:tc>
        <w:tc>
          <w:tcPr>
            <w:vAlign w:val="center"/>
          </w:tcPr>
          <w:p>
            <w:pPr>
              <w:jc w:val="center"/>
            </w:pPr>
            <w:r>
              <w:rPr>
                <w:color w:val="000000"/>
                <w:sz w:val="24"/>
              </w:rPr>
              <w:t>1.97%</w:t>
            </w:r>
          </w:p>
        </w:tc>
        <w:tc>
          <w:tcPr>
            <w:vAlign w:val="center"/>
          </w:tcPr>
          <w:p>
            <w:pPr>
              <w:jc w:val="center"/>
            </w:pPr>
            <w:r>
              <w:rPr>
                <w:color w:val="000000"/>
                <w:sz w:val="24"/>
              </w:rPr>
              <w:t>0.14%</w:t>
            </w:r>
          </w:p>
        </w:tc>
        <w:tc>
          <w:tcPr>
            <w:vAlign w:val="center"/>
          </w:tcPr>
          <w:p>
            <w:pPr>
              <w:jc w:val="center"/>
            </w:pPr>
            <w:r>
              <w:rPr>
                <w:color w:val="000000"/>
                <w:sz w:val="24"/>
              </w:rPr>
              <w:t>2.34%</w:t>
            </w:r>
          </w:p>
        </w:tc>
        <w:tc>
          <w:tcPr>
            <w:vAlign w:val="center"/>
          </w:tcPr>
          <w:p>
            <w:pPr>
              <w:jc w:val="center"/>
            </w:pPr>
            <w:r>
              <w:rPr>
                <w:color w:val="000000"/>
                <w:sz w:val="24"/>
              </w:rPr>
              <w:t>0.12%</w:t>
            </w:r>
          </w:p>
        </w:tc>
        <w:tc>
          <w:tcPr>
            <w:vAlign w:val="center"/>
          </w:tcPr>
          <w:p>
            <w:pPr>
              <w:jc w:val="center"/>
            </w:pPr>
            <w:r>
              <w:rPr>
                <w:color w:val="000000"/>
                <w:sz w:val="24"/>
              </w:rPr>
              <w:t>-0.37%</w:t>
            </w:r>
          </w:p>
        </w:tc>
        <w:tc>
          <w:tcPr>
            <w:vAlign w:val="center"/>
          </w:tcPr>
          <w:p>
            <w:pPr>
              <w:jc w:val="center"/>
            </w:pPr>
            <w:r>
              <w:rPr>
                <w:color w:val="000000"/>
                <w:sz w:val="24"/>
              </w:rPr>
              <w:t>0.02%</w:t>
            </w:r>
          </w:p>
        </w:tc>
      </w:tr>
      <w:tr>
        <w:tc>
          <w:tcPr>
            <w:vAlign w:val="center"/>
          </w:tcPr>
          <w:p>
            <w:pPr>
              <w:jc w:val="left"/>
            </w:pPr>
            <w:r>
              <w:rPr>
                <w:color w:val="000000"/>
                <w:sz w:val="24"/>
              </w:rPr>
              <w:t>过去一年</w:t>
            </w:r>
          </w:p>
        </w:tc>
        <w:tc>
          <w:tcPr>
            <w:vAlign w:val="center"/>
          </w:tcPr>
          <w:p>
            <w:pPr>
              <w:jc w:val="center"/>
            </w:pPr>
            <w:r>
              <w:rPr>
                <w:color w:val="000000"/>
                <w:sz w:val="24"/>
              </w:rPr>
              <w:t>4.25%</w:t>
            </w:r>
          </w:p>
        </w:tc>
        <w:tc>
          <w:tcPr>
            <w:vAlign w:val="center"/>
          </w:tcPr>
          <w:p>
            <w:pPr>
              <w:jc w:val="center"/>
            </w:pPr>
            <w:r>
              <w:rPr>
                <w:color w:val="000000"/>
                <w:sz w:val="24"/>
              </w:rPr>
              <w:t>0.10%</w:t>
            </w:r>
          </w:p>
        </w:tc>
        <w:tc>
          <w:tcPr>
            <w:vAlign w:val="center"/>
          </w:tcPr>
          <w:p>
            <w:pPr>
              <w:jc w:val="center"/>
            </w:pPr>
            <w:r>
              <w:rPr>
                <w:color w:val="000000"/>
                <w:sz w:val="24"/>
              </w:rPr>
              <w:t>5.12%</w:t>
            </w:r>
          </w:p>
        </w:tc>
        <w:tc>
          <w:tcPr>
            <w:vAlign w:val="center"/>
          </w:tcPr>
          <w:p>
            <w:pPr>
              <w:jc w:val="center"/>
            </w:pPr>
            <w:r>
              <w:rPr>
                <w:color w:val="000000"/>
                <w:sz w:val="24"/>
              </w:rPr>
              <w:t>0.09%</w:t>
            </w:r>
          </w:p>
        </w:tc>
        <w:tc>
          <w:tcPr>
            <w:vAlign w:val="center"/>
          </w:tcPr>
          <w:p>
            <w:pPr>
              <w:jc w:val="center"/>
            </w:pPr>
            <w:r>
              <w:rPr>
                <w:color w:val="000000"/>
                <w:sz w:val="24"/>
              </w:rPr>
              <w:t>-0.87%</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15.05%</w:t>
            </w:r>
          </w:p>
        </w:tc>
        <w:tc>
          <w:tcPr>
            <w:vAlign w:val="center"/>
          </w:tcPr>
          <w:p>
            <w:pPr>
              <w:jc w:val="center"/>
            </w:pPr>
            <w:r>
              <w:rPr>
                <w:color w:val="000000"/>
                <w:sz w:val="24"/>
              </w:rPr>
              <w:t>0.08%</w:t>
            </w:r>
          </w:p>
        </w:tc>
        <w:tc>
          <w:tcPr>
            <w:vAlign w:val="center"/>
          </w:tcPr>
          <w:p>
            <w:pPr>
              <w:jc w:val="center"/>
            </w:pPr>
            <w:r>
              <w:rPr>
                <w:color w:val="000000"/>
                <w:sz w:val="24"/>
              </w:rPr>
              <w:t>16.24%</w:t>
            </w:r>
          </w:p>
        </w:tc>
        <w:tc>
          <w:tcPr>
            <w:vAlign w:val="center"/>
          </w:tcPr>
          <w:p>
            <w:pPr>
              <w:jc w:val="center"/>
            </w:pPr>
            <w:r>
              <w:rPr>
                <w:color w:val="000000"/>
                <w:sz w:val="24"/>
              </w:rPr>
              <w:t>0.07%</w:t>
            </w:r>
          </w:p>
        </w:tc>
        <w:tc>
          <w:tcPr>
            <w:vAlign w:val="center"/>
          </w:tcPr>
          <w:p>
            <w:pPr>
              <w:jc w:val="center"/>
            </w:pPr>
            <w:r>
              <w:rPr>
                <w:color w:val="000000"/>
                <w:sz w:val="24"/>
              </w:rPr>
              <w:t>-1.19%</w:t>
            </w:r>
          </w:p>
        </w:tc>
        <w:tc>
          <w:tcPr>
            <w:vAlign w:val="center"/>
          </w:tcPr>
          <w:p>
            <w:pPr>
              <w:jc w:val="center"/>
            </w:pPr>
            <w:r>
              <w:rPr>
                <w:color w:val="000000"/>
                <w:sz w:val="24"/>
              </w:rPr>
              <w:t>0.01%</w:t>
            </w:r>
          </w:p>
        </w:tc>
      </w:tr>
      <w:tr>
        <w:tc>
          <w:tcPr>
            <w:vAlign w:val="center"/>
          </w:tcPr>
          <w:p>
            <w:pPr>
              <w:jc w:val="left"/>
            </w:pPr>
            <w:r>
              <w:rPr>
                <w:color w:val="000000"/>
                <w:sz w:val="24"/>
              </w:rPr>
              <w:t>过去五年</w:t>
            </w:r>
          </w:p>
        </w:tc>
        <w:tc>
          <w:tcPr>
            <w:vAlign w:val="center"/>
          </w:tcPr>
          <w:p>
            <w:pPr>
              <w:jc w:val="center"/>
            </w:pPr>
            <w:r>
              <w:rPr>
                <w:color w:val="000000"/>
                <w:sz w:val="24"/>
              </w:rPr>
              <w:t>26.23%</w:t>
            </w:r>
          </w:p>
        </w:tc>
        <w:tc>
          <w:tcPr>
            <w:vAlign w:val="center"/>
          </w:tcPr>
          <w:p>
            <w:pPr>
              <w:jc w:val="center"/>
            </w:pPr>
            <w:r>
              <w:rPr>
                <w:color w:val="000000"/>
                <w:sz w:val="24"/>
              </w:rPr>
              <w:t>0.08%</w:t>
            </w:r>
          </w:p>
        </w:tc>
        <w:tc>
          <w:tcPr>
            <w:vAlign w:val="center"/>
          </w:tcPr>
          <w:p>
            <w:pPr>
              <w:jc w:val="center"/>
            </w:pPr>
            <w:r>
              <w:rPr>
                <w:color w:val="000000"/>
                <w:sz w:val="24"/>
              </w:rPr>
              <w:t>24.04%</w:t>
            </w:r>
          </w:p>
        </w:tc>
        <w:tc>
          <w:tcPr>
            <w:vAlign w:val="center"/>
          </w:tcPr>
          <w:p>
            <w:pPr>
              <w:jc w:val="center"/>
            </w:pPr>
            <w:r>
              <w:rPr>
                <w:color w:val="000000"/>
                <w:sz w:val="24"/>
              </w:rPr>
              <w:t>0.08%</w:t>
            </w:r>
          </w:p>
        </w:tc>
        <w:tc>
          <w:tcPr>
            <w:vAlign w:val="center"/>
          </w:tcPr>
          <w:p>
            <w:pPr>
              <w:jc w:val="center"/>
            </w:pPr>
            <w:r>
              <w:rPr>
                <w:color w:val="000000"/>
                <w:sz w:val="24"/>
              </w:rPr>
              <w:t>2.19%</w:t>
            </w:r>
          </w:p>
        </w:tc>
        <w:tc>
          <w:tcPr>
            <w:vAlign w:val="center"/>
          </w:tcPr>
          <w:p>
            <w:pPr>
              <w:jc w:val="center"/>
            </w:pPr>
            <w:r>
              <w:rPr>
                <w:color w:val="000000"/>
                <w:sz w:val="24"/>
              </w:rPr>
              <w:t>0.00%</w:t>
            </w:r>
          </w:p>
        </w:tc>
      </w:tr>
      <w:tr>
        <w:tc>
          <w:tcPr>
            <w:vAlign w:val="center"/>
          </w:tcPr>
          <w:p>
            <w:pPr>
              <w:jc w:val="left"/>
            </w:pPr>
            <w:r>
              <w:rPr>
                <w:color w:val="000000"/>
                <w:sz w:val="24"/>
              </w:rPr>
              <w:t>自基金合同生效起至今</w:t>
            </w:r>
          </w:p>
        </w:tc>
        <w:tc>
          <w:tcPr>
            <w:vAlign w:val="center"/>
          </w:tcPr>
          <w:p>
            <w:pPr>
              <w:jc w:val="center"/>
            </w:pPr>
            <w:r>
              <w:rPr>
                <w:color w:val="000000"/>
                <w:sz w:val="24"/>
              </w:rPr>
              <w:t>40.18%</w:t>
            </w:r>
          </w:p>
        </w:tc>
        <w:tc>
          <w:tcPr>
            <w:vAlign w:val="center"/>
          </w:tcPr>
          <w:p>
            <w:pPr>
              <w:jc w:val="center"/>
            </w:pPr>
            <w:r>
              <w:rPr>
                <w:color w:val="000000"/>
                <w:sz w:val="24"/>
              </w:rPr>
              <w:t>0.10%</w:t>
            </w:r>
          </w:p>
        </w:tc>
        <w:tc>
          <w:tcPr>
            <w:vAlign w:val="center"/>
          </w:tcPr>
          <w:p>
            <w:pPr>
              <w:jc w:val="center"/>
            </w:pPr>
            <w:r>
              <w:rPr>
                <w:color w:val="000000"/>
                <w:sz w:val="24"/>
              </w:rPr>
              <w:t>41.42%</w:t>
            </w:r>
          </w:p>
        </w:tc>
        <w:tc>
          <w:tcPr>
            <w:vAlign w:val="center"/>
          </w:tcPr>
          <w:p>
            <w:pPr>
              <w:jc w:val="center"/>
            </w:pPr>
            <w:r>
              <w:rPr>
                <w:color w:val="000000"/>
                <w:sz w:val="24"/>
              </w:rPr>
              <w:t>0.08%</w:t>
            </w:r>
          </w:p>
        </w:tc>
        <w:tc>
          <w:tcPr>
            <w:vAlign w:val="center"/>
          </w:tcPr>
          <w:p>
            <w:pPr>
              <w:jc w:val="center"/>
            </w:pPr>
            <w:r>
              <w:rPr>
                <w:color w:val="000000"/>
                <w:sz w:val="24"/>
              </w:rPr>
              <w:t>-1.24%</w:t>
            </w:r>
          </w:p>
        </w:tc>
        <w:tc>
          <w:tcPr>
            <w:vAlign w:val="center"/>
          </w:tcPr>
          <w:p>
            <w:pPr>
              <w:jc w:val="center"/>
            </w:pPr>
            <w:r>
              <w:rPr>
                <w:color w:val="000000"/>
                <w:sz w:val="24"/>
              </w:rPr>
              <w:t>0.02%</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易方达中债新综合债券指数发起式证券投资基金（LOF）</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（2012年11月8日至2020年6月30日）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易方达中债新综指发起式（LOF）A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易方达中债新综指发起式（LOF）C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注：自基金合同生效至报告期末，A类基金份额净值增长率为43.10%，C类基金份额净值增长率为40.18%，同期业绩比较基准收益率为41.42%。</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双债增强债券型证券投资基金的基金经理、易方达恒安定期开放债券型发起式证券投资基金的基金经理、易方达富财纯债债券型证券投资基金的基金经理、易方达安瑞短债债券型证券投资基金的基金经理、易方达中债1-3年国开行债券指数证券投资基金的基金经理、易方达中债3-5年国开行债券指数证券投资基金的基金经理、易方达恒兴3个月定期开放债券型发起式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2014-07-05</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rPr>
      </w:pPr>
      <w:r>
        <w:rPr>
          <w:color w:val="000000"/>
          <w:sz w:val="24"/>
        </w:rPr>
        <w:t>2.证券从业的含义遵从《证券业从业人员资格管理办法》的相关规定。</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3.本基金基金经理王晓晨曾因休产假超过30日，在其休假期间，本基金暂由我公司基金经理纪玲云代为履行基金经理职责。在本报告期内，基金经理王晓晨已结束休假恢复履职。</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我国宏观经济从疫情的冲击下开始迅速恢复，主要体现在以下几个方面。首先，工业生产水平显著反弹，4月及5月工业增加值同比增速分别达到3.9%及4.4%，发电量、粗钢产量及耗煤量等行业数据也明显回升。其次，出口增速好于预期。虽然二季度主要欧美国家在疫情的影响下经济活动明显停滞，但得益于防疫类物资出口规模较大，外需对我国经济的负面影响总体有限。最后，房地产行业的韧性较强，5月全国商品房销售面积增速大幅提高至9.7%，同时地产投资增速也快速回升。</w:t>
      </w:r>
    </w:p>
    <w:p>
      <w:pPr>
        <w:spacing w:line="360" w:lineRule="auto"/>
        <w:ind w:firstLine="480" w:firstLineChars="200"/>
        <w:rPr>
          <w:color w:val="000000"/>
          <w:sz w:val="24"/>
        </w:rPr>
      </w:pPr>
      <w:r>
        <w:rPr>
          <w:color w:val="000000"/>
          <w:sz w:val="24"/>
        </w:rPr>
        <w:t>在经济逐步复苏的过程中，二季度我国货币政策导向出现了较为明显的切换，债券市场收益率出现了大幅波动。4月央行在推出定向降准政策的同时，将金融机构在央行超额存款准备金利率从0.72%下调至0.35%，带动债券收益率曲线陡峭化下行。此后《政府工作报告》中提出“稳健的货币政策要更加灵活适度。综合运用降准降息、再贷款等手段，引导广义货币供应量和社会融资规模增速明显高于去年”。5月份以来，央行逐步开始边际上收紧货币市场流动性，并引导银行间资金利率的快速上行。相较于4月末的低点，1年期国开行政策性金融债收益率在5-6月期间上行100bp，同期3年期AAA评级中期票据收益率攀升86bp，收益率曲线形态明显平坦化。</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操作上，基金总体上按照指数的结构和久期进行配置。但是由于基金规模较小，分类债券资产的权重与指数中该资产的权重仍存在一定偏差，基金在一定程度上采取了较为灵活的配置策略。</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1.4310元，本报告期份额净值增长率为-0.43%，同期业绩比较基准收益率为-0.23%；C类基金份额净值为1.4018元，本报告期份额净值增长率为-0.52%，同期业绩比较基准收益率为-0.23%。</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733,415,500.00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97.65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733,415,500.00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97.65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7,304,300.18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0.97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10,335,997.43</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751,055,797.61</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122,934,000.00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21.47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122,934,000.00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21.47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164,973,000.00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28.82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59,862,000.00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10.46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385,646,500.00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67.37</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733,415,500.00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128.11</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180205</w:t>
            </w:r>
          </w:p>
        </w:tc>
        <w:tc>
          <w:tcPr>
            <w:vAlign w:val="center"/>
          </w:tcPr>
          <w:p>
            <w:pPr>
              <w:jc w:val="center"/>
            </w:pPr>
            <w:r>
              <w:rPr>
                <w:color w:val="000000"/>
                <w:sz w:val="24"/>
              </w:rPr>
              <w:t>18国开05</w:t>
            </w:r>
          </w:p>
        </w:tc>
        <w:tc>
          <w:tcPr>
            <w:vAlign w:val="center"/>
          </w:tcPr>
          <w:p>
            <w:pPr>
              <w:jc w:val="right"/>
            </w:pPr>
            <w:r>
              <w:rPr>
                <w:color w:val="000000"/>
                <w:sz w:val="24"/>
              </w:rPr>
              <w:t>200,000</w:t>
            </w:r>
          </w:p>
        </w:tc>
        <w:tc>
          <w:tcPr>
            <w:vAlign w:val="center"/>
          </w:tcPr>
          <w:p>
            <w:pPr>
              <w:jc w:val="right"/>
            </w:pPr>
            <w:r>
              <w:rPr>
                <w:color w:val="000000"/>
                <w:sz w:val="24"/>
              </w:rPr>
              <w:t>22,022,000.00</w:t>
            </w:r>
          </w:p>
        </w:tc>
        <w:tc>
          <w:tcPr>
            <w:vAlign w:val="center"/>
          </w:tcPr>
          <w:p>
            <w:pPr>
              <w:jc w:val="right"/>
            </w:pPr>
            <w:r>
              <w:rPr>
                <w:color w:val="000000"/>
                <w:sz w:val="24"/>
              </w:rPr>
              <w:t>3.85</w:t>
            </w:r>
          </w:p>
        </w:tc>
      </w:tr>
      <w:tr>
        <w:tc>
          <w:tcPr>
            <w:vAlign w:val="center"/>
          </w:tcPr>
          <w:p>
            <w:pPr>
              <w:jc w:val="center"/>
            </w:pPr>
            <w:r>
              <w:rPr>
                <w:color w:val="000000"/>
                <w:sz w:val="24"/>
              </w:rPr>
              <w:t>2</w:t>
            </w:r>
          </w:p>
        </w:tc>
        <w:tc>
          <w:tcPr>
            <w:vAlign w:val="center"/>
          </w:tcPr>
          <w:p>
            <w:pPr>
              <w:jc w:val="center"/>
            </w:pPr>
            <w:r>
              <w:rPr>
                <w:color w:val="000000"/>
                <w:sz w:val="24"/>
              </w:rPr>
              <w:t>155037</w:t>
            </w:r>
          </w:p>
        </w:tc>
        <w:tc>
          <w:tcPr>
            <w:vAlign w:val="center"/>
          </w:tcPr>
          <w:p>
            <w:pPr>
              <w:jc w:val="center"/>
            </w:pPr>
            <w:r>
              <w:rPr>
                <w:color w:val="000000"/>
                <w:sz w:val="24"/>
              </w:rPr>
              <w:t>18电投13</w:t>
            </w:r>
          </w:p>
        </w:tc>
        <w:tc>
          <w:tcPr>
            <w:vAlign w:val="center"/>
          </w:tcPr>
          <w:p>
            <w:pPr>
              <w:jc w:val="right"/>
            </w:pPr>
            <w:r>
              <w:rPr>
                <w:color w:val="000000"/>
                <w:sz w:val="24"/>
              </w:rPr>
              <w:t>200,000</w:t>
            </w:r>
          </w:p>
        </w:tc>
        <w:tc>
          <w:tcPr>
            <w:vAlign w:val="center"/>
          </w:tcPr>
          <w:p>
            <w:pPr>
              <w:jc w:val="right"/>
            </w:pPr>
            <w:r>
              <w:rPr>
                <w:color w:val="000000"/>
                <w:sz w:val="24"/>
              </w:rPr>
              <w:t>20,566,000.00</w:t>
            </w:r>
          </w:p>
        </w:tc>
        <w:tc>
          <w:tcPr>
            <w:vAlign w:val="center"/>
          </w:tcPr>
          <w:p>
            <w:pPr>
              <w:jc w:val="right"/>
            </w:pPr>
            <w:r>
              <w:rPr>
                <w:color w:val="000000"/>
                <w:sz w:val="24"/>
              </w:rPr>
              <w:t>3.59</w:t>
            </w:r>
          </w:p>
        </w:tc>
      </w:tr>
      <w:tr>
        <w:tc>
          <w:tcPr>
            <w:vAlign w:val="center"/>
          </w:tcPr>
          <w:p>
            <w:pPr>
              <w:jc w:val="center"/>
            </w:pPr>
            <w:r>
              <w:rPr>
                <w:color w:val="000000"/>
                <w:sz w:val="24"/>
              </w:rPr>
              <w:t>3</w:t>
            </w:r>
          </w:p>
        </w:tc>
        <w:tc>
          <w:tcPr>
            <w:vAlign w:val="center"/>
          </w:tcPr>
          <w:p>
            <w:pPr>
              <w:jc w:val="center"/>
            </w:pPr>
            <w:r>
              <w:rPr>
                <w:color w:val="000000"/>
                <w:sz w:val="24"/>
              </w:rPr>
              <w:t>190210</w:t>
            </w:r>
          </w:p>
        </w:tc>
        <w:tc>
          <w:tcPr>
            <w:vAlign w:val="center"/>
          </w:tcPr>
          <w:p>
            <w:pPr>
              <w:jc w:val="center"/>
            </w:pPr>
            <w:r>
              <w:rPr>
                <w:color w:val="000000"/>
                <w:sz w:val="24"/>
              </w:rPr>
              <w:t>19国开10</w:t>
            </w:r>
          </w:p>
        </w:tc>
        <w:tc>
          <w:tcPr>
            <w:vAlign w:val="center"/>
          </w:tcPr>
          <w:p>
            <w:pPr>
              <w:jc w:val="right"/>
            </w:pPr>
            <w:r>
              <w:rPr>
                <w:color w:val="000000"/>
                <w:sz w:val="24"/>
              </w:rPr>
              <w:t>200,000</w:t>
            </w:r>
          </w:p>
        </w:tc>
        <w:tc>
          <w:tcPr>
            <w:vAlign w:val="center"/>
          </w:tcPr>
          <w:p>
            <w:pPr>
              <w:jc w:val="right"/>
            </w:pPr>
            <w:r>
              <w:rPr>
                <w:color w:val="000000"/>
                <w:sz w:val="24"/>
              </w:rPr>
              <w:t>20,438,000.00</w:t>
            </w:r>
          </w:p>
        </w:tc>
        <w:tc>
          <w:tcPr>
            <w:vAlign w:val="center"/>
          </w:tcPr>
          <w:p>
            <w:pPr>
              <w:jc w:val="right"/>
            </w:pPr>
            <w:r>
              <w:rPr>
                <w:color w:val="000000"/>
                <w:sz w:val="24"/>
              </w:rPr>
              <w:t>3.57</w:t>
            </w:r>
          </w:p>
        </w:tc>
      </w:tr>
      <w:tr>
        <w:tc>
          <w:tcPr>
            <w:vAlign w:val="center"/>
          </w:tcPr>
          <w:p>
            <w:pPr>
              <w:jc w:val="center"/>
            </w:pPr>
            <w:r>
              <w:rPr>
                <w:color w:val="000000"/>
                <w:sz w:val="24"/>
              </w:rPr>
              <w:t>4</w:t>
            </w:r>
          </w:p>
        </w:tc>
        <w:tc>
          <w:tcPr>
            <w:vAlign w:val="center"/>
          </w:tcPr>
          <w:p>
            <w:pPr>
              <w:jc w:val="center"/>
            </w:pPr>
            <w:r>
              <w:rPr>
                <w:color w:val="000000"/>
                <w:sz w:val="24"/>
              </w:rPr>
              <w:t>180208</w:t>
            </w:r>
          </w:p>
        </w:tc>
        <w:tc>
          <w:tcPr>
            <w:vAlign w:val="center"/>
          </w:tcPr>
          <w:p>
            <w:pPr>
              <w:jc w:val="center"/>
            </w:pPr>
            <w:r>
              <w:rPr>
                <w:color w:val="000000"/>
                <w:sz w:val="24"/>
              </w:rPr>
              <w:t>18国开08</w:t>
            </w:r>
          </w:p>
        </w:tc>
        <w:tc>
          <w:tcPr>
            <w:vAlign w:val="center"/>
          </w:tcPr>
          <w:p>
            <w:pPr>
              <w:jc w:val="right"/>
            </w:pPr>
            <w:r>
              <w:rPr>
                <w:color w:val="000000"/>
                <w:sz w:val="24"/>
              </w:rPr>
              <w:t>200,000</w:t>
            </w:r>
          </w:p>
        </w:tc>
        <w:tc>
          <w:tcPr>
            <w:vAlign w:val="center"/>
          </w:tcPr>
          <w:p>
            <w:pPr>
              <w:jc w:val="right"/>
            </w:pPr>
            <w:r>
              <w:rPr>
                <w:color w:val="000000"/>
                <w:sz w:val="24"/>
              </w:rPr>
              <w:t>20,302,000.00</w:t>
            </w:r>
          </w:p>
        </w:tc>
        <w:tc>
          <w:tcPr>
            <w:vAlign w:val="center"/>
          </w:tcPr>
          <w:p>
            <w:pPr>
              <w:jc w:val="right"/>
            </w:pPr>
            <w:r>
              <w:rPr>
                <w:color w:val="000000"/>
                <w:sz w:val="24"/>
              </w:rPr>
              <w:t>3.55</w:t>
            </w:r>
          </w:p>
        </w:tc>
      </w:tr>
      <w:tr>
        <w:tc>
          <w:tcPr>
            <w:vAlign w:val="center"/>
          </w:tcPr>
          <w:p>
            <w:pPr>
              <w:jc w:val="center"/>
            </w:pPr>
            <w:r>
              <w:rPr>
                <w:color w:val="000000"/>
                <w:sz w:val="24"/>
              </w:rPr>
              <w:t>5</w:t>
            </w:r>
          </w:p>
        </w:tc>
        <w:tc>
          <w:tcPr>
            <w:vAlign w:val="center"/>
          </w:tcPr>
          <w:p>
            <w:pPr>
              <w:jc w:val="center"/>
            </w:pPr>
            <w:r>
              <w:rPr>
                <w:color w:val="000000"/>
                <w:sz w:val="24"/>
              </w:rPr>
              <w:t>101901295</w:t>
            </w:r>
          </w:p>
        </w:tc>
        <w:tc>
          <w:tcPr>
            <w:vAlign w:val="center"/>
          </w:tcPr>
          <w:p>
            <w:pPr>
              <w:jc w:val="center"/>
            </w:pPr>
            <w:r>
              <w:rPr>
                <w:color w:val="000000"/>
                <w:sz w:val="24"/>
              </w:rPr>
              <w:t>19京国资MTN002</w:t>
            </w:r>
          </w:p>
        </w:tc>
        <w:tc>
          <w:tcPr>
            <w:vAlign w:val="center"/>
          </w:tcPr>
          <w:p>
            <w:pPr>
              <w:jc w:val="right"/>
            </w:pPr>
            <w:r>
              <w:rPr>
                <w:color w:val="000000"/>
                <w:sz w:val="24"/>
              </w:rPr>
              <w:t>200,000</w:t>
            </w:r>
          </w:p>
        </w:tc>
        <w:tc>
          <w:tcPr>
            <w:vAlign w:val="center"/>
          </w:tcPr>
          <w:p>
            <w:pPr>
              <w:jc w:val="right"/>
            </w:pPr>
            <w:r>
              <w:rPr>
                <w:color w:val="000000"/>
                <w:sz w:val="24"/>
              </w:rPr>
              <w:t>20,198,000.00</w:t>
            </w:r>
          </w:p>
        </w:tc>
        <w:tc>
          <w:tcPr>
            <w:vAlign w:val="center"/>
          </w:tcPr>
          <w:p>
            <w:pPr>
              <w:jc w:val="right"/>
            </w:pPr>
            <w:r>
              <w:rPr>
                <w:color w:val="000000"/>
                <w:sz w:val="24"/>
              </w:rPr>
              <w:t>3.53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8月7日，江西省交通建设工程质量监督管理局对中国建筑股份有限公司违反交通法规的行为罚款五万元。2019年9月18日，深圳市住房和建设局对中国建筑股份有限公司违反《中华人民共和国安全生产法》第三十八条第一款“生产经营单位应当建立健全生产安全事故隐患排查治理制度，采取技术、管理措施，及时发现并消除事故隐患，事故隐患排查治理情况应当如实记录，并向从业人员通报”的行为罚款50000元。2019年11月4日，国家税务总局北京市海淀区税务局对中国建筑股份有限公司未依法履行职责的行为进行罚款。2020年3月19日，西安市人力资源和社会保障局依据《西安市农民工工资保障办法》第二十三条第一项，对中国建筑股份有限公司“未按本办法规定预存农民工工资支付保证金”的行为罚款10000元。2020年5月7日，江西省交通建设工程质量监督管理局对中国建筑股份有限公司 “中国建筑股份有限公司井冈山航电枢纽工程项目A1合同段从事电焊作业的陈子高未按照国家有关规定经专门的安全作业培训取得相应特种作业资格”的行为罚款2万元。</w:t>
      </w:r>
    </w:p>
    <w:p>
      <w:pPr>
        <w:widowControl/>
        <w:spacing w:line="360" w:lineRule="auto"/>
        <w:rPr>
          <w:color w:val="000000"/>
          <w:sz w:val="24"/>
        </w:rPr>
      </w:pPr>
      <w:r>
        <w:rPr>
          <w:color w:val="000000"/>
          <w:sz w:val="24"/>
        </w:rPr>
        <w:t>本基金投资20中建MTN001的投资决策程序符合公司投资制度的规定。</w:t>
      </w:r>
    </w:p>
    <w:p>
      <w:pPr>
        <w:widowControl/>
        <w:spacing w:line="360" w:lineRule="auto"/>
        <w:rPr>
          <w:color w:val="000000"/>
          <w:sz w:val="24"/>
        </w:rPr>
      </w:pPr>
      <w:r>
        <w:rPr>
          <w:color w:val="000000"/>
          <w:sz w:val="24"/>
        </w:rPr>
        <w:t>除20中建MTN001外，本基金投资的前十名证券的发行主体本期没有出现被监管部门立案调查，或在报告编制日前一年内受到公开谴责、处罚的情形。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2,256.32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494,507.92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8,814,118.84</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1,025,114.35</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10,335,997.43</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易方达中债新综指发起式（LOF）A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易方达中债新综指发起式（LOF）C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264,337,075.62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43,207,952.91</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177,626,351.18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55,533,578.11</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86,529,783.62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53,199,602.28</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355,433,643.18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45,541,928.74</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CC78C7" w:rsidR="00CC78C7" w:rsidRDefault="00CC78C7"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CC78C7" w:rsidRPr="00E90B39" w:rsidTr="0001612A">
        <w:trPr>
          <w:trHeight w:val="248"/>
        </w:trPr>
        <w:tc>
          <w:tcPr>
            <w:tcW w:type="dxa" w:w="3167"/>
            <w:vAlign w:val="center"/>
          </w:tcPr>
          <w:p w:rsidP="00964538" w:rsidR="00CC78C7" w:rsidRDefault="00CC78C7"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964538" w:rsidR="00CC78C7" w:rsidRDefault="00CC78C7"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易方达中债新综指发起式（LOF）A</w:t>
            </w:r>
          </w:p>
        </w:tc>
        <w:tc>
          <w:tcPr>
            <w:tcW w:type="dxa" w:w="2631"/>
            <w:vAlign w:val="bottom"/>
          </w:tcPr>
          <w:p w:rsidP="00964538" w:rsidR="00CC78C7" w:rsidRDefault="00CC78C7" w:rsidRPr="00FA472B">
            <w:pPr>
              <w:jc w:val="center"/>
              <w:rPr>
                <w:sz w:val="24"/>
              </w:rPr>
            </w:pPr>
            <w:r w:rsidRPr="00FA472B">
              <w:rPr>
                <w:color w:val="000000"/>
                <w:kern w:val="0"/>
                <w:sz w:val="24"/>
              </w:rPr>
              <w:t/>
            </w:r>
            <w:r w:rsidRPr="00FA472B">
              <w:rPr>
                <w:sz w:val="24"/>
              </w:rPr>
              <w:t>易方达中债新综指发起式（LOF）C</w:t>
            </w:r>
          </w:p>
        </w:tc>
      </w:tr>
      <w:tr w:rsidR="00CC78C7" w:rsidRPr="00E90B39" w:rsidTr="0001612A">
        <w:trPr>
          <w:trHeight w:val="247"/>
        </w:trPr>
        <w:tc>
          <w:tcPr>
            <w:tcW w:type="dxa" w:w="3167"/>
            <w:vAlign w:val="center"/>
          </w:tcPr>
          <w:p w:rsidP="00964538" w:rsidR="00CC78C7" w:rsidRDefault="00CC78C7"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964538" w:rsidR="00CC78C7" w:rsidRDefault="00CC78C7" w:rsidRPr="00FA472B">
            <w:pPr>
              <w:jc w:val="right"/>
              <w:rPr>
                <w:sz w:val="24"/>
              </w:rPr>
            </w:pPr>
            <w:r w:rsidRPr="00FA472B">
              <w:rPr>
                <w:color w:val="000000"/>
                <w:sz w:val="24"/>
              </w:rPr>
              <w:t>29,709,723.72</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w:t>
            </w:r>
            <w:r w:rsidRPr="00FA472B">
              <w:rPr>
                <w:color w:val="000000"/>
                <w:sz w:val="24"/>
              </w:rPr>
              <w:lastRenderedPageBreak/>
              <w:t>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lastRenderedPageBreak/>
              <w:t/>
            </w:r>
            <w:proofErr w:type="spellStart"/>
            <w:r w:rsidRPr="00FA472B">
              <w:rPr>
                <w:color w:val="000000"/>
                <w:sz w:val="24"/>
              </w:rPr>
              <w:t/>
            </w:r>
            <w:r w:rsidRPr="00FA472B">
              <w:rPr>
                <w:color w:val="000000"/>
                <w:sz w:val="24"/>
              </w:rPr>
              <w:lastRenderedPageBreak/>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lastRenderedPageBreak/>
              <w:t/>
            </w:r>
            <w:r w:rsidRPr="00FA472B">
              <w:rPr>
                <w:color w:val="000000"/>
                <w:sz w:val="24"/>
              </w:rPr>
              <w:lastRenderedPageBreak/>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lastRenderedPageBreak/>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964538" w:rsidR="00CC78C7" w:rsidRDefault="00CC78C7"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29,709,723.72</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964538" w:rsidR="00CC78C7" w:rsidRDefault="00CC78C7" w:rsidRPr="00FA472B">
            <w:pPr>
              <w:jc w:val="right"/>
              <w:rPr>
                <w:color w:val="000000"/>
                <w:kern w:val="0"/>
                <w:sz w:val="24"/>
              </w:rPr>
            </w:pPr>
            <w:r w:rsidRPr="00FA472B">
              <w:rPr>
                <w:color w:val="000000"/>
                <w:sz w:val="24"/>
              </w:rPr>
              <w:t>8.3587</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bl>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B54884" w:rsidR="00F016DD" w:rsidRDefault="00F016DD" w:rsidRPr="0078105B">
      <w:pPr>
        <w:pStyle w:val="1"/>
        <w:spacing w:after="312" w:afterLines="100" w:before="312" w:beforeLines="100" w:line="360" w:lineRule="auto"/>
        <w:jc w:val="center"/>
        <w:rPr>
          <w:rFonts w:ascii="宋体"/>
          <w:b w:val="0"/>
          <w:color w:val="000000"/>
          <w:sz w:val="24"/>
        </w:rPr>
      </w:pPr>
      <w:r w:rsidRPr="0078105B">
        <w:rPr>
          <w:rFonts w:ascii="宋体" w:cs="Arial"/>
          <w:color w:val="000000"/>
          <w:kern w:val="0"/>
          <w:sz w:val="24"/>
          <w:szCs w:val="24"/>
        </w:rPr>
        <w:t/>
      </w:r>
      <w:proofErr w:type="spellStart"/>
      <w:r w:rsidRPr="0078105B">
        <w:rPr>
          <w:rFonts w:ascii="宋体" w:cs="Arial" w:hAnsi="宋体"/>
          <w:color w:val="000000"/>
          <w:kern w:val="0"/>
          <w:sz w:val="24"/>
          <w:szCs w:val="24"/>
        </w:rPr>
        <w:t/>
      </w:r>
      <w:proofErr w:type="spellEnd"/>
      <w:r w:rsidRPr="0078105B">
        <w:rPr>
          <w:rFonts w:ascii="宋体" w:cs="Arial" w:hAnsi="宋体"/>
          <w:color w:val="000000"/>
          <w:kern w:val="0"/>
          <w:sz w:val="24"/>
          <w:szCs w:val="24"/>
        </w:rPr>
        <w:t/>
      </w: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 xml:space="preserve">8  </w:t>
      </w:r>
      <w:r>
        <w:rPr>
          <w:rFonts w:ascii="宋体" w:cs="Arial" w:hAnsi="宋体" w:hint="eastAsia"/>
          <w:color w:val="000000"/>
          <w:kern w:val="0"/>
          <w:sz w:val="24"/>
          <w:szCs w:val="24"/>
        </w:rPr>
        <w:t>报告期末</w:t>
      </w:r>
      <w:r w:rsidRPr="0078105B">
        <w:rPr>
          <w:rFonts w:ascii="宋体" w:cs="Arial" w:hAnsi="宋体" w:hint="eastAsia"/>
          <w:color w:val="000000"/>
          <w:kern w:val="0"/>
          <w:sz w:val="24"/>
          <w:szCs w:val="24"/>
        </w:rPr>
        <w:t>发起</w:t>
      </w:r>
      <w:proofErr w:type="gramStart"/>
      <w:r w:rsidRPr="0078105B">
        <w:rPr>
          <w:rFonts w:ascii="宋体" w:cs="Arial" w:hAnsi="宋体" w:hint="eastAsia"/>
          <w:color w:val="000000"/>
          <w:kern w:val="0"/>
          <w:sz w:val="24"/>
          <w:szCs w:val="24"/>
        </w:rPr>
        <w:t>式基金</w:t>
      </w:r>
      <w:proofErr w:type="gramEnd"/>
      <w:r w:rsidRPr="0078105B">
        <w:rPr>
          <w:rFonts w:ascii="宋体" w:cs="Arial" w:hAnsi="宋体" w:hint="eastAsia"/>
          <w:color w:val="000000"/>
          <w:kern w:val="0"/>
          <w:sz w:val="24"/>
          <w:szCs w:val="24"/>
        </w:rPr>
        <w:t>发起资金持有份额情况</w:t>
      </w:r>
    </w:p>
    <w:tbl>
      <w:tblPr>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448"/>
        <w:gridCol w:w="1984"/>
        <w:gridCol w:w="1276"/>
        <w:gridCol w:w="1843"/>
        <w:gridCol w:w="1276"/>
        <w:gridCol w:w="1053"/>
      </w:tblGrid>
      <w:tr w:rsidR="00F016DD" w:rsidRPr="0078105B" w:rsidTr="009D0312">
        <w:trPr>
          <w:trHeight w:val="543"/>
          <w:jc w:val="center"/>
        </w:trPr>
        <w:tc>
          <w:tcPr>
            <w:tcW w:type="dxa" w:w="1448"/>
            <w:vAlign w:val="center"/>
          </w:tcPr>
          <w:p w:rsidP="00973B57" w:rsidR="00F016DD" w:rsidRDefault="00F016DD" w:rsidRPr="00FA472B">
            <w:pPr>
              <w:widowControl/>
              <w:jc w:val="left"/>
              <w:rPr>
                <w:color w:val="000000"/>
                <w:sz w:val="24"/>
              </w:rPr>
            </w:pPr>
            <w:r w:rsidRPr="00FA472B">
              <w:rPr>
                <w:color w:val="000000"/>
                <w:sz w:val="24"/>
              </w:rPr>
              <w:t>项目</w:t>
            </w:r>
            <w:r w:rsidRPr="00FA472B">
              <w:rPr>
                <w:color w:val="000000"/>
                <w:sz w:val="24"/>
              </w:rPr>
              <w:t/>
            </w:r>
            <w:proofErr w:type="spellStart"/>
            <w:r w:rsidRPr="00FA472B">
              <w:rPr>
                <w:color w:val="000000"/>
                <w:sz w:val="24"/>
              </w:rPr>
              <w:t/>
            </w:r>
            <w:proofErr w:type="spellEnd"/>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984"/>
          </w:tcPr>
          <w:p w:rsidP="00973B57" w:rsidR="00F016DD" w:rsidRDefault="00F016DD" w:rsidRPr="00FA472B">
            <w:pPr>
              <w:adjustRightInd w:val="0"/>
              <w:snapToGrid w:val="0"/>
              <w:spacing w:line="360" w:lineRule="exact"/>
              <w:rPr>
                <w:color w:val="000000"/>
                <w:sz w:val="24"/>
              </w:rPr>
            </w:pPr>
            <w:r w:rsidRPr="00FA472B">
              <w:rPr>
                <w:color w:val="000000"/>
                <w:sz w:val="24"/>
              </w:rPr>
              <w:t>持有份额总数</w:t>
            </w:r>
          </w:p>
        </w:tc>
        <w:tc>
          <w:tcPr>
            <w:tcW w:type="dxa" w:w="1276"/>
          </w:tcPr>
          <w:p w:rsidP="00973B57" w:rsidR="00F016DD" w:rsidRDefault="00F016DD" w:rsidRPr="00FA472B">
            <w:pPr>
              <w:adjustRightInd w:val="0"/>
              <w:snapToGrid w:val="0"/>
              <w:spacing w:line="360" w:lineRule="exact"/>
              <w:rPr>
                <w:color w:val="000000"/>
                <w:sz w:val="24"/>
              </w:rPr>
            </w:pPr>
            <w:r w:rsidRPr="00FA472B">
              <w:rPr>
                <w:color w:val="000000"/>
                <w:sz w:val="24"/>
              </w:rPr>
              <w:t>持有份额占基金总份额比例</w:t>
            </w:r>
          </w:p>
        </w:tc>
        <w:tc>
          <w:tcPr>
            <w:tcW w:type="dxa" w:w="1843"/>
          </w:tcPr>
          <w:p w:rsidP="00973B57" w:rsidR="00F016DD" w:rsidRDefault="00F016DD" w:rsidRPr="00FA472B">
            <w:pPr>
              <w:adjustRightInd w:val="0"/>
              <w:snapToGrid w:val="0"/>
              <w:spacing w:line="360" w:lineRule="exact"/>
              <w:rPr>
                <w:color w:val="000000"/>
                <w:sz w:val="24"/>
              </w:rPr>
            </w:pPr>
            <w:r w:rsidRPr="00FA472B">
              <w:rPr>
                <w:color w:val="000000"/>
                <w:sz w:val="24"/>
              </w:rPr>
              <w:t>发起份额总数</w:t>
            </w:r>
          </w:p>
        </w:tc>
        <w:tc>
          <w:tcPr>
            <w:tcW w:type="dxa" w:w="1276"/>
          </w:tcPr>
          <w:p w:rsidP="00973B57" w:rsidR="00F016DD" w:rsidRDefault="00F016DD" w:rsidRPr="00FA472B">
            <w:pPr>
              <w:adjustRightInd w:val="0"/>
              <w:snapToGrid w:val="0"/>
              <w:spacing w:line="360" w:lineRule="exact"/>
              <w:rPr>
                <w:color w:val="000000"/>
                <w:sz w:val="24"/>
              </w:rPr>
            </w:pPr>
            <w:r w:rsidRPr="00FA472B">
              <w:rPr>
                <w:color w:val="000000"/>
                <w:sz w:val="24"/>
              </w:rPr>
              <w:t>发起份额占基金总份额比例</w:t>
            </w:r>
          </w:p>
        </w:tc>
        <w:tc>
          <w:tcPr>
            <w:tcW w:type="dxa" w:w="1053"/>
          </w:tcPr>
          <w:p w:rsidP="00973B57" w:rsidR="00F016DD" w:rsidRDefault="00F016DD" w:rsidRPr="00FA472B">
            <w:pPr>
              <w:widowControl/>
              <w:jc w:val="left"/>
              <w:rPr>
                <w:color w:val="000000"/>
                <w:sz w:val="24"/>
              </w:rPr>
            </w:pPr>
            <w:r w:rsidRPr="00FA472B">
              <w:rPr>
                <w:color w:val="000000"/>
                <w:sz w:val="24"/>
              </w:rPr>
              <w:t>发起份额承诺持有期限</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rPr>
                <w:color w:val="000000"/>
                <w:sz w:val="24"/>
              </w:rPr>
            </w:pPr>
            <w:r w:rsidRPr="00FA472B">
              <w:rPr>
                <w:color w:val="000000"/>
                <w:sz w:val="24"/>
              </w:rPr>
              <w:t>基金管理人</w:t>
            </w:r>
            <w:proofErr w:type="gramStart"/>
            <w:r w:rsidRPr="00FA472B">
              <w:rPr>
                <w:color w:val="000000"/>
                <w:sz w:val="24"/>
              </w:rPr>
              <w:t>固有资金</w:t>
            </w:r>
            <w:proofErr w:type="gramEnd"/>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29,709,723.72</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7.4094%</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10,000,450.04</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2.4940%</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3年</w:t>
            </w:r>
          </w:p>
        </w:tc>
      </w:tr>
      <w:tr w:rsidR="00F016DD" w:rsidRPr="0078105B" w:rsidTr="009D0312">
        <w:trPr>
          <w:trHeight w:val="790"/>
          <w:jc w:val="center"/>
        </w:trPr>
        <w:tc>
          <w:tcPr>
            <w:tcW w:type="dxa" w:w="1448"/>
          </w:tcPr>
          <w:p w:rsidP="00973B57" w:rsidR="00F016DD" w:rsidRDefault="00F016DD" w:rsidRPr="00FA472B">
            <w:pPr>
              <w:adjustRightInd w:val="0"/>
              <w:snapToGrid w:val="0"/>
              <w:spacing w:line="360" w:lineRule="exact"/>
              <w:rPr>
                <w:color w:val="000000"/>
                <w:sz w:val="24"/>
              </w:rPr>
            </w:pPr>
            <w:r w:rsidRPr="00FA472B">
              <w:rPr>
                <w:color w:val="000000"/>
                <w:sz w:val="24"/>
              </w:rPr>
              <w:lastRenderedPageBreak/>
              <w:t>基金管理人高级管理人员</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基金经理等人员</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lastRenderedPageBreak/>
              <w:t/>
            </w:r>
            <w:r w:rsidRPr="00FA472B">
              <w:rPr>
                <w:kern w:val="0"/>
                <w:sz w:val="24"/>
              </w:rPr>
              <w:lastRenderedPageBreak/>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lastRenderedPageBreak/>
              <w:t>基金管理</w:t>
            </w:r>
            <w:proofErr w:type="gramStart"/>
            <w:r w:rsidRPr="00FA472B">
              <w:rPr>
                <w:color w:val="000000"/>
                <w:sz w:val="24"/>
              </w:rPr>
              <w:t>人股东</w:t>
            </w:r>
            <w:proofErr w:type="gramEnd"/>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其他</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w:t>
            </w:r>
          </w:p>
        </w:tc>
      </w:tr>
      <w:tr w:rsidR="00F016DD" w:rsidRPr="0078105B" w:rsidTr="009D0312">
        <w:trPr>
          <w:jc w:val="center"/>
        </w:trPr>
        <w:tc>
          <w:tcPr>
            <w:tcW w:type="dxa" w:w="1448"/>
          </w:tcPr>
          <w:p w:rsidP="00973B57" w:rsidR="00F016DD" w:rsidRDefault="00F016DD" w:rsidRPr="00FA472B">
            <w:pPr>
              <w:adjustRightInd w:val="0"/>
              <w:snapToGrid w:val="0"/>
              <w:spacing w:line="360" w:lineRule="exact"/>
              <w:jc w:val="left"/>
              <w:rPr>
                <w:color w:val="000000"/>
                <w:sz w:val="24"/>
              </w:rPr>
            </w:pPr>
            <w:r w:rsidRPr="00FA472B">
              <w:rPr>
                <w:color w:val="000000"/>
                <w:sz w:val="24"/>
              </w:rPr>
              <w:t>合计</w:t>
            </w:r>
          </w:p>
        </w:tc>
        <w:tc>
          <w:tcPr>
            <w:tcW w:type="dxa" w:w="1984"/>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29,709,723.72</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7.4094%</w:t>
            </w:r>
          </w:p>
        </w:tc>
        <w:tc>
          <w:tcPr>
            <w:tcW w:type="dxa" w:w="1843"/>
          </w:tcPr>
          <w:p w:rsidP="00973B57" w:rsidR="00F016DD" w:rsidRDefault="00F016DD" w:rsidRPr="00FA472B">
            <w:pPr>
              <w:adjustRightInd w:val="0"/>
              <w:snapToGrid w:val="0"/>
              <w:spacing w:line="360" w:lineRule="exact"/>
              <w:jc w:val="right"/>
              <w:rPr>
                <w:kern w:val="0"/>
                <w:sz w:val="24"/>
              </w:rPr>
            </w:pPr>
            <w:r w:rsidRPr="00FA472B">
              <w:rPr>
                <w:kern w:val="0"/>
                <w:sz w:val="24"/>
              </w:rPr>
              <w:t/>
            </w:r>
            <w:proofErr w:type="spellStart"/>
            <w:r w:rsidRPr="00FA472B">
              <w:rPr>
                <w:kern w:val="0"/>
                <w:sz w:val="24"/>
              </w:rPr>
              <w:t/>
            </w:r>
            <w:proofErr w:type="spellEnd"/>
            <w:r w:rsidRPr="00FA472B">
              <w:rPr>
                <w:kern w:val="0"/>
                <w:sz w:val="24"/>
              </w:rPr>
              <w:t>10,000,450.04</w:t>
            </w:r>
          </w:p>
        </w:tc>
        <w:tc>
          <w:tcPr>
            <w:tcW w:type="dxa" w:w="1276"/>
          </w:tcPr>
          <w:p w:rsidP="00973B57" w:rsidR="00F016DD" w:rsidRDefault="00F016DD" w:rsidRPr="00FA472B">
            <w:pPr>
              <w:adjustRightInd w:val="0"/>
              <w:snapToGrid w:val="0"/>
              <w:spacing w:line="360" w:lineRule="exact"/>
              <w:jc w:val="right"/>
              <w:rPr>
                <w:kern w:val="0"/>
                <w:sz w:val="24"/>
              </w:rPr>
            </w:pPr>
            <w:r w:rsidRPr="00FA472B">
              <w:rPr>
                <w:kern w:val="0"/>
                <w:sz w:val="24"/>
              </w:rPr>
              <w:t>2.4940%</w:t>
            </w:r>
          </w:p>
        </w:tc>
        <w:tc>
          <w:tcPr>
            <w:tcW w:type="dxa" w:w="1053"/>
          </w:tcPr>
          <w:p w:rsidP="00973B57" w:rsidR="00F016DD" w:rsidRDefault="00F016DD" w:rsidRPr="00FA472B">
            <w:pPr>
              <w:adjustRightInd w:val="0"/>
              <w:snapToGrid w:val="0"/>
              <w:spacing w:line="360" w:lineRule="exact"/>
              <w:jc w:val="right"/>
              <w:rPr>
                <w:kern w:val="0"/>
                <w:sz w:val="24"/>
              </w:rPr>
            </w:pPr>
            <w:r w:rsidRPr="00FA472B">
              <w:rPr>
                <w:kern w:val="0"/>
                <w:sz w:val="24"/>
              </w:rPr>
              <w:t/>
            </w:r>
            <w:r w:rsidRPr="00FA472B">
              <w:rPr>
                <w:kern w:val="0"/>
                <w:sz w:val="24"/>
              </w:rPr>
              <w:lastRenderedPageBreak/>
              <w:t>-</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1.中国证监会核准易方达中债新综合债券指数发起式证券投资基金（LOF）募集的文件；</w:t>
      </w:r>
    </w:p>
    <w:p>
      <w:pPr>
        <w:spacing w:line="360" w:lineRule="auto"/>
        <w:ind w:firstLine="480" w:firstLineChars="200"/>
        <w:rPr>
          <w:color w:val="000000"/>
          <w:sz w:val="24"/>
        </w:rPr>
      </w:pPr>
      <w:r>
        <w:rPr>
          <w:color w:val="000000"/>
          <w:sz w:val="24"/>
        </w:rPr>
        <w:t>2.《易方达中债新综合债券指数发起式证券投资基金（LOF）基金合同》；</w:t>
      </w:r>
    </w:p>
    <w:p>
      <w:pPr>
        <w:spacing w:line="360" w:lineRule="auto"/>
        <w:ind w:firstLine="480" w:firstLineChars="200"/>
        <w:rPr>
          <w:color w:val="000000"/>
          <w:sz w:val="24"/>
        </w:rPr>
      </w:pPr>
      <w:r>
        <w:rPr>
          <w:color w:val="000000"/>
          <w:sz w:val="24"/>
        </w:rPr>
        <w:t>3.《易方达中债新综合债券指数发起式证券投资基金（LOF）托管协议》；</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4.基金管理人业务资格批件、营业执照。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易方达中债新综合债券指数发起式证券投资基金（LOF）</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