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易方达中小板指数证券投资基金（LOF）</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易方达中小板指数（LOF）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易基中小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161118</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161118</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2012年9月20日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188,535,461.56</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本基金采取指数化投资方式，以实现对业绩比较基准的紧密跟踪，追求跟踪偏离度及跟踪误差最小化。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进行投资，即按照中小板价格指数的成份股组成及权重构建股票投资组合，并根据标的指数成份股及其权重的变动进行相应调整，以实现对业绩比较基准的紧密跟踪，追求跟踪偏离度及跟踪误差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中小板价格指数收益率×95%+活期存款利率（税后）×5%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5,128,784.58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45,201,774.45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0.2298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238,903,220.16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1.2672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22.34%</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21.99%</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0.35%</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20.08%</w:t>
            </w:r>
          </w:p>
        </w:tc>
        <w:tc>
          <w:tcPr>
            <w:vAlign w:val="center"/>
          </w:tcPr>
          <w:p>
            <w:pPr>
              <w:jc w:val="center"/>
            </w:pPr>
            <w:r>
              <w:rPr>
                <w:color w:val="000000"/>
                <w:kern w:val="0"/>
                <w:sz w:val="24"/>
                <w:szCs w:val="24"/>
              </w:rPr>
              <w:t>1.82%</w:t>
            </w:r>
          </w:p>
        </w:tc>
        <w:tc>
          <w:tcPr>
            <w:vAlign w:val="center"/>
          </w:tcPr>
          <w:p>
            <w:pPr>
              <w:jc w:val="center"/>
            </w:pPr>
            <w:r>
              <w:rPr>
                <w:color w:val="000000"/>
                <w:kern w:val="0"/>
                <w:sz w:val="24"/>
                <w:szCs w:val="24"/>
              </w:rPr>
              <w:t>19.85%</w:t>
            </w:r>
          </w:p>
        </w:tc>
        <w:tc>
          <w:tcPr>
            <w:vAlign w:val="center"/>
          </w:tcPr>
          <w:p>
            <w:pPr>
              <w:jc w:val="center"/>
            </w:pPr>
            <w:r>
              <w:rPr>
                <w:color w:val="000000"/>
                <w:kern w:val="0"/>
                <w:sz w:val="24"/>
                <w:szCs w:val="24"/>
              </w:rPr>
              <w:t>1.84%</w:t>
            </w:r>
          </w:p>
        </w:tc>
        <w:tc>
          <w:tcPr>
            <w:vAlign w:val="center"/>
          </w:tcPr>
          <w:p>
            <w:pPr>
              <w:jc w:val="center"/>
            </w:pPr>
            <w:r>
              <w:rPr>
                <w:color w:val="000000"/>
                <w:kern w:val="0"/>
                <w:sz w:val="24"/>
                <w:szCs w:val="24"/>
              </w:rPr>
              <w:t>0.23%</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38.41%</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38.96%</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-0.55%</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15.71%</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15.11%</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0.60%</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-13.08%</w:t>
            </w:r>
          </w:p>
        </w:tc>
        <w:tc>
          <w:tcPr>
            <w:vAlign w:val="center"/>
          </w:tcPr>
          <w:p>
            <w:pPr>
              <w:jc w:val="center"/>
            </w:pPr>
            <w:r>
              <w:rPr>
                <w:color w:val="000000"/>
                <w:kern w:val="0"/>
                <w:sz w:val="24"/>
                <w:szCs w:val="24"/>
              </w:rPr>
              <w:t>1.73%</w:t>
            </w:r>
          </w:p>
        </w:tc>
        <w:tc>
          <w:tcPr>
            <w:vAlign w:val="center"/>
          </w:tcPr>
          <w:p>
            <w:pPr>
              <w:jc w:val="center"/>
            </w:pPr>
            <w:r>
              <w:rPr>
                <w:color w:val="000000"/>
                <w:kern w:val="0"/>
                <w:sz w:val="24"/>
                <w:szCs w:val="24"/>
              </w:rPr>
              <w:t>-11.70%</w:t>
            </w:r>
          </w:p>
        </w:tc>
        <w:tc>
          <w:tcPr>
            <w:vAlign w:val="center"/>
          </w:tcPr>
          <w:p>
            <w:pPr>
              <w:jc w:val="center"/>
            </w:pPr>
            <w:r>
              <w:rPr>
                <w:color w:val="000000"/>
                <w:kern w:val="0"/>
                <w:sz w:val="24"/>
                <w:szCs w:val="24"/>
              </w:rPr>
              <w:t>1.65%</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0.08%</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64.63%</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83.10%</w:t>
            </w:r>
          </w:p>
        </w:tc>
        <w:tc>
          <w:tcPr>
            <w:vAlign w:val="center"/>
          </w:tcPr>
          <w:p>
            <w:pPr>
              <w:jc w:val="center"/>
            </w:pPr>
            <w:r>
              <w:rPr>
                <w:color w:val="000000"/>
                <w:kern w:val="0"/>
                <w:sz w:val="24"/>
                <w:szCs w:val="24"/>
              </w:rPr>
              <w:t>1.62%</w:t>
            </w:r>
          </w:p>
        </w:tc>
        <w:tc>
          <w:tcPr>
            <w:vAlign w:val="center"/>
          </w:tcPr>
          <w:p>
            <w:pPr>
              <w:jc w:val="center"/>
            </w:pPr>
            <w:r>
              <w:rPr>
                <w:color w:val="000000"/>
                <w:kern w:val="0"/>
                <w:sz w:val="24"/>
                <w:szCs w:val="24"/>
              </w:rPr>
              <w:t>-18.47%</w:t>
            </w:r>
          </w:p>
        </w:tc>
        <w:tc>
          <w:tcPr>
            <w:vAlign w:val="center"/>
          </w:tcPr>
          <w:p>
            <w:pPr>
              <w:jc w:val="center"/>
            </w:pPr>
            <w:r>
              <w:rPr>
                <w:color w:val="000000"/>
                <w:kern w:val="0"/>
                <w:sz w:val="24"/>
                <w:szCs w:val="24"/>
              </w:rPr>
              <w:t>0.04%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易方达中小板指数证券投资基金（LOF）</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2012年9月20日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注：自基金合同生效至报告期末，基金份额净值增长率为64.63%，同期业绩比较基准收益率为83.10%。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并购重组指数分级证券投资基金的基金经理（自2016年05月07日至2020年04月22日）、易方达银行指数分级证券投资基金的基金经理（自2016年05月07日至2020年04月22日）、易方达深证100交易型开放式指数基金的基金经理、易方达创业板交易型开放式指数证券投资基金的基金经理、易方达生物科技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银行指数分级证券投资基金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创业板交易型开放式指数证券投资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中小板指数，中小板指数由深交所中小企业板上市交易A股中最具代表性的100只股票组成，是衡量中小板整体表现最具代表性的指数。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szCs w:val="24"/>
        </w:rPr>
      </w:pPr>
      <w:r>
        <w:rPr>
          <w:color w:val="000000"/>
          <w:sz w:val="24"/>
          <w:szCs w:val="24"/>
        </w:rPr>
        <w:t>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本报告期，中小板指数上涨23.24%。</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基金运作层面，报告期内，本基金严守基金合同认真对待投资者申购、赎回以及成份股调整事项，保障基金的正常运作，基金跟踪误差以及日均偏离度等指标控制在合同规定范围之内。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截至报告期末，本基金份额净值为1.2672元，本报告期份额净值增长率为22.34%，同期业绩比较基准收益率为21.99%，日跟踪偏离度的均值为0.02%，年化跟踪误差为0.47%，在合同规定的目标控制范围之内。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225,093,760.72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225,093,760.72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311,300.00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311,300.00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14,615,927.18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6.04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1,956,037.06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0.81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241,977,024.96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12,485,488.00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138,368,199.59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57.92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629,592.00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866,855.82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2,404,681.38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9,130,676.60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31,260,372.58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13.08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14,893,829.55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1,165,014.90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0.49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8,326,553.36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1,562,325.00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2,868,512.24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1,131,659.70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0.47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225,093,760.72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94.22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334,927</w:t>
            </w:r>
          </w:p>
        </w:tc>
        <w:tc>
          <w:tcPr>
            <w:vAlign w:val="center"/>
          </w:tcPr>
          <w:p>
            <w:pPr>
              <w:jc w:val="right"/>
            </w:pPr>
            <w:r>
              <w:rPr>
                <w:color w:val="000000"/>
                <w:kern w:val="0"/>
                <w:sz w:val="24"/>
                <w:szCs w:val="24"/>
              </w:rPr>
              <w:t>17,198,501.45</w:t>
            </w:r>
          </w:p>
        </w:tc>
        <w:tc>
          <w:tcPr>
            <w:vAlign w:val="center"/>
          </w:tcPr>
          <w:p>
            <w:pPr>
              <w:jc w:val="right"/>
            </w:pPr>
            <w:r>
              <w:rPr>
                <w:color w:val="000000"/>
                <w:kern w:val="0"/>
                <w:sz w:val="24"/>
                <w:szCs w:val="24"/>
              </w:rPr>
              <w:t>7.20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002714</w:t>
            </w:r>
          </w:p>
        </w:tc>
        <w:tc>
          <w:tcPr>
            <w:vAlign w:val="center"/>
          </w:tcPr>
          <w:p>
            <w:pPr>
              <w:jc w:val="center"/>
            </w:pPr>
            <w:r>
              <w:rPr>
                <w:color w:val="000000"/>
                <w:kern w:val="0"/>
                <w:sz w:val="24"/>
                <w:szCs w:val="24"/>
              </w:rPr>
              <w:t>牧原股份</w:t>
            </w:r>
          </w:p>
        </w:tc>
        <w:tc>
          <w:tcPr>
            <w:vAlign w:val="center"/>
          </w:tcPr>
          <w:p>
            <w:pPr>
              <w:jc w:val="right"/>
            </w:pPr>
            <w:r>
              <w:rPr>
                <w:color w:val="000000"/>
                <w:kern w:val="0"/>
                <w:sz w:val="24"/>
                <w:szCs w:val="24"/>
              </w:rPr>
              <w:t>136,984</w:t>
            </w:r>
          </w:p>
        </w:tc>
        <w:tc>
          <w:tcPr>
            <w:vAlign w:val="center"/>
          </w:tcPr>
          <w:p>
            <w:pPr>
              <w:jc w:val="right"/>
            </w:pPr>
            <w:r>
              <w:rPr>
                <w:color w:val="000000"/>
                <w:kern w:val="0"/>
                <w:sz w:val="24"/>
                <w:szCs w:val="24"/>
              </w:rPr>
              <w:t>11,232,688.00</w:t>
            </w:r>
          </w:p>
        </w:tc>
        <w:tc>
          <w:tcPr>
            <w:vAlign w:val="center"/>
          </w:tcPr>
          <w:p>
            <w:pPr>
              <w:jc w:val="right"/>
            </w:pPr>
            <w:r>
              <w:rPr>
                <w:color w:val="000000"/>
                <w:kern w:val="0"/>
                <w:sz w:val="24"/>
                <w:szCs w:val="24"/>
              </w:rPr>
              <w:t>4.70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002415</w:t>
            </w:r>
          </w:p>
        </w:tc>
        <w:tc>
          <w:tcPr>
            <w:vAlign w:val="center"/>
          </w:tcPr>
          <w:p>
            <w:pPr>
              <w:jc w:val="center"/>
            </w:pPr>
            <w:r>
              <w:rPr>
                <w:color w:val="000000"/>
                <w:kern w:val="0"/>
                <w:sz w:val="24"/>
                <w:szCs w:val="24"/>
              </w:rPr>
              <w:t>海康威视</w:t>
            </w:r>
          </w:p>
        </w:tc>
        <w:tc>
          <w:tcPr>
            <w:vAlign w:val="center"/>
          </w:tcPr>
          <w:p>
            <w:pPr>
              <w:jc w:val="right"/>
            </w:pPr>
            <w:r>
              <w:rPr>
                <w:color w:val="000000"/>
                <w:kern w:val="0"/>
                <w:sz w:val="24"/>
                <w:szCs w:val="24"/>
              </w:rPr>
              <w:t>276,611</w:t>
            </w:r>
          </w:p>
        </w:tc>
        <w:tc>
          <w:tcPr>
            <w:vAlign w:val="center"/>
          </w:tcPr>
          <w:p>
            <w:pPr>
              <w:jc w:val="right"/>
            </w:pPr>
            <w:r>
              <w:rPr>
                <w:color w:val="000000"/>
                <w:kern w:val="0"/>
                <w:sz w:val="24"/>
                <w:szCs w:val="24"/>
              </w:rPr>
              <w:t>8,395,143.85</w:t>
            </w:r>
          </w:p>
        </w:tc>
        <w:tc>
          <w:tcPr>
            <w:vAlign w:val="center"/>
          </w:tcPr>
          <w:p>
            <w:pPr>
              <w:jc w:val="right"/>
            </w:pPr>
            <w:r>
              <w:rPr>
                <w:color w:val="000000"/>
                <w:kern w:val="0"/>
                <w:sz w:val="24"/>
                <w:szCs w:val="24"/>
              </w:rPr>
              <w:t>3.51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002352</w:t>
            </w:r>
          </w:p>
        </w:tc>
        <w:tc>
          <w:tcPr>
            <w:vAlign w:val="center"/>
          </w:tcPr>
          <w:p>
            <w:pPr>
              <w:jc w:val="center"/>
            </w:pPr>
            <w:r>
              <w:rPr>
                <w:color w:val="000000"/>
                <w:kern w:val="0"/>
                <w:sz w:val="24"/>
                <w:szCs w:val="24"/>
              </w:rPr>
              <w:t>顺丰控股</w:t>
            </w:r>
          </w:p>
        </w:tc>
        <w:tc>
          <w:tcPr>
            <w:vAlign w:val="center"/>
          </w:tcPr>
          <w:p>
            <w:pPr>
              <w:jc w:val="right"/>
            </w:pPr>
            <w:r>
              <w:rPr>
                <w:color w:val="000000"/>
                <w:kern w:val="0"/>
                <w:sz w:val="24"/>
                <w:szCs w:val="24"/>
              </w:rPr>
              <w:t>116,000</w:t>
            </w:r>
          </w:p>
        </w:tc>
        <w:tc>
          <w:tcPr>
            <w:vAlign w:val="center"/>
          </w:tcPr>
          <w:p>
            <w:pPr>
              <w:jc w:val="right"/>
            </w:pPr>
            <w:r>
              <w:rPr>
                <w:color w:val="000000"/>
                <w:kern w:val="0"/>
                <w:sz w:val="24"/>
                <w:szCs w:val="24"/>
              </w:rPr>
              <w:t>6,345,200.00</w:t>
            </w:r>
          </w:p>
        </w:tc>
        <w:tc>
          <w:tcPr>
            <w:vAlign w:val="center"/>
          </w:tcPr>
          <w:p>
            <w:pPr>
              <w:jc w:val="right"/>
            </w:pPr>
            <w:r>
              <w:rPr>
                <w:color w:val="000000"/>
                <w:kern w:val="0"/>
                <w:sz w:val="24"/>
                <w:szCs w:val="24"/>
              </w:rPr>
              <w:t>2.66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002142</w:t>
            </w:r>
          </w:p>
        </w:tc>
        <w:tc>
          <w:tcPr>
            <w:vAlign w:val="center"/>
          </w:tcPr>
          <w:p>
            <w:pPr>
              <w:jc w:val="center"/>
            </w:pPr>
            <w:r>
              <w:rPr>
                <w:color w:val="000000"/>
                <w:kern w:val="0"/>
                <w:sz w:val="24"/>
                <w:szCs w:val="24"/>
              </w:rPr>
              <w:t>宁波银行</w:t>
            </w:r>
          </w:p>
        </w:tc>
        <w:tc>
          <w:tcPr>
            <w:vAlign w:val="center"/>
          </w:tcPr>
          <w:p>
            <w:pPr>
              <w:jc w:val="right"/>
            </w:pPr>
            <w:r>
              <w:rPr>
                <w:color w:val="000000"/>
                <w:kern w:val="0"/>
                <w:sz w:val="24"/>
                <w:szCs w:val="24"/>
              </w:rPr>
              <w:t>210,263</w:t>
            </w:r>
          </w:p>
        </w:tc>
        <w:tc>
          <w:tcPr>
            <w:vAlign w:val="center"/>
          </w:tcPr>
          <w:p>
            <w:pPr>
              <w:jc w:val="right"/>
            </w:pPr>
            <w:r>
              <w:rPr>
                <w:color w:val="000000"/>
                <w:kern w:val="0"/>
                <w:sz w:val="24"/>
                <w:szCs w:val="24"/>
              </w:rPr>
              <w:t>5,523,609.01</w:t>
            </w:r>
          </w:p>
        </w:tc>
        <w:tc>
          <w:tcPr>
            <w:vAlign w:val="center"/>
          </w:tcPr>
          <w:p>
            <w:pPr>
              <w:jc w:val="right"/>
            </w:pPr>
            <w:r>
              <w:rPr>
                <w:color w:val="000000"/>
                <w:kern w:val="0"/>
                <w:sz w:val="24"/>
                <w:szCs w:val="24"/>
              </w:rPr>
              <w:t>2.31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002410</w:t>
            </w:r>
          </w:p>
        </w:tc>
        <w:tc>
          <w:tcPr>
            <w:vAlign w:val="center"/>
          </w:tcPr>
          <w:p>
            <w:pPr>
              <w:jc w:val="center"/>
            </w:pPr>
            <w:r>
              <w:rPr>
                <w:color w:val="000000"/>
                <w:kern w:val="0"/>
                <w:sz w:val="24"/>
                <w:szCs w:val="24"/>
              </w:rPr>
              <w:t>广联达</w:t>
            </w:r>
          </w:p>
        </w:tc>
        <w:tc>
          <w:tcPr>
            <w:vAlign w:val="center"/>
          </w:tcPr>
          <w:p>
            <w:pPr>
              <w:jc w:val="right"/>
            </w:pPr>
            <w:r>
              <w:rPr>
                <w:color w:val="000000"/>
                <w:kern w:val="0"/>
                <w:sz w:val="24"/>
                <w:szCs w:val="24"/>
              </w:rPr>
              <w:t>72,551</w:t>
            </w:r>
          </w:p>
        </w:tc>
        <w:tc>
          <w:tcPr>
            <w:vAlign w:val="center"/>
          </w:tcPr>
          <w:p>
            <w:pPr>
              <w:jc w:val="right"/>
            </w:pPr>
            <w:r>
              <w:rPr>
                <w:color w:val="000000"/>
                <w:kern w:val="0"/>
                <w:sz w:val="24"/>
                <w:szCs w:val="24"/>
              </w:rPr>
              <w:t>5,056,804.70</w:t>
            </w:r>
          </w:p>
        </w:tc>
        <w:tc>
          <w:tcPr>
            <w:vAlign w:val="center"/>
          </w:tcPr>
          <w:p>
            <w:pPr>
              <w:jc w:val="right"/>
            </w:pPr>
            <w:r>
              <w:rPr>
                <w:color w:val="000000"/>
                <w:kern w:val="0"/>
                <w:sz w:val="24"/>
                <w:szCs w:val="24"/>
              </w:rPr>
              <w:t>2.12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002241</w:t>
            </w:r>
          </w:p>
        </w:tc>
        <w:tc>
          <w:tcPr>
            <w:vAlign w:val="center"/>
          </w:tcPr>
          <w:p>
            <w:pPr>
              <w:jc w:val="center"/>
            </w:pPr>
            <w:r>
              <w:rPr>
                <w:color w:val="000000"/>
                <w:kern w:val="0"/>
                <w:sz w:val="24"/>
                <w:szCs w:val="24"/>
              </w:rPr>
              <w:t>歌尔股份</w:t>
            </w:r>
          </w:p>
        </w:tc>
        <w:tc>
          <w:tcPr>
            <w:vAlign w:val="center"/>
          </w:tcPr>
          <w:p>
            <w:pPr>
              <w:jc w:val="right"/>
            </w:pPr>
            <w:r>
              <w:rPr>
                <w:color w:val="000000"/>
                <w:kern w:val="0"/>
                <w:sz w:val="24"/>
                <w:szCs w:val="24"/>
              </w:rPr>
              <w:t>168,064</w:t>
            </w:r>
          </w:p>
        </w:tc>
        <w:tc>
          <w:tcPr>
            <w:vAlign w:val="center"/>
          </w:tcPr>
          <w:p>
            <w:pPr>
              <w:jc w:val="right"/>
            </w:pPr>
            <w:r>
              <w:rPr>
                <w:color w:val="000000"/>
                <w:kern w:val="0"/>
                <w:sz w:val="24"/>
                <w:szCs w:val="24"/>
              </w:rPr>
              <w:t>4,934,359.04</w:t>
            </w:r>
          </w:p>
        </w:tc>
        <w:tc>
          <w:tcPr>
            <w:vAlign w:val="center"/>
          </w:tcPr>
          <w:p>
            <w:pPr>
              <w:jc w:val="right"/>
            </w:pPr>
            <w:r>
              <w:rPr>
                <w:color w:val="000000"/>
                <w:kern w:val="0"/>
                <w:sz w:val="24"/>
                <w:szCs w:val="24"/>
              </w:rPr>
              <w:t>2.07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002027</w:t>
            </w:r>
          </w:p>
        </w:tc>
        <w:tc>
          <w:tcPr>
            <w:vAlign w:val="center"/>
          </w:tcPr>
          <w:p>
            <w:pPr>
              <w:jc w:val="center"/>
            </w:pPr>
            <w:r>
              <w:rPr>
                <w:color w:val="000000"/>
                <w:kern w:val="0"/>
                <w:sz w:val="24"/>
                <w:szCs w:val="24"/>
              </w:rPr>
              <w:t>分众传媒</w:t>
            </w:r>
          </w:p>
        </w:tc>
        <w:tc>
          <w:tcPr>
            <w:vAlign w:val="center"/>
          </w:tcPr>
          <w:p>
            <w:pPr>
              <w:jc w:val="right"/>
            </w:pPr>
            <w:r>
              <w:rPr>
                <w:color w:val="000000"/>
                <w:kern w:val="0"/>
                <w:sz w:val="24"/>
                <w:szCs w:val="24"/>
              </w:rPr>
              <w:t>861,748</w:t>
            </w:r>
          </w:p>
        </w:tc>
        <w:tc>
          <w:tcPr>
            <w:vAlign w:val="center"/>
          </w:tcPr>
          <w:p>
            <w:pPr>
              <w:jc w:val="right"/>
            </w:pPr>
            <w:r>
              <w:rPr>
                <w:color w:val="000000"/>
                <w:kern w:val="0"/>
                <w:sz w:val="24"/>
                <w:szCs w:val="24"/>
              </w:rPr>
              <w:t>4,799,936.36</w:t>
            </w:r>
          </w:p>
        </w:tc>
        <w:tc>
          <w:tcPr>
            <w:vAlign w:val="center"/>
          </w:tcPr>
          <w:p>
            <w:pPr>
              <w:jc w:val="right"/>
            </w:pPr>
            <w:r>
              <w:rPr>
                <w:color w:val="000000"/>
                <w:kern w:val="0"/>
                <w:sz w:val="24"/>
                <w:szCs w:val="24"/>
              </w:rPr>
              <w:t>2.01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002230</w:t>
            </w:r>
          </w:p>
        </w:tc>
        <w:tc>
          <w:tcPr>
            <w:vAlign w:val="center"/>
          </w:tcPr>
          <w:p>
            <w:pPr>
              <w:jc w:val="center"/>
            </w:pPr>
            <w:r>
              <w:rPr>
                <w:color w:val="000000"/>
                <w:kern w:val="0"/>
                <w:sz w:val="24"/>
                <w:szCs w:val="24"/>
              </w:rPr>
              <w:t>科大讯飞</w:t>
            </w:r>
          </w:p>
        </w:tc>
        <w:tc>
          <w:tcPr>
            <w:vAlign w:val="center"/>
          </w:tcPr>
          <w:p>
            <w:pPr>
              <w:jc w:val="right"/>
            </w:pPr>
            <w:r>
              <w:rPr>
                <w:color w:val="000000"/>
                <w:kern w:val="0"/>
                <w:sz w:val="24"/>
                <w:szCs w:val="24"/>
              </w:rPr>
              <w:t>126,485</w:t>
            </w:r>
          </w:p>
        </w:tc>
        <w:tc>
          <w:tcPr>
            <w:vAlign w:val="center"/>
          </w:tcPr>
          <w:p>
            <w:pPr>
              <w:jc w:val="right"/>
            </w:pPr>
            <w:r>
              <w:rPr>
                <w:color w:val="000000"/>
                <w:kern w:val="0"/>
                <w:sz w:val="24"/>
                <w:szCs w:val="24"/>
              </w:rPr>
              <w:t>4,734,333.55</w:t>
            </w:r>
          </w:p>
        </w:tc>
        <w:tc>
          <w:tcPr>
            <w:vAlign w:val="center"/>
          </w:tcPr>
          <w:p>
            <w:pPr>
              <w:jc w:val="right"/>
            </w:pPr>
            <w:r>
              <w:rPr>
                <w:color w:val="000000"/>
                <w:kern w:val="0"/>
                <w:sz w:val="24"/>
                <w:szCs w:val="24"/>
              </w:rPr>
              <w:t>1.98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002594</w:t>
            </w:r>
          </w:p>
        </w:tc>
        <w:tc>
          <w:tcPr>
            <w:vAlign w:val="center"/>
          </w:tcPr>
          <w:p>
            <w:pPr>
              <w:jc w:val="center"/>
            </w:pPr>
            <w:r>
              <w:rPr>
                <w:color w:val="000000"/>
                <w:kern w:val="0"/>
                <w:sz w:val="24"/>
                <w:szCs w:val="24"/>
              </w:rPr>
              <w:t>比亚迪</w:t>
            </w:r>
          </w:p>
        </w:tc>
        <w:tc>
          <w:tcPr>
            <w:vAlign w:val="center"/>
          </w:tcPr>
          <w:p>
            <w:pPr>
              <w:jc w:val="right"/>
            </w:pPr>
            <w:r>
              <w:rPr>
                <w:color w:val="000000"/>
                <w:kern w:val="0"/>
                <w:sz w:val="24"/>
                <w:szCs w:val="24"/>
              </w:rPr>
              <w:t>64,548</w:t>
            </w:r>
          </w:p>
        </w:tc>
        <w:tc>
          <w:tcPr>
            <w:vAlign w:val="center"/>
          </w:tcPr>
          <w:p>
            <w:pPr>
              <w:jc w:val="right"/>
            </w:pPr>
            <w:r>
              <w:rPr>
                <w:color w:val="000000"/>
                <w:kern w:val="0"/>
                <w:sz w:val="24"/>
                <w:szCs w:val="24"/>
              </w:rPr>
              <w:t>4,634,546.40</w:t>
            </w:r>
          </w:p>
        </w:tc>
        <w:tc>
          <w:tcPr>
            <w:vAlign w:val="center"/>
          </w:tcPr>
          <w:p>
            <w:pPr>
              <w:jc w:val="right"/>
            </w:pPr>
            <w:r>
              <w:rPr>
                <w:color w:val="000000"/>
                <w:kern w:val="0"/>
                <w:sz w:val="24"/>
                <w:szCs w:val="24"/>
              </w:rPr>
              <w:t>1.94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311,300.00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311,300.00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2,432</w:t>
            </w:r>
          </w:p>
        </w:tc>
        <w:tc>
          <w:tcPr>
            <w:vAlign w:val="center"/>
          </w:tcPr>
          <w:p>
            <w:pPr>
              <w:jc w:val="right"/>
            </w:pPr>
            <w:r>
              <w:rPr>
                <w:color w:val="000000"/>
                <w:kern w:val="0"/>
                <w:sz w:val="24"/>
                <w:szCs w:val="24"/>
              </w:rPr>
              <w:t>243,200.00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128114</w:t>
            </w:r>
          </w:p>
        </w:tc>
        <w:tc>
          <w:tcPr>
            <w:vAlign w:val="center"/>
          </w:tcPr>
          <w:p>
            <w:pPr>
              <w:jc w:val="center"/>
            </w:pPr>
            <w:r>
              <w:rPr>
                <w:color w:val="000000"/>
                <w:kern w:val="0"/>
                <w:sz w:val="24"/>
                <w:szCs w:val="24"/>
              </w:rPr>
              <w:t>正邦转债</w:t>
            </w:r>
          </w:p>
        </w:tc>
        <w:tc>
          <w:tcPr>
            <w:vAlign w:val="center"/>
          </w:tcPr>
          <w:p>
            <w:pPr>
              <w:jc w:val="right"/>
            </w:pPr>
            <w:r>
              <w:rPr>
                <w:color w:val="000000"/>
                <w:kern w:val="0"/>
                <w:sz w:val="24"/>
                <w:szCs w:val="24"/>
              </w:rPr>
              <w:t>681</w:t>
            </w:r>
          </w:p>
        </w:tc>
        <w:tc>
          <w:tcPr>
            <w:vAlign w:val="center"/>
          </w:tcPr>
          <w:p>
            <w:pPr>
              <w:jc w:val="right"/>
            </w:pPr>
            <w:r>
              <w:rPr>
                <w:color w:val="000000"/>
                <w:kern w:val="0"/>
                <w:sz w:val="24"/>
                <w:szCs w:val="24"/>
              </w:rPr>
              <w:t>68,100.00</w:t>
            </w:r>
          </w:p>
        </w:tc>
        <w:tc>
          <w:tcPr>
            <w:vAlign w:val="center"/>
          </w:tcPr>
          <w:p>
            <w:pPr>
              <w:jc w:val="right"/>
            </w:pPr>
            <w:r>
              <w:rPr>
                <w:color w:val="000000"/>
                <w:kern w:val="0"/>
                <w:sz w:val="24"/>
                <w:szCs w:val="24"/>
              </w:rPr>
              <w:t>0.03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2019年12月5日，宁波银保监局对宁波银行作出“罚款人民币40万元，并责令该行对相关直接责任人给予纪律处分”的行政处罚。违法违规事由：设立时点性规模考核指标，股权质押管理不合规。</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宁波银行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35,202.97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2,664.78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1,918,169.31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1,956,037.06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201,805,109.40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28,794,175.16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42,063,823.00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188,535,461.56</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 中国证监会核准易方达中小板指数分级证券投资基金募集的文件；</w:t>
      </w:r>
    </w:p>
    <w:p>
      <w:pPr>
        <w:spacing w:line="360" w:lineRule="auto"/>
        <w:ind w:firstLine="480" w:firstLineChars="200"/>
        <w:rPr>
          <w:color w:val="000000"/>
          <w:sz w:val="24"/>
          <w:szCs w:val="24"/>
        </w:rPr>
      </w:pPr>
      <w:r>
        <w:rPr>
          <w:color w:val="000000"/>
          <w:sz w:val="24"/>
          <w:szCs w:val="24"/>
        </w:rPr>
        <w:t>2. 《易方达中小板指数证券投资基金（LOF）基金合同》；</w:t>
      </w:r>
    </w:p>
    <w:p>
      <w:pPr>
        <w:spacing w:line="360" w:lineRule="auto"/>
        <w:ind w:firstLine="480" w:firstLineChars="200"/>
        <w:rPr>
          <w:color w:val="000000"/>
          <w:sz w:val="24"/>
          <w:szCs w:val="24"/>
        </w:rPr>
      </w:pPr>
      <w:r>
        <w:rPr>
          <w:color w:val="000000"/>
          <w:sz w:val="24"/>
          <w:szCs w:val="24"/>
        </w:rPr>
        <w:t>3. 《易方达中小板指数证券投资基金（LOF）托管协议》；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 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易方达中小板指数证券投资基金（LOF）</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