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易方达永旭添利定期开放债券型证券投资基金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中国工商银行股份有限公司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基金托管人中国工商银行股份有限公司根据本基金合同规定，于2020年7月17日复核了本报告中的财务指标、净值表现和投资组合报告等内容，保证复核内容不存在虚假记载、误导性陈述或者重大遗漏。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易方达永旭定期开放债券</w:t>
            </w:r>
          </w:p>
        </w:tc>
      </w:tr>
      <w:tr w:rsidR="00815999" w:rsidRPr="00264E55" w:rsidTr="003328D9">
        <w:tc>
          <w:tcPr>
            <w:tcW w:type="dxa" w:w="2835"/>
            <w:vAlign w:val="center"/>
          </w:tcPr>
          <w:p w:rsidP="00815999" w:rsidR="00815999" w:rsidRDefault="00815999" w:rsidRPr="00232B03">
            <w:pPr>
              <w:adjustRightInd w:val="0"/>
              <w:spacing w:before="29" w:line="360" w:lineRule="auto"/>
              <w:ind w:left="17"/>
              <w:jc w:val="left"/>
              <w:rPr>
                <w:kern w:val="0"/>
                <w:sz w:val="24"/>
                <w:szCs w:val="24"/>
              </w:rPr>
            </w:pPr>
            <w:r w:rsidRPr="00232B03">
              <w:rPr>
                <w:kern w:val="0"/>
                <w:sz w:val="24"/>
                <w:szCs w:val="24"/>
              </w:rPr>
              <w:t>场内简称</w:t>
            </w:r>
          </w:p>
        </w:tc>
        <w:tc>
          <w:tcPr>
            <w:tcW w:type="dxa" w:w="5479"/>
            <w:gridSpan w:val="2"/>
            <w:vAlign w:val="center"/>
          </w:tcPr>
          <w:p w:rsidP="00815999" w:rsidR="00815999" w:rsidRDefault="00815999" w:rsidRPr="00232B03">
            <w:pPr>
              <w:adjustRightInd w:val="0"/>
              <w:spacing w:before="29" w:line="360" w:lineRule="auto"/>
              <w:ind w:left="17"/>
              <w:jc w:val="left"/>
              <w:rPr>
                <w:kern w:val="0"/>
                <w:sz w:val="24"/>
                <w:szCs w:val="24"/>
              </w:rPr>
            </w:pPr>
            <w:r w:rsidRPr="00232B03">
              <w:rPr>
                <w:kern w:val="0"/>
                <w:sz w:val="24"/>
                <w:szCs w:val="24"/>
              </w:rPr>
              <w:t/>
            </w:r>
            <w:proofErr w:type="spellStart"/>
            <w:r w:rsidRPr="00232B03">
              <w:rPr>
                <w:kern w:val="0"/>
                <w:sz w:val="24"/>
                <w:szCs w:val="24"/>
              </w:rPr>
              <w:t/>
            </w:r>
            <w:proofErr w:type="spellEnd"/>
            <w:r w:rsidRPr="00232B03">
              <w:rPr>
                <w:kern w:val="0"/>
                <w:sz w:val="24"/>
                <w:szCs w:val="24"/>
              </w:rPr>
              <w:t/>
            </w:r>
            <w:proofErr w:type="spellStart"/>
            <w:r w:rsidRPr="00232B03">
              <w:rPr>
                <w:kern w:val="0"/>
                <w:sz w:val="24"/>
                <w:szCs w:val="24"/>
              </w:rPr>
              <w:t/>
            </w:r>
            <w:proofErr w:type="spellEnd"/>
            <w:r w:rsidRPr="00232B03">
              <w:rPr>
                <w:kern w:val="0"/>
                <w:sz w:val="24"/>
                <w:szCs w:val="24"/>
              </w:rPr>
              <w:t>易基永旭</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161117</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161117</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契约型开放式，本基金合同生效后，每封闭运作两年，集中开放一次申购和赎回</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2012年6月19日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1,249,121,371.59</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本基金力争为基金持有人提供持续稳定的高于业绩比较基准的收益，实现基金资产的长期增值。</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pPr>
              <w:adjustRightInd w:val="0"/>
              <w:spacing w:before="29" w:line="360" w:lineRule="auto"/>
              <w:ind w:left="17"/>
              <w:jc w:val="left"/>
              <w:rPr>
                <w:color w:val="000000"/>
                <w:sz w:val="24"/>
                <w:szCs w:val="24"/>
              </w:rPr>
            </w:pPr>
            <w:r>
              <w:rPr>
                <w:color w:val="000000"/>
                <w:kern w:val="0"/>
                <w:sz w:val="24"/>
                <w:szCs w:val="24"/>
              </w:rPr>
              <w:t>本基金在封闭期与开放期将采取不同的投资策略，力争为基金持有人提供持续稳定的高于业绩比较基准的收益，实现基金资产的长期增值。</w:t>
            </w:r>
          </w:p>
          <w:p>
            <w:pPr>
              <w:adjustRightInd w:val="0"/>
              <w:spacing w:before="29" w:line="360" w:lineRule="auto"/>
              <w:ind w:left="17"/>
              <w:jc w:val="left"/>
              <w:rPr>
                <w:color w:val="000000"/>
                <w:sz w:val="24"/>
                <w:szCs w:val="24"/>
              </w:rPr>
            </w:pPr>
            <w:r>
              <w:rPr>
                <w:color w:val="000000"/>
                <w:kern w:val="0"/>
                <w:sz w:val="24"/>
                <w:szCs w:val="24"/>
              </w:rPr>
              <w:t>封闭期内，在遵循债券组合久期与封闭期适当匹配的基础上，本基金通过对宏观经济变量和宏观经济政策的分析，预测未来的市场利率、信用利差水平、利率期限结构的变化，并据此对债券组合进行调整，力争提高债券组合的总投资收益。</w:t>
            </w:r>
          </w:p>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开放期内，本基金为保持较高的组合流动性，方便投资人安排投资，在遵守本基金有关投资限制与投资比例的前提下，将主要投资于高流动性的投资品种，减小基金净值的波动。</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两年期银行定期存款收益率（税前）+0.5%</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本基金为债券型基金，属证券投资基金中的较低风险品种，理论上其长期平均风险和预期收益率低于混合型基金、股票型基金，高于货币市场基金。</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中国工商银行股份有限公司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23,468,028.50</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-1,003,723.81</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-0.0008</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1,343,634,324.74</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1.076</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-0.01%</w:t>
            </w:r>
          </w:p>
        </w:tc>
        <w:tc>
          <w:tcPr>
            <w:vAlign w:val="center"/>
          </w:tcPr>
          <w:p>
            <w:pPr>
              <w:jc w:val="center"/>
            </w:pPr>
            <w:r>
              <w:rPr>
                <w:color w:val="000000"/>
                <w:kern w:val="0"/>
                <w:sz w:val="24"/>
                <w:szCs w:val="24"/>
              </w:rPr>
              <w:t>0.12%</w:t>
            </w:r>
          </w:p>
        </w:tc>
        <w:tc>
          <w:tcPr>
            <w:vAlign w:val="center"/>
          </w:tcPr>
          <w:p>
            <w:pPr>
              <w:jc w:val="center"/>
            </w:pPr>
            <w:r>
              <w:rPr>
                <w:color w:val="000000"/>
                <w:kern w:val="0"/>
                <w:sz w:val="24"/>
                <w:szCs w:val="24"/>
              </w:rPr>
              <w:t>0.65%</w:t>
            </w:r>
          </w:p>
        </w:tc>
        <w:tc>
          <w:tcPr>
            <w:vAlign w:val="center"/>
          </w:tcPr>
          <w:p>
            <w:pPr>
              <w:jc w:val="center"/>
            </w:pPr>
            <w:r>
              <w:rPr>
                <w:color w:val="000000"/>
                <w:kern w:val="0"/>
                <w:sz w:val="24"/>
                <w:szCs w:val="24"/>
              </w:rPr>
              <w:t>0.01%</w:t>
            </w:r>
          </w:p>
        </w:tc>
        <w:tc>
          <w:tcPr>
            <w:vAlign w:val="center"/>
          </w:tcPr>
          <w:p>
            <w:pPr>
              <w:jc w:val="center"/>
            </w:pPr>
            <w:r>
              <w:rPr>
                <w:color w:val="000000"/>
                <w:kern w:val="0"/>
                <w:sz w:val="24"/>
                <w:szCs w:val="24"/>
              </w:rPr>
              <w:t>-0.66%</w:t>
            </w:r>
          </w:p>
        </w:tc>
        <w:tc>
          <w:tcPr>
            <w:vAlign w:val="center"/>
          </w:tcPr>
          <w:p>
            <w:pPr>
              <w:jc w:val="center"/>
            </w:pPr>
            <w:r>
              <w:rPr>
                <w:color w:val="000000"/>
                <w:kern w:val="0"/>
                <w:sz w:val="24"/>
                <w:szCs w:val="24"/>
              </w:rPr>
              <w:t>0.11%</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2.34%</w:t>
            </w:r>
          </w:p>
        </w:tc>
        <w:tc>
          <w:tcPr>
            <w:vAlign w:val="center"/>
          </w:tcPr>
          <w:p>
            <w:pPr>
              <w:jc w:val="center"/>
            </w:pPr>
            <w:r>
              <w:rPr>
                <w:color w:val="000000"/>
                <w:kern w:val="0"/>
                <w:sz w:val="24"/>
                <w:szCs w:val="24"/>
              </w:rPr>
              <w:t>0.10%</w:t>
            </w:r>
          </w:p>
        </w:tc>
        <w:tc>
          <w:tcPr>
            <w:vAlign w:val="center"/>
          </w:tcPr>
          <w:p>
            <w:pPr>
              <w:jc w:val="center"/>
            </w:pPr>
            <w:r>
              <w:rPr>
                <w:color w:val="000000"/>
                <w:kern w:val="0"/>
                <w:sz w:val="24"/>
                <w:szCs w:val="24"/>
              </w:rPr>
              <w:t>1.29%</w:t>
            </w:r>
          </w:p>
        </w:tc>
        <w:tc>
          <w:tcPr>
            <w:vAlign w:val="center"/>
          </w:tcPr>
          <w:p>
            <w:pPr>
              <w:jc w:val="center"/>
            </w:pPr>
            <w:r>
              <w:rPr>
                <w:color w:val="000000"/>
                <w:kern w:val="0"/>
                <w:sz w:val="24"/>
                <w:szCs w:val="24"/>
              </w:rPr>
              <w:t>0.01%</w:t>
            </w:r>
          </w:p>
        </w:tc>
        <w:tc>
          <w:tcPr>
            <w:vAlign w:val="center"/>
          </w:tcPr>
          <w:p>
            <w:pPr>
              <w:jc w:val="center"/>
            </w:pPr>
            <w:r>
              <w:rPr>
                <w:color w:val="000000"/>
                <w:kern w:val="0"/>
                <w:sz w:val="24"/>
                <w:szCs w:val="24"/>
              </w:rPr>
              <w:t>1.05%</w:t>
            </w:r>
          </w:p>
        </w:tc>
        <w:tc>
          <w:tcPr>
            <w:vAlign w:val="center"/>
          </w:tcPr>
          <w:p>
            <w:pPr>
              <w:jc w:val="center"/>
            </w:pPr>
            <w:r>
              <w:rPr>
                <w:color w:val="000000"/>
                <w:kern w:val="0"/>
                <w:sz w:val="24"/>
                <w:szCs w:val="24"/>
              </w:rPr>
              <w:t>0.09%</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4.94%</w:t>
            </w:r>
          </w:p>
        </w:tc>
        <w:tc>
          <w:tcPr>
            <w:vAlign w:val="center"/>
          </w:tcPr>
          <w:p>
            <w:pPr>
              <w:jc w:val="center"/>
            </w:pPr>
            <w:r>
              <w:rPr>
                <w:color w:val="000000"/>
                <w:kern w:val="0"/>
                <w:sz w:val="24"/>
                <w:szCs w:val="24"/>
              </w:rPr>
              <w:t>0.08%</w:t>
            </w:r>
          </w:p>
        </w:tc>
        <w:tc>
          <w:tcPr>
            <w:vAlign w:val="center"/>
          </w:tcPr>
          <w:p>
            <w:pPr>
              <w:jc w:val="center"/>
            </w:pPr>
            <w:r>
              <w:rPr>
                <w:color w:val="000000"/>
                <w:kern w:val="0"/>
                <w:sz w:val="24"/>
                <w:szCs w:val="24"/>
              </w:rPr>
              <w:t>2.60%</w:t>
            </w:r>
          </w:p>
        </w:tc>
        <w:tc>
          <w:tcPr>
            <w:vAlign w:val="center"/>
          </w:tcPr>
          <w:p>
            <w:pPr>
              <w:jc w:val="center"/>
            </w:pPr>
            <w:r>
              <w:rPr>
                <w:color w:val="000000"/>
                <w:kern w:val="0"/>
                <w:sz w:val="24"/>
                <w:szCs w:val="24"/>
              </w:rPr>
              <w:t>0.01%</w:t>
            </w:r>
          </w:p>
        </w:tc>
        <w:tc>
          <w:tcPr>
            <w:vAlign w:val="center"/>
          </w:tcPr>
          <w:p>
            <w:pPr>
              <w:jc w:val="center"/>
            </w:pPr>
            <w:r>
              <w:rPr>
                <w:color w:val="000000"/>
                <w:kern w:val="0"/>
                <w:sz w:val="24"/>
                <w:szCs w:val="24"/>
              </w:rPr>
              <w:t>2.34%</w:t>
            </w:r>
          </w:p>
        </w:tc>
        <w:tc>
          <w:tcPr>
            <w:vAlign w:val="center"/>
          </w:tcPr>
          <w:p>
            <w:pPr>
              <w:jc w:val="center"/>
            </w:pPr>
            <w:r>
              <w:rPr>
                <w:color w:val="000000"/>
                <w:kern w:val="0"/>
                <w:sz w:val="24"/>
                <w:szCs w:val="24"/>
              </w:rPr>
              <w:t>0.07%</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17.59%</w:t>
            </w:r>
          </w:p>
        </w:tc>
        <w:tc>
          <w:tcPr>
            <w:vAlign w:val="center"/>
          </w:tcPr>
          <w:p>
            <w:pPr>
              <w:jc w:val="center"/>
            </w:pPr>
            <w:r>
              <w:rPr>
                <w:color w:val="000000"/>
                <w:kern w:val="0"/>
                <w:sz w:val="24"/>
                <w:szCs w:val="24"/>
              </w:rPr>
              <w:t>0.07%</w:t>
            </w:r>
          </w:p>
        </w:tc>
        <w:tc>
          <w:tcPr>
            <w:vAlign w:val="center"/>
          </w:tcPr>
          <w:p>
            <w:pPr>
              <w:jc w:val="center"/>
            </w:pPr>
            <w:r>
              <w:rPr>
                <w:color w:val="000000"/>
                <w:kern w:val="0"/>
                <w:sz w:val="24"/>
                <w:szCs w:val="24"/>
              </w:rPr>
              <w:t>7.80%</w:t>
            </w:r>
          </w:p>
        </w:tc>
        <w:tc>
          <w:tcPr>
            <w:vAlign w:val="center"/>
          </w:tcPr>
          <w:p>
            <w:pPr>
              <w:jc w:val="center"/>
            </w:pPr>
            <w:r>
              <w:rPr>
                <w:color w:val="000000"/>
                <w:kern w:val="0"/>
                <w:sz w:val="24"/>
                <w:szCs w:val="24"/>
              </w:rPr>
              <w:t>0.01%</w:t>
            </w:r>
          </w:p>
        </w:tc>
        <w:tc>
          <w:tcPr>
            <w:vAlign w:val="center"/>
          </w:tcPr>
          <w:p>
            <w:pPr>
              <w:jc w:val="center"/>
            </w:pPr>
            <w:r>
              <w:rPr>
                <w:color w:val="000000"/>
                <w:kern w:val="0"/>
                <w:sz w:val="24"/>
                <w:szCs w:val="24"/>
              </w:rPr>
              <w:t>9.79%</w:t>
            </w:r>
          </w:p>
        </w:tc>
        <w:tc>
          <w:tcPr>
            <w:vAlign w:val="center"/>
          </w:tcPr>
          <w:p>
            <w:pPr>
              <w:jc w:val="center"/>
            </w:pPr>
            <w:r>
              <w:rPr>
                <w:color w:val="000000"/>
                <w:kern w:val="0"/>
                <w:sz w:val="24"/>
                <w:szCs w:val="24"/>
              </w:rPr>
              <w:t>0.06%</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31.63%</w:t>
            </w:r>
          </w:p>
        </w:tc>
        <w:tc>
          <w:tcPr>
            <w:vAlign w:val="center"/>
          </w:tcPr>
          <w:p>
            <w:pPr>
              <w:jc w:val="center"/>
            </w:pPr>
            <w:r>
              <w:rPr>
                <w:color w:val="000000"/>
                <w:kern w:val="0"/>
                <w:sz w:val="24"/>
                <w:szCs w:val="24"/>
              </w:rPr>
              <w:t>0.07%</w:t>
            </w:r>
          </w:p>
        </w:tc>
        <w:tc>
          <w:tcPr>
            <w:vAlign w:val="center"/>
          </w:tcPr>
          <w:p>
            <w:pPr>
              <w:jc w:val="center"/>
            </w:pPr>
            <w:r>
              <w:rPr>
                <w:color w:val="000000"/>
                <w:kern w:val="0"/>
                <w:sz w:val="24"/>
                <w:szCs w:val="24"/>
              </w:rPr>
              <w:t>14.85%</w:t>
            </w:r>
          </w:p>
        </w:tc>
        <w:tc>
          <w:tcPr>
            <w:vAlign w:val="center"/>
          </w:tcPr>
          <w:p>
            <w:pPr>
              <w:jc w:val="center"/>
            </w:pPr>
            <w:r>
              <w:rPr>
                <w:color w:val="000000"/>
                <w:kern w:val="0"/>
                <w:sz w:val="24"/>
                <w:szCs w:val="24"/>
              </w:rPr>
              <w:t>0.01%</w:t>
            </w:r>
          </w:p>
        </w:tc>
        <w:tc>
          <w:tcPr>
            <w:vAlign w:val="center"/>
          </w:tcPr>
          <w:p>
            <w:pPr>
              <w:jc w:val="center"/>
            </w:pPr>
            <w:r>
              <w:rPr>
                <w:color w:val="000000"/>
                <w:kern w:val="0"/>
                <w:sz w:val="24"/>
                <w:szCs w:val="24"/>
              </w:rPr>
              <w:t>16.78%</w:t>
            </w:r>
          </w:p>
        </w:tc>
        <w:tc>
          <w:tcPr>
            <w:vAlign w:val="center"/>
          </w:tcPr>
          <w:p>
            <w:pPr>
              <w:jc w:val="center"/>
            </w:pPr>
            <w:r>
              <w:rPr>
                <w:color w:val="000000"/>
                <w:kern w:val="0"/>
                <w:sz w:val="24"/>
                <w:szCs w:val="24"/>
              </w:rPr>
              <w:t>0.06%</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67.86%</w:t>
            </w:r>
          </w:p>
        </w:tc>
        <w:tc>
          <w:tcPr>
            <w:vAlign w:val="center"/>
          </w:tcPr>
          <w:p>
            <w:pPr>
              <w:jc w:val="center"/>
            </w:pPr>
            <w:r>
              <w:rPr>
                <w:color w:val="000000"/>
                <w:kern w:val="0"/>
                <w:sz w:val="24"/>
                <w:szCs w:val="24"/>
              </w:rPr>
              <w:t>0.09%</w:t>
            </w:r>
          </w:p>
        </w:tc>
        <w:tc>
          <w:tcPr>
            <w:vAlign w:val="center"/>
          </w:tcPr>
          <w:p>
            <w:pPr>
              <w:jc w:val="center"/>
            </w:pPr>
            <w:r>
              <w:rPr>
                <w:color w:val="000000"/>
                <w:kern w:val="0"/>
                <w:sz w:val="24"/>
                <w:szCs w:val="24"/>
              </w:rPr>
              <w:t>28.46%</w:t>
            </w:r>
          </w:p>
        </w:tc>
        <w:tc>
          <w:tcPr>
            <w:vAlign w:val="center"/>
          </w:tcPr>
          <w:p>
            <w:pPr>
              <w:jc w:val="center"/>
            </w:pPr>
            <w:r>
              <w:rPr>
                <w:color w:val="000000"/>
                <w:kern w:val="0"/>
                <w:sz w:val="24"/>
                <w:szCs w:val="24"/>
              </w:rPr>
              <w:t>0.01%</w:t>
            </w:r>
          </w:p>
        </w:tc>
        <w:tc>
          <w:tcPr>
            <w:vAlign w:val="center"/>
          </w:tcPr>
          <w:p>
            <w:pPr>
              <w:jc w:val="center"/>
            </w:pPr>
            <w:r>
              <w:rPr>
                <w:color w:val="000000"/>
                <w:kern w:val="0"/>
                <w:sz w:val="24"/>
                <w:szCs w:val="24"/>
              </w:rPr>
              <w:t>39.40%</w:t>
            </w:r>
          </w:p>
        </w:tc>
        <w:tc>
          <w:tcPr>
            <w:vAlign w:val="center"/>
          </w:tcPr>
          <w:p>
            <w:pPr>
              <w:jc w:val="center"/>
            </w:pPr>
            <w:r>
              <w:rPr>
                <w:color w:val="000000"/>
                <w:kern w:val="0"/>
                <w:sz w:val="24"/>
                <w:szCs w:val="24"/>
              </w:rPr>
              <w:t>0.08%</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易方达永旭添利定期开放债券型证券投资基金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2012年6月19日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注：自基金合同生效至报告期末，基金份额净值增长率为67.86%，同期业绩比较基准收益率为28.46%。</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李一硕</w:t>
            </w:r>
          </w:p>
        </w:tc>
        <w:tc>
          <w:tcPr>
            <w:vAlign w:val="center"/>
          </w:tcPr>
          <w:p>
            <w:pPr>
              <w:jc w:val="left"/>
            </w:pPr>
            <w:r>
              <w:rPr>
                <w:color w:val="000000"/>
                <w:sz w:val="24"/>
              </w:rPr>
              <w:t>本基金的基金经理、易方达纯债1年定期开放债券型证券投资基金的基金经理、易方达裕如灵活配置混合型证券投资基金的基金经理、易方达恒信定期开放债券型发起式证券投资基金的基金经理、易方达恒惠定期开放债券型发起式证券投资基金的基金经理、易方达安源中短债债券型证券投资基金的基金经理、易方达年年恒夏纯债一年定期开放债券型发起式证券投资基金的基金经理、易方达恒益定期开放债券型发起式证券投资基金的基金经理、易方达年年恒秋纯债一年定期开放债券型发起式证券投资基金的基金经理、易方达年年恒春纯债一年定期开放债券型发起式证券投资基金的基金经理、易方达稳健收益债券型证券投资基金的基金经理助理、易方达中债新综合债券指数发起式证券投资基金（LOF）的基金经理助理、易方达信用债债券型证券投资基金的基金经理助理、易方达裕惠回报定期开放式混合型发起式证券投资基金的基金经理助理、易方达瑞富灵活配置混合型证券投资基金的基金经理助理、易方达恒兴3个月定期开放债券型发起式证券投资基金的基金经理助理、易方达富惠纯债债券型证券投资基金的基金经理助理、易方达丰惠混合型证券投资基金的基金经理助理（自2019年01月18日至2020年06月09日）、固定收益投资部总经理助理</w:t>
            </w:r>
          </w:p>
        </w:tc>
        <w:tc>
          <w:tcPr>
            <w:vAlign w:val="center"/>
          </w:tcPr>
          <w:p>
            <w:pPr>
              <w:jc w:val="center"/>
            </w:pPr>
            <w:r>
              <w:rPr>
                <w:color w:val="000000"/>
                <w:sz w:val="24"/>
              </w:rPr>
              <w:t>2014-07-12</w:t>
            </w:r>
          </w:p>
        </w:tc>
        <w:tc>
          <w:tcPr>
            <w:vAlign w:val="center"/>
          </w:tcPr>
          <w:p>
            <w:pPr>
              <w:jc w:val="center"/>
            </w:pPr>
            <w:r>
              <w:rPr>
                <w:color w:val="000000"/>
                <w:sz w:val="24"/>
              </w:rPr>
              <w:t>-</w:t>
            </w:r>
          </w:p>
        </w:tc>
        <w:tc>
          <w:tcPr>
            <w:vAlign w:val="center"/>
          </w:tcPr>
          <w:p>
            <w:pPr>
              <w:jc w:val="center"/>
            </w:pPr>
            <w:r>
              <w:rPr>
                <w:color w:val="000000"/>
                <w:sz w:val="24"/>
              </w:rPr>
              <w:t>12年</w:t>
            </w:r>
          </w:p>
        </w:tc>
        <w:tc>
          <w:tcPr>
            <w:vAlign w:val="center"/>
          </w:tcPr>
          <w:p>
            <w:pPr>
              <w:jc w:val="both"/>
            </w:pPr>
            <w:r>
              <w:rPr>
                <w:color w:val="000000"/>
                <w:sz w:val="24"/>
              </w:rPr>
              <w:t>硕士研究生，具有基金从业资格。曾任瑞银证券有限公司研究员，中国国际金融有限公司研究员，易方达基金管理有限公司固定收益研究员、易方达瑞景灵活配置混合型证券投资基金基金经理、易方达新利灵活配置混合型证券投资基金基金经理、易方达新享灵活配置混合型证券投资基金基金经理、易方达富惠纯债债券型证券投资基金基金经理、易方达聚盈分级债券型发起式证券投资基金基金经理、易方达新利灵活配置混合型证券投资基金基金经理助理、易方达新享灵活配置混合型证券投资基金基金经理助理、易方达裕如灵活配置混合型证券投资基金基金经理助理、易方达瑞祥灵活配置混合型证券投资基金基金经理助理、易方达瑞兴灵活配置混合型证券投资基金基金经理助理、易方达瑞智灵活配置混合型证券投资基金基金经理助理、易方达恒益定期开放债券型发起式证券投资基金基金经理助理、易方达瑞祺灵活配置混合型证券投资基金基金经理助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2020年二季度我国宏观经济从疫情的冲击下开始迅速恢复，主要体现在以下几个方面。首先，工业生产水平显著反弹，4月及5月工业增加值同比增速分别达到3.9%及4.4%，发电量、粗钢产量及耗煤量等行业数据也明显回升。其次，出口增速好于预期。虽然二季度主要欧美国家在疫情的影响下经济活动明显停滞，但得益于防疫类物资出口规模较大，外需对我国经济的负面影响总体有限。最后，房地产行业的韧性较强，5月全国商品房销售面积增速大幅提高至9.7%，同时地产投资增速也快速回升。</w:t>
      </w:r>
    </w:p>
    <w:p>
      <w:pPr>
        <w:spacing w:line="360" w:lineRule="auto"/>
        <w:ind w:firstLine="480" w:firstLineChars="200"/>
        <w:rPr>
          <w:color w:val="000000"/>
          <w:sz w:val="24"/>
          <w:szCs w:val="24"/>
        </w:rPr>
      </w:pPr>
      <w:r>
        <w:rPr>
          <w:color w:val="000000"/>
          <w:sz w:val="24"/>
          <w:szCs w:val="24"/>
        </w:rPr>
        <w:t>在经济逐步复苏的过程中，二季度我国货币政策导向出现了较为明显的切换，债券市场收益率出现了大幅波动。4月央行在推出定向降准政策的同时，将金融机构在央行超额存款准备金利率从0.72%下调至0.35%，带动债券收益率曲线陡峭化下行。此后《政府工作报告》中提出“稳健的货币政策要更加灵活适度。综合运用降准降息、再贷款等手段，引导广义货币供应量和社会融资规模增速明显高于去年”。5月份以来，央行逐步开始边际上收紧货币市场流动性，并引导银行间资金利率的快速上行。相较于4月末的低点，1年期国开行政策性金融债收益率在5-6月期间上行100bp，同期3年期AAA评级中期票据收益率攀升86bp，收益率曲线形态明显平坦化。</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操作上，组合保持了偏高的杠杆水平。受到债券市场剧烈波动的影响，组合净值有所回撤。未来我们在维持久期匹配的整体策略下，将根据市场情况灵活调整组合的配置结构。</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截至报告期末，本基金份额净值为1.076元，本报告期份额净值增长率为-0.01%，同期业绩比较基准收益率为0.65%。</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2,116,893,368.40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96.25</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2,056,729,368.40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93.52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60,164,000.00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2.74</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38,713,210.27</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1.76</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43,691,116.94</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1.99</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2,199,297,695.61</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p w:rsidP="00403A06" w:rsidR="008C2A4F" w:rsidRDefault="008C2A4F" w:rsidRPr="00403A06">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本基金本报告期末未持有境内股票。</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本基金本报告期末未持有股票。</w:t>
      </w:r>
    </w:p>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1,066,588,368.40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79.38</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90,182,000.00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6.71</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899,959,000.00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66.98</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lastRenderedPageBreak/>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2,056,729,368.40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153.07</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101800966</w:t>
            </w:r>
          </w:p>
        </w:tc>
        <w:tc>
          <w:tcPr>
            <w:vAlign w:val="center"/>
          </w:tcPr>
          <w:p>
            <w:pPr>
              <w:jc w:val="center"/>
            </w:pPr>
            <w:r>
              <w:rPr>
                <w:color w:val="000000"/>
                <w:kern w:val="0"/>
                <w:sz w:val="24"/>
                <w:szCs w:val="24"/>
              </w:rPr>
              <w:t>18晋焦煤MTN005</w:t>
            </w:r>
          </w:p>
        </w:tc>
        <w:tc>
          <w:tcPr>
            <w:vAlign w:val="center"/>
          </w:tcPr>
          <w:p>
            <w:pPr>
              <w:jc w:val="right"/>
            </w:pPr>
            <w:r>
              <w:rPr>
                <w:color w:val="000000"/>
                <w:kern w:val="0"/>
                <w:sz w:val="24"/>
                <w:szCs w:val="24"/>
              </w:rPr>
              <w:t>500,000</w:t>
            </w:r>
          </w:p>
        </w:tc>
        <w:tc>
          <w:tcPr>
            <w:vAlign w:val="center"/>
          </w:tcPr>
          <w:p>
            <w:pPr>
              <w:jc w:val="right"/>
            </w:pPr>
            <w:r>
              <w:rPr>
                <w:color w:val="000000"/>
                <w:kern w:val="0"/>
                <w:sz w:val="24"/>
                <w:szCs w:val="24"/>
              </w:rPr>
              <w:t>52,930,000.00</w:t>
            </w:r>
          </w:p>
        </w:tc>
        <w:tc>
          <w:tcPr>
            <w:vAlign w:val="center"/>
          </w:tcPr>
          <w:p>
            <w:pPr>
              <w:jc w:val="right"/>
            </w:pPr>
            <w:r>
              <w:rPr>
                <w:color w:val="000000"/>
                <w:kern w:val="0"/>
                <w:sz w:val="24"/>
                <w:szCs w:val="24"/>
              </w:rPr>
              <w:t>3.94</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101801079</w:t>
            </w:r>
          </w:p>
        </w:tc>
        <w:tc>
          <w:tcPr>
            <w:vAlign w:val="center"/>
          </w:tcPr>
          <w:p>
            <w:pPr>
              <w:jc w:val="center"/>
            </w:pPr>
            <w:r>
              <w:rPr>
                <w:color w:val="000000"/>
                <w:kern w:val="0"/>
                <w:sz w:val="24"/>
                <w:szCs w:val="24"/>
              </w:rPr>
              <w:t>18闽高速MTN001</w:t>
            </w:r>
          </w:p>
        </w:tc>
        <w:tc>
          <w:tcPr>
            <w:vAlign w:val="center"/>
          </w:tcPr>
          <w:p>
            <w:pPr>
              <w:jc w:val="right"/>
            </w:pPr>
            <w:r>
              <w:rPr>
                <w:color w:val="000000"/>
                <w:kern w:val="0"/>
                <w:sz w:val="24"/>
                <w:szCs w:val="24"/>
              </w:rPr>
              <w:t>500,000</w:t>
            </w:r>
          </w:p>
        </w:tc>
        <w:tc>
          <w:tcPr>
            <w:vAlign w:val="center"/>
          </w:tcPr>
          <w:p>
            <w:pPr>
              <w:jc w:val="right"/>
            </w:pPr>
            <w:r>
              <w:rPr>
                <w:color w:val="000000"/>
                <w:kern w:val="0"/>
                <w:sz w:val="24"/>
                <w:szCs w:val="24"/>
              </w:rPr>
              <w:t>52,705,000.00</w:t>
            </w:r>
          </w:p>
        </w:tc>
        <w:tc>
          <w:tcPr>
            <w:vAlign w:val="center"/>
          </w:tcPr>
          <w:p>
            <w:pPr>
              <w:jc w:val="right"/>
            </w:pPr>
            <w:r>
              <w:rPr>
                <w:color w:val="000000"/>
                <w:kern w:val="0"/>
                <w:sz w:val="24"/>
                <w:szCs w:val="24"/>
              </w:rPr>
              <w:t>3.92</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101801187</w:t>
            </w:r>
          </w:p>
        </w:tc>
        <w:tc>
          <w:tcPr>
            <w:vAlign w:val="center"/>
          </w:tcPr>
          <w:p>
            <w:pPr>
              <w:jc w:val="center"/>
            </w:pPr>
            <w:r>
              <w:rPr>
                <w:color w:val="000000"/>
                <w:kern w:val="0"/>
                <w:sz w:val="24"/>
                <w:szCs w:val="24"/>
              </w:rPr>
              <w:t>18陕煤化MTN004</w:t>
            </w:r>
          </w:p>
        </w:tc>
        <w:tc>
          <w:tcPr>
            <w:vAlign w:val="center"/>
          </w:tcPr>
          <w:p>
            <w:pPr>
              <w:jc w:val="right"/>
            </w:pPr>
            <w:r>
              <w:rPr>
                <w:color w:val="000000"/>
                <w:kern w:val="0"/>
                <w:sz w:val="24"/>
                <w:szCs w:val="24"/>
              </w:rPr>
              <w:t>500,000</w:t>
            </w:r>
          </w:p>
        </w:tc>
        <w:tc>
          <w:tcPr>
            <w:vAlign w:val="center"/>
          </w:tcPr>
          <w:p>
            <w:pPr>
              <w:jc w:val="right"/>
            </w:pPr>
            <w:r>
              <w:rPr>
                <w:color w:val="000000"/>
                <w:kern w:val="0"/>
                <w:sz w:val="24"/>
                <w:szCs w:val="24"/>
              </w:rPr>
              <w:t>52,315,000.00</w:t>
            </w:r>
          </w:p>
        </w:tc>
        <w:tc>
          <w:tcPr>
            <w:vAlign w:val="center"/>
          </w:tcPr>
          <w:p>
            <w:pPr>
              <w:jc w:val="right"/>
            </w:pPr>
            <w:r>
              <w:rPr>
                <w:color w:val="000000"/>
                <w:kern w:val="0"/>
                <w:sz w:val="24"/>
                <w:szCs w:val="24"/>
              </w:rPr>
              <w:t>3.89</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163321</w:t>
            </w:r>
          </w:p>
        </w:tc>
        <w:tc>
          <w:tcPr>
            <w:vAlign w:val="center"/>
          </w:tcPr>
          <w:p>
            <w:pPr>
              <w:jc w:val="center"/>
            </w:pPr>
            <w:r>
              <w:rPr>
                <w:color w:val="000000"/>
                <w:kern w:val="0"/>
                <w:sz w:val="24"/>
                <w:szCs w:val="24"/>
              </w:rPr>
              <w:t>20能源04</w:t>
            </w:r>
          </w:p>
        </w:tc>
        <w:tc>
          <w:tcPr>
            <w:vAlign w:val="center"/>
          </w:tcPr>
          <w:p>
            <w:pPr>
              <w:jc w:val="right"/>
            </w:pPr>
            <w:r>
              <w:rPr>
                <w:color w:val="000000"/>
                <w:kern w:val="0"/>
                <w:sz w:val="24"/>
                <w:szCs w:val="24"/>
              </w:rPr>
              <w:t>500,000</w:t>
            </w:r>
          </w:p>
        </w:tc>
        <w:tc>
          <w:tcPr>
            <w:vAlign w:val="center"/>
          </w:tcPr>
          <w:p>
            <w:pPr>
              <w:jc w:val="right"/>
            </w:pPr>
            <w:r>
              <w:rPr>
                <w:color w:val="000000"/>
                <w:kern w:val="0"/>
                <w:sz w:val="24"/>
                <w:szCs w:val="24"/>
              </w:rPr>
              <w:t>49,130,000.00</w:t>
            </w:r>
          </w:p>
        </w:tc>
        <w:tc>
          <w:tcPr>
            <w:vAlign w:val="center"/>
          </w:tcPr>
          <w:p>
            <w:pPr>
              <w:jc w:val="right"/>
            </w:pPr>
            <w:r>
              <w:rPr>
                <w:color w:val="000000"/>
                <w:kern w:val="0"/>
                <w:sz w:val="24"/>
                <w:szCs w:val="24"/>
              </w:rPr>
              <w:t>3.66</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136143</w:t>
            </w:r>
          </w:p>
        </w:tc>
        <w:tc>
          <w:tcPr>
            <w:vAlign w:val="center"/>
          </w:tcPr>
          <w:p>
            <w:pPr>
              <w:jc w:val="center"/>
            </w:pPr>
            <w:r>
              <w:rPr>
                <w:color w:val="000000"/>
                <w:kern w:val="0"/>
                <w:sz w:val="24"/>
                <w:szCs w:val="24"/>
              </w:rPr>
              <w:t>16万达01</w:t>
            </w:r>
          </w:p>
        </w:tc>
        <w:tc>
          <w:tcPr>
            <w:vAlign w:val="center"/>
          </w:tcPr>
          <w:p>
            <w:pPr>
              <w:jc w:val="right"/>
            </w:pPr>
            <w:r>
              <w:rPr>
                <w:color w:val="000000"/>
                <w:kern w:val="0"/>
                <w:sz w:val="24"/>
                <w:szCs w:val="24"/>
              </w:rPr>
              <w:t>450,000</w:t>
            </w:r>
          </w:p>
        </w:tc>
        <w:tc>
          <w:tcPr>
            <w:vAlign w:val="center"/>
          </w:tcPr>
          <w:p>
            <w:pPr>
              <w:jc w:val="right"/>
            </w:pPr>
            <w:r>
              <w:rPr>
                <w:color w:val="000000"/>
                <w:kern w:val="0"/>
                <w:sz w:val="24"/>
                <w:szCs w:val="24"/>
              </w:rPr>
              <w:t>45,270,000.00</w:t>
            </w:r>
          </w:p>
        </w:tc>
        <w:tc>
          <w:tcPr>
            <w:vAlign w:val="center"/>
          </w:tcPr>
          <w:p>
            <w:pPr>
              <w:jc w:val="right"/>
            </w:pPr>
            <w:r>
              <w:rPr>
                <w:color w:val="000000"/>
                <w:kern w:val="0"/>
                <w:sz w:val="24"/>
                <w:szCs w:val="24"/>
              </w:rPr>
              <w:t>3.37</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802"/>
        <w:gridCol w:w="1742"/>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证券代码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证券名称</w:t>
            </w:r>
          </w:p>
        </w:tc>
        <w:tc>
          <w:tcPr>
            <w:tcW w:type="dxa" w:w="1802"/>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（份）</w:t>
            </w:r>
          </w:p>
        </w:tc>
        <w:tc>
          <w:tcPr>
            <w:tcW w:type="dxa" w:w="1742"/>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165272</w:t>
            </w:r>
          </w:p>
        </w:tc>
        <w:tc>
          <w:tcPr>
            <w:vAlign w:val="center"/>
          </w:tcPr>
          <w:p>
            <w:pPr>
              <w:jc w:val="center"/>
            </w:pPr>
            <w:r>
              <w:rPr>
                <w:color w:val="000000"/>
                <w:kern w:val="0"/>
                <w:sz w:val="24"/>
                <w:szCs w:val="24"/>
              </w:rPr>
              <w:t>天信2A</w:t>
            </w:r>
          </w:p>
        </w:tc>
        <w:tc>
          <w:tcPr>
            <w:vAlign w:val="center"/>
          </w:tcPr>
          <w:p>
            <w:pPr>
              <w:jc w:val="right"/>
            </w:pPr>
            <w:r>
              <w:rPr>
                <w:color w:val="000000"/>
                <w:kern w:val="0"/>
                <w:sz w:val="24"/>
                <w:szCs w:val="24"/>
              </w:rPr>
              <w:t>200,000</w:t>
            </w:r>
          </w:p>
        </w:tc>
        <w:tc>
          <w:tcPr>
            <w:vAlign w:val="center"/>
          </w:tcPr>
          <w:p>
            <w:pPr>
              <w:jc w:val="right"/>
            </w:pPr>
            <w:r>
              <w:rPr>
                <w:color w:val="000000"/>
                <w:kern w:val="0"/>
                <w:sz w:val="24"/>
                <w:szCs w:val="24"/>
              </w:rPr>
              <w:t>20,056,000.00</w:t>
            </w:r>
          </w:p>
        </w:tc>
        <w:tc>
          <w:tcPr>
            <w:vAlign w:val="center"/>
          </w:tcPr>
          <w:p>
            <w:pPr>
              <w:jc w:val="right"/>
            </w:pPr>
            <w:r>
              <w:rPr>
                <w:color w:val="000000"/>
                <w:kern w:val="0"/>
                <w:sz w:val="24"/>
                <w:szCs w:val="24"/>
              </w:rPr>
              <w:t>1.49</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165519</w:t>
            </w:r>
          </w:p>
        </w:tc>
        <w:tc>
          <w:tcPr>
            <w:vAlign w:val="center"/>
          </w:tcPr>
          <w:p>
            <w:pPr>
              <w:jc w:val="center"/>
            </w:pPr>
            <w:r>
              <w:rPr>
                <w:color w:val="000000"/>
                <w:kern w:val="0"/>
                <w:sz w:val="24"/>
                <w:szCs w:val="24"/>
              </w:rPr>
              <w:t>天信4A</w:t>
            </w:r>
          </w:p>
        </w:tc>
        <w:tc>
          <w:tcPr>
            <w:vAlign w:val="center"/>
          </w:tcPr>
          <w:p>
            <w:pPr>
              <w:jc w:val="right"/>
            </w:pPr>
            <w:r>
              <w:rPr>
                <w:color w:val="000000"/>
                <w:kern w:val="0"/>
                <w:sz w:val="24"/>
                <w:szCs w:val="24"/>
              </w:rPr>
              <w:t>200,000</w:t>
            </w:r>
          </w:p>
        </w:tc>
        <w:tc>
          <w:tcPr>
            <w:vAlign w:val="center"/>
          </w:tcPr>
          <w:p>
            <w:pPr>
              <w:jc w:val="right"/>
            </w:pPr>
            <w:r>
              <w:rPr>
                <w:color w:val="000000"/>
                <w:kern w:val="0"/>
                <w:sz w:val="24"/>
                <w:szCs w:val="24"/>
              </w:rPr>
              <w:t>20,046,000.00</w:t>
            </w:r>
          </w:p>
        </w:tc>
        <w:tc>
          <w:tcPr>
            <w:vAlign w:val="center"/>
          </w:tcPr>
          <w:p>
            <w:pPr>
              <w:jc w:val="right"/>
            </w:pPr>
            <w:r>
              <w:rPr>
                <w:color w:val="000000"/>
                <w:kern w:val="0"/>
                <w:sz w:val="24"/>
                <w:szCs w:val="24"/>
              </w:rPr>
              <w:t>1.49</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138221</w:t>
            </w:r>
          </w:p>
        </w:tc>
        <w:tc>
          <w:tcPr>
            <w:vAlign w:val="center"/>
          </w:tcPr>
          <w:p>
            <w:pPr>
              <w:jc w:val="center"/>
            </w:pPr>
            <w:r>
              <w:rPr>
                <w:color w:val="000000"/>
                <w:kern w:val="0"/>
                <w:sz w:val="24"/>
                <w:szCs w:val="24"/>
              </w:rPr>
              <w:t>绿金6A1</w:t>
            </w:r>
          </w:p>
        </w:tc>
        <w:tc>
          <w:tcPr>
            <w:vAlign w:val="center"/>
          </w:tcPr>
          <w:p>
            <w:pPr>
              <w:jc w:val="right"/>
            </w:pPr>
            <w:r>
              <w:rPr>
                <w:color w:val="000000"/>
                <w:kern w:val="0"/>
                <w:sz w:val="24"/>
                <w:szCs w:val="24"/>
              </w:rPr>
              <w:t>100,000</w:t>
            </w:r>
          </w:p>
        </w:tc>
        <w:tc>
          <w:tcPr>
            <w:vAlign w:val="center"/>
          </w:tcPr>
          <w:p>
            <w:pPr>
              <w:jc w:val="right"/>
            </w:pPr>
            <w:r>
              <w:rPr>
                <w:color w:val="000000"/>
                <w:kern w:val="0"/>
                <w:sz w:val="24"/>
                <w:szCs w:val="24"/>
              </w:rPr>
              <w:t>10,063,000.00</w:t>
            </w:r>
          </w:p>
        </w:tc>
        <w:tc>
          <w:tcPr>
            <w:vAlign w:val="center"/>
          </w:tcPr>
          <w:p>
            <w:pPr>
              <w:jc w:val="right"/>
            </w:pPr>
            <w:r>
              <w:rPr>
                <w:color w:val="000000"/>
                <w:kern w:val="0"/>
                <w:sz w:val="24"/>
                <w:szCs w:val="24"/>
              </w:rPr>
              <w:t>0.75</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168047</w:t>
            </w:r>
          </w:p>
        </w:tc>
        <w:tc>
          <w:tcPr>
            <w:vAlign w:val="center"/>
          </w:tcPr>
          <w:p>
            <w:pPr>
              <w:jc w:val="center"/>
            </w:pPr>
            <w:r>
              <w:rPr>
                <w:color w:val="000000"/>
                <w:kern w:val="0"/>
                <w:sz w:val="24"/>
                <w:szCs w:val="24"/>
              </w:rPr>
              <w:t>远海租42</w:t>
            </w:r>
          </w:p>
        </w:tc>
        <w:tc>
          <w:tcPr>
            <w:vAlign w:val="center"/>
          </w:tcPr>
          <w:p>
            <w:pPr>
              <w:jc w:val="right"/>
            </w:pPr>
            <w:r>
              <w:rPr>
                <w:color w:val="000000"/>
                <w:kern w:val="0"/>
                <w:sz w:val="24"/>
                <w:szCs w:val="24"/>
              </w:rPr>
              <w:t>100,000</w:t>
            </w:r>
          </w:p>
        </w:tc>
        <w:tc>
          <w:tcPr>
            <w:vAlign w:val="center"/>
          </w:tcPr>
          <w:p>
            <w:pPr>
              <w:jc w:val="right"/>
            </w:pPr>
            <w:r>
              <w:rPr>
                <w:color w:val="000000"/>
                <w:kern w:val="0"/>
                <w:sz w:val="24"/>
                <w:szCs w:val="24"/>
              </w:rPr>
              <w:t>9,999,000.00</w:t>
            </w:r>
          </w:p>
        </w:tc>
        <w:tc>
          <w:tcPr>
            <w:vAlign w:val="center"/>
          </w:tcPr>
          <w:p>
            <w:pPr>
              <w:jc w:val="right"/>
            </w:pPr>
            <w:r>
              <w:rPr>
                <w:color w:val="000000"/>
                <w:kern w:val="0"/>
                <w:sz w:val="24"/>
                <w:szCs w:val="24"/>
              </w:rPr>
              <w:t>0.74</w:t>
            </w:r>
          </w:p>
        </w:tc>
      </w:tr>
    </w:tbl>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2019年8月7日，江西省交通建设工程质量监督管理局对中国建筑股份有限公司违反交通法规的行为罚款五万元。2019年9月18日，深圳市住房和建设局对中国建筑股份有限公司违反《中华人民共和国安全生产法》第三十八条第一款“生产经营单位应当建立健全生产安全事故隐患排查治理制度，采取技术、管理措施，及时发现并消除事故隐患，事故隐患排查治理情况应当如实记录，并向从业人员通报”的行为罚款50000元。2019年11月4日，国家税务总局北京市海淀区税务局对中国建筑股份有限公司未依法履行职责的行为进行罚款。2020年3月19日，西安市人力资源和社会保障局依据《西安市农民工工资保障办法》第二十三条第一项，对中国建筑股份有限公司“未按本办法规定预存农民工工资支付保证金”的行为罚款10000元。2020年5月7日，江西省交通建设工程质量监督管理局对中国建筑股份有限公司 “中国建筑股份有限公司井冈山航电枢纽工程项目A1合同段从事电焊作业的陈子高未按照国家有关规定经专门的安全作业培训取得相应特种作业资格”的行为罚款2万元。</w:t>
      </w:r>
    </w:p>
    <w:p>
      <w:pPr>
        <w:spacing w:line="360" w:lineRule="auto"/>
        <w:rPr>
          <w:rFonts w:ascii="宋体" w:hAnsi="宋体"/>
          <w:color w:val="000000"/>
          <w:sz w:val="24"/>
          <w:szCs w:val="24"/>
        </w:rPr>
      </w:pPr>
      <w:r>
        <w:rPr>
          <w:rFonts w:ascii="宋体" w:hAnsi="宋体"/>
          <w:color w:val="000000"/>
          <w:sz w:val="24"/>
          <w:szCs w:val="24"/>
        </w:rPr>
        <w:t>本基金投资20中建MTN001的投资决策程序符合公司投资制度的规定。</w:t>
      </w:r>
    </w:p>
    <w:p>
      <w:pPr>
        <w:spacing w:line="360" w:lineRule="auto"/>
        <w:rPr>
          <w:rFonts w:ascii="宋体" w:hAnsi="宋体"/>
          <w:color w:val="000000"/>
          <w:sz w:val="24"/>
          <w:szCs w:val="24"/>
        </w:rPr>
      </w:pPr>
      <w:r>
        <w:rPr>
          <w:rFonts w:ascii="宋体" w:hAnsi="宋体"/>
          <w:color w:val="000000"/>
          <w:sz w:val="24"/>
          <w:szCs w:val="24"/>
        </w:rPr>
        <w:t>除20中建MTN001外，本基金投资的前十名证券的发行主体本期没有出现被监管部门立案调查，或在报告编制日前一年内受到公开谴责、处罚的情形。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本基金本报告期没有投资股票，因此不存在投资的前十名股票超出基金合同规定的备选股票库情况。</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19,009.04</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43,634,607.90</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37,500.00</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43,691,116.94</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本基金本报告期末未持有股票。</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1,249,121,371.59</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1,249,121,371.59</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本报告期内基金管理人未持有本基金份额。</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1.中国证监会核准易方达永旭添利定期开放债券型证券投资基金募集的文件；</w:t>
      </w:r>
    </w:p>
    <w:p>
      <w:pPr>
        <w:spacing w:line="360" w:lineRule="auto"/>
        <w:ind w:firstLine="480" w:firstLineChars="200"/>
        <w:rPr>
          <w:color w:val="000000"/>
          <w:sz w:val="24"/>
          <w:szCs w:val="24"/>
        </w:rPr>
      </w:pPr>
      <w:r>
        <w:rPr>
          <w:color w:val="000000"/>
          <w:sz w:val="24"/>
          <w:szCs w:val="24"/>
        </w:rPr>
        <w:t>2.《易方达永旭添利定期开放债券型证券投资基金基金合同》；</w:t>
      </w:r>
    </w:p>
    <w:p>
      <w:pPr>
        <w:spacing w:line="360" w:lineRule="auto"/>
        <w:ind w:firstLine="480" w:firstLineChars="200"/>
        <w:rPr>
          <w:color w:val="000000"/>
          <w:sz w:val="24"/>
          <w:szCs w:val="24"/>
        </w:rPr>
      </w:pPr>
      <w:r>
        <w:rPr>
          <w:color w:val="000000"/>
          <w:sz w:val="24"/>
          <w:szCs w:val="24"/>
        </w:rPr>
        <w:t>3.《易方达永旭添利定期开放债券型证券投资基金托管协议》；</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4.基金管理人业务资格批件、营业执照。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易方达永旭添利定期开放债券型证券投资基金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