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397616" w:rsidRPr="008277FF" w:rsidRDefault="00397616" w:rsidP="00397616">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F22F00">
      <w:pPr>
        <w:autoSpaceDE w:val="0"/>
        <w:autoSpaceDN w:val="0"/>
        <w:adjustRightInd w:val="0"/>
        <w:spacing w:line="360" w:lineRule="auto"/>
        <w:jc w:val="left"/>
        <w:rPr>
          <w:rFonts w:asciiTheme="minorEastAsia" w:eastAsiaTheme="minorEastAsia" w:hAnsiTheme="minorEastAsia" w:cs="Arial"/>
          <w:color w:val="000000" w:themeColor="text1"/>
          <w:kern w:val="0"/>
          <w:sz w:val="24"/>
        </w:rPr>
      </w:pP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易方达黄金主题证券投资基金（LOF）</w:t>
      </w:r>
    </w:p>
    <w:p w:rsidR="00F22F00" w:rsidRPr="008277FF" w:rsidRDefault="00F22F00" w:rsidP="00506D57">
      <w:pPr>
        <w:spacing w:line="360" w:lineRule="auto"/>
        <w:jc w:val="center"/>
        <w:rPr>
          <w:rFonts w:asciiTheme="minorEastAsia" w:eastAsiaTheme="minorEastAsia" w:hAnsiTheme="minorEastAsia"/>
          <w:b/>
          <w:color w:val="000000" w:themeColor="text1"/>
          <w:sz w:val="36"/>
          <w:szCs w:val="36"/>
        </w:rPr>
      </w:pPr>
      <w:r w:rsidRPr="008277FF">
        <w:rPr>
          <w:rFonts w:asciiTheme="minorEastAsia" w:eastAsiaTheme="minorEastAsia" w:hAnsiTheme="minorEastAsia" w:hint="eastAsia"/>
          <w:b/>
          <w:color w:val="000000" w:themeColor="text1"/>
          <w:sz w:val="36"/>
          <w:szCs w:val="36"/>
        </w:rPr>
        <w:t>2020年第2季度报告</w:t>
      </w:r>
    </w:p>
    <w:p w:rsidR="00397616" w:rsidRPr="008277FF" w:rsidRDefault="00623556" w:rsidP="00506D57">
      <w:pPr>
        <w:spacing w:line="360" w:lineRule="auto"/>
        <w:jc w:val="center"/>
        <w:rPr>
          <w:rFonts w:asciiTheme="minorEastAsia" w:eastAsiaTheme="minorEastAsia" w:hAnsiTheme="minorEastAsia"/>
          <w:b/>
          <w:color w:val="000000" w:themeColor="text1"/>
          <w:sz w:val="24"/>
        </w:rPr>
      </w:pPr>
      <w:r w:rsidRPr="008277FF">
        <w:rPr>
          <w:rFonts w:asciiTheme="minorEastAsia" w:eastAsiaTheme="minorEastAsia" w:hAnsiTheme="minorEastAsia"/>
          <w:b/>
          <w:color w:val="000000" w:themeColor="text1"/>
          <w:sz w:val="24"/>
        </w:rPr>
        <w:t>2020年6月30日</w:t>
      </w: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397616">
      <w:pPr>
        <w:spacing w:line="360" w:lineRule="auto"/>
        <w:jc w:val="center"/>
        <w:rPr>
          <w:rFonts w:asciiTheme="minorEastAsia" w:eastAsiaTheme="minorEastAsia" w:hAnsiTheme="minorEastAsia"/>
          <w:b/>
          <w:color w:val="000000" w:themeColor="text1"/>
          <w:sz w:val="24"/>
        </w:rPr>
      </w:pPr>
    </w:p>
    <w:p w:rsidR="00397616" w:rsidRPr="008277FF" w:rsidRDefault="00397616" w:rsidP="00826B12">
      <w:pPr>
        <w:spacing w:line="288" w:lineRule="auto"/>
        <w:ind w:firstLineChars="900" w:firstLine="2168"/>
        <w:rPr>
          <w:rFonts w:asciiTheme="minorEastAsia" w:eastAsiaTheme="minorEastAsia" w:hAnsiTheme="minorEastAsia"/>
          <w:b/>
          <w:color w:val="000000" w:themeColor="text1"/>
          <w:sz w:val="24"/>
        </w:rPr>
      </w:pP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基金管理人：</w:t>
      </w:r>
      <w:r w:rsidRPr="008277FF">
        <w:rPr>
          <w:rFonts w:asciiTheme="minorEastAsia" w:eastAsiaTheme="minorEastAsia" w:hAnsiTheme="minorEastAsia"/>
          <w:b/>
          <w:color w:val="000000" w:themeColor="text1"/>
          <w:sz w:val="24"/>
        </w:rPr>
        <w:t>易方达基金管理有限公司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pPr>
      <w:r w:rsidRPr="008277FF">
        <w:rPr>
          <w:rFonts w:asciiTheme="minorEastAsia" w:eastAsiaTheme="minorEastAsia" w:hAnsiTheme="minorEastAsia" w:hint="eastAsia"/>
          <w:b/>
          <w:color w:val="000000" w:themeColor="text1"/>
          <w:sz w:val="24"/>
        </w:rPr>
        <w:t>基金托管人：</w:t>
      </w:r>
      <w:r w:rsidRPr="008277FF">
        <w:rPr>
          <w:rFonts w:asciiTheme="minorEastAsia" w:eastAsiaTheme="minorEastAsia" w:hAnsiTheme="minorEastAsia"/>
          <w:b/>
          <w:color w:val="000000" w:themeColor="text1"/>
          <w:sz w:val="24"/>
        </w:rPr>
        <w:t>中国农业银行股份有限公司</w:t>
      </w:r>
    </w:p>
    <w:p w:rsidR="007D1292" w:rsidRPr="008277FF" w:rsidRDefault="007D1292" w:rsidP="00506D57">
      <w:pPr>
        <w:spacing w:line="360" w:lineRule="auto"/>
        <w:ind w:firstLineChars="900" w:firstLine="2168"/>
        <w:rPr>
          <w:rFonts w:asciiTheme="minorEastAsia" w:eastAsiaTheme="minorEastAsia" w:hAnsiTheme="minorEastAsia"/>
          <w:b/>
          <w:color w:val="000000" w:themeColor="text1"/>
          <w:sz w:val="24"/>
        </w:rPr>
        <w:sectPr w:rsidR="007D1292" w:rsidRPr="008277FF" w:rsidSect="00B918B8">
          <w:headerReference w:type="default" r:id="rId7"/>
          <w:footerReference w:type="default" r:id="rId8"/>
          <w:pgSz w:w="11926" w:h="15840"/>
          <w:pgMar w:top="1418" w:right="1418" w:bottom="851" w:left="1418" w:header="851" w:footer="992" w:gutter="0"/>
          <w:cols w:space="720"/>
          <w:noEndnote/>
        </w:sectPr>
      </w:pPr>
      <w:r w:rsidRPr="008277FF">
        <w:rPr>
          <w:rFonts w:asciiTheme="minorEastAsia" w:eastAsiaTheme="minorEastAsia" w:hAnsiTheme="minorEastAsia" w:hint="eastAsia"/>
          <w:b/>
          <w:color w:val="000000" w:themeColor="text1"/>
          <w:sz w:val="24"/>
        </w:rPr>
        <w:t>报告送出日期：</w:t>
      </w:r>
      <w:r w:rsidR="00CB44DE" w:rsidRPr="008277FF">
        <w:rPr>
          <w:rFonts w:asciiTheme="minorEastAsia" w:eastAsiaTheme="minorEastAsia" w:hAnsiTheme="minorEastAsia"/>
          <w:b/>
          <w:color w:val="000000" w:themeColor="text1"/>
          <w:sz w:val="24"/>
        </w:rPr>
        <w:t>二〇二〇年七月二十一日</w:t>
      </w:r>
    </w:p>
    <w:p w:rsidR="0076518F" w:rsidRPr="00A67563" w:rsidRDefault="0076518F" w:rsidP="00775284">
      <w:pPr>
        <w:pStyle w:val="1"/>
        <w:spacing w:beforeLines="100" w:before="312" w:afterLines="100" w:after="312" w:line="360" w:lineRule="auto"/>
        <w:jc w:val="center"/>
        <w:rPr>
          <w:b w:val="0"/>
          <w:color w:val="000000" w:themeColor="text1"/>
          <w:kern w:val="0"/>
          <w:sz w:val="24"/>
          <w:szCs w:val="24"/>
        </w:rPr>
      </w:pPr>
      <w:r w:rsidRPr="00A67563">
        <w:rPr>
          <w:color w:val="000000" w:themeColor="text1"/>
          <w:kern w:val="0"/>
          <w:sz w:val="24"/>
          <w:szCs w:val="24"/>
        </w:rPr>
        <w:lastRenderedPageBreak/>
        <w:t xml:space="preserve">§1  </w:t>
      </w:r>
      <w:r w:rsidRPr="00A67563">
        <w:rPr>
          <w:color w:val="000000" w:themeColor="text1"/>
          <w:kern w:val="0"/>
          <w:sz w:val="24"/>
          <w:szCs w:val="24"/>
        </w:rPr>
        <w:t>重要提示</w:t>
      </w:r>
    </w:p>
    <w:p w:rsidR="00791EEA" w:rsidRDefault="00E10952">
      <w:pPr>
        <w:spacing w:line="360" w:lineRule="auto"/>
        <w:ind w:firstLineChars="200" w:firstLine="480"/>
        <w:rPr>
          <w:color w:val="000000" w:themeColor="text1"/>
          <w:sz w:val="24"/>
        </w:rPr>
      </w:pPr>
      <w:r>
        <w:rPr>
          <w:color w:val="000000" w:themeColor="text1"/>
          <w:sz w:val="24"/>
        </w:rPr>
        <w:t>基金管理人的董事会及董事保证本报告所载资料不存在虚假记载、误导性陈述或重大遗漏，并对其内容的真实性、准确性和完整性承担个别及连带责任。</w:t>
      </w:r>
      <w:r>
        <w:rPr>
          <w:color w:val="000000" w:themeColor="text1"/>
          <w:sz w:val="24"/>
        </w:rPr>
        <w:t xml:space="preserve"> </w:t>
      </w:r>
    </w:p>
    <w:p w:rsidR="00791EEA" w:rsidRDefault="00E10952">
      <w:pPr>
        <w:spacing w:line="360" w:lineRule="auto"/>
        <w:ind w:firstLineChars="200" w:firstLine="480"/>
        <w:rPr>
          <w:color w:val="000000" w:themeColor="text1"/>
          <w:sz w:val="24"/>
        </w:rPr>
      </w:pPr>
      <w:r>
        <w:rPr>
          <w:color w:val="000000" w:themeColor="text1"/>
          <w:sz w:val="24"/>
        </w:rPr>
        <w:t>基金托管人中国农业银行股份有限公司根据本基金合同规定，于</w:t>
      </w:r>
      <w:r>
        <w:rPr>
          <w:color w:val="000000" w:themeColor="text1"/>
          <w:sz w:val="24"/>
        </w:rPr>
        <w:t>2020</w:t>
      </w:r>
      <w:r>
        <w:rPr>
          <w:color w:val="000000" w:themeColor="text1"/>
          <w:sz w:val="24"/>
        </w:rPr>
        <w:t>年</w:t>
      </w:r>
      <w:r>
        <w:rPr>
          <w:color w:val="000000" w:themeColor="text1"/>
          <w:sz w:val="24"/>
        </w:rPr>
        <w:t>7</w:t>
      </w:r>
      <w:r>
        <w:rPr>
          <w:color w:val="000000" w:themeColor="text1"/>
          <w:sz w:val="24"/>
        </w:rPr>
        <w:t>月</w:t>
      </w:r>
      <w:r>
        <w:rPr>
          <w:color w:val="000000" w:themeColor="text1"/>
          <w:sz w:val="24"/>
        </w:rPr>
        <w:t>17</w:t>
      </w:r>
      <w:r>
        <w:rPr>
          <w:color w:val="000000" w:themeColor="text1"/>
          <w:sz w:val="24"/>
        </w:rPr>
        <w:t>日复核了本报告中的财务指标、净值表现和投资组合报告等内容，保证复核内容不存在虚假记载、误导性陈述或者重大遗漏。</w:t>
      </w:r>
      <w:r>
        <w:rPr>
          <w:color w:val="000000" w:themeColor="text1"/>
          <w:sz w:val="24"/>
        </w:rPr>
        <w:t xml:space="preserve"> </w:t>
      </w:r>
    </w:p>
    <w:p w:rsidR="00791EEA" w:rsidRDefault="00E10952">
      <w:pPr>
        <w:spacing w:line="360" w:lineRule="auto"/>
        <w:ind w:firstLineChars="200" w:firstLine="480"/>
        <w:rPr>
          <w:color w:val="000000" w:themeColor="text1"/>
          <w:sz w:val="24"/>
        </w:rPr>
      </w:pPr>
      <w:r>
        <w:rPr>
          <w:color w:val="000000" w:themeColor="text1"/>
          <w:sz w:val="24"/>
        </w:rPr>
        <w:t>基金管理人承诺以诚实信用、勤勉尽责的原则管理和运用基金资产，但不保证基金一定盈利。</w:t>
      </w:r>
      <w:r>
        <w:rPr>
          <w:color w:val="000000" w:themeColor="text1"/>
          <w:sz w:val="24"/>
        </w:rPr>
        <w:t xml:space="preserve"> </w:t>
      </w:r>
    </w:p>
    <w:p w:rsidR="00791EEA" w:rsidRDefault="00E10952">
      <w:pPr>
        <w:spacing w:line="360" w:lineRule="auto"/>
        <w:ind w:firstLineChars="200" w:firstLine="480"/>
        <w:rPr>
          <w:color w:val="000000" w:themeColor="text1"/>
          <w:sz w:val="24"/>
        </w:rPr>
      </w:pPr>
      <w:r>
        <w:rPr>
          <w:color w:val="000000" w:themeColor="text1"/>
          <w:sz w:val="24"/>
        </w:rPr>
        <w:t>基金的过往业绩并不代表其未来表现。投资有风险，投资者在作出投资决策前应仔细阅读本基金的招募说明书。</w:t>
      </w:r>
      <w:r>
        <w:rPr>
          <w:color w:val="000000" w:themeColor="text1"/>
          <w:sz w:val="24"/>
        </w:rPr>
        <w:t xml:space="preserve"> </w:t>
      </w:r>
    </w:p>
    <w:p w:rsidR="00791EEA" w:rsidRDefault="00E10952">
      <w:pPr>
        <w:spacing w:line="360" w:lineRule="auto"/>
        <w:ind w:firstLineChars="200" w:firstLine="480"/>
        <w:rPr>
          <w:color w:val="000000" w:themeColor="text1"/>
          <w:sz w:val="24"/>
        </w:rPr>
      </w:pPr>
      <w:r>
        <w:rPr>
          <w:color w:val="000000" w:themeColor="text1"/>
          <w:sz w:val="24"/>
        </w:rPr>
        <w:t>本报告中财务资料未经审计。</w:t>
      </w:r>
    </w:p>
    <w:p w:rsidR="007D1292" w:rsidRPr="00A67563" w:rsidRDefault="007D1292" w:rsidP="006669C9">
      <w:pPr>
        <w:spacing w:line="360" w:lineRule="auto"/>
        <w:ind w:firstLineChars="200" w:firstLine="480"/>
        <w:rPr>
          <w:color w:val="000000" w:themeColor="text1"/>
          <w:sz w:val="24"/>
        </w:rPr>
      </w:pPr>
      <w:r w:rsidRPr="00A67563">
        <w:rPr>
          <w:color w:val="000000" w:themeColor="text1"/>
          <w:sz w:val="24"/>
        </w:rPr>
        <w:t>本报告期自</w:t>
      </w: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日起至</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日止。</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§2  </w:t>
      </w:r>
      <w:r w:rsidRPr="00A67563">
        <w:rPr>
          <w:color w:val="000000" w:themeColor="text1"/>
          <w:kern w:val="0"/>
          <w:sz w:val="24"/>
          <w:szCs w:val="24"/>
        </w:rPr>
        <w:t>基金产品概况</w:t>
      </w:r>
    </w:p>
    <w:tbl>
      <w:tblPr>
        <w:tblW w:w="84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0"/>
        <w:gridCol w:w="2780"/>
        <w:gridCol w:w="2663"/>
      </w:tblGrid>
      <w:tr w:rsidR="008277FF" w:rsidRPr="00A67563" w:rsidTr="003376D5">
        <w:tc>
          <w:tcPr>
            <w:tcW w:w="2980" w:type="dxa"/>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基金简称</w:t>
            </w:r>
          </w:p>
        </w:tc>
        <w:tc>
          <w:tcPr>
            <w:tcW w:w="5443" w:type="dxa"/>
            <w:gridSpan w:val="2"/>
            <w:vAlign w:val="center"/>
          </w:tcPr>
          <w:p w:rsidR="00363E15" w:rsidRPr="00A67563" w:rsidRDefault="00363E15" w:rsidP="003376D5">
            <w:pPr>
              <w:adjustRightInd w:val="0"/>
              <w:spacing w:before="29" w:line="360" w:lineRule="auto"/>
              <w:ind w:left="17"/>
              <w:rPr>
                <w:color w:val="000000" w:themeColor="text1"/>
                <w:kern w:val="0"/>
                <w:sz w:val="24"/>
              </w:rPr>
            </w:pPr>
            <w:r w:rsidRPr="00A67563">
              <w:rPr>
                <w:color w:val="000000" w:themeColor="text1"/>
                <w:kern w:val="0"/>
                <w:sz w:val="24"/>
              </w:rPr>
              <w:t>易方达黄金主题（</w:t>
            </w:r>
            <w:r w:rsidRPr="00A67563">
              <w:rPr>
                <w:color w:val="000000" w:themeColor="text1"/>
                <w:kern w:val="0"/>
                <w:sz w:val="24"/>
              </w:rPr>
              <w:t>QDII-LOF-FOF</w:t>
            </w:r>
            <w:r w:rsidRPr="00A67563">
              <w:rPr>
                <w:color w:val="000000" w:themeColor="text1"/>
                <w:kern w:val="0"/>
                <w:sz w:val="24"/>
              </w:rPr>
              <w:t>）</w:t>
            </w:r>
          </w:p>
        </w:tc>
      </w:tr>
      <w:tr w:rsidR="008277FF" w:rsidRPr="00A67563" w:rsidTr="003376D5">
        <w:tc>
          <w:tcPr>
            <w:tcW w:w="2980" w:type="dxa"/>
            <w:vAlign w:val="center"/>
          </w:tcPr>
          <w:p w:rsidR="00584F63" w:rsidRPr="00A67563" w:rsidRDefault="00584F63" w:rsidP="003376D5">
            <w:pPr>
              <w:rPr>
                <w:color w:val="000000" w:themeColor="text1"/>
                <w:sz w:val="24"/>
              </w:rPr>
            </w:pPr>
            <w:r w:rsidRPr="00A67563">
              <w:rPr>
                <w:color w:val="000000" w:themeColor="text1"/>
                <w:sz w:val="24"/>
              </w:rPr>
              <w:t>场内简称</w:t>
            </w:r>
          </w:p>
        </w:tc>
        <w:tc>
          <w:tcPr>
            <w:tcW w:w="5443" w:type="dxa"/>
            <w:gridSpan w:val="2"/>
            <w:vAlign w:val="center"/>
          </w:tcPr>
          <w:p w:rsidR="00584F63" w:rsidRPr="00A67563" w:rsidRDefault="00584F63" w:rsidP="003376D5">
            <w:pPr>
              <w:rPr>
                <w:color w:val="000000" w:themeColor="text1"/>
                <w:sz w:val="24"/>
              </w:rPr>
            </w:pPr>
            <w:r w:rsidRPr="00A67563">
              <w:rPr>
                <w:color w:val="000000" w:themeColor="text1"/>
                <w:sz w:val="24"/>
              </w:rPr>
              <w:t>易基黄金</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基金主代码</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161116</w:t>
            </w:r>
          </w:p>
        </w:tc>
      </w:tr>
      <w:tr w:rsidR="008277FF" w:rsidRPr="00A67563" w:rsidTr="003376D5">
        <w:tc>
          <w:tcPr>
            <w:tcW w:w="2980" w:type="dxa"/>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交易代码</w:t>
            </w:r>
          </w:p>
        </w:tc>
        <w:tc>
          <w:tcPr>
            <w:tcW w:w="5443" w:type="dxa"/>
            <w:gridSpan w:val="2"/>
            <w:vAlign w:val="center"/>
          </w:tcPr>
          <w:p w:rsidR="005837E4" w:rsidRPr="00A67563" w:rsidRDefault="005837E4" w:rsidP="003376D5">
            <w:pPr>
              <w:adjustRightInd w:val="0"/>
              <w:spacing w:before="29" w:line="360" w:lineRule="auto"/>
              <w:ind w:left="17"/>
              <w:rPr>
                <w:color w:val="000000" w:themeColor="text1"/>
                <w:kern w:val="0"/>
                <w:sz w:val="24"/>
              </w:rPr>
            </w:pPr>
            <w:r w:rsidRPr="00A67563">
              <w:rPr>
                <w:color w:val="000000" w:themeColor="text1"/>
                <w:kern w:val="0"/>
                <w:sz w:val="24"/>
              </w:rPr>
              <w:t>161116</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基金运作方式</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契约型、上市开放式（</w:t>
            </w:r>
            <w:r w:rsidRPr="00A67563">
              <w:rPr>
                <w:color w:val="000000" w:themeColor="text1"/>
                <w:kern w:val="0"/>
                <w:sz w:val="24"/>
              </w:rPr>
              <w:t>LOF</w:t>
            </w:r>
            <w:r w:rsidRPr="00A67563">
              <w:rPr>
                <w:color w:val="000000" w:themeColor="text1"/>
                <w:kern w:val="0"/>
                <w:sz w:val="24"/>
              </w:rPr>
              <w:t>）</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基金合同生效日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kern w:val="0"/>
                <w:sz w:val="24"/>
              </w:rPr>
            </w:pPr>
            <w:r w:rsidRPr="00A67563">
              <w:rPr>
                <w:color w:val="000000" w:themeColor="text1"/>
                <w:kern w:val="0"/>
                <w:sz w:val="24"/>
              </w:rPr>
              <w:t>2011</w:t>
            </w:r>
            <w:r w:rsidRPr="00A67563">
              <w:rPr>
                <w:color w:val="000000" w:themeColor="text1"/>
                <w:kern w:val="0"/>
                <w:sz w:val="24"/>
              </w:rPr>
              <w:t>年</w:t>
            </w:r>
            <w:r w:rsidRPr="00A67563">
              <w:rPr>
                <w:color w:val="000000" w:themeColor="text1"/>
                <w:kern w:val="0"/>
                <w:sz w:val="24"/>
              </w:rPr>
              <w:t>5</w:t>
            </w:r>
            <w:r w:rsidRPr="00A67563">
              <w:rPr>
                <w:color w:val="000000" w:themeColor="text1"/>
                <w:kern w:val="0"/>
                <w:sz w:val="24"/>
              </w:rPr>
              <w:t>月</w:t>
            </w:r>
            <w:r w:rsidRPr="00A67563">
              <w:rPr>
                <w:color w:val="000000" w:themeColor="text1"/>
                <w:kern w:val="0"/>
                <w:sz w:val="24"/>
              </w:rPr>
              <w:t>6</w:t>
            </w:r>
            <w:r w:rsidRPr="00A67563">
              <w:rPr>
                <w:color w:val="000000" w:themeColor="text1"/>
                <w:kern w:val="0"/>
                <w:sz w:val="24"/>
              </w:rPr>
              <w:t>日</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报告期末基金份额总额</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316,627,490.94</w:t>
            </w:r>
            <w:r w:rsidRPr="00A67563">
              <w:rPr>
                <w:color w:val="000000" w:themeColor="text1"/>
                <w:kern w:val="0"/>
                <w:sz w:val="24"/>
              </w:rPr>
              <w:t>份</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投资目标</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本基金追求基金资产的长期稳定增值。</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投资策略</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本基金主要通过对国际黄金价格中长期趋势的判断，深入研究黄金价格趋势、黄金采掘企业盈利和估值水平变化，以及考察其他品种的风险收益特征的基础上，进行黄金</w:t>
            </w:r>
            <w:r w:rsidRPr="00A67563">
              <w:rPr>
                <w:color w:val="000000" w:themeColor="text1"/>
                <w:kern w:val="0"/>
                <w:sz w:val="24"/>
              </w:rPr>
              <w:t>ETF</w:t>
            </w:r>
            <w:r w:rsidRPr="00A67563">
              <w:rPr>
                <w:color w:val="000000" w:themeColor="text1"/>
                <w:kern w:val="0"/>
                <w:sz w:val="24"/>
              </w:rPr>
              <w:t>、黄金股票类资产以及其他资产的比例配置。</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lastRenderedPageBreak/>
              <w:t>业绩比较基准</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以伦敦黄金市场下午定盘价计价的国际现货黄金（经汇率折算）</w:t>
            </w:r>
            <w:r w:rsidRPr="00A67563">
              <w:rPr>
                <w:color w:val="000000" w:themeColor="text1"/>
                <w:kern w:val="0"/>
                <w:sz w:val="24"/>
              </w:rPr>
              <w:t>×50%+MSCI</w:t>
            </w:r>
            <w:r w:rsidRPr="00A67563">
              <w:rPr>
                <w:color w:val="000000" w:themeColor="text1"/>
                <w:kern w:val="0"/>
                <w:sz w:val="24"/>
              </w:rPr>
              <w:t>全球金矿股指数（</w:t>
            </w:r>
            <w:r w:rsidRPr="00A67563">
              <w:rPr>
                <w:color w:val="000000" w:themeColor="text1"/>
                <w:kern w:val="0"/>
                <w:sz w:val="24"/>
              </w:rPr>
              <w:t>MSCI ACWI SELECT GOLD MINERS IMI INDEX</w:t>
            </w:r>
            <w:r w:rsidRPr="00A67563">
              <w:rPr>
                <w:color w:val="000000" w:themeColor="text1"/>
                <w:kern w:val="0"/>
                <w:sz w:val="24"/>
              </w:rPr>
              <w:t>）</w:t>
            </w:r>
            <w:r w:rsidRPr="00A67563">
              <w:rPr>
                <w:color w:val="000000" w:themeColor="text1"/>
                <w:kern w:val="0"/>
                <w:sz w:val="24"/>
              </w:rPr>
              <w:t>×50%</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风险收益特征</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管理人根据对黄金价格走势的判断，在黄金基金、黄金采掘公司股票及其他资产之间进行主动配置。本基金的表现与黄金价格相关性较高，本基金是预期收益与预期风险较高的基金品种。此外，本基金主要投资海外，存在汇率风险。</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基金管理人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易方达基金管理有限公司</w:t>
            </w:r>
          </w:p>
        </w:tc>
      </w:tr>
      <w:tr w:rsidR="008277FF" w:rsidRPr="00A67563" w:rsidTr="003376D5">
        <w:tc>
          <w:tcPr>
            <w:tcW w:w="2980" w:type="dxa"/>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基金托管人</w:t>
            </w:r>
          </w:p>
        </w:tc>
        <w:tc>
          <w:tcPr>
            <w:tcW w:w="5443" w:type="dxa"/>
            <w:gridSpan w:val="2"/>
            <w:vAlign w:val="center"/>
          </w:tcPr>
          <w:p w:rsidR="0066726C" w:rsidRPr="00A67563" w:rsidRDefault="0066726C" w:rsidP="003376D5">
            <w:pPr>
              <w:adjustRightInd w:val="0"/>
              <w:spacing w:before="29" w:line="360" w:lineRule="auto"/>
              <w:ind w:left="17"/>
              <w:rPr>
                <w:color w:val="000000" w:themeColor="text1"/>
                <w:sz w:val="24"/>
              </w:rPr>
            </w:pPr>
            <w:r w:rsidRPr="00A67563">
              <w:rPr>
                <w:color w:val="000000" w:themeColor="text1"/>
                <w:kern w:val="0"/>
                <w:sz w:val="24"/>
              </w:rPr>
              <w:t>中国农业银行股份有限公司</w:t>
            </w:r>
          </w:p>
        </w:tc>
      </w:tr>
      <w:tr w:rsidR="007F4CD3" w:rsidRPr="00A67563" w:rsidTr="003376D5">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境外投资顾问</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sidR="00801249">
              <w:rPr>
                <w:rFonts w:hint="eastAsia"/>
                <w:color w:val="000000" w:themeColor="text1"/>
                <w:kern w:val="0"/>
                <w:sz w:val="24"/>
              </w:rPr>
              <w:t>：</w:t>
            </w:r>
            <w:r w:rsidRPr="00A67563">
              <w:rPr>
                <w:color w:val="000000" w:themeColor="text1"/>
                <w:kern w:val="0"/>
                <w:sz w:val="24"/>
              </w:rPr>
              <w:t>无</w:t>
            </w:r>
          </w:p>
        </w:tc>
      </w:tr>
      <w:tr w:rsidR="007F4CD3" w:rsidRPr="00A67563" w:rsidTr="003376D5">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Pr>
                <w:rFonts w:hint="eastAsia"/>
                <w:color w:val="000000" w:themeColor="text1"/>
                <w:kern w:val="0"/>
                <w:sz w:val="24"/>
              </w:rPr>
              <w:t>中文</w:t>
            </w:r>
            <w:r>
              <w:rPr>
                <w:color w:val="000000" w:themeColor="text1"/>
                <w:kern w:val="0"/>
                <w:sz w:val="24"/>
              </w:rPr>
              <w:t>名称</w:t>
            </w:r>
            <w:r>
              <w:rPr>
                <w:rFonts w:hint="eastAsia"/>
                <w:color w:val="000000" w:themeColor="text1"/>
                <w:kern w:val="0"/>
                <w:sz w:val="24"/>
              </w:rPr>
              <w:t>：</w:t>
            </w:r>
            <w:r w:rsidRPr="00A67563">
              <w:rPr>
                <w:color w:val="000000" w:themeColor="text1"/>
                <w:kern w:val="0"/>
                <w:sz w:val="24"/>
              </w:rPr>
              <w:t>无</w:t>
            </w:r>
          </w:p>
        </w:tc>
      </w:tr>
      <w:tr w:rsidR="007F4CD3" w:rsidRPr="00A67563" w:rsidTr="0031104D">
        <w:tc>
          <w:tcPr>
            <w:tcW w:w="2980" w:type="dxa"/>
            <w:vMerge w:val="restart"/>
            <w:vAlign w:val="center"/>
          </w:tcPr>
          <w:p w:rsidR="007F4CD3" w:rsidRPr="00A67563" w:rsidRDefault="007F4CD3" w:rsidP="007F4CD3">
            <w:pPr>
              <w:adjustRightInd w:val="0"/>
              <w:spacing w:before="29" w:line="360" w:lineRule="auto"/>
              <w:ind w:left="17"/>
              <w:rPr>
                <w:color w:val="000000" w:themeColor="text1"/>
                <w:kern w:val="0"/>
                <w:sz w:val="24"/>
              </w:rPr>
            </w:pPr>
            <w:r w:rsidRPr="00A67563">
              <w:rPr>
                <w:color w:val="000000" w:themeColor="text1"/>
                <w:kern w:val="0"/>
                <w:sz w:val="24"/>
              </w:rPr>
              <w:t>境外资产托管人</w:t>
            </w: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英文名称</w:t>
            </w:r>
            <w:r>
              <w:rPr>
                <w:rFonts w:hint="eastAsia"/>
                <w:color w:val="000000" w:themeColor="text1"/>
                <w:kern w:val="0"/>
                <w:sz w:val="24"/>
              </w:rPr>
              <w:t>：</w:t>
            </w:r>
            <w:r w:rsidRPr="00A67563">
              <w:rPr>
                <w:color w:val="000000" w:themeColor="text1"/>
                <w:kern w:val="0"/>
                <w:sz w:val="24"/>
              </w:rPr>
              <w:t>The Hongkong and Shanghai Banking Corporation Limited</w:t>
            </w:r>
          </w:p>
        </w:tc>
      </w:tr>
      <w:tr w:rsidR="007F4CD3" w:rsidRPr="00A67563" w:rsidTr="0031104D">
        <w:tc>
          <w:tcPr>
            <w:tcW w:w="2980" w:type="dxa"/>
            <w:vMerge/>
            <w:vAlign w:val="center"/>
          </w:tcPr>
          <w:p w:rsidR="007F4CD3" w:rsidRPr="00A67563" w:rsidRDefault="007F4CD3" w:rsidP="007F4CD3">
            <w:pPr>
              <w:adjustRightInd w:val="0"/>
              <w:spacing w:before="29" w:line="360" w:lineRule="auto"/>
              <w:ind w:left="17"/>
              <w:rPr>
                <w:color w:val="000000" w:themeColor="text1"/>
                <w:kern w:val="0"/>
                <w:sz w:val="24"/>
              </w:rPr>
            </w:pPr>
          </w:p>
        </w:tc>
        <w:tc>
          <w:tcPr>
            <w:tcW w:w="5443" w:type="dxa"/>
            <w:gridSpan w:val="2"/>
            <w:vAlign w:val="center"/>
          </w:tcPr>
          <w:p w:rsidR="007F4CD3" w:rsidRPr="00A67563" w:rsidRDefault="007F4CD3" w:rsidP="00801249">
            <w:pPr>
              <w:adjustRightInd w:val="0"/>
              <w:spacing w:before="29" w:line="360" w:lineRule="auto"/>
              <w:ind w:left="17"/>
              <w:jc w:val="left"/>
              <w:rPr>
                <w:color w:val="000000" w:themeColor="text1"/>
                <w:kern w:val="0"/>
                <w:sz w:val="24"/>
              </w:rPr>
            </w:pPr>
            <w:r w:rsidRPr="00A67563">
              <w:rPr>
                <w:color w:val="000000" w:themeColor="text1"/>
                <w:kern w:val="0"/>
                <w:sz w:val="24"/>
              </w:rPr>
              <w:t>中文名称</w:t>
            </w:r>
            <w:r>
              <w:rPr>
                <w:rFonts w:hint="eastAsia"/>
                <w:color w:val="000000" w:themeColor="text1"/>
                <w:kern w:val="0"/>
                <w:sz w:val="24"/>
              </w:rPr>
              <w:t>：</w:t>
            </w:r>
            <w:r w:rsidRPr="00A67563">
              <w:rPr>
                <w:color w:val="000000" w:themeColor="text1"/>
                <w:kern w:val="0"/>
                <w:sz w:val="24"/>
              </w:rPr>
              <w:t>香港上海汇丰银行有限公司</w:t>
            </w:r>
          </w:p>
        </w:tc>
      </w:tr>
      <w:tr w:rsidR="00070DD6" w:rsidRPr="00A67563" w:rsidTr="00845292">
        <w:tblPrEx>
          <w:tblLook w:val="0000" w:firstRow="0" w:lastRow="0" w:firstColumn="0" w:lastColumn="0" w:noHBand="0" w:noVBand="0"/>
        </w:tblPrEx>
        <w:trPr>
          <w:trHeight w:val="866"/>
        </w:trPr>
        <w:tc>
          <w:tcPr>
            <w:tcW w:w="2980" w:type="dxa"/>
          </w:tcPr>
          <w:p w:rsidR="00070DD6" w:rsidRPr="00A67563" w:rsidRDefault="00070DD6" w:rsidP="00845292">
            <w:pPr>
              <w:adjustRightInd w:val="0"/>
              <w:spacing w:before="29" w:line="360" w:lineRule="auto"/>
              <w:ind w:left="17"/>
              <w:jc w:val="left"/>
              <w:rPr>
                <w:color w:val="000000" w:themeColor="text1"/>
                <w:kern w:val="0"/>
                <w:sz w:val="24"/>
              </w:rPr>
            </w:pPr>
            <w:r w:rsidRPr="00A67563">
              <w:rPr>
                <w:color w:val="000000" w:themeColor="text1"/>
                <w:sz w:val="24"/>
              </w:rPr>
              <w:t>下属分级基金的基金简称</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070DD6" w:rsidRPr="00A67563" w:rsidTr="00845292">
        <w:tblPrEx>
          <w:tblLook w:val="0000" w:firstRow="0" w:lastRow="0" w:firstColumn="0" w:lastColumn="0" w:noHBand="0" w:noVBand="0"/>
        </w:tblPrEx>
        <w:trPr>
          <w:trHeight w:val="628"/>
        </w:trPr>
        <w:tc>
          <w:tcPr>
            <w:tcW w:w="2980" w:type="dxa"/>
          </w:tcPr>
          <w:p w:rsidR="00070DD6" w:rsidRPr="00A67563" w:rsidRDefault="00070DD6" w:rsidP="00845292">
            <w:pPr>
              <w:adjustRightInd w:val="0"/>
              <w:spacing w:before="29" w:line="360" w:lineRule="auto"/>
              <w:ind w:left="17"/>
              <w:jc w:val="left"/>
              <w:rPr>
                <w:color w:val="000000" w:themeColor="text1"/>
                <w:sz w:val="24"/>
              </w:rPr>
            </w:pPr>
            <w:r w:rsidRPr="00A67563">
              <w:rPr>
                <w:color w:val="000000" w:themeColor="text1"/>
                <w:sz w:val="24"/>
              </w:rPr>
              <w:t>下属分级基金的交易代码</w:t>
            </w:r>
          </w:p>
        </w:tc>
        <w:tc>
          <w:tcPr>
            <w:tcW w:w="2780" w:type="dxa"/>
            <w:vAlign w:val="center"/>
          </w:tcPr>
          <w:p w:rsidR="00070DD6" w:rsidRPr="00A67563" w:rsidRDefault="00070DD6" w:rsidP="00845292">
            <w:pPr>
              <w:jc w:val="left"/>
              <w:rPr>
                <w:color w:val="000000" w:themeColor="text1"/>
                <w:sz w:val="24"/>
              </w:rPr>
            </w:pPr>
            <w:r w:rsidRPr="00A67563">
              <w:rPr>
                <w:color w:val="000000" w:themeColor="text1"/>
                <w:sz w:val="24"/>
              </w:rPr>
              <w:t>161116</w:t>
            </w:r>
          </w:p>
        </w:tc>
        <w:tc>
          <w:tcPr>
            <w:tcW w:w="2663" w:type="dxa"/>
            <w:vAlign w:val="center"/>
          </w:tcPr>
          <w:p w:rsidR="00070DD6" w:rsidRPr="00A67563" w:rsidRDefault="00070DD6" w:rsidP="00845292">
            <w:pPr>
              <w:jc w:val="left"/>
              <w:rPr>
                <w:color w:val="000000" w:themeColor="text1"/>
                <w:sz w:val="24"/>
              </w:rPr>
            </w:pPr>
            <w:r w:rsidRPr="00A67563">
              <w:rPr>
                <w:color w:val="000000" w:themeColor="text1"/>
                <w:sz w:val="24"/>
              </w:rPr>
              <w:t>007976</w:t>
            </w:r>
          </w:p>
        </w:tc>
      </w:tr>
      <w:tr w:rsidR="00322A5E" w:rsidRPr="00A67563" w:rsidTr="0031104D">
        <w:tblPrEx>
          <w:tblLook w:val="0000" w:firstRow="0" w:lastRow="0" w:firstColumn="0" w:lastColumn="0" w:noHBand="0" w:noVBand="0"/>
        </w:tblPrEx>
        <w:trPr>
          <w:trHeight w:val="555"/>
        </w:trPr>
        <w:tc>
          <w:tcPr>
            <w:tcW w:w="2980" w:type="dxa"/>
            <w:vAlign w:val="center"/>
          </w:tcPr>
          <w:p w:rsidR="00322A5E" w:rsidRPr="00A67563" w:rsidRDefault="00322A5E" w:rsidP="00845292">
            <w:pPr>
              <w:adjustRightInd w:val="0"/>
              <w:spacing w:before="29" w:line="360" w:lineRule="auto"/>
              <w:ind w:left="17"/>
              <w:rPr>
                <w:color w:val="000000" w:themeColor="text1"/>
                <w:sz w:val="24"/>
              </w:rPr>
            </w:pPr>
            <w:r w:rsidRPr="00A67563">
              <w:rPr>
                <w:color w:val="000000" w:themeColor="text1"/>
                <w:sz w:val="24"/>
              </w:rPr>
              <w:t>报告期末下属分级基金的份额总额</w:t>
            </w:r>
          </w:p>
        </w:tc>
        <w:tc>
          <w:tcPr>
            <w:tcW w:w="2780" w:type="dxa"/>
            <w:vAlign w:val="center"/>
          </w:tcPr>
          <w:p w:rsidR="00322A5E" w:rsidRPr="00A67563" w:rsidRDefault="00322A5E" w:rsidP="00845292">
            <w:pPr>
              <w:rPr>
                <w:color w:val="000000" w:themeColor="text1"/>
                <w:sz w:val="24"/>
              </w:rPr>
            </w:pPr>
            <w:r w:rsidRPr="00A67563">
              <w:rPr>
                <w:color w:val="000000" w:themeColor="text1"/>
                <w:sz w:val="24"/>
              </w:rPr>
              <w:t>315,318,972.14</w:t>
            </w:r>
            <w:r w:rsidRPr="00A67563">
              <w:rPr>
                <w:color w:val="000000" w:themeColor="text1"/>
                <w:kern w:val="0"/>
                <w:sz w:val="24"/>
              </w:rPr>
              <w:t>份</w:t>
            </w:r>
          </w:p>
        </w:tc>
        <w:tc>
          <w:tcPr>
            <w:tcW w:w="2663" w:type="dxa"/>
            <w:vAlign w:val="center"/>
          </w:tcPr>
          <w:p w:rsidR="00322A5E" w:rsidRPr="00A67563" w:rsidRDefault="00322A5E" w:rsidP="00845292">
            <w:pPr>
              <w:rPr>
                <w:color w:val="000000" w:themeColor="text1"/>
                <w:sz w:val="24"/>
              </w:rPr>
            </w:pPr>
            <w:r w:rsidRPr="00A67563">
              <w:rPr>
                <w:color w:val="000000" w:themeColor="text1"/>
                <w:sz w:val="24"/>
              </w:rPr>
              <w:t>1,308,518.80</w:t>
            </w:r>
            <w:r w:rsidRPr="00A67563">
              <w:rPr>
                <w:color w:val="000000" w:themeColor="text1"/>
                <w:kern w:val="0"/>
                <w:sz w:val="24"/>
              </w:rPr>
              <w:t>份</w:t>
            </w:r>
          </w:p>
        </w:tc>
      </w:tr>
    </w:tbl>
    <w:p w:rsidR="00791EEA" w:rsidRDefault="00E10952">
      <w:pPr>
        <w:autoSpaceDE w:val="0"/>
        <w:autoSpaceDN w:val="0"/>
        <w:adjustRightInd w:val="0"/>
        <w:spacing w:line="360" w:lineRule="auto"/>
        <w:ind w:firstLineChars="200" w:firstLine="480"/>
        <w:jc w:val="left"/>
        <w:rPr>
          <w:color w:val="000000" w:themeColor="text1"/>
          <w:sz w:val="24"/>
        </w:rPr>
      </w:pPr>
      <w:r>
        <w:rPr>
          <w:color w:val="000000" w:themeColor="text1"/>
          <w:sz w:val="24"/>
        </w:rPr>
        <w:t>注：</w:t>
      </w:r>
      <w:r>
        <w:rPr>
          <w:color w:val="000000" w:themeColor="text1"/>
          <w:sz w:val="24"/>
        </w:rPr>
        <w:t>1.</w:t>
      </w:r>
      <w:r>
        <w:rPr>
          <w:color w:val="000000" w:themeColor="text1"/>
          <w:sz w:val="24"/>
        </w:rPr>
        <w:t>根据</w:t>
      </w:r>
      <w:r>
        <w:rPr>
          <w:color w:val="000000" w:themeColor="text1"/>
          <w:sz w:val="24"/>
        </w:rPr>
        <w:t>2019</w:t>
      </w:r>
      <w:r>
        <w:rPr>
          <w:color w:val="000000" w:themeColor="text1"/>
          <w:sz w:val="24"/>
        </w:rPr>
        <w:t>年</w:t>
      </w:r>
      <w:r>
        <w:rPr>
          <w:color w:val="000000" w:themeColor="text1"/>
          <w:sz w:val="24"/>
        </w:rPr>
        <w:t>10</w:t>
      </w:r>
      <w:r>
        <w:rPr>
          <w:color w:val="000000" w:themeColor="text1"/>
          <w:sz w:val="24"/>
        </w:rPr>
        <w:t>月</w:t>
      </w:r>
      <w:r>
        <w:rPr>
          <w:color w:val="000000" w:themeColor="text1"/>
          <w:sz w:val="24"/>
        </w:rPr>
        <w:t>10</w:t>
      </w:r>
      <w:r>
        <w:rPr>
          <w:color w:val="000000" w:themeColor="text1"/>
          <w:sz w:val="24"/>
        </w:rPr>
        <w:t>日发布的《易方达基金管理有限公司关于易方达黄金主题证券投资基金（</w:t>
      </w:r>
      <w:r>
        <w:rPr>
          <w:color w:val="000000" w:themeColor="text1"/>
          <w:sz w:val="24"/>
        </w:rPr>
        <w:t>LOF</w:t>
      </w:r>
      <w:r>
        <w:rPr>
          <w:color w:val="000000" w:themeColor="text1"/>
          <w:sz w:val="24"/>
        </w:rPr>
        <w:t>）增设基金份额、修改业绩比较基准并修订基金合同、托管协议部分条款的公告》，经与基金托管人协商一致并报中国证监会备案，易方达基金管理有限公司对易方达黄金主题证券投资基金（</w:t>
      </w:r>
      <w:r>
        <w:rPr>
          <w:color w:val="000000" w:themeColor="text1"/>
          <w:sz w:val="24"/>
        </w:rPr>
        <w:t>LOF</w:t>
      </w:r>
      <w:r>
        <w:rPr>
          <w:color w:val="000000" w:themeColor="text1"/>
          <w:sz w:val="24"/>
        </w:rPr>
        <w:t>）增设了基金份额，并对基金业绩比较基准进行了修改。易方达黄金主题证券投资基金（</w:t>
      </w:r>
      <w:r>
        <w:rPr>
          <w:color w:val="000000" w:themeColor="text1"/>
          <w:sz w:val="24"/>
        </w:rPr>
        <w:t>LOF</w:t>
      </w:r>
      <w:r>
        <w:rPr>
          <w:color w:val="000000" w:themeColor="text1"/>
          <w:sz w:val="24"/>
        </w:rPr>
        <w:t>）增设基金份额，并对基金业绩比较基准进行修改事宜，以及基金合同、托管协议的修订自</w:t>
      </w:r>
      <w:r>
        <w:rPr>
          <w:color w:val="000000" w:themeColor="text1"/>
          <w:sz w:val="24"/>
        </w:rPr>
        <w:t>2019</w:t>
      </w:r>
      <w:r>
        <w:rPr>
          <w:color w:val="000000" w:themeColor="text1"/>
          <w:sz w:val="24"/>
        </w:rPr>
        <w:t>年</w:t>
      </w:r>
      <w:r>
        <w:rPr>
          <w:color w:val="000000" w:themeColor="text1"/>
          <w:sz w:val="24"/>
        </w:rPr>
        <w:t>10</w:t>
      </w:r>
      <w:r>
        <w:rPr>
          <w:color w:val="000000" w:themeColor="text1"/>
          <w:sz w:val="24"/>
        </w:rPr>
        <w:t>月</w:t>
      </w:r>
      <w:r>
        <w:rPr>
          <w:color w:val="000000" w:themeColor="text1"/>
          <w:sz w:val="24"/>
        </w:rPr>
        <w:t>11</w:t>
      </w:r>
      <w:r>
        <w:rPr>
          <w:color w:val="000000" w:themeColor="text1"/>
          <w:sz w:val="24"/>
        </w:rPr>
        <w:t>日起生效，具体详见公告。</w:t>
      </w:r>
    </w:p>
    <w:p w:rsidR="00363E15" w:rsidRPr="00A67563" w:rsidRDefault="00363E15"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lastRenderedPageBreak/>
        <w:t xml:space="preserve">2. </w:t>
      </w:r>
      <w:r w:rsidRPr="00A67563">
        <w:rPr>
          <w:color w:val="000000" w:themeColor="text1"/>
          <w:sz w:val="24"/>
        </w:rPr>
        <w:t>本基金</w:t>
      </w:r>
      <w:r w:rsidRPr="00A67563">
        <w:rPr>
          <w:color w:val="000000" w:themeColor="text1"/>
          <w:sz w:val="24"/>
        </w:rPr>
        <w:t>A</w:t>
      </w:r>
      <w:r w:rsidRPr="00A67563">
        <w:rPr>
          <w:color w:val="000000" w:themeColor="text1"/>
          <w:sz w:val="24"/>
        </w:rPr>
        <w:t>类人民币份额由原易方达黄金主题（</w:t>
      </w:r>
      <w:r w:rsidRPr="00A67563">
        <w:rPr>
          <w:color w:val="000000" w:themeColor="text1"/>
          <w:sz w:val="24"/>
        </w:rPr>
        <w:t>QDII-LOF-FOF</w:t>
      </w:r>
      <w:r w:rsidRPr="00A67563">
        <w:rPr>
          <w:color w:val="000000" w:themeColor="text1"/>
          <w:sz w:val="24"/>
        </w:rPr>
        <w:t>）变更而来，并于</w:t>
      </w:r>
      <w:r w:rsidRPr="00A67563">
        <w:rPr>
          <w:color w:val="000000" w:themeColor="text1"/>
          <w:sz w:val="24"/>
        </w:rPr>
        <w:t>2019</w:t>
      </w:r>
      <w:r w:rsidRPr="00A67563">
        <w:rPr>
          <w:color w:val="000000" w:themeColor="text1"/>
          <w:sz w:val="24"/>
        </w:rPr>
        <w:t>年</w:t>
      </w:r>
      <w:r w:rsidRPr="00A67563">
        <w:rPr>
          <w:color w:val="000000" w:themeColor="text1"/>
          <w:sz w:val="24"/>
        </w:rPr>
        <w:t>10</w:t>
      </w:r>
      <w:r w:rsidRPr="00A67563">
        <w:rPr>
          <w:color w:val="000000" w:themeColor="text1"/>
          <w:sz w:val="24"/>
        </w:rPr>
        <w:t>月</w:t>
      </w:r>
      <w:r w:rsidRPr="00A67563">
        <w:rPr>
          <w:color w:val="000000" w:themeColor="text1"/>
          <w:sz w:val="24"/>
        </w:rPr>
        <w:t>11</w:t>
      </w:r>
      <w:r w:rsidRPr="00A67563">
        <w:rPr>
          <w:color w:val="000000" w:themeColor="text1"/>
          <w:sz w:val="24"/>
        </w:rPr>
        <w:t>日起增设</w:t>
      </w:r>
      <w:r w:rsidRPr="00A67563">
        <w:rPr>
          <w:color w:val="000000" w:themeColor="text1"/>
          <w:sz w:val="24"/>
        </w:rPr>
        <w:t>A</w:t>
      </w:r>
      <w:r w:rsidRPr="00A67563">
        <w:rPr>
          <w:color w:val="000000" w:themeColor="text1"/>
          <w:sz w:val="24"/>
        </w:rPr>
        <w:t>类美元份额、</w:t>
      </w:r>
      <w:r w:rsidRPr="00A67563">
        <w:rPr>
          <w:color w:val="000000" w:themeColor="text1"/>
          <w:sz w:val="24"/>
        </w:rPr>
        <w:t>C</w:t>
      </w:r>
      <w:r w:rsidRPr="00A67563">
        <w:rPr>
          <w:color w:val="000000" w:themeColor="text1"/>
          <w:sz w:val="24"/>
        </w:rPr>
        <w:t>类人民币份额及</w:t>
      </w:r>
      <w:r w:rsidRPr="00A67563">
        <w:rPr>
          <w:color w:val="000000" w:themeColor="text1"/>
          <w:sz w:val="24"/>
        </w:rPr>
        <w:t>C</w:t>
      </w:r>
      <w:r w:rsidRPr="00A67563">
        <w:rPr>
          <w:color w:val="000000" w:themeColor="text1"/>
          <w:sz w:val="24"/>
        </w:rPr>
        <w:t>类美元份额，份额首次确认日为</w:t>
      </w:r>
      <w:r w:rsidRPr="00A67563">
        <w:rPr>
          <w:color w:val="000000" w:themeColor="text1"/>
          <w:sz w:val="24"/>
        </w:rPr>
        <w:t>2019</w:t>
      </w:r>
      <w:r w:rsidRPr="00A67563">
        <w:rPr>
          <w:color w:val="000000" w:themeColor="text1"/>
          <w:sz w:val="24"/>
        </w:rPr>
        <w:t>年</w:t>
      </w:r>
      <w:r w:rsidRPr="00A67563">
        <w:rPr>
          <w:color w:val="000000" w:themeColor="text1"/>
          <w:sz w:val="24"/>
        </w:rPr>
        <w:t>10</w:t>
      </w:r>
      <w:r w:rsidRPr="00A67563">
        <w:rPr>
          <w:color w:val="000000" w:themeColor="text1"/>
          <w:sz w:val="24"/>
        </w:rPr>
        <w:t>月</w:t>
      </w:r>
      <w:r w:rsidRPr="00A67563">
        <w:rPr>
          <w:color w:val="000000" w:themeColor="text1"/>
          <w:sz w:val="24"/>
        </w:rPr>
        <w:t>14</w:t>
      </w:r>
      <w:r w:rsidRPr="00A67563">
        <w:rPr>
          <w:color w:val="000000" w:themeColor="text1"/>
          <w:sz w:val="24"/>
        </w:rPr>
        <w:t>日。易方达黄金主题（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r w:rsidRPr="00A67563">
        <w:rPr>
          <w:color w:val="000000" w:themeColor="text1"/>
          <w:sz w:val="24"/>
        </w:rPr>
        <w:t>含</w:t>
      </w:r>
      <w:r w:rsidRPr="00A67563">
        <w:rPr>
          <w:color w:val="000000" w:themeColor="text1"/>
          <w:sz w:val="24"/>
        </w:rPr>
        <w:t>A</w:t>
      </w:r>
      <w:r w:rsidRPr="00A67563">
        <w:rPr>
          <w:color w:val="000000" w:themeColor="text1"/>
          <w:sz w:val="24"/>
        </w:rPr>
        <w:t>类人民币份额（份额代码：</w:t>
      </w:r>
      <w:r w:rsidRPr="00A67563">
        <w:rPr>
          <w:color w:val="000000" w:themeColor="text1"/>
          <w:sz w:val="24"/>
        </w:rPr>
        <w:t>161116</w:t>
      </w:r>
      <w:r w:rsidRPr="00A67563">
        <w:rPr>
          <w:color w:val="000000" w:themeColor="text1"/>
          <w:sz w:val="24"/>
        </w:rPr>
        <w:t>）及</w:t>
      </w:r>
      <w:r w:rsidRPr="00A67563">
        <w:rPr>
          <w:color w:val="000000" w:themeColor="text1"/>
          <w:sz w:val="24"/>
        </w:rPr>
        <w:t>A</w:t>
      </w:r>
      <w:r w:rsidRPr="00A67563">
        <w:rPr>
          <w:color w:val="000000" w:themeColor="text1"/>
          <w:sz w:val="24"/>
        </w:rPr>
        <w:t>类美元现汇份额（份额代码：</w:t>
      </w:r>
      <w:r w:rsidRPr="00A67563">
        <w:rPr>
          <w:color w:val="000000" w:themeColor="text1"/>
          <w:sz w:val="24"/>
        </w:rPr>
        <w:t>007977</w:t>
      </w:r>
      <w:r w:rsidRPr="00A67563">
        <w:rPr>
          <w:color w:val="000000" w:themeColor="text1"/>
          <w:sz w:val="24"/>
        </w:rPr>
        <w:t>），交易代码仅列示</w:t>
      </w:r>
      <w:r w:rsidRPr="00A67563">
        <w:rPr>
          <w:color w:val="000000" w:themeColor="text1"/>
          <w:sz w:val="24"/>
        </w:rPr>
        <w:t>A</w:t>
      </w:r>
      <w:r w:rsidRPr="00A67563">
        <w:rPr>
          <w:color w:val="000000" w:themeColor="text1"/>
          <w:sz w:val="24"/>
        </w:rPr>
        <w:t>类人民币份额代码；易方达黄金主题（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r w:rsidRPr="00A67563">
        <w:rPr>
          <w:color w:val="000000" w:themeColor="text1"/>
          <w:sz w:val="24"/>
        </w:rPr>
        <w:t>含</w:t>
      </w:r>
      <w:r w:rsidRPr="00A67563">
        <w:rPr>
          <w:color w:val="000000" w:themeColor="text1"/>
          <w:sz w:val="24"/>
        </w:rPr>
        <w:t>C</w:t>
      </w:r>
      <w:r w:rsidRPr="00A67563">
        <w:rPr>
          <w:color w:val="000000" w:themeColor="text1"/>
          <w:sz w:val="24"/>
        </w:rPr>
        <w:t>类人民币份额（份额代码：</w:t>
      </w:r>
      <w:r w:rsidRPr="00A67563">
        <w:rPr>
          <w:color w:val="000000" w:themeColor="text1"/>
          <w:sz w:val="24"/>
        </w:rPr>
        <w:t>007976</w:t>
      </w:r>
      <w:r w:rsidRPr="00A67563">
        <w:rPr>
          <w:color w:val="000000" w:themeColor="text1"/>
          <w:sz w:val="24"/>
        </w:rPr>
        <w:t>）及</w:t>
      </w:r>
      <w:r w:rsidRPr="00A67563">
        <w:rPr>
          <w:color w:val="000000" w:themeColor="text1"/>
          <w:sz w:val="24"/>
        </w:rPr>
        <w:t>C</w:t>
      </w:r>
      <w:r w:rsidRPr="00A67563">
        <w:rPr>
          <w:color w:val="000000" w:themeColor="text1"/>
          <w:sz w:val="24"/>
        </w:rPr>
        <w:t>类美元现汇份额（份额代码：</w:t>
      </w:r>
      <w:r w:rsidRPr="00A67563">
        <w:rPr>
          <w:color w:val="000000" w:themeColor="text1"/>
          <w:sz w:val="24"/>
        </w:rPr>
        <w:t>007978</w:t>
      </w:r>
      <w:r w:rsidRPr="00A67563">
        <w:rPr>
          <w:color w:val="000000" w:themeColor="text1"/>
          <w:sz w:val="24"/>
        </w:rPr>
        <w:t>），交易代码仅列示</w:t>
      </w:r>
      <w:r w:rsidRPr="00A67563">
        <w:rPr>
          <w:color w:val="000000" w:themeColor="text1"/>
          <w:sz w:val="24"/>
        </w:rPr>
        <w:t>C</w:t>
      </w:r>
      <w:r w:rsidRPr="00A67563">
        <w:rPr>
          <w:color w:val="000000" w:themeColor="text1"/>
          <w:sz w:val="24"/>
        </w:rPr>
        <w:t>类人民币份额代码。</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§3  </w:t>
      </w:r>
      <w:r w:rsidRPr="00A67563">
        <w:rPr>
          <w:color w:val="000000" w:themeColor="text1"/>
          <w:kern w:val="0"/>
          <w:sz w:val="24"/>
          <w:szCs w:val="24"/>
        </w:rPr>
        <w:t>主要财务指标和基金净值表现</w:t>
      </w:r>
    </w:p>
    <w:p w:rsidR="0076518F" w:rsidRPr="00A67563" w:rsidRDefault="0076518F" w:rsidP="00506D57">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3.1 </w:t>
      </w:r>
      <w:r w:rsidRPr="00A67563">
        <w:rPr>
          <w:b/>
          <w:color w:val="000000" w:themeColor="text1"/>
          <w:kern w:val="0"/>
          <w:sz w:val="24"/>
        </w:rPr>
        <w:t>主要财务指标</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2481"/>
        <w:gridCol w:w="2481"/>
      </w:tblGrid>
      <w:tr w:rsidR="00225051" w:rsidRPr="00A67563" w:rsidTr="00845292">
        <w:tc>
          <w:tcPr>
            <w:tcW w:w="3402" w:type="dxa"/>
            <w:vMerge w:val="restart"/>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主要财务指标</w:t>
            </w:r>
          </w:p>
        </w:tc>
        <w:tc>
          <w:tcPr>
            <w:tcW w:w="4962" w:type="dxa"/>
            <w:gridSpan w:val="2"/>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报告期</w:t>
            </w:r>
          </w:p>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(2020</w:t>
            </w:r>
            <w:r w:rsidRPr="00A67563">
              <w:rPr>
                <w:color w:val="000000" w:themeColor="text1"/>
                <w:sz w:val="24"/>
              </w:rPr>
              <w:t>年</w:t>
            </w:r>
            <w:r w:rsidRPr="00A67563">
              <w:rPr>
                <w:color w:val="000000" w:themeColor="text1"/>
                <w:sz w:val="24"/>
              </w:rPr>
              <w:t>4</w:t>
            </w:r>
            <w:r w:rsidRPr="00A67563">
              <w:rPr>
                <w:color w:val="000000" w:themeColor="text1"/>
                <w:sz w:val="24"/>
              </w:rPr>
              <w:t>月</w:t>
            </w:r>
            <w:r w:rsidRPr="00A67563">
              <w:rPr>
                <w:color w:val="000000" w:themeColor="text1"/>
                <w:sz w:val="24"/>
              </w:rPr>
              <w:t>1</w:t>
            </w:r>
            <w:r w:rsidRPr="00A67563">
              <w:rPr>
                <w:color w:val="000000" w:themeColor="text1"/>
                <w:sz w:val="24"/>
              </w:rPr>
              <w:t>日</w:t>
            </w:r>
            <w:r w:rsidRPr="00A67563">
              <w:rPr>
                <w:color w:val="000000" w:themeColor="text1"/>
                <w:sz w:val="24"/>
              </w:rPr>
              <w:t>-2020</w:t>
            </w:r>
            <w:r w:rsidRPr="00A67563">
              <w:rPr>
                <w:color w:val="000000" w:themeColor="text1"/>
                <w:sz w:val="24"/>
              </w:rPr>
              <w:t>年</w:t>
            </w:r>
            <w:r w:rsidRPr="00A67563">
              <w:rPr>
                <w:color w:val="000000" w:themeColor="text1"/>
                <w:sz w:val="24"/>
              </w:rPr>
              <w:t>6</w:t>
            </w:r>
            <w:r w:rsidRPr="00A67563">
              <w:rPr>
                <w:color w:val="000000" w:themeColor="text1"/>
                <w:sz w:val="24"/>
              </w:rPr>
              <w:t>月</w:t>
            </w:r>
            <w:r w:rsidRPr="00A67563">
              <w:rPr>
                <w:color w:val="000000" w:themeColor="text1"/>
                <w:sz w:val="24"/>
              </w:rPr>
              <w:t>30</w:t>
            </w:r>
            <w:r w:rsidRPr="00A67563">
              <w:rPr>
                <w:color w:val="000000" w:themeColor="text1"/>
                <w:sz w:val="24"/>
              </w:rPr>
              <w:t>日</w:t>
            </w:r>
            <w:r w:rsidRPr="00A67563">
              <w:rPr>
                <w:color w:val="000000" w:themeColor="text1"/>
                <w:sz w:val="24"/>
              </w:rPr>
              <w:t>)</w:t>
            </w:r>
          </w:p>
        </w:tc>
      </w:tr>
      <w:tr w:rsidR="00225051" w:rsidRPr="00A67563" w:rsidTr="00845292">
        <w:tc>
          <w:tcPr>
            <w:tcW w:w="3402" w:type="dxa"/>
            <w:vMerge/>
            <w:vAlign w:val="center"/>
          </w:tcPr>
          <w:p w:rsidR="00225051" w:rsidRPr="00A67563" w:rsidRDefault="00225051" w:rsidP="00845292">
            <w:pPr>
              <w:adjustRightInd w:val="0"/>
              <w:spacing w:before="29" w:line="360" w:lineRule="auto"/>
              <w:ind w:left="17"/>
              <w:rPr>
                <w:color w:val="000000" w:themeColor="text1"/>
                <w:kern w:val="0"/>
                <w:sz w:val="24"/>
              </w:rPr>
            </w:pP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481" w:type="dxa"/>
            <w:vAlign w:val="center"/>
          </w:tcPr>
          <w:p w:rsidR="00225051" w:rsidRPr="00A67563" w:rsidRDefault="00225051" w:rsidP="00845292">
            <w:pPr>
              <w:adjustRightInd w:val="0"/>
              <w:spacing w:before="29" w:line="360" w:lineRule="auto"/>
              <w:ind w:left="17"/>
              <w:jc w:val="center"/>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1.</w:t>
            </w:r>
            <w:r w:rsidRPr="00A67563">
              <w:rPr>
                <w:color w:val="000000" w:themeColor="text1"/>
                <w:kern w:val="0"/>
                <w:sz w:val="24"/>
              </w:rPr>
              <w:t>本期已实现收益</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15,864,856.31</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79,579.47</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2.</w:t>
            </w:r>
            <w:r w:rsidRPr="00A67563">
              <w:rPr>
                <w:color w:val="000000" w:themeColor="text1"/>
                <w:kern w:val="0"/>
                <w:sz w:val="24"/>
              </w:rPr>
              <w:t>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72,250,077.02</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369,671.46</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3.</w:t>
            </w:r>
            <w:r w:rsidRPr="00A67563">
              <w:rPr>
                <w:color w:val="000000" w:themeColor="text1"/>
                <w:kern w:val="0"/>
                <w:sz w:val="24"/>
              </w:rPr>
              <w:t>加权平均基金份额本期利润</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0.2076</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0.2141</w:t>
            </w:r>
          </w:p>
        </w:tc>
      </w:tr>
      <w:tr w:rsidR="00225051" w:rsidRPr="00A67563" w:rsidTr="00845292">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4.</w:t>
            </w:r>
            <w:r w:rsidRPr="00A67563">
              <w:rPr>
                <w:color w:val="000000" w:themeColor="text1"/>
                <w:kern w:val="0"/>
                <w:sz w:val="24"/>
              </w:rPr>
              <w:t>期末基金资产净值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298,566,781.84</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1,238,869.06</w:t>
            </w:r>
          </w:p>
        </w:tc>
      </w:tr>
      <w:tr w:rsidR="00225051" w:rsidRPr="00A67563" w:rsidTr="00845292">
        <w:trPr>
          <w:trHeight w:val="158"/>
        </w:trPr>
        <w:tc>
          <w:tcPr>
            <w:tcW w:w="3402" w:type="dxa"/>
            <w:vAlign w:val="center"/>
          </w:tcPr>
          <w:p w:rsidR="00225051" w:rsidRPr="00A67563" w:rsidRDefault="00225051" w:rsidP="00845292">
            <w:pPr>
              <w:adjustRightInd w:val="0"/>
              <w:spacing w:before="29" w:line="360" w:lineRule="auto"/>
              <w:ind w:left="17"/>
              <w:rPr>
                <w:color w:val="000000" w:themeColor="text1"/>
                <w:kern w:val="0"/>
                <w:sz w:val="24"/>
              </w:rPr>
            </w:pPr>
            <w:r w:rsidRPr="00A67563">
              <w:rPr>
                <w:color w:val="000000" w:themeColor="text1"/>
                <w:kern w:val="0"/>
                <w:sz w:val="24"/>
              </w:rPr>
              <w:t>5.</w:t>
            </w:r>
            <w:r w:rsidRPr="00A67563">
              <w:rPr>
                <w:color w:val="000000" w:themeColor="text1"/>
                <w:kern w:val="0"/>
                <w:sz w:val="24"/>
              </w:rPr>
              <w:t>期末基金份额净值</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0.947</w:t>
            </w:r>
          </w:p>
        </w:tc>
        <w:tc>
          <w:tcPr>
            <w:tcW w:w="2481" w:type="dxa"/>
            <w:vAlign w:val="center"/>
          </w:tcPr>
          <w:p w:rsidR="00225051" w:rsidRPr="00A67563" w:rsidRDefault="00225051" w:rsidP="00845292">
            <w:pPr>
              <w:adjustRightInd w:val="0"/>
              <w:spacing w:before="29" w:line="360" w:lineRule="auto"/>
              <w:ind w:left="17"/>
              <w:jc w:val="right"/>
              <w:rPr>
                <w:color w:val="000000" w:themeColor="text1"/>
                <w:sz w:val="24"/>
              </w:rPr>
            </w:pPr>
            <w:r w:rsidRPr="00A67563">
              <w:rPr>
                <w:color w:val="000000" w:themeColor="text1"/>
                <w:sz w:val="24"/>
              </w:rPr>
              <w:t>0.947</w:t>
            </w:r>
          </w:p>
        </w:tc>
      </w:tr>
    </w:tbl>
    <w:p w:rsidR="00791EEA" w:rsidRDefault="00E10952">
      <w:pPr>
        <w:autoSpaceDE w:val="0"/>
        <w:autoSpaceDN w:val="0"/>
        <w:adjustRightInd w:val="0"/>
        <w:spacing w:line="360" w:lineRule="auto"/>
        <w:ind w:firstLineChars="200" w:firstLine="480"/>
        <w:jc w:val="left"/>
        <w:rPr>
          <w:color w:val="000000" w:themeColor="text1"/>
          <w:kern w:val="0"/>
          <w:sz w:val="24"/>
        </w:rPr>
      </w:pPr>
      <w:r>
        <w:rPr>
          <w:color w:val="000000" w:themeColor="text1"/>
          <w:sz w:val="24"/>
        </w:rPr>
        <w:t>注：</w:t>
      </w:r>
      <w:r>
        <w:rPr>
          <w:color w:val="000000" w:themeColor="text1"/>
          <w:sz w:val="24"/>
        </w:rPr>
        <w:t>1.</w:t>
      </w:r>
      <w:r>
        <w:rPr>
          <w:color w:val="000000" w:themeColor="text1"/>
          <w:sz w:val="24"/>
        </w:rPr>
        <w:t>所述基金业绩指标不包括持有人认购或交易基金的各项费用，计入费用后实际收益水平要低于所列数字。</w:t>
      </w:r>
    </w:p>
    <w:p w:rsidR="0076518F" w:rsidRPr="00A67563" w:rsidRDefault="007D1292"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2.</w:t>
      </w:r>
      <w:r w:rsidRPr="00A67563">
        <w:rPr>
          <w:color w:val="000000" w:themeColor="text1"/>
          <w:sz w:val="24"/>
        </w:rPr>
        <w:t>本期已实现收益指基金本期利息收入、投资收益、其他收入（不含公允价值变动收益）扣除相关费用后的余额，本期利润为本期已实现收益加上本期公允价值变动收益。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3.2 </w:t>
      </w:r>
      <w:r w:rsidRPr="00A67563">
        <w:rPr>
          <w:b/>
          <w:color w:val="000000" w:themeColor="text1"/>
          <w:kern w:val="0"/>
          <w:sz w:val="24"/>
        </w:rPr>
        <w:t>基金净值表现</w:t>
      </w:r>
    </w:p>
    <w:p w:rsidR="0076518F" w:rsidRPr="00A67563" w:rsidRDefault="0076518F" w:rsidP="00EC4BA3">
      <w:pPr>
        <w:autoSpaceDE w:val="0"/>
        <w:autoSpaceDN w:val="0"/>
        <w:adjustRightInd w:val="0"/>
        <w:spacing w:line="360" w:lineRule="auto"/>
        <w:jc w:val="left"/>
        <w:rPr>
          <w:b/>
          <w:color w:val="000000" w:themeColor="text1"/>
          <w:kern w:val="0"/>
          <w:sz w:val="24"/>
        </w:rPr>
      </w:pPr>
      <w:smartTag w:uri="urn:schemas-microsoft-com:office:smarttags" w:element="chsdate">
        <w:smartTagPr>
          <w:attr w:name="Year" w:val="1899"/>
          <w:attr w:name="Month" w:val="12"/>
          <w:attr w:name="Day" w:val="30"/>
          <w:attr w:name="IsLunarDate" w:val="False"/>
          <w:attr w:name="IsROCDate" w:val="False"/>
        </w:smartTagPr>
        <w:r w:rsidRPr="00A67563">
          <w:rPr>
            <w:b/>
            <w:color w:val="000000" w:themeColor="text1"/>
            <w:kern w:val="0"/>
            <w:sz w:val="24"/>
          </w:rPr>
          <w:t>3.2.1</w:t>
        </w:r>
      </w:smartTag>
      <w:r w:rsidRPr="00A67563">
        <w:rPr>
          <w:b/>
          <w:color w:val="000000" w:themeColor="text1"/>
          <w:kern w:val="0"/>
          <w:sz w:val="24"/>
        </w:rPr>
        <w:t>本报告期基金份额净值增长率及其与同期业绩比较基准收益率的比较</w:t>
      </w:r>
    </w:p>
    <w:p w:rsidR="0065601A" w:rsidRPr="00A67563" w:rsidRDefault="0065601A" w:rsidP="0065601A">
      <w:pPr>
        <w:spacing w:line="360" w:lineRule="auto"/>
        <w:rPr>
          <w:b/>
          <w:color w:val="000000" w:themeColor="text1"/>
          <w:sz w:val="24"/>
        </w:rPr>
      </w:pPr>
      <w:r w:rsidRPr="00A67563">
        <w:rPr>
          <w:b/>
          <w:color w:val="000000" w:themeColor="text1"/>
          <w:kern w:val="0"/>
          <w:sz w:val="24"/>
        </w:rPr>
        <w:t>易方达黄金主题（</w:t>
      </w:r>
      <w:r w:rsidRPr="00A67563">
        <w:rPr>
          <w:b/>
          <w:color w:val="000000" w:themeColor="text1"/>
          <w:kern w:val="0"/>
          <w:sz w:val="24"/>
        </w:rPr>
        <w:t>QDII-LOF-FOF</w:t>
      </w:r>
      <w:r w:rsidRPr="00A67563">
        <w:rPr>
          <w:b/>
          <w:color w:val="000000" w:themeColor="text1"/>
          <w:kern w:val="0"/>
          <w:sz w:val="24"/>
        </w:rPr>
        <w:t>）</w:t>
      </w:r>
      <w:r w:rsidRPr="00A67563">
        <w:rPr>
          <w:b/>
          <w:color w:val="000000" w:themeColor="text1"/>
          <w:kern w:val="0"/>
          <w:sz w:val="24"/>
        </w:rPr>
        <w:t>A</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lastRenderedPageBreak/>
              <w:t>阶段</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791EEA">
        <w:tc>
          <w:tcPr>
            <w:tcW w:w="1290" w:type="dxa"/>
            <w:vAlign w:val="center"/>
          </w:tcPr>
          <w:p w:rsidR="00791EEA" w:rsidRDefault="00E10952">
            <w:pPr>
              <w:jc w:val="left"/>
            </w:pPr>
            <w:r>
              <w:rPr>
                <w:color w:val="000000" w:themeColor="text1"/>
                <w:sz w:val="24"/>
              </w:rPr>
              <w:t>过去三个月</w:t>
            </w:r>
          </w:p>
        </w:tc>
        <w:tc>
          <w:tcPr>
            <w:tcW w:w="1291" w:type="dxa"/>
            <w:vAlign w:val="center"/>
          </w:tcPr>
          <w:p w:rsidR="00791EEA" w:rsidRDefault="00E10952">
            <w:pPr>
              <w:jc w:val="right"/>
            </w:pPr>
            <w:r>
              <w:rPr>
                <w:color w:val="000000" w:themeColor="text1"/>
                <w:sz w:val="24"/>
              </w:rPr>
              <w:t>25.93%</w:t>
            </w:r>
          </w:p>
        </w:tc>
        <w:tc>
          <w:tcPr>
            <w:tcW w:w="1291" w:type="dxa"/>
            <w:vAlign w:val="center"/>
          </w:tcPr>
          <w:p w:rsidR="00791EEA" w:rsidRDefault="00E10952">
            <w:pPr>
              <w:jc w:val="right"/>
            </w:pPr>
            <w:r>
              <w:rPr>
                <w:color w:val="000000" w:themeColor="text1"/>
                <w:sz w:val="24"/>
              </w:rPr>
              <w:t>1.46%</w:t>
            </w:r>
          </w:p>
        </w:tc>
        <w:tc>
          <w:tcPr>
            <w:tcW w:w="1291" w:type="dxa"/>
            <w:vAlign w:val="center"/>
          </w:tcPr>
          <w:p w:rsidR="00791EEA" w:rsidRDefault="00E10952">
            <w:pPr>
              <w:jc w:val="right"/>
            </w:pPr>
            <w:r>
              <w:rPr>
                <w:color w:val="000000" w:themeColor="text1"/>
                <w:sz w:val="24"/>
              </w:rPr>
              <w:t>30.55%</w:t>
            </w:r>
          </w:p>
        </w:tc>
        <w:tc>
          <w:tcPr>
            <w:tcW w:w="1291" w:type="dxa"/>
            <w:vAlign w:val="center"/>
          </w:tcPr>
          <w:p w:rsidR="00791EEA" w:rsidRDefault="00E10952">
            <w:pPr>
              <w:jc w:val="right"/>
            </w:pPr>
            <w:r>
              <w:rPr>
                <w:color w:val="000000" w:themeColor="text1"/>
                <w:sz w:val="24"/>
              </w:rPr>
              <w:t>1.71%</w:t>
            </w:r>
          </w:p>
        </w:tc>
        <w:tc>
          <w:tcPr>
            <w:tcW w:w="1291" w:type="dxa"/>
            <w:vAlign w:val="center"/>
          </w:tcPr>
          <w:p w:rsidR="00791EEA" w:rsidRDefault="00E10952">
            <w:pPr>
              <w:jc w:val="right"/>
            </w:pPr>
            <w:r>
              <w:rPr>
                <w:color w:val="000000" w:themeColor="text1"/>
                <w:sz w:val="24"/>
              </w:rPr>
              <w:t>-4.62%</w:t>
            </w:r>
          </w:p>
        </w:tc>
        <w:tc>
          <w:tcPr>
            <w:tcW w:w="1291" w:type="dxa"/>
            <w:vAlign w:val="center"/>
          </w:tcPr>
          <w:p w:rsidR="00791EEA" w:rsidRDefault="00E10952">
            <w:pPr>
              <w:jc w:val="right"/>
            </w:pPr>
            <w:r>
              <w:rPr>
                <w:color w:val="000000" w:themeColor="text1"/>
                <w:sz w:val="24"/>
              </w:rPr>
              <w:t>-0.25%</w:t>
            </w:r>
          </w:p>
        </w:tc>
      </w:tr>
      <w:tr w:rsidR="00791EEA">
        <w:tc>
          <w:tcPr>
            <w:tcW w:w="1290" w:type="dxa"/>
            <w:vAlign w:val="center"/>
          </w:tcPr>
          <w:p w:rsidR="00791EEA" w:rsidRDefault="00E10952">
            <w:pPr>
              <w:jc w:val="left"/>
            </w:pPr>
            <w:r>
              <w:rPr>
                <w:color w:val="000000" w:themeColor="text1"/>
                <w:sz w:val="24"/>
              </w:rPr>
              <w:t>过去六个月</w:t>
            </w:r>
          </w:p>
        </w:tc>
        <w:tc>
          <w:tcPr>
            <w:tcW w:w="1291" w:type="dxa"/>
            <w:vAlign w:val="center"/>
          </w:tcPr>
          <w:p w:rsidR="00791EEA" w:rsidRDefault="00E10952">
            <w:pPr>
              <w:jc w:val="right"/>
            </w:pPr>
            <w:r>
              <w:rPr>
                <w:color w:val="000000" w:themeColor="text1"/>
                <w:sz w:val="24"/>
              </w:rPr>
              <w:t>10.76%</w:t>
            </w:r>
          </w:p>
        </w:tc>
        <w:tc>
          <w:tcPr>
            <w:tcW w:w="1291" w:type="dxa"/>
            <w:vAlign w:val="center"/>
          </w:tcPr>
          <w:p w:rsidR="00791EEA" w:rsidRDefault="00E10952">
            <w:pPr>
              <w:jc w:val="right"/>
            </w:pPr>
            <w:r>
              <w:rPr>
                <w:color w:val="000000" w:themeColor="text1"/>
                <w:sz w:val="24"/>
              </w:rPr>
              <w:t>2.27%</w:t>
            </w:r>
          </w:p>
        </w:tc>
        <w:tc>
          <w:tcPr>
            <w:tcW w:w="1291" w:type="dxa"/>
            <w:vAlign w:val="center"/>
          </w:tcPr>
          <w:p w:rsidR="00791EEA" w:rsidRDefault="00E10952">
            <w:pPr>
              <w:jc w:val="right"/>
            </w:pPr>
            <w:r>
              <w:rPr>
                <w:color w:val="000000" w:themeColor="text1"/>
                <w:sz w:val="24"/>
              </w:rPr>
              <w:t>22.72%</w:t>
            </w:r>
          </w:p>
        </w:tc>
        <w:tc>
          <w:tcPr>
            <w:tcW w:w="1291" w:type="dxa"/>
            <w:vAlign w:val="center"/>
          </w:tcPr>
          <w:p w:rsidR="00791EEA" w:rsidRDefault="00E10952">
            <w:pPr>
              <w:jc w:val="right"/>
            </w:pPr>
            <w:r>
              <w:rPr>
                <w:color w:val="000000" w:themeColor="text1"/>
                <w:sz w:val="24"/>
              </w:rPr>
              <w:t>2.25%</w:t>
            </w:r>
          </w:p>
        </w:tc>
        <w:tc>
          <w:tcPr>
            <w:tcW w:w="1291" w:type="dxa"/>
            <w:vAlign w:val="center"/>
          </w:tcPr>
          <w:p w:rsidR="00791EEA" w:rsidRDefault="00E10952">
            <w:pPr>
              <w:jc w:val="right"/>
            </w:pPr>
            <w:r>
              <w:rPr>
                <w:color w:val="000000" w:themeColor="text1"/>
                <w:sz w:val="24"/>
              </w:rPr>
              <w:t>-11.96%</w:t>
            </w:r>
          </w:p>
        </w:tc>
        <w:tc>
          <w:tcPr>
            <w:tcW w:w="1291" w:type="dxa"/>
            <w:vAlign w:val="center"/>
          </w:tcPr>
          <w:p w:rsidR="00791EEA" w:rsidRDefault="00E10952">
            <w:pPr>
              <w:jc w:val="right"/>
            </w:pPr>
            <w:r>
              <w:rPr>
                <w:color w:val="000000" w:themeColor="text1"/>
                <w:sz w:val="24"/>
              </w:rPr>
              <w:t>0.02%</w:t>
            </w:r>
          </w:p>
        </w:tc>
      </w:tr>
      <w:tr w:rsidR="00791EEA">
        <w:tc>
          <w:tcPr>
            <w:tcW w:w="1290" w:type="dxa"/>
            <w:vAlign w:val="center"/>
          </w:tcPr>
          <w:p w:rsidR="00791EEA" w:rsidRDefault="00E10952">
            <w:pPr>
              <w:jc w:val="left"/>
            </w:pPr>
            <w:r>
              <w:rPr>
                <w:color w:val="000000" w:themeColor="text1"/>
                <w:sz w:val="24"/>
              </w:rPr>
              <w:t>过去一年</w:t>
            </w:r>
          </w:p>
        </w:tc>
        <w:tc>
          <w:tcPr>
            <w:tcW w:w="1291" w:type="dxa"/>
            <w:vAlign w:val="center"/>
          </w:tcPr>
          <w:p w:rsidR="00791EEA" w:rsidRDefault="00E10952">
            <w:pPr>
              <w:jc w:val="right"/>
            </w:pPr>
            <w:r>
              <w:rPr>
                <w:color w:val="000000" w:themeColor="text1"/>
                <w:sz w:val="24"/>
              </w:rPr>
              <w:t>24.61%</w:t>
            </w:r>
          </w:p>
        </w:tc>
        <w:tc>
          <w:tcPr>
            <w:tcW w:w="1291" w:type="dxa"/>
            <w:vAlign w:val="center"/>
          </w:tcPr>
          <w:p w:rsidR="00791EEA" w:rsidRDefault="00E10952">
            <w:pPr>
              <w:jc w:val="right"/>
            </w:pPr>
            <w:r>
              <w:rPr>
                <w:color w:val="000000" w:themeColor="text1"/>
                <w:sz w:val="24"/>
              </w:rPr>
              <w:t>1.87%</w:t>
            </w:r>
          </w:p>
        </w:tc>
        <w:tc>
          <w:tcPr>
            <w:tcW w:w="1291" w:type="dxa"/>
            <w:vAlign w:val="center"/>
          </w:tcPr>
          <w:p w:rsidR="00791EEA" w:rsidRDefault="00E10952">
            <w:pPr>
              <w:jc w:val="right"/>
            </w:pPr>
            <w:r>
              <w:rPr>
                <w:color w:val="000000" w:themeColor="text1"/>
                <w:sz w:val="24"/>
              </w:rPr>
              <w:t>39.34%</w:t>
            </w:r>
          </w:p>
        </w:tc>
        <w:tc>
          <w:tcPr>
            <w:tcW w:w="1291" w:type="dxa"/>
            <w:vAlign w:val="center"/>
          </w:tcPr>
          <w:p w:rsidR="00791EEA" w:rsidRDefault="00E10952">
            <w:pPr>
              <w:jc w:val="right"/>
            </w:pPr>
            <w:r>
              <w:rPr>
                <w:color w:val="000000" w:themeColor="text1"/>
                <w:sz w:val="24"/>
              </w:rPr>
              <w:t>1.72%</w:t>
            </w:r>
          </w:p>
        </w:tc>
        <w:tc>
          <w:tcPr>
            <w:tcW w:w="1291" w:type="dxa"/>
            <w:vAlign w:val="center"/>
          </w:tcPr>
          <w:p w:rsidR="00791EEA" w:rsidRDefault="00E10952">
            <w:pPr>
              <w:jc w:val="right"/>
            </w:pPr>
            <w:r>
              <w:rPr>
                <w:color w:val="000000" w:themeColor="text1"/>
                <w:sz w:val="24"/>
              </w:rPr>
              <w:t>-14.73%</w:t>
            </w:r>
          </w:p>
        </w:tc>
        <w:tc>
          <w:tcPr>
            <w:tcW w:w="1291" w:type="dxa"/>
            <w:vAlign w:val="center"/>
          </w:tcPr>
          <w:p w:rsidR="00791EEA" w:rsidRDefault="00E10952">
            <w:pPr>
              <w:jc w:val="right"/>
            </w:pPr>
            <w:r>
              <w:rPr>
                <w:color w:val="000000" w:themeColor="text1"/>
                <w:sz w:val="24"/>
              </w:rPr>
              <w:t>0.15%</w:t>
            </w:r>
          </w:p>
        </w:tc>
      </w:tr>
      <w:tr w:rsidR="00791EEA">
        <w:tc>
          <w:tcPr>
            <w:tcW w:w="1290" w:type="dxa"/>
            <w:vAlign w:val="center"/>
          </w:tcPr>
          <w:p w:rsidR="00791EEA" w:rsidRDefault="00E10952">
            <w:pPr>
              <w:jc w:val="left"/>
            </w:pPr>
            <w:r>
              <w:rPr>
                <w:color w:val="000000" w:themeColor="text1"/>
                <w:sz w:val="24"/>
              </w:rPr>
              <w:t>过去三年</w:t>
            </w:r>
          </w:p>
        </w:tc>
        <w:tc>
          <w:tcPr>
            <w:tcW w:w="1291" w:type="dxa"/>
            <w:vAlign w:val="center"/>
          </w:tcPr>
          <w:p w:rsidR="00791EEA" w:rsidRDefault="00E10952">
            <w:pPr>
              <w:jc w:val="right"/>
            </w:pPr>
            <w:r>
              <w:rPr>
                <w:color w:val="000000" w:themeColor="text1"/>
                <w:sz w:val="24"/>
              </w:rPr>
              <w:t>31.53%</w:t>
            </w:r>
          </w:p>
        </w:tc>
        <w:tc>
          <w:tcPr>
            <w:tcW w:w="1291" w:type="dxa"/>
            <w:vAlign w:val="center"/>
          </w:tcPr>
          <w:p w:rsidR="00791EEA" w:rsidRDefault="00E10952">
            <w:pPr>
              <w:jc w:val="right"/>
            </w:pPr>
            <w:r>
              <w:rPr>
                <w:color w:val="000000" w:themeColor="text1"/>
                <w:sz w:val="24"/>
              </w:rPr>
              <w:t>1.19%</w:t>
            </w:r>
          </w:p>
        </w:tc>
        <w:tc>
          <w:tcPr>
            <w:tcW w:w="1291" w:type="dxa"/>
            <w:vAlign w:val="center"/>
          </w:tcPr>
          <w:p w:rsidR="00791EEA" w:rsidRDefault="00E10952">
            <w:pPr>
              <w:jc w:val="right"/>
            </w:pPr>
            <w:r>
              <w:rPr>
                <w:color w:val="000000" w:themeColor="text1"/>
                <w:sz w:val="24"/>
              </w:rPr>
              <w:t>60.42%</w:t>
            </w:r>
          </w:p>
        </w:tc>
        <w:tc>
          <w:tcPr>
            <w:tcW w:w="1291" w:type="dxa"/>
            <w:vAlign w:val="center"/>
          </w:tcPr>
          <w:p w:rsidR="00791EEA" w:rsidRDefault="00E10952">
            <w:pPr>
              <w:jc w:val="right"/>
            </w:pPr>
            <w:r>
              <w:rPr>
                <w:color w:val="000000" w:themeColor="text1"/>
                <w:sz w:val="24"/>
              </w:rPr>
              <w:t>1.09%</w:t>
            </w:r>
          </w:p>
        </w:tc>
        <w:tc>
          <w:tcPr>
            <w:tcW w:w="1291" w:type="dxa"/>
            <w:vAlign w:val="center"/>
          </w:tcPr>
          <w:p w:rsidR="00791EEA" w:rsidRDefault="00E10952">
            <w:pPr>
              <w:jc w:val="right"/>
            </w:pPr>
            <w:r>
              <w:rPr>
                <w:color w:val="000000" w:themeColor="text1"/>
                <w:sz w:val="24"/>
              </w:rPr>
              <w:t>-28.89%</w:t>
            </w:r>
          </w:p>
        </w:tc>
        <w:tc>
          <w:tcPr>
            <w:tcW w:w="1291" w:type="dxa"/>
            <w:vAlign w:val="center"/>
          </w:tcPr>
          <w:p w:rsidR="00791EEA" w:rsidRDefault="00E10952">
            <w:pPr>
              <w:jc w:val="right"/>
            </w:pPr>
            <w:r>
              <w:rPr>
                <w:color w:val="000000" w:themeColor="text1"/>
                <w:sz w:val="24"/>
              </w:rPr>
              <w:t>0.10%</w:t>
            </w:r>
          </w:p>
        </w:tc>
      </w:tr>
      <w:tr w:rsidR="00791EEA">
        <w:tc>
          <w:tcPr>
            <w:tcW w:w="1290" w:type="dxa"/>
            <w:vAlign w:val="center"/>
          </w:tcPr>
          <w:p w:rsidR="00791EEA" w:rsidRDefault="00E10952">
            <w:pPr>
              <w:jc w:val="left"/>
            </w:pPr>
            <w:r>
              <w:rPr>
                <w:color w:val="000000" w:themeColor="text1"/>
                <w:sz w:val="24"/>
              </w:rPr>
              <w:t>过去五年</w:t>
            </w:r>
          </w:p>
        </w:tc>
        <w:tc>
          <w:tcPr>
            <w:tcW w:w="1291" w:type="dxa"/>
            <w:vAlign w:val="center"/>
          </w:tcPr>
          <w:p w:rsidR="00791EEA" w:rsidRDefault="00E10952">
            <w:pPr>
              <w:jc w:val="right"/>
            </w:pPr>
            <w:r>
              <w:rPr>
                <w:color w:val="000000" w:themeColor="text1"/>
                <w:sz w:val="24"/>
              </w:rPr>
              <w:t>49.61%</w:t>
            </w:r>
          </w:p>
        </w:tc>
        <w:tc>
          <w:tcPr>
            <w:tcW w:w="1291" w:type="dxa"/>
            <w:vAlign w:val="center"/>
          </w:tcPr>
          <w:p w:rsidR="00791EEA" w:rsidRDefault="00E10952">
            <w:pPr>
              <w:jc w:val="right"/>
            </w:pPr>
            <w:r>
              <w:rPr>
                <w:color w:val="000000" w:themeColor="text1"/>
                <w:sz w:val="24"/>
              </w:rPr>
              <w:t>1.06%</w:t>
            </w:r>
          </w:p>
        </w:tc>
        <w:tc>
          <w:tcPr>
            <w:tcW w:w="1291" w:type="dxa"/>
            <w:vAlign w:val="center"/>
          </w:tcPr>
          <w:p w:rsidR="00791EEA" w:rsidRDefault="00E10952">
            <w:pPr>
              <w:jc w:val="right"/>
            </w:pPr>
            <w:r>
              <w:rPr>
                <w:color w:val="000000" w:themeColor="text1"/>
                <w:sz w:val="24"/>
              </w:rPr>
              <w:t>85.74%</w:t>
            </w:r>
          </w:p>
        </w:tc>
        <w:tc>
          <w:tcPr>
            <w:tcW w:w="1291" w:type="dxa"/>
            <w:vAlign w:val="center"/>
          </w:tcPr>
          <w:p w:rsidR="00791EEA" w:rsidRDefault="00E10952">
            <w:pPr>
              <w:jc w:val="right"/>
            </w:pPr>
            <w:r>
              <w:rPr>
                <w:color w:val="000000" w:themeColor="text1"/>
                <w:sz w:val="24"/>
              </w:rPr>
              <w:t>1.05%</w:t>
            </w:r>
          </w:p>
        </w:tc>
        <w:tc>
          <w:tcPr>
            <w:tcW w:w="1291" w:type="dxa"/>
            <w:vAlign w:val="center"/>
          </w:tcPr>
          <w:p w:rsidR="00791EEA" w:rsidRDefault="00E10952">
            <w:pPr>
              <w:jc w:val="right"/>
            </w:pPr>
            <w:r>
              <w:rPr>
                <w:color w:val="000000" w:themeColor="text1"/>
                <w:sz w:val="24"/>
              </w:rPr>
              <w:t>-36.13%</w:t>
            </w:r>
          </w:p>
        </w:tc>
        <w:tc>
          <w:tcPr>
            <w:tcW w:w="1291" w:type="dxa"/>
            <w:vAlign w:val="center"/>
          </w:tcPr>
          <w:p w:rsidR="00791EEA" w:rsidRDefault="00E10952">
            <w:pPr>
              <w:jc w:val="right"/>
            </w:pPr>
            <w:r>
              <w:rPr>
                <w:color w:val="000000" w:themeColor="text1"/>
                <w:sz w:val="24"/>
              </w:rPr>
              <w:t>0.01%</w:t>
            </w:r>
          </w:p>
        </w:tc>
      </w:tr>
      <w:tr w:rsidR="00791EEA">
        <w:tc>
          <w:tcPr>
            <w:tcW w:w="1290" w:type="dxa"/>
            <w:vAlign w:val="center"/>
          </w:tcPr>
          <w:p w:rsidR="00791EEA" w:rsidRDefault="00E10952">
            <w:pPr>
              <w:jc w:val="left"/>
            </w:pPr>
            <w:r>
              <w:rPr>
                <w:color w:val="000000" w:themeColor="text1"/>
                <w:sz w:val="24"/>
              </w:rPr>
              <w:t>自基金合同生效起至今</w:t>
            </w:r>
          </w:p>
        </w:tc>
        <w:tc>
          <w:tcPr>
            <w:tcW w:w="1291" w:type="dxa"/>
            <w:vAlign w:val="center"/>
          </w:tcPr>
          <w:p w:rsidR="00791EEA" w:rsidRDefault="00E10952">
            <w:pPr>
              <w:jc w:val="right"/>
            </w:pPr>
            <w:r>
              <w:rPr>
                <w:color w:val="000000" w:themeColor="text1"/>
                <w:sz w:val="24"/>
              </w:rPr>
              <w:t>-5.30%</w:t>
            </w:r>
          </w:p>
        </w:tc>
        <w:tc>
          <w:tcPr>
            <w:tcW w:w="1291" w:type="dxa"/>
            <w:vAlign w:val="center"/>
          </w:tcPr>
          <w:p w:rsidR="00791EEA" w:rsidRDefault="00E10952">
            <w:pPr>
              <w:jc w:val="right"/>
            </w:pPr>
            <w:r>
              <w:rPr>
                <w:color w:val="000000" w:themeColor="text1"/>
                <w:sz w:val="24"/>
              </w:rPr>
              <w:t>1.00%</w:t>
            </w:r>
          </w:p>
        </w:tc>
        <w:tc>
          <w:tcPr>
            <w:tcW w:w="1291" w:type="dxa"/>
            <w:vAlign w:val="center"/>
          </w:tcPr>
          <w:p w:rsidR="00791EEA" w:rsidRDefault="00E10952">
            <w:pPr>
              <w:jc w:val="right"/>
            </w:pPr>
            <w:r>
              <w:rPr>
                <w:color w:val="000000" w:themeColor="text1"/>
                <w:sz w:val="24"/>
              </w:rPr>
              <w:t>37.42%</w:t>
            </w:r>
          </w:p>
        </w:tc>
        <w:tc>
          <w:tcPr>
            <w:tcW w:w="1291" w:type="dxa"/>
            <w:vAlign w:val="center"/>
          </w:tcPr>
          <w:p w:rsidR="00791EEA" w:rsidRDefault="00E10952">
            <w:pPr>
              <w:jc w:val="right"/>
            </w:pPr>
            <w:r>
              <w:rPr>
                <w:color w:val="000000" w:themeColor="text1"/>
                <w:sz w:val="24"/>
              </w:rPr>
              <w:t>1.10%</w:t>
            </w:r>
          </w:p>
        </w:tc>
        <w:tc>
          <w:tcPr>
            <w:tcW w:w="1291" w:type="dxa"/>
            <w:vAlign w:val="center"/>
          </w:tcPr>
          <w:p w:rsidR="00791EEA" w:rsidRDefault="00E10952">
            <w:pPr>
              <w:jc w:val="right"/>
            </w:pPr>
            <w:r>
              <w:rPr>
                <w:color w:val="000000" w:themeColor="text1"/>
                <w:sz w:val="24"/>
              </w:rPr>
              <w:t>-42.72%</w:t>
            </w:r>
          </w:p>
        </w:tc>
        <w:tc>
          <w:tcPr>
            <w:tcW w:w="1291" w:type="dxa"/>
            <w:vAlign w:val="center"/>
          </w:tcPr>
          <w:p w:rsidR="00791EEA" w:rsidRDefault="00E10952">
            <w:pPr>
              <w:jc w:val="right"/>
            </w:pPr>
            <w:r>
              <w:rPr>
                <w:color w:val="000000" w:themeColor="text1"/>
                <w:sz w:val="24"/>
              </w:rPr>
              <w:t>-0.10%</w:t>
            </w:r>
          </w:p>
        </w:tc>
      </w:tr>
    </w:tbl>
    <w:p w:rsidR="0065601A" w:rsidRPr="00A67563" w:rsidRDefault="0065601A" w:rsidP="00775284">
      <w:pPr>
        <w:adjustRightInd w:val="0"/>
        <w:spacing w:beforeLines="50" w:before="156" w:line="360" w:lineRule="auto"/>
        <w:rPr>
          <w:b/>
          <w:color w:val="000000" w:themeColor="text1"/>
          <w:kern w:val="0"/>
          <w:sz w:val="24"/>
        </w:rPr>
      </w:pPr>
      <w:r w:rsidRPr="00A67563">
        <w:rPr>
          <w:b/>
          <w:color w:val="000000" w:themeColor="text1"/>
          <w:kern w:val="0"/>
          <w:sz w:val="24"/>
        </w:rPr>
        <w:t>易方达黄金主题（</w:t>
      </w:r>
      <w:r w:rsidRPr="00A67563">
        <w:rPr>
          <w:b/>
          <w:color w:val="000000" w:themeColor="text1"/>
          <w:kern w:val="0"/>
          <w:sz w:val="24"/>
        </w:rPr>
        <w:t>QDII-LOF-FOF</w:t>
      </w:r>
      <w:r w:rsidRPr="00A67563">
        <w:rPr>
          <w:b/>
          <w:color w:val="000000" w:themeColor="text1"/>
          <w:kern w:val="0"/>
          <w:sz w:val="24"/>
        </w:rPr>
        <w:t>）</w:t>
      </w:r>
      <w:r w:rsidRPr="00A67563">
        <w:rPr>
          <w:b/>
          <w:color w:val="000000" w:themeColor="text1"/>
          <w:kern w:val="0"/>
          <w:sz w:val="24"/>
        </w:rPr>
        <w:t>C</w:t>
      </w:r>
    </w:p>
    <w:tbl>
      <w:tblPr>
        <w:tblStyle w:val="af7"/>
        <w:tblW w:w="0" w:type="auto"/>
        <w:tblInd w:w="108" w:type="dxa"/>
        <w:tblLayout w:type="fixed"/>
        <w:tblLook w:val="04A0" w:firstRow="1" w:lastRow="0" w:firstColumn="1" w:lastColumn="0" w:noHBand="0" w:noVBand="1"/>
      </w:tblPr>
      <w:tblGrid>
        <w:gridCol w:w="1290"/>
        <w:gridCol w:w="1291"/>
        <w:gridCol w:w="1291"/>
        <w:gridCol w:w="1291"/>
        <w:gridCol w:w="1291"/>
        <w:gridCol w:w="1291"/>
        <w:gridCol w:w="1291"/>
      </w:tblGrid>
      <w:tr w:rsidR="0065601A" w:rsidRPr="00A67563" w:rsidTr="00845292">
        <w:tc>
          <w:tcPr>
            <w:tcW w:w="1290"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阶段</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w:t>
            </w:r>
            <w:r w:rsidRPr="00A67563">
              <w:rPr>
                <w:rFonts w:ascii="宋体" w:hAnsi="宋体" w:cs="宋体" w:hint="eastAsia"/>
                <w:color w:val="000000" w:themeColor="text1"/>
                <w:sz w:val="24"/>
              </w:rPr>
              <w:t>①</w:t>
            </w:r>
          </w:p>
        </w:tc>
        <w:tc>
          <w:tcPr>
            <w:tcW w:w="1291" w:type="dxa"/>
            <w:vAlign w:val="center"/>
          </w:tcPr>
          <w:p w:rsidR="0065601A" w:rsidRPr="00A67563" w:rsidRDefault="0065601A" w:rsidP="00845292">
            <w:pPr>
              <w:snapToGrid w:val="0"/>
              <w:spacing w:line="288" w:lineRule="auto"/>
              <w:jc w:val="center"/>
              <w:rPr>
                <w:color w:val="000000" w:themeColor="text1"/>
                <w:sz w:val="24"/>
                <w:highlight w:val="green"/>
              </w:rPr>
            </w:pPr>
            <w:r w:rsidRPr="00A67563">
              <w:rPr>
                <w:color w:val="000000" w:themeColor="text1"/>
                <w:sz w:val="24"/>
              </w:rPr>
              <w:t>净值增长率标准差</w:t>
            </w:r>
            <w:r w:rsidRPr="00A67563">
              <w:rPr>
                <w:rFonts w:ascii="宋体" w:hAnsi="宋体" w:cs="宋体" w:hint="eastAsia"/>
                <w:color w:val="000000" w:themeColor="text1"/>
                <w:sz w:val="24"/>
              </w:rPr>
              <w:t>②</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color w:val="000000" w:themeColor="text1"/>
                <w:sz w:val="24"/>
              </w:rPr>
              <w:t>业绩比较基准收益率标准差</w:t>
            </w:r>
            <w:r w:rsidRPr="00A67563">
              <w:rPr>
                <w:rFonts w:ascii="宋体" w:hAnsi="宋体" w:cs="宋体" w:hint="eastAsia"/>
                <w:color w:val="000000" w:themeColor="text1"/>
                <w:sz w:val="24"/>
              </w:rPr>
              <w:t>④</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①</w:t>
            </w:r>
            <w:r w:rsidRPr="00A67563">
              <w:rPr>
                <w:color w:val="000000" w:themeColor="text1"/>
                <w:sz w:val="24"/>
              </w:rPr>
              <w:t>－</w:t>
            </w:r>
            <w:r w:rsidRPr="00A67563">
              <w:rPr>
                <w:rFonts w:ascii="宋体" w:hAnsi="宋体" w:cs="宋体" w:hint="eastAsia"/>
                <w:color w:val="000000" w:themeColor="text1"/>
                <w:sz w:val="24"/>
              </w:rPr>
              <w:t>③</w:t>
            </w:r>
          </w:p>
        </w:tc>
        <w:tc>
          <w:tcPr>
            <w:tcW w:w="1291" w:type="dxa"/>
            <w:vAlign w:val="center"/>
          </w:tcPr>
          <w:p w:rsidR="0065601A" w:rsidRPr="00A67563" w:rsidRDefault="0065601A" w:rsidP="00845292">
            <w:pPr>
              <w:snapToGrid w:val="0"/>
              <w:spacing w:line="288" w:lineRule="auto"/>
              <w:jc w:val="center"/>
              <w:rPr>
                <w:color w:val="000000" w:themeColor="text1"/>
                <w:sz w:val="24"/>
              </w:rPr>
            </w:pPr>
            <w:r w:rsidRPr="00A67563">
              <w:rPr>
                <w:rFonts w:ascii="宋体" w:hAnsi="宋体" w:cs="宋体" w:hint="eastAsia"/>
                <w:color w:val="000000" w:themeColor="text1"/>
                <w:sz w:val="24"/>
              </w:rPr>
              <w:t>②</w:t>
            </w:r>
            <w:r w:rsidRPr="00A67563">
              <w:rPr>
                <w:color w:val="000000" w:themeColor="text1"/>
                <w:sz w:val="24"/>
              </w:rPr>
              <w:t>－</w:t>
            </w:r>
            <w:r w:rsidRPr="00A67563">
              <w:rPr>
                <w:rFonts w:ascii="宋体" w:hAnsi="宋体" w:cs="宋体" w:hint="eastAsia"/>
                <w:color w:val="000000" w:themeColor="text1"/>
                <w:sz w:val="24"/>
              </w:rPr>
              <w:t>④</w:t>
            </w:r>
          </w:p>
        </w:tc>
      </w:tr>
      <w:tr w:rsidR="00791EEA">
        <w:tc>
          <w:tcPr>
            <w:tcW w:w="1290" w:type="dxa"/>
            <w:vAlign w:val="center"/>
          </w:tcPr>
          <w:p w:rsidR="00791EEA" w:rsidRDefault="00E10952">
            <w:pPr>
              <w:jc w:val="left"/>
            </w:pPr>
            <w:r>
              <w:rPr>
                <w:color w:val="000000" w:themeColor="text1"/>
                <w:sz w:val="24"/>
              </w:rPr>
              <w:t>过去三个月</w:t>
            </w:r>
          </w:p>
        </w:tc>
        <w:tc>
          <w:tcPr>
            <w:tcW w:w="1291" w:type="dxa"/>
            <w:vAlign w:val="center"/>
          </w:tcPr>
          <w:p w:rsidR="00791EEA" w:rsidRDefault="00E10952">
            <w:pPr>
              <w:jc w:val="right"/>
            </w:pPr>
            <w:r>
              <w:rPr>
                <w:color w:val="000000" w:themeColor="text1"/>
                <w:sz w:val="24"/>
              </w:rPr>
              <w:t>25.76%</w:t>
            </w:r>
          </w:p>
        </w:tc>
        <w:tc>
          <w:tcPr>
            <w:tcW w:w="1291" w:type="dxa"/>
            <w:vAlign w:val="center"/>
          </w:tcPr>
          <w:p w:rsidR="00791EEA" w:rsidRDefault="00E10952">
            <w:pPr>
              <w:jc w:val="right"/>
            </w:pPr>
            <w:r>
              <w:rPr>
                <w:color w:val="000000" w:themeColor="text1"/>
                <w:sz w:val="24"/>
              </w:rPr>
              <w:t>1.46%</w:t>
            </w:r>
          </w:p>
        </w:tc>
        <w:tc>
          <w:tcPr>
            <w:tcW w:w="1291" w:type="dxa"/>
            <w:vAlign w:val="center"/>
          </w:tcPr>
          <w:p w:rsidR="00791EEA" w:rsidRDefault="00E10952">
            <w:pPr>
              <w:jc w:val="right"/>
            </w:pPr>
            <w:r>
              <w:rPr>
                <w:color w:val="000000" w:themeColor="text1"/>
                <w:sz w:val="24"/>
              </w:rPr>
              <w:t>30.55%</w:t>
            </w:r>
          </w:p>
        </w:tc>
        <w:tc>
          <w:tcPr>
            <w:tcW w:w="1291" w:type="dxa"/>
            <w:vAlign w:val="center"/>
          </w:tcPr>
          <w:p w:rsidR="00791EEA" w:rsidRDefault="00E10952">
            <w:pPr>
              <w:jc w:val="right"/>
            </w:pPr>
            <w:r>
              <w:rPr>
                <w:color w:val="000000" w:themeColor="text1"/>
                <w:sz w:val="24"/>
              </w:rPr>
              <w:t>1.71%</w:t>
            </w:r>
          </w:p>
        </w:tc>
        <w:tc>
          <w:tcPr>
            <w:tcW w:w="1291" w:type="dxa"/>
            <w:vAlign w:val="center"/>
          </w:tcPr>
          <w:p w:rsidR="00791EEA" w:rsidRDefault="00E10952">
            <w:pPr>
              <w:jc w:val="right"/>
            </w:pPr>
            <w:r>
              <w:rPr>
                <w:color w:val="000000" w:themeColor="text1"/>
                <w:sz w:val="24"/>
              </w:rPr>
              <w:t>-4.79%</w:t>
            </w:r>
          </w:p>
        </w:tc>
        <w:tc>
          <w:tcPr>
            <w:tcW w:w="1291" w:type="dxa"/>
            <w:vAlign w:val="center"/>
          </w:tcPr>
          <w:p w:rsidR="00791EEA" w:rsidRDefault="00E10952">
            <w:pPr>
              <w:jc w:val="right"/>
            </w:pPr>
            <w:r>
              <w:rPr>
                <w:color w:val="000000" w:themeColor="text1"/>
                <w:sz w:val="24"/>
              </w:rPr>
              <w:t>-0.25%</w:t>
            </w:r>
          </w:p>
        </w:tc>
      </w:tr>
      <w:tr w:rsidR="00791EEA">
        <w:tc>
          <w:tcPr>
            <w:tcW w:w="1290" w:type="dxa"/>
            <w:vAlign w:val="center"/>
          </w:tcPr>
          <w:p w:rsidR="00791EEA" w:rsidRDefault="00E10952">
            <w:pPr>
              <w:jc w:val="left"/>
            </w:pPr>
            <w:r>
              <w:rPr>
                <w:color w:val="000000" w:themeColor="text1"/>
                <w:sz w:val="24"/>
              </w:rPr>
              <w:t>过去六个月</w:t>
            </w:r>
          </w:p>
        </w:tc>
        <w:tc>
          <w:tcPr>
            <w:tcW w:w="1291" w:type="dxa"/>
            <w:vAlign w:val="center"/>
          </w:tcPr>
          <w:p w:rsidR="00791EEA" w:rsidRDefault="00E10952">
            <w:pPr>
              <w:jc w:val="right"/>
            </w:pPr>
            <w:r>
              <w:rPr>
                <w:color w:val="000000" w:themeColor="text1"/>
                <w:sz w:val="24"/>
              </w:rPr>
              <w:t>10.76%</w:t>
            </w:r>
          </w:p>
        </w:tc>
        <w:tc>
          <w:tcPr>
            <w:tcW w:w="1291" w:type="dxa"/>
            <w:vAlign w:val="center"/>
          </w:tcPr>
          <w:p w:rsidR="00791EEA" w:rsidRDefault="00E10952">
            <w:pPr>
              <w:jc w:val="right"/>
            </w:pPr>
            <w:r>
              <w:rPr>
                <w:color w:val="000000" w:themeColor="text1"/>
                <w:sz w:val="24"/>
              </w:rPr>
              <w:t>2.27%</w:t>
            </w:r>
          </w:p>
        </w:tc>
        <w:tc>
          <w:tcPr>
            <w:tcW w:w="1291" w:type="dxa"/>
            <w:vAlign w:val="center"/>
          </w:tcPr>
          <w:p w:rsidR="00791EEA" w:rsidRDefault="00E10952">
            <w:pPr>
              <w:jc w:val="right"/>
            </w:pPr>
            <w:r>
              <w:rPr>
                <w:color w:val="000000" w:themeColor="text1"/>
                <w:sz w:val="24"/>
              </w:rPr>
              <w:t>22.72%</w:t>
            </w:r>
          </w:p>
        </w:tc>
        <w:tc>
          <w:tcPr>
            <w:tcW w:w="1291" w:type="dxa"/>
            <w:vAlign w:val="center"/>
          </w:tcPr>
          <w:p w:rsidR="00791EEA" w:rsidRDefault="00E10952">
            <w:pPr>
              <w:jc w:val="right"/>
            </w:pPr>
            <w:r>
              <w:rPr>
                <w:color w:val="000000" w:themeColor="text1"/>
                <w:sz w:val="24"/>
              </w:rPr>
              <w:t>2.25%</w:t>
            </w:r>
          </w:p>
        </w:tc>
        <w:tc>
          <w:tcPr>
            <w:tcW w:w="1291" w:type="dxa"/>
            <w:vAlign w:val="center"/>
          </w:tcPr>
          <w:p w:rsidR="00791EEA" w:rsidRDefault="00E10952">
            <w:pPr>
              <w:jc w:val="right"/>
            </w:pPr>
            <w:r>
              <w:rPr>
                <w:color w:val="000000" w:themeColor="text1"/>
                <w:sz w:val="24"/>
              </w:rPr>
              <w:t>-11.96%</w:t>
            </w:r>
          </w:p>
        </w:tc>
        <w:tc>
          <w:tcPr>
            <w:tcW w:w="1291" w:type="dxa"/>
            <w:vAlign w:val="center"/>
          </w:tcPr>
          <w:p w:rsidR="00791EEA" w:rsidRDefault="00E10952">
            <w:pPr>
              <w:jc w:val="right"/>
            </w:pPr>
            <w:r>
              <w:rPr>
                <w:color w:val="000000" w:themeColor="text1"/>
                <w:sz w:val="24"/>
              </w:rPr>
              <w:t>0.02%</w:t>
            </w:r>
          </w:p>
        </w:tc>
      </w:tr>
      <w:tr w:rsidR="00791EEA">
        <w:tc>
          <w:tcPr>
            <w:tcW w:w="1290" w:type="dxa"/>
            <w:vAlign w:val="center"/>
          </w:tcPr>
          <w:p w:rsidR="00791EEA" w:rsidRDefault="00E10952">
            <w:pPr>
              <w:jc w:val="left"/>
            </w:pPr>
            <w:r>
              <w:rPr>
                <w:color w:val="000000" w:themeColor="text1"/>
                <w:sz w:val="24"/>
              </w:rPr>
              <w:t>过去一年</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r>
      <w:tr w:rsidR="00791EEA">
        <w:tc>
          <w:tcPr>
            <w:tcW w:w="1290" w:type="dxa"/>
            <w:vAlign w:val="center"/>
          </w:tcPr>
          <w:p w:rsidR="00791EEA" w:rsidRDefault="00E10952">
            <w:pPr>
              <w:jc w:val="left"/>
            </w:pPr>
            <w:r>
              <w:rPr>
                <w:color w:val="000000" w:themeColor="text1"/>
                <w:sz w:val="24"/>
              </w:rPr>
              <w:t>过去三年</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r>
      <w:tr w:rsidR="00791EEA">
        <w:tc>
          <w:tcPr>
            <w:tcW w:w="1290" w:type="dxa"/>
            <w:vAlign w:val="center"/>
          </w:tcPr>
          <w:p w:rsidR="00791EEA" w:rsidRDefault="00E10952">
            <w:pPr>
              <w:jc w:val="left"/>
            </w:pPr>
            <w:r>
              <w:rPr>
                <w:color w:val="000000" w:themeColor="text1"/>
                <w:sz w:val="24"/>
              </w:rPr>
              <w:t>过去五年</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c>
          <w:tcPr>
            <w:tcW w:w="1291" w:type="dxa"/>
            <w:vAlign w:val="center"/>
          </w:tcPr>
          <w:p w:rsidR="00791EEA" w:rsidRDefault="00E10952">
            <w:pPr>
              <w:jc w:val="right"/>
            </w:pPr>
            <w:r>
              <w:rPr>
                <w:color w:val="000000" w:themeColor="text1"/>
                <w:sz w:val="24"/>
              </w:rPr>
              <w:t>-</w:t>
            </w:r>
          </w:p>
        </w:tc>
      </w:tr>
      <w:tr w:rsidR="00791EEA">
        <w:tc>
          <w:tcPr>
            <w:tcW w:w="1290" w:type="dxa"/>
            <w:vAlign w:val="center"/>
          </w:tcPr>
          <w:p w:rsidR="00791EEA" w:rsidRDefault="00E10952">
            <w:pPr>
              <w:jc w:val="left"/>
            </w:pPr>
            <w:r>
              <w:rPr>
                <w:color w:val="000000" w:themeColor="text1"/>
                <w:sz w:val="24"/>
              </w:rPr>
              <w:t>自基金合同生效起至今</w:t>
            </w:r>
          </w:p>
        </w:tc>
        <w:tc>
          <w:tcPr>
            <w:tcW w:w="1291" w:type="dxa"/>
            <w:vAlign w:val="center"/>
          </w:tcPr>
          <w:p w:rsidR="00791EEA" w:rsidRDefault="00E10952">
            <w:pPr>
              <w:jc w:val="right"/>
            </w:pPr>
            <w:r>
              <w:rPr>
                <w:color w:val="000000" w:themeColor="text1"/>
                <w:sz w:val="24"/>
              </w:rPr>
              <w:t>17.64%</w:t>
            </w:r>
          </w:p>
        </w:tc>
        <w:tc>
          <w:tcPr>
            <w:tcW w:w="1291" w:type="dxa"/>
            <w:vAlign w:val="center"/>
          </w:tcPr>
          <w:p w:rsidR="00791EEA" w:rsidRDefault="00E10952">
            <w:pPr>
              <w:jc w:val="right"/>
            </w:pPr>
            <w:r>
              <w:rPr>
                <w:color w:val="000000" w:themeColor="text1"/>
                <w:sz w:val="24"/>
              </w:rPr>
              <w:t>2.02%</w:t>
            </w:r>
          </w:p>
        </w:tc>
        <w:tc>
          <w:tcPr>
            <w:tcW w:w="1291" w:type="dxa"/>
            <w:vAlign w:val="center"/>
          </w:tcPr>
          <w:p w:rsidR="00791EEA" w:rsidRDefault="00E10952">
            <w:pPr>
              <w:jc w:val="right"/>
            </w:pPr>
            <w:r>
              <w:rPr>
                <w:color w:val="000000" w:themeColor="text1"/>
                <w:sz w:val="24"/>
              </w:rPr>
              <w:t>29.91%</w:t>
            </w:r>
          </w:p>
        </w:tc>
        <w:tc>
          <w:tcPr>
            <w:tcW w:w="1291" w:type="dxa"/>
            <w:vAlign w:val="center"/>
          </w:tcPr>
          <w:p w:rsidR="00791EEA" w:rsidRDefault="00E10952">
            <w:pPr>
              <w:jc w:val="right"/>
            </w:pPr>
            <w:r>
              <w:rPr>
                <w:color w:val="000000" w:themeColor="text1"/>
                <w:sz w:val="24"/>
              </w:rPr>
              <w:t>1.91%</w:t>
            </w:r>
          </w:p>
        </w:tc>
        <w:tc>
          <w:tcPr>
            <w:tcW w:w="1291" w:type="dxa"/>
            <w:vAlign w:val="center"/>
          </w:tcPr>
          <w:p w:rsidR="00791EEA" w:rsidRDefault="00E10952">
            <w:pPr>
              <w:jc w:val="right"/>
            </w:pPr>
            <w:r>
              <w:rPr>
                <w:color w:val="000000" w:themeColor="text1"/>
                <w:sz w:val="24"/>
              </w:rPr>
              <w:t>-12.27%</w:t>
            </w:r>
          </w:p>
        </w:tc>
        <w:tc>
          <w:tcPr>
            <w:tcW w:w="1291" w:type="dxa"/>
            <w:vAlign w:val="center"/>
          </w:tcPr>
          <w:p w:rsidR="00791EEA" w:rsidRDefault="00E10952">
            <w:pPr>
              <w:jc w:val="right"/>
            </w:pPr>
            <w:r>
              <w:rPr>
                <w:color w:val="000000" w:themeColor="text1"/>
                <w:sz w:val="24"/>
              </w:rPr>
              <w:t>0.11%</w:t>
            </w:r>
          </w:p>
        </w:tc>
      </w:tr>
    </w:tbl>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3.2.2</w:t>
      </w:r>
      <w:r w:rsidRPr="00A67563">
        <w:rPr>
          <w:b/>
          <w:color w:val="000000" w:themeColor="text1"/>
          <w:kern w:val="0"/>
          <w:sz w:val="24"/>
        </w:rPr>
        <w:t xml:space="preserve">　</w:t>
      </w:r>
      <w:r w:rsidR="009779FD" w:rsidRPr="00A67563">
        <w:rPr>
          <w:rStyle w:val="af8"/>
          <w:color w:val="000000" w:themeColor="text1"/>
          <w:sz w:val="24"/>
          <w:shd w:val="clear" w:color="auto" w:fill="FFFFFF"/>
        </w:rPr>
        <w:t>自基金合同生效以来</w:t>
      </w:r>
      <w:r w:rsidRPr="00A67563">
        <w:rPr>
          <w:b/>
          <w:color w:val="000000" w:themeColor="text1"/>
          <w:kern w:val="0"/>
          <w:sz w:val="24"/>
        </w:rPr>
        <w:t>基金累计</w:t>
      </w:r>
      <w:r w:rsidR="004339D9" w:rsidRPr="00A67563">
        <w:rPr>
          <w:b/>
          <w:color w:val="000000" w:themeColor="text1"/>
          <w:kern w:val="0"/>
          <w:sz w:val="24"/>
        </w:rPr>
        <w:t>份额</w:t>
      </w:r>
      <w:r w:rsidRPr="00A67563">
        <w:rPr>
          <w:b/>
          <w:color w:val="000000" w:themeColor="text1"/>
          <w:kern w:val="0"/>
          <w:sz w:val="24"/>
        </w:rPr>
        <w:t>净值增长率变动及其与同期业绩比较基准收益率变动的比较</w:t>
      </w:r>
    </w:p>
    <w:p w:rsidR="00A96FD9" w:rsidRPr="00A67563" w:rsidRDefault="00A96FD9" w:rsidP="00EC4BA3">
      <w:pPr>
        <w:spacing w:line="360" w:lineRule="auto"/>
        <w:jc w:val="center"/>
        <w:rPr>
          <w:color w:val="000000" w:themeColor="text1"/>
          <w:sz w:val="24"/>
        </w:rPr>
      </w:pPr>
      <w:r w:rsidRPr="00A67563">
        <w:rPr>
          <w:color w:val="000000" w:themeColor="text1"/>
          <w:sz w:val="24"/>
        </w:rPr>
        <w:t>易方达黄金主题证券投资基金（</w:t>
      </w:r>
      <w:r w:rsidRPr="00A67563">
        <w:rPr>
          <w:color w:val="000000" w:themeColor="text1"/>
          <w:sz w:val="24"/>
        </w:rPr>
        <w:t>LOF</w:t>
      </w:r>
      <w:r w:rsidRPr="00A67563">
        <w:rPr>
          <w:color w:val="000000" w:themeColor="text1"/>
          <w:sz w:val="24"/>
        </w:rPr>
        <w:t>）</w:t>
      </w:r>
    </w:p>
    <w:p w:rsidR="00520D90" w:rsidRDefault="0008610C" w:rsidP="00520D90">
      <w:pPr>
        <w:pStyle w:val="a5"/>
        <w:snapToGrid w:val="0"/>
        <w:spacing w:line="360" w:lineRule="auto"/>
        <w:ind w:firstLine="480"/>
        <w:jc w:val="center"/>
        <w:rPr>
          <w:rFonts w:ascii="Times New Roman" w:eastAsiaTheme="minorEastAsia" w:hAnsi="Times New Roman"/>
          <w:color w:val="000000" w:themeColor="text1"/>
          <w:sz w:val="24"/>
          <w:szCs w:val="24"/>
        </w:rPr>
      </w:pPr>
      <w:r>
        <w:rPr>
          <w:rFonts w:ascii="Times New Roman" w:hAnsi="Times New Roman" w:hint="eastAsia"/>
          <w:color w:val="000000"/>
          <w:sz w:val="24"/>
          <w:szCs w:val="24"/>
        </w:rPr>
        <w:t>累计净值增长率与业绩比较基准收益率的历史走势对比图</w:t>
      </w:r>
    </w:p>
    <w:p w:rsidR="00520D90" w:rsidRDefault="0065601A" w:rsidP="00520D90">
      <w:pPr>
        <w:snapToGrid w:val="0"/>
        <w:spacing w:line="360" w:lineRule="auto"/>
        <w:rPr>
          <w:rFonts w:eastAsiaTheme="minorEastAsia" w:hAnsiTheme="minorEastAsia"/>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p>
    <w:p w:rsidR="0065601A" w:rsidRPr="00520D90" w:rsidRDefault="00520D90" w:rsidP="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w:t>
      </w:r>
      <w:r w:rsidRPr="00520D90">
        <w:rPr>
          <w:rFonts w:ascii="Times New Roman" w:hAnsi="Times New Roman"/>
          <w:sz w:val="24"/>
          <w:szCs w:val="24"/>
        </w:rPr>
        <w:t>2011</w:t>
      </w:r>
      <w:r w:rsidRPr="00520D90">
        <w:rPr>
          <w:rFonts w:ascii="Times New Roman" w:hAnsi="Times New Roman"/>
          <w:sz w:val="24"/>
          <w:szCs w:val="24"/>
        </w:rPr>
        <w:t>年</w:t>
      </w:r>
      <w:r w:rsidRPr="00520D90">
        <w:rPr>
          <w:rFonts w:ascii="Times New Roman" w:hAnsi="Times New Roman"/>
          <w:sz w:val="24"/>
          <w:szCs w:val="24"/>
        </w:rPr>
        <w:t>5</w:t>
      </w:r>
      <w:r w:rsidRPr="00520D90">
        <w:rPr>
          <w:rFonts w:ascii="Times New Roman" w:hAnsi="Times New Roman"/>
          <w:sz w:val="24"/>
          <w:szCs w:val="24"/>
        </w:rPr>
        <w:t>月</w:t>
      </w:r>
      <w:r w:rsidRPr="00520D90">
        <w:rPr>
          <w:rFonts w:ascii="Times New Roman" w:hAnsi="Times New Roman"/>
          <w:sz w:val="24"/>
          <w:szCs w:val="24"/>
        </w:rPr>
        <w:t>6</w:t>
      </w:r>
      <w:r w:rsidRPr="00520D90">
        <w:rPr>
          <w:rFonts w:ascii="Times New Roman" w:hAnsi="Times New Roman"/>
          <w:sz w:val="24"/>
          <w:szCs w:val="24"/>
        </w:rPr>
        <w:t>日至</w:t>
      </w:r>
      <w:r w:rsidRPr="00520D90">
        <w:rPr>
          <w:rFonts w:ascii="Times New Roman" w:hAnsi="Times New Roman"/>
          <w:sz w:val="24"/>
          <w:szCs w:val="24"/>
        </w:rPr>
        <w:t>2020</w:t>
      </w:r>
      <w:r w:rsidRPr="00520D90">
        <w:rPr>
          <w:rFonts w:ascii="Times New Roman" w:hAnsi="Times New Roman"/>
          <w:sz w:val="24"/>
          <w:szCs w:val="24"/>
        </w:rPr>
        <w:t>年</w:t>
      </w:r>
      <w:r w:rsidRPr="00520D90">
        <w:rPr>
          <w:rFonts w:ascii="Times New Roman" w:hAnsi="Times New Roman"/>
          <w:sz w:val="24"/>
          <w:szCs w:val="24"/>
        </w:rPr>
        <w:t>6</w:t>
      </w:r>
      <w:r w:rsidRPr="00520D90">
        <w:rPr>
          <w:rFonts w:ascii="Times New Roman" w:hAnsi="Times New Roman"/>
          <w:sz w:val="24"/>
          <w:szCs w:val="24"/>
        </w:rPr>
        <w:t>月</w:t>
      </w:r>
      <w:r w:rsidRPr="00520D90">
        <w:rPr>
          <w:rFonts w:ascii="Times New Roman" w:hAnsi="Times New Roman"/>
          <w:sz w:val="24"/>
          <w:szCs w:val="24"/>
        </w:rPr>
        <w:t>30</w:t>
      </w:r>
      <w:r w:rsidRPr="00520D90">
        <w:rPr>
          <w:rFonts w:ascii="Times New Roman" w:hAnsi="Times New Roman"/>
          <w:sz w:val="24"/>
          <w:szCs w:val="24"/>
        </w:rPr>
        <w:t>日）</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lastRenderedPageBreak/>
        <w:drawing>
          <wp:inline distT="0" distB="0" distL="0" distR="0">
            <wp:extent cx="5591175" cy="3276600"/>
            <wp:effectExtent l="0" t="0" r="0" b="0"/>
            <wp:docPr id="2" name="图片 2" descr="D:\浏览器下载\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浏览器下载\走势图柱状图\走势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520D90" w:rsidRDefault="0065601A" w:rsidP="00520D90">
      <w:pPr>
        <w:snapToGrid w:val="0"/>
        <w:spacing w:beforeLines="100" w:before="312" w:line="360" w:lineRule="auto"/>
        <w:rPr>
          <w:rFonts w:eastAsiaTheme="minorEastAsia" w:hAnsiTheme="minorEastAsia"/>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p>
    <w:p w:rsidR="0065601A" w:rsidRPr="00520D90" w:rsidRDefault="00520D90" w:rsidP="00520D90">
      <w:pPr>
        <w:pStyle w:val="a5"/>
        <w:snapToGrid w:val="0"/>
        <w:spacing w:line="360" w:lineRule="auto"/>
        <w:jc w:val="center"/>
        <w:rPr>
          <w:rFonts w:ascii="Times New Roman" w:hAnsi="Times New Roman"/>
          <w:sz w:val="24"/>
          <w:szCs w:val="24"/>
        </w:rPr>
      </w:pPr>
      <w:r w:rsidRPr="00520D90">
        <w:rPr>
          <w:rFonts w:ascii="Times New Roman" w:hAnsi="Times New Roman"/>
          <w:sz w:val="24"/>
          <w:szCs w:val="24"/>
        </w:rPr>
        <w:t>（</w:t>
      </w:r>
      <w:r w:rsidRPr="00520D90">
        <w:rPr>
          <w:rFonts w:ascii="Times New Roman" w:hAnsi="Times New Roman"/>
          <w:sz w:val="24"/>
          <w:szCs w:val="24"/>
        </w:rPr>
        <w:t>2019</w:t>
      </w:r>
      <w:r w:rsidRPr="00520D90">
        <w:rPr>
          <w:rFonts w:ascii="Times New Roman" w:hAnsi="Times New Roman"/>
          <w:sz w:val="24"/>
          <w:szCs w:val="24"/>
        </w:rPr>
        <w:t>年</w:t>
      </w:r>
      <w:r w:rsidRPr="00520D90">
        <w:rPr>
          <w:rFonts w:ascii="Times New Roman" w:hAnsi="Times New Roman"/>
          <w:sz w:val="24"/>
          <w:szCs w:val="24"/>
        </w:rPr>
        <w:t>10</w:t>
      </w:r>
      <w:r w:rsidRPr="00520D90">
        <w:rPr>
          <w:rFonts w:ascii="Times New Roman" w:hAnsi="Times New Roman"/>
          <w:sz w:val="24"/>
          <w:szCs w:val="24"/>
        </w:rPr>
        <w:t>月</w:t>
      </w:r>
      <w:r w:rsidRPr="00520D90">
        <w:rPr>
          <w:rFonts w:ascii="Times New Roman" w:hAnsi="Times New Roman"/>
          <w:sz w:val="24"/>
          <w:szCs w:val="24"/>
        </w:rPr>
        <w:t>14</w:t>
      </w:r>
      <w:r w:rsidRPr="00520D90">
        <w:rPr>
          <w:rFonts w:ascii="Times New Roman" w:hAnsi="Times New Roman"/>
          <w:sz w:val="24"/>
          <w:szCs w:val="24"/>
        </w:rPr>
        <w:t>日至</w:t>
      </w:r>
      <w:r w:rsidRPr="00520D90">
        <w:rPr>
          <w:rFonts w:ascii="Times New Roman" w:hAnsi="Times New Roman"/>
          <w:sz w:val="24"/>
          <w:szCs w:val="24"/>
        </w:rPr>
        <w:t>2020</w:t>
      </w:r>
      <w:r w:rsidRPr="00520D90">
        <w:rPr>
          <w:rFonts w:ascii="Times New Roman" w:hAnsi="Times New Roman"/>
          <w:sz w:val="24"/>
          <w:szCs w:val="24"/>
        </w:rPr>
        <w:t>年</w:t>
      </w:r>
      <w:r w:rsidRPr="00520D90">
        <w:rPr>
          <w:rFonts w:ascii="Times New Roman" w:hAnsi="Times New Roman"/>
          <w:sz w:val="24"/>
          <w:szCs w:val="24"/>
        </w:rPr>
        <w:t>6</w:t>
      </w:r>
      <w:r w:rsidRPr="00520D90">
        <w:rPr>
          <w:rFonts w:ascii="Times New Roman" w:hAnsi="Times New Roman"/>
          <w:sz w:val="24"/>
          <w:szCs w:val="24"/>
        </w:rPr>
        <w:t>月</w:t>
      </w:r>
      <w:r w:rsidRPr="00520D90">
        <w:rPr>
          <w:rFonts w:ascii="Times New Roman" w:hAnsi="Times New Roman"/>
          <w:sz w:val="24"/>
          <w:szCs w:val="24"/>
        </w:rPr>
        <w:t>30</w:t>
      </w:r>
      <w:r w:rsidRPr="00520D90">
        <w:rPr>
          <w:rFonts w:ascii="Times New Roman" w:hAnsi="Times New Roman"/>
          <w:sz w:val="24"/>
          <w:szCs w:val="24"/>
        </w:rPr>
        <w:t>日）</w:t>
      </w:r>
    </w:p>
    <w:p w:rsidR="0065601A" w:rsidRPr="00A67563" w:rsidRDefault="0065601A" w:rsidP="0065601A">
      <w:pPr>
        <w:pStyle w:val="20"/>
        <w:spacing w:line="288" w:lineRule="auto"/>
        <w:ind w:firstLineChars="0" w:firstLine="0"/>
        <w:jc w:val="center"/>
        <w:rPr>
          <w:rFonts w:ascii="Times New Roman" w:hAnsi="Times New Roman"/>
          <w:color w:val="000000" w:themeColor="text1"/>
        </w:rPr>
      </w:pPr>
      <w:r w:rsidRPr="00A67563">
        <w:rPr>
          <w:rFonts w:ascii="Times New Roman" w:hAnsi="Times New Roman"/>
          <w:noProof/>
          <w:color w:val="000000" w:themeColor="text1"/>
        </w:rPr>
        <w:drawing>
          <wp:inline distT="0" distB="0" distL="0" distR="0">
            <wp:extent cx="5591175" cy="3276600"/>
            <wp:effectExtent l="0" t="0" r="0" b="0"/>
            <wp:docPr id="3" name="图片 3" descr="D:\浏览器下载\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浏览器下载\走势图柱状图\走势图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R="00791EEA" w:rsidRDefault="00E10952">
      <w:pPr>
        <w:autoSpaceDE w:val="0"/>
        <w:autoSpaceDN w:val="0"/>
        <w:adjustRightInd w:val="0"/>
        <w:spacing w:line="360" w:lineRule="auto"/>
        <w:ind w:firstLineChars="200" w:firstLine="480"/>
        <w:jc w:val="left"/>
        <w:rPr>
          <w:color w:val="000000" w:themeColor="text1"/>
          <w:sz w:val="24"/>
        </w:rPr>
      </w:pPr>
      <w:r>
        <w:rPr>
          <w:color w:val="000000" w:themeColor="text1"/>
          <w:sz w:val="24"/>
        </w:rPr>
        <w:t>注：</w:t>
      </w:r>
      <w:r>
        <w:rPr>
          <w:color w:val="000000" w:themeColor="text1"/>
          <w:sz w:val="24"/>
        </w:rPr>
        <w:t>1.</w:t>
      </w:r>
      <w:r>
        <w:rPr>
          <w:color w:val="000000" w:themeColor="text1"/>
          <w:sz w:val="24"/>
        </w:rPr>
        <w:t>自</w:t>
      </w:r>
      <w:r>
        <w:rPr>
          <w:color w:val="000000" w:themeColor="text1"/>
          <w:sz w:val="24"/>
        </w:rPr>
        <w:t>2019</w:t>
      </w:r>
      <w:r>
        <w:rPr>
          <w:color w:val="000000" w:themeColor="text1"/>
          <w:sz w:val="24"/>
        </w:rPr>
        <w:t>年</w:t>
      </w:r>
      <w:r>
        <w:rPr>
          <w:color w:val="000000" w:themeColor="text1"/>
          <w:sz w:val="24"/>
        </w:rPr>
        <w:t>10</w:t>
      </w:r>
      <w:r>
        <w:rPr>
          <w:color w:val="000000" w:themeColor="text1"/>
          <w:sz w:val="24"/>
        </w:rPr>
        <w:t>月</w:t>
      </w:r>
      <w:r>
        <w:rPr>
          <w:color w:val="000000" w:themeColor="text1"/>
          <w:sz w:val="24"/>
        </w:rPr>
        <w:t>11</w:t>
      </w:r>
      <w:r>
        <w:rPr>
          <w:color w:val="000000" w:themeColor="text1"/>
          <w:sz w:val="24"/>
        </w:rPr>
        <w:t>日起，本基金增设</w:t>
      </w:r>
      <w:r>
        <w:rPr>
          <w:color w:val="000000" w:themeColor="text1"/>
          <w:sz w:val="24"/>
        </w:rPr>
        <w:t>C</w:t>
      </w:r>
      <w:r>
        <w:rPr>
          <w:color w:val="000000" w:themeColor="text1"/>
          <w:sz w:val="24"/>
        </w:rPr>
        <w:t>类份额类别，份额首次确认日为</w:t>
      </w:r>
      <w:r>
        <w:rPr>
          <w:color w:val="000000" w:themeColor="text1"/>
          <w:sz w:val="24"/>
        </w:rPr>
        <w:t>2019</w:t>
      </w:r>
      <w:r>
        <w:rPr>
          <w:color w:val="000000" w:themeColor="text1"/>
          <w:sz w:val="24"/>
        </w:rPr>
        <w:t>年</w:t>
      </w:r>
      <w:r>
        <w:rPr>
          <w:color w:val="000000" w:themeColor="text1"/>
          <w:sz w:val="24"/>
        </w:rPr>
        <w:t>10</w:t>
      </w:r>
      <w:r>
        <w:rPr>
          <w:color w:val="000000" w:themeColor="text1"/>
          <w:sz w:val="24"/>
        </w:rPr>
        <w:t>月</w:t>
      </w:r>
      <w:r>
        <w:rPr>
          <w:color w:val="000000" w:themeColor="text1"/>
          <w:sz w:val="24"/>
        </w:rPr>
        <w:t>14</w:t>
      </w:r>
      <w:r>
        <w:rPr>
          <w:color w:val="000000" w:themeColor="text1"/>
          <w:sz w:val="24"/>
        </w:rPr>
        <w:t>日，增设当期的相关数据和指标按实际存续期计算。</w:t>
      </w:r>
    </w:p>
    <w:p w:rsidR="00791EEA" w:rsidRDefault="00E10952">
      <w:pPr>
        <w:autoSpaceDE w:val="0"/>
        <w:autoSpaceDN w:val="0"/>
        <w:adjustRightInd w:val="0"/>
        <w:spacing w:line="360" w:lineRule="auto"/>
        <w:ind w:firstLineChars="200" w:firstLine="480"/>
        <w:jc w:val="left"/>
        <w:rPr>
          <w:color w:val="000000" w:themeColor="text1"/>
          <w:sz w:val="24"/>
        </w:rPr>
      </w:pPr>
      <w:r>
        <w:rPr>
          <w:color w:val="000000" w:themeColor="text1"/>
          <w:sz w:val="24"/>
        </w:rPr>
        <w:t>2.</w:t>
      </w:r>
      <w:r>
        <w:rPr>
          <w:color w:val="000000" w:themeColor="text1"/>
          <w:sz w:val="24"/>
        </w:rPr>
        <w:t>自</w:t>
      </w:r>
      <w:r>
        <w:rPr>
          <w:color w:val="000000" w:themeColor="text1"/>
          <w:sz w:val="24"/>
        </w:rPr>
        <w:t>2019</w:t>
      </w:r>
      <w:r>
        <w:rPr>
          <w:color w:val="000000" w:themeColor="text1"/>
          <w:sz w:val="24"/>
        </w:rPr>
        <w:t>年</w:t>
      </w:r>
      <w:r>
        <w:rPr>
          <w:color w:val="000000" w:themeColor="text1"/>
          <w:sz w:val="24"/>
        </w:rPr>
        <w:t>10</w:t>
      </w:r>
      <w:r>
        <w:rPr>
          <w:color w:val="000000" w:themeColor="text1"/>
          <w:sz w:val="24"/>
        </w:rPr>
        <w:t>月</w:t>
      </w:r>
      <w:r>
        <w:rPr>
          <w:color w:val="000000" w:themeColor="text1"/>
          <w:sz w:val="24"/>
        </w:rPr>
        <w:t>11</w:t>
      </w:r>
      <w:r>
        <w:rPr>
          <w:color w:val="000000" w:themeColor="text1"/>
          <w:sz w:val="24"/>
        </w:rPr>
        <w:t>日起，本基金业绩比较基准由</w:t>
      </w:r>
      <w:r>
        <w:rPr>
          <w:color w:val="000000" w:themeColor="text1"/>
          <w:sz w:val="24"/>
        </w:rPr>
        <w:t>“</w:t>
      </w:r>
      <w:r>
        <w:rPr>
          <w:color w:val="000000" w:themeColor="text1"/>
          <w:sz w:val="24"/>
        </w:rPr>
        <w:t>以伦敦黄金市场下午定盘价计价的国际现货黄金（经汇率折算）</w:t>
      </w:r>
      <w:r>
        <w:rPr>
          <w:color w:val="000000" w:themeColor="text1"/>
          <w:sz w:val="24"/>
        </w:rPr>
        <w:t>”</w:t>
      </w:r>
      <w:r>
        <w:rPr>
          <w:color w:val="000000" w:themeColor="text1"/>
          <w:sz w:val="24"/>
        </w:rPr>
        <w:t>调整为</w:t>
      </w:r>
      <w:r>
        <w:rPr>
          <w:color w:val="000000" w:themeColor="text1"/>
          <w:sz w:val="24"/>
        </w:rPr>
        <w:t>“</w:t>
      </w:r>
      <w:r>
        <w:rPr>
          <w:color w:val="000000" w:themeColor="text1"/>
          <w:sz w:val="24"/>
        </w:rPr>
        <w:t>以伦敦黄金市场下午定盘价计价</w:t>
      </w:r>
      <w:r>
        <w:rPr>
          <w:color w:val="000000" w:themeColor="text1"/>
          <w:sz w:val="24"/>
        </w:rPr>
        <w:lastRenderedPageBreak/>
        <w:t>的国际现货黄金（经汇率折算）</w:t>
      </w:r>
      <w:r>
        <w:rPr>
          <w:color w:val="000000" w:themeColor="text1"/>
          <w:sz w:val="24"/>
        </w:rPr>
        <w:t>×50%+MSCI</w:t>
      </w:r>
      <w:r>
        <w:rPr>
          <w:color w:val="000000" w:themeColor="text1"/>
          <w:sz w:val="24"/>
        </w:rPr>
        <w:t>全球金矿股指数（</w:t>
      </w:r>
      <w:r>
        <w:rPr>
          <w:color w:val="000000" w:themeColor="text1"/>
          <w:sz w:val="24"/>
        </w:rPr>
        <w:t>MSCI ACWI SELECT GOLD MINERS IMI INDEX</w:t>
      </w:r>
      <w:r>
        <w:rPr>
          <w:color w:val="000000" w:themeColor="text1"/>
          <w:sz w:val="24"/>
        </w:rPr>
        <w:t>）</w:t>
      </w:r>
      <w:r>
        <w:rPr>
          <w:color w:val="000000" w:themeColor="text1"/>
          <w:sz w:val="24"/>
        </w:rPr>
        <w:t>×50%”</w:t>
      </w:r>
      <w:r>
        <w:rPr>
          <w:color w:val="000000" w:themeColor="text1"/>
          <w:sz w:val="24"/>
        </w:rPr>
        <w:t>。</w:t>
      </w:r>
      <w:r>
        <w:rPr>
          <w:color w:val="000000" w:themeColor="text1"/>
          <w:sz w:val="24"/>
        </w:rPr>
        <w:t>MSCI</w:t>
      </w:r>
      <w:r>
        <w:rPr>
          <w:color w:val="000000" w:themeColor="text1"/>
          <w:sz w:val="24"/>
        </w:rPr>
        <w:t>全球金矿股指数（</w:t>
      </w:r>
      <w:r>
        <w:rPr>
          <w:color w:val="000000" w:themeColor="text1"/>
          <w:sz w:val="24"/>
        </w:rPr>
        <w:t>MSCI ACWI SELECT GOLD MINERS IMI INDEX</w:t>
      </w:r>
      <w:r>
        <w:rPr>
          <w:color w:val="000000" w:themeColor="text1"/>
          <w:sz w:val="24"/>
        </w:rPr>
        <w:t>）由</w:t>
      </w:r>
      <w:r>
        <w:rPr>
          <w:color w:val="000000" w:themeColor="text1"/>
          <w:sz w:val="24"/>
        </w:rPr>
        <w:t>MSCI</w:t>
      </w:r>
      <w:r>
        <w:rPr>
          <w:color w:val="000000" w:themeColor="text1"/>
          <w:sz w:val="24"/>
        </w:rPr>
        <w:t>编制，由全球主要黄金采掘企业股票组成。而本基金为黄金主题基金，投资于基金的资产合计不低于本基金基金资产净值的</w:t>
      </w:r>
      <w:r>
        <w:rPr>
          <w:color w:val="000000" w:themeColor="text1"/>
          <w:sz w:val="24"/>
        </w:rPr>
        <w:t>60%</w:t>
      </w:r>
      <w:r>
        <w:rPr>
          <w:color w:val="000000" w:themeColor="text1"/>
          <w:sz w:val="24"/>
        </w:rPr>
        <w:t>，投资于基金的资产中不低于</w:t>
      </w:r>
      <w:r>
        <w:rPr>
          <w:color w:val="000000" w:themeColor="text1"/>
          <w:sz w:val="24"/>
        </w:rPr>
        <w:t>80%</w:t>
      </w:r>
      <w:r>
        <w:rPr>
          <w:color w:val="000000" w:themeColor="text1"/>
          <w:sz w:val="24"/>
        </w:rPr>
        <w:t>投资于黄金基金，黄金基金指黄金</w:t>
      </w:r>
      <w:r>
        <w:rPr>
          <w:color w:val="000000" w:themeColor="text1"/>
          <w:sz w:val="24"/>
        </w:rPr>
        <w:t>ETF</w:t>
      </w:r>
      <w:r>
        <w:rPr>
          <w:color w:val="000000" w:themeColor="text1"/>
          <w:sz w:val="24"/>
        </w:rPr>
        <w:t>（即跟踪黄金价格或黄金价格指数的</w:t>
      </w:r>
      <w:r>
        <w:rPr>
          <w:color w:val="000000" w:themeColor="text1"/>
          <w:sz w:val="24"/>
        </w:rPr>
        <w:t>ETF</w:t>
      </w:r>
      <w:r>
        <w:rPr>
          <w:color w:val="000000" w:themeColor="text1"/>
          <w:sz w:val="24"/>
        </w:rPr>
        <w:t>）及黄金股票基金（包括跟踪黄金股票指数的指数基金和</w:t>
      </w:r>
      <w:r>
        <w:rPr>
          <w:color w:val="000000" w:themeColor="text1"/>
          <w:sz w:val="24"/>
        </w:rPr>
        <w:t>ETF</w:t>
      </w:r>
      <w:r>
        <w:rPr>
          <w:color w:val="000000" w:themeColor="text1"/>
          <w:sz w:val="24"/>
        </w:rPr>
        <w:t>，以及</w:t>
      </w:r>
      <w:r>
        <w:rPr>
          <w:color w:val="000000" w:themeColor="text1"/>
          <w:sz w:val="24"/>
        </w:rPr>
        <w:t>80%</w:t>
      </w:r>
      <w:r>
        <w:rPr>
          <w:color w:val="000000" w:themeColor="text1"/>
          <w:sz w:val="24"/>
        </w:rPr>
        <w:t>以上基金资产投资于黄金采掘公司股票的主动基金）。基金管理人在对黄金基金、黄金采掘公司股票以及与其他资产进行主动配置的过程中，黄金价格和黄金采掘公司股票价格是影响投资判断的关键因素。采用</w:t>
      </w:r>
      <w:r>
        <w:rPr>
          <w:color w:val="000000" w:themeColor="text1"/>
          <w:sz w:val="24"/>
        </w:rPr>
        <w:t>“</w:t>
      </w:r>
      <w:r>
        <w:rPr>
          <w:color w:val="000000" w:themeColor="text1"/>
          <w:sz w:val="24"/>
        </w:rPr>
        <w:t>以伦敦黄金市场下午定盘价计价的国际现货黄金（经汇率折算）</w:t>
      </w:r>
      <w:r>
        <w:rPr>
          <w:color w:val="000000" w:themeColor="text1"/>
          <w:sz w:val="24"/>
        </w:rPr>
        <w:t>×50%+MSCI</w:t>
      </w:r>
      <w:r>
        <w:rPr>
          <w:color w:val="000000" w:themeColor="text1"/>
          <w:sz w:val="24"/>
        </w:rPr>
        <w:t>全球金矿股指数（</w:t>
      </w:r>
      <w:r>
        <w:rPr>
          <w:color w:val="000000" w:themeColor="text1"/>
          <w:sz w:val="24"/>
        </w:rPr>
        <w:t>MSCI ACWI SELECT GOLD MINERS IMI INDEX</w:t>
      </w:r>
      <w:r>
        <w:rPr>
          <w:color w:val="000000" w:themeColor="text1"/>
          <w:sz w:val="24"/>
        </w:rPr>
        <w:t>）</w:t>
      </w:r>
      <w:r>
        <w:rPr>
          <w:color w:val="000000" w:themeColor="text1"/>
          <w:sz w:val="24"/>
        </w:rPr>
        <w:t>×50%”</w:t>
      </w:r>
      <w:r>
        <w:rPr>
          <w:color w:val="000000" w:themeColor="text1"/>
          <w:sz w:val="24"/>
        </w:rPr>
        <w:t>作为业绩比较基准，能够相对比较真实、客观地反映本基金的风险收益特征。基金业绩比较基准收益率在变更前后期间分别根据相应的指标计算。</w:t>
      </w:r>
    </w:p>
    <w:p w:rsidR="00845292" w:rsidRPr="00A67563" w:rsidRDefault="0065601A" w:rsidP="0062493E">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3.</w:t>
      </w:r>
      <w:r w:rsidRPr="00A67563">
        <w:rPr>
          <w:color w:val="000000" w:themeColor="text1"/>
          <w:sz w:val="24"/>
        </w:rPr>
        <w:t>自基金合同生效至报告期末，</w:t>
      </w:r>
      <w:r w:rsidRPr="00A67563">
        <w:rPr>
          <w:color w:val="000000" w:themeColor="text1"/>
          <w:sz w:val="24"/>
        </w:rPr>
        <w:t>A</w:t>
      </w:r>
      <w:r w:rsidRPr="00A67563">
        <w:rPr>
          <w:color w:val="000000" w:themeColor="text1"/>
          <w:sz w:val="24"/>
        </w:rPr>
        <w:t>类基金份额净值增长率为</w:t>
      </w:r>
      <w:r w:rsidRPr="00A67563">
        <w:rPr>
          <w:color w:val="000000" w:themeColor="text1"/>
          <w:sz w:val="24"/>
        </w:rPr>
        <w:t>-5.30%</w:t>
      </w:r>
      <w:r w:rsidRPr="00A67563">
        <w:rPr>
          <w:color w:val="000000" w:themeColor="text1"/>
          <w:sz w:val="24"/>
        </w:rPr>
        <w:t>，同期业绩比较基准收益率为</w:t>
      </w:r>
      <w:r w:rsidRPr="00A67563">
        <w:rPr>
          <w:color w:val="000000" w:themeColor="text1"/>
          <w:sz w:val="24"/>
        </w:rPr>
        <w:t>37.42%</w:t>
      </w:r>
      <w:r w:rsidRPr="00A67563">
        <w:rPr>
          <w:color w:val="000000" w:themeColor="text1"/>
          <w:sz w:val="24"/>
        </w:rPr>
        <w:t>。</w:t>
      </w:r>
      <w:r w:rsidRPr="00A67563">
        <w:rPr>
          <w:color w:val="000000" w:themeColor="text1"/>
          <w:sz w:val="24"/>
        </w:rPr>
        <w:t>C</w:t>
      </w:r>
      <w:r w:rsidRPr="00A67563">
        <w:rPr>
          <w:color w:val="000000" w:themeColor="text1"/>
          <w:sz w:val="24"/>
        </w:rPr>
        <w:t>类基金份额净值增长率为</w:t>
      </w:r>
      <w:r w:rsidRPr="00A67563">
        <w:rPr>
          <w:color w:val="000000" w:themeColor="text1"/>
          <w:sz w:val="24"/>
        </w:rPr>
        <w:t>17.64%</w:t>
      </w:r>
      <w:r w:rsidRPr="00A67563">
        <w:rPr>
          <w:color w:val="000000" w:themeColor="text1"/>
          <w:sz w:val="24"/>
        </w:rPr>
        <w:t>，同期业绩比较基准收益率为</w:t>
      </w:r>
      <w:r w:rsidRPr="00A67563">
        <w:rPr>
          <w:color w:val="000000" w:themeColor="text1"/>
          <w:sz w:val="24"/>
        </w:rPr>
        <w:t>29.91%</w:t>
      </w:r>
      <w:r w:rsidRPr="00A67563">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§4  </w:t>
      </w:r>
      <w:r w:rsidRPr="00A67563">
        <w:rPr>
          <w:color w:val="000000" w:themeColor="text1"/>
          <w:kern w:val="0"/>
          <w:sz w:val="24"/>
          <w:szCs w:val="24"/>
        </w:rPr>
        <w:t>管理人报告</w:t>
      </w:r>
    </w:p>
    <w:p w:rsidR="0040617F" w:rsidRPr="006506EF" w:rsidRDefault="0076518F" w:rsidP="0040617F">
      <w:pPr>
        <w:autoSpaceDE w:val="0"/>
        <w:autoSpaceDN w:val="0"/>
        <w:adjustRightInd w:val="0"/>
        <w:spacing w:line="360" w:lineRule="auto"/>
        <w:jc w:val="left"/>
        <w:rPr>
          <w:b/>
          <w:color w:val="000000"/>
          <w:kern w:val="0"/>
          <w:sz w:val="24"/>
        </w:rPr>
      </w:pPr>
      <w:r w:rsidRPr="00A67563">
        <w:rPr>
          <w:b/>
          <w:color w:val="000000" w:themeColor="text1"/>
          <w:kern w:val="0"/>
          <w:sz w:val="24"/>
        </w:rPr>
        <w:t xml:space="preserve">4.1 </w:t>
      </w:r>
      <w:r w:rsidRPr="00A67563">
        <w:rPr>
          <w:b/>
          <w:color w:val="000000" w:themeColor="text1"/>
          <w:kern w:val="0"/>
          <w:sz w:val="24"/>
        </w:rPr>
        <w:t>基金经理（或基金经理小组）简介</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0"/>
        <w:gridCol w:w="1276"/>
        <w:gridCol w:w="1276"/>
        <w:gridCol w:w="850"/>
        <w:gridCol w:w="1418"/>
      </w:tblGrid>
      <w:tr w:rsidR="0040617F" w:rsidRPr="006506EF" w:rsidTr="003A661A">
        <w:trPr>
          <w:cantSplit/>
          <w:trHeight w:val="292"/>
        </w:trPr>
        <w:tc>
          <w:tcPr>
            <w:tcW w:w="851"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姓名</w:t>
            </w:r>
          </w:p>
        </w:tc>
        <w:tc>
          <w:tcPr>
            <w:tcW w:w="3260"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职务</w:t>
            </w:r>
          </w:p>
        </w:tc>
        <w:tc>
          <w:tcPr>
            <w:tcW w:w="2552" w:type="dxa"/>
            <w:gridSpan w:val="2"/>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任本基金的基金经理期限</w:t>
            </w:r>
          </w:p>
        </w:tc>
        <w:tc>
          <w:tcPr>
            <w:tcW w:w="850" w:type="dxa"/>
            <w:vMerge w:val="restart"/>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证券从业年限</w:t>
            </w:r>
          </w:p>
        </w:tc>
        <w:tc>
          <w:tcPr>
            <w:tcW w:w="1418" w:type="dxa"/>
            <w:vMerge w:val="restart"/>
            <w:vAlign w:val="center"/>
          </w:tcPr>
          <w:p w:rsidR="0040617F" w:rsidRPr="006506EF" w:rsidRDefault="0040617F" w:rsidP="003A661A">
            <w:pPr>
              <w:widowControl/>
              <w:spacing w:before="29" w:line="360" w:lineRule="auto"/>
              <w:ind w:left="17"/>
              <w:jc w:val="center"/>
              <w:rPr>
                <w:color w:val="000000"/>
                <w:kern w:val="0"/>
                <w:sz w:val="24"/>
              </w:rPr>
            </w:pPr>
            <w:r w:rsidRPr="006506EF">
              <w:rPr>
                <w:color w:val="000000"/>
                <w:kern w:val="0"/>
                <w:sz w:val="24"/>
              </w:rPr>
              <w:t>说明</w:t>
            </w:r>
          </w:p>
        </w:tc>
      </w:tr>
      <w:tr w:rsidR="0040617F" w:rsidRPr="006506EF" w:rsidTr="003A661A">
        <w:trPr>
          <w:cantSplit/>
        </w:trPr>
        <w:tc>
          <w:tcPr>
            <w:tcW w:w="851" w:type="dxa"/>
            <w:vMerge/>
            <w:vAlign w:val="center"/>
          </w:tcPr>
          <w:p w:rsidR="0040617F" w:rsidRPr="006506EF" w:rsidRDefault="0040617F" w:rsidP="003A661A">
            <w:pPr>
              <w:widowControl/>
              <w:spacing w:line="360" w:lineRule="auto"/>
              <w:jc w:val="left"/>
              <w:rPr>
                <w:color w:val="000000"/>
                <w:kern w:val="0"/>
                <w:sz w:val="24"/>
              </w:rPr>
            </w:pPr>
          </w:p>
        </w:tc>
        <w:tc>
          <w:tcPr>
            <w:tcW w:w="3260" w:type="dxa"/>
            <w:vMerge/>
            <w:vAlign w:val="center"/>
          </w:tcPr>
          <w:p w:rsidR="0040617F" w:rsidRPr="006506EF" w:rsidRDefault="0040617F" w:rsidP="003A661A">
            <w:pPr>
              <w:widowControl/>
              <w:spacing w:line="360" w:lineRule="auto"/>
              <w:jc w:val="left"/>
              <w:rPr>
                <w:color w:val="000000"/>
                <w:kern w:val="0"/>
                <w:sz w:val="24"/>
              </w:rPr>
            </w:pP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任职日期</w:t>
            </w:r>
          </w:p>
        </w:tc>
        <w:tc>
          <w:tcPr>
            <w:tcW w:w="1276" w:type="dxa"/>
            <w:vAlign w:val="center"/>
          </w:tcPr>
          <w:p w:rsidR="0040617F" w:rsidRPr="006506EF" w:rsidRDefault="0040617F" w:rsidP="003A661A">
            <w:pPr>
              <w:autoSpaceDE w:val="0"/>
              <w:autoSpaceDN w:val="0"/>
              <w:adjustRightInd w:val="0"/>
              <w:spacing w:before="29" w:line="360" w:lineRule="auto"/>
              <w:ind w:left="17"/>
              <w:jc w:val="center"/>
              <w:rPr>
                <w:color w:val="000000"/>
                <w:kern w:val="0"/>
                <w:sz w:val="24"/>
              </w:rPr>
            </w:pPr>
            <w:r w:rsidRPr="006506EF">
              <w:rPr>
                <w:color w:val="000000"/>
                <w:kern w:val="0"/>
                <w:sz w:val="24"/>
              </w:rPr>
              <w:t>离任日期</w:t>
            </w:r>
          </w:p>
        </w:tc>
        <w:tc>
          <w:tcPr>
            <w:tcW w:w="850" w:type="dxa"/>
            <w:vMerge/>
            <w:vAlign w:val="center"/>
          </w:tcPr>
          <w:p w:rsidR="0040617F" w:rsidRPr="006506EF" w:rsidRDefault="0040617F" w:rsidP="003A661A">
            <w:pPr>
              <w:widowControl/>
              <w:spacing w:line="360" w:lineRule="auto"/>
              <w:jc w:val="left"/>
              <w:rPr>
                <w:color w:val="000000"/>
                <w:kern w:val="0"/>
                <w:sz w:val="24"/>
              </w:rPr>
            </w:pPr>
          </w:p>
        </w:tc>
        <w:tc>
          <w:tcPr>
            <w:tcW w:w="1418" w:type="dxa"/>
            <w:vMerge/>
            <w:vAlign w:val="center"/>
          </w:tcPr>
          <w:p w:rsidR="0040617F" w:rsidRPr="006506EF" w:rsidRDefault="0040617F" w:rsidP="003A661A">
            <w:pPr>
              <w:widowControl/>
              <w:spacing w:line="360" w:lineRule="auto"/>
              <w:jc w:val="left"/>
              <w:rPr>
                <w:color w:val="000000"/>
                <w:kern w:val="0"/>
                <w:sz w:val="24"/>
              </w:rPr>
            </w:pPr>
          </w:p>
        </w:tc>
      </w:tr>
      <w:tr w:rsidR="00791EEA">
        <w:tc>
          <w:tcPr>
            <w:tcW w:w="851" w:type="dxa"/>
            <w:vAlign w:val="center"/>
          </w:tcPr>
          <w:p w:rsidR="00791EEA" w:rsidRDefault="00E10952">
            <w:pPr>
              <w:jc w:val="center"/>
            </w:pPr>
            <w:r>
              <w:rPr>
                <w:color w:val="000000"/>
                <w:sz w:val="24"/>
              </w:rPr>
              <w:t>周宇</w:t>
            </w:r>
          </w:p>
        </w:tc>
        <w:tc>
          <w:tcPr>
            <w:tcW w:w="3260" w:type="dxa"/>
            <w:vAlign w:val="center"/>
          </w:tcPr>
          <w:p w:rsidR="00791EEA" w:rsidRDefault="00E10952">
            <w:pPr>
              <w:jc w:val="left"/>
            </w:pPr>
            <w:r>
              <w:rPr>
                <w:color w:val="000000"/>
                <w:sz w:val="24"/>
              </w:rPr>
              <w:t>本基金的基金经理</w:t>
            </w:r>
          </w:p>
        </w:tc>
        <w:tc>
          <w:tcPr>
            <w:tcW w:w="1276" w:type="dxa"/>
            <w:vAlign w:val="center"/>
          </w:tcPr>
          <w:p w:rsidR="00791EEA" w:rsidRDefault="00E10952">
            <w:pPr>
              <w:jc w:val="center"/>
            </w:pPr>
            <w:r>
              <w:rPr>
                <w:color w:val="000000"/>
                <w:sz w:val="24"/>
              </w:rPr>
              <w:t>2017-04-21</w:t>
            </w:r>
          </w:p>
        </w:tc>
        <w:tc>
          <w:tcPr>
            <w:tcW w:w="1276" w:type="dxa"/>
            <w:vAlign w:val="center"/>
          </w:tcPr>
          <w:p w:rsidR="00791EEA" w:rsidRDefault="00E10952">
            <w:pPr>
              <w:jc w:val="center"/>
            </w:pPr>
            <w:r>
              <w:rPr>
                <w:color w:val="000000"/>
                <w:sz w:val="24"/>
              </w:rPr>
              <w:t>-</w:t>
            </w:r>
          </w:p>
        </w:tc>
        <w:tc>
          <w:tcPr>
            <w:tcW w:w="850" w:type="dxa"/>
            <w:vAlign w:val="center"/>
          </w:tcPr>
          <w:p w:rsidR="00791EEA" w:rsidRDefault="00E10952">
            <w:pPr>
              <w:jc w:val="center"/>
            </w:pPr>
            <w:r>
              <w:rPr>
                <w:color w:val="000000"/>
                <w:sz w:val="24"/>
              </w:rPr>
              <w:t>9</w:t>
            </w:r>
            <w:r>
              <w:rPr>
                <w:color w:val="000000"/>
                <w:sz w:val="24"/>
              </w:rPr>
              <w:t>年</w:t>
            </w:r>
          </w:p>
        </w:tc>
        <w:tc>
          <w:tcPr>
            <w:tcW w:w="1418" w:type="dxa"/>
            <w:vAlign w:val="center"/>
          </w:tcPr>
          <w:p w:rsidR="00791EEA" w:rsidRDefault="00E10952">
            <w:pPr>
              <w:jc w:val="left"/>
            </w:pPr>
            <w:r>
              <w:rPr>
                <w:color w:val="000000"/>
                <w:sz w:val="24"/>
              </w:rPr>
              <w:t>硕士研究生，具有基金从业资格。曾任古根海姆投资管理公司全球宏观策略师，中国平安人寿保险总部投资管</w:t>
            </w:r>
            <w:r>
              <w:rPr>
                <w:color w:val="000000"/>
                <w:sz w:val="24"/>
              </w:rPr>
              <w:lastRenderedPageBreak/>
              <w:t>理中心策略经理，上海国泰君安证券资产管理有限公司研究发展部大类资产配置高级研究员。</w:t>
            </w:r>
          </w:p>
        </w:tc>
      </w:tr>
    </w:tbl>
    <w:p w:rsidR="00791EEA" w:rsidRDefault="00E10952">
      <w:pPr>
        <w:autoSpaceDE w:val="0"/>
        <w:autoSpaceDN w:val="0"/>
        <w:adjustRightInd w:val="0"/>
        <w:spacing w:line="360" w:lineRule="auto"/>
        <w:ind w:firstLineChars="200" w:firstLine="480"/>
        <w:jc w:val="left"/>
        <w:rPr>
          <w:color w:val="000000" w:themeColor="text1"/>
          <w:kern w:val="0"/>
          <w:sz w:val="24"/>
        </w:rPr>
      </w:pPr>
      <w:r>
        <w:rPr>
          <w:color w:val="000000"/>
          <w:sz w:val="24"/>
        </w:rPr>
        <w:lastRenderedPageBreak/>
        <w:t>注：</w:t>
      </w:r>
      <w:r>
        <w:rPr>
          <w:color w:val="000000"/>
          <w:sz w:val="24"/>
        </w:rPr>
        <w:t>1.</w:t>
      </w:r>
      <w:r>
        <w:rPr>
          <w:color w:val="000000"/>
          <w:sz w:val="24"/>
        </w:rPr>
        <w:t>对基金的首任基金经理，其</w:t>
      </w:r>
      <w:r>
        <w:rPr>
          <w:color w:val="000000"/>
          <w:sz w:val="24"/>
        </w:rPr>
        <w:t>“</w:t>
      </w:r>
      <w:r>
        <w:rPr>
          <w:color w:val="000000"/>
          <w:sz w:val="24"/>
        </w:rPr>
        <w:t>任职日期</w:t>
      </w:r>
      <w:r>
        <w:rPr>
          <w:color w:val="000000"/>
          <w:sz w:val="24"/>
        </w:rPr>
        <w:t>”</w:t>
      </w:r>
      <w:r>
        <w:rPr>
          <w:color w:val="000000"/>
          <w:sz w:val="24"/>
        </w:rPr>
        <w:t>为基金合同生效日，</w:t>
      </w:r>
      <w:r>
        <w:rPr>
          <w:color w:val="000000"/>
          <w:sz w:val="24"/>
        </w:rPr>
        <w:t>“</w:t>
      </w:r>
      <w:r>
        <w:rPr>
          <w:color w:val="000000"/>
          <w:sz w:val="24"/>
        </w:rPr>
        <w:t>离任日期</w:t>
      </w:r>
      <w:r>
        <w:rPr>
          <w:color w:val="000000"/>
          <w:sz w:val="24"/>
        </w:rPr>
        <w:t>”</w:t>
      </w:r>
      <w:r>
        <w:rPr>
          <w:color w:val="000000"/>
          <w:sz w:val="24"/>
        </w:rPr>
        <w:t>为根据公司决定确定的解聘日期；对此后的非首任基金经理，</w:t>
      </w:r>
      <w:r>
        <w:rPr>
          <w:color w:val="000000"/>
          <w:sz w:val="24"/>
        </w:rPr>
        <w:t>“</w:t>
      </w:r>
      <w:r>
        <w:rPr>
          <w:color w:val="000000"/>
          <w:sz w:val="24"/>
        </w:rPr>
        <w:t>任职日期</w:t>
      </w:r>
      <w:r>
        <w:rPr>
          <w:color w:val="000000"/>
          <w:sz w:val="24"/>
        </w:rPr>
        <w:t>”</w:t>
      </w:r>
      <w:r>
        <w:rPr>
          <w:color w:val="000000"/>
          <w:sz w:val="24"/>
        </w:rPr>
        <w:t>和</w:t>
      </w:r>
      <w:r>
        <w:rPr>
          <w:color w:val="000000"/>
          <w:sz w:val="24"/>
        </w:rPr>
        <w:t>“</w:t>
      </w:r>
      <w:r>
        <w:rPr>
          <w:color w:val="000000"/>
          <w:sz w:val="24"/>
        </w:rPr>
        <w:t>离任日期</w:t>
      </w:r>
      <w:r>
        <w:rPr>
          <w:color w:val="000000"/>
          <w:sz w:val="24"/>
        </w:rPr>
        <w:t>”</w:t>
      </w:r>
      <w:r>
        <w:rPr>
          <w:color w:val="000000"/>
          <w:sz w:val="24"/>
        </w:rPr>
        <w:t>分别指根据公司决定确定的聘任日期和解聘日期。</w:t>
      </w:r>
    </w:p>
    <w:p w:rsidR="0076518F" w:rsidRPr="00A67563" w:rsidRDefault="0040617F" w:rsidP="0062493E">
      <w:pPr>
        <w:autoSpaceDE w:val="0"/>
        <w:autoSpaceDN w:val="0"/>
        <w:adjustRightInd w:val="0"/>
        <w:spacing w:line="360" w:lineRule="auto"/>
        <w:ind w:firstLineChars="200" w:firstLine="480"/>
        <w:jc w:val="left"/>
        <w:rPr>
          <w:color w:val="000000" w:themeColor="text1"/>
          <w:kern w:val="0"/>
          <w:sz w:val="24"/>
        </w:rPr>
      </w:pPr>
      <w:r w:rsidRPr="006506EF">
        <w:rPr>
          <w:color w:val="000000"/>
          <w:sz w:val="24"/>
        </w:rPr>
        <w:t>2.</w:t>
      </w:r>
      <w:r w:rsidRPr="006506EF">
        <w:rPr>
          <w:color w:val="000000"/>
          <w:sz w:val="24"/>
        </w:rPr>
        <w:t>证券从业的含义遵从《证券业从业人员资格管理办法》的相关规定。</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F077D2" w:rsidRPr="00A67563">
        <w:rPr>
          <w:b/>
          <w:color w:val="000000" w:themeColor="text1"/>
          <w:kern w:val="0"/>
          <w:sz w:val="24"/>
        </w:rPr>
        <w:t>2</w:t>
      </w:r>
      <w:r w:rsidR="00A32FDA" w:rsidRPr="00A67563">
        <w:rPr>
          <w:b/>
          <w:color w:val="000000" w:themeColor="text1"/>
          <w:kern w:val="0"/>
          <w:sz w:val="24"/>
        </w:rPr>
        <w:t xml:space="preserve"> </w:t>
      </w:r>
      <w:r w:rsidRPr="00A67563">
        <w:rPr>
          <w:b/>
          <w:color w:val="000000" w:themeColor="text1"/>
          <w:kern w:val="0"/>
          <w:sz w:val="24"/>
        </w:rPr>
        <w:t>境外投资顾问为本基金提供投资建议的主要成员简介</w:t>
      </w:r>
    </w:p>
    <w:p w:rsidR="00FB47E0" w:rsidRPr="00A67563" w:rsidRDefault="00363E15" w:rsidP="0062493E">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本基金没有聘请境外投资顾问。</w:t>
      </w:r>
    </w:p>
    <w:p w:rsidR="0008610C" w:rsidRDefault="0076518F" w:rsidP="0008610C">
      <w:pPr>
        <w:autoSpaceDE w:val="0"/>
        <w:autoSpaceDN w:val="0"/>
        <w:adjustRightInd w:val="0"/>
        <w:spacing w:line="360" w:lineRule="auto"/>
        <w:jc w:val="left"/>
        <w:rPr>
          <w:b/>
          <w:color w:val="000000"/>
          <w:kern w:val="0"/>
          <w:sz w:val="24"/>
        </w:rPr>
      </w:pPr>
      <w:r w:rsidRPr="00A67563">
        <w:rPr>
          <w:b/>
          <w:color w:val="000000" w:themeColor="text1"/>
          <w:kern w:val="0"/>
          <w:sz w:val="24"/>
        </w:rPr>
        <w:t>4.</w:t>
      </w:r>
      <w:r w:rsidR="00A32FDA" w:rsidRPr="00A67563">
        <w:rPr>
          <w:b/>
          <w:color w:val="000000" w:themeColor="text1"/>
          <w:kern w:val="0"/>
          <w:sz w:val="24"/>
        </w:rPr>
        <w:t>3</w:t>
      </w:r>
      <w:r w:rsidR="0008610C">
        <w:rPr>
          <w:rFonts w:hint="eastAsia"/>
          <w:b/>
          <w:color w:val="000000"/>
          <w:kern w:val="0"/>
          <w:sz w:val="24"/>
        </w:rPr>
        <w:t>报告期内本基金运作遵规守信情况说明</w:t>
      </w:r>
    </w:p>
    <w:p w:rsidR="0076518F" w:rsidRPr="00A67563" w:rsidRDefault="00363E15" w:rsidP="0062493E">
      <w:pPr>
        <w:spacing w:line="360" w:lineRule="auto"/>
        <w:ind w:firstLineChars="200" w:firstLine="480"/>
        <w:rPr>
          <w:color w:val="000000" w:themeColor="text1"/>
          <w:kern w:val="0"/>
          <w:sz w:val="24"/>
        </w:rPr>
      </w:pPr>
      <w:r w:rsidRPr="00A67563">
        <w:rPr>
          <w:color w:val="000000" w:themeColor="text1"/>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6518F" w:rsidRPr="00A67563" w:rsidRDefault="0076518F" w:rsidP="00A70E2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4.</w:t>
      </w:r>
      <w:r w:rsidR="00A32FDA" w:rsidRPr="00A67563">
        <w:rPr>
          <w:b/>
          <w:color w:val="000000" w:themeColor="text1"/>
          <w:kern w:val="0"/>
          <w:sz w:val="24"/>
        </w:rPr>
        <w:t>4</w:t>
      </w:r>
      <w:r w:rsidRPr="00A67563">
        <w:rPr>
          <w:b/>
          <w:color w:val="000000" w:themeColor="text1"/>
          <w:kern w:val="0"/>
          <w:sz w:val="24"/>
        </w:rPr>
        <w:t xml:space="preserve"> </w:t>
      </w:r>
      <w:r w:rsidRPr="00A67563">
        <w:rPr>
          <w:b/>
          <w:color w:val="000000" w:themeColor="text1"/>
          <w:kern w:val="0"/>
          <w:sz w:val="24"/>
        </w:rPr>
        <w:t>公平交易专项说明</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4.1</w:t>
      </w:r>
      <w:r w:rsidRPr="00A67563">
        <w:rPr>
          <w:color w:val="000000" w:themeColor="text1"/>
          <w:sz w:val="24"/>
        </w:rPr>
        <w:t>公平交易制度的执行情况</w:t>
      </w:r>
    </w:p>
    <w:p w:rsidR="00AB42E2" w:rsidRPr="00A67563" w:rsidRDefault="001F3C28" w:rsidP="00797DD2">
      <w:pPr>
        <w:spacing w:line="360" w:lineRule="auto"/>
        <w:ind w:firstLineChars="200" w:firstLine="480"/>
        <w:rPr>
          <w:color w:val="000000" w:themeColor="text1"/>
          <w:sz w:val="24"/>
        </w:rPr>
      </w:pPr>
      <w:r w:rsidRPr="00A67563">
        <w:rPr>
          <w:color w:val="000000" w:themeColor="text1"/>
          <w:sz w:val="24"/>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AB42E2" w:rsidRPr="00A67563" w:rsidRDefault="00AB42E2" w:rsidP="00A70E23">
      <w:pPr>
        <w:spacing w:line="360" w:lineRule="auto"/>
        <w:rPr>
          <w:color w:val="000000" w:themeColor="text1"/>
          <w:sz w:val="24"/>
        </w:rPr>
      </w:pPr>
      <w:r w:rsidRPr="00A67563">
        <w:rPr>
          <w:color w:val="000000" w:themeColor="text1"/>
          <w:sz w:val="24"/>
        </w:rPr>
        <w:t>4.</w:t>
      </w:r>
      <w:r w:rsidR="00A32FDA" w:rsidRPr="00A67563">
        <w:rPr>
          <w:color w:val="000000" w:themeColor="text1"/>
          <w:sz w:val="24"/>
        </w:rPr>
        <w:t>4</w:t>
      </w:r>
      <w:r w:rsidRPr="00A67563">
        <w:rPr>
          <w:color w:val="000000" w:themeColor="text1"/>
          <w:sz w:val="24"/>
        </w:rPr>
        <w:t>.</w:t>
      </w:r>
      <w:r w:rsidR="00A32FDA" w:rsidRPr="00A67563">
        <w:rPr>
          <w:color w:val="000000" w:themeColor="text1"/>
          <w:sz w:val="24"/>
        </w:rPr>
        <w:t>2</w:t>
      </w:r>
      <w:r w:rsidRPr="00A67563">
        <w:rPr>
          <w:color w:val="000000" w:themeColor="text1"/>
          <w:sz w:val="24"/>
        </w:rPr>
        <w:t>异常交易行为的专项说明</w:t>
      </w:r>
    </w:p>
    <w:p w:rsidR="00791EEA" w:rsidRDefault="00E10952">
      <w:pPr>
        <w:spacing w:line="360" w:lineRule="auto"/>
        <w:ind w:firstLineChars="200" w:firstLine="480"/>
        <w:rPr>
          <w:color w:val="000000" w:themeColor="text1"/>
          <w:kern w:val="0"/>
          <w:sz w:val="24"/>
        </w:rPr>
      </w:pPr>
      <w:r>
        <w:rPr>
          <w:color w:val="000000" w:themeColor="text1"/>
          <w:sz w:val="24"/>
        </w:rPr>
        <w:t>本报告期内，公司旗下所有投资组合参与的交易所公开竞价交易中，同日反向交易成交较少的单边交易量超过该证券当日成交量的</w:t>
      </w:r>
      <w:r>
        <w:rPr>
          <w:color w:val="000000" w:themeColor="text1"/>
          <w:sz w:val="24"/>
        </w:rPr>
        <w:t>5%</w:t>
      </w:r>
      <w:r>
        <w:rPr>
          <w:color w:val="000000" w:themeColor="text1"/>
          <w:sz w:val="24"/>
        </w:rPr>
        <w:t>的交易共</w:t>
      </w:r>
      <w:r>
        <w:rPr>
          <w:color w:val="000000" w:themeColor="text1"/>
          <w:sz w:val="24"/>
        </w:rPr>
        <w:t>42</w:t>
      </w:r>
      <w:r>
        <w:rPr>
          <w:color w:val="000000" w:themeColor="text1"/>
          <w:sz w:val="24"/>
        </w:rPr>
        <w:t>次，均为指数量化投资组合因投资策略需要和其他组合发生的反向交易。</w:t>
      </w:r>
    </w:p>
    <w:p w:rsidR="0076518F" w:rsidRPr="00A67563" w:rsidRDefault="001F3C28" w:rsidP="0062493E">
      <w:pPr>
        <w:spacing w:line="360" w:lineRule="auto"/>
        <w:ind w:firstLineChars="200" w:firstLine="480"/>
        <w:rPr>
          <w:color w:val="000000" w:themeColor="text1"/>
          <w:kern w:val="0"/>
          <w:sz w:val="24"/>
        </w:rPr>
      </w:pPr>
      <w:r w:rsidRPr="00A67563">
        <w:rPr>
          <w:color w:val="000000" w:themeColor="text1"/>
          <w:sz w:val="24"/>
        </w:rPr>
        <w:lastRenderedPageBreak/>
        <w:t>本报告期内，未发现本基金有可能导致不公平交易和利益输送的异常交易。</w:t>
      </w:r>
    </w:p>
    <w:p w:rsidR="0067094A" w:rsidRDefault="0076518F" w:rsidP="0067094A">
      <w:pPr>
        <w:autoSpaceDE w:val="0"/>
        <w:autoSpaceDN w:val="0"/>
        <w:adjustRightInd w:val="0"/>
        <w:spacing w:line="360" w:lineRule="auto"/>
        <w:jc w:val="left"/>
        <w:rPr>
          <w:sz w:val="24"/>
        </w:rPr>
      </w:pPr>
      <w:r w:rsidRPr="00A67563">
        <w:rPr>
          <w:b/>
          <w:color w:val="000000" w:themeColor="text1"/>
          <w:kern w:val="0"/>
          <w:sz w:val="24"/>
        </w:rPr>
        <w:t>4.</w:t>
      </w:r>
      <w:r w:rsidR="00A32FDA" w:rsidRPr="00A67563">
        <w:rPr>
          <w:b/>
          <w:color w:val="000000" w:themeColor="text1"/>
          <w:kern w:val="0"/>
          <w:sz w:val="24"/>
        </w:rPr>
        <w:t>5</w:t>
      </w:r>
      <w:r w:rsidRPr="00A67563">
        <w:rPr>
          <w:b/>
          <w:color w:val="000000" w:themeColor="text1"/>
          <w:kern w:val="0"/>
          <w:sz w:val="24"/>
        </w:rPr>
        <w:t xml:space="preserve"> </w:t>
      </w:r>
      <w:r w:rsidR="0067094A">
        <w:rPr>
          <w:rFonts w:hint="eastAsia"/>
          <w:b/>
          <w:color w:val="000000"/>
          <w:kern w:val="0"/>
          <w:sz w:val="24"/>
        </w:rPr>
        <w:t>报告期内基金的投资策略和业绩表现说明</w:t>
      </w:r>
    </w:p>
    <w:p w:rsidR="00791EEA" w:rsidRDefault="00E10952">
      <w:pPr>
        <w:spacing w:line="360" w:lineRule="auto"/>
        <w:ind w:firstLineChars="200" w:firstLine="480"/>
        <w:rPr>
          <w:color w:val="000000" w:themeColor="text1"/>
          <w:sz w:val="24"/>
        </w:rPr>
      </w:pPr>
      <w:r>
        <w:rPr>
          <w:color w:val="000000" w:themeColor="text1"/>
          <w:sz w:val="24"/>
        </w:rPr>
        <w:t>二季度，在各国政府和央行强力的财政和货币宽松下，全球金融市场呈现了绝地反弹。前期跌幅较大的金矿股显著回升，而黄金依然是年初至今大类资产中表现最佳的品种之一，宽松的流动性环境继续推动各类资产的全线上涨，而疫情对人们心理冲击最大的阶段基本告一段落。本基金二季度大体维持黄金</w:t>
      </w:r>
      <w:r>
        <w:rPr>
          <w:color w:val="000000" w:themeColor="text1"/>
          <w:sz w:val="24"/>
        </w:rPr>
        <w:t>ETF</w:t>
      </w:r>
      <w:r>
        <w:rPr>
          <w:color w:val="000000" w:themeColor="text1"/>
          <w:sz w:val="24"/>
        </w:rPr>
        <w:t>与金矿股基金的均衡配置，但过早的降低了黄金股资产的比重从而跑输基准。</w:t>
      </w:r>
    </w:p>
    <w:p w:rsidR="00791EEA" w:rsidRDefault="00E10952">
      <w:pPr>
        <w:spacing w:line="360" w:lineRule="auto"/>
        <w:ind w:firstLineChars="200" w:firstLine="480"/>
        <w:rPr>
          <w:color w:val="000000" w:themeColor="text1"/>
          <w:sz w:val="24"/>
        </w:rPr>
      </w:pPr>
      <w:r>
        <w:rPr>
          <w:color w:val="000000" w:themeColor="text1"/>
          <w:sz w:val="24"/>
        </w:rPr>
        <w:t>从短期来看，国际金价的走势面临一定的不确定性。各国经济陆续复苏和风险偏好的回升可能会阶段性的压制避险需求，但另一方面，鉴于持续的疫情风险和较高的失业水平，各国央行的货币政策难以在短期内收紧，而地缘政治风险随着美国大选的临近亦将逐渐上升，因此黄金作为资产配置对冲尾部风险的价值依然显著。我们上一季度比较了前面两次衰退后黄金的表现：在</w:t>
      </w:r>
      <w:r>
        <w:rPr>
          <w:color w:val="000000" w:themeColor="text1"/>
          <w:sz w:val="24"/>
        </w:rPr>
        <w:t>2000</w:t>
      </w:r>
      <w:r>
        <w:rPr>
          <w:color w:val="000000" w:themeColor="text1"/>
          <w:sz w:val="24"/>
        </w:rPr>
        <w:t>年股票熊市期间，黄金与全球金矿股指数分别从当年高点下跌</w:t>
      </w:r>
      <w:r>
        <w:rPr>
          <w:color w:val="000000" w:themeColor="text1"/>
          <w:sz w:val="24"/>
        </w:rPr>
        <w:t>16%</w:t>
      </w:r>
      <w:r>
        <w:rPr>
          <w:color w:val="000000" w:themeColor="text1"/>
          <w:sz w:val="24"/>
        </w:rPr>
        <w:t>与</w:t>
      </w:r>
      <w:r>
        <w:rPr>
          <w:color w:val="000000" w:themeColor="text1"/>
          <w:sz w:val="24"/>
        </w:rPr>
        <w:t>43%</w:t>
      </w:r>
      <w:r>
        <w:rPr>
          <w:color w:val="000000" w:themeColor="text1"/>
          <w:sz w:val="24"/>
        </w:rPr>
        <w:t>，然后在接下来</w:t>
      </w:r>
      <w:r>
        <w:rPr>
          <w:color w:val="000000" w:themeColor="text1"/>
          <w:sz w:val="24"/>
        </w:rPr>
        <w:t>3</w:t>
      </w:r>
      <w:r>
        <w:rPr>
          <w:color w:val="000000" w:themeColor="text1"/>
          <w:sz w:val="24"/>
        </w:rPr>
        <w:t>年分别累计上涨</w:t>
      </w:r>
      <w:r>
        <w:rPr>
          <w:color w:val="000000" w:themeColor="text1"/>
          <w:sz w:val="24"/>
        </w:rPr>
        <w:t>45%</w:t>
      </w:r>
      <w:r>
        <w:rPr>
          <w:color w:val="000000" w:themeColor="text1"/>
          <w:sz w:val="24"/>
        </w:rPr>
        <w:t>与</w:t>
      </w:r>
      <w:r>
        <w:rPr>
          <w:color w:val="000000" w:themeColor="text1"/>
          <w:sz w:val="24"/>
        </w:rPr>
        <w:t>307%</w:t>
      </w:r>
      <w:r>
        <w:rPr>
          <w:color w:val="000000" w:themeColor="text1"/>
          <w:sz w:val="24"/>
        </w:rPr>
        <w:t>。在</w:t>
      </w:r>
      <w:r>
        <w:rPr>
          <w:color w:val="000000" w:themeColor="text1"/>
          <w:sz w:val="24"/>
        </w:rPr>
        <w:t>2008</w:t>
      </w:r>
      <w:r>
        <w:rPr>
          <w:color w:val="000000" w:themeColor="text1"/>
          <w:sz w:val="24"/>
        </w:rPr>
        <w:t>年全球金融危机时，黄金与全球金矿股指数分别从当年高点快速回撤</w:t>
      </w:r>
      <w:r>
        <w:rPr>
          <w:color w:val="000000" w:themeColor="text1"/>
          <w:sz w:val="24"/>
        </w:rPr>
        <w:t>29%</w:t>
      </w:r>
      <w:r>
        <w:rPr>
          <w:color w:val="000000" w:themeColor="text1"/>
          <w:sz w:val="24"/>
        </w:rPr>
        <w:t>与</w:t>
      </w:r>
      <w:r>
        <w:rPr>
          <w:color w:val="000000" w:themeColor="text1"/>
          <w:sz w:val="24"/>
        </w:rPr>
        <w:t>71%</w:t>
      </w:r>
      <w:r>
        <w:rPr>
          <w:color w:val="000000" w:themeColor="text1"/>
          <w:sz w:val="24"/>
        </w:rPr>
        <w:t>，然后在接下来</w:t>
      </w:r>
      <w:r>
        <w:rPr>
          <w:color w:val="000000" w:themeColor="text1"/>
          <w:sz w:val="24"/>
        </w:rPr>
        <w:t>3</w:t>
      </w:r>
      <w:r>
        <w:rPr>
          <w:color w:val="000000" w:themeColor="text1"/>
          <w:sz w:val="24"/>
        </w:rPr>
        <w:t>年分别累计上涨</w:t>
      </w:r>
      <w:r>
        <w:rPr>
          <w:color w:val="000000" w:themeColor="text1"/>
          <w:sz w:val="24"/>
        </w:rPr>
        <w:t>151%</w:t>
      </w:r>
      <w:r>
        <w:rPr>
          <w:color w:val="000000" w:themeColor="text1"/>
          <w:sz w:val="24"/>
        </w:rPr>
        <w:t>与</w:t>
      </w:r>
      <w:r>
        <w:rPr>
          <w:color w:val="000000" w:themeColor="text1"/>
          <w:sz w:val="24"/>
        </w:rPr>
        <w:t>290%</w:t>
      </w:r>
      <w:r>
        <w:rPr>
          <w:color w:val="000000" w:themeColor="text1"/>
          <w:sz w:val="24"/>
        </w:rPr>
        <w:t>。</w:t>
      </w:r>
    </w:p>
    <w:p w:rsidR="00791EEA" w:rsidRDefault="00E10952">
      <w:pPr>
        <w:spacing w:line="360" w:lineRule="auto"/>
        <w:ind w:firstLineChars="200" w:firstLine="480"/>
        <w:rPr>
          <w:color w:val="000000" w:themeColor="text1"/>
          <w:sz w:val="24"/>
        </w:rPr>
      </w:pPr>
      <w:r>
        <w:rPr>
          <w:color w:val="000000" w:themeColor="text1"/>
          <w:sz w:val="24"/>
        </w:rPr>
        <w:t>我们对黄金和金矿股资产长期看好的核心逻辑没有任何改变。尽管短期波动风险不能排除，但我们建议投资者保持耐心，更加积极的看待黄金资产的中长期前景。本基金亦将继续积极的管理，力争降低短期调整期的回撤，把握中长期的上涨行情，取得相对基准的超额收益。</w:t>
      </w:r>
    </w:p>
    <w:p w:rsidR="00C736BB" w:rsidRPr="00A67563" w:rsidRDefault="0067094A" w:rsidP="00A70E23">
      <w:pPr>
        <w:spacing w:line="360" w:lineRule="auto"/>
        <w:ind w:firstLineChars="200" w:firstLine="480"/>
        <w:rPr>
          <w:color w:val="000000" w:themeColor="text1"/>
          <w:sz w:val="24"/>
        </w:rPr>
      </w:pPr>
      <w:r w:rsidRPr="00F47E2F">
        <w:rPr>
          <w:color w:val="000000" w:themeColor="text1"/>
          <w:sz w:val="24"/>
        </w:rPr>
        <w:t>截至报告期末，本基金</w:t>
      </w:r>
      <w:r w:rsidRPr="00F47E2F">
        <w:rPr>
          <w:color w:val="000000" w:themeColor="text1"/>
          <w:sz w:val="24"/>
        </w:rPr>
        <w:t>A</w:t>
      </w:r>
      <w:r w:rsidRPr="00F47E2F">
        <w:rPr>
          <w:color w:val="000000" w:themeColor="text1"/>
          <w:sz w:val="24"/>
        </w:rPr>
        <w:t>类基金份额净值为</w:t>
      </w:r>
      <w:r w:rsidRPr="00F47E2F">
        <w:rPr>
          <w:color w:val="000000" w:themeColor="text1"/>
          <w:sz w:val="24"/>
        </w:rPr>
        <w:t>0.947</w:t>
      </w:r>
      <w:r w:rsidRPr="00F47E2F">
        <w:rPr>
          <w:color w:val="000000" w:themeColor="text1"/>
          <w:sz w:val="24"/>
        </w:rPr>
        <w:t>元，本报告期份额净值增长率为</w:t>
      </w:r>
      <w:r w:rsidRPr="00F47E2F">
        <w:rPr>
          <w:color w:val="000000" w:themeColor="text1"/>
          <w:sz w:val="24"/>
        </w:rPr>
        <w:t>25.93%</w:t>
      </w:r>
      <w:r w:rsidRPr="00F47E2F">
        <w:rPr>
          <w:color w:val="000000" w:themeColor="text1"/>
          <w:sz w:val="24"/>
        </w:rPr>
        <w:t>，同期业绩比较基准收益率为</w:t>
      </w:r>
      <w:r w:rsidRPr="00F47E2F">
        <w:rPr>
          <w:color w:val="000000" w:themeColor="text1"/>
          <w:sz w:val="24"/>
        </w:rPr>
        <w:t>30.55%</w:t>
      </w:r>
      <w:r w:rsidRPr="00F47E2F">
        <w:rPr>
          <w:color w:val="000000" w:themeColor="text1"/>
          <w:sz w:val="24"/>
        </w:rPr>
        <w:t>；</w:t>
      </w:r>
      <w:r w:rsidRPr="00F47E2F">
        <w:rPr>
          <w:color w:val="000000" w:themeColor="text1"/>
          <w:sz w:val="24"/>
        </w:rPr>
        <w:t>C</w:t>
      </w:r>
      <w:r w:rsidRPr="00F47E2F">
        <w:rPr>
          <w:color w:val="000000" w:themeColor="text1"/>
          <w:sz w:val="24"/>
        </w:rPr>
        <w:t>类基金份额净值为</w:t>
      </w:r>
      <w:r w:rsidRPr="00F47E2F">
        <w:rPr>
          <w:color w:val="000000" w:themeColor="text1"/>
          <w:sz w:val="24"/>
        </w:rPr>
        <w:t>0.947</w:t>
      </w:r>
      <w:r w:rsidRPr="00F47E2F">
        <w:rPr>
          <w:color w:val="000000" w:themeColor="text1"/>
          <w:sz w:val="24"/>
        </w:rPr>
        <w:t>元，本报告期份额净值增长率为</w:t>
      </w:r>
      <w:r w:rsidRPr="00F47E2F">
        <w:rPr>
          <w:color w:val="000000" w:themeColor="text1"/>
          <w:sz w:val="24"/>
        </w:rPr>
        <w:t>25.76%</w:t>
      </w:r>
      <w:r w:rsidRPr="00F47E2F">
        <w:rPr>
          <w:color w:val="000000" w:themeColor="text1"/>
          <w:sz w:val="24"/>
        </w:rPr>
        <w:t>，同期业绩比较基准收益率为</w:t>
      </w:r>
      <w:r w:rsidRPr="00F47E2F">
        <w:rPr>
          <w:color w:val="000000" w:themeColor="text1"/>
          <w:sz w:val="24"/>
        </w:rPr>
        <w:t>30.55%</w:t>
      </w:r>
      <w:r w:rsidRPr="00F47E2F">
        <w:rPr>
          <w:color w:val="000000" w:themeColor="text1"/>
          <w:sz w:val="24"/>
        </w:rPr>
        <w:t>。</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 xml:space="preserve">§5  </w:t>
      </w:r>
      <w:r w:rsidRPr="00A67563">
        <w:rPr>
          <w:color w:val="000000" w:themeColor="text1"/>
          <w:kern w:val="0"/>
          <w:sz w:val="24"/>
          <w:szCs w:val="24"/>
        </w:rPr>
        <w:t>投资组合报告</w:t>
      </w:r>
    </w:p>
    <w:p w:rsidR="0076518F" w:rsidRPr="00A67563" w:rsidRDefault="0076518F"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 xml:space="preserve">5.1 </w:t>
      </w:r>
      <w:r w:rsidRPr="00A67563">
        <w:rPr>
          <w:b/>
          <w:color w:val="000000" w:themeColor="text1"/>
          <w:kern w:val="0"/>
          <w:sz w:val="24"/>
        </w:rPr>
        <w:t>报告期末基金资产组合情况</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2835"/>
        <w:gridCol w:w="1559"/>
      </w:tblGrid>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序号</w:t>
            </w:r>
          </w:p>
        </w:tc>
        <w:tc>
          <w:tcPr>
            <w:tcW w:w="4253"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项目</w:t>
            </w:r>
          </w:p>
        </w:tc>
        <w:tc>
          <w:tcPr>
            <w:tcW w:w="2835"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金额</w:t>
            </w:r>
            <w:r w:rsidRPr="00A67563">
              <w:rPr>
                <w:color w:val="000000" w:themeColor="text1"/>
                <w:sz w:val="24"/>
              </w:rPr>
              <w:t>(</w:t>
            </w:r>
            <w:r w:rsidR="002655D4" w:rsidRPr="00A67563">
              <w:rPr>
                <w:color w:val="000000" w:themeColor="text1"/>
                <w:sz w:val="24"/>
              </w:rPr>
              <w:t>人民币</w:t>
            </w:r>
            <w:r w:rsidRPr="00A67563">
              <w:rPr>
                <w:color w:val="000000" w:themeColor="text1"/>
                <w:sz w:val="24"/>
              </w:rPr>
              <w:t>元</w:t>
            </w:r>
            <w:r w:rsidRPr="00A67563">
              <w:rPr>
                <w:color w:val="000000" w:themeColor="text1"/>
                <w:sz w:val="24"/>
              </w:rPr>
              <w:t>)</w:t>
            </w:r>
          </w:p>
        </w:tc>
        <w:tc>
          <w:tcPr>
            <w:tcW w:w="1559"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占基金总资产的比例</w:t>
            </w:r>
            <w:r w:rsidRPr="00A67563">
              <w:rPr>
                <w:color w:val="000000" w:themeColor="text1"/>
                <w:sz w:val="24"/>
              </w:rPr>
              <w:t>(%)</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r w:rsidRPr="00A67563">
              <w:rPr>
                <w:color w:val="000000" w:themeColor="text1"/>
                <w:sz w:val="24"/>
              </w:rPr>
              <w:t>1</w:t>
            </w: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权益投资</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24,086,465.18</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7.78</w:t>
            </w:r>
          </w:p>
        </w:tc>
      </w:tr>
      <w:tr w:rsidR="008277FF" w:rsidRPr="00A67563" w:rsidTr="006C750F">
        <w:trPr>
          <w:jc w:val="center"/>
        </w:trPr>
        <w:tc>
          <w:tcPr>
            <w:tcW w:w="851" w:type="dxa"/>
            <w:shd w:val="clear" w:color="auto" w:fill="auto"/>
            <w:vAlign w:val="center"/>
          </w:tcPr>
          <w:p w:rsidR="00363E15" w:rsidRPr="00A67563" w:rsidRDefault="00363E15" w:rsidP="00B918B8">
            <w:pPr>
              <w:spacing w:before="29" w:line="360" w:lineRule="auto"/>
              <w:ind w:left="17"/>
              <w:jc w:val="center"/>
              <w:rPr>
                <w:color w:val="000000" w:themeColor="text1"/>
                <w:sz w:val="24"/>
              </w:rPr>
            </w:pPr>
          </w:p>
        </w:tc>
        <w:tc>
          <w:tcPr>
            <w:tcW w:w="4253" w:type="dxa"/>
            <w:shd w:val="clear" w:color="auto" w:fill="auto"/>
            <w:vAlign w:val="center"/>
          </w:tcPr>
          <w:p w:rsidR="00363E15" w:rsidRPr="00A67563" w:rsidRDefault="00363E15" w:rsidP="00877D98">
            <w:pPr>
              <w:spacing w:before="29" w:line="360" w:lineRule="auto"/>
              <w:ind w:left="17"/>
              <w:rPr>
                <w:color w:val="000000" w:themeColor="text1"/>
                <w:sz w:val="24"/>
              </w:rPr>
            </w:pPr>
            <w:r w:rsidRPr="00A67563">
              <w:rPr>
                <w:color w:val="000000" w:themeColor="text1"/>
                <w:sz w:val="24"/>
              </w:rPr>
              <w:t>其中：</w:t>
            </w:r>
            <w:r w:rsidR="00E462F4" w:rsidRPr="00A67563">
              <w:rPr>
                <w:color w:val="000000" w:themeColor="text1"/>
                <w:sz w:val="24"/>
              </w:rPr>
              <w:t>普通股</w:t>
            </w:r>
          </w:p>
        </w:tc>
        <w:tc>
          <w:tcPr>
            <w:tcW w:w="2835"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24,086,465.18</w:t>
            </w:r>
          </w:p>
        </w:tc>
        <w:tc>
          <w:tcPr>
            <w:tcW w:w="1559" w:type="dxa"/>
            <w:shd w:val="clear" w:color="auto" w:fill="auto"/>
            <w:vAlign w:val="center"/>
          </w:tcPr>
          <w:p w:rsidR="00363E15" w:rsidRPr="00A67563" w:rsidRDefault="00363E15" w:rsidP="00BF1DD5">
            <w:pPr>
              <w:spacing w:before="29" w:line="360" w:lineRule="auto"/>
              <w:ind w:left="17"/>
              <w:jc w:val="right"/>
              <w:rPr>
                <w:color w:val="000000" w:themeColor="text1"/>
                <w:sz w:val="24"/>
              </w:rPr>
            </w:pPr>
            <w:r w:rsidRPr="00A67563">
              <w:rPr>
                <w:color w:val="000000" w:themeColor="text1"/>
                <w:sz w:val="24"/>
              </w:rPr>
              <w:t>7.78</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firstLineChars="300" w:firstLine="720"/>
              <w:rPr>
                <w:color w:val="000000" w:themeColor="text1"/>
                <w:sz w:val="24"/>
              </w:rPr>
            </w:pPr>
            <w:r w:rsidRPr="00A67563">
              <w:rPr>
                <w:color w:val="000000" w:themeColor="text1"/>
                <w:sz w:val="24"/>
              </w:rPr>
              <w:t>存托凭证</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优先股</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CE4499" w:rsidRPr="00A67563" w:rsidRDefault="00CE4499" w:rsidP="00877D98">
            <w:pPr>
              <w:spacing w:before="29" w:line="360" w:lineRule="auto"/>
              <w:ind w:left="17"/>
              <w:jc w:val="center"/>
              <w:rPr>
                <w:color w:val="000000" w:themeColor="text1"/>
                <w:sz w:val="24"/>
              </w:rPr>
            </w:pPr>
          </w:p>
        </w:tc>
        <w:tc>
          <w:tcPr>
            <w:tcW w:w="4253" w:type="dxa"/>
            <w:shd w:val="clear" w:color="auto" w:fill="auto"/>
            <w:vAlign w:val="center"/>
          </w:tcPr>
          <w:p w:rsidR="00CE4499" w:rsidRPr="00A67563" w:rsidRDefault="00CE4499" w:rsidP="00877D98">
            <w:pPr>
              <w:spacing w:before="29" w:line="360" w:lineRule="auto"/>
              <w:ind w:left="17" w:firstLineChars="300" w:firstLine="720"/>
              <w:rPr>
                <w:color w:val="000000" w:themeColor="text1"/>
                <w:sz w:val="24"/>
              </w:rPr>
            </w:pPr>
            <w:r w:rsidRPr="00A67563">
              <w:rPr>
                <w:color w:val="000000" w:themeColor="text1"/>
                <w:sz w:val="24"/>
              </w:rPr>
              <w:t>房地产信托</w:t>
            </w:r>
          </w:p>
        </w:tc>
        <w:tc>
          <w:tcPr>
            <w:tcW w:w="2835"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CE4499" w:rsidRPr="00A67563" w:rsidRDefault="00CE449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t>2</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基金投资</w:t>
            </w:r>
          </w:p>
        </w:tc>
        <w:tc>
          <w:tcPr>
            <w:tcW w:w="2835"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218,392,662.22</w:t>
            </w:r>
          </w:p>
        </w:tc>
        <w:tc>
          <w:tcPr>
            <w:tcW w:w="1559" w:type="dxa"/>
            <w:shd w:val="clear" w:color="auto" w:fill="auto"/>
            <w:vAlign w:val="center"/>
          </w:tcPr>
          <w:p w:rsidR="00E462F4" w:rsidRPr="00A67563" w:rsidRDefault="006C4E16" w:rsidP="00BF1DD5">
            <w:pPr>
              <w:spacing w:before="29" w:line="360" w:lineRule="auto"/>
              <w:ind w:left="17"/>
              <w:jc w:val="right"/>
              <w:rPr>
                <w:color w:val="000000" w:themeColor="text1"/>
                <w:sz w:val="24"/>
              </w:rPr>
            </w:pPr>
            <w:r w:rsidRPr="00A67563">
              <w:rPr>
                <w:color w:val="000000" w:themeColor="text1"/>
                <w:sz w:val="24"/>
              </w:rPr>
              <w:t>70.54</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3</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固定收益投资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20,213,000.00</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6.53</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其中：债券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20,213,000.00</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6.53</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utoSpaceDE w:val="0"/>
              <w:autoSpaceDN w:val="0"/>
              <w:adjustRightInd w:val="0"/>
              <w:spacing w:before="29" w:line="360" w:lineRule="auto"/>
              <w:ind w:left="17" w:firstLineChars="300" w:firstLine="720"/>
              <w:rPr>
                <w:color w:val="000000" w:themeColor="text1"/>
                <w:sz w:val="24"/>
              </w:rPr>
            </w:pPr>
            <w:r w:rsidRPr="00A67563">
              <w:rPr>
                <w:color w:val="000000" w:themeColor="text1"/>
                <w:sz w:val="24"/>
              </w:rPr>
              <w:t>资产支持证券</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r w:rsidRPr="00A67563">
              <w:rPr>
                <w:color w:val="000000" w:themeColor="text1"/>
                <w:sz w:val="24"/>
              </w:rPr>
              <w:t>4</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金融衍生品投资</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其中：远期</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Del="00455464"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期货</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B918B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300" w:firstLine="720"/>
              <w:rPr>
                <w:color w:val="000000" w:themeColor="text1"/>
                <w:sz w:val="24"/>
              </w:rPr>
            </w:pPr>
            <w:r w:rsidRPr="00A67563">
              <w:rPr>
                <w:color w:val="000000" w:themeColor="text1"/>
                <w:sz w:val="24"/>
              </w:rPr>
              <w:t>期权</w:t>
            </w:r>
          </w:p>
        </w:tc>
        <w:tc>
          <w:tcPr>
            <w:tcW w:w="2835"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adjustRightInd w:val="0"/>
              <w:snapToGrid w:val="0"/>
              <w:spacing w:line="400" w:lineRule="exact"/>
              <w:ind w:firstLineChars="298" w:firstLine="715"/>
              <w:rPr>
                <w:color w:val="000000" w:themeColor="text1"/>
                <w:sz w:val="24"/>
              </w:rPr>
            </w:pPr>
            <w:r w:rsidRPr="00A67563">
              <w:rPr>
                <w:color w:val="000000" w:themeColor="text1"/>
                <w:sz w:val="24"/>
              </w:rPr>
              <w:t>权证</w:t>
            </w:r>
          </w:p>
        </w:tc>
        <w:tc>
          <w:tcPr>
            <w:tcW w:w="2835"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664F49"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5</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买入返售金融资产</w:t>
            </w:r>
          </w:p>
        </w:tc>
        <w:tc>
          <w:tcPr>
            <w:tcW w:w="2835"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877D98">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其中：买断式回购的买入返售金融资产</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adjustRightInd w:val="0"/>
              <w:snapToGrid w:val="0"/>
              <w:spacing w:line="400" w:lineRule="exact"/>
              <w:jc w:val="center"/>
              <w:rPr>
                <w:color w:val="000000" w:themeColor="text1"/>
                <w:sz w:val="24"/>
              </w:rPr>
            </w:pPr>
            <w:r w:rsidRPr="00A67563">
              <w:rPr>
                <w:color w:val="000000" w:themeColor="text1"/>
                <w:sz w:val="24"/>
              </w:rPr>
              <w:t>6</w:t>
            </w:r>
          </w:p>
        </w:tc>
        <w:tc>
          <w:tcPr>
            <w:tcW w:w="4253" w:type="dxa"/>
            <w:shd w:val="clear" w:color="auto" w:fill="auto"/>
            <w:vAlign w:val="center"/>
          </w:tcPr>
          <w:p w:rsidR="00E462F4" w:rsidRPr="00A67563" w:rsidRDefault="00E462F4" w:rsidP="00877D98">
            <w:pPr>
              <w:adjustRightInd w:val="0"/>
              <w:snapToGrid w:val="0"/>
              <w:spacing w:line="400" w:lineRule="exact"/>
              <w:rPr>
                <w:color w:val="000000" w:themeColor="text1"/>
                <w:sz w:val="24"/>
              </w:rPr>
            </w:pPr>
            <w:r w:rsidRPr="00A67563">
              <w:rPr>
                <w:color w:val="000000" w:themeColor="text1"/>
                <w:sz w:val="24"/>
              </w:rPr>
              <w:t>货币市场工具</w:t>
            </w:r>
          </w:p>
        </w:tc>
        <w:tc>
          <w:tcPr>
            <w:tcW w:w="2835"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c>
          <w:tcPr>
            <w:tcW w:w="1559" w:type="dxa"/>
            <w:shd w:val="clear" w:color="auto" w:fill="auto"/>
            <w:vAlign w:val="center"/>
          </w:tcPr>
          <w:p w:rsidR="00E462F4" w:rsidRPr="00A67563" w:rsidRDefault="00CE7FC6" w:rsidP="00BF1DD5">
            <w:pPr>
              <w:spacing w:before="29" w:line="360" w:lineRule="auto"/>
              <w:ind w:left="17"/>
              <w:jc w:val="right"/>
              <w:rPr>
                <w:color w:val="000000" w:themeColor="text1"/>
                <w:sz w:val="24"/>
              </w:rPr>
            </w:pPr>
            <w:r w:rsidRPr="00A67563">
              <w:rPr>
                <w:color w:val="000000" w:themeColor="text1"/>
                <w:sz w:val="24"/>
              </w:rPr>
              <w:t>-</w:t>
            </w:r>
          </w:p>
        </w:tc>
      </w:tr>
      <w:tr w:rsidR="008277FF" w:rsidRPr="00A67563" w:rsidTr="006C750F">
        <w:trPr>
          <w:jc w:val="center"/>
        </w:trPr>
        <w:tc>
          <w:tcPr>
            <w:tcW w:w="851" w:type="dxa"/>
            <w:shd w:val="clear" w:color="auto" w:fill="auto"/>
            <w:vAlign w:val="center"/>
          </w:tcPr>
          <w:p w:rsidR="00E462F4" w:rsidRPr="00A67563" w:rsidRDefault="00E462F4" w:rsidP="00877D98">
            <w:pPr>
              <w:spacing w:before="29" w:line="360" w:lineRule="auto"/>
              <w:ind w:left="17"/>
              <w:jc w:val="center"/>
              <w:rPr>
                <w:color w:val="000000" w:themeColor="text1"/>
                <w:sz w:val="24"/>
              </w:rPr>
            </w:pPr>
            <w:r w:rsidRPr="00A67563">
              <w:rPr>
                <w:color w:val="000000" w:themeColor="text1"/>
                <w:sz w:val="24"/>
              </w:rPr>
              <w:t>7</w:t>
            </w:r>
          </w:p>
        </w:tc>
        <w:tc>
          <w:tcPr>
            <w:tcW w:w="4253" w:type="dxa"/>
            <w:shd w:val="clear" w:color="auto" w:fill="auto"/>
            <w:vAlign w:val="center"/>
          </w:tcPr>
          <w:p w:rsidR="00E462F4" w:rsidRPr="00A67563" w:rsidRDefault="00E462F4" w:rsidP="00877D98">
            <w:pPr>
              <w:spacing w:before="29" w:line="360" w:lineRule="auto"/>
              <w:ind w:left="17"/>
              <w:rPr>
                <w:color w:val="000000" w:themeColor="text1"/>
                <w:sz w:val="24"/>
              </w:rPr>
            </w:pPr>
            <w:r w:rsidRPr="00A67563">
              <w:rPr>
                <w:color w:val="000000" w:themeColor="text1"/>
                <w:sz w:val="24"/>
              </w:rPr>
              <w:t>银行存款和结算备付金合计</w:t>
            </w:r>
          </w:p>
        </w:tc>
        <w:tc>
          <w:tcPr>
            <w:tcW w:w="2835"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46,280,272.27</w:t>
            </w:r>
          </w:p>
        </w:tc>
        <w:tc>
          <w:tcPr>
            <w:tcW w:w="1559" w:type="dxa"/>
            <w:shd w:val="clear" w:color="auto" w:fill="auto"/>
            <w:vAlign w:val="center"/>
          </w:tcPr>
          <w:p w:rsidR="00E462F4" w:rsidRPr="00A67563" w:rsidRDefault="00E462F4" w:rsidP="00BF1DD5">
            <w:pPr>
              <w:spacing w:before="29" w:line="360" w:lineRule="auto"/>
              <w:ind w:left="17"/>
              <w:jc w:val="right"/>
              <w:rPr>
                <w:color w:val="000000" w:themeColor="text1"/>
                <w:sz w:val="24"/>
              </w:rPr>
            </w:pPr>
            <w:r w:rsidRPr="00A67563">
              <w:rPr>
                <w:color w:val="000000" w:themeColor="text1"/>
                <w:sz w:val="24"/>
              </w:rPr>
              <w:t>14.95</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8</w:t>
            </w:r>
          </w:p>
        </w:tc>
        <w:tc>
          <w:tcPr>
            <w:tcW w:w="4253" w:type="dxa"/>
            <w:shd w:val="clear" w:color="auto" w:fill="auto"/>
            <w:vAlign w:val="center"/>
          </w:tcPr>
          <w:p w:rsidR="00E462F4" w:rsidRPr="00A67563" w:rsidRDefault="001457F4" w:rsidP="00797DD2">
            <w:pPr>
              <w:rPr>
                <w:color w:val="000000" w:themeColor="text1"/>
                <w:sz w:val="24"/>
              </w:rPr>
            </w:pPr>
            <w:r>
              <w:rPr>
                <w:color w:val="000000" w:themeColor="text1"/>
                <w:sz w:val="24"/>
              </w:rPr>
              <w:t>其他</w:t>
            </w:r>
            <w:r w:rsidR="00E462F4" w:rsidRPr="00A67563">
              <w:rPr>
                <w:color w:val="000000" w:themeColor="text1"/>
                <w:sz w:val="24"/>
              </w:rPr>
              <w:t>资产</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631,108.39</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0.20</w:t>
            </w:r>
          </w:p>
        </w:tc>
      </w:tr>
      <w:tr w:rsidR="008277FF" w:rsidRPr="00A67563" w:rsidTr="006C750F">
        <w:trPr>
          <w:jc w:val="center"/>
        </w:trPr>
        <w:tc>
          <w:tcPr>
            <w:tcW w:w="851" w:type="dxa"/>
            <w:shd w:val="clear" w:color="auto" w:fill="auto"/>
            <w:vAlign w:val="center"/>
          </w:tcPr>
          <w:p w:rsidR="00E462F4" w:rsidRPr="00A67563" w:rsidRDefault="00E462F4" w:rsidP="00466B17">
            <w:pPr>
              <w:spacing w:before="29" w:line="360" w:lineRule="auto"/>
              <w:ind w:left="17"/>
              <w:jc w:val="center"/>
              <w:rPr>
                <w:color w:val="000000" w:themeColor="text1"/>
                <w:sz w:val="24"/>
              </w:rPr>
            </w:pPr>
            <w:r w:rsidRPr="00A67563">
              <w:rPr>
                <w:color w:val="000000" w:themeColor="text1"/>
                <w:sz w:val="24"/>
              </w:rPr>
              <w:t>9</w:t>
            </w:r>
          </w:p>
        </w:tc>
        <w:tc>
          <w:tcPr>
            <w:tcW w:w="4253" w:type="dxa"/>
            <w:shd w:val="clear" w:color="auto" w:fill="auto"/>
            <w:vAlign w:val="center"/>
          </w:tcPr>
          <w:p w:rsidR="00E462F4" w:rsidRPr="00A67563" w:rsidRDefault="00E462F4" w:rsidP="00797DD2">
            <w:pPr>
              <w:rPr>
                <w:color w:val="000000" w:themeColor="text1"/>
                <w:sz w:val="24"/>
              </w:rPr>
            </w:pPr>
            <w:r w:rsidRPr="00A67563">
              <w:rPr>
                <w:color w:val="000000" w:themeColor="text1"/>
                <w:sz w:val="24"/>
              </w:rPr>
              <w:t>合计</w:t>
            </w:r>
          </w:p>
        </w:tc>
        <w:tc>
          <w:tcPr>
            <w:tcW w:w="2835"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309,603,508.06</w:t>
            </w:r>
          </w:p>
        </w:tc>
        <w:tc>
          <w:tcPr>
            <w:tcW w:w="1559" w:type="dxa"/>
            <w:shd w:val="clear" w:color="auto" w:fill="auto"/>
            <w:vAlign w:val="center"/>
          </w:tcPr>
          <w:p w:rsidR="00E462F4" w:rsidRPr="00A67563" w:rsidRDefault="00E462F4" w:rsidP="00BF1DD5">
            <w:pPr>
              <w:jc w:val="right"/>
              <w:rPr>
                <w:color w:val="000000" w:themeColor="text1"/>
                <w:sz w:val="24"/>
              </w:rPr>
            </w:pPr>
            <w:r w:rsidRPr="00A67563">
              <w:rPr>
                <w:color w:val="000000" w:themeColor="text1"/>
                <w:sz w:val="24"/>
              </w:rPr>
              <w:t>100.00</w:t>
            </w:r>
          </w:p>
        </w:tc>
      </w:tr>
    </w:tbl>
    <w:p w:rsidR="0076518F" w:rsidRPr="00A67563" w:rsidRDefault="00A82C02"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2</w:t>
      </w:r>
      <w:r w:rsidRPr="00A67563">
        <w:rPr>
          <w:b/>
          <w:color w:val="000000" w:themeColor="text1"/>
          <w:kern w:val="0"/>
          <w:sz w:val="24"/>
        </w:rPr>
        <w:t xml:space="preserve"> </w:t>
      </w:r>
      <w:r w:rsidR="0076518F" w:rsidRPr="00A67563">
        <w:rPr>
          <w:b/>
          <w:color w:val="000000" w:themeColor="text1"/>
          <w:kern w:val="0"/>
          <w:sz w:val="24"/>
        </w:rPr>
        <w:t>报告期末在各个国家（地区）证券市场的股票及存托凭证投资分布</w:t>
      </w:r>
    </w:p>
    <w:tbl>
      <w:tblPr>
        <w:tblStyle w:val="af7"/>
        <w:tblW w:w="8604" w:type="dxa"/>
        <w:jc w:val="center"/>
        <w:tblLayout w:type="fixed"/>
        <w:tblLook w:val="04A0" w:firstRow="1" w:lastRow="0" w:firstColumn="1" w:lastColumn="0" w:noHBand="0" w:noVBand="1"/>
      </w:tblPr>
      <w:tblGrid>
        <w:gridCol w:w="2410"/>
        <w:gridCol w:w="3118"/>
        <w:gridCol w:w="3076"/>
      </w:tblGrid>
      <w:tr w:rsidR="008277FF" w:rsidRPr="00A67563" w:rsidTr="002C042C">
        <w:trPr>
          <w:jc w:val="center"/>
        </w:trPr>
        <w:tc>
          <w:tcPr>
            <w:tcW w:w="2410" w:type="dxa"/>
            <w:vAlign w:val="center"/>
          </w:tcPr>
          <w:p w:rsidR="002C042C" w:rsidRPr="00A67563" w:rsidRDefault="002C042C"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国家（地区）</w:t>
            </w:r>
          </w:p>
        </w:tc>
        <w:tc>
          <w:tcPr>
            <w:tcW w:w="3118" w:type="dxa"/>
            <w:vAlign w:val="center"/>
          </w:tcPr>
          <w:p w:rsidR="002C042C" w:rsidRPr="00A67563" w:rsidRDefault="002C042C"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公允价值</w:t>
            </w:r>
            <w:r w:rsidRPr="00A67563">
              <w:rPr>
                <w:color w:val="000000" w:themeColor="text1"/>
                <w:kern w:val="0"/>
                <w:sz w:val="24"/>
              </w:rPr>
              <w:t>(</w:t>
            </w:r>
            <w:r w:rsidRPr="00A67563">
              <w:rPr>
                <w:color w:val="000000" w:themeColor="text1"/>
                <w:kern w:val="0"/>
                <w:sz w:val="24"/>
              </w:rPr>
              <w:t>人民币元</w:t>
            </w:r>
            <w:r w:rsidRPr="00A67563">
              <w:rPr>
                <w:color w:val="000000" w:themeColor="text1"/>
                <w:kern w:val="0"/>
                <w:sz w:val="24"/>
              </w:rPr>
              <w:t>)</w:t>
            </w:r>
          </w:p>
        </w:tc>
        <w:tc>
          <w:tcPr>
            <w:tcW w:w="3076" w:type="dxa"/>
            <w:vAlign w:val="center"/>
          </w:tcPr>
          <w:p w:rsidR="002C042C" w:rsidRPr="00A67563" w:rsidRDefault="002C042C"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占基金资产净值比例（％）</w:t>
            </w:r>
          </w:p>
        </w:tc>
      </w:tr>
      <w:tr w:rsidR="00791EEA">
        <w:trPr>
          <w:jc w:val="center"/>
        </w:trPr>
        <w:tc>
          <w:tcPr>
            <w:tcW w:w="2410" w:type="dxa"/>
            <w:vAlign w:val="center"/>
          </w:tcPr>
          <w:p w:rsidR="00791EEA" w:rsidRDefault="00E10952">
            <w:pPr>
              <w:jc w:val="left"/>
            </w:pPr>
            <w:r>
              <w:rPr>
                <w:color w:val="000000" w:themeColor="text1"/>
                <w:sz w:val="24"/>
              </w:rPr>
              <w:t>美国</w:t>
            </w:r>
          </w:p>
        </w:tc>
        <w:tc>
          <w:tcPr>
            <w:tcW w:w="3118" w:type="dxa"/>
            <w:vAlign w:val="center"/>
          </w:tcPr>
          <w:p w:rsidR="00791EEA" w:rsidRDefault="00E10952">
            <w:pPr>
              <w:jc w:val="right"/>
            </w:pPr>
            <w:r>
              <w:rPr>
                <w:color w:val="000000" w:themeColor="text1"/>
                <w:sz w:val="24"/>
              </w:rPr>
              <w:t>24,086,465.18</w:t>
            </w:r>
          </w:p>
        </w:tc>
        <w:tc>
          <w:tcPr>
            <w:tcW w:w="3076" w:type="dxa"/>
            <w:vAlign w:val="center"/>
          </w:tcPr>
          <w:p w:rsidR="00791EEA" w:rsidRDefault="00E10952">
            <w:pPr>
              <w:jc w:val="right"/>
            </w:pPr>
            <w:r>
              <w:rPr>
                <w:color w:val="000000" w:themeColor="text1"/>
                <w:sz w:val="24"/>
              </w:rPr>
              <w:t>8.03</w:t>
            </w:r>
          </w:p>
        </w:tc>
      </w:tr>
      <w:tr w:rsidR="008277FF" w:rsidRPr="00A67563" w:rsidTr="00877D98">
        <w:trPr>
          <w:jc w:val="center"/>
        </w:trPr>
        <w:tc>
          <w:tcPr>
            <w:tcW w:w="2410" w:type="dxa"/>
            <w:vAlign w:val="center"/>
          </w:tcPr>
          <w:p w:rsidR="002C042C" w:rsidRPr="00A67563" w:rsidRDefault="002C042C" w:rsidP="00877D98">
            <w:pPr>
              <w:autoSpaceDE w:val="0"/>
              <w:autoSpaceDN w:val="0"/>
              <w:adjustRightInd w:val="0"/>
              <w:spacing w:before="29" w:line="360" w:lineRule="auto"/>
              <w:rPr>
                <w:color w:val="000000" w:themeColor="text1"/>
                <w:sz w:val="24"/>
              </w:rPr>
            </w:pPr>
            <w:r w:rsidRPr="00A67563">
              <w:rPr>
                <w:color w:val="000000" w:themeColor="text1"/>
                <w:sz w:val="24"/>
              </w:rPr>
              <w:t>合计</w:t>
            </w:r>
          </w:p>
        </w:tc>
        <w:tc>
          <w:tcPr>
            <w:tcW w:w="3118" w:type="dxa"/>
            <w:vAlign w:val="center"/>
          </w:tcPr>
          <w:p w:rsidR="002C042C" w:rsidRPr="00A67563" w:rsidRDefault="002C042C" w:rsidP="00877D98">
            <w:pPr>
              <w:autoSpaceDE w:val="0"/>
              <w:autoSpaceDN w:val="0"/>
              <w:adjustRightInd w:val="0"/>
              <w:spacing w:before="29" w:line="360" w:lineRule="auto"/>
              <w:jc w:val="right"/>
              <w:rPr>
                <w:color w:val="000000" w:themeColor="text1"/>
                <w:sz w:val="24"/>
              </w:rPr>
            </w:pPr>
            <w:r w:rsidRPr="00A67563">
              <w:rPr>
                <w:color w:val="000000" w:themeColor="text1"/>
                <w:sz w:val="24"/>
              </w:rPr>
              <w:t>24,086,465.18</w:t>
            </w:r>
          </w:p>
        </w:tc>
        <w:tc>
          <w:tcPr>
            <w:tcW w:w="3076" w:type="dxa"/>
            <w:vAlign w:val="center"/>
          </w:tcPr>
          <w:p w:rsidR="002C042C" w:rsidRPr="00A67563" w:rsidRDefault="002C042C" w:rsidP="00877D98">
            <w:pPr>
              <w:autoSpaceDE w:val="0"/>
              <w:autoSpaceDN w:val="0"/>
              <w:adjustRightInd w:val="0"/>
              <w:spacing w:before="29" w:line="360" w:lineRule="auto"/>
              <w:jc w:val="right"/>
              <w:rPr>
                <w:color w:val="000000" w:themeColor="text1"/>
                <w:sz w:val="24"/>
              </w:rPr>
            </w:pPr>
            <w:r w:rsidRPr="00A67563">
              <w:rPr>
                <w:color w:val="000000" w:themeColor="text1"/>
                <w:sz w:val="24"/>
              </w:rPr>
              <w:t>8.03</w:t>
            </w:r>
          </w:p>
        </w:tc>
      </w:tr>
    </w:tbl>
    <w:p w:rsidR="00791EEA" w:rsidRDefault="00E10952">
      <w:pPr>
        <w:autoSpaceDE w:val="0"/>
        <w:autoSpaceDN w:val="0"/>
        <w:adjustRightInd w:val="0"/>
        <w:spacing w:line="360" w:lineRule="auto"/>
        <w:ind w:firstLineChars="200" w:firstLine="480"/>
        <w:jc w:val="left"/>
        <w:rPr>
          <w:color w:val="000000" w:themeColor="text1"/>
          <w:kern w:val="0"/>
          <w:sz w:val="24"/>
        </w:rPr>
      </w:pPr>
      <w:r>
        <w:rPr>
          <w:color w:val="000000" w:themeColor="text1"/>
          <w:sz w:val="24"/>
        </w:rPr>
        <w:t>注：</w:t>
      </w:r>
      <w:r>
        <w:rPr>
          <w:color w:val="000000" w:themeColor="text1"/>
          <w:sz w:val="24"/>
        </w:rPr>
        <w:t>1.</w:t>
      </w:r>
      <w:r>
        <w:rPr>
          <w:color w:val="000000" w:themeColor="text1"/>
          <w:sz w:val="24"/>
        </w:rPr>
        <w:t>国家（地区）类别根据其所在的证券交易所确定。</w:t>
      </w:r>
    </w:p>
    <w:p w:rsidR="0076518F" w:rsidRPr="00A67563" w:rsidRDefault="00363E15"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2.ADR</w:t>
      </w:r>
      <w:r w:rsidRPr="00A67563">
        <w:rPr>
          <w:color w:val="000000" w:themeColor="text1"/>
          <w:sz w:val="24"/>
        </w:rPr>
        <w:t>、</w:t>
      </w:r>
      <w:r w:rsidRPr="00A67563">
        <w:rPr>
          <w:color w:val="000000" w:themeColor="text1"/>
          <w:sz w:val="24"/>
        </w:rPr>
        <w:t>GDR</w:t>
      </w:r>
      <w:r w:rsidRPr="00A67563">
        <w:rPr>
          <w:color w:val="000000" w:themeColor="text1"/>
          <w:sz w:val="24"/>
        </w:rPr>
        <w:t>按照存托凭证本身挂牌的证券交易所确定。</w:t>
      </w:r>
    </w:p>
    <w:p w:rsidR="00C37E98"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3</w:t>
      </w:r>
      <w:r w:rsidR="0076518F" w:rsidRPr="00A67563">
        <w:rPr>
          <w:b/>
          <w:color w:val="000000" w:themeColor="text1"/>
          <w:kern w:val="0"/>
          <w:sz w:val="24"/>
        </w:rPr>
        <w:t xml:space="preserve"> </w:t>
      </w:r>
      <w:r w:rsidR="0076518F" w:rsidRPr="00A67563">
        <w:rPr>
          <w:b/>
          <w:color w:val="000000" w:themeColor="text1"/>
          <w:kern w:val="0"/>
          <w:sz w:val="24"/>
        </w:rPr>
        <w:t>报告期末按行业分类的股票及存托凭证投资组合</w:t>
      </w:r>
    </w:p>
    <w:tbl>
      <w:tblPr>
        <w:tblStyle w:val="af7"/>
        <w:tblW w:w="0" w:type="auto"/>
        <w:tblInd w:w="15" w:type="dxa"/>
        <w:tblLayout w:type="fixed"/>
        <w:tblLook w:val="04A0" w:firstRow="1" w:lastRow="0" w:firstColumn="1" w:lastColumn="0" w:noHBand="0" w:noVBand="1"/>
      </w:tblPr>
      <w:tblGrid>
        <w:gridCol w:w="2787"/>
        <w:gridCol w:w="2551"/>
        <w:gridCol w:w="3175"/>
      </w:tblGrid>
      <w:tr w:rsidR="008277FF" w:rsidRPr="00A67563" w:rsidTr="008B2EAD">
        <w:tc>
          <w:tcPr>
            <w:tcW w:w="2787" w:type="dxa"/>
            <w:vAlign w:val="center"/>
          </w:tcPr>
          <w:p w:rsidR="00C37E98" w:rsidRPr="00A67563" w:rsidRDefault="00C37E9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行业类别</w:t>
            </w:r>
          </w:p>
        </w:tc>
        <w:tc>
          <w:tcPr>
            <w:tcW w:w="2551" w:type="dxa"/>
            <w:vAlign w:val="center"/>
          </w:tcPr>
          <w:p w:rsidR="00C37E98" w:rsidRPr="00A67563" w:rsidRDefault="00C37E9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公允价值（人民币元）</w:t>
            </w:r>
          </w:p>
        </w:tc>
        <w:tc>
          <w:tcPr>
            <w:tcW w:w="3175" w:type="dxa"/>
            <w:vAlign w:val="center"/>
          </w:tcPr>
          <w:p w:rsidR="00C37E98" w:rsidRPr="00A67563" w:rsidRDefault="00C37E9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占基金资产净值比例（％）</w:t>
            </w:r>
          </w:p>
        </w:tc>
      </w:tr>
      <w:tr w:rsidR="00791EEA">
        <w:tc>
          <w:tcPr>
            <w:tcW w:w="2787" w:type="dxa"/>
            <w:vAlign w:val="center"/>
          </w:tcPr>
          <w:p w:rsidR="00791EEA" w:rsidRDefault="00E10952">
            <w:pPr>
              <w:jc w:val="left"/>
            </w:pPr>
            <w:r>
              <w:rPr>
                <w:color w:val="000000" w:themeColor="text1"/>
                <w:sz w:val="24"/>
              </w:rPr>
              <w:t>能源</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lastRenderedPageBreak/>
              <w:t>材料</w:t>
            </w:r>
          </w:p>
        </w:tc>
        <w:tc>
          <w:tcPr>
            <w:tcW w:w="2551" w:type="dxa"/>
            <w:vAlign w:val="center"/>
          </w:tcPr>
          <w:p w:rsidR="00791EEA" w:rsidRDefault="00E10952">
            <w:pPr>
              <w:jc w:val="right"/>
            </w:pPr>
            <w:r>
              <w:rPr>
                <w:color w:val="000000" w:themeColor="text1"/>
                <w:sz w:val="24"/>
              </w:rPr>
              <w:t>24,086,465.18</w:t>
            </w:r>
          </w:p>
        </w:tc>
        <w:tc>
          <w:tcPr>
            <w:tcW w:w="3175" w:type="dxa"/>
            <w:vAlign w:val="center"/>
          </w:tcPr>
          <w:p w:rsidR="00791EEA" w:rsidRDefault="00E10952">
            <w:pPr>
              <w:jc w:val="right"/>
            </w:pPr>
            <w:r>
              <w:rPr>
                <w:color w:val="000000" w:themeColor="text1"/>
                <w:sz w:val="24"/>
              </w:rPr>
              <w:t>8.03</w:t>
            </w:r>
          </w:p>
        </w:tc>
      </w:tr>
      <w:tr w:rsidR="00791EEA">
        <w:tc>
          <w:tcPr>
            <w:tcW w:w="2787" w:type="dxa"/>
            <w:vAlign w:val="center"/>
          </w:tcPr>
          <w:p w:rsidR="00791EEA" w:rsidRDefault="00E10952">
            <w:pPr>
              <w:jc w:val="left"/>
            </w:pPr>
            <w:r>
              <w:rPr>
                <w:color w:val="000000" w:themeColor="text1"/>
                <w:sz w:val="24"/>
              </w:rPr>
              <w:t>工业</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非必需消费品</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必需消费品</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保健</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金融</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信息技术</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电信服务</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公用事业</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791EEA">
        <w:tc>
          <w:tcPr>
            <w:tcW w:w="2787" w:type="dxa"/>
            <w:vAlign w:val="center"/>
          </w:tcPr>
          <w:p w:rsidR="00791EEA" w:rsidRDefault="00E10952">
            <w:pPr>
              <w:jc w:val="left"/>
            </w:pPr>
            <w:r>
              <w:rPr>
                <w:color w:val="000000" w:themeColor="text1"/>
                <w:sz w:val="24"/>
              </w:rPr>
              <w:t>房地产</w:t>
            </w:r>
          </w:p>
        </w:tc>
        <w:tc>
          <w:tcPr>
            <w:tcW w:w="2551" w:type="dxa"/>
            <w:vAlign w:val="center"/>
          </w:tcPr>
          <w:p w:rsidR="00791EEA" w:rsidRDefault="00E10952">
            <w:pPr>
              <w:jc w:val="right"/>
            </w:pPr>
            <w:r>
              <w:rPr>
                <w:color w:val="000000" w:themeColor="text1"/>
                <w:sz w:val="24"/>
              </w:rPr>
              <w:t>-</w:t>
            </w:r>
          </w:p>
        </w:tc>
        <w:tc>
          <w:tcPr>
            <w:tcW w:w="3175" w:type="dxa"/>
            <w:vAlign w:val="center"/>
          </w:tcPr>
          <w:p w:rsidR="00791EEA" w:rsidRDefault="00E10952">
            <w:pPr>
              <w:jc w:val="right"/>
            </w:pPr>
            <w:r>
              <w:rPr>
                <w:color w:val="000000" w:themeColor="text1"/>
                <w:sz w:val="24"/>
              </w:rPr>
              <w:t>-</w:t>
            </w:r>
          </w:p>
        </w:tc>
      </w:tr>
      <w:tr w:rsidR="008277FF" w:rsidRPr="00A67563" w:rsidTr="00877D98">
        <w:tc>
          <w:tcPr>
            <w:tcW w:w="2787" w:type="dxa"/>
            <w:vAlign w:val="center"/>
          </w:tcPr>
          <w:p w:rsidR="00C37E98" w:rsidRPr="00A67563" w:rsidRDefault="00C37E98" w:rsidP="00877D98">
            <w:pPr>
              <w:autoSpaceDE w:val="0"/>
              <w:autoSpaceDN w:val="0"/>
              <w:adjustRightInd w:val="0"/>
              <w:spacing w:before="29" w:line="360" w:lineRule="auto"/>
              <w:ind w:left="15"/>
              <w:rPr>
                <w:color w:val="000000" w:themeColor="text1"/>
                <w:sz w:val="24"/>
              </w:rPr>
            </w:pPr>
            <w:r w:rsidRPr="00A67563">
              <w:rPr>
                <w:color w:val="000000" w:themeColor="text1"/>
                <w:sz w:val="24"/>
              </w:rPr>
              <w:t>合计</w:t>
            </w:r>
          </w:p>
        </w:tc>
        <w:tc>
          <w:tcPr>
            <w:tcW w:w="2551" w:type="dxa"/>
            <w:vAlign w:val="center"/>
          </w:tcPr>
          <w:p w:rsidR="00C37E98" w:rsidRPr="00A67563" w:rsidRDefault="00C37E98" w:rsidP="00C9504A">
            <w:pPr>
              <w:autoSpaceDE w:val="0"/>
              <w:autoSpaceDN w:val="0"/>
              <w:adjustRightInd w:val="0"/>
              <w:spacing w:before="29" w:line="360" w:lineRule="auto"/>
              <w:ind w:left="15"/>
              <w:jc w:val="right"/>
              <w:rPr>
                <w:color w:val="000000" w:themeColor="text1"/>
                <w:sz w:val="24"/>
              </w:rPr>
            </w:pPr>
            <w:r w:rsidRPr="00A67563">
              <w:rPr>
                <w:color w:val="000000" w:themeColor="text1"/>
                <w:sz w:val="24"/>
              </w:rPr>
              <w:t>24,086,465.18</w:t>
            </w:r>
          </w:p>
        </w:tc>
        <w:tc>
          <w:tcPr>
            <w:tcW w:w="3175" w:type="dxa"/>
            <w:vAlign w:val="center"/>
          </w:tcPr>
          <w:p w:rsidR="00C37E98" w:rsidRPr="00A67563" w:rsidRDefault="00C37E98" w:rsidP="00C9504A">
            <w:pPr>
              <w:autoSpaceDE w:val="0"/>
              <w:autoSpaceDN w:val="0"/>
              <w:adjustRightInd w:val="0"/>
              <w:spacing w:before="29" w:line="360" w:lineRule="auto"/>
              <w:ind w:left="15"/>
              <w:jc w:val="right"/>
              <w:rPr>
                <w:color w:val="000000" w:themeColor="text1"/>
                <w:sz w:val="24"/>
              </w:rPr>
            </w:pPr>
            <w:r w:rsidRPr="00A67563">
              <w:rPr>
                <w:color w:val="000000" w:themeColor="text1"/>
                <w:sz w:val="24"/>
              </w:rPr>
              <w:t>8.03</w:t>
            </w:r>
          </w:p>
        </w:tc>
      </w:tr>
    </w:tbl>
    <w:p w:rsidR="000A521D" w:rsidRPr="00A67563" w:rsidRDefault="000A521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注：以上分类采用全球行业分类标准（</w:t>
      </w:r>
      <w:r w:rsidRPr="00A67563">
        <w:rPr>
          <w:color w:val="000000" w:themeColor="text1"/>
          <w:sz w:val="24"/>
        </w:rPr>
        <w:t>GICS</w:t>
      </w:r>
      <w:r w:rsidRPr="00A67563">
        <w:rPr>
          <w:color w:val="000000" w:themeColor="text1"/>
          <w:sz w:val="24"/>
        </w:rPr>
        <w:t>）。</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4</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报告期末按公允价值占基金资产净值比例大小排序的前十名股票及存托凭证投资明细</w:t>
      </w:r>
    </w:p>
    <w:tbl>
      <w:tblPr>
        <w:tblStyle w:val="af7"/>
        <w:tblW w:w="0" w:type="auto"/>
        <w:tblInd w:w="15" w:type="dxa"/>
        <w:tblLook w:val="04A0" w:firstRow="1" w:lastRow="0" w:firstColumn="1" w:lastColumn="0" w:noHBand="0" w:noVBand="1"/>
      </w:tblPr>
      <w:tblGrid>
        <w:gridCol w:w="515"/>
        <w:gridCol w:w="1366"/>
        <w:gridCol w:w="740"/>
        <w:gridCol w:w="933"/>
        <w:gridCol w:w="663"/>
        <w:gridCol w:w="746"/>
        <w:gridCol w:w="977"/>
        <w:gridCol w:w="1596"/>
        <w:gridCol w:w="977"/>
      </w:tblGrid>
      <w:tr w:rsidR="008277FF" w:rsidRPr="00A67563" w:rsidTr="001C7D5D">
        <w:tc>
          <w:tcPr>
            <w:tcW w:w="794"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序号</w:t>
            </w:r>
          </w:p>
        </w:tc>
        <w:tc>
          <w:tcPr>
            <w:tcW w:w="974" w:type="dxa"/>
            <w:vAlign w:val="center"/>
          </w:tcPr>
          <w:p w:rsidR="001C7D5D" w:rsidRPr="00A67563" w:rsidRDefault="001C7D5D" w:rsidP="001C7D5D">
            <w:pPr>
              <w:adjustRightInd w:val="0"/>
              <w:snapToGrid w:val="0"/>
              <w:spacing w:line="400" w:lineRule="exact"/>
              <w:jc w:val="center"/>
              <w:rPr>
                <w:color w:val="000000" w:themeColor="text1"/>
                <w:kern w:val="0"/>
                <w:sz w:val="24"/>
              </w:rPr>
            </w:pPr>
            <w:r w:rsidRPr="00A67563">
              <w:rPr>
                <w:color w:val="000000" w:themeColor="text1"/>
                <w:kern w:val="0"/>
                <w:sz w:val="24"/>
              </w:rPr>
              <w:t>公司名称（英文）</w:t>
            </w:r>
          </w:p>
        </w:tc>
        <w:tc>
          <w:tcPr>
            <w:tcW w:w="1019" w:type="dxa"/>
            <w:vAlign w:val="center"/>
          </w:tcPr>
          <w:p w:rsidR="001C7D5D" w:rsidRPr="00A67563" w:rsidRDefault="001C7D5D" w:rsidP="00797DD2">
            <w:pPr>
              <w:adjustRightInd w:val="0"/>
              <w:snapToGrid w:val="0"/>
              <w:spacing w:line="400" w:lineRule="exact"/>
              <w:jc w:val="center"/>
              <w:rPr>
                <w:color w:val="000000" w:themeColor="text1"/>
                <w:kern w:val="0"/>
                <w:sz w:val="24"/>
              </w:rPr>
            </w:pPr>
            <w:r w:rsidRPr="00A67563">
              <w:rPr>
                <w:color w:val="000000" w:themeColor="text1"/>
                <w:kern w:val="0"/>
                <w:sz w:val="24"/>
              </w:rPr>
              <w:t>公司名称（中文）</w:t>
            </w:r>
          </w:p>
        </w:tc>
        <w:tc>
          <w:tcPr>
            <w:tcW w:w="703" w:type="dxa"/>
            <w:vAlign w:val="center"/>
          </w:tcPr>
          <w:p w:rsidR="001C7D5D" w:rsidRPr="00A67563" w:rsidRDefault="001C7D5D" w:rsidP="00797DD2">
            <w:pPr>
              <w:adjustRightInd w:val="0"/>
              <w:snapToGrid w:val="0"/>
              <w:spacing w:line="400" w:lineRule="exact"/>
              <w:jc w:val="center"/>
              <w:rPr>
                <w:color w:val="000000" w:themeColor="text1"/>
                <w:kern w:val="0"/>
                <w:sz w:val="24"/>
              </w:rPr>
            </w:pPr>
            <w:r w:rsidRPr="00A67563">
              <w:rPr>
                <w:color w:val="000000" w:themeColor="text1"/>
                <w:kern w:val="0"/>
                <w:sz w:val="24"/>
              </w:rPr>
              <w:t>证券代码</w:t>
            </w:r>
          </w:p>
        </w:tc>
        <w:tc>
          <w:tcPr>
            <w:tcW w:w="793"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所在证</w:t>
            </w:r>
          </w:p>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券市场</w:t>
            </w:r>
          </w:p>
        </w:tc>
        <w:tc>
          <w:tcPr>
            <w:tcW w:w="969"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所属国家</w:t>
            </w:r>
          </w:p>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（地区</w:t>
            </w:r>
            <w:r w:rsidRPr="00A67563">
              <w:rPr>
                <w:color w:val="000000" w:themeColor="text1"/>
                <w:kern w:val="0"/>
                <w:sz w:val="24"/>
              </w:rPr>
              <w:t>)</w:t>
            </w:r>
          </w:p>
        </w:tc>
        <w:tc>
          <w:tcPr>
            <w:tcW w:w="1146"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数量</w:t>
            </w:r>
          </w:p>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（股）</w:t>
            </w:r>
          </w:p>
        </w:tc>
        <w:tc>
          <w:tcPr>
            <w:tcW w:w="969"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公允价值（人民币元）</w:t>
            </w:r>
          </w:p>
        </w:tc>
        <w:tc>
          <w:tcPr>
            <w:tcW w:w="1146" w:type="dxa"/>
            <w:vAlign w:val="center"/>
          </w:tcPr>
          <w:p w:rsidR="001C7D5D" w:rsidRPr="00A67563" w:rsidRDefault="001C7D5D"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占基金资产净值比例（％）</w:t>
            </w:r>
          </w:p>
        </w:tc>
      </w:tr>
      <w:tr w:rsidR="00791EEA">
        <w:tc>
          <w:tcPr>
            <w:tcW w:w="0" w:type="auto"/>
            <w:vAlign w:val="center"/>
          </w:tcPr>
          <w:p w:rsidR="00791EEA" w:rsidRDefault="00E10952">
            <w:pPr>
              <w:jc w:val="center"/>
            </w:pPr>
            <w:r>
              <w:rPr>
                <w:color w:val="000000" w:themeColor="text1"/>
                <w:sz w:val="24"/>
              </w:rPr>
              <w:t>1</w:t>
            </w:r>
          </w:p>
        </w:tc>
        <w:tc>
          <w:tcPr>
            <w:tcW w:w="0" w:type="auto"/>
            <w:vAlign w:val="center"/>
          </w:tcPr>
          <w:p w:rsidR="00791EEA" w:rsidRDefault="00E10952">
            <w:pPr>
              <w:jc w:val="center"/>
            </w:pPr>
            <w:r>
              <w:rPr>
                <w:color w:val="000000" w:themeColor="text1"/>
                <w:sz w:val="24"/>
              </w:rPr>
              <w:t>Barrick Gold Corp</w:t>
            </w:r>
          </w:p>
        </w:tc>
        <w:tc>
          <w:tcPr>
            <w:tcW w:w="0" w:type="auto"/>
            <w:vAlign w:val="center"/>
          </w:tcPr>
          <w:p w:rsidR="00791EEA" w:rsidRDefault="00E10952">
            <w:pPr>
              <w:jc w:val="center"/>
            </w:pPr>
            <w:r>
              <w:rPr>
                <w:color w:val="000000" w:themeColor="text1"/>
                <w:sz w:val="24"/>
              </w:rPr>
              <w:t>-</w:t>
            </w:r>
          </w:p>
        </w:tc>
        <w:tc>
          <w:tcPr>
            <w:tcW w:w="0" w:type="auto"/>
            <w:vAlign w:val="center"/>
          </w:tcPr>
          <w:p w:rsidR="00791EEA" w:rsidRDefault="00E10952">
            <w:pPr>
              <w:jc w:val="center"/>
            </w:pPr>
            <w:r>
              <w:rPr>
                <w:color w:val="000000" w:themeColor="text1"/>
                <w:sz w:val="24"/>
              </w:rPr>
              <w:t>GOLD US</w:t>
            </w:r>
          </w:p>
        </w:tc>
        <w:tc>
          <w:tcPr>
            <w:tcW w:w="0" w:type="auto"/>
            <w:vAlign w:val="center"/>
          </w:tcPr>
          <w:p w:rsidR="00791EEA" w:rsidRDefault="00E10952">
            <w:pPr>
              <w:jc w:val="center"/>
            </w:pPr>
            <w:r>
              <w:rPr>
                <w:color w:val="000000" w:themeColor="text1"/>
                <w:sz w:val="24"/>
              </w:rPr>
              <w:t>纽约证券交易所</w:t>
            </w:r>
          </w:p>
        </w:tc>
        <w:tc>
          <w:tcPr>
            <w:tcW w:w="0" w:type="auto"/>
            <w:vAlign w:val="center"/>
          </w:tcPr>
          <w:p w:rsidR="00791EEA" w:rsidRDefault="00E10952">
            <w:pPr>
              <w:jc w:val="center"/>
            </w:pPr>
            <w:r>
              <w:rPr>
                <w:color w:val="000000" w:themeColor="text1"/>
                <w:sz w:val="24"/>
              </w:rPr>
              <w:t>美国</w:t>
            </w:r>
          </w:p>
        </w:tc>
        <w:tc>
          <w:tcPr>
            <w:tcW w:w="0" w:type="auto"/>
            <w:vAlign w:val="center"/>
          </w:tcPr>
          <w:p w:rsidR="00791EEA" w:rsidRDefault="00E10952">
            <w:pPr>
              <w:jc w:val="right"/>
            </w:pPr>
            <w:r>
              <w:rPr>
                <w:color w:val="000000" w:themeColor="text1"/>
                <w:sz w:val="24"/>
              </w:rPr>
              <w:t>64,118</w:t>
            </w:r>
          </w:p>
        </w:tc>
        <w:tc>
          <w:tcPr>
            <w:tcW w:w="0" w:type="auto"/>
            <w:vAlign w:val="center"/>
          </w:tcPr>
          <w:p w:rsidR="00791EEA" w:rsidRDefault="00E10952">
            <w:pPr>
              <w:jc w:val="right"/>
            </w:pPr>
            <w:r>
              <w:rPr>
                <w:color w:val="000000" w:themeColor="text1"/>
                <w:sz w:val="24"/>
              </w:rPr>
              <w:t>12,228,695.88</w:t>
            </w:r>
          </w:p>
        </w:tc>
        <w:tc>
          <w:tcPr>
            <w:tcW w:w="0" w:type="auto"/>
            <w:vAlign w:val="center"/>
          </w:tcPr>
          <w:p w:rsidR="00791EEA" w:rsidRDefault="00E10952">
            <w:pPr>
              <w:jc w:val="right"/>
            </w:pPr>
            <w:r>
              <w:rPr>
                <w:color w:val="000000" w:themeColor="text1"/>
                <w:sz w:val="24"/>
              </w:rPr>
              <w:t>4.08</w:t>
            </w:r>
          </w:p>
        </w:tc>
      </w:tr>
      <w:tr w:rsidR="00791EEA">
        <w:tc>
          <w:tcPr>
            <w:tcW w:w="0" w:type="auto"/>
            <w:vAlign w:val="center"/>
          </w:tcPr>
          <w:p w:rsidR="00791EEA" w:rsidRDefault="00E10952">
            <w:pPr>
              <w:jc w:val="center"/>
            </w:pPr>
            <w:r>
              <w:rPr>
                <w:color w:val="000000" w:themeColor="text1"/>
                <w:sz w:val="24"/>
              </w:rPr>
              <w:t>2</w:t>
            </w:r>
          </w:p>
        </w:tc>
        <w:tc>
          <w:tcPr>
            <w:tcW w:w="0" w:type="auto"/>
            <w:vAlign w:val="center"/>
          </w:tcPr>
          <w:p w:rsidR="00791EEA" w:rsidRDefault="00E10952">
            <w:pPr>
              <w:jc w:val="center"/>
            </w:pPr>
            <w:r>
              <w:rPr>
                <w:color w:val="000000" w:themeColor="text1"/>
                <w:sz w:val="24"/>
              </w:rPr>
              <w:t>Newmont Goldcorp Corp</w:t>
            </w:r>
          </w:p>
        </w:tc>
        <w:tc>
          <w:tcPr>
            <w:tcW w:w="0" w:type="auto"/>
            <w:vAlign w:val="center"/>
          </w:tcPr>
          <w:p w:rsidR="00791EEA" w:rsidRDefault="00E10952">
            <w:pPr>
              <w:jc w:val="center"/>
            </w:pPr>
            <w:r>
              <w:rPr>
                <w:color w:val="000000" w:themeColor="text1"/>
                <w:sz w:val="24"/>
              </w:rPr>
              <w:t>-</w:t>
            </w:r>
          </w:p>
        </w:tc>
        <w:tc>
          <w:tcPr>
            <w:tcW w:w="0" w:type="auto"/>
            <w:vAlign w:val="center"/>
          </w:tcPr>
          <w:p w:rsidR="00791EEA" w:rsidRDefault="00E10952">
            <w:pPr>
              <w:jc w:val="center"/>
            </w:pPr>
            <w:r>
              <w:rPr>
                <w:color w:val="000000" w:themeColor="text1"/>
                <w:sz w:val="24"/>
              </w:rPr>
              <w:t>NEM US</w:t>
            </w:r>
          </w:p>
        </w:tc>
        <w:tc>
          <w:tcPr>
            <w:tcW w:w="0" w:type="auto"/>
            <w:vAlign w:val="center"/>
          </w:tcPr>
          <w:p w:rsidR="00791EEA" w:rsidRDefault="00E10952">
            <w:pPr>
              <w:jc w:val="center"/>
            </w:pPr>
            <w:r>
              <w:rPr>
                <w:color w:val="000000" w:themeColor="text1"/>
                <w:sz w:val="24"/>
              </w:rPr>
              <w:t>纽约证券交易所</w:t>
            </w:r>
          </w:p>
        </w:tc>
        <w:tc>
          <w:tcPr>
            <w:tcW w:w="0" w:type="auto"/>
            <w:vAlign w:val="center"/>
          </w:tcPr>
          <w:p w:rsidR="00791EEA" w:rsidRDefault="00E10952">
            <w:pPr>
              <w:jc w:val="center"/>
            </w:pPr>
            <w:r>
              <w:rPr>
                <w:color w:val="000000" w:themeColor="text1"/>
                <w:sz w:val="24"/>
              </w:rPr>
              <w:t>美国</w:t>
            </w:r>
          </w:p>
        </w:tc>
        <w:tc>
          <w:tcPr>
            <w:tcW w:w="0" w:type="auto"/>
            <w:vAlign w:val="center"/>
          </w:tcPr>
          <w:p w:rsidR="00791EEA" w:rsidRDefault="00E10952">
            <w:pPr>
              <w:jc w:val="right"/>
            </w:pPr>
            <w:r>
              <w:rPr>
                <w:color w:val="000000" w:themeColor="text1"/>
                <w:sz w:val="24"/>
              </w:rPr>
              <w:t>27,129</w:t>
            </w:r>
          </w:p>
        </w:tc>
        <w:tc>
          <w:tcPr>
            <w:tcW w:w="0" w:type="auto"/>
            <w:vAlign w:val="center"/>
          </w:tcPr>
          <w:p w:rsidR="00791EEA" w:rsidRDefault="00E10952">
            <w:pPr>
              <w:jc w:val="right"/>
            </w:pPr>
            <w:r>
              <w:rPr>
                <w:color w:val="000000" w:themeColor="text1"/>
                <w:sz w:val="24"/>
              </w:rPr>
              <w:t>11,857,769.30</w:t>
            </w:r>
          </w:p>
        </w:tc>
        <w:tc>
          <w:tcPr>
            <w:tcW w:w="0" w:type="auto"/>
            <w:vAlign w:val="center"/>
          </w:tcPr>
          <w:p w:rsidR="00791EEA" w:rsidRDefault="00E10952">
            <w:pPr>
              <w:jc w:val="right"/>
            </w:pPr>
            <w:r>
              <w:rPr>
                <w:color w:val="000000" w:themeColor="text1"/>
                <w:sz w:val="24"/>
              </w:rPr>
              <w:t>3.96</w:t>
            </w:r>
          </w:p>
        </w:tc>
      </w:tr>
    </w:tbl>
    <w:p w:rsidR="00521EDE" w:rsidRPr="00A67563" w:rsidRDefault="00E73C41"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注：此处所用证券代码的类别是当地市场代码。</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5</w:t>
      </w:r>
      <w:r w:rsidR="0076518F" w:rsidRPr="00A67563">
        <w:rPr>
          <w:b/>
          <w:color w:val="000000" w:themeColor="text1"/>
          <w:kern w:val="0"/>
          <w:sz w:val="24"/>
        </w:rPr>
        <w:t xml:space="preserve"> </w:t>
      </w:r>
      <w:r w:rsidR="0076518F" w:rsidRPr="00A67563">
        <w:rPr>
          <w:b/>
          <w:color w:val="000000" w:themeColor="text1"/>
          <w:kern w:val="0"/>
          <w:sz w:val="24"/>
        </w:rPr>
        <w:t>报告期末按债券信用等级分类的债券投资组合</w:t>
      </w:r>
    </w:p>
    <w:tbl>
      <w:tblPr>
        <w:tblStyle w:val="af7"/>
        <w:tblW w:w="0" w:type="auto"/>
        <w:tblInd w:w="15" w:type="dxa"/>
        <w:tblLook w:val="04A0" w:firstRow="1" w:lastRow="0" w:firstColumn="1" w:lastColumn="0" w:noHBand="0" w:noVBand="1"/>
      </w:tblPr>
      <w:tblGrid>
        <w:gridCol w:w="2837"/>
        <w:gridCol w:w="2838"/>
        <w:gridCol w:w="2838"/>
      </w:tblGrid>
      <w:tr w:rsidR="008277FF" w:rsidRPr="00A67563" w:rsidTr="00797DD2">
        <w:tc>
          <w:tcPr>
            <w:tcW w:w="2837"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债券信用等级</w:t>
            </w:r>
          </w:p>
        </w:tc>
        <w:tc>
          <w:tcPr>
            <w:tcW w:w="2838"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公允价值</w:t>
            </w:r>
            <w:r w:rsidRPr="00A67563">
              <w:rPr>
                <w:color w:val="000000" w:themeColor="text1"/>
                <w:kern w:val="0"/>
                <w:sz w:val="24"/>
              </w:rPr>
              <w:t>(</w:t>
            </w:r>
            <w:r w:rsidRPr="00A67563">
              <w:rPr>
                <w:color w:val="000000" w:themeColor="text1"/>
                <w:kern w:val="0"/>
                <w:sz w:val="24"/>
              </w:rPr>
              <w:t>人民币元</w:t>
            </w:r>
            <w:r w:rsidRPr="00A67563">
              <w:rPr>
                <w:color w:val="000000" w:themeColor="text1"/>
                <w:kern w:val="0"/>
                <w:sz w:val="24"/>
              </w:rPr>
              <w:t>)</w:t>
            </w:r>
          </w:p>
        </w:tc>
        <w:tc>
          <w:tcPr>
            <w:tcW w:w="2838" w:type="dxa"/>
            <w:vAlign w:val="center"/>
          </w:tcPr>
          <w:p w:rsidR="00E73C41" w:rsidRPr="00A67563" w:rsidRDefault="00E73C41"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kern w:val="0"/>
                <w:sz w:val="24"/>
              </w:rPr>
              <w:t>占基金资产净值比例</w:t>
            </w:r>
            <w:r w:rsidRPr="00A67563">
              <w:rPr>
                <w:color w:val="000000" w:themeColor="text1"/>
                <w:kern w:val="0"/>
                <w:sz w:val="24"/>
              </w:rPr>
              <w:lastRenderedPageBreak/>
              <w:t>（％）</w:t>
            </w:r>
          </w:p>
        </w:tc>
      </w:tr>
      <w:tr w:rsidR="00791EEA">
        <w:tc>
          <w:tcPr>
            <w:tcW w:w="0" w:type="auto"/>
            <w:vAlign w:val="center"/>
          </w:tcPr>
          <w:p w:rsidR="00791EEA" w:rsidRDefault="00E10952">
            <w:pPr>
              <w:jc w:val="left"/>
            </w:pPr>
            <w:r>
              <w:rPr>
                <w:color w:val="000000" w:themeColor="text1"/>
                <w:sz w:val="24"/>
              </w:rPr>
              <w:lastRenderedPageBreak/>
              <w:t>未评级</w:t>
            </w:r>
          </w:p>
        </w:tc>
        <w:tc>
          <w:tcPr>
            <w:tcW w:w="0" w:type="auto"/>
            <w:vAlign w:val="center"/>
          </w:tcPr>
          <w:p w:rsidR="00791EEA" w:rsidRDefault="00E10952">
            <w:pPr>
              <w:jc w:val="right"/>
            </w:pPr>
            <w:r>
              <w:rPr>
                <w:color w:val="000000" w:themeColor="text1"/>
                <w:sz w:val="24"/>
              </w:rPr>
              <w:t>20,465,667.47</w:t>
            </w:r>
          </w:p>
        </w:tc>
        <w:tc>
          <w:tcPr>
            <w:tcW w:w="0" w:type="auto"/>
            <w:vAlign w:val="center"/>
          </w:tcPr>
          <w:p w:rsidR="00791EEA" w:rsidRDefault="00E10952">
            <w:pPr>
              <w:jc w:val="right"/>
            </w:pPr>
            <w:r>
              <w:rPr>
                <w:color w:val="000000" w:themeColor="text1"/>
                <w:sz w:val="24"/>
              </w:rPr>
              <w:t>6.83</w:t>
            </w:r>
          </w:p>
        </w:tc>
      </w:tr>
    </w:tbl>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注：本债券投资组合主要采用标准普尔、穆迪、惠誉提供的债券信用评级信息，债券投资以全价列示。</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6</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的前五名债券投资明细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310"/>
        <w:gridCol w:w="1282"/>
        <w:gridCol w:w="1426"/>
        <w:gridCol w:w="1646"/>
        <w:gridCol w:w="1612"/>
      </w:tblGrid>
      <w:tr w:rsidR="008277FF" w:rsidRPr="00A67563" w:rsidTr="00B918B8">
        <w:tc>
          <w:tcPr>
            <w:tcW w:w="125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序号</w:t>
            </w:r>
          </w:p>
        </w:tc>
        <w:tc>
          <w:tcPr>
            <w:tcW w:w="1310"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债券代码</w:t>
            </w:r>
          </w:p>
        </w:tc>
        <w:tc>
          <w:tcPr>
            <w:tcW w:w="128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债券名称</w:t>
            </w:r>
          </w:p>
        </w:tc>
        <w:tc>
          <w:tcPr>
            <w:tcW w:w="1426"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数量</w:t>
            </w:r>
            <w:r w:rsidRPr="00A67563">
              <w:rPr>
                <w:color w:val="000000" w:themeColor="text1"/>
                <w:sz w:val="24"/>
              </w:rPr>
              <w:t>(</w:t>
            </w:r>
            <w:r w:rsidRPr="00A67563">
              <w:rPr>
                <w:color w:val="000000" w:themeColor="text1"/>
                <w:sz w:val="24"/>
              </w:rPr>
              <w:t>张</w:t>
            </w:r>
            <w:r w:rsidRPr="00A67563">
              <w:rPr>
                <w:color w:val="000000" w:themeColor="text1"/>
                <w:sz w:val="24"/>
              </w:rPr>
              <w:t>)</w:t>
            </w:r>
          </w:p>
        </w:tc>
        <w:tc>
          <w:tcPr>
            <w:tcW w:w="1646"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公允价值</w:t>
            </w:r>
            <w:r w:rsidRPr="00A67563">
              <w:rPr>
                <w:color w:val="000000" w:themeColor="text1"/>
                <w:sz w:val="24"/>
              </w:rPr>
              <w:t>(</w:t>
            </w:r>
            <w:r w:rsidR="006E0BCB">
              <w:rPr>
                <w:color w:val="000000" w:themeColor="text1"/>
                <w:sz w:val="24"/>
              </w:rPr>
              <w:t>人民币</w:t>
            </w:r>
            <w:r w:rsidRPr="00A67563">
              <w:rPr>
                <w:color w:val="000000" w:themeColor="text1"/>
                <w:sz w:val="24"/>
              </w:rPr>
              <w:t>元</w:t>
            </w:r>
            <w:r w:rsidRPr="00A67563">
              <w:rPr>
                <w:color w:val="000000" w:themeColor="text1"/>
                <w:sz w:val="24"/>
              </w:rPr>
              <w:t>)</w:t>
            </w:r>
          </w:p>
        </w:tc>
        <w:tc>
          <w:tcPr>
            <w:tcW w:w="1612" w:type="dxa"/>
            <w:shd w:val="clear" w:color="auto" w:fill="auto"/>
            <w:vAlign w:val="center"/>
          </w:tcPr>
          <w:p w:rsidR="00521EDE" w:rsidRPr="00A67563" w:rsidRDefault="00521EDE" w:rsidP="00B918B8">
            <w:pPr>
              <w:spacing w:before="29" w:line="360" w:lineRule="auto"/>
              <w:ind w:left="17"/>
              <w:jc w:val="center"/>
              <w:rPr>
                <w:color w:val="000000" w:themeColor="text1"/>
                <w:sz w:val="24"/>
              </w:rPr>
            </w:pPr>
            <w:r w:rsidRPr="00A67563">
              <w:rPr>
                <w:color w:val="000000" w:themeColor="text1"/>
                <w:sz w:val="24"/>
              </w:rPr>
              <w:t>占基金资产净值比例</w:t>
            </w:r>
            <w:r w:rsidRPr="00A67563">
              <w:rPr>
                <w:color w:val="000000" w:themeColor="text1"/>
                <w:sz w:val="24"/>
              </w:rPr>
              <w:t>(</w:t>
            </w:r>
            <w:r w:rsidRPr="00A67563">
              <w:rPr>
                <w:color w:val="000000" w:themeColor="text1"/>
                <w:sz w:val="24"/>
              </w:rPr>
              <w:t>％</w:t>
            </w:r>
            <w:r w:rsidRPr="00A67563">
              <w:rPr>
                <w:color w:val="000000" w:themeColor="text1"/>
                <w:sz w:val="24"/>
              </w:rPr>
              <w:t>)</w:t>
            </w:r>
          </w:p>
        </w:tc>
      </w:tr>
      <w:tr w:rsidR="00791EEA">
        <w:tc>
          <w:tcPr>
            <w:tcW w:w="1252" w:type="dxa"/>
            <w:vAlign w:val="center"/>
          </w:tcPr>
          <w:p w:rsidR="00791EEA" w:rsidRDefault="00E10952">
            <w:pPr>
              <w:jc w:val="center"/>
            </w:pPr>
            <w:r>
              <w:rPr>
                <w:color w:val="000000" w:themeColor="text1"/>
                <w:sz w:val="24"/>
              </w:rPr>
              <w:t>1</w:t>
            </w:r>
          </w:p>
        </w:tc>
        <w:tc>
          <w:tcPr>
            <w:tcW w:w="1310" w:type="dxa"/>
            <w:vAlign w:val="center"/>
          </w:tcPr>
          <w:p w:rsidR="00791EEA" w:rsidRDefault="00E10952">
            <w:pPr>
              <w:jc w:val="center"/>
            </w:pPr>
            <w:r>
              <w:rPr>
                <w:color w:val="000000" w:themeColor="text1"/>
                <w:sz w:val="24"/>
              </w:rPr>
              <w:t>180203</w:t>
            </w:r>
          </w:p>
        </w:tc>
        <w:tc>
          <w:tcPr>
            <w:tcW w:w="1282" w:type="dxa"/>
            <w:vAlign w:val="center"/>
          </w:tcPr>
          <w:p w:rsidR="00791EEA" w:rsidRDefault="00E10952">
            <w:pPr>
              <w:jc w:val="center"/>
            </w:pPr>
            <w:r>
              <w:rPr>
                <w:color w:val="000000" w:themeColor="text1"/>
                <w:sz w:val="24"/>
              </w:rPr>
              <w:t>18</w:t>
            </w:r>
            <w:r>
              <w:rPr>
                <w:color w:val="000000" w:themeColor="text1"/>
                <w:sz w:val="24"/>
              </w:rPr>
              <w:t>国开</w:t>
            </w:r>
            <w:r>
              <w:rPr>
                <w:color w:val="000000" w:themeColor="text1"/>
                <w:sz w:val="24"/>
              </w:rPr>
              <w:t>03</w:t>
            </w:r>
          </w:p>
        </w:tc>
        <w:tc>
          <w:tcPr>
            <w:tcW w:w="1426" w:type="dxa"/>
            <w:vAlign w:val="center"/>
          </w:tcPr>
          <w:p w:rsidR="00791EEA" w:rsidRDefault="00DE2A1E">
            <w:pPr>
              <w:jc w:val="right"/>
            </w:pPr>
            <w:r>
              <w:rPr>
                <w:color w:val="000000" w:themeColor="text1"/>
                <w:sz w:val="24"/>
              </w:rPr>
              <w:t>1</w:t>
            </w:r>
            <w:r w:rsidR="00E10952">
              <w:rPr>
                <w:color w:val="000000" w:themeColor="text1"/>
                <w:sz w:val="24"/>
              </w:rPr>
              <w:t>00,000</w:t>
            </w:r>
          </w:p>
        </w:tc>
        <w:tc>
          <w:tcPr>
            <w:tcW w:w="1646" w:type="dxa"/>
            <w:vAlign w:val="center"/>
          </w:tcPr>
          <w:p w:rsidR="00791EEA" w:rsidRDefault="00E10952">
            <w:pPr>
              <w:jc w:val="right"/>
            </w:pPr>
            <w:r>
              <w:rPr>
                <w:color w:val="000000" w:themeColor="text1"/>
                <w:sz w:val="24"/>
              </w:rPr>
              <w:t>10,164,000.00</w:t>
            </w:r>
          </w:p>
        </w:tc>
        <w:tc>
          <w:tcPr>
            <w:tcW w:w="1612" w:type="dxa"/>
            <w:vAlign w:val="center"/>
          </w:tcPr>
          <w:p w:rsidR="00791EEA" w:rsidRDefault="00E10952">
            <w:pPr>
              <w:jc w:val="right"/>
            </w:pPr>
            <w:r>
              <w:rPr>
                <w:color w:val="000000" w:themeColor="text1"/>
                <w:sz w:val="24"/>
              </w:rPr>
              <w:t>3.39</w:t>
            </w:r>
          </w:p>
        </w:tc>
      </w:tr>
      <w:tr w:rsidR="00791EEA">
        <w:tc>
          <w:tcPr>
            <w:tcW w:w="1252" w:type="dxa"/>
            <w:vAlign w:val="center"/>
          </w:tcPr>
          <w:p w:rsidR="00791EEA" w:rsidRDefault="00E10952">
            <w:pPr>
              <w:jc w:val="center"/>
            </w:pPr>
            <w:r>
              <w:rPr>
                <w:color w:val="000000" w:themeColor="text1"/>
                <w:sz w:val="24"/>
              </w:rPr>
              <w:t>2</w:t>
            </w:r>
          </w:p>
        </w:tc>
        <w:tc>
          <w:tcPr>
            <w:tcW w:w="1310" w:type="dxa"/>
            <w:vAlign w:val="center"/>
          </w:tcPr>
          <w:p w:rsidR="00791EEA" w:rsidRDefault="00E10952">
            <w:pPr>
              <w:jc w:val="center"/>
            </w:pPr>
            <w:r>
              <w:rPr>
                <w:color w:val="000000" w:themeColor="text1"/>
                <w:sz w:val="24"/>
              </w:rPr>
              <w:t>160206</w:t>
            </w:r>
          </w:p>
        </w:tc>
        <w:tc>
          <w:tcPr>
            <w:tcW w:w="1282" w:type="dxa"/>
            <w:vAlign w:val="center"/>
          </w:tcPr>
          <w:p w:rsidR="00791EEA" w:rsidRDefault="00E10952">
            <w:pPr>
              <w:jc w:val="center"/>
            </w:pPr>
            <w:r>
              <w:rPr>
                <w:color w:val="000000" w:themeColor="text1"/>
                <w:sz w:val="24"/>
              </w:rPr>
              <w:t>16</w:t>
            </w:r>
            <w:r>
              <w:rPr>
                <w:color w:val="000000" w:themeColor="text1"/>
                <w:sz w:val="24"/>
              </w:rPr>
              <w:t>国开</w:t>
            </w:r>
            <w:r>
              <w:rPr>
                <w:color w:val="000000" w:themeColor="text1"/>
                <w:sz w:val="24"/>
              </w:rPr>
              <w:t>06</w:t>
            </w:r>
          </w:p>
        </w:tc>
        <w:tc>
          <w:tcPr>
            <w:tcW w:w="1426" w:type="dxa"/>
            <w:vAlign w:val="center"/>
          </w:tcPr>
          <w:p w:rsidR="00791EEA" w:rsidRDefault="00E10952" w:rsidP="00DE2A1E">
            <w:pPr>
              <w:jc w:val="right"/>
            </w:pPr>
            <w:r>
              <w:rPr>
                <w:color w:val="000000" w:themeColor="text1"/>
                <w:sz w:val="24"/>
              </w:rPr>
              <w:t>10</w:t>
            </w:r>
            <w:bookmarkStart w:id="0" w:name="_GoBack"/>
            <w:bookmarkEnd w:id="0"/>
            <w:r>
              <w:rPr>
                <w:color w:val="000000" w:themeColor="text1"/>
                <w:sz w:val="24"/>
              </w:rPr>
              <w:t>0,000</w:t>
            </w:r>
          </w:p>
        </w:tc>
        <w:tc>
          <w:tcPr>
            <w:tcW w:w="1646" w:type="dxa"/>
            <w:vAlign w:val="center"/>
          </w:tcPr>
          <w:p w:rsidR="00791EEA" w:rsidRDefault="00E10952">
            <w:pPr>
              <w:jc w:val="right"/>
            </w:pPr>
            <w:r>
              <w:rPr>
                <w:color w:val="000000" w:themeColor="text1"/>
                <w:sz w:val="24"/>
              </w:rPr>
              <w:t>10,049,000.00</w:t>
            </w:r>
          </w:p>
        </w:tc>
        <w:tc>
          <w:tcPr>
            <w:tcW w:w="1612" w:type="dxa"/>
            <w:vAlign w:val="center"/>
          </w:tcPr>
          <w:p w:rsidR="00791EEA" w:rsidRDefault="00E10952">
            <w:pPr>
              <w:jc w:val="right"/>
            </w:pPr>
            <w:r>
              <w:rPr>
                <w:color w:val="000000" w:themeColor="text1"/>
                <w:sz w:val="24"/>
              </w:rPr>
              <w:t>3.35</w:t>
            </w:r>
          </w:p>
        </w:tc>
      </w:tr>
    </w:tbl>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2A0FA2" w:rsidRPr="00A67563">
        <w:rPr>
          <w:b/>
          <w:color w:val="000000" w:themeColor="text1"/>
          <w:kern w:val="0"/>
          <w:sz w:val="24"/>
        </w:rPr>
        <w:t>7</w:t>
      </w:r>
      <w:r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的前十名资产支持证券投资明细</w:t>
      </w:r>
    </w:p>
    <w:p w:rsidR="00521EDE" w:rsidRPr="00A67563" w:rsidRDefault="00521EDE"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本基金本报告期末未持有资产支持证券。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5.8</w:t>
      </w:r>
      <w:r w:rsidR="0076518F" w:rsidRPr="00A67563">
        <w:rPr>
          <w:b/>
          <w:color w:val="000000" w:themeColor="text1"/>
          <w:kern w:val="0"/>
          <w:sz w:val="24"/>
        </w:rPr>
        <w:t xml:space="preserve"> </w:t>
      </w:r>
      <w:r w:rsidR="0076518F" w:rsidRPr="00A67563">
        <w:rPr>
          <w:b/>
          <w:color w:val="000000" w:themeColor="text1"/>
          <w:kern w:val="0"/>
          <w:sz w:val="24"/>
        </w:rPr>
        <w:t>报告期末按公允价值占基金资产净值比例大小排</w:t>
      </w:r>
      <w:r w:rsidR="00B26CF4">
        <w:rPr>
          <w:rFonts w:hint="eastAsia"/>
          <w:b/>
          <w:color w:val="000000" w:themeColor="text1"/>
          <w:kern w:val="0"/>
          <w:sz w:val="24"/>
        </w:rPr>
        <w:t>序</w:t>
      </w:r>
      <w:r w:rsidR="0076518F" w:rsidRPr="00A67563">
        <w:rPr>
          <w:b/>
          <w:color w:val="000000" w:themeColor="text1"/>
          <w:kern w:val="0"/>
          <w:sz w:val="24"/>
        </w:rPr>
        <w:t>的前五名金融衍生品投资明细</w:t>
      </w:r>
    </w:p>
    <w:p w:rsidR="0076518F" w:rsidRPr="00A67563" w:rsidRDefault="00521EDE" w:rsidP="006C750F">
      <w:pPr>
        <w:autoSpaceDE w:val="0"/>
        <w:autoSpaceDN w:val="0"/>
        <w:adjustRightInd w:val="0"/>
        <w:spacing w:line="360" w:lineRule="auto"/>
        <w:ind w:firstLineChars="200" w:firstLine="480"/>
        <w:jc w:val="left"/>
        <w:rPr>
          <w:color w:val="000000" w:themeColor="text1"/>
          <w:kern w:val="0"/>
          <w:sz w:val="24"/>
        </w:rPr>
      </w:pPr>
      <w:r w:rsidRPr="00A67563">
        <w:rPr>
          <w:color w:val="000000" w:themeColor="text1"/>
          <w:sz w:val="24"/>
        </w:rPr>
        <w:t>本基金本报告期末未持有金融衍生品。</w:t>
      </w:r>
    </w:p>
    <w:p w:rsidR="0076518F" w:rsidRPr="00A67563" w:rsidRDefault="00B22A61"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5.9</w:t>
      </w:r>
      <w:r w:rsidR="0076518F" w:rsidRPr="00A67563">
        <w:rPr>
          <w:b/>
          <w:color w:val="000000" w:themeColor="text1"/>
          <w:kern w:val="0"/>
          <w:sz w:val="24"/>
        </w:rPr>
        <w:t>报告期末按公允价值占基金资产净值比例大小排序的前十名基金投资明细</w:t>
      </w:r>
    </w:p>
    <w:tbl>
      <w:tblPr>
        <w:tblStyle w:val="af7"/>
        <w:tblW w:w="0" w:type="auto"/>
        <w:tblInd w:w="15" w:type="dxa"/>
        <w:tblLook w:val="04A0" w:firstRow="1" w:lastRow="0" w:firstColumn="1" w:lastColumn="0" w:noHBand="0" w:noVBand="1"/>
      </w:tblPr>
      <w:tblGrid>
        <w:gridCol w:w="492"/>
        <w:gridCol w:w="1671"/>
        <w:gridCol w:w="920"/>
        <w:gridCol w:w="605"/>
        <w:gridCol w:w="2452"/>
        <w:gridCol w:w="1596"/>
        <w:gridCol w:w="777"/>
      </w:tblGrid>
      <w:tr w:rsidR="008277FF" w:rsidRPr="00A67563" w:rsidTr="00E10952">
        <w:tc>
          <w:tcPr>
            <w:tcW w:w="570"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序号</w:t>
            </w:r>
          </w:p>
        </w:tc>
        <w:tc>
          <w:tcPr>
            <w:tcW w:w="2059" w:type="dxa"/>
            <w:vAlign w:val="center"/>
          </w:tcPr>
          <w:p w:rsidR="00017739" w:rsidRPr="00A67563" w:rsidRDefault="00017739" w:rsidP="00797DD2">
            <w:pPr>
              <w:spacing w:line="360" w:lineRule="auto"/>
              <w:rPr>
                <w:color w:val="000000" w:themeColor="text1"/>
                <w:sz w:val="24"/>
              </w:rPr>
            </w:pPr>
            <w:r w:rsidRPr="00A67563">
              <w:rPr>
                <w:color w:val="000000" w:themeColor="text1"/>
                <w:sz w:val="24"/>
              </w:rPr>
              <w:t>基金名称</w:t>
            </w:r>
          </w:p>
        </w:tc>
        <w:tc>
          <w:tcPr>
            <w:tcW w:w="952" w:type="dxa"/>
            <w:vAlign w:val="center"/>
          </w:tcPr>
          <w:p w:rsidR="00017739" w:rsidRPr="00A67563" w:rsidRDefault="00017739" w:rsidP="00797DD2">
            <w:pPr>
              <w:spacing w:line="360" w:lineRule="auto"/>
              <w:rPr>
                <w:color w:val="000000" w:themeColor="text1"/>
                <w:sz w:val="24"/>
              </w:rPr>
            </w:pPr>
            <w:r w:rsidRPr="00A67563">
              <w:rPr>
                <w:color w:val="000000" w:themeColor="text1"/>
                <w:sz w:val="24"/>
              </w:rPr>
              <w:t>基金类型</w:t>
            </w:r>
          </w:p>
        </w:tc>
        <w:tc>
          <w:tcPr>
            <w:tcW w:w="569"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运作方式</w:t>
            </w:r>
          </w:p>
        </w:tc>
        <w:tc>
          <w:tcPr>
            <w:tcW w:w="1942"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管理人</w:t>
            </w:r>
          </w:p>
        </w:tc>
        <w:tc>
          <w:tcPr>
            <w:tcW w:w="1596"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公允价值</w:t>
            </w:r>
          </w:p>
          <w:p w:rsidR="00017739" w:rsidRPr="00A67563" w:rsidRDefault="00017739" w:rsidP="00797DD2">
            <w:pPr>
              <w:spacing w:line="360" w:lineRule="auto"/>
              <w:jc w:val="center"/>
              <w:rPr>
                <w:color w:val="000000" w:themeColor="text1"/>
                <w:sz w:val="24"/>
              </w:rPr>
            </w:pPr>
            <w:r w:rsidRPr="00A67563">
              <w:rPr>
                <w:color w:val="000000" w:themeColor="text1"/>
                <w:sz w:val="24"/>
              </w:rPr>
              <w:t>（人民币元）</w:t>
            </w:r>
          </w:p>
        </w:tc>
        <w:tc>
          <w:tcPr>
            <w:tcW w:w="825" w:type="dxa"/>
            <w:vAlign w:val="center"/>
          </w:tcPr>
          <w:p w:rsidR="00017739" w:rsidRPr="00A67563" w:rsidRDefault="00017739" w:rsidP="00797DD2">
            <w:pPr>
              <w:spacing w:line="360" w:lineRule="auto"/>
              <w:jc w:val="center"/>
              <w:rPr>
                <w:color w:val="000000" w:themeColor="text1"/>
                <w:sz w:val="24"/>
              </w:rPr>
            </w:pPr>
            <w:r w:rsidRPr="00A67563">
              <w:rPr>
                <w:color w:val="000000" w:themeColor="text1"/>
                <w:sz w:val="24"/>
              </w:rPr>
              <w:t>占基金资产净值比例</w:t>
            </w:r>
            <w:r w:rsidRPr="00A67563">
              <w:rPr>
                <w:color w:val="000000" w:themeColor="text1"/>
                <w:sz w:val="24"/>
              </w:rPr>
              <w:t>(%)</w:t>
            </w:r>
          </w:p>
        </w:tc>
      </w:tr>
      <w:tr w:rsidR="00791EEA" w:rsidTr="00E10952">
        <w:tc>
          <w:tcPr>
            <w:tcW w:w="570" w:type="dxa"/>
            <w:vAlign w:val="center"/>
          </w:tcPr>
          <w:p w:rsidR="00791EEA" w:rsidRDefault="00E10952">
            <w:pPr>
              <w:jc w:val="center"/>
            </w:pPr>
            <w:r>
              <w:rPr>
                <w:color w:val="000000" w:themeColor="text1"/>
                <w:sz w:val="24"/>
              </w:rPr>
              <w:t>1</w:t>
            </w:r>
          </w:p>
        </w:tc>
        <w:tc>
          <w:tcPr>
            <w:tcW w:w="2059" w:type="dxa"/>
            <w:vAlign w:val="center"/>
          </w:tcPr>
          <w:p w:rsidR="00791EEA" w:rsidRDefault="00E10952">
            <w:pPr>
              <w:jc w:val="center"/>
            </w:pPr>
            <w:r>
              <w:rPr>
                <w:color w:val="000000" w:themeColor="text1"/>
                <w:sz w:val="24"/>
              </w:rPr>
              <w:t>SPDR Gold MiniShares Trust</w:t>
            </w:r>
          </w:p>
        </w:tc>
        <w:tc>
          <w:tcPr>
            <w:tcW w:w="0" w:type="auto"/>
            <w:vAlign w:val="center"/>
          </w:tcPr>
          <w:p w:rsidR="00791EEA" w:rsidRDefault="00E10952">
            <w:pPr>
              <w:jc w:val="center"/>
            </w:pPr>
            <w:r>
              <w:rPr>
                <w:color w:val="000000" w:themeColor="text1"/>
                <w:sz w:val="24"/>
              </w:rPr>
              <w:t>ETF</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World Gold Trust Services LLC</w:t>
            </w:r>
          </w:p>
        </w:tc>
        <w:tc>
          <w:tcPr>
            <w:tcW w:w="0" w:type="auto"/>
            <w:vAlign w:val="center"/>
          </w:tcPr>
          <w:p w:rsidR="00791EEA" w:rsidRDefault="00E10952">
            <w:pPr>
              <w:jc w:val="right"/>
            </w:pPr>
            <w:r>
              <w:rPr>
                <w:color w:val="000000" w:themeColor="text1"/>
                <w:sz w:val="24"/>
              </w:rPr>
              <w:t>59,377,905.08</w:t>
            </w:r>
          </w:p>
        </w:tc>
        <w:tc>
          <w:tcPr>
            <w:tcW w:w="0" w:type="auto"/>
            <w:vAlign w:val="center"/>
          </w:tcPr>
          <w:p w:rsidR="00791EEA" w:rsidRDefault="00E10952">
            <w:pPr>
              <w:jc w:val="right"/>
            </w:pPr>
            <w:r>
              <w:rPr>
                <w:color w:val="000000" w:themeColor="text1"/>
                <w:sz w:val="24"/>
              </w:rPr>
              <w:t>19.81</w:t>
            </w:r>
          </w:p>
        </w:tc>
      </w:tr>
      <w:tr w:rsidR="00791EEA" w:rsidTr="00E10952">
        <w:tc>
          <w:tcPr>
            <w:tcW w:w="570" w:type="dxa"/>
            <w:vAlign w:val="center"/>
          </w:tcPr>
          <w:p w:rsidR="00791EEA" w:rsidRDefault="00E10952">
            <w:pPr>
              <w:jc w:val="center"/>
            </w:pPr>
            <w:r>
              <w:rPr>
                <w:color w:val="000000" w:themeColor="text1"/>
                <w:sz w:val="24"/>
              </w:rPr>
              <w:t>2</w:t>
            </w:r>
          </w:p>
        </w:tc>
        <w:tc>
          <w:tcPr>
            <w:tcW w:w="2059" w:type="dxa"/>
            <w:vAlign w:val="center"/>
          </w:tcPr>
          <w:p w:rsidR="00791EEA" w:rsidRDefault="00E10952">
            <w:pPr>
              <w:jc w:val="center"/>
            </w:pPr>
            <w:r>
              <w:rPr>
                <w:color w:val="000000" w:themeColor="text1"/>
                <w:sz w:val="24"/>
              </w:rPr>
              <w:t>iShares MSCI Global Gold Miners ETF</w:t>
            </w:r>
          </w:p>
        </w:tc>
        <w:tc>
          <w:tcPr>
            <w:tcW w:w="0" w:type="auto"/>
            <w:vAlign w:val="center"/>
          </w:tcPr>
          <w:p w:rsidR="00791EEA" w:rsidRDefault="00E10952">
            <w:pPr>
              <w:jc w:val="center"/>
            </w:pPr>
            <w:r>
              <w:rPr>
                <w:color w:val="000000" w:themeColor="text1"/>
                <w:sz w:val="24"/>
              </w:rPr>
              <w:t>ETF</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BlackRock Fund Advisors</w:t>
            </w:r>
          </w:p>
        </w:tc>
        <w:tc>
          <w:tcPr>
            <w:tcW w:w="0" w:type="auto"/>
            <w:vAlign w:val="center"/>
          </w:tcPr>
          <w:p w:rsidR="00791EEA" w:rsidRDefault="00E10952">
            <w:pPr>
              <w:jc w:val="right"/>
            </w:pPr>
            <w:r>
              <w:rPr>
                <w:color w:val="000000" w:themeColor="text1"/>
                <w:sz w:val="24"/>
              </w:rPr>
              <w:t>49,327,716.05</w:t>
            </w:r>
          </w:p>
        </w:tc>
        <w:tc>
          <w:tcPr>
            <w:tcW w:w="0" w:type="auto"/>
            <w:vAlign w:val="center"/>
          </w:tcPr>
          <w:p w:rsidR="00791EEA" w:rsidRDefault="00E10952">
            <w:pPr>
              <w:jc w:val="right"/>
            </w:pPr>
            <w:r>
              <w:rPr>
                <w:color w:val="000000" w:themeColor="text1"/>
                <w:sz w:val="24"/>
              </w:rPr>
              <w:t>16.45</w:t>
            </w:r>
          </w:p>
        </w:tc>
      </w:tr>
      <w:tr w:rsidR="00791EEA" w:rsidTr="00E10952">
        <w:tc>
          <w:tcPr>
            <w:tcW w:w="570" w:type="dxa"/>
            <w:vAlign w:val="center"/>
          </w:tcPr>
          <w:p w:rsidR="00791EEA" w:rsidRDefault="00E10952">
            <w:pPr>
              <w:jc w:val="center"/>
            </w:pPr>
            <w:r>
              <w:rPr>
                <w:color w:val="000000" w:themeColor="text1"/>
                <w:sz w:val="24"/>
              </w:rPr>
              <w:t>3</w:t>
            </w:r>
          </w:p>
        </w:tc>
        <w:tc>
          <w:tcPr>
            <w:tcW w:w="2059" w:type="dxa"/>
            <w:vAlign w:val="center"/>
          </w:tcPr>
          <w:p w:rsidR="00791EEA" w:rsidRDefault="00E10952">
            <w:pPr>
              <w:jc w:val="center"/>
            </w:pPr>
            <w:r>
              <w:rPr>
                <w:color w:val="000000" w:themeColor="text1"/>
                <w:sz w:val="24"/>
              </w:rPr>
              <w:t>SPDR Gold Shares</w:t>
            </w:r>
          </w:p>
        </w:tc>
        <w:tc>
          <w:tcPr>
            <w:tcW w:w="0" w:type="auto"/>
            <w:vAlign w:val="center"/>
          </w:tcPr>
          <w:p w:rsidR="00791EEA" w:rsidRDefault="00E10952">
            <w:pPr>
              <w:jc w:val="center"/>
            </w:pPr>
            <w:r>
              <w:rPr>
                <w:color w:val="000000" w:themeColor="text1"/>
                <w:sz w:val="24"/>
              </w:rPr>
              <w:t>ETF</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World Gold Trust Services LLC</w:t>
            </w:r>
          </w:p>
        </w:tc>
        <w:tc>
          <w:tcPr>
            <w:tcW w:w="0" w:type="auto"/>
            <w:vAlign w:val="center"/>
          </w:tcPr>
          <w:p w:rsidR="00791EEA" w:rsidRDefault="00E10952">
            <w:pPr>
              <w:jc w:val="right"/>
            </w:pPr>
            <w:r>
              <w:rPr>
                <w:color w:val="000000" w:themeColor="text1"/>
                <w:sz w:val="24"/>
              </w:rPr>
              <w:t>39,757,997.53</w:t>
            </w:r>
          </w:p>
        </w:tc>
        <w:tc>
          <w:tcPr>
            <w:tcW w:w="0" w:type="auto"/>
            <w:vAlign w:val="center"/>
          </w:tcPr>
          <w:p w:rsidR="00791EEA" w:rsidRDefault="00E10952">
            <w:pPr>
              <w:jc w:val="right"/>
            </w:pPr>
            <w:r>
              <w:rPr>
                <w:color w:val="000000" w:themeColor="text1"/>
                <w:sz w:val="24"/>
              </w:rPr>
              <w:t>13.26</w:t>
            </w:r>
          </w:p>
        </w:tc>
      </w:tr>
      <w:tr w:rsidR="00791EEA" w:rsidTr="00E10952">
        <w:tc>
          <w:tcPr>
            <w:tcW w:w="570" w:type="dxa"/>
            <w:vAlign w:val="center"/>
          </w:tcPr>
          <w:p w:rsidR="00791EEA" w:rsidRDefault="00E10952">
            <w:pPr>
              <w:jc w:val="center"/>
            </w:pPr>
            <w:r>
              <w:rPr>
                <w:color w:val="000000" w:themeColor="text1"/>
                <w:sz w:val="24"/>
              </w:rPr>
              <w:t>4</w:t>
            </w:r>
          </w:p>
        </w:tc>
        <w:tc>
          <w:tcPr>
            <w:tcW w:w="2059" w:type="dxa"/>
            <w:vAlign w:val="center"/>
          </w:tcPr>
          <w:p w:rsidR="00791EEA" w:rsidRDefault="00E10952">
            <w:pPr>
              <w:jc w:val="center"/>
            </w:pPr>
            <w:r>
              <w:rPr>
                <w:color w:val="000000" w:themeColor="text1"/>
                <w:sz w:val="24"/>
              </w:rPr>
              <w:t>VanEck Vectors Gold Miners ETF</w:t>
            </w:r>
          </w:p>
        </w:tc>
        <w:tc>
          <w:tcPr>
            <w:tcW w:w="0" w:type="auto"/>
            <w:vAlign w:val="center"/>
          </w:tcPr>
          <w:p w:rsidR="00791EEA" w:rsidRDefault="00E10952">
            <w:pPr>
              <w:jc w:val="center"/>
            </w:pPr>
            <w:r>
              <w:rPr>
                <w:color w:val="000000" w:themeColor="text1"/>
                <w:sz w:val="24"/>
              </w:rPr>
              <w:t>ETF</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Van Eck Associates Corp</w:t>
            </w:r>
          </w:p>
        </w:tc>
        <w:tc>
          <w:tcPr>
            <w:tcW w:w="0" w:type="auto"/>
            <w:vAlign w:val="center"/>
          </w:tcPr>
          <w:p w:rsidR="00791EEA" w:rsidRDefault="00E10952">
            <w:pPr>
              <w:jc w:val="right"/>
            </w:pPr>
            <w:r>
              <w:rPr>
                <w:color w:val="000000" w:themeColor="text1"/>
                <w:sz w:val="24"/>
              </w:rPr>
              <w:t>27,512,678.56</w:t>
            </w:r>
          </w:p>
        </w:tc>
        <w:tc>
          <w:tcPr>
            <w:tcW w:w="0" w:type="auto"/>
            <w:vAlign w:val="center"/>
          </w:tcPr>
          <w:p w:rsidR="00791EEA" w:rsidRDefault="00E10952">
            <w:pPr>
              <w:jc w:val="right"/>
            </w:pPr>
            <w:r>
              <w:rPr>
                <w:color w:val="000000" w:themeColor="text1"/>
                <w:sz w:val="24"/>
              </w:rPr>
              <w:t>9.18</w:t>
            </w:r>
          </w:p>
        </w:tc>
      </w:tr>
      <w:tr w:rsidR="00791EEA" w:rsidTr="00E10952">
        <w:tc>
          <w:tcPr>
            <w:tcW w:w="570" w:type="dxa"/>
            <w:vAlign w:val="center"/>
          </w:tcPr>
          <w:p w:rsidR="00791EEA" w:rsidRDefault="00E10952">
            <w:pPr>
              <w:jc w:val="center"/>
            </w:pPr>
            <w:r>
              <w:rPr>
                <w:color w:val="000000" w:themeColor="text1"/>
                <w:sz w:val="24"/>
              </w:rPr>
              <w:lastRenderedPageBreak/>
              <w:t>5</w:t>
            </w:r>
          </w:p>
        </w:tc>
        <w:tc>
          <w:tcPr>
            <w:tcW w:w="2059" w:type="dxa"/>
            <w:vAlign w:val="center"/>
          </w:tcPr>
          <w:p w:rsidR="00791EEA" w:rsidRDefault="00E10952" w:rsidP="00E10952">
            <w:pPr>
              <w:jc w:val="center"/>
            </w:pPr>
            <w:r w:rsidRPr="00E10952">
              <w:rPr>
                <w:color w:val="000000" w:themeColor="text1"/>
                <w:sz w:val="24"/>
              </w:rPr>
              <w:t>Ninety</w:t>
            </w:r>
            <w:r>
              <w:rPr>
                <w:color w:val="000000" w:themeColor="text1"/>
                <w:sz w:val="24"/>
              </w:rPr>
              <w:t xml:space="preserve"> </w:t>
            </w:r>
            <w:r w:rsidRPr="00E10952">
              <w:rPr>
                <w:color w:val="000000" w:themeColor="text1"/>
                <w:sz w:val="24"/>
              </w:rPr>
              <w:t>One Global Strategy Fund Global Gold Fund</w:t>
            </w:r>
          </w:p>
        </w:tc>
        <w:tc>
          <w:tcPr>
            <w:tcW w:w="0" w:type="auto"/>
            <w:vAlign w:val="center"/>
          </w:tcPr>
          <w:p w:rsidR="00791EEA" w:rsidRDefault="00E10952">
            <w:pPr>
              <w:jc w:val="center"/>
            </w:pPr>
            <w:r>
              <w:rPr>
                <w:color w:val="000000" w:themeColor="text1"/>
                <w:sz w:val="24"/>
              </w:rPr>
              <w:t>SICAV</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sidRPr="00E10952">
              <w:rPr>
                <w:color w:val="000000" w:themeColor="text1"/>
                <w:sz w:val="24"/>
              </w:rPr>
              <w:t>Ninety One Luxembourg SA</w:t>
            </w:r>
          </w:p>
        </w:tc>
        <w:tc>
          <w:tcPr>
            <w:tcW w:w="0" w:type="auto"/>
            <w:vAlign w:val="center"/>
          </w:tcPr>
          <w:p w:rsidR="00791EEA" w:rsidRDefault="00E10952">
            <w:pPr>
              <w:jc w:val="right"/>
            </w:pPr>
            <w:r>
              <w:rPr>
                <w:color w:val="000000" w:themeColor="text1"/>
                <w:sz w:val="24"/>
              </w:rPr>
              <w:t>19,099,640.47</w:t>
            </w:r>
          </w:p>
        </w:tc>
        <w:tc>
          <w:tcPr>
            <w:tcW w:w="0" w:type="auto"/>
            <w:vAlign w:val="center"/>
          </w:tcPr>
          <w:p w:rsidR="00791EEA" w:rsidRDefault="00E10952">
            <w:pPr>
              <w:jc w:val="right"/>
            </w:pPr>
            <w:r>
              <w:rPr>
                <w:color w:val="000000" w:themeColor="text1"/>
                <w:sz w:val="24"/>
              </w:rPr>
              <w:t>6.37</w:t>
            </w:r>
          </w:p>
        </w:tc>
      </w:tr>
      <w:tr w:rsidR="00791EEA" w:rsidTr="00E10952">
        <w:tc>
          <w:tcPr>
            <w:tcW w:w="570" w:type="dxa"/>
            <w:vAlign w:val="center"/>
          </w:tcPr>
          <w:p w:rsidR="00791EEA" w:rsidRDefault="00E10952">
            <w:pPr>
              <w:jc w:val="center"/>
            </w:pPr>
            <w:r>
              <w:rPr>
                <w:color w:val="000000" w:themeColor="text1"/>
                <w:sz w:val="24"/>
              </w:rPr>
              <w:t>6</w:t>
            </w:r>
          </w:p>
        </w:tc>
        <w:tc>
          <w:tcPr>
            <w:tcW w:w="2059" w:type="dxa"/>
            <w:vAlign w:val="center"/>
          </w:tcPr>
          <w:p w:rsidR="00791EEA" w:rsidRDefault="00E10952">
            <w:pPr>
              <w:jc w:val="center"/>
            </w:pPr>
            <w:r>
              <w:rPr>
                <w:color w:val="000000" w:themeColor="text1"/>
                <w:sz w:val="24"/>
              </w:rPr>
              <w:t>SCHRODER ISF-GL GOLD-C A USD</w:t>
            </w:r>
          </w:p>
        </w:tc>
        <w:tc>
          <w:tcPr>
            <w:tcW w:w="0" w:type="auto"/>
            <w:vAlign w:val="center"/>
          </w:tcPr>
          <w:p w:rsidR="00791EEA" w:rsidRDefault="00E10952">
            <w:pPr>
              <w:jc w:val="center"/>
            </w:pPr>
            <w:r>
              <w:rPr>
                <w:color w:val="000000" w:themeColor="text1"/>
                <w:sz w:val="24"/>
              </w:rPr>
              <w:t>SICAV</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Schroder Investment Management Europe SA</w:t>
            </w:r>
          </w:p>
        </w:tc>
        <w:tc>
          <w:tcPr>
            <w:tcW w:w="0" w:type="auto"/>
            <w:vAlign w:val="center"/>
          </w:tcPr>
          <w:p w:rsidR="00791EEA" w:rsidRDefault="00E10952">
            <w:pPr>
              <w:jc w:val="right"/>
            </w:pPr>
            <w:r>
              <w:rPr>
                <w:color w:val="000000" w:themeColor="text1"/>
                <w:sz w:val="24"/>
              </w:rPr>
              <w:t>13,582,527.36</w:t>
            </w:r>
          </w:p>
        </w:tc>
        <w:tc>
          <w:tcPr>
            <w:tcW w:w="0" w:type="auto"/>
            <w:vAlign w:val="center"/>
          </w:tcPr>
          <w:p w:rsidR="00791EEA" w:rsidRDefault="00E10952">
            <w:pPr>
              <w:jc w:val="right"/>
            </w:pPr>
            <w:r>
              <w:rPr>
                <w:color w:val="000000" w:themeColor="text1"/>
                <w:sz w:val="24"/>
              </w:rPr>
              <w:t>4.53</w:t>
            </w:r>
          </w:p>
        </w:tc>
      </w:tr>
      <w:tr w:rsidR="00791EEA" w:rsidTr="00E10952">
        <w:tc>
          <w:tcPr>
            <w:tcW w:w="570" w:type="dxa"/>
            <w:vAlign w:val="center"/>
          </w:tcPr>
          <w:p w:rsidR="00791EEA" w:rsidRDefault="00E10952">
            <w:pPr>
              <w:jc w:val="center"/>
            </w:pPr>
            <w:r>
              <w:rPr>
                <w:color w:val="000000" w:themeColor="text1"/>
                <w:sz w:val="24"/>
              </w:rPr>
              <w:t>7</w:t>
            </w:r>
          </w:p>
        </w:tc>
        <w:tc>
          <w:tcPr>
            <w:tcW w:w="2059" w:type="dxa"/>
            <w:vAlign w:val="center"/>
          </w:tcPr>
          <w:p w:rsidR="00791EEA" w:rsidRDefault="00E10952">
            <w:pPr>
              <w:jc w:val="center"/>
            </w:pPr>
            <w:r>
              <w:rPr>
                <w:color w:val="000000" w:themeColor="text1"/>
                <w:sz w:val="24"/>
              </w:rPr>
              <w:t>iShares Gold Trust</w:t>
            </w:r>
          </w:p>
        </w:tc>
        <w:tc>
          <w:tcPr>
            <w:tcW w:w="0" w:type="auto"/>
            <w:vAlign w:val="center"/>
          </w:tcPr>
          <w:p w:rsidR="00791EEA" w:rsidRDefault="00E10952">
            <w:pPr>
              <w:jc w:val="center"/>
            </w:pPr>
            <w:r>
              <w:rPr>
                <w:color w:val="000000" w:themeColor="text1"/>
                <w:sz w:val="24"/>
              </w:rPr>
              <w:t>ETF</w:t>
            </w:r>
          </w:p>
        </w:tc>
        <w:tc>
          <w:tcPr>
            <w:tcW w:w="0" w:type="auto"/>
            <w:vAlign w:val="center"/>
          </w:tcPr>
          <w:p w:rsidR="00791EEA" w:rsidRDefault="00E10952">
            <w:pPr>
              <w:jc w:val="center"/>
            </w:pPr>
            <w:r>
              <w:rPr>
                <w:color w:val="000000" w:themeColor="text1"/>
                <w:sz w:val="24"/>
              </w:rPr>
              <w:t>开放式</w:t>
            </w:r>
          </w:p>
        </w:tc>
        <w:tc>
          <w:tcPr>
            <w:tcW w:w="0" w:type="auto"/>
            <w:vAlign w:val="center"/>
          </w:tcPr>
          <w:p w:rsidR="00791EEA" w:rsidRDefault="00E10952">
            <w:pPr>
              <w:jc w:val="center"/>
            </w:pPr>
            <w:r>
              <w:rPr>
                <w:color w:val="000000" w:themeColor="text1"/>
                <w:sz w:val="24"/>
              </w:rPr>
              <w:t>BlackRock Fund Advisors</w:t>
            </w:r>
          </w:p>
        </w:tc>
        <w:tc>
          <w:tcPr>
            <w:tcW w:w="0" w:type="auto"/>
            <w:vAlign w:val="center"/>
          </w:tcPr>
          <w:p w:rsidR="00791EEA" w:rsidRDefault="00E10952">
            <w:pPr>
              <w:jc w:val="right"/>
            </w:pPr>
            <w:r>
              <w:rPr>
                <w:color w:val="000000" w:themeColor="text1"/>
                <w:sz w:val="24"/>
              </w:rPr>
              <w:t>9,734,197.17</w:t>
            </w:r>
          </w:p>
        </w:tc>
        <w:tc>
          <w:tcPr>
            <w:tcW w:w="0" w:type="auto"/>
            <w:vAlign w:val="center"/>
          </w:tcPr>
          <w:p w:rsidR="00791EEA" w:rsidRDefault="00E10952">
            <w:pPr>
              <w:jc w:val="right"/>
            </w:pPr>
            <w:r>
              <w:rPr>
                <w:color w:val="000000" w:themeColor="text1"/>
                <w:sz w:val="24"/>
              </w:rPr>
              <w:t>3.25</w:t>
            </w:r>
          </w:p>
        </w:tc>
      </w:tr>
    </w:tbl>
    <w:p w:rsidR="0076518F" w:rsidRPr="00A67563" w:rsidRDefault="00B55EA7"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w:t>
      </w:r>
      <w:r w:rsidR="0076518F" w:rsidRPr="00A67563">
        <w:rPr>
          <w:b/>
          <w:color w:val="000000" w:themeColor="text1"/>
          <w:kern w:val="0"/>
          <w:sz w:val="24"/>
        </w:rPr>
        <w:t>.</w:t>
      </w:r>
      <w:r w:rsidRPr="00A67563">
        <w:rPr>
          <w:b/>
          <w:color w:val="000000" w:themeColor="text1"/>
          <w:kern w:val="0"/>
          <w:sz w:val="24"/>
        </w:rPr>
        <w:t>10</w:t>
      </w:r>
      <w:r w:rsidR="0076518F" w:rsidRPr="00A67563">
        <w:rPr>
          <w:b/>
          <w:color w:val="000000" w:themeColor="text1"/>
          <w:kern w:val="0"/>
          <w:sz w:val="24"/>
        </w:rPr>
        <w:t xml:space="preserve"> </w:t>
      </w:r>
      <w:r w:rsidR="0076518F" w:rsidRPr="00A67563">
        <w:rPr>
          <w:b/>
          <w:color w:val="000000" w:themeColor="text1"/>
          <w:kern w:val="0"/>
          <w:sz w:val="24"/>
        </w:rPr>
        <w:t>投资组合报告附注</w:t>
      </w:r>
    </w:p>
    <w:p w:rsidR="00B55EA7" w:rsidRPr="00A67563" w:rsidRDefault="00B55EA7" w:rsidP="000E3F11">
      <w:pPr>
        <w:widowControl/>
        <w:spacing w:line="360" w:lineRule="auto"/>
        <w:ind w:left="120" w:hangingChars="50" w:hanging="120"/>
        <w:rPr>
          <w:color w:val="000000" w:themeColor="text1"/>
          <w:sz w:val="24"/>
        </w:rPr>
      </w:pPr>
      <w:r w:rsidRPr="00A67563">
        <w:rPr>
          <w:color w:val="000000" w:themeColor="text1"/>
          <w:sz w:val="24"/>
        </w:rPr>
        <w:t>5.10.1</w:t>
      </w:r>
      <w:r w:rsidR="008212BF">
        <w:rPr>
          <w:rFonts w:hint="eastAsia"/>
          <w:color w:val="000000" w:themeColor="text1"/>
          <w:sz w:val="24"/>
        </w:rPr>
        <w:t xml:space="preserve"> </w:t>
      </w:r>
      <w:r w:rsidRPr="00A67563">
        <w:rPr>
          <w:color w:val="000000" w:themeColor="text1"/>
          <w:sz w:val="24"/>
        </w:rPr>
        <w:t>本基金投资的前十名证券的发行主体本期没有出现被监管部门立案调查，或在报告编制日前一年内受到公开谴责、处罚的情形。</w:t>
      </w:r>
    </w:p>
    <w:p w:rsidR="00B55EA7" w:rsidRPr="00A67563" w:rsidRDefault="00B55EA7" w:rsidP="00B55EA7">
      <w:pPr>
        <w:widowControl/>
        <w:spacing w:line="360" w:lineRule="auto"/>
        <w:rPr>
          <w:color w:val="000000" w:themeColor="text1"/>
          <w:sz w:val="24"/>
        </w:rPr>
      </w:pPr>
      <w:r w:rsidRPr="00A67563">
        <w:rPr>
          <w:color w:val="000000" w:themeColor="text1"/>
          <w:sz w:val="24"/>
        </w:rPr>
        <w:t>5.10.2</w:t>
      </w:r>
      <w:r w:rsidR="008212BF">
        <w:rPr>
          <w:rFonts w:hint="eastAsia"/>
          <w:color w:val="000000" w:themeColor="text1"/>
          <w:sz w:val="24"/>
        </w:rPr>
        <w:t xml:space="preserve"> </w:t>
      </w:r>
      <w:r w:rsidRPr="00A67563">
        <w:rPr>
          <w:color w:val="000000" w:themeColor="text1"/>
          <w:sz w:val="24"/>
        </w:rPr>
        <w:t>本基金投资的前十名股票没有超出基金合同规定的备选股票库。</w:t>
      </w:r>
    </w:p>
    <w:p w:rsidR="0076518F" w:rsidRPr="00A67563" w:rsidRDefault="008C71EB" w:rsidP="0049659A">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.3</w:t>
      </w:r>
      <w:r w:rsidR="0076518F" w:rsidRPr="00A67563">
        <w:rPr>
          <w:b/>
          <w:color w:val="000000" w:themeColor="text1"/>
          <w:kern w:val="0"/>
          <w:sz w:val="24"/>
        </w:rPr>
        <w:t>其他资产构成</w:t>
      </w:r>
    </w:p>
    <w:tbl>
      <w:tblPr>
        <w:tblStyle w:val="af7"/>
        <w:tblW w:w="0" w:type="auto"/>
        <w:tblInd w:w="15" w:type="dxa"/>
        <w:tblLayout w:type="fixed"/>
        <w:tblLook w:val="04A0" w:firstRow="1" w:lastRow="0" w:firstColumn="1" w:lastColumn="0" w:noHBand="0" w:noVBand="1"/>
      </w:tblPr>
      <w:tblGrid>
        <w:gridCol w:w="802"/>
        <w:gridCol w:w="2903"/>
        <w:gridCol w:w="4808"/>
      </w:tblGrid>
      <w:tr w:rsidR="008277FF" w:rsidRPr="00A67563" w:rsidTr="004C05F3">
        <w:tc>
          <w:tcPr>
            <w:tcW w:w="802"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序号</w:t>
            </w:r>
          </w:p>
        </w:tc>
        <w:tc>
          <w:tcPr>
            <w:tcW w:w="2903"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名称</w:t>
            </w:r>
          </w:p>
        </w:tc>
        <w:tc>
          <w:tcPr>
            <w:tcW w:w="4808" w:type="dxa"/>
            <w:vAlign w:val="center"/>
          </w:tcPr>
          <w:p w:rsidR="002C2678" w:rsidRPr="00A67563" w:rsidRDefault="002C2678" w:rsidP="00797DD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金额</w:t>
            </w:r>
            <w:r w:rsidRPr="00A67563">
              <w:rPr>
                <w:color w:val="000000" w:themeColor="text1"/>
                <w:kern w:val="0"/>
                <w:sz w:val="24"/>
              </w:rPr>
              <w:t>(</w:t>
            </w:r>
            <w:r w:rsidR="00C42431" w:rsidRPr="00A67563">
              <w:rPr>
                <w:color w:val="000000" w:themeColor="text1"/>
                <w:kern w:val="0"/>
                <w:sz w:val="24"/>
              </w:rPr>
              <w:t>人民币</w:t>
            </w:r>
            <w:r w:rsidRPr="00A67563">
              <w:rPr>
                <w:color w:val="000000" w:themeColor="text1"/>
                <w:kern w:val="0"/>
                <w:sz w:val="24"/>
              </w:rPr>
              <w:t>元</w:t>
            </w: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kern w:val="0"/>
                <w:sz w:val="24"/>
              </w:rPr>
            </w:pPr>
            <w:r w:rsidRPr="00A67563">
              <w:rPr>
                <w:color w:val="000000" w:themeColor="text1"/>
                <w:sz w:val="24"/>
              </w:rPr>
              <w:t>1</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存出保证金</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2</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应收证券清算款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3</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应收股利</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4</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应收利息</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254,355.99</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5</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应收申购款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376,752.40</w:t>
            </w:r>
          </w:p>
        </w:tc>
      </w:tr>
      <w:tr w:rsidR="008277FF" w:rsidRPr="00A67563" w:rsidTr="009E3391">
        <w:tc>
          <w:tcPr>
            <w:tcW w:w="802" w:type="dxa"/>
            <w:vAlign w:val="center"/>
          </w:tcPr>
          <w:p w:rsidR="002C2678" w:rsidRPr="00A67563" w:rsidRDefault="002C2678"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6</w:t>
            </w:r>
          </w:p>
        </w:tc>
        <w:tc>
          <w:tcPr>
            <w:tcW w:w="2903" w:type="dxa"/>
            <w:vAlign w:val="center"/>
          </w:tcPr>
          <w:p w:rsidR="002C2678" w:rsidRPr="00A67563" w:rsidRDefault="002C2678"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其他应收款</w:t>
            </w:r>
          </w:p>
        </w:tc>
        <w:tc>
          <w:tcPr>
            <w:tcW w:w="4808" w:type="dxa"/>
            <w:vAlign w:val="center"/>
          </w:tcPr>
          <w:p w:rsidR="002C2678" w:rsidRPr="00A67563" w:rsidRDefault="002C2678"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7</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sz w:val="24"/>
              </w:rPr>
            </w:pPr>
            <w:r w:rsidRPr="00A67563">
              <w:rPr>
                <w:color w:val="000000" w:themeColor="text1"/>
                <w:sz w:val="24"/>
              </w:rPr>
              <w:t>待摊费用</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sz w:val="24"/>
              </w:rPr>
            </w:pPr>
            <w:r w:rsidRPr="00A67563">
              <w:rPr>
                <w:color w:val="000000" w:themeColor="text1"/>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8</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其他</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w:t>
            </w:r>
          </w:p>
        </w:tc>
      </w:tr>
      <w:tr w:rsidR="008277FF" w:rsidRPr="00A67563" w:rsidTr="009E3391">
        <w:tc>
          <w:tcPr>
            <w:tcW w:w="802" w:type="dxa"/>
            <w:vAlign w:val="center"/>
          </w:tcPr>
          <w:p w:rsidR="00F951CF" w:rsidRPr="00A67563" w:rsidRDefault="00F951CF" w:rsidP="00797DD2">
            <w:pPr>
              <w:autoSpaceDE w:val="0"/>
              <w:autoSpaceDN w:val="0"/>
              <w:adjustRightInd w:val="0"/>
              <w:spacing w:before="29" w:line="360" w:lineRule="auto"/>
              <w:ind w:left="15"/>
              <w:jc w:val="center"/>
              <w:rPr>
                <w:color w:val="000000" w:themeColor="text1"/>
                <w:sz w:val="24"/>
              </w:rPr>
            </w:pPr>
            <w:r w:rsidRPr="00A67563">
              <w:rPr>
                <w:color w:val="000000" w:themeColor="text1"/>
                <w:sz w:val="24"/>
              </w:rPr>
              <w:t>9</w:t>
            </w:r>
          </w:p>
        </w:tc>
        <w:tc>
          <w:tcPr>
            <w:tcW w:w="2903" w:type="dxa"/>
            <w:vAlign w:val="center"/>
          </w:tcPr>
          <w:p w:rsidR="00F951CF" w:rsidRPr="00A67563" w:rsidRDefault="00F951CF" w:rsidP="009E3391">
            <w:pPr>
              <w:autoSpaceDE w:val="0"/>
              <w:autoSpaceDN w:val="0"/>
              <w:adjustRightInd w:val="0"/>
              <w:spacing w:before="29" w:line="360" w:lineRule="auto"/>
              <w:ind w:left="15"/>
              <w:rPr>
                <w:color w:val="000000" w:themeColor="text1"/>
                <w:kern w:val="0"/>
                <w:sz w:val="24"/>
              </w:rPr>
            </w:pPr>
            <w:r w:rsidRPr="00A67563">
              <w:rPr>
                <w:color w:val="000000" w:themeColor="text1"/>
                <w:kern w:val="0"/>
                <w:sz w:val="24"/>
              </w:rPr>
              <w:t>合计</w:t>
            </w:r>
          </w:p>
        </w:tc>
        <w:tc>
          <w:tcPr>
            <w:tcW w:w="4808" w:type="dxa"/>
            <w:vAlign w:val="center"/>
          </w:tcPr>
          <w:p w:rsidR="00F951CF" w:rsidRPr="00A67563" w:rsidRDefault="00F951CF" w:rsidP="00797DD2">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631,108.39</w:t>
            </w:r>
          </w:p>
        </w:tc>
      </w:tr>
    </w:tbl>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.4</w:t>
      </w:r>
      <w:r w:rsidR="0076518F" w:rsidRPr="00A67563">
        <w:rPr>
          <w:b/>
          <w:color w:val="000000" w:themeColor="text1"/>
          <w:kern w:val="0"/>
          <w:sz w:val="24"/>
        </w:rPr>
        <w:t>报告期末持有的处于转股期的可转换债券明细</w:t>
      </w:r>
    </w:p>
    <w:p w:rsidR="009E3391" w:rsidRPr="00A67563" w:rsidRDefault="000A55BD" w:rsidP="006C750F">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本基金本报告期末未持有处于转股期的可转换债券。</w:t>
      </w:r>
    </w:p>
    <w:p w:rsidR="0076518F" w:rsidRPr="00A67563" w:rsidRDefault="008C71EB" w:rsidP="00EC4BA3">
      <w:pPr>
        <w:autoSpaceDE w:val="0"/>
        <w:autoSpaceDN w:val="0"/>
        <w:adjustRightInd w:val="0"/>
        <w:spacing w:line="360" w:lineRule="auto"/>
        <w:jc w:val="left"/>
        <w:rPr>
          <w:b/>
          <w:color w:val="000000" w:themeColor="text1"/>
          <w:kern w:val="0"/>
          <w:sz w:val="24"/>
        </w:rPr>
      </w:pPr>
      <w:r w:rsidRPr="00A67563">
        <w:rPr>
          <w:b/>
          <w:color w:val="000000" w:themeColor="text1"/>
          <w:kern w:val="0"/>
          <w:sz w:val="24"/>
        </w:rPr>
        <w:t>5.1</w:t>
      </w:r>
      <w:r w:rsidR="002A0FA2" w:rsidRPr="00A67563">
        <w:rPr>
          <w:b/>
          <w:color w:val="000000" w:themeColor="text1"/>
          <w:kern w:val="0"/>
          <w:sz w:val="24"/>
        </w:rPr>
        <w:t>0</w:t>
      </w:r>
      <w:r w:rsidR="0076518F" w:rsidRPr="00A67563">
        <w:rPr>
          <w:b/>
          <w:color w:val="000000" w:themeColor="text1"/>
          <w:kern w:val="0"/>
          <w:sz w:val="24"/>
        </w:rPr>
        <w:t xml:space="preserve">.5 </w:t>
      </w:r>
      <w:r w:rsidR="0076518F" w:rsidRPr="00A67563">
        <w:rPr>
          <w:b/>
          <w:color w:val="000000" w:themeColor="text1"/>
          <w:kern w:val="0"/>
          <w:sz w:val="24"/>
        </w:rPr>
        <w:t>报告期末前十名股票中存在流通受限情况的说明</w:t>
      </w:r>
    </w:p>
    <w:p w:rsidR="000A55BD" w:rsidRPr="00A67563" w:rsidRDefault="000A55BD" w:rsidP="002D6955">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本基金本报告期末前十名股票中不存在流通受限情况。</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lastRenderedPageBreak/>
        <w:t xml:space="preserve">§6  </w:t>
      </w:r>
      <w:r w:rsidRPr="00A67563">
        <w:rPr>
          <w:color w:val="000000" w:themeColor="text1"/>
          <w:kern w:val="0"/>
          <w:sz w:val="24"/>
          <w:szCs w:val="24"/>
        </w:rPr>
        <w:t>开放式基金份额变动</w:t>
      </w:r>
    </w:p>
    <w:p w:rsidR="0076518F" w:rsidRPr="00A67563" w:rsidRDefault="0076518F" w:rsidP="008B6A4A">
      <w:pPr>
        <w:autoSpaceDE w:val="0"/>
        <w:autoSpaceDN w:val="0"/>
        <w:adjustRightInd w:val="0"/>
        <w:spacing w:before="29" w:line="360" w:lineRule="auto"/>
        <w:ind w:left="15"/>
        <w:jc w:val="right"/>
        <w:rPr>
          <w:color w:val="000000" w:themeColor="text1"/>
          <w:kern w:val="0"/>
          <w:sz w:val="24"/>
        </w:rPr>
      </w:pPr>
      <w:r w:rsidRPr="00A67563">
        <w:rPr>
          <w:color w:val="000000" w:themeColor="text1"/>
          <w:kern w:val="0"/>
          <w:sz w:val="24"/>
        </w:rPr>
        <w:t>单位：份</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00"/>
        <w:gridCol w:w="2367"/>
        <w:gridCol w:w="2367"/>
      </w:tblGrid>
      <w:tr w:rsidR="00225051" w:rsidRPr="00A67563" w:rsidTr="006C750F">
        <w:trPr>
          <w:jc w:val="center"/>
        </w:trPr>
        <w:tc>
          <w:tcPr>
            <w:tcW w:w="3900" w:type="dxa"/>
            <w:vAlign w:val="center"/>
          </w:tcPr>
          <w:p w:rsidR="00225051" w:rsidRPr="00A67563" w:rsidRDefault="00225051" w:rsidP="00845292">
            <w:pPr>
              <w:autoSpaceDE w:val="0"/>
              <w:autoSpaceDN w:val="0"/>
              <w:adjustRightInd w:val="0"/>
              <w:spacing w:before="29" w:line="360" w:lineRule="auto"/>
              <w:ind w:left="17"/>
              <w:jc w:val="center"/>
              <w:rPr>
                <w:color w:val="000000" w:themeColor="text1"/>
                <w:kern w:val="0"/>
                <w:sz w:val="24"/>
              </w:rPr>
            </w:pPr>
            <w:r w:rsidRPr="00A67563">
              <w:rPr>
                <w:color w:val="000000" w:themeColor="text1"/>
                <w:kern w:val="0"/>
                <w:sz w:val="24"/>
              </w:rPr>
              <w:t>项目</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p>
        </w:tc>
        <w:tc>
          <w:tcPr>
            <w:tcW w:w="2367" w:type="dxa"/>
            <w:vAlign w:val="center"/>
          </w:tcPr>
          <w:p w:rsidR="00225051" w:rsidRPr="00A67563" w:rsidRDefault="0022505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报告期期初基金份额总额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387,407,507.75</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2,031,715.98</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报告期基金总申购份额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15,363,815.97</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272,501.89</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减：报告期基金总赎回份额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87,452,351.58</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995,699.07</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报告期基金拆分变动份额</w:t>
            </w:r>
            <w:r w:rsidR="00A40508">
              <w:rPr>
                <w:rFonts w:hint="eastAsia"/>
                <w:color w:val="000000"/>
                <w:kern w:val="0"/>
                <w:sz w:val="24"/>
              </w:rPr>
              <w:t>（份额减少以“</w:t>
            </w:r>
            <w:r w:rsidR="00A40508">
              <w:rPr>
                <w:color w:val="000000"/>
                <w:kern w:val="0"/>
                <w:sz w:val="24"/>
              </w:rPr>
              <w:t>-</w:t>
            </w:r>
            <w:r w:rsidR="00A40508">
              <w:rPr>
                <w:rFonts w:hint="eastAsia"/>
                <w:color w:val="000000"/>
                <w:kern w:val="0"/>
                <w:sz w:val="24"/>
              </w:rPr>
              <w:t>”填列）</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w:t>
            </w:r>
          </w:p>
        </w:tc>
      </w:tr>
      <w:tr w:rsidR="00550511" w:rsidRPr="00A67563" w:rsidTr="006C750F">
        <w:trPr>
          <w:jc w:val="center"/>
        </w:trPr>
        <w:tc>
          <w:tcPr>
            <w:tcW w:w="3900" w:type="dxa"/>
            <w:vAlign w:val="center"/>
          </w:tcPr>
          <w:p w:rsidR="00550511" w:rsidRPr="00A67563" w:rsidRDefault="00550511" w:rsidP="00845292">
            <w:pPr>
              <w:autoSpaceDE w:val="0"/>
              <w:autoSpaceDN w:val="0"/>
              <w:adjustRightInd w:val="0"/>
              <w:spacing w:before="29" w:line="360" w:lineRule="auto"/>
              <w:ind w:left="17"/>
              <w:jc w:val="left"/>
              <w:rPr>
                <w:color w:val="000000" w:themeColor="text1"/>
                <w:kern w:val="0"/>
                <w:sz w:val="24"/>
              </w:rPr>
            </w:pPr>
            <w:r w:rsidRPr="00A67563">
              <w:rPr>
                <w:color w:val="000000" w:themeColor="text1"/>
                <w:kern w:val="0"/>
                <w:sz w:val="24"/>
              </w:rPr>
              <w:t>报告期期末基金份额总额</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315,318,972.14</w:t>
            </w:r>
          </w:p>
        </w:tc>
        <w:tc>
          <w:tcPr>
            <w:tcW w:w="2367" w:type="dxa"/>
            <w:vAlign w:val="center"/>
          </w:tcPr>
          <w:p w:rsidR="00550511" w:rsidRPr="00A67563" w:rsidRDefault="00550511" w:rsidP="00845292">
            <w:pPr>
              <w:autoSpaceDE w:val="0"/>
              <w:autoSpaceDN w:val="0"/>
              <w:adjustRightInd w:val="0"/>
              <w:spacing w:before="29" w:line="360" w:lineRule="auto"/>
              <w:ind w:left="17"/>
              <w:jc w:val="right"/>
              <w:rPr>
                <w:color w:val="000000" w:themeColor="text1"/>
                <w:sz w:val="24"/>
              </w:rPr>
            </w:pPr>
            <w:r w:rsidRPr="00A67563">
              <w:rPr>
                <w:color w:val="000000" w:themeColor="text1"/>
                <w:sz w:val="24"/>
              </w:rPr>
              <w:t>1,308,518.80</w:t>
            </w:r>
          </w:p>
        </w:tc>
      </w:tr>
    </w:tbl>
    <w:p w:rsidR="00322A5E" w:rsidRPr="00A67563" w:rsidRDefault="00322A5E" w:rsidP="002D6955">
      <w:pPr>
        <w:autoSpaceDE w:val="0"/>
        <w:autoSpaceDN w:val="0"/>
        <w:adjustRightInd w:val="0"/>
        <w:spacing w:line="360" w:lineRule="auto"/>
        <w:jc w:val="left"/>
        <w:rPr>
          <w:color w:val="000000" w:themeColor="text1"/>
          <w:sz w:val="24"/>
        </w:rPr>
      </w:pPr>
      <w:r w:rsidRPr="00A67563">
        <w:rPr>
          <w:color w:val="000000" w:themeColor="text1"/>
          <w:sz w:val="24"/>
        </w:rPr>
        <w:t>注：易方达黄金主题（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A</w:t>
      </w:r>
      <w:r w:rsidRPr="00A67563">
        <w:rPr>
          <w:color w:val="000000" w:themeColor="text1"/>
          <w:sz w:val="24"/>
        </w:rPr>
        <w:t>份额变动含</w:t>
      </w:r>
      <w:r w:rsidRPr="00A67563">
        <w:rPr>
          <w:color w:val="000000" w:themeColor="text1"/>
          <w:sz w:val="24"/>
        </w:rPr>
        <w:t>A</w:t>
      </w:r>
      <w:r w:rsidRPr="00A67563">
        <w:rPr>
          <w:color w:val="000000" w:themeColor="text1"/>
          <w:sz w:val="24"/>
        </w:rPr>
        <w:t>类人民币份额及</w:t>
      </w:r>
      <w:r w:rsidRPr="00A67563">
        <w:rPr>
          <w:color w:val="000000" w:themeColor="text1"/>
          <w:sz w:val="24"/>
        </w:rPr>
        <w:t>A</w:t>
      </w:r>
      <w:r w:rsidRPr="00A67563">
        <w:rPr>
          <w:color w:val="000000" w:themeColor="text1"/>
          <w:sz w:val="24"/>
        </w:rPr>
        <w:t>类美元份额；易方达黄金主题（</w:t>
      </w:r>
      <w:r w:rsidRPr="00A67563">
        <w:rPr>
          <w:color w:val="000000" w:themeColor="text1"/>
          <w:sz w:val="24"/>
        </w:rPr>
        <w:t>QDII-LOF-FOF</w:t>
      </w:r>
      <w:r w:rsidRPr="00A67563">
        <w:rPr>
          <w:color w:val="000000" w:themeColor="text1"/>
          <w:sz w:val="24"/>
        </w:rPr>
        <w:t>）</w:t>
      </w:r>
      <w:r w:rsidRPr="00A67563">
        <w:rPr>
          <w:color w:val="000000" w:themeColor="text1"/>
          <w:sz w:val="24"/>
        </w:rPr>
        <w:t>C</w:t>
      </w:r>
      <w:r w:rsidRPr="00A67563">
        <w:rPr>
          <w:color w:val="000000" w:themeColor="text1"/>
          <w:sz w:val="24"/>
        </w:rPr>
        <w:t>份额变动含</w:t>
      </w:r>
      <w:r w:rsidRPr="00A67563">
        <w:rPr>
          <w:color w:val="000000" w:themeColor="text1"/>
          <w:sz w:val="24"/>
        </w:rPr>
        <w:t>C</w:t>
      </w:r>
      <w:r w:rsidRPr="00A67563">
        <w:rPr>
          <w:color w:val="000000" w:themeColor="text1"/>
          <w:sz w:val="24"/>
        </w:rPr>
        <w:t>类人民币份额及</w:t>
      </w:r>
      <w:r w:rsidRPr="00A67563">
        <w:rPr>
          <w:color w:val="000000" w:themeColor="text1"/>
          <w:sz w:val="24"/>
        </w:rPr>
        <w:t>C</w:t>
      </w:r>
      <w:r w:rsidRPr="00A67563">
        <w:rPr>
          <w:color w:val="000000" w:themeColor="text1"/>
          <w:sz w:val="24"/>
        </w:rPr>
        <w:t>类美元份额。</w:t>
      </w:r>
    </w:p>
    <w:p w:rsidR="00BB5F3D" w:rsidRPr="00A67563" w:rsidRDefault="00BB5F3D" w:rsidP="00775284">
      <w:pPr>
        <w:pStyle w:val="1"/>
        <w:tabs>
          <w:tab w:val="center" w:pos="4156"/>
          <w:tab w:val="right" w:pos="8312"/>
        </w:tabs>
        <w:spacing w:beforeLines="100" w:before="312" w:afterLines="100" w:after="312" w:line="360" w:lineRule="auto"/>
        <w:jc w:val="center"/>
        <w:rPr>
          <w:color w:val="000000" w:themeColor="text1"/>
          <w:sz w:val="24"/>
        </w:rPr>
      </w:pPr>
      <w:r w:rsidRPr="00A67563">
        <w:rPr>
          <w:color w:val="000000" w:themeColor="text1"/>
          <w:kern w:val="0"/>
          <w:sz w:val="24"/>
          <w:szCs w:val="24"/>
        </w:rPr>
        <w:t xml:space="preserve">§7  </w:t>
      </w:r>
      <w:r w:rsidRPr="00A67563">
        <w:rPr>
          <w:color w:val="000000" w:themeColor="text1"/>
          <w:sz w:val="24"/>
          <w:szCs w:val="24"/>
        </w:rPr>
        <w:t>基金管理人运用固有资金投资本基金</w:t>
      </w:r>
      <w:r w:rsidR="00775284">
        <w:rPr>
          <w:rFonts w:hint="eastAsia"/>
          <w:color w:val="000000"/>
          <w:kern w:val="0"/>
          <w:sz w:val="24"/>
        </w:rPr>
        <w:t>交易明细</w:t>
      </w:r>
    </w:p>
    <w:p w:rsidR="005E64DA" w:rsidRPr="00A67563" w:rsidRDefault="00BB5F3D" w:rsidP="00E2281D">
      <w:pPr>
        <w:autoSpaceDE w:val="0"/>
        <w:autoSpaceDN w:val="0"/>
        <w:adjustRightInd w:val="0"/>
        <w:spacing w:line="360" w:lineRule="auto"/>
        <w:ind w:firstLineChars="200" w:firstLine="480"/>
        <w:jc w:val="left"/>
        <w:rPr>
          <w:color w:val="000000" w:themeColor="text1"/>
          <w:sz w:val="24"/>
        </w:rPr>
      </w:pPr>
      <w:r w:rsidRPr="00A67563">
        <w:rPr>
          <w:color w:val="000000" w:themeColor="text1"/>
          <w:sz w:val="24"/>
        </w:rPr>
        <w:t>本报告期内基金管理人未运用固有资金申购、赎回、买卖本基金份额。</w:t>
      </w:r>
    </w:p>
    <w:p w:rsidR="0076518F" w:rsidRPr="00A67563" w:rsidRDefault="0076518F" w:rsidP="00775284">
      <w:pPr>
        <w:pStyle w:val="1"/>
        <w:spacing w:beforeLines="100" w:before="312" w:afterLines="100" w:after="312" w:line="360" w:lineRule="auto"/>
        <w:jc w:val="center"/>
        <w:rPr>
          <w:color w:val="000000" w:themeColor="text1"/>
          <w:kern w:val="0"/>
          <w:sz w:val="24"/>
          <w:szCs w:val="24"/>
        </w:rPr>
      </w:pPr>
      <w:r w:rsidRPr="00A67563">
        <w:rPr>
          <w:color w:val="000000" w:themeColor="text1"/>
          <w:kern w:val="0"/>
          <w:sz w:val="24"/>
          <w:szCs w:val="24"/>
        </w:rPr>
        <w:t>§</w:t>
      </w:r>
      <w:r w:rsidR="002711AA" w:rsidRPr="00A67563">
        <w:rPr>
          <w:color w:val="000000" w:themeColor="text1"/>
          <w:kern w:val="0"/>
          <w:sz w:val="24"/>
          <w:szCs w:val="24"/>
        </w:rPr>
        <w:t>8</w:t>
      </w:r>
      <w:r w:rsidR="00BD7FC1" w:rsidRPr="00A67563">
        <w:rPr>
          <w:bCs w:val="0"/>
          <w:color w:val="000000" w:themeColor="text1"/>
          <w:kern w:val="2"/>
          <w:sz w:val="24"/>
          <w:szCs w:val="24"/>
        </w:rPr>
        <w:t xml:space="preserve">  </w:t>
      </w:r>
      <w:r w:rsidRPr="00A67563">
        <w:rPr>
          <w:color w:val="000000" w:themeColor="text1"/>
          <w:kern w:val="0"/>
          <w:sz w:val="24"/>
          <w:szCs w:val="24"/>
        </w:rPr>
        <w:t>备查文件目录</w:t>
      </w: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1</w:t>
      </w:r>
      <w:r w:rsidR="008975BC" w:rsidRPr="00A67563">
        <w:rPr>
          <w:b/>
          <w:bCs/>
          <w:color w:val="000000" w:themeColor="text1"/>
          <w:kern w:val="0"/>
          <w:sz w:val="24"/>
        </w:rPr>
        <w:t xml:space="preserve"> </w:t>
      </w:r>
      <w:r w:rsidR="008975BC" w:rsidRPr="00A67563">
        <w:rPr>
          <w:b/>
          <w:bCs/>
          <w:color w:val="000000" w:themeColor="text1"/>
          <w:kern w:val="0"/>
          <w:sz w:val="24"/>
        </w:rPr>
        <w:t>备查文件目录</w:t>
      </w:r>
    </w:p>
    <w:p w:rsidR="00791EEA" w:rsidRDefault="00E10952">
      <w:pPr>
        <w:spacing w:line="360" w:lineRule="auto"/>
        <w:ind w:firstLineChars="200" w:firstLine="480"/>
        <w:rPr>
          <w:color w:val="000000" w:themeColor="text1"/>
          <w:sz w:val="24"/>
        </w:rPr>
      </w:pPr>
      <w:r>
        <w:rPr>
          <w:color w:val="000000" w:themeColor="text1"/>
          <w:sz w:val="24"/>
        </w:rPr>
        <w:t xml:space="preserve">1. </w:t>
      </w:r>
      <w:r>
        <w:rPr>
          <w:color w:val="000000" w:themeColor="text1"/>
          <w:sz w:val="24"/>
        </w:rPr>
        <w:t>中国证监会核准易方达黄金主题证券投资基金（</w:t>
      </w:r>
      <w:r>
        <w:rPr>
          <w:color w:val="000000" w:themeColor="text1"/>
          <w:sz w:val="24"/>
        </w:rPr>
        <w:t>LOF</w:t>
      </w:r>
      <w:r>
        <w:rPr>
          <w:color w:val="000000" w:themeColor="text1"/>
          <w:sz w:val="24"/>
        </w:rPr>
        <w:t>）募集的文件；</w:t>
      </w:r>
    </w:p>
    <w:p w:rsidR="00791EEA" w:rsidRDefault="00E10952">
      <w:pPr>
        <w:spacing w:line="360" w:lineRule="auto"/>
        <w:ind w:firstLineChars="200" w:firstLine="480"/>
        <w:rPr>
          <w:color w:val="000000" w:themeColor="text1"/>
          <w:sz w:val="24"/>
        </w:rPr>
      </w:pPr>
      <w:r>
        <w:rPr>
          <w:color w:val="000000" w:themeColor="text1"/>
          <w:sz w:val="24"/>
        </w:rPr>
        <w:t>2.</w:t>
      </w:r>
      <w:r>
        <w:rPr>
          <w:color w:val="000000" w:themeColor="text1"/>
          <w:sz w:val="24"/>
        </w:rPr>
        <w:t>《易方达黄金主题证券投资基金（</w:t>
      </w:r>
      <w:r>
        <w:rPr>
          <w:color w:val="000000" w:themeColor="text1"/>
          <w:sz w:val="24"/>
        </w:rPr>
        <w:t>LOF</w:t>
      </w:r>
      <w:r>
        <w:rPr>
          <w:color w:val="000000" w:themeColor="text1"/>
          <w:sz w:val="24"/>
        </w:rPr>
        <w:t>）基金合同》；</w:t>
      </w:r>
    </w:p>
    <w:p w:rsidR="00791EEA" w:rsidRDefault="00E10952">
      <w:pPr>
        <w:spacing w:line="360" w:lineRule="auto"/>
        <w:ind w:firstLineChars="200" w:firstLine="480"/>
        <w:rPr>
          <w:color w:val="000000" w:themeColor="text1"/>
          <w:sz w:val="24"/>
        </w:rPr>
      </w:pPr>
      <w:r>
        <w:rPr>
          <w:color w:val="000000" w:themeColor="text1"/>
          <w:sz w:val="24"/>
        </w:rPr>
        <w:t>3.</w:t>
      </w:r>
      <w:r>
        <w:rPr>
          <w:color w:val="000000" w:themeColor="text1"/>
          <w:sz w:val="24"/>
        </w:rPr>
        <w:t>《易方达黄金主题证券投资基金（</w:t>
      </w:r>
      <w:r>
        <w:rPr>
          <w:color w:val="000000" w:themeColor="text1"/>
          <w:sz w:val="24"/>
        </w:rPr>
        <w:t>LOF</w:t>
      </w:r>
      <w:r>
        <w:rPr>
          <w:color w:val="000000" w:themeColor="text1"/>
          <w:sz w:val="24"/>
        </w:rPr>
        <w:t>）托管协议》；</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 xml:space="preserve">4. </w:t>
      </w:r>
      <w:r w:rsidRPr="00A67563">
        <w:rPr>
          <w:color w:val="000000" w:themeColor="text1"/>
          <w:sz w:val="24"/>
        </w:rPr>
        <w:t>基金管理人业务资格批件和营业执照。</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2</w:t>
      </w:r>
      <w:r w:rsidR="008975BC" w:rsidRPr="00A67563">
        <w:rPr>
          <w:b/>
          <w:bCs/>
          <w:color w:val="000000" w:themeColor="text1"/>
          <w:kern w:val="0"/>
          <w:sz w:val="24"/>
        </w:rPr>
        <w:t xml:space="preserve"> </w:t>
      </w:r>
      <w:r w:rsidR="008975BC" w:rsidRPr="00A67563">
        <w:rPr>
          <w:b/>
          <w:bCs/>
          <w:color w:val="000000" w:themeColor="text1"/>
          <w:kern w:val="0"/>
          <w:sz w:val="24"/>
        </w:rPr>
        <w:t>存放地点</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t>广州市天河区珠江新城珠江东路</w:t>
      </w:r>
      <w:r w:rsidRPr="00A67563">
        <w:rPr>
          <w:color w:val="000000" w:themeColor="text1"/>
          <w:sz w:val="24"/>
        </w:rPr>
        <w:t>30</w:t>
      </w:r>
      <w:r w:rsidRPr="00A67563">
        <w:rPr>
          <w:color w:val="000000" w:themeColor="text1"/>
          <w:sz w:val="24"/>
        </w:rPr>
        <w:t>号广州银行大厦</w:t>
      </w:r>
      <w:r w:rsidRPr="00A67563">
        <w:rPr>
          <w:color w:val="000000" w:themeColor="text1"/>
          <w:sz w:val="24"/>
        </w:rPr>
        <w:t>40-43</w:t>
      </w:r>
      <w:r w:rsidRPr="00A67563">
        <w:rPr>
          <w:color w:val="000000" w:themeColor="text1"/>
          <w:sz w:val="24"/>
        </w:rPr>
        <w:t>楼。</w:t>
      </w:r>
    </w:p>
    <w:p w:rsidR="008A2EC6" w:rsidRPr="00A67563" w:rsidRDefault="008A2EC6" w:rsidP="000C7596">
      <w:pPr>
        <w:spacing w:line="360" w:lineRule="auto"/>
        <w:ind w:firstLineChars="200" w:firstLine="480"/>
        <w:rPr>
          <w:color w:val="000000" w:themeColor="text1"/>
          <w:sz w:val="24"/>
        </w:rPr>
      </w:pPr>
    </w:p>
    <w:p w:rsidR="008975BC" w:rsidRPr="00A67563" w:rsidRDefault="00280566" w:rsidP="000C7596">
      <w:pPr>
        <w:autoSpaceDE w:val="0"/>
        <w:autoSpaceDN w:val="0"/>
        <w:adjustRightInd w:val="0"/>
        <w:spacing w:line="360" w:lineRule="auto"/>
        <w:jc w:val="left"/>
        <w:rPr>
          <w:b/>
          <w:bCs/>
          <w:color w:val="000000" w:themeColor="text1"/>
          <w:kern w:val="0"/>
          <w:sz w:val="24"/>
        </w:rPr>
      </w:pPr>
      <w:r w:rsidRPr="00A67563">
        <w:rPr>
          <w:b/>
          <w:bCs/>
          <w:color w:val="000000" w:themeColor="text1"/>
          <w:kern w:val="0"/>
          <w:sz w:val="24"/>
        </w:rPr>
        <w:t>8</w:t>
      </w:r>
      <w:r w:rsidR="008975BC" w:rsidRPr="00A67563">
        <w:rPr>
          <w:b/>
          <w:bCs/>
          <w:color w:val="000000" w:themeColor="text1"/>
          <w:kern w:val="0"/>
          <w:sz w:val="24"/>
        </w:rPr>
        <w:t>.</w:t>
      </w:r>
      <w:r w:rsidR="00376A15" w:rsidRPr="00A67563">
        <w:rPr>
          <w:b/>
          <w:bCs/>
          <w:color w:val="000000" w:themeColor="text1"/>
          <w:kern w:val="0"/>
          <w:sz w:val="24"/>
        </w:rPr>
        <w:t>3</w:t>
      </w:r>
      <w:r w:rsidR="008975BC" w:rsidRPr="00A67563">
        <w:rPr>
          <w:b/>
          <w:bCs/>
          <w:color w:val="000000" w:themeColor="text1"/>
          <w:kern w:val="0"/>
          <w:sz w:val="24"/>
        </w:rPr>
        <w:t xml:space="preserve"> </w:t>
      </w:r>
      <w:r w:rsidR="008975BC" w:rsidRPr="00A67563">
        <w:rPr>
          <w:b/>
          <w:bCs/>
          <w:color w:val="000000" w:themeColor="text1"/>
          <w:kern w:val="0"/>
          <w:sz w:val="24"/>
        </w:rPr>
        <w:t>查阅方式</w:t>
      </w:r>
    </w:p>
    <w:p w:rsidR="008975BC" w:rsidRPr="00A67563" w:rsidRDefault="008975BC" w:rsidP="002D6955">
      <w:pPr>
        <w:spacing w:line="360" w:lineRule="auto"/>
        <w:ind w:firstLineChars="200" w:firstLine="480"/>
        <w:rPr>
          <w:color w:val="000000" w:themeColor="text1"/>
          <w:sz w:val="24"/>
        </w:rPr>
      </w:pPr>
      <w:r w:rsidRPr="00A67563">
        <w:rPr>
          <w:color w:val="000000" w:themeColor="text1"/>
          <w:sz w:val="24"/>
        </w:rPr>
        <w:lastRenderedPageBreak/>
        <w:t>投资者可在营业时间免费查阅，也可按工本费购买复印件。</w:t>
      </w:r>
    </w:p>
    <w:p w:rsidR="0076518F" w:rsidRPr="00A67563" w:rsidRDefault="0076518F" w:rsidP="008B6A4A">
      <w:pPr>
        <w:spacing w:line="360" w:lineRule="auto"/>
        <w:ind w:firstLineChars="200" w:firstLine="480"/>
        <w:rPr>
          <w:color w:val="000000" w:themeColor="text1"/>
          <w:sz w:val="24"/>
        </w:rPr>
      </w:pPr>
    </w:p>
    <w:p w:rsidR="008A2EC6" w:rsidRPr="00A67563" w:rsidRDefault="008A2EC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0C7596" w:rsidRPr="00A67563" w:rsidRDefault="000C7596" w:rsidP="008B6A4A">
      <w:pPr>
        <w:spacing w:line="360" w:lineRule="auto"/>
        <w:ind w:firstLineChars="200" w:firstLine="480"/>
        <w:rPr>
          <w:color w:val="000000" w:themeColor="text1"/>
          <w:sz w:val="24"/>
        </w:rPr>
      </w:pPr>
    </w:p>
    <w:p w:rsidR="0076518F" w:rsidRPr="00A67563" w:rsidRDefault="0076518F" w:rsidP="008B6A4A">
      <w:pPr>
        <w:spacing w:line="360" w:lineRule="auto"/>
        <w:ind w:firstLineChars="200" w:firstLine="480"/>
        <w:rPr>
          <w:color w:val="000000" w:themeColor="text1"/>
          <w:sz w:val="24"/>
        </w:rPr>
      </w:pPr>
    </w:p>
    <w:p w:rsidR="008975BC" w:rsidRPr="00A67563" w:rsidRDefault="008975BC" w:rsidP="000C7596">
      <w:pPr>
        <w:spacing w:line="360" w:lineRule="auto"/>
        <w:jc w:val="right"/>
        <w:rPr>
          <w:b/>
          <w:bCs/>
          <w:color w:val="000000" w:themeColor="text1"/>
          <w:sz w:val="24"/>
        </w:rPr>
      </w:pPr>
      <w:r w:rsidRPr="00A67563">
        <w:rPr>
          <w:b/>
          <w:bCs/>
          <w:color w:val="000000" w:themeColor="text1"/>
          <w:sz w:val="24"/>
        </w:rPr>
        <w:t>易方达基金管理有限公司</w:t>
      </w:r>
    </w:p>
    <w:p w:rsidR="0076518F" w:rsidRPr="00A67563" w:rsidRDefault="00623556" w:rsidP="000C7596">
      <w:pPr>
        <w:spacing w:line="360" w:lineRule="auto"/>
        <w:jc w:val="right"/>
        <w:rPr>
          <w:b/>
          <w:bCs/>
          <w:color w:val="000000" w:themeColor="text1"/>
          <w:sz w:val="24"/>
        </w:rPr>
      </w:pPr>
      <w:r w:rsidRPr="00A67563">
        <w:rPr>
          <w:b/>
          <w:bCs/>
          <w:color w:val="000000" w:themeColor="text1"/>
          <w:sz w:val="24"/>
        </w:rPr>
        <w:t>二〇二〇年七月二十一日</w:t>
      </w:r>
    </w:p>
    <w:sectPr w:rsidR="0076518F" w:rsidRPr="00A67563" w:rsidSect="00DB4450">
      <w:headerReference w:type="even" r:id="rId11"/>
      <w:footerReference w:type="even" r:id="rId12"/>
      <w:footerReference w:type="default" r:id="rId13"/>
      <w:headerReference w:type="first" r:id="rId14"/>
      <w:footerReference w:type="first" r:id="rId15"/>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08A3" w:rsidRDefault="00F008A3">
      <w:r>
        <w:separator/>
      </w:r>
    </w:p>
  </w:endnote>
  <w:endnote w:type="continuationSeparator" w:id="0">
    <w:p w:rsidR="00F008A3" w:rsidRDefault="00F0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1D0DB0" w:rsidRDefault="003A661A" w:rsidP="00B918B8">
    <w:pPr>
      <w:pStyle w:val="a6"/>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DE2A1E">
      <w:rPr>
        <w:noProof/>
        <w:kern w:val="0"/>
        <w:szCs w:val="21"/>
      </w:rPr>
      <w:t>1</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DE2A1E">
      <w:rPr>
        <w:noProof/>
        <w:kern w:val="0"/>
        <w:szCs w:val="21"/>
      </w:rPr>
      <w:t>15</w:t>
    </w:r>
    <w:r>
      <w:rPr>
        <w:kern w:val="0"/>
        <w:szCs w:val="21"/>
      </w:rPr>
      <w:fldChar w:fldCharType="end"/>
    </w:r>
    <w:r>
      <w:rPr>
        <w:rFonts w:hint="eastAsia"/>
        <w:kern w:val="0"/>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A661A" w:rsidRDefault="003A661A">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E2A1E">
      <w:rPr>
        <w:rStyle w:val="a7"/>
        <w:noProof/>
      </w:rPr>
      <w:t>11</w:t>
    </w:r>
    <w:r>
      <w:rPr>
        <w:rStyle w:val="a7"/>
      </w:rPr>
      <w:fldChar w:fldCharType="end"/>
    </w:r>
  </w:p>
  <w:p w:rsidR="003A661A" w:rsidRDefault="003A661A">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08A3" w:rsidRDefault="00F008A3">
      <w:r>
        <w:separator/>
      </w:r>
    </w:p>
  </w:footnote>
  <w:footnote w:type="continuationSeparator" w:id="0">
    <w:p w:rsidR="00F008A3" w:rsidRDefault="00F00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Pr="006669C9" w:rsidRDefault="003A661A" w:rsidP="001D1356">
    <w:pPr>
      <w:pStyle w:val="a9"/>
      <w:pBdr>
        <w:bottom w:val="single" w:sz="6" w:space="0" w:color="auto"/>
      </w:pBdr>
      <w:jc w:val="right"/>
    </w:pPr>
    <w:r w:rsidRPr="006669C9">
      <w:t>易方达黄金主题证券投资基金（</w:t>
    </w:r>
    <w:r w:rsidRPr="006669C9">
      <w:t>LOF</w:t>
    </w:r>
    <w:r w:rsidRPr="006669C9">
      <w:t>）</w:t>
    </w:r>
    <w:r w:rsidRPr="006669C9">
      <w:t>2020</w:t>
    </w:r>
    <w:r w:rsidRPr="006669C9">
      <w:t>年第</w:t>
    </w:r>
    <w:r w:rsidRPr="006669C9">
      <w:t>2</w:t>
    </w:r>
    <w:r w:rsidRPr="006669C9">
      <w:t>季度报告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61A" w:rsidRDefault="003A661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cs="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hint="eastAsia"/>
        <w:sz w:val="24"/>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hint="eastAsia"/>
        <w:color w:val="auto"/>
      </w:rPr>
    </w:lvl>
    <w:lvl w:ilvl="1" w:tplc="D5ACC954">
      <w:start w:val="1"/>
      <w:numFmt w:val="japaneseCounting"/>
      <w:lvlText w:val="(%2)"/>
      <w:lvlJc w:val="left"/>
      <w:pPr>
        <w:tabs>
          <w:tab w:val="num" w:pos="810"/>
        </w:tabs>
        <w:ind w:left="810" w:hanging="390"/>
      </w:pPr>
      <w:rPr>
        <w:rFonts w:hint="eastAsia"/>
      </w:rPr>
    </w:lvl>
    <w:lvl w:ilvl="2" w:tplc="E2F6B948">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E7FB4"/>
    <w:rsid w:val="0000403B"/>
    <w:rsid w:val="00005911"/>
    <w:rsid w:val="00010A83"/>
    <w:rsid w:val="00010A8E"/>
    <w:rsid w:val="00010AC3"/>
    <w:rsid w:val="00011D4F"/>
    <w:rsid w:val="00011E10"/>
    <w:rsid w:val="00011EB5"/>
    <w:rsid w:val="00017581"/>
    <w:rsid w:val="00017739"/>
    <w:rsid w:val="00020583"/>
    <w:rsid w:val="00021DD4"/>
    <w:rsid w:val="0002303F"/>
    <w:rsid w:val="00023BE7"/>
    <w:rsid w:val="00026BFF"/>
    <w:rsid w:val="000306F0"/>
    <w:rsid w:val="0003091A"/>
    <w:rsid w:val="00037FCF"/>
    <w:rsid w:val="00041AB5"/>
    <w:rsid w:val="000421B8"/>
    <w:rsid w:val="00042C9C"/>
    <w:rsid w:val="00043ABF"/>
    <w:rsid w:val="000445E4"/>
    <w:rsid w:val="00045AE7"/>
    <w:rsid w:val="000510AB"/>
    <w:rsid w:val="00055668"/>
    <w:rsid w:val="00055AF1"/>
    <w:rsid w:val="000565DC"/>
    <w:rsid w:val="00063A8D"/>
    <w:rsid w:val="00064AE3"/>
    <w:rsid w:val="00066524"/>
    <w:rsid w:val="00067332"/>
    <w:rsid w:val="00070CD1"/>
    <w:rsid w:val="00070DD6"/>
    <w:rsid w:val="0007171B"/>
    <w:rsid w:val="00081D05"/>
    <w:rsid w:val="0008610C"/>
    <w:rsid w:val="000876A0"/>
    <w:rsid w:val="00087CF7"/>
    <w:rsid w:val="00094876"/>
    <w:rsid w:val="00095912"/>
    <w:rsid w:val="00095CE0"/>
    <w:rsid w:val="000965F7"/>
    <w:rsid w:val="000965FC"/>
    <w:rsid w:val="00096933"/>
    <w:rsid w:val="00097230"/>
    <w:rsid w:val="000A09BE"/>
    <w:rsid w:val="000A457E"/>
    <w:rsid w:val="000A521D"/>
    <w:rsid w:val="000A549A"/>
    <w:rsid w:val="000A55BD"/>
    <w:rsid w:val="000A72F2"/>
    <w:rsid w:val="000B0C56"/>
    <w:rsid w:val="000B3274"/>
    <w:rsid w:val="000B3E43"/>
    <w:rsid w:val="000C11E0"/>
    <w:rsid w:val="000C1723"/>
    <w:rsid w:val="000C1B20"/>
    <w:rsid w:val="000C4107"/>
    <w:rsid w:val="000C41AE"/>
    <w:rsid w:val="000C45E7"/>
    <w:rsid w:val="000C6876"/>
    <w:rsid w:val="000C7596"/>
    <w:rsid w:val="000D01F4"/>
    <w:rsid w:val="000D121F"/>
    <w:rsid w:val="000D1519"/>
    <w:rsid w:val="000E1F7C"/>
    <w:rsid w:val="000E26EC"/>
    <w:rsid w:val="000E3B88"/>
    <w:rsid w:val="000E3F11"/>
    <w:rsid w:val="000E4456"/>
    <w:rsid w:val="000F175F"/>
    <w:rsid w:val="000F17D1"/>
    <w:rsid w:val="000F60FF"/>
    <w:rsid w:val="000F635F"/>
    <w:rsid w:val="000F6C61"/>
    <w:rsid w:val="00100A7C"/>
    <w:rsid w:val="00100C12"/>
    <w:rsid w:val="001049B6"/>
    <w:rsid w:val="001051C6"/>
    <w:rsid w:val="0010694D"/>
    <w:rsid w:val="0011177A"/>
    <w:rsid w:val="00112E27"/>
    <w:rsid w:val="0011345C"/>
    <w:rsid w:val="00114B31"/>
    <w:rsid w:val="00116E31"/>
    <w:rsid w:val="00120EAF"/>
    <w:rsid w:val="00120FAF"/>
    <w:rsid w:val="0012150F"/>
    <w:rsid w:val="00121683"/>
    <w:rsid w:val="0012304E"/>
    <w:rsid w:val="00123B10"/>
    <w:rsid w:val="001248EF"/>
    <w:rsid w:val="001257C7"/>
    <w:rsid w:val="00126DDF"/>
    <w:rsid w:val="001270BF"/>
    <w:rsid w:val="00127BAC"/>
    <w:rsid w:val="001326FC"/>
    <w:rsid w:val="00142A56"/>
    <w:rsid w:val="00143B45"/>
    <w:rsid w:val="00144DF5"/>
    <w:rsid w:val="001457F4"/>
    <w:rsid w:val="00145A97"/>
    <w:rsid w:val="00146485"/>
    <w:rsid w:val="00150AD6"/>
    <w:rsid w:val="001542CC"/>
    <w:rsid w:val="00154ADA"/>
    <w:rsid w:val="0015531A"/>
    <w:rsid w:val="0016041C"/>
    <w:rsid w:val="00163B27"/>
    <w:rsid w:val="00165317"/>
    <w:rsid w:val="00171BAD"/>
    <w:rsid w:val="00172B84"/>
    <w:rsid w:val="001756A1"/>
    <w:rsid w:val="001761EE"/>
    <w:rsid w:val="00176EAA"/>
    <w:rsid w:val="0017725A"/>
    <w:rsid w:val="00177C4B"/>
    <w:rsid w:val="0018325A"/>
    <w:rsid w:val="00184DA0"/>
    <w:rsid w:val="00186199"/>
    <w:rsid w:val="0018734E"/>
    <w:rsid w:val="001928F7"/>
    <w:rsid w:val="00194537"/>
    <w:rsid w:val="00194F40"/>
    <w:rsid w:val="001A21A9"/>
    <w:rsid w:val="001A2E94"/>
    <w:rsid w:val="001A59D8"/>
    <w:rsid w:val="001A5FA6"/>
    <w:rsid w:val="001B28D0"/>
    <w:rsid w:val="001B2F0C"/>
    <w:rsid w:val="001C37F6"/>
    <w:rsid w:val="001C46E1"/>
    <w:rsid w:val="001C5C03"/>
    <w:rsid w:val="001C6288"/>
    <w:rsid w:val="001C7D5D"/>
    <w:rsid w:val="001D0F6A"/>
    <w:rsid w:val="001D1356"/>
    <w:rsid w:val="001D21BC"/>
    <w:rsid w:val="001D2AF9"/>
    <w:rsid w:val="001D2FA5"/>
    <w:rsid w:val="001D3187"/>
    <w:rsid w:val="001D35E0"/>
    <w:rsid w:val="001D369F"/>
    <w:rsid w:val="001D4F52"/>
    <w:rsid w:val="001D5045"/>
    <w:rsid w:val="001D5A44"/>
    <w:rsid w:val="001D724B"/>
    <w:rsid w:val="001E11D3"/>
    <w:rsid w:val="001E227F"/>
    <w:rsid w:val="001E2A6A"/>
    <w:rsid w:val="001E3DC2"/>
    <w:rsid w:val="001E4ABC"/>
    <w:rsid w:val="001E56FF"/>
    <w:rsid w:val="001E5C6B"/>
    <w:rsid w:val="001F03E1"/>
    <w:rsid w:val="001F0629"/>
    <w:rsid w:val="001F26C1"/>
    <w:rsid w:val="001F3C28"/>
    <w:rsid w:val="001F3CC6"/>
    <w:rsid w:val="001F4530"/>
    <w:rsid w:val="002010DE"/>
    <w:rsid w:val="00202968"/>
    <w:rsid w:val="00202C32"/>
    <w:rsid w:val="00203AEF"/>
    <w:rsid w:val="00206F8C"/>
    <w:rsid w:val="00211A26"/>
    <w:rsid w:val="002125F7"/>
    <w:rsid w:val="00214463"/>
    <w:rsid w:val="00214756"/>
    <w:rsid w:val="002149AE"/>
    <w:rsid w:val="00215CF2"/>
    <w:rsid w:val="00221174"/>
    <w:rsid w:val="0022166D"/>
    <w:rsid w:val="002224FF"/>
    <w:rsid w:val="00222E8C"/>
    <w:rsid w:val="002236BC"/>
    <w:rsid w:val="00223DBB"/>
    <w:rsid w:val="00225051"/>
    <w:rsid w:val="002273CA"/>
    <w:rsid w:val="00232846"/>
    <w:rsid w:val="00233B7F"/>
    <w:rsid w:val="002347A7"/>
    <w:rsid w:val="002359EB"/>
    <w:rsid w:val="002363AB"/>
    <w:rsid w:val="0024260D"/>
    <w:rsid w:val="00245012"/>
    <w:rsid w:val="0024504E"/>
    <w:rsid w:val="0024651F"/>
    <w:rsid w:val="0025158D"/>
    <w:rsid w:val="0025281A"/>
    <w:rsid w:val="00253D3C"/>
    <w:rsid w:val="00254F37"/>
    <w:rsid w:val="00255292"/>
    <w:rsid w:val="00256097"/>
    <w:rsid w:val="00260200"/>
    <w:rsid w:val="00261DB3"/>
    <w:rsid w:val="002648D8"/>
    <w:rsid w:val="002655D4"/>
    <w:rsid w:val="00265865"/>
    <w:rsid w:val="00267D54"/>
    <w:rsid w:val="002711AA"/>
    <w:rsid w:val="00273F86"/>
    <w:rsid w:val="002758B5"/>
    <w:rsid w:val="00276834"/>
    <w:rsid w:val="002774F0"/>
    <w:rsid w:val="00280566"/>
    <w:rsid w:val="00281DBD"/>
    <w:rsid w:val="00284519"/>
    <w:rsid w:val="0028459B"/>
    <w:rsid w:val="00284C5F"/>
    <w:rsid w:val="00285ABF"/>
    <w:rsid w:val="002873F0"/>
    <w:rsid w:val="00291151"/>
    <w:rsid w:val="002964F9"/>
    <w:rsid w:val="00297B13"/>
    <w:rsid w:val="00297E05"/>
    <w:rsid w:val="00297E9F"/>
    <w:rsid w:val="002A0FA2"/>
    <w:rsid w:val="002A1F14"/>
    <w:rsid w:val="002A2678"/>
    <w:rsid w:val="002A2E01"/>
    <w:rsid w:val="002A398F"/>
    <w:rsid w:val="002A530F"/>
    <w:rsid w:val="002A5C6B"/>
    <w:rsid w:val="002A5D31"/>
    <w:rsid w:val="002A714F"/>
    <w:rsid w:val="002B14C2"/>
    <w:rsid w:val="002B1851"/>
    <w:rsid w:val="002B250D"/>
    <w:rsid w:val="002B27FF"/>
    <w:rsid w:val="002B3A0A"/>
    <w:rsid w:val="002B4320"/>
    <w:rsid w:val="002B6793"/>
    <w:rsid w:val="002C042C"/>
    <w:rsid w:val="002C1726"/>
    <w:rsid w:val="002C21A6"/>
    <w:rsid w:val="002C2678"/>
    <w:rsid w:val="002C26D5"/>
    <w:rsid w:val="002C5777"/>
    <w:rsid w:val="002D31BB"/>
    <w:rsid w:val="002D32E3"/>
    <w:rsid w:val="002D6955"/>
    <w:rsid w:val="002E0FEB"/>
    <w:rsid w:val="002E6899"/>
    <w:rsid w:val="002F0F79"/>
    <w:rsid w:val="002F2234"/>
    <w:rsid w:val="002F2713"/>
    <w:rsid w:val="002F280E"/>
    <w:rsid w:val="002F3709"/>
    <w:rsid w:val="002F3A6C"/>
    <w:rsid w:val="002F4296"/>
    <w:rsid w:val="00300951"/>
    <w:rsid w:val="00302CA8"/>
    <w:rsid w:val="00302DE9"/>
    <w:rsid w:val="00304106"/>
    <w:rsid w:val="00304E5A"/>
    <w:rsid w:val="00304E97"/>
    <w:rsid w:val="00305084"/>
    <w:rsid w:val="003109D1"/>
    <w:rsid w:val="0031104D"/>
    <w:rsid w:val="00311094"/>
    <w:rsid w:val="0031598C"/>
    <w:rsid w:val="00316339"/>
    <w:rsid w:val="003204E9"/>
    <w:rsid w:val="00321E8C"/>
    <w:rsid w:val="00322A5E"/>
    <w:rsid w:val="00322A86"/>
    <w:rsid w:val="00323AE8"/>
    <w:rsid w:val="00324548"/>
    <w:rsid w:val="003251F4"/>
    <w:rsid w:val="003303E3"/>
    <w:rsid w:val="003329EA"/>
    <w:rsid w:val="0033649D"/>
    <w:rsid w:val="003371D0"/>
    <w:rsid w:val="003376D5"/>
    <w:rsid w:val="003407A5"/>
    <w:rsid w:val="00341188"/>
    <w:rsid w:val="0034147B"/>
    <w:rsid w:val="00345F56"/>
    <w:rsid w:val="00350238"/>
    <w:rsid w:val="003508B0"/>
    <w:rsid w:val="0035109C"/>
    <w:rsid w:val="00351F0A"/>
    <w:rsid w:val="003526A6"/>
    <w:rsid w:val="0035432B"/>
    <w:rsid w:val="00356D17"/>
    <w:rsid w:val="003570F4"/>
    <w:rsid w:val="00361E7E"/>
    <w:rsid w:val="00363E15"/>
    <w:rsid w:val="00370AA4"/>
    <w:rsid w:val="00371FF4"/>
    <w:rsid w:val="003745DA"/>
    <w:rsid w:val="0037468D"/>
    <w:rsid w:val="00376A15"/>
    <w:rsid w:val="00376E96"/>
    <w:rsid w:val="00377520"/>
    <w:rsid w:val="00380D36"/>
    <w:rsid w:val="00380FB5"/>
    <w:rsid w:val="003822D3"/>
    <w:rsid w:val="00386630"/>
    <w:rsid w:val="00390B25"/>
    <w:rsid w:val="00395BC9"/>
    <w:rsid w:val="00396E32"/>
    <w:rsid w:val="00397156"/>
    <w:rsid w:val="00397616"/>
    <w:rsid w:val="00397960"/>
    <w:rsid w:val="003A30B8"/>
    <w:rsid w:val="003A3BC4"/>
    <w:rsid w:val="003A458A"/>
    <w:rsid w:val="003A661A"/>
    <w:rsid w:val="003B2F13"/>
    <w:rsid w:val="003B405E"/>
    <w:rsid w:val="003B57D3"/>
    <w:rsid w:val="003C1F58"/>
    <w:rsid w:val="003C6BB7"/>
    <w:rsid w:val="003C792F"/>
    <w:rsid w:val="003D0053"/>
    <w:rsid w:val="003D124B"/>
    <w:rsid w:val="003D18F3"/>
    <w:rsid w:val="003D78B5"/>
    <w:rsid w:val="003E244F"/>
    <w:rsid w:val="003E6203"/>
    <w:rsid w:val="003E62A6"/>
    <w:rsid w:val="003E695F"/>
    <w:rsid w:val="003E6C9B"/>
    <w:rsid w:val="003E709C"/>
    <w:rsid w:val="003E7B89"/>
    <w:rsid w:val="003F0275"/>
    <w:rsid w:val="003F06B1"/>
    <w:rsid w:val="003F4241"/>
    <w:rsid w:val="003F59C4"/>
    <w:rsid w:val="003F7C45"/>
    <w:rsid w:val="0040132C"/>
    <w:rsid w:val="00401FEA"/>
    <w:rsid w:val="004027BA"/>
    <w:rsid w:val="0040469F"/>
    <w:rsid w:val="00405085"/>
    <w:rsid w:val="0040617F"/>
    <w:rsid w:val="004061D9"/>
    <w:rsid w:val="004066FC"/>
    <w:rsid w:val="00407C10"/>
    <w:rsid w:val="004113B4"/>
    <w:rsid w:val="00414827"/>
    <w:rsid w:val="00416C10"/>
    <w:rsid w:val="00420007"/>
    <w:rsid w:val="00421C77"/>
    <w:rsid w:val="00424EF3"/>
    <w:rsid w:val="004261BD"/>
    <w:rsid w:val="004268BB"/>
    <w:rsid w:val="00431047"/>
    <w:rsid w:val="00431B86"/>
    <w:rsid w:val="004339D9"/>
    <w:rsid w:val="004408EC"/>
    <w:rsid w:val="00441E6A"/>
    <w:rsid w:val="00443C8F"/>
    <w:rsid w:val="00450AA3"/>
    <w:rsid w:val="00452481"/>
    <w:rsid w:val="004567C5"/>
    <w:rsid w:val="00457804"/>
    <w:rsid w:val="00462B61"/>
    <w:rsid w:val="00464283"/>
    <w:rsid w:val="004646BF"/>
    <w:rsid w:val="00464744"/>
    <w:rsid w:val="004665E3"/>
    <w:rsid w:val="00466B17"/>
    <w:rsid w:val="004705EB"/>
    <w:rsid w:val="004721EF"/>
    <w:rsid w:val="004731F1"/>
    <w:rsid w:val="004745CC"/>
    <w:rsid w:val="00477111"/>
    <w:rsid w:val="0047798A"/>
    <w:rsid w:val="00480BC8"/>
    <w:rsid w:val="00481265"/>
    <w:rsid w:val="004814BF"/>
    <w:rsid w:val="00482956"/>
    <w:rsid w:val="0048587E"/>
    <w:rsid w:val="00487C2B"/>
    <w:rsid w:val="0049297D"/>
    <w:rsid w:val="004929F2"/>
    <w:rsid w:val="004958BE"/>
    <w:rsid w:val="00495A03"/>
    <w:rsid w:val="0049659A"/>
    <w:rsid w:val="004966FE"/>
    <w:rsid w:val="00496C8B"/>
    <w:rsid w:val="00497079"/>
    <w:rsid w:val="00497E38"/>
    <w:rsid w:val="004A0BD6"/>
    <w:rsid w:val="004A1493"/>
    <w:rsid w:val="004A1BBA"/>
    <w:rsid w:val="004A3039"/>
    <w:rsid w:val="004A3E3C"/>
    <w:rsid w:val="004B0E6D"/>
    <w:rsid w:val="004B16E8"/>
    <w:rsid w:val="004B254D"/>
    <w:rsid w:val="004B327C"/>
    <w:rsid w:val="004B38A1"/>
    <w:rsid w:val="004B3F56"/>
    <w:rsid w:val="004B6250"/>
    <w:rsid w:val="004B76B1"/>
    <w:rsid w:val="004C0057"/>
    <w:rsid w:val="004C0541"/>
    <w:rsid w:val="004C05F3"/>
    <w:rsid w:val="004C2C46"/>
    <w:rsid w:val="004C30D5"/>
    <w:rsid w:val="004C52A1"/>
    <w:rsid w:val="004C7235"/>
    <w:rsid w:val="004C7955"/>
    <w:rsid w:val="004C7C9D"/>
    <w:rsid w:val="004D047F"/>
    <w:rsid w:val="004D3971"/>
    <w:rsid w:val="004D3D96"/>
    <w:rsid w:val="004D650F"/>
    <w:rsid w:val="004E2133"/>
    <w:rsid w:val="004E60FB"/>
    <w:rsid w:val="004F16AD"/>
    <w:rsid w:val="004F6565"/>
    <w:rsid w:val="004F779C"/>
    <w:rsid w:val="004F7846"/>
    <w:rsid w:val="005000D4"/>
    <w:rsid w:val="00501BB1"/>
    <w:rsid w:val="00505BE7"/>
    <w:rsid w:val="00506786"/>
    <w:rsid w:val="00506D57"/>
    <w:rsid w:val="00507F26"/>
    <w:rsid w:val="00510CAF"/>
    <w:rsid w:val="005128C5"/>
    <w:rsid w:val="0051478B"/>
    <w:rsid w:val="0051566A"/>
    <w:rsid w:val="00515D7B"/>
    <w:rsid w:val="005166E9"/>
    <w:rsid w:val="0052009E"/>
    <w:rsid w:val="00520D90"/>
    <w:rsid w:val="00521EDE"/>
    <w:rsid w:val="00525E59"/>
    <w:rsid w:val="005318CC"/>
    <w:rsid w:val="005346F1"/>
    <w:rsid w:val="005349B1"/>
    <w:rsid w:val="005374BC"/>
    <w:rsid w:val="00543367"/>
    <w:rsid w:val="00543BFA"/>
    <w:rsid w:val="0054649D"/>
    <w:rsid w:val="00547D9C"/>
    <w:rsid w:val="00547DA1"/>
    <w:rsid w:val="00550511"/>
    <w:rsid w:val="0055513C"/>
    <w:rsid w:val="00560C94"/>
    <w:rsid w:val="0056133A"/>
    <w:rsid w:val="0056291C"/>
    <w:rsid w:val="00565A63"/>
    <w:rsid w:val="00566588"/>
    <w:rsid w:val="00571BD3"/>
    <w:rsid w:val="0057275D"/>
    <w:rsid w:val="005749DF"/>
    <w:rsid w:val="005800A9"/>
    <w:rsid w:val="00580488"/>
    <w:rsid w:val="0058074D"/>
    <w:rsid w:val="00582FAD"/>
    <w:rsid w:val="00583489"/>
    <w:rsid w:val="005837E4"/>
    <w:rsid w:val="00584F63"/>
    <w:rsid w:val="00587B92"/>
    <w:rsid w:val="005908C0"/>
    <w:rsid w:val="00590FE4"/>
    <w:rsid w:val="005914B6"/>
    <w:rsid w:val="00591D9C"/>
    <w:rsid w:val="00592EFF"/>
    <w:rsid w:val="00597057"/>
    <w:rsid w:val="00597D8B"/>
    <w:rsid w:val="005A128A"/>
    <w:rsid w:val="005A140B"/>
    <w:rsid w:val="005A1C30"/>
    <w:rsid w:val="005A2929"/>
    <w:rsid w:val="005A2C00"/>
    <w:rsid w:val="005A3295"/>
    <w:rsid w:val="005A44E4"/>
    <w:rsid w:val="005A46FF"/>
    <w:rsid w:val="005A6BFC"/>
    <w:rsid w:val="005A704A"/>
    <w:rsid w:val="005B011E"/>
    <w:rsid w:val="005B2E84"/>
    <w:rsid w:val="005B3103"/>
    <w:rsid w:val="005B6AC7"/>
    <w:rsid w:val="005B6CA6"/>
    <w:rsid w:val="005B7B0E"/>
    <w:rsid w:val="005C5409"/>
    <w:rsid w:val="005C69AC"/>
    <w:rsid w:val="005C722E"/>
    <w:rsid w:val="005C7FD4"/>
    <w:rsid w:val="005D01A4"/>
    <w:rsid w:val="005D45B3"/>
    <w:rsid w:val="005D4CEB"/>
    <w:rsid w:val="005E0EAB"/>
    <w:rsid w:val="005E2501"/>
    <w:rsid w:val="005E64DA"/>
    <w:rsid w:val="005F04E6"/>
    <w:rsid w:val="005F43B9"/>
    <w:rsid w:val="005F68CB"/>
    <w:rsid w:val="005F7085"/>
    <w:rsid w:val="005F79F9"/>
    <w:rsid w:val="00602ACD"/>
    <w:rsid w:val="006033E3"/>
    <w:rsid w:val="00605748"/>
    <w:rsid w:val="00610C82"/>
    <w:rsid w:val="0061321C"/>
    <w:rsid w:val="0062145B"/>
    <w:rsid w:val="00623556"/>
    <w:rsid w:val="0062386E"/>
    <w:rsid w:val="00623F01"/>
    <w:rsid w:val="00624407"/>
    <w:rsid w:val="0062493E"/>
    <w:rsid w:val="00626E2D"/>
    <w:rsid w:val="00627D94"/>
    <w:rsid w:val="00630B42"/>
    <w:rsid w:val="0063181A"/>
    <w:rsid w:val="00636CF5"/>
    <w:rsid w:val="00637258"/>
    <w:rsid w:val="00642072"/>
    <w:rsid w:val="006440ED"/>
    <w:rsid w:val="00645293"/>
    <w:rsid w:val="00646237"/>
    <w:rsid w:val="00651B78"/>
    <w:rsid w:val="00652263"/>
    <w:rsid w:val="00652881"/>
    <w:rsid w:val="0065601A"/>
    <w:rsid w:val="00656776"/>
    <w:rsid w:val="00661974"/>
    <w:rsid w:val="00662D4B"/>
    <w:rsid w:val="00664551"/>
    <w:rsid w:val="00664F49"/>
    <w:rsid w:val="006658FA"/>
    <w:rsid w:val="006669C9"/>
    <w:rsid w:val="0066726C"/>
    <w:rsid w:val="006674BD"/>
    <w:rsid w:val="006676A0"/>
    <w:rsid w:val="00670857"/>
    <w:rsid w:val="0067094A"/>
    <w:rsid w:val="00671124"/>
    <w:rsid w:val="006727B0"/>
    <w:rsid w:val="0067307E"/>
    <w:rsid w:val="00686EC0"/>
    <w:rsid w:val="00687AD5"/>
    <w:rsid w:val="00691153"/>
    <w:rsid w:val="00695251"/>
    <w:rsid w:val="00695ADE"/>
    <w:rsid w:val="00695C0D"/>
    <w:rsid w:val="00696356"/>
    <w:rsid w:val="006A1DAE"/>
    <w:rsid w:val="006A2C8E"/>
    <w:rsid w:val="006A72C6"/>
    <w:rsid w:val="006B02DA"/>
    <w:rsid w:val="006B077E"/>
    <w:rsid w:val="006B1FD1"/>
    <w:rsid w:val="006B2065"/>
    <w:rsid w:val="006B2E18"/>
    <w:rsid w:val="006B2F2B"/>
    <w:rsid w:val="006B3940"/>
    <w:rsid w:val="006B47D1"/>
    <w:rsid w:val="006C0411"/>
    <w:rsid w:val="006C124D"/>
    <w:rsid w:val="006C168D"/>
    <w:rsid w:val="006C1D52"/>
    <w:rsid w:val="006C4E16"/>
    <w:rsid w:val="006C55C8"/>
    <w:rsid w:val="006C5E36"/>
    <w:rsid w:val="006C642C"/>
    <w:rsid w:val="006C6FC6"/>
    <w:rsid w:val="006C750F"/>
    <w:rsid w:val="006D00D5"/>
    <w:rsid w:val="006E0BCB"/>
    <w:rsid w:val="006E34B7"/>
    <w:rsid w:val="006F4CD8"/>
    <w:rsid w:val="00700B57"/>
    <w:rsid w:val="00701F44"/>
    <w:rsid w:val="00703E8A"/>
    <w:rsid w:val="007058F8"/>
    <w:rsid w:val="00706F31"/>
    <w:rsid w:val="00710335"/>
    <w:rsid w:val="00711522"/>
    <w:rsid w:val="007124FE"/>
    <w:rsid w:val="00713186"/>
    <w:rsid w:val="00713757"/>
    <w:rsid w:val="00717772"/>
    <w:rsid w:val="00721AF1"/>
    <w:rsid w:val="0072280F"/>
    <w:rsid w:val="00722B5E"/>
    <w:rsid w:val="0072708F"/>
    <w:rsid w:val="00730500"/>
    <w:rsid w:val="00732D1D"/>
    <w:rsid w:val="00736034"/>
    <w:rsid w:val="00736479"/>
    <w:rsid w:val="0073681C"/>
    <w:rsid w:val="00741EBE"/>
    <w:rsid w:val="00746130"/>
    <w:rsid w:val="00746A40"/>
    <w:rsid w:val="00750358"/>
    <w:rsid w:val="007513AC"/>
    <w:rsid w:val="00751763"/>
    <w:rsid w:val="00755CDF"/>
    <w:rsid w:val="00757A4C"/>
    <w:rsid w:val="0076093C"/>
    <w:rsid w:val="00763925"/>
    <w:rsid w:val="00764A94"/>
    <w:rsid w:val="0076518F"/>
    <w:rsid w:val="007651E5"/>
    <w:rsid w:val="007670DC"/>
    <w:rsid w:val="0077111A"/>
    <w:rsid w:val="00772721"/>
    <w:rsid w:val="00775284"/>
    <w:rsid w:val="007756ED"/>
    <w:rsid w:val="007870FC"/>
    <w:rsid w:val="00787CD0"/>
    <w:rsid w:val="00791053"/>
    <w:rsid w:val="00791A3A"/>
    <w:rsid w:val="00791BB9"/>
    <w:rsid w:val="00791EEA"/>
    <w:rsid w:val="00794196"/>
    <w:rsid w:val="00794251"/>
    <w:rsid w:val="00795592"/>
    <w:rsid w:val="00796EC9"/>
    <w:rsid w:val="00797637"/>
    <w:rsid w:val="00797DD2"/>
    <w:rsid w:val="007A3680"/>
    <w:rsid w:val="007A59B8"/>
    <w:rsid w:val="007A75F5"/>
    <w:rsid w:val="007B2862"/>
    <w:rsid w:val="007B662A"/>
    <w:rsid w:val="007B73ED"/>
    <w:rsid w:val="007C273E"/>
    <w:rsid w:val="007D1292"/>
    <w:rsid w:val="007D28C9"/>
    <w:rsid w:val="007D3CC8"/>
    <w:rsid w:val="007D5584"/>
    <w:rsid w:val="007D62A3"/>
    <w:rsid w:val="007D62F9"/>
    <w:rsid w:val="007D63A4"/>
    <w:rsid w:val="007E1AA2"/>
    <w:rsid w:val="007E303C"/>
    <w:rsid w:val="007E4C1F"/>
    <w:rsid w:val="007F0759"/>
    <w:rsid w:val="007F25C0"/>
    <w:rsid w:val="007F26D5"/>
    <w:rsid w:val="007F4CD3"/>
    <w:rsid w:val="007F5F52"/>
    <w:rsid w:val="007F768B"/>
    <w:rsid w:val="007F77C6"/>
    <w:rsid w:val="008003A1"/>
    <w:rsid w:val="008006B7"/>
    <w:rsid w:val="00800FDB"/>
    <w:rsid w:val="00801249"/>
    <w:rsid w:val="00802081"/>
    <w:rsid w:val="00806461"/>
    <w:rsid w:val="0081096D"/>
    <w:rsid w:val="00810EAD"/>
    <w:rsid w:val="00811833"/>
    <w:rsid w:val="008118B6"/>
    <w:rsid w:val="008174D4"/>
    <w:rsid w:val="00820FE6"/>
    <w:rsid w:val="008212BF"/>
    <w:rsid w:val="00821A66"/>
    <w:rsid w:val="00822476"/>
    <w:rsid w:val="00822882"/>
    <w:rsid w:val="00825F68"/>
    <w:rsid w:val="00826B12"/>
    <w:rsid w:val="008277FF"/>
    <w:rsid w:val="00835408"/>
    <w:rsid w:val="00837CEF"/>
    <w:rsid w:val="00840035"/>
    <w:rsid w:val="008428A9"/>
    <w:rsid w:val="00844112"/>
    <w:rsid w:val="00844929"/>
    <w:rsid w:val="00845292"/>
    <w:rsid w:val="008456C9"/>
    <w:rsid w:val="0084611D"/>
    <w:rsid w:val="00850C62"/>
    <w:rsid w:val="00852E6D"/>
    <w:rsid w:val="00861D07"/>
    <w:rsid w:val="008620ED"/>
    <w:rsid w:val="00863011"/>
    <w:rsid w:val="00865075"/>
    <w:rsid w:val="008673EE"/>
    <w:rsid w:val="0086748F"/>
    <w:rsid w:val="008712A3"/>
    <w:rsid w:val="00871E07"/>
    <w:rsid w:val="00872CE4"/>
    <w:rsid w:val="00877B62"/>
    <w:rsid w:val="00877D98"/>
    <w:rsid w:val="00881015"/>
    <w:rsid w:val="008810B0"/>
    <w:rsid w:val="008819B6"/>
    <w:rsid w:val="00881AAC"/>
    <w:rsid w:val="0088256A"/>
    <w:rsid w:val="008836B7"/>
    <w:rsid w:val="008841D3"/>
    <w:rsid w:val="00884359"/>
    <w:rsid w:val="00887C7E"/>
    <w:rsid w:val="00887DE6"/>
    <w:rsid w:val="00890172"/>
    <w:rsid w:val="008911D2"/>
    <w:rsid w:val="00893048"/>
    <w:rsid w:val="00894C2A"/>
    <w:rsid w:val="008975BC"/>
    <w:rsid w:val="00897708"/>
    <w:rsid w:val="00897D88"/>
    <w:rsid w:val="00897E6F"/>
    <w:rsid w:val="008A2EC6"/>
    <w:rsid w:val="008A2F16"/>
    <w:rsid w:val="008A6D69"/>
    <w:rsid w:val="008B0A73"/>
    <w:rsid w:val="008B1823"/>
    <w:rsid w:val="008B2C17"/>
    <w:rsid w:val="008B2EAD"/>
    <w:rsid w:val="008B6A4A"/>
    <w:rsid w:val="008B6E16"/>
    <w:rsid w:val="008B7110"/>
    <w:rsid w:val="008C2029"/>
    <w:rsid w:val="008C503E"/>
    <w:rsid w:val="008C50F5"/>
    <w:rsid w:val="008C61D6"/>
    <w:rsid w:val="008C64F1"/>
    <w:rsid w:val="008C71EB"/>
    <w:rsid w:val="008C761C"/>
    <w:rsid w:val="008D1BB0"/>
    <w:rsid w:val="008D20FF"/>
    <w:rsid w:val="008D36E4"/>
    <w:rsid w:val="008D3DE6"/>
    <w:rsid w:val="008D4223"/>
    <w:rsid w:val="008D44CC"/>
    <w:rsid w:val="008D46E3"/>
    <w:rsid w:val="008D49A6"/>
    <w:rsid w:val="008D52CA"/>
    <w:rsid w:val="008D6709"/>
    <w:rsid w:val="008D74B6"/>
    <w:rsid w:val="008E083A"/>
    <w:rsid w:val="008E2450"/>
    <w:rsid w:val="008E7896"/>
    <w:rsid w:val="008E7D2D"/>
    <w:rsid w:val="008F2477"/>
    <w:rsid w:val="008F7815"/>
    <w:rsid w:val="00900F02"/>
    <w:rsid w:val="009010F0"/>
    <w:rsid w:val="00901162"/>
    <w:rsid w:val="0090223A"/>
    <w:rsid w:val="009028E2"/>
    <w:rsid w:val="00914EAB"/>
    <w:rsid w:val="00920F85"/>
    <w:rsid w:val="00922D49"/>
    <w:rsid w:val="0092502E"/>
    <w:rsid w:val="00925E37"/>
    <w:rsid w:val="00925EDD"/>
    <w:rsid w:val="00927D0E"/>
    <w:rsid w:val="009309DA"/>
    <w:rsid w:val="0093260B"/>
    <w:rsid w:val="00936688"/>
    <w:rsid w:val="00936891"/>
    <w:rsid w:val="00937CFA"/>
    <w:rsid w:val="009406B3"/>
    <w:rsid w:val="00942509"/>
    <w:rsid w:val="00943C27"/>
    <w:rsid w:val="00945CF5"/>
    <w:rsid w:val="009500A1"/>
    <w:rsid w:val="0095037E"/>
    <w:rsid w:val="00952AAD"/>
    <w:rsid w:val="00954567"/>
    <w:rsid w:val="00957466"/>
    <w:rsid w:val="0096260B"/>
    <w:rsid w:val="009664D5"/>
    <w:rsid w:val="00970C69"/>
    <w:rsid w:val="00971F1C"/>
    <w:rsid w:val="0097211D"/>
    <w:rsid w:val="00972E10"/>
    <w:rsid w:val="009746CA"/>
    <w:rsid w:val="009779FD"/>
    <w:rsid w:val="00981963"/>
    <w:rsid w:val="00983C82"/>
    <w:rsid w:val="00984520"/>
    <w:rsid w:val="0098545C"/>
    <w:rsid w:val="00985BF7"/>
    <w:rsid w:val="00990071"/>
    <w:rsid w:val="00991EA9"/>
    <w:rsid w:val="00992BA2"/>
    <w:rsid w:val="00992F83"/>
    <w:rsid w:val="00993250"/>
    <w:rsid w:val="0099508A"/>
    <w:rsid w:val="009974EB"/>
    <w:rsid w:val="009A1126"/>
    <w:rsid w:val="009A5E42"/>
    <w:rsid w:val="009A781F"/>
    <w:rsid w:val="009B1584"/>
    <w:rsid w:val="009B21CA"/>
    <w:rsid w:val="009B2235"/>
    <w:rsid w:val="009B2648"/>
    <w:rsid w:val="009C03E5"/>
    <w:rsid w:val="009C3730"/>
    <w:rsid w:val="009C37BD"/>
    <w:rsid w:val="009C3AAC"/>
    <w:rsid w:val="009C3D84"/>
    <w:rsid w:val="009C4D19"/>
    <w:rsid w:val="009C5134"/>
    <w:rsid w:val="009C5FDB"/>
    <w:rsid w:val="009C693E"/>
    <w:rsid w:val="009C70CB"/>
    <w:rsid w:val="009C77A0"/>
    <w:rsid w:val="009D1EA4"/>
    <w:rsid w:val="009D27AA"/>
    <w:rsid w:val="009D4991"/>
    <w:rsid w:val="009D5BB5"/>
    <w:rsid w:val="009D696D"/>
    <w:rsid w:val="009D6DAB"/>
    <w:rsid w:val="009D6ED2"/>
    <w:rsid w:val="009E0F1A"/>
    <w:rsid w:val="009E140D"/>
    <w:rsid w:val="009E1E55"/>
    <w:rsid w:val="009E3391"/>
    <w:rsid w:val="009E4465"/>
    <w:rsid w:val="009E6401"/>
    <w:rsid w:val="009E6C54"/>
    <w:rsid w:val="009E6D44"/>
    <w:rsid w:val="009F2A25"/>
    <w:rsid w:val="009F5235"/>
    <w:rsid w:val="009F531A"/>
    <w:rsid w:val="009F6550"/>
    <w:rsid w:val="009F786E"/>
    <w:rsid w:val="00A00902"/>
    <w:rsid w:val="00A039FF"/>
    <w:rsid w:val="00A05ACE"/>
    <w:rsid w:val="00A14AE3"/>
    <w:rsid w:val="00A16675"/>
    <w:rsid w:val="00A22CD6"/>
    <w:rsid w:val="00A22D4B"/>
    <w:rsid w:val="00A234EC"/>
    <w:rsid w:val="00A2417A"/>
    <w:rsid w:val="00A27804"/>
    <w:rsid w:val="00A32FDA"/>
    <w:rsid w:val="00A35A8D"/>
    <w:rsid w:val="00A36AB5"/>
    <w:rsid w:val="00A37DDA"/>
    <w:rsid w:val="00A40508"/>
    <w:rsid w:val="00A411D1"/>
    <w:rsid w:val="00A41566"/>
    <w:rsid w:val="00A421B6"/>
    <w:rsid w:val="00A43389"/>
    <w:rsid w:val="00A43C40"/>
    <w:rsid w:val="00A43E71"/>
    <w:rsid w:val="00A45753"/>
    <w:rsid w:val="00A47B15"/>
    <w:rsid w:val="00A47E47"/>
    <w:rsid w:val="00A52F84"/>
    <w:rsid w:val="00A56AA4"/>
    <w:rsid w:val="00A56B05"/>
    <w:rsid w:val="00A57678"/>
    <w:rsid w:val="00A60E2F"/>
    <w:rsid w:val="00A63127"/>
    <w:rsid w:val="00A63284"/>
    <w:rsid w:val="00A64CB8"/>
    <w:rsid w:val="00A67018"/>
    <w:rsid w:val="00A672F3"/>
    <w:rsid w:val="00A673DC"/>
    <w:rsid w:val="00A67563"/>
    <w:rsid w:val="00A7076E"/>
    <w:rsid w:val="00A707AE"/>
    <w:rsid w:val="00A709BE"/>
    <w:rsid w:val="00A70E23"/>
    <w:rsid w:val="00A7162E"/>
    <w:rsid w:val="00A72D71"/>
    <w:rsid w:val="00A75705"/>
    <w:rsid w:val="00A7634D"/>
    <w:rsid w:val="00A77C69"/>
    <w:rsid w:val="00A82C02"/>
    <w:rsid w:val="00A83953"/>
    <w:rsid w:val="00A840C5"/>
    <w:rsid w:val="00A903B6"/>
    <w:rsid w:val="00A90F4F"/>
    <w:rsid w:val="00A947AA"/>
    <w:rsid w:val="00A96748"/>
    <w:rsid w:val="00A96FD9"/>
    <w:rsid w:val="00AA1B53"/>
    <w:rsid w:val="00AA3556"/>
    <w:rsid w:val="00AA35FD"/>
    <w:rsid w:val="00AA3DB7"/>
    <w:rsid w:val="00AA72C6"/>
    <w:rsid w:val="00AA7F64"/>
    <w:rsid w:val="00AB2DFA"/>
    <w:rsid w:val="00AB3012"/>
    <w:rsid w:val="00AB321C"/>
    <w:rsid w:val="00AB3DEF"/>
    <w:rsid w:val="00AB42E2"/>
    <w:rsid w:val="00AB688F"/>
    <w:rsid w:val="00AB75EA"/>
    <w:rsid w:val="00AB7AA2"/>
    <w:rsid w:val="00AC3EB9"/>
    <w:rsid w:val="00AC4BC1"/>
    <w:rsid w:val="00AC588F"/>
    <w:rsid w:val="00AC5E4B"/>
    <w:rsid w:val="00AD04BD"/>
    <w:rsid w:val="00AD1A03"/>
    <w:rsid w:val="00AD7214"/>
    <w:rsid w:val="00AE1066"/>
    <w:rsid w:val="00AE19D8"/>
    <w:rsid w:val="00AE4518"/>
    <w:rsid w:val="00AE5D7F"/>
    <w:rsid w:val="00AE79F0"/>
    <w:rsid w:val="00AE7D44"/>
    <w:rsid w:val="00AF4FE7"/>
    <w:rsid w:val="00AF65C5"/>
    <w:rsid w:val="00AF6EC1"/>
    <w:rsid w:val="00AF7CF5"/>
    <w:rsid w:val="00B00331"/>
    <w:rsid w:val="00B0116D"/>
    <w:rsid w:val="00B01A80"/>
    <w:rsid w:val="00B07C27"/>
    <w:rsid w:val="00B10DE1"/>
    <w:rsid w:val="00B10FF8"/>
    <w:rsid w:val="00B111B9"/>
    <w:rsid w:val="00B203C4"/>
    <w:rsid w:val="00B22995"/>
    <w:rsid w:val="00B22A61"/>
    <w:rsid w:val="00B22E81"/>
    <w:rsid w:val="00B23996"/>
    <w:rsid w:val="00B23CB2"/>
    <w:rsid w:val="00B2561A"/>
    <w:rsid w:val="00B25A64"/>
    <w:rsid w:val="00B26B91"/>
    <w:rsid w:val="00B26CF4"/>
    <w:rsid w:val="00B32AB3"/>
    <w:rsid w:val="00B34E7C"/>
    <w:rsid w:val="00B368EA"/>
    <w:rsid w:val="00B37EEF"/>
    <w:rsid w:val="00B43FC2"/>
    <w:rsid w:val="00B47485"/>
    <w:rsid w:val="00B518C3"/>
    <w:rsid w:val="00B55185"/>
    <w:rsid w:val="00B55EA7"/>
    <w:rsid w:val="00B61923"/>
    <w:rsid w:val="00B621D6"/>
    <w:rsid w:val="00B62914"/>
    <w:rsid w:val="00B65D6F"/>
    <w:rsid w:val="00B67552"/>
    <w:rsid w:val="00B67C23"/>
    <w:rsid w:val="00B75735"/>
    <w:rsid w:val="00B76B0F"/>
    <w:rsid w:val="00B77142"/>
    <w:rsid w:val="00B7766E"/>
    <w:rsid w:val="00B77F5A"/>
    <w:rsid w:val="00B80A2C"/>
    <w:rsid w:val="00B81F60"/>
    <w:rsid w:val="00B83F8E"/>
    <w:rsid w:val="00B841AC"/>
    <w:rsid w:val="00B865B0"/>
    <w:rsid w:val="00B90780"/>
    <w:rsid w:val="00B918B8"/>
    <w:rsid w:val="00B9240D"/>
    <w:rsid w:val="00B94BB8"/>
    <w:rsid w:val="00B94C15"/>
    <w:rsid w:val="00B95E5A"/>
    <w:rsid w:val="00BA22A8"/>
    <w:rsid w:val="00BA3E48"/>
    <w:rsid w:val="00BA5FB8"/>
    <w:rsid w:val="00BB1EB3"/>
    <w:rsid w:val="00BB2678"/>
    <w:rsid w:val="00BB531E"/>
    <w:rsid w:val="00BB5F3D"/>
    <w:rsid w:val="00BC2343"/>
    <w:rsid w:val="00BC5A18"/>
    <w:rsid w:val="00BC76D5"/>
    <w:rsid w:val="00BD18B8"/>
    <w:rsid w:val="00BD30C8"/>
    <w:rsid w:val="00BD31D1"/>
    <w:rsid w:val="00BD3EB4"/>
    <w:rsid w:val="00BD5C65"/>
    <w:rsid w:val="00BD7FC1"/>
    <w:rsid w:val="00BE01CA"/>
    <w:rsid w:val="00BE4973"/>
    <w:rsid w:val="00BE6018"/>
    <w:rsid w:val="00BF1DD5"/>
    <w:rsid w:val="00BF1F57"/>
    <w:rsid w:val="00BF3EA0"/>
    <w:rsid w:val="00BF4086"/>
    <w:rsid w:val="00BF426C"/>
    <w:rsid w:val="00BF460D"/>
    <w:rsid w:val="00BF58D0"/>
    <w:rsid w:val="00BF7D6A"/>
    <w:rsid w:val="00C00EFD"/>
    <w:rsid w:val="00C013E1"/>
    <w:rsid w:val="00C01611"/>
    <w:rsid w:val="00C01C01"/>
    <w:rsid w:val="00C02C6D"/>
    <w:rsid w:val="00C02D59"/>
    <w:rsid w:val="00C030B6"/>
    <w:rsid w:val="00C03284"/>
    <w:rsid w:val="00C04855"/>
    <w:rsid w:val="00C050D7"/>
    <w:rsid w:val="00C05B5F"/>
    <w:rsid w:val="00C0667A"/>
    <w:rsid w:val="00C104CC"/>
    <w:rsid w:val="00C130C1"/>
    <w:rsid w:val="00C147DA"/>
    <w:rsid w:val="00C152FE"/>
    <w:rsid w:val="00C16739"/>
    <w:rsid w:val="00C22CCE"/>
    <w:rsid w:val="00C23BA2"/>
    <w:rsid w:val="00C2458C"/>
    <w:rsid w:val="00C25D0C"/>
    <w:rsid w:val="00C32AF2"/>
    <w:rsid w:val="00C33204"/>
    <w:rsid w:val="00C338EB"/>
    <w:rsid w:val="00C33E2E"/>
    <w:rsid w:val="00C3465D"/>
    <w:rsid w:val="00C379E9"/>
    <w:rsid w:val="00C37E98"/>
    <w:rsid w:val="00C412BF"/>
    <w:rsid w:val="00C42431"/>
    <w:rsid w:val="00C439FB"/>
    <w:rsid w:val="00C43F23"/>
    <w:rsid w:val="00C442A1"/>
    <w:rsid w:val="00C4675D"/>
    <w:rsid w:val="00C50011"/>
    <w:rsid w:val="00C503D3"/>
    <w:rsid w:val="00C62509"/>
    <w:rsid w:val="00C645E6"/>
    <w:rsid w:val="00C64D82"/>
    <w:rsid w:val="00C64FBC"/>
    <w:rsid w:val="00C65A83"/>
    <w:rsid w:val="00C67DCB"/>
    <w:rsid w:val="00C736BB"/>
    <w:rsid w:val="00C737E8"/>
    <w:rsid w:val="00C80F23"/>
    <w:rsid w:val="00C81151"/>
    <w:rsid w:val="00C81746"/>
    <w:rsid w:val="00C82A96"/>
    <w:rsid w:val="00C82CC6"/>
    <w:rsid w:val="00C850A3"/>
    <w:rsid w:val="00C85C32"/>
    <w:rsid w:val="00C87568"/>
    <w:rsid w:val="00C87BB7"/>
    <w:rsid w:val="00C90DB6"/>
    <w:rsid w:val="00C9394F"/>
    <w:rsid w:val="00C93B1A"/>
    <w:rsid w:val="00C9504A"/>
    <w:rsid w:val="00C96275"/>
    <w:rsid w:val="00C96F5F"/>
    <w:rsid w:val="00CA1A4F"/>
    <w:rsid w:val="00CA3977"/>
    <w:rsid w:val="00CA5927"/>
    <w:rsid w:val="00CA79EC"/>
    <w:rsid w:val="00CB39C2"/>
    <w:rsid w:val="00CB44DE"/>
    <w:rsid w:val="00CB4C8C"/>
    <w:rsid w:val="00CB6782"/>
    <w:rsid w:val="00CB7629"/>
    <w:rsid w:val="00CC00EC"/>
    <w:rsid w:val="00CC080A"/>
    <w:rsid w:val="00CC3C04"/>
    <w:rsid w:val="00CC4396"/>
    <w:rsid w:val="00CD5216"/>
    <w:rsid w:val="00CE2741"/>
    <w:rsid w:val="00CE3C13"/>
    <w:rsid w:val="00CE4499"/>
    <w:rsid w:val="00CE5277"/>
    <w:rsid w:val="00CE6358"/>
    <w:rsid w:val="00CE7FC6"/>
    <w:rsid w:val="00CF0C6C"/>
    <w:rsid w:val="00CF2D54"/>
    <w:rsid w:val="00CF622A"/>
    <w:rsid w:val="00D01324"/>
    <w:rsid w:val="00D02BA5"/>
    <w:rsid w:val="00D03538"/>
    <w:rsid w:val="00D03B67"/>
    <w:rsid w:val="00D049B8"/>
    <w:rsid w:val="00D0516C"/>
    <w:rsid w:val="00D05EE7"/>
    <w:rsid w:val="00D068D0"/>
    <w:rsid w:val="00D078D1"/>
    <w:rsid w:val="00D129A8"/>
    <w:rsid w:val="00D12FB9"/>
    <w:rsid w:val="00D13987"/>
    <w:rsid w:val="00D200BD"/>
    <w:rsid w:val="00D22399"/>
    <w:rsid w:val="00D310E8"/>
    <w:rsid w:val="00D33751"/>
    <w:rsid w:val="00D36F6E"/>
    <w:rsid w:val="00D37343"/>
    <w:rsid w:val="00D4205E"/>
    <w:rsid w:val="00D46CA6"/>
    <w:rsid w:val="00D565EC"/>
    <w:rsid w:val="00D61982"/>
    <w:rsid w:val="00D6226F"/>
    <w:rsid w:val="00D6267A"/>
    <w:rsid w:val="00D674CF"/>
    <w:rsid w:val="00D678DF"/>
    <w:rsid w:val="00D67D12"/>
    <w:rsid w:val="00D70923"/>
    <w:rsid w:val="00D74F09"/>
    <w:rsid w:val="00D754C0"/>
    <w:rsid w:val="00D75673"/>
    <w:rsid w:val="00D7585A"/>
    <w:rsid w:val="00D80618"/>
    <w:rsid w:val="00D82494"/>
    <w:rsid w:val="00D84A4B"/>
    <w:rsid w:val="00D85E13"/>
    <w:rsid w:val="00D8669F"/>
    <w:rsid w:val="00D92168"/>
    <w:rsid w:val="00D940B5"/>
    <w:rsid w:val="00D95318"/>
    <w:rsid w:val="00D95CB0"/>
    <w:rsid w:val="00D9766F"/>
    <w:rsid w:val="00D977C0"/>
    <w:rsid w:val="00DA00A3"/>
    <w:rsid w:val="00DA13F3"/>
    <w:rsid w:val="00DA27D4"/>
    <w:rsid w:val="00DA2DE3"/>
    <w:rsid w:val="00DA716A"/>
    <w:rsid w:val="00DB1841"/>
    <w:rsid w:val="00DB1F4F"/>
    <w:rsid w:val="00DB37EE"/>
    <w:rsid w:val="00DB4450"/>
    <w:rsid w:val="00DB7B69"/>
    <w:rsid w:val="00DC234A"/>
    <w:rsid w:val="00DC34E9"/>
    <w:rsid w:val="00DC41E4"/>
    <w:rsid w:val="00DC6697"/>
    <w:rsid w:val="00DC7C77"/>
    <w:rsid w:val="00DC7F19"/>
    <w:rsid w:val="00DD2809"/>
    <w:rsid w:val="00DD7EA2"/>
    <w:rsid w:val="00DE00F2"/>
    <w:rsid w:val="00DE07B4"/>
    <w:rsid w:val="00DE117F"/>
    <w:rsid w:val="00DE279B"/>
    <w:rsid w:val="00DE2A1E"/>
    <w:rsid w:val="00DE2B64"/>
    <w:rsid w:val="00DE401C"/>
    <w:rsid w:val="00DE4304"/>
    <w:rsid w:val="00DE6DF1"/>
    <w:rsid w:val="00DF0726"/>
    <w:rsid w:val="00DF63FA"/>
    <w:rsid w:val="00E012CC"/>
    <w:rsid w:val="00E02B71"/>
    <w:rsid w:val="00E02DEB"/>
    <w:rsid w:val="00E042A1"/>
    <w:rsid w:val="00E104FA"/>
    <w:rsid w:val="00E1082A"/>
    <w:rsid w:val="00E10952"/>
    <w:rsid w:val="00E11166"/>
    <w:rsid w:val="00E13182"/>
    <w:rsid w:val="00E15383"/>
    <w:rsid w:val="00E1738C"/>
    <w:rsid w:val="00E174D4"/>
    <w:rsid w:val="00E2281D"/>
    <w:rsid w:val="00E22D28"/>
    <w:rsid w:val="00E230E3"/>
    <w:rsid w:val="00E27344"/>
    <w:rsid w:val="00E30EDF"/>
    <w:rsid w:val="00E31FBA"/>
    <w:rsid w:val="00E36AAE"/>
    <w:rsid w:val="00E41773"/>
    <w:rsid w:val="00E4392C"/>
    <w:rsid w:val="00E44C57"/>
    <w:rsid w:val="00E45967"/>
    <w:rsid w:val="00E462F4"/>
    <w:rsid w:val="00E46FFD"/>
    <w:rsid w:val="00E513F6"/>
    <w:rsid w:val="00E52AA3"/>
    <w:rsid w:val="00E52F3B"/>
    <w:rsid w:val="00E53D94"/>
    <w:rsid w:val="00E53DEA"/>
    <w:rsid w:val="00E5548D"/>
    <w:rsid w:val="00E616DB"/>
    <w:rsid w:val="00E618DD"/>
    <w:rsid w:val="00E627A4"/>
    <w:rsid w:val="00E630ED"/>
    <w:rsid w:val="00E73C41"/>
    <w:rsid w:val="00E74EC5"/>
    <w:rsid w:val="00E750C2"/>
    <w:rsid w:val="00E76B86"/>
    <w:rsid w:val="00E81AFF"/>
    <w:rsid w:val="00E8342F"/>
    <w:rsid w:val="00E847A7"/>
    <w:rsid w:val="00E87C2F"/>
    <w:rsid w:val="00E906B4"/>
    <w:rsid w:val="00E9095B"/>
    <w:rsid w:val="00E90CF1"/>
    <w:rsid w:val="00E9399B"/>
    <w:rsid w:val="00E94008"/>
    <w:rsid w:val="00E94762"/>
    <w:rsid w:val="00E96B52"/>
    <w:rsid w:val="00EA2244"/>
    <w:rsid w:val="00EA411E"/>
    <w:rsid w:val="00EA5FC0"/>
    <w:rsid w:val="00EA6FA7"/>
    <w:rsid w:val="00EB067F"/>
    <w:rsid w:val="00EB1F02"/>
    <w:rsid w:val="00EB51FD"/>
    <w:rsid w:val="00EB5BC5"/>
    <w:rsid w:val="00EB72C1"/>
    <w:rsid w:val="00EC086C"/>
    <w:rsid w:val="00EC42D0"/>
    <w:rsid w:val="00EC4BA3"/>
    <w:rsid w:val="00EC5CE6"/>
    <w:rsid w:val="00EC638F"/>
    <w:rsid w:val="00EE2ACE"/>
    <w:rsid w:val="00EE4874"/>
    <w:rsid w:val="00EE53EA"/>
    <w:rsid w:val="00EE79A6"/>
    <w:rsid w:val="00EE7FB4"/>
    <w:rsid w:val="00EF0A46"/>
    <w:rsid w:val="00EF0D26"/>
    <w:rsid w:val="00EF0D86"/>
    <w:rsid w:val="00EF22FE"/>
    <w:rsid w:val="00EF76AC"/>
    <w:rsid w:val="00EF7C29"/>
    <w:rsid w:val="00F005A0"/>
    <w:rsid w:val="00F008A3"/>
    <w:rsid w:val="00F01D97"/>
    <w:rsid w:val="00F02435"/>
    <w:rsid w:val="00F0542C"/>
    <w:rsid w:val="00F058BE"/>
    <w:rsid w:val="00F077D2"/>
    <w:rsid w:val="00F11352"/>
    <w:rsid w:val="00F13FCD"/>
    <w:rsid w:val="00F1498D"/>
    <w:rsid w:val="00F14D34"/>
    <w:rsid w:val="00F14DDF"/>
    <w:rsid w:val="00F152AD"/>
    <w:rsid w:val="00F158FF"/>
    <w:rsid w:val="00F20BE9"/>
    <w:rsid w:val="00F2285F"/>
    <w:rsid w:val="00F22F00"/>
    <w:rsid w:val="00F23155"/>
    <w:rsid w:val="00F24E0E"/>
    <w:rsid w:val="00F26693"/>
    <w:rsid w:val="00F36130"/>
    <w:rsid w:val="00F40444"/>
    <w:rsid w:val="00F423BD"/>
    <w:rsid w:val="00F432FF"/>
    <w:rsid w:val="00F4715C"/>
    <w:rsid w:val="00F47E2F"/>
    <w:rsid w:val="00F512C0"/>
    <w:rsid w:val="00F51C16"/>
    <w:rsid w:val="00F54869"/>
    <w:rsid w:val="00F556B2"/>
    <w:rsid w:val="00F57187"/>
    <w:rsid w:val="00F574E5"/>
    <w:rsid w:val="00F5754B"/>
    <w:rsid w:val="00F576DE"/>
    <w:rsid w:val="00F63BF7"/>
    <w:rsid w:val="00F65617"/>
    <w:rsid w:val="00F666BC"/>
    <w:rsid w:val="00F70316"/>
    <w:rsid w:val="00F710BE"/>
    <w:rsid w:val="00F72CEF"/>
    <w:rsid w:val="00F736D2"/>
    <w:rsid w:val="00F7564C"/>
    <w:rsid w:val="00F76220"/>
    <w:rsid w:val="00F769BE"/>
    <w:rsid w:val="00F76A66"/>
    <w:rsid w:val="00F813A0"/>
    <w:rsid w:val="00F82E6B"/>
    <w:rsid w:val="00F951CF"/>
    <w:rsid w:val="00F976E0"/>
    <w:rsid w:val="00F97B71"/>
    <w:rsid w:val="00FA1925"/>
    <w:rsid w:val="00FA2DDA"/>
    <w:rsid w:val="00FA34CA"/>
    <w:rsid w:val="00FA3CC8"/>
    <w:rsid w:val="00FA4A55"/>
    <w:rsid w:val="00FA4D4F"/>
    <w:rsid w:val="00FA54E8"/>
    <w:rsid w:val="00FA5CA2"/>
    <w:rsid w:val="00FB0D88"/>
    <w:rsid w:val="00FB26B3"/>
    <w:rsid w:val="00FB2D17"/>
    <w:rsid w:val="00FB2F69"/>
    <w:rsid w:val="00FB39F7"/>
    <w:rsid w:val="00FB3BCA"/>
    <w:rsid w:val="00FB45FF"/>
    <w:rsid w:val="00FB47E0"/>
    <w:rsid w:val="00FB5CB1"/>
    <w:rsid w:val="00FB5D97"/>
    <w:rsid w:val="00FB7363"/>
    <w:rsid w:val="00FC1CA5"/>
    <w:rsid w:val="00FC2979"/>
    <w:rsid w:val="00FC45F4"/>
    <w:rsid w:val="00FD1C3C"/>
    <w:rsid w:val="00FD3480"/>
    <w:rsid w:val="00FD38A8"/>
    <w:rsid w:val="00FD6AC8"/>
    <w:rsid w:val="00FD7298"/>
    <w:rsid w:val="00FE308B"/>
    <w:rsid w:val="00FE3EA1"/>
    <w:rsid w:val="00FE4818"/>
    <w:rsid w:val="00FE5D80"/>
    <w:rsid w:val="00FF6ADB"/>
    <w:rsid w:val="00FF7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docId w15:val="{82A5C58F-C882-4410-AE8C-ADF6DEAB2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D31"/>
    <w:pPr>
      <w:widowControl w:val="0"/>
      <w:jc w:val="both"/>
    </w:pPr>
    <w:rPr>
      <w:kern w:val="2"/>
      <w:sz w:val="21"/>
      <w:szCs w:val="24"/>
    </w:rPr>
  </w:style>
  <w:style w:type="paragraph" w:styleId="1">
    <w:name w:val="heading 1"/>
    <w:basedOn w:val="a"/>
    <w:next w:val="a"/>
    <w:link w:val="1Char"/>
    <w:qFormat/>
    <w:rsid w:val="00A7634D"/>
    <w:pPr>
      <w:keepNext/>
      <w:keepLines/>
      <w:spacing w:before="340" w:after="330" w:line="578" w:lineRule="auto"/>
      <w:outlineLvl w:val="0"/>
    </w:pPr>
    <w:rPr>
      <w:b/>
      <w:bCs/>
      <w:kern w:val="44"/>
      <w:sz w:val="44"/>
      <w:szCs w:val="44"/>
    </w:rPr>
  </w:style>
  <w:style w:type="paragraph" w:styleId="2">
    <w:name w:val="heading 2"/>
    <w:basedOn w:val="a"/>
    <w:next w:val="a0"/>
    <w:qFormat/>
    <w:rsid w:val="00EB72C1"/>
    <w:pPr>
      <w:keepNext/>
      <w:keepLines/>
      <w:spacing w:before="260" w:after="260" w:line="360" w:lineRule="auto"/>
      <w:outlineLvl w:val="1"/>
    </w:pPr>
    <w:rPr>
      <w:rFonts w:ascii="Arial" w:hAnsi="Arial" w:cs="Arial"/>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rsid w:val="00EB72C1"/>
    <w:pPr>
      <w:ind w:firstLineChars="200" w:firstLine="420"/>
    </w:pPr>
  </w:style>
  <w:style w:type="paragraph" w:styleId="a4">
    <w:name w:val="Body Text Indent"/>
    <w:basedOn w:val="a"/>
    <w:rsid w:val="00EB72C1"/>
    <w:pPr>
      <w:widowControl/>
      <w:spacing w:before="100" w:beforeAutospacing="1" w:after="100" w:afterAutospacing="1"/>
      <w:jc w:val="left"/>
    </w:pPr>
    <w:rPr>
      <w:rFonts w:ascii="Arial Unicode MS" w:eastAsia="Arial Unicode MS" w:hAnsi="Arial Unicode MS" w:cs="Arial Unicode MS"/>
      <w:kern w:val="0"/>
      <w:sz w:val="24"/>
    </w:rPr>
  </w:style>
  <w:style w:type="paragraph" w:styleId="a5">
    <w:name w:val="Plain Text"/>
    <w:basedOn w:val="a"/>
    <w:link w:val="Char"/>
    <w:uiPriority w:val="99"/>
    <w:rsid w:val="00EB72C1"/>
    <w:rPr>
      <w:rFonts w:ascii="宋体" w:hAnsi="Courier New"/>
      <w:szCs w:val="21"/>
    </w:rPr>
  </w:style>
  <w:style w:type="paragraph" w:styleId="20">
    <w:name w:val="Body Text Indent 2"/>
    <w:basedOn w:val="a"/>
    <w:rsid w:val="00EB72C1"/>
    <w:pPr>
      <w:spacing w:line="560" w:lineRule="exact"/>
      <w:ind w:firstLineChars="200" w:firstLine="480"/>
    </w:pPr>
    <w:rPr>
      <w:rFonts w:ascii="宋体" w:hAnsi="宋体"/>
      <w:color w:val="FF0000"/>
      <w:sz w:val="24"/>
    </w:rPr>
  </w:style>
  <w:style w:type="paragraph" w:styleId="a6">
    <w:name w:val="footer"/>
    <w:basedOn w:val="a"/>
    <w:rsid w:val="00EB72C1"/>
    <w:pPr>
      <w:tabs>
        <w:tab w:val="center" w:pos="4153"/>
        <w:tab w:val="right" w:pos="8306"/>
      </w:tabs>
      <w:snapToGrid w:val="0"/>
      <w:jc w:val="left"/>
    </w:pPr>
    <w:rPr>
      <w:sz w:val="18"/>
      <w:szCs w:val="18"/>
    </w:rPr>
  </w:style>
  <w:style w:type="character" w:styleId="a7">
    <w:name w:val="page number"/>
    <w:basedOn w:val="a1"/>
    <w:rsid w:val="00EB72C1"/>
  </w:style>
  <w:style w:type="character" w:styleId="a8">
    <w:name w:val="Hyperlink"/>
    <w:rsid w:val="00EB72C1"/>
    <w:rPr>
      <w:color w:val="0000FF"/>
      <w:u w:val="single"/>
    </w:rPr>
  </w:style>
  <w:style w:type="paragraph" w:styleId="3">
    <w:name w:val="Body Text Indent 3"/>
    <w:basedOn w:val="a"/>
    <w:rsid w:val="00EB72C1"/>
    <w:pPr>
      <w:spacing w:line="560" w:lineRule="exact"/>
      <w:ind w:firstLineChars="200" w:firstLine="420"/>
    </w:pPr>
    <w:rPr>
      <w:rFonts w:ascii="Arial" w:hAnsi="Arial" w:cs="Arial"/>
      <w:color w:val="FF0000"/>
    </w:rPr>
  </w:style>
  <w:style w:type="paragraph" w:styleId="a9">
    <w:name w:val="header"/>
    <w:basedOn w:val="a"/>
    <w:link w:val="Char0"/>
    <w:uiPriority w:val="99"/>
    <w:rsid w:val="00EB72C1"/>
    <w:pPr>
      <w:pBdr>
        <w:bottom w:val="single" w:sz="6" w:space="1" w:color="auto"/>
      </w:pBdr>
      <w:tabs>
        <w:tab w:val="center" w:pos="4153"/>
        <w:tab w:val="right" w:pos="8306"/>
      </w:tabs>
      <w:snapToGrid w:val="0"/>
      <w:jc w:val="center"/>
    </w:pPr>
    <w:rPr>
      <w:sz w:val="18"/>
      <w:szCs w:val="18"/>
    </w:rPr>
  </w:style>
  <w:style w:type="character" w:styleId="aa">
    <w:name w:val="FollowedHyperlink"/>
    <w:rsid w:val="00EB72C1"/>
    <w:rPr>
      <w:color w:val="800080"/>
      <w:u w:val="single"/>
    </w:rPr>
  </w:style>
  <w:style w:type="paragraph" w:styleId="ab">
    <w:name w:val="List"/>
    <w:basedOn w:val="ac"/>
    <w:rsid w:val="00EB72C1"/>
    <w:pPr>
      <w:spacing w:after="220" w:line="220" w:lineRule="atLeast"/>
      <w:ind w:left="1440" w:hanging="360"/>
    </w:pPr>
    <w:rPr>
      <w:szCs w:val="20"/>
    </w:rPr>
  </w:style>
  <w:style w:type="paragraph" w:styleId="ac">
    <w:name w:val="Body Text"/>
    <w:basedOn w:val="a"/>
    <w:rsid w:val="00EB72C1"/>
    <w:pPr>
      <w:spacing w:after="120"/>
    </w:pPr>
  </w:style>
  <w:style w:type="paragraph" w:styleId="ad">
    <w:name w:val="Date"/>
    <w:basedOn w:val="a"/>
    <w:next w:val="a"/>
    <w:link w:val="Char1"/>
    <w:uiPriority w:val="99"/>
    <w:rsid w:val="00EB72C1"/>
    <w:rPr>
      <w:sz w:val="24"/>
      <w:szCs w:val="20"/>
    </w:rPr>
  </w:style>
  <w:style w:type="character" w:customStyle="1" w:styleId="c1">
    <w:name w:val="c1"/>
    <w:rsid w:val="00EB72C1"/>
    <w:rPr>
      <w:color w:val="000000"/>
      <w:sz w:val="18"/>
      <w:szCs w:val="18"/>
    </w:rPr>
  </w:style>
  <w:style w:type="paragraph" w:styleId="10">
    <w:name w:val="index 1"/>
    <w:basedOn w:val="a"/>
    <w:next w:val="a"/>
    <w:autoRedefine/>
    <w:semiHidden/>
    <w:rsid w:val="00EB72C1"/>
    <w:pPr>
      <w:jc w:val="right"/>
    </w:pPr>
    <w:rPr>
      <w:color w:val="008000"/>
    </w:rPr>
  </w:style>
  <w:style w:type="paragraph" w:customStyle="1" w:styleId="font5">
    <w:name w:val="font5"/>
    <w:basedOn w:val="a"/>
    <w:rsid w:val="00EB72C1"/>
    <w:pPr>
      <w:widowControl/>
      <w:spacing w:before="100" w:beforeAutospacing="1" w:after="100" w:afterAutospacing="1"/>
      <w:jc w:val="left"/>
    </w:pPr>
    <w:rPr>
      <w:rFonts w:ascii="宋体" w:hAnsi="宋体" w:cs="Arial Unicode MS" w:hint="eastAsia"/>
      <w:kern w:val="0"/>
      <w:sz w:val="18"/>
      <w:szCs w:val="18"/>
    </w:rPr>
  </w:style>
  <w:style w:type="paragraph" w:customStyle="1" w:styleId="xl24">
    <w:name w:val="xl24"/>
    <w:basedOn w:val="a"/>
    <w:rsid w:val="00EB72C1"/>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0000FF"/>
      <w:kern w:val="0"/>
      <w:sz w:val="29"/>
      <w:szCs w:val="29"/>
    </w:rPr>
  </w:style>
  <w:style w:type="paragraph" w:customStyle="1" w:styleId="xl25">
    <w:name w:val="xl2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eastAsia="Arial Unicode MS" w:hAnsi="Arial Unicode MS" w:cs="Arial Unicode MS"/>
      <w:b/>
      <w:bCs/>
      <w:color w:val="000000"/>
      <w:kern w:val="0"/>
      <w:sz w:val="24"/>
    </w:rPr>
  </w:style>
  <w:style w:type="paragraph" w:customStyle="1" w:styleId="xl26">
    <w:name w:val="xl2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7">
    <w:name w:val="xl2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12"/>
      <w:szCs w:val="12"/>
    </w:rPr>
  </w:style>
  <w:style w:type="paragraph" w:customStyle="1" w:styleId="xl28">
    <w:name w:val="xl2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29">
    <w:name w:val="xl29"/>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0">
    <w:name w:val="xl30"/>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000000"/>
      <w:kern w:val="0"/>
      <w:sz w:val="24"/>
    </w:rPr>
  </w:style>
  <w:style w:type="paragraph" w:customStyle="1" w:styleId="xl31">
    <w:name w:val="xl31"/>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2">
    <w:name w:val="xl32"/>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3">
    <w:name w:val="xl33"/>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color w:val="000000"/>
      <w:kern w:val="0"/>
      <w:sz w:val="22"/>
      <w:szCs w:val="22"/>
    </w:rPr>
  </w:style>
  <w:style w:type="paragraph" w:customStyle="1" w:styleId="xl34">
    <w:name w:val="xl34"/>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color w:val="000000"/>
      <w:kern w:val="0"/>
      <w:sz w:val="22"/>
      <w:szCs w:val="22"/>
    </w:rPr>
  </w:style>
  <w:style w:type="paragraph" w:customStyle="1" w:styleId="xl35">
    <w:name w:val="xl35"/>
    <w:basedOn w:val="a"/>
    <w:rsid w:val="00EB72C1"/>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000000"/>
      <w:kern w:val="0"/>
      <w:sz w:val="23"/>
      <w:szCs w:val="23"/>
    </w:rPr>
  </w:style>
  <w:style w:type="paragraph" w:customStyle="1" w:styleId="xl36">
    <w:name w:val="xl36"/>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customStyle="1" w:styleId="xl37">
    <w:name w:val="xl37"/>
    <w:basedOn w:val="a"/>
    <w:rsid w:val="00EB72C1"/>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eastAsia="Arial Unicode MS" w:hAnsi="Arial Unicode MS" w:cs="Arial Unicode MS"/>
      <w:b/>
      <w:bCs/>
      <w:color w:val="FF0000"/>
      <w:kern w:val="0"/>
      <w:sz w:val="23"/>
      <w:szCs w:val="23"/>
    </w:rPr>
  </w:style>
  <w:style w:type="paragraph" w:customStyle="1" w:styleId="xl38">
    <w:name w:val="xl38"/>
    <w:basedOn w:val="a"/>
    <w:rsid w:val="00EB72C1"/>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eastAsia="Arial Unicode MS" w:hAnsi="Arial Unicode MS" w:cs="Arial Unicode MS"/>
      <w:b/>
      <w:bCs/>
      <w:color w:val="FF0000"/>
      <w:kern w:val="0"/>
      <w:sz w:val="23"/>
      <w:szCs w:val="23"/>
    </w:rPr>
  </w:style>
  <w:style w:type="paragraph" w:styleId="ae">
    <w:name w:val="Balloon Text"/>
    <w:basedOn w:val="a"/>
    <w:semiHidden/>
    <w:rsid w:val="00EB72C1"/>
    <w:rPr>
      <w:sz w:val="18"/>
      <w:szCs w:val="18"/>
    </w:rPr>
  </w:style>
  <w:style w:type="character" w:styleId="af">
    <w:name w:val="annotation reference"/>
    <w:semiHidden/>
    <w:rsid w:val="00EB72C1"/>
    <w:rPr>
      <w:sz w:val="21"/>
      <w:szCs w:val="21"/>
    </w:rPr>
  </w:style>
  <w:style w:type="paragraph" w:styleId="af0">
    <w:name w:val="annotation text"/>
    <w:basedOn w:val="a"/>
    <w:semiHidden/>
    <w:rsid w:val="00EB72C1"/>
    <w:pPr>
      <w:jc w:val="left"/>
    </w:pPr>
  </w:style>
  <w:style w:type="paragraph" w:styleId="af1">
    <w:name w:val="annotation subject"/>
    <w:basedOn w:val="af0"/>
    <w:next w:val="af0"/>
    <w:semiHidden/>
    <w:rsid w:val="00EB72C1"/>
    <w:rPr>
      <w:b/>
      <w:bCs/>
    </w:rPr>
  </w:style>
  <w:style w:type="paragraph" w:customStyle="1" w:styleId="Char2">
    <w:name w:val="Char"/>
    <w:basedOn w:val="a"/>
    <w:rsid w:val="00EB72C1"/>
  </w:style>
  <w:style w:type="paragraph" w:styleId="af2">
    <w:name w:val="Document Map"/>
    <w:basedOn w:val="a"/>
    <w:semiHidden/>
    <w:rsid w:val="000A549A"/>
    <w:pPr>
      <w:shd w:val="clear" w:color="auto" w:fill="000080"/>
    </w:pPr>
  </w:style>
  <w:style w:type="paragraph" w:customStyle="1" w:styleId="af3">
    <w:name w:val="正文 + (符号) 宋体"/>
    <w:aliases w:val="小四,紧缩量  0.2 磅"/>
    <w:basedOn w:val="a"/>
    <w:rsid w:val="00C22CCE"/>
    <w:pPr>
      <w:autoSpaceDE w:val="0"/>
      <w:autoSpaceDN w:val="0"/>
      <w:adjustRightInd w:val="0"/>
      <w:ind w:rightChars="671" w:right="1409" w:firstLineChars="512" w:firstLine="1229"/>
      <w:jc w:val="distribute"/>
    </w:pPr>
    <w:rPr>
      <w:sz w:val="24"/>
    </w:rPr>
  </w:style>
  <w:style w:type="paragraph" w:styleId="af4">
    <w:name w:val="footnote text"/>
    <w:basedOn w:val="a"/>
    <w:semiHidden/>
    <w:rsid w:val="00547D9C"/>
    <w:pPr>
      <w:snapToGrid w:val="0"/>
      <w:jc w:val="left"/>
    </w:pPr>
    <w:rPr>
      <w:sz w:val="18"/>
      <w:szCs w:val="18"/>
    </w:rPr>
  </w:style>
  <w:style w:type="character" w:styleId="af5">
    <w:name w:val="footnote reference"/>
    <w:semiHidden/>
    <w:rsid w:val="00547D9C"/>
    <w:rPr>
      <w:vertAlign w:val="superscript"/>
    </w:rPr>
  </w:style>
  <w:style w:type="paragraph" w:styleId="af6">
    <w:name w:val="Normal (Web)"/>
    <w:basedOn w:val="a"/>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basedOn w:val="a"/>
    <w:rsid w:val="00043ABF"/>
  </w:style>
  <w:style w:type="paragraph" w:customStyle="1" w:styleId="CharCharCharCharCharChar1CharCharChar">
    <w:name w:val="Char Char Char Char Char Char1 Char Char Char"/>
    <w:basedOn w:val="a"/>
    <w:rsid w:val="005166E9"/>
    <w:pPr>
      <w:autoSpaceDE w:val="0"/>
      <w:autoSpaceDN w:val="0"/>
      <w:adjustRightInd w:val="0"/>
      <w:jc w:val="left"/>
      <w:textAlignment w:val="baseline"/>
    </w:pPr>
    <w:rPr>
      <w:rFonts w:ascii="宋体"/>
      <w:kern w:val="0"/>
      <w:sz w:val="34"/>
      <w:szCs w:val="20"/>
    </w:rPr>
  </w:style>
  <w:style w:type="character" w:customStyle="1" w:styleId="Char">
    <w:name w:val="纯文本 Char"/>
    <w:link w:val="a5"/>
    <w:uiPriority w:val="99"/>
    <w:rsid w:val="00A96FD9"/>
    <w:rPr>
      <w:rFonts w:ascii="宋体" w:hAnsi="Courier New"/>
      <w:kern w:val="2"/>
      <w:sz w:val="21"/>
      <w:szCs w:val="21"/>
    </w:rPr>
  </w:style>
  <w:style w:type="character" w:customStyle="1" w:styleId="Char0">
    <w:name w:val="页眉 Char"/>
    <w:basedOn w:val="a1"/>
    <w:link w:val="a9"/>
    <w:uiPriority w:val="99"/>
    <w:rsid w:val="001D1356"/>
    <w:rPr>
      <w:kern w:val="2"/>
      <w:sz w:val="18"/>
      <w:szCs w:val="18"/>
    </w:rPr>
  </w:style>
  <w:style w:type="character" w:customStyle="1" w:styleId="1Char">
    <w:name w:val="标题 1 Char"/>
    <w:basedOn w:val="a1"/>
    <w:link w:val="1"/>
    <w:rsid w:val="00A7634D"/>
    <w:rPr>
      <w:b/>
      <w:bCs/>
      <w:kern w:val="44"/>
      <w:sz w:val="44"/>
      <w:szCs w:val="44"/>
    </w:rPr>
  </w:style>
  <w:style w:type="character" w:customStyle="1" w:styleId="Char1">
    <w:name w:val="日期 Char"/>
    <w:basedOn w:val="a1"/>
    <w:link w:val="ad"/>
    <w:uiPriority w:val="99"/>
    <w:rsid w:val="00C503D3"/>
    <w:rPr>
      <w:kern w:val="2"/>
      <w:sz w:val="24"/>
    </w:rPr>
  </w:style>
  <w:style w:type="character" w:styleId="af8">
    <w:name w:val="Strong"/>
    <w:basedOn w:val="a1"/>
    <w:uiPriority w:val="22"/>
    <w:qFormat/>
    <w:rsid w:val="00977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9648">
      <w:bodyDiv w:val="1"/>
      <w:marLeft w:val="0"/>
      <w:marRight w:val="0"/>
      <w:marTop w:val="0"/>
      <w:marBottom w:val="0"/>
      <w:divBdr>
        <w:top w:val="none" w:sz="0" w:space="0" w:color="auto"/>
        <w:left w:val="none" w:sz="0" w:space="0" w:color="auto"/>
        <w:bottom w:val="none" w:sz="0" w:space="0" w:color="auto"/>
        <w:right w:val="none" w:sz="0" w:space="0" w:color="auto"/>
      </w:divBdr>
    </w:div>
    <w:div w:id="45183085">
      <w:bodyDiv w:val="1"/>
      <w:marLeft w:val="0"/>
      <w:marRight w:val="0"/>
      <w:marTop w:val="0"/>
      <w:marBottom w:val="0"/>
      <w:divBdr>
        <w:top w:val="none" w:sz="0" w:space="0" w:color="auto"/>
        <w:left w:val="none" w:sz="0" w:space="0" w:color="auto"/>
        <w:bottom w:val="none" w:sz="0" w:space="0" w:color="auto"/>
        <w:right w:val="none" w:sz="0" w:space="0" w:color="auto"/>
      </w:divBdr>
    </w:div>
    <w:div w:id="248806163">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473522549">
      <w:bodyDiv w:val="1"/>
      <w:marLeft w:val="0"/>
      <w:marRight w:val="0"/>
      <w:marTop w:val="0"/>
      <w:marBottom w:val="0"/>
      <w:divBdr>
        <w:top w:val="none" w:sz="0" w:space="0" w:color="auto"/>
        <w:left w:val="none" w:sz="0" w:space="0" w:color="auto"/>
        <w:bottom w:val="none" w:sz="0" w:space="0" w:color="auto"/>
        <w:right w:val="none" w:sz="0" w:space="0" w:color="auto"/>
      </w:divBdr>
    </w:div>
    <w:div w:id="496727229">
      <w:bodyDiv w:val="1"/>
      <w:marLeft w:val="0"/>
      <w:marRight w:val="0"/>
      <w:marTop w:val="0"/>
      <w:marBottom w:val="0"/>
      <w:divBdr>
        <w:top w:val="none" w:sz="0" w:space="0" w:color="auto"/>
        <w:left w:val="none" w:sz="0" w:space="0" w:color="auto"/>
        <w:bottom w:val="none" w:sz="0" w:space="0" w:color="auto"/>
        <w:right w:val="none" w:sz="0" w:space="0" w:color="auto"/>
      </w:divBdr>
    </w:div>
    <w:div w:id="691229210">
      <w:bodyDiv w:val="1"/>
      <w:marLeft w:val="0"/>
      <w:marRight w:val="0"/>
      <w:marTop w:val="0"/>
      <w:marBottom w:val="0"/>
      <w:divBdr>
        <w:top w:val="none" w:sz="0" w:space="0" w:color="auto"/>
        <w:left w:val="none" w:sz="0" w:space="0" w:color="auto"/>
        <w:bottom w:val="none" w:sz="0" w:space="0" w:color="auto"/>
        <w:right w:val="none" w:sz="0" w:space="0" w:color="auto"/>
      </w:divBdr>
    </w:div>
    <w:div w:id="825586713">
      <w:bodyDiv w:val="1"/>
      <w:marLeft w:val="0"/>
      <w:marRight w:val="0"/>
      <w:marTop w:val="0"/>
      <w:marBottom w:val="0"/>
      <w:divBdr>
        <w:top w:val="none" w:sz="0" w:space="0" w:color="auto"/>
        <w:left w:val="none" w:sz="0" w:space="0" w:color="auto"/>
        <w:bottom w:val="none" w:sz="0" w:space="0" w:color="auto"/>
        <w:right w:val="none" w:sz="0" w:space="0" w:color="auto"/>
      </w:divBdr>
    </w:div>
    <w:div w:id="1050878569">
      <w:bodyDiv w:val="1"/>
      <w:marLeft w:val="0"/>
      <w:marRight w:val="0"/>
      <w:marTop w:val="0"/>
      <w:marBottom w:val="0"/>
      <w:divBdr>
        <w:top w:val="none" w:sz="0" w:space="0" w:color="auto"/>
        <w:left w:val="none" w:sz="0" w:space="0" w:color="auto"/>
        <w:bottom w:val="none" w:sz="0" w:space="0" w:color="auto"/>
        <w:right w:val="none" w:sz="0" w:space="0" w:color="auto"/>
      </w:divBdr>
    </w:div>
    <w:div w:id="1164007311">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450933567">
      <w:bodyDiv w:val="1"/>
      <w:marLeft w:val="0"/>
      <w:marRight w:val="0"/>
      <w:marTop w:val="0"/>
      <w:marBottom w:val="0"/>
      <w:divBdr>
        <w:top w:val="none" w:sz="0" w:space="0" w:color="auto"/>
        <w:left w:val="none" w:sz="0" w:space="0" w:color="auto"/>
        <w:bottom w:val="none" w:sz="0" w:space="0" w:color="auto"/>
        <w:right w:val="none" w:sz="0" w:space="0" w:color="auto"/>
      </w:divBdr>
    </w:div>
    <w:div w:id="1512455957">
      <w:bodyDiv w:val="1"/>
      <w:marLeft w:val="0"/>
      <w:marRight w:val="0"/>
      <w:marTop w:val="0"/>
      <w:marBottom w:val="0"/>
      <w:divBdr>
        <w:top w:val="none" w:sz="0" w:space="0" w:color="auto"/>
        <w:left w:val="none" w:sz="0" w:space="0" w:color="auto"/>
        <w:bottom w:val="none" w:sz="0" w:space="0" w:color="auto"/>
        <w:right w:val="none" w:sz="0" w:space="0" w:color="auto"/>
      </w:divBdr>
    </w:div>
    <w:div w:id="1633444076">
      <w:bodyDiv w:val="1"/>
      <w:marLeft w:val="0"/>
      <w:marRight w:val="0"/>
      <w:marTop w:val="0"/>
      <w:marBottom w:val="0"/>
      <w:divBdr>
        <w:top w:val="none" w:sz="0" w:space="0" w:color="auto"/>
        <w:left w:val="none" w:sz="0" w:space="0" w:color="auto"/>
        <w:bottom w:val="none" w:sz="0" w:space="0" w:color="auto"/>
        <w:right w:val="none" w:sz="0" w:space="0" w:color="auto"/>
      </w:divBdr>
      <w:divsChild>
        <w:div w:id="1453405627">
          <w:marLeft w:val="0"/>
          <w:marRight w:val="0"/>
          <w:marTop w:val="0"/>
          <w:marBottom w:val="0"/>
          <w:divBdr>
            <w:top w:val="none" w:sz="0" w:space="0" w:color="auto"/>
            <w:left w:val="none" w:sz="0" w:space="0" w:color="auto"/>
            <w:bottom w:val="none" w:sz="0" w:space="0" w:color="auto"/>
            <w:right w:val="none" w:sz="0" w:space="0" w:color="auto"/>
          </w:divBdr>
        </w:div>
      </w:divsChild>
    </w:div>
    <w:div w:id="1776706476">
      <w:bodyDiv w:val="1"/>
      <w:marLeft w:val="0"/>
      <w:marRight w:val="0"/>
      <w:marTop w:val="0"/>
      <w:marBottom w:val="0"/>
      <w:divBdr>
        <w:top w:val="none" w:sz="0" w:space="0" w:color="auto"/>
        <w:left w:val="none" w:sz="0" w:space="0" w:color="auto"/>
        <w:bottom w:val="none" w:sz="0" w:space="0" w:color="auto"/>
        <w:right w:val="none" w:sz="0" w:space="0" w:color="auto"/>
      </w:divBdr>
    </w:div>
    <w:div w:id="1837266254">
      <w:bodyDiv w:val="1"/>
      <w:marLeft w:val="0"/>
      <w:marRight w:val="0"/>
      <w:marTop w:val="0"/>
      <w:marBottom w:val="0"/>
      <w:divBdr>
        <w:top w:val="none" w:sz="0" w:space="0" w:color="auto"/>
        <w:left w:val="none" w:sz="0" w:space="0" w:color="auto"/>
        <w:bottom w:val="none" w:sz="0" w:space="0" w:color="auto"/>
        <w:right w:val="none" w:sz="0" w:space="0" w:color="auto"/>
      </w:divBdr>
    </w:div>
    <w:div w:id="203641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qdii.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qdii.dot</Template>
  <TotalTime>210</TotalTime>
  <Pages>15</Pages>
  <Words>1284</Words>
  <Characters>7325</Characters>
  <Application>Microsoft Office Word</Application>
  <DocSecurity>0</DocSecurity>
  <Lines>61</Lines>
  <Paragraphs>17</Paragraphs>
  <ScaleCrop>false</ScaleCrop>
  <Company>TRT. Ltd. Co.</Company>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69</cp:revision>
  <cp:lastPrinted>2007-07-19T00:46:00Z</cp:lastPrinted>
  <dcterms:created xsi:type="dcterms:W3CDTF">2014-12-16T02:40:00Z</dcterms:created>
  <dcterms:modified xsi:type="dcterms:W3CDTF">2020-07-17T07:59:00Z</dcterms:modified>
</cp:coreProperties>
</file>