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542546" w:rsidR="00750D48" w:rsidRDefault="00750D48" w:rsidRPr="00264E55">
      <w:pPr>
        <w:spacing w:line="360" w:lineRule="auto"/>
        <w:jc w:val="center"/>
        <w:rPr>
          <w:rFonts w:ascii="宋体" w:hAnsi="宋体"/>
          <w:b/>
          <w:sz w:val="36"/>
          <w:szCs w:val="36"/>
        </w:rPr>
      </w:pPr>
      <w:r w:rsidRPr="00264E55">
        <w:rPr>
          <w:rFonts w:ascii="宋体"/>
          <w:b/>
          <w:sz w:val="36"/>
          <w:szCs w:val="36"/>
        </w:rPr>
        <w:t/>
      </w:r>
      <w:proofErr w:type="spellStart"/>
      <w:proofErr w:type="gramStart"/>
      <w:r w:rsidRPr="00264E55">
        <w:rPr>
          <w:rFonts w:ascii="宋体" w:hAnsi="宋体"/>
          <w:b/>
          <w:sz w:val="36"/>
          <w:szCs w:val="36"/>
        </w:rPr>
        <w:t/>
      </w:r>
      <w:proofErr w:type="spellEnd"/>
      <w:proofErr w:type="gramEnd"/>
      <w:r w:rsidRPr="00264E55">
        <w:rPr>
          <w:rFonts w:ascii="宋体" w:hAnsi="宋体"/>
          <w:b/>
          <w:sz w:val="36"/>
          <w:szCs w:val="36"/>
        </w:rPr>
        <w:t>易方达岁丰添利债券型证券投资基金</w:t>
      </w:r>
    </w:p>
    <w:p w:rsidP="00542546" w:rsidR="00750D48" w:rsidRDefault="00750D48" w:rsidRPr="00264E55">
      <w:pPr>
        <w:spacing w:line="360" w:lineRule="auto"/>
        <w:jc w:val="center"/>
        <w:rPr>
          <w:rFonts w:ascii="宋体" w:hAnsi="宋体"/>
          <w:b/>
          <w:sz w:val="36"/>
          <w:szCs w:val="36"/>
        </w:rPr>
      </w:pPr>
      <w:r w:rsidRPr="00264E55">
        <w:rPr>
          <w:rFonts w:ascii="宋体" w:hAnsi="宋体"/>
          <w:b/>
          <w:sz w:val="36"/>
          <w:szCs w:val="36"/>
        </w:rPr>
        <w:t/>
      </w:r>
      <w:proofErr w:type="spellStart"/>
      <w:r w:rsidRPr="00264E55">
        <w:rPr>
          <w:rFonts w:ascii="宋体" w:hAnsi="宋体"/>
          <w:b/>
          <w:sz w:val="36"/>
          <w:szCs w:val="36"/>
        </w:rPr>
        <w:t/>
      </w:r>
      <w:proofErr w:type="spellEnd"/>
      <w:r w:rsidRPr="00264E55">
        <w:rPr>
          <w:rFonts w:ascii="宋体" w:hAnsi="宋体"/>
          <w:b/>
          <w:sz w:val="36"/>
          <w:szCs w:val="36"/>
        </w:rPr>
        <w:t>2020年第2季度报告</w:t>
      </w:r>
    </w:p>
    <w:p w:rsidP="00542546" w:rsidR="00750D48" w:rsidRDefault="00750D48" w:rsidRPr="00093704">
      <w:pPr>
        <w:spacing w:line="360" w:lineRule="auto"/>
        <w:jc w:val="center"/>
        <w:rPr>
          <w:rFonts w:ascii="宋体" w:hAnsi="宋体"/>
          <w:b/>
          <w:sz w:val="24"/>
          <w:szCs w:val="24"/>
        </w:rPr>
      </w:pPr>
      <w:r w:rsidRPr="00093704">
        <w:rPr>
          <w:rFonts w:ascii="宋体"/>
          <w:b/>
          <w:sz w:val="24"/>
          <w:szCs w:val="24"/>
        </w:rPr>
        <w:t/>
      </w:r>
      <w:proofErr w:type="spellStart"/>
      <w:proofErr w:type="gramStart"/>
      <w:r w:rsidRPr="00093704">
        <w:rPr>
          <w:rFonts w:ascii="宋体" w:hAnsi="宋体"/>
          <w:b/>
          <w:sz w:val="24"/>
          <w:szCs w:val="24"/>
        </w:rPr>
        <w:t/>
      </w:r>
      <w:proofErr w:type="spellEnd"/>
      <w:proofErr w:type="gramEnd"/>
      <w:r w:rsidRPr="00093704">
        <w:rPr>
          <w:rFonts w:ascii="宋体" w:hAnsi="宋体"/>
          <w:b/>
          <w:sz w:val="24"/>
          <w:szCs w:val="24"/>
        </w:rPr>
        <w:t>2020年6月30日</w:t>
      </w: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rPr>
          <w:rFonts w:ascii="宋体"/>
          <w:b/>
          <w:bCs/>
          <w:color w:val="000000"/>
          <w:sz w:val="24"/>
          <w:szCs w:val="24"/>
        </w:rPr>
      </w:pP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基金管理人：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易方达基金管理有限公司</w:t>
      </w: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基金托管人：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中国银行股份有限公司</w:t>
      </w:r>
    </w:p>
    <w:p w:rsidP="00EB572F" w:rsidR="00750D48" w:rsidRDefault="00750D48" w:rsidRPr="00264E55">
      <w:pPr>
        <w:spacing w:line="360" w:lineRule="auto"/>
        <w:ind w:firstLine="2168" w:firstLineChars="900"/>
        <w:rPr>
          <w:rFonts w:ascii="宋体" w:hAnsi="宋体"/>
          <w:b/>
          <w:color w:val="000000"/>
          <w:sz w:val="24"/>
          <w:szCs w:val="24"/>
        </w:rPr>
        <w:sectPr w:rsidR="00750D48" w:rsidRPr="00264E55" w:rsidSect="00304A12">
          <w:headerReference r:id="rId9" w:type="default"/>
          <w:footerReference r:id="rId10" w:type="default"/>
          <w:pgSz w:h="15840" w:w="11926"/>
          <w:pgMar w:bottom="851" w:footer="992" w:gutter="0" w:header="851" w:left="1418" w:right="1418" w:top="1418"/>
          <w:cols w:space="720"/>
          <w:noEndnote/>
        </w:sectPr>
      </w:pPr>
      <w:r w:rsidRPr="00264E55">
        <w:rPr>
          <w:rFonts w:ascii="宋体" w:hAnsi="宋体" w:hint="eastAsia"/>
          <w:b/>
          <w:color w:val="000000"/>
          <w:sz w:val="24"/>
          <w:szCs w:val="24"/>
        </w:rPr>
        <w:t>报告送出日期：</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二〇二〇年七月二十一日</w:t>
      </w:r>
    </w:p>
    <w:p w:rsidP="004D28A3" w:rsidR="00750D48" w:rsidRDefault="00750D48" w:rsidRPr="00264E55">
      <w:pPr>
        <w:pStyle w:val="1"/>
        <w:spacing w:after="312" w:afterLines="100" w:before="312" w:beforeLines="100" w:line="360" w:lineRule="auto"/>
        <w:jc w:val="center"/>
        <w:rPr>
          <w:rFonts w:ascii="宋体"/>
          <w:b w:val="0"/>
          <w:bCs w:val="0"/>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1  </w:t>
      </w:r>
      <w:r w:rsidRPr="00264E55">
        <w:rPr>
          <w:rFonts w:ascii="宋体" w:hAnsi="宋体" w:hint="eastAsia"/>
          <w:color w:val="000000"/>
          <w:kern w:val="0"/>
          <w:sz w:val="24"/>
          <w:szCs w:val="24"/>
        </w:rPr>
        <w:t>重要提示</w:t>
      </w:r>
    </w:p>
    <w:p>
      <w:pPr>
        <w:spacing w:line="360" w:lineRule="auto"/>
        <w:ind w:firstLine="480" w:firstLineChars="200"/>
        <w:rPr>
          <w:color w:val="000000"/>
          <w:sz w:val="24"/>
          <w:szCs w:val="24"/>
        </w:rPr>
      </w:pPr>
      <w:r>
        <w:rPr>
          <w:color w:val="000000"/>
          <w:sz w:val="24"/>
          <w:szCs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szCs w:val="24"/>
        </w:rPr>
      </w:pPr>
      <w:r>
        <w:rPr>
          <w:color w:val="000000"/>
          <w:sz w:val="24"/>
          <w:szCs w:val="24"/>
        </w:rPr>
        <w:t xml:space="preserve">基金托管人中国银行股份有限公司根据本基金合同规定，于2020年7月17日复核了本报告中的财务指标、净值表现和投资组合报告等内容，保证复核内容不存在虚假记载、误导性陈述或者重大遗漏。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szCs w:val="24"/>
        </w:rPr>
      </w:pPr>
      <w:r>
        <w:rPr>
          <w:color w:val="000000"/>
          <w:sz w:val="24"/>
          <w:szCs w:val="24"/>
        </w:rPr>
        <w:t xml:space="preserve">基金管理人承诺以诚实信用、勤勉尽责的原则管理和运用基金资产，但不保证基金一定盈利。 </w:t>
      </w:r>
    </w:p>
    <w:p>
      <w:pPr>
        <w:spacing w:line="360" w:lineRule="auto"/>
        <w:ind w:firstLine="480" w:firstLineChars="200"/>
        <w:rPr>
          <w:color w:val="000000"/>
          <w:sz w:val="24"/>
          <w:szCs w:val="24"/>
        </w:rPr>
      </w:pPr>
      <w:r>
        <w:rPr>
          <w:color w:val="000000"/>
          <w:sz w:val="24"/>
          <w:szCs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szCs w:val="24"/>
        </w:rPr>
      </w:pPr>
      <w:r>
        <w:rPr>
          <w:color w:val="000000"/>
          <w:sz w:val="24"/>
          <w:szCs w:val="24"/>
        </w:rPr>
        <w:t>本报告中财务资料未经审计。</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proofErr w:type="gramStart"/>
      <w:r w:rsidRPr="006C56AA">
        <w:rPr>
          <w:color w:val="000000"/>
          <w:sz w:val="24"/>
          <w:szCs w:val="24"/>
        </w:rPr>
        <w:t/>
      </w:r>
      <w:proofErr w:type="spellEnd"/>
      <w:proofErr w:type="gramEnd"/>
      <w:r w:rsidRPr="006C56AA">
        <w:rPr>
          <w:color w:val="000000"/>
          <w:sz w:val="24"/>
          <w:szCs w:val="24"/>
        </w:rPr>
        <w:t>本报告期自2020年4月1日起至6月30日止。</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2  </w:t>
      </w:r>
      <w:r w:rsidRPr="00264E55">
        <w:rPr>
          <w:rFonts w:ascii="宋体"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750D48" w:rsidRPr="00264E55" w:rsidTr="00500A03">
        <w:tc>
          <w:tcPr>
            <w:tcW w:type="dxa" w:w="2835"/>
          </w:tcPr>
          <w:p w:rsidP="007B5AFB" w:rsidR="00750D48" w:rsidRDefault="00750D48" w:rsidRPr="00232B03">
            <w:pPr>
              <w:adjustRightInd w:val="0"/>
              <w:spacing w:before="29" w:line="360" w:lineRule="auto"/>
              <w:ind w:left="17"/>
              <w:jc w:val="left"/>
              <w:rPr>
                <w:kern w:val="0"/>
                <w:sz w:val="24"/>
                <w:szCs w:val="24"/>
              </w:rPr>
            </w:pPr>
            <w:r w:rsidRPr="00232B03">
              <w:rPr>
                <w:kern w:val="0"/>
                <w:sz w:val="24"/>
                <w:szCs w:val="24"/>
              </w:rPr>
              <w:t>基金简称</w:t>
            </w:r>
          </w:p>
        </w:tc>
        <w:tc>
          <w:tcPr>
            <w:tcW w:type="dxa" w:w="5479"/>
            <w:gridSpan w:val="2"/>
          </w:tcPr>
          <w:p w:rsidP="007B5AFB"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易方达岁丰添利债券（LOF）</w:t>
            </w:r>
          </w:p>
        </w:tc>
      </w:tr>
      <w:tr w:rsidR="00815999" w:rsidRPr="00264E55" w:rsidTr="003328D9">
        <w:tc>
          <w:tcPr>
            <w:tcW w:type="dxa" w:w="2835"/>
            <w:vAlign w:val="center"/>
          </w:tcPr>
          <w:p w:rsidP="00815999" w:rsidR="00815999" w:rsidRDefault="00815999" w:rsidRPr="00232B03">
            <w:pPr>
              <w:adjustRightInd w:val="0"/>
              <w:spacing w:before="29" w:line="360" w:lineRule="auto"/>
              <w:ind w:left="17"/>
              <w:jc w:val="left"/>
              <w:rPr>
                <w:kern w:val="0"/>
                <w:sz w:val="24"/>
                <w:szCs w:val="24"/>
              </w:rPr>
            </w:pPr>
            <w:r w:rsidRPr="00232B03">
              <w:rPr>
                <w:kern w:val="0"/>
                <w:sz w:val="24"/>
                <w:szCs w:val="24"/>
              </w:rPr>
              <w:t>场内简称</w:t>
            </w:r>
          </w:p>
        </w:tc>
        <w:tc>
          <w:tcPr>
            <w:tcW w:type="dxa" w:w="5479"/>
            <w:gridSpan w:val="2"/>
            <w:vAlign w:val="center"/>
          </w:tcPr>
          <w:p w:rsidP="00815999" w:rsidR="00815999" w:rsidRDefault="00815999" w:rsidRPr="00232B03">
            <w:pPr>
              <w:adjustRightInd w:val="0"/>
              <w:spacing w:before="29" w:line="360" w:lineRule="auto"/>
              <w:ind w:left="17"/>
              <w:jc w:val="left"/>
              <w:rPr>
                <w:kern w:val="0"/>
                <w:sz w:val="24"/>
                <w:szCs w:val="24"/>
              </w:rPr>
            </w:pPr>
            <w:r w:rsidRPr="00232B03">
              <w:rPr>
                <w:kern w:val="0"/>
                <w:sz w:val="24"/>
                <w:szCs w:val="24"/>
              </w:rPr>
              <w:t/>
            </w:r>
            <w:proofErr w:type="spellStart"/>
            <w:r w:rsidRPr="00232B03">
              <w:rPr>
                <w:kern w:val="0"/>
                <w:sz w:val="24"/>
                <w:szCs w:val="24"/>
              </w:rPr>
              <w:t/>
            </w:r>
            <w:proofErr w:type="spellEnd"/>
            <w:r w:rsidRPr="00232B03">
              <w:rPr>
                <w:kern w:val="0"/>
                <w:sz w:val="24"/>
                <w:szCs w:val="24"/>
              </w:rPr>
              <w:t/>
            </w:r>
            <w:proofErr w:type="spellStart"/>
            <w:r w:rsidRPr="00232B03">
              <w:rPr>
                <w:kern w:val="0"/>
                <w:sz w:val="24"/>
                <w:szCs w:val="24"/>
              </w:rPr>
              <w:t/>
            </w:r>
            <w:proofErr w:type="spellEnd"/>
            <w:r w:rsidRPr="00232B03">
              <w:rPr>
                <w:kern w:val="0"/>
                <w:sz w:val="24"/>
                <w:szCs w:val="24"/>
              </w:rPr>
              <w:t>易基岁丰</w:t>
            </w:r>
          </w:p>
        </w:tc>
      </w:tr>
      <w:tr w:rsidR="00750D48" w:rsidRPr="00264E55" w:rsidTr="00D94B8D">
        <w:tc>
          <w:tcPr>
            <w:tcW w:type="dxa" w:w="2835"/>
          </w:tcPr>
          <w:p w:rsidR="00750D48" w:rsidRDefault="00750D48" w:rsidRPr="00232B03">
            <w:pPr>
              <w:adjustRightInd w:val="0"/>
              <w:spacing w:before="29" w:line="360" w:lineRule="auto"/>
              <w:ind w:left="17"/>
              <w:jc w:val="left"/>
              <w:rPr>
                <w:kern w:val="0"/>
                <w:sz w:val="24"/>
                <w:szCs w:val="24"/>
              </w:rPr>
            </w:pPr>
            <w:r w:rsidRPr="00232B03">
              <w:rPr>
                <w:kern w:val="0"/>
                <w:sz w:val="24"/>
                <w:szCs w:val="24"/>
              </w:rPr>
              <w:t>基金主代码</w:t>
            </w:r>
          </w:p>
        </w:tc>
        <w:tc>
          <w:tcPr>
            <w:tcW w:type="dxa" w:w="5479"/>
            <w:gridSpan w:val="2"/>
          </w:tcPr>
          <w:p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161115</w:t>
            </w:r>
          </w:p>
        </w:tc>
      </w:tr>
      <w:tr w:rsidR="00750D48" w:rsidRPr="00264E55" w:rsidTr="00D94B8D">
        <w:tc>
          <w:tcPr>
            <w:tcW w:type="dxa" w:w="2835"/>
          </w:tcPr>
          <w:p w:rsidP="00895A8A" w:rsidR="00750D48" w:rsidRDefault="00750D48" w:rsidRPr="00232B03">
            <w:pPr>
              <w:adjustRightInd w:val="0"/>
              <w:spacing w:before="29" w:line="360" w:lineRule="auto"/>
              <w:ind w:left="17"/>
              <w:jc w:val="left"/>
              <w:rPr>
                <w:kern w:val="0"/>
                <w:sz w:val="24"/>
                <w:szCs w:val="24"/>
              </w:rPr>
            </w:pPr>
            <w:r w:rsidRPr="00232B03">
              <w:rPr>
                <w:kern w:val="0"/>
                <w:sz w:val="24"/>
                <w:szCs w:val="24"/>
              </w:rPr>
              <w:t>交易代码</w:t>
            </w:r>
          </w:p>
        </w:tc>
        <w:tc>
          <w:tcPr>
            <w:tcW w:type="dxa" w:w="5479"/>
            <w:gridSpan w:val="2"/>
          </w:tcPr>
          <w:p w:rsidP="00895A8A" w:rsidR="00750D48" w:rsidRDefault="00750D48" w:rsidRPr="00232B03">
            <w:pPr>
              <w:adjustRightInd w:val="0"/>
              <w:spacing w:before="29" w:line="360" w:lineRule="auto"/>
              <w:ind w:left="17"/>
              <w:jc w:val="left"/>
              <w:rPr>
                <w:color w:val="000000"/>
                <w:kern w:val="0"/>
                <w:sz w:val="24"/>
                <w:szCs w:val="24"/>
              </w:rPr>
            </w:pPr>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161115</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基金运作方式</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契约型，本基金合同生效后三年内（含三年）封闭运作，在深圳证券交易所上市交易。封闭期结束后，本基金转为上市开放式基金（LOF）。</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基金合同生效日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2010年11月9日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报告期末基金份额总额</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72,260,323.25</w:t>
            </w:r>
            <w:r w:rsidRPr="00232B03">
              <w:rPr>
                <w:color w:val="000000"/>
                <w:kern w:val="0"/>
                <w:sz w:val="24"/>
                <w:szCs w:val="24"/>
              </w:rPr>
              <w:t>份</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投资目标</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本基金通过主要投资债券品种，力争为基金持有人提供持续稳定的高于业绩比较基准的收益，实现基金资产的长期增值。</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投资策略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xml:space="preserve">本基金基于对以下因素的判断，进行基金资产在非信用类固定收益品种（国债、央行票据等）、信用类固定收益品种（含可转换债券）、新股（含增发）申购之间的配置：1）基于对利率走势、利率期限结构等因素的分析，预测固定收益品种的投资收益和风险；2）基于对宏观经济、行业前景以及公司财务进行严谨的分析，考察其对固定收益市场信用利差的影响；3）基于可转换债券发行公司的基本面，债券利率水平、票息率及派息频率、信用风险等固定收益因素，以及期权定价模型，对可转换债券进行定价分析并制定相关投资策略；4）基于对新股（含增发股）发行频率、中签率、上市后的平均涨幅等的分析，预测新股（含增发股）申购的收益率以及风险。 </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业绩比较基准</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三年期银行定期存款收益率+1.2%</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风险收益特征</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本基金为债券型基金，理论上其长期平均风险和预期收益率低于混合型基金、股票型基金，高于货币市场基金。</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基金管理人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易方达基金管理有限公司</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基金托管人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中国银行股份有限公司</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3  </w:t>
      </w:r>
      <w:r w:rsidRPr="00264E55">
        <w:rPr>
          <w:rFonts w:ascii="宋体" w:hAnsi="宋体" w:hint="eastAsia"/>
          <w:color w:val="000000"/>
          <w:kern w:val="0"/>
          <w:sz w:val="24"/>
          <w:szCs w:val="24"/>
        </w:rPr>
        <w:t>主要财务指标和基金净值表现</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3.1 </w:t>
      </w:r>
      <w:r w:rsidRPr="00264E55">
        <w:rPr>
          <w:rFonts w:ascii="宋体" w:hAnsi="宋体" w:hint="eastAsia"/>
          <w:b/>
          <w:bCs/>
          <w:color w:val="000000"/>
          <w:kern w:val="0"/>
          <w:sz w:val="24"/>
          <w:szCs w:val="24"/>
        </w:rPr>
        <w:t>主要财务指标</w:t>
      </w:r>
    </w:p>
    <w:p w:rsidP="00392044" w:rsidR="00392044" w:rsidRDefault="00392044"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392044" w:rsidRPr="006506EF" w:rsidTr="00C3442A">
        <w:tc>
          <w:tcPr>
            <w:tcW w:type="dxa" w:w="3402"/>
            <w:vAlign w:val="center"/>
          </w:tcPr>
          <w:p w:rsidP="00C3442A" w:rsidR="00392044" w:rsidRDefault="00392044"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roofErr w:type="spellStart"/>
            <w:r w:rsidRPr="006506EF">
              <w:rPr>
                <w:kern w:val="0"/>
                <w:sz w:val="24"/>
              </w:rPr>
              <w:t/>
            </w:r>
            <w:proofErr w:type="spellEnd"/>
            <w:r w:rsidRPr="006506EF">
              <w:rPr>
                <w:kern w:val="0"/>
                <w:sz w:val="24"/>
              </w:rPr>
              <w:t/>
            </w:r>
          </w:p>
        </w:tc>
        <w:tc>
          <w:tcPr>
            <w:tcW w:type="dxa" w:w="4962"/>
            <w:hMerge w:val="restart"/>
            <w:vAlign w:val="center"/>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报告期</w:t>
            </w:r>
          </w:p>
          <w:p w:rsidP="00C3442A" w:rsidR="00392044" w:rsidRDefault="00392044" w:rsidRPr="006506EF">
            <w:pPr>
              <w:adjustRightInd w:val="0"/>
              <w:spacing w:before="29" w:line="360" w:lineRule="auto"/>
              <w:ind w:left="17"/>
              <w:jc w:val="center"/>
              <w:rPr>
                <w:color w:val="000000"/>
                <w:sz w:val="24"/>
              </w:rPr>
            </w:pPr>
            <w:r w:rsidRPr="006506EF">
              <w:rPr>
                <w:color w:val="000000"/>
                <w:sz w:val="24"/>
              </w:rPr>
              <w:t>(</w:t>
            </w:r>
            <w:proofErr w:type="spellStart"/>
            <w:r w:rsidRPr="006506EF">
              <w:rPr>
                <w:color w:val="000000"/>
                <w:sz w:val="24"/>
              </w:rPr>
              <w:t/>
            </w:r>
            <w:proofErr w:type="spellEnd"/>
            <w:r w:rsidRPr="006506EF">
              <w:rPr>
                <w:color w:val="000000"/>
                <w:sz w:val="24"/>
              </w:rPr>
              <w:t>2020年4月1日-</w:t>
            </w:r>
            <w:proofErr w:type="spellStart"/>
            <w:r w:rsidRPr="006506EF">
              <w:rPr>
                <w:color w:val="000000"/>
                <w:sz w:val="24"/>
              </w:rPr>
              <w:t/>
            </w:r>
            <w:proofErr w:type="spellEnd"/>
            <w:r w:rsidRPr="006506EF">
              <w:rPr>
                <w:color w:val="000000"/>
                <w:sz w:val="24"/>
              </w:rPr>
              <w:t>2020年6月30日)</w:t>
            </w:r>
          </w:p>
        </w:tc>
        <w:tc>
          <w:tcPr>
            <w:tcW w:type="dxa" w:w="2410"/>
            <w:hMerge/>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roofErr w:type="spellStart"/>
            <w:r w:rsidRPr="006506EF">
              <w:rPr>
                <w:color w:val="000000"/>
                <w:sz w:val="24"/>
              </w:rPr>
              <w:t/>
            </w:r>
            <w:proofErr w:type="spellEnd"/>
            <w:r w:rsidRPr="006506EF">
              <w:rPr>
                <w:color w:val="000000"/>
                <w:sz w:val="24"/>
              </w:rPr>
              <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1,459,406.07</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3,616,860.83</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0.0480</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114,974,344.47</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rPr>
          <w:trHeight w:val="158"/>
        </w:trPr>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1.591</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bl>
    <w:p>
      <w:pPr>
        <w:spacing w:line="360" w:lineRule="auto"/>
        <w:ind w:firstLine="480" w:firstLineChars="200"/>
        <w:rPr>
          <w:color w:val="000000"/>
          <w:sz w:val="24"/>
          <w:szCs w:val="24"/>
        </w:rPr>
      </w:pPr>
      <w:r>
        <w:rPr>
          <w:color w:val="000000"/>
          <w:sz w:val="24"/>
        </w:rPr>
        <w:t>注：1.所述基金业绩指标不包括持有人认购或交易基金的各项费用，计入费用后实际收益水平要低于所列数字。</w:t>
      </w:r>
    </w:p>
    <w:p w:rsidP="00232B03" w:rsidR="00750D48" w:rsidRDefault="00392044" w:rsidRPr="00232B03">
      <w:pPr>
        <w:spacing w:line="360" w:lineRule="auto"/>
        <w:ind w:firstLine="480" w:firstLineChars="200"/>
        <w:rPr>
          <w:color w:val="000000"/>
          <w:sz w:val="24"/>
          <w:szCs w:val="24"/>
        </w:rPr>
      </w:pPr>
      <w:r w:rsidRPr="006506EF">
        <w:rPr>
          <w:color w:val="000000"/>
          <w:sz w:val="24"/>
        </w:rPr>
        <w:t/>
      </w:r>
      <w:proofErr w:type="spellStart"/>
      <w:r w:rsidRPr="006506EF">
        <w:rPr>
          <w:color w:val="000000"/>
          <w:sz w:val="24"/>
        </w:rPr>
        <w:t/>
      </w:r>
      <w:proofErr w:type="spellEnd"/>
      <w:r w:rsidRPr="006506EF">
        <w:rPr>
          <w:color w:val="000000"/>
          <w:sz w:val="24"/>
        </w:rPr>
        <w:t/>
      </w:r>
      <w:proofErr w:type="spellStart"/>
      <w:proofErr w:type="gramStart"/>
      <w:r w:rsidRPr="006506EF">
        <w:rPr>
          <w:color w:val="000000"/>
          <w:sz w:val="24"/>
        </w:rPr>
        <w:t/>
      </w:r>
      <w:proofErr w:type="spellEnd"/>
      <w:proofErr w:type="gramEnd"/>
      <w:r w:rsidRPr="006506EF">
        <w:rPr>
          <w:color w:val="000000"/>
          <w:sz w:val="24"/>
        </w:rPr>
        <w:t>2.本期已实现收益指基金本期利息收入、投资收益、其他收入（不含公允价值变动收益）扣除相关费用后的余额，本期利润为本期已实现收益加上本期公允价值变动收益。</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3.2 </w:t>
      </w:r>
      <w:r w:rsidRPr="00264E55">
        <w:rPr>
          <w:rFonts w:ascii="宋体" w:hAnsi="宋体" w:hint="eastAsia"/>
          <w:b/>
          <w:bCs/>
          <w:color w:val="000000"/>
          <w:kern w:val="0"/>
          <w:sz w:val="24"/>
          <w:szCs w:val="24"/>
        </w:rPr>
        <w:t>基金净值表现</w:t>
      </w:r>
    </w:p>
    <w:p w:rsidP="009E7C6A" w:rsidR="00750D48" w:rsidRDefault="00750D48" w:rsidRPr="00264E55">
      <w:pPr>
        <w:autoSpaceDE w:val="0"/>
        <w:autoSpaceDN w:val="0"/>
        <w:adjustRightInd w:val="0"/>
        <w:spacing w:line="360" w:lineRule="auto"/>
        <w:jc w:val="left"/>
        <w:rPr>
          <w:rFonts w:ascii="宋体" w:cs="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3.2.1</w:t>
        </w:r>
      </w:smartTag>
      <w:r w:rsidRPr="00264E55">
        <w:rPr>
          <w:rFonts w:ascii="宋体" w:cs="宋体" w:hAnsi="宋体" w:hint="eastAsia"/>
          <w:b/>
          <w:bCs/>
          <w:color w:val="000000"/>
          <w:kern w:val="0"/>
          <w:sz w:val="24"/>
          <w:szCs w:val="24"/>
        </w:rPr>
        <w:t>本报告</w:t>
      </w:r>
      <w:proofErr w:type="gramStart"/>
      <w:r w:rsidRPr="00264E55">
        <w:rPr>
          <w:rFonts w:ascii="宋体" w:cs="宋体" w:hAnsi="宋体" w:hint="eastAsia"/>
          <w:b/>
          <w:bCs/>
          <w:color w:val="000000"/>
          <w:kern w:val="0"/>
          <w:sz w:val="24"/>
          <w:szCs w:val="24"/>
        </w:rPr>
        <w:t>期基金</w:t>
      </w:r>
      <w:proofErr w:type="gramEnd"/>
      <w:r w:rsidRPr="00264E55">
        <w:rPr>
          <w:rFonts w:ascii="宋体" w:cs="宋体" w:hAnsi="宋体" w:hint="eastAsia"/>
          <w:b/>
          <w:bCs/>
          <w:color w:val="000000"/>
          <w:kern w:val="0"/>
          <w:sz w:val="24"/>
          <w:szCs w:val="24"/>
        </w:rPr>
        <w:t>份额净值增长率及其与同期业绩比较基准收益率的比较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395"/>
        <w:gridCol w:w="1092"/>
        <w:gridCol w:w="1161"/>
        <w:gridCol w:w="1181"/>
        <w:gridCol w:w="1188"/>
        <w:gridCol w:w="1199"/>
        <w:gridCol w:w="1204"/>
      </w:tblGrid>
      <w:tr w:rsidR="00750D48" w:rsidRPr="00264E55" w:rsidTr="00B05049">
        <w:tc>
          <w:tcPr>
            <w:tcW w:type="dxa" w:w="1395"/>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阶段</w:t>
            </w: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w:r>
          </w:p>
        </w:tc>
        <w:tc>
          <w:tcPr>
            <w:tcW w:type="dxa" w:w="1092"/>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w:t>
            </w:r>
            <w:r w:rsidRPr="00232B03">
              <w:rPr>
                <w:rFonts w:ascii="宋体" w:cs="宋体" w:hAnsi="宋体" w:hint="eastAsia"/>
                <w:color w:val="000000"/>
                <w:kern w:val="0"/>
                <w:sz w:val="24"/>
                <w:szCs w:val="24"/>
              </w:rPr>
              <w:t>①</w:t>
            </w:r>
          </w:p>
        </w:tc>
        <w:tc>
          <w:tcPr>
            <w:tcW w:type="dxa" w:w="116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净值增长率标准差</w:t>
            </w:r>
            <w:r w:rsidRPr="00232B03">
              <w:rPr>
                <w:rFonts w:ascii="宋体" w:cs="宋体" w:hAnsi="宋体" w:hint="eastAsia"/>
                <w:color w:val="000000"/>
                <w:kern w:val="0"/>
                <w:sz w:val="24"/>
                <w:szCs w:val="24"/>
              </w:rPr>
              <w:t>②</w:t>
            </w:r>
          </w:p>
        </w:tc>
        <w:tc>
          <w:tcPr>
            <w:tcW w:type="dxa" w:w="118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w:t>
            </w:r>
            <w:r w:rsidRPr="00232B03">
              <w:rPr>
                <w:rFonts w:ascii="宋体" w:cs="宋体" w:hAnsi="宋体" w:hint="eastAsia"/>
                <w:color w:val="000000"/>
                <w:kern w:val="0"/>
                <w:sz w:val="24"/>
                <w:szCs w:val="24"/>
              </w:rPr>
              <w:lastRenderedPageBreak/>
              <w:t>③</w:t>
            </w:r>
          </w:p>
        </w:tc>
        <w:tc>
          <w:tcPr>
            <w:tcW w:type="dxa" w:w="1188"/>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lastRenderedPageBreak/>
              <w:t>业绩比较基准收益率</w:t>
            </w:r>
            <w:r w:rsidRPr="00232B03">
              <w:rPr>
                <w:color w:val="000000"/>
                <w:kern w:val="0"/>
                <w:sz w:val="24"/>
                <w:szCs w:val="24"/>
              </w:rPr>
              <w:lastRenderedPageBreak/>
              <w:t>标准差</w:t>
            </w:r>
            <w:r w:rsidRPr="00232B03">
              <w:rPr>
                <w:rFonts w:ascii="宋体" w:cs="宋体" w:hAnsi="宋体" w:hint="eastAsia"/>
                <w:color w:val="000000"/>
                <w:kern w:val="0"/>
                <w:sz w:val="24"/>
                <w:szCs w:val="24"/>
              </w:rPr>
              <w:t>④</w:t>
            </w:r>
          </w:p>
        </w:tc>
        <w:tc>
          <w:tcPr>
            <w:tcW w:type="dxa" w:w="1199"/>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lastRenderedPageBreak/>
              <w:t>①</w:t>
            </w:r>
            <w:r w:rsidRPr="00232B03">
              <w:rPr>
                <w:color w:val="000000"/>
                <w:kern w:val="0"/>
                <w:sz w:val="24"/>
                <w:szCs w:val="24"/>
              </w:rPr>
              <w:t>-</w:t>
            </w:r>
            <w:r w:rsidRPr="00232B03">
              <w:rPr>
                <w:rFonts w:ascii="宋体" w:cs="宋体" w:hAnsi="宋体" w:hint="eastAsia"/>
                <w:color w:val="000000"/>
                <w:kern w:val="0"/>
                <w:sz w:val="24"/>
                <w:szCs w:val="24"/>
              </w:rPr>
              <w:t>③</w:t>
            </w:r>
          </w:p>
        </w:tc>
        <w:tc>
          <w:tcPr>
            <w:tcW w:type="dxa" w:w="1204"/>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t>②</w:t>
            </w:r>
            <w:r w:rsidRPr="00232B03">
              <w:rPr>
                <w:color w:val="000000"/>
                <w:kern w:val="0"/>
                <w:sz w:val="24"/>
                <w:szCs w:val="24"/>
              </w:rPr>
              <w:t>-</w:t>
            </w:r>
            <w:r w:rsidRPr="00232B03">
              <w:rPr>
                <w:rFonts w:ascii="宋体" w:cs="宋体" w:hAnsi="宋体" w:hint="eastAsia"/>
                <w:color w:val="000000"/>
                <w:kern w:val="0"/>
                <w:sz w:val="24"/>
                <w:szCs w:val="24"/>
              </w:rPr>
              <w:t>④</w:t>
            </w:r>
          </w:p>
        </w:tc>
      </w:tr>
      <w:tr>
        <w:tc>
          <w:tcPr>
            <w:vAlign w:val="center"/>
          </w:tcPr>
          <w:p>
            <w:pPr>
              <w:jc w:val="left"/>
            </w:pPr>
            <w:r>
              <w:rPr>
                <w:color w:val="000000"/>
                <w:kern w:val="0"/>
                <w:sz w:val="24"/>
                <w:szCs w:val="24"/>
              </w:rPr>
              <w:t>过去三个月</w:t>
            </w:r>
          </w:p>
        </w:tc>
        <w:tc>
          <w:tcPr>
            <w:vAlign w:val="center"/>
          </w:tcPr>
          <w:p>
            <w:pPr>
              <w:jc w:val="center"/>
            </w:pPr>
            <w:r>
              <w:rPr>
                <w:color w:val="000000"/>
                <w:kern w:val="0"/>
                <w:sz w:val="24"/>
                <w:szCs w:val="24"/>
              </w:rPr>
              <w:t>3.18%</w:t>
            </w:r>
          </w:p>
        </w:tc>
        <w:tc>
          <w:tcPr>
            <w:vAlign w:val="center"/>
          </w:tcPr>
          <w:p>
            <w:pPr>
              <w:jc w:val="center"/>
            </w:pPr>
            <w:r>
              <w:rPr>
                <w:color w:val="000000"/>
                <w:kern w:val="0"/>
                <w:sz w:val="24"/>
                <w:szCs w:val="24"/>
              </w:rPr>
              <w:t>0.22%</w:t>
            </w:r>
          </w:p>
        </w:tc>
        <w:tc>
          <w:tcPr>
            <w:vAlign w:val="center"/>
          </w:tcPr>
          <w:p>
            <w:pPr>
              <w:jc w:val="center"/>
            </w:pPr>
            <w:r>
              <w:rPr>
                <w:color w:val="000000"/>
                <w:kern w:val="0"/>
                <w:sz w:val="24"/>
                <w:szCs w:val="24"/>
              </w:rPr>
              <w:t>0.98%</w:t>
            </w:r>
          </w:p>
        </w:tc>
        <w:tc>
          <w:tcPr>
            <w:vAlign w:val="center"/>
          </w:tcPr>
          <w:p>
            <w:pPr>
              <w:jc w:val="center"/>
            </w:pPr>
            <w:r>
              <w:rPr>
                <w:color w:val="000000"/>
                <w:kern w:val="0"/>
                <w:sz w:val="24"/>
                <w:szCs w:val="24"/>
              </w:rPr>
              <w:t>0.01%</w:t>
            </w:r>
          </w:p>
        </w:tc>
        <w:tc>
          <w:tcPr>
            <w:vAlign w:val="center"/>
          </w:tcPr>
          <w:p>
            <w:pPr>
              <w:jc w:val="center"/>
            </w:pPr>
            <w:r>
              <w:rPr>
                <w:color w:val="000000"/>
                <w:kern w:val="0"/>
                <w:sz w:val="24"/>
                <w:szCs w:val="24"/>
              </w:rPr>
              <w:t>2.20%</w:t>
            </w:r>
          </w:p>
        </w:tc>
        <w:tc>
          <w:tcPr>
            <w:vAlign w:val="center"/>
          </w:tcPr>
          <w:p>
            <w:pPr>
              <w:jc w:val="center"/>
            </w:pPr>
            <w:r>
              <w:rPr>
                <w:color w:val="000000"/>
                <w:kern w:val="0"/>
                <w:sz w:val="24"/>
                <w:szCs w:val="24"/>
              </w:rPr>
              <w:t>0.21%</w:t>
            </w:r>
          </w:p>
        </w:tc>
      </w:tr>
      <w:tr>
        <w:tc>
          <w:tcPr>
            <w:vAlign w:val="center"/>
          </w:tcPr>
          <w:p>
            <w:pPr>
              <w:jc w:val="left"/>
            </w:pPr>
            <w:r>
              <w:rPr>
                <w:color w:val="000000"/>
                <w:kern w:val="0"/>
                <w:sz w:val="24"/>
                <w:szCs w:val="24"/>
              </w:rPr>
              <w:t>过去六个月</w:t>
            </w:r>
          </w:p>
        </w:tc>
        <w:tc>
          <w:tcPr>
            <w:vAlign w:val="center"/>
          </w:tcPr>
          <w:p>
            <w:pPr>
              <w:jc w:val="center"/>
            </w:pPr>
            <w:r>
              <w:rPr>
                <w:color w:val="000000"/>
                <w:kern w:val="0"/>
                <w:sz w:val="24"/>
                <w:szCs w:val="24"/>
              </w:rPr>
              <w:t>2.84%</w:t>
            </w:r>
          </w:p>
        </w:tc>
        <w:tc>
          <w:tcPr>
            <w:vAlign w:val="center"/>
          </w:tcPr>
          <w:p>
            <w:pPr>
              <w:jc w:val="center"/>
            </w:pPr>
            <w:r>
              <w:rPr>
                <w:color w:val="000000"/>
                <w:kern w:val="0"/>
                <w:sz w:val="24"/>
                <w:szCs w:val="24"/>
              </w:rPr>
              <w:t>0.37%</w:t>
            </w:r>
          </w:p>
        </w:tc>
        <w:tc>
          <w:tcPr>
            <w:vAlign w:val="center"/>
          </w:tcPr>
          <w:p>
            <w:pPr>
              <w:jc w:val="center"/>
            </w:pPr>
            <w:r>
              <w:rPr>
                <w:color w:val="000000"/>
                <w:kern w:val="0"/>
                <w:sz w:val="24"/>
                <w:szCs w:val="24"/>
              </w:rPr>
              <w:t>1.96%</w:t>
            </w:r>
          </w:p>
        </w:tc>
        <w:tc>
          <w:tcPr>
            <w:vAlign w:val="center"/>
          </w:tcPr>
          <w:p>
            <w:pPr>
              <w:jc w:val="center"/>
            </w:pPr>
            <w:r>
              <w:rPr>
                <w:color w:val="000000"/>
                <w:kern w:val="0"/>
                <w:sz w:val="24"/>
                <w:szCs w:val="24"/>
              </w:rPr>
              <w:t>0.01%</w:t>
            </w:r>
          </w:p>
        </w:tc>
        <w:tc>
          <w:tcPr>
            <w:vAlign w:val="center"/>
          </w:tcPr>
          <w:p>
            <w:pPr>
              <w:jc w:val="center"/>
            </w:pPr>
            <w:r>
              <w:rPr>
                <w:color w:val="000000"/>
                <w:kern w:val="0"/>
                <w:sz w:val="24"/>
                <w:szCs w:val="24"/>
              </w:rPr>
              <w:t>0.88%</w:t>
            </w:r>
          </w:p>
        </w:tc>
        <w:tc>
          <w:tcPr>
            <w:vAlign w:val="center"/>
          </w:tcPr>
          <w:p>
            <w:pPr>
              <w:jc w:val="center"/>
            </w:pPr>
            <w:r>
              <w:rPr>
                <w:color w:val="000000"/>
                <w:kern w:val="0"/>
                <w:sz w:val="24"/>
                <w:szCs w:val="24"/>
              </w:rPr>
              <w:t>0.36%</w:t>
            </w:r>
          </w:p>
        </w:tc>
      </w:tr>
      <w:tr>
        <w:tc>
          <w:tcPr>
            <w:vAlign w:val="center"/>
          </w:tcPr>
          <w:p>
            <w:pPr>
              <w:jc w:val="left"/>
            </w:pPr>
            <w:r>
              <w:rPr>
                <w:color w:val="000000"/>
                <w:kern w:val="0"/>
                <w:sz w:val="24"/>
                <w:szCs w:val="24"/>
              </w:rPr>
              <w:t>过去一年</w:t>
            </w:r>
          </w:p>
        </w:tc>
        <w:tc>
          <w:tcPr>
            <w:vAlign w:val="center"/>
          </w:tcPr>
          <w:p>
            <w:pPr>
              <w:jc w:val="center"/>
            </w:pPr>
            <w:r>
              <w:rPr>
                <w:color w:val="000000"/>
                <w:kern w:val="0"/>
                <w:sz w:val="24"/>
                <w:szCs w:val="24"/>
              </w:rPr>
              <w:t>9.27%</w:t>
            </w:r>
          </w:p>
        </w:tc>
        <w:tc>
          <w:tcPr>
            <w:vAlign w:val="center"/>
          </w:tcPr>
          <w:p>
            <w:pPr>
              <w:jc w:val="center"/>
            </w:pPr>
            <w:r>
              <w:rPr>
                <w:color w:val="000000"/>
                <w:kern w:val="0"/>
                <w:sz w:val="24"/>
                <w:szCs w:val="24"/>
              </w:rPr>
              <w:t>0.29%</w:t>
            </w:r>
          </w:p>
        </w:tc>
        <w:tc>
          <w:tcPr>
            <w:vAlign w:val="center"/>
          </w:tcPr>
          <w:p>
            <w:pPr>
              <w:jc w:val="center"/>
            </w:pPr>
            <w:r>
              <w:rPr>
                <w:color w:val="000000"/>
                <w:kern w:val="0"/>
                <w:sz w:val="24"/>
                <w:szCs w:val="24"/>
              </w:rPr>
              <w:t>3.96%</w:t>
            </w:r>
          </w:p>
        </w:tc>
        <w:tc>
          <w:tcPr>
            <w:vAlign w:val="center"/>
          </w:tcPr>
          <w:p>
            <w:pPr>
              <w:jc w:val="center"/>
            </w:pPr>
            <w:r>
              <w:rPr>
                <w:color w:val="000000"/>
                <w:kern w:val="0"/>
                <w:sz w:val="24"/>
                <w:szCs w:val="24"/>
              </w:rPr>
              <w:t>0.01%</w:t>
            </w:r>
          </w:p>
        </w:tc>
        <w:tc>
          <w:tcPr>
            <w:vAlign w:val="center"/>
          </w:tcPr>
          <w:p>
            <w:pPr>
              <w:jc w:val="center"/>
            </w:pPr>
            <w:r>
              <w:rPr>
                <w:color w:val="000000"/>
                <w:kern w:val="0"/>
                <w:sz w:val="24"/>
                <w:szCs w:val="24"/>
              </w:rPr>
              <w:t>5.31%</w:t>
            </w:r>
          </w:p>
        </w:tc>
        <w:tc>
          <w:tcPr>
            <w:vAlign w:val="center"/>
          </w:tcPr>
          <w:p>
            <w:pPr>
              <w:jc w:val="center"/>
            </w:pPr>
            <w:r>
              <w:rPr>
                <w:color w:val="000000"/>
                <w:kern w:val="0"/>
                <w:sz w:val="24"/>
                <w:szCs w:val="24"/>
              </w:rPr>
              <w:t>0.28%</w:t>
            </w:r>
          </w:p>
        </w:tc>
      </w:tr>
      <w:tr>
        <w:tc>
          <w:tcPr>
            <w:vAlign w:val="center"/>
          </w:tcPr>
          <w:p>
            <w:pPr>
              <w:jc w:val="left"/>
            </w:pPr>
            <w:r>
              <w:rPr>
                <w:color w:val="000000"/>
                <w:kern w:val="0"/>
                <w:sz w:val="24"/>
                <w:szCs w:val="24"/>
              </w:rPr>
              <w:t>过去三年</w:t>
            </w:r>
          </w:p>
        </w:tc>
        <w:tc>
          <w:tcPr>
            <w:vAlign w:val="center"/>
          </w:tcPr>
          <w:p>
            <w:pPr>
              <w:jc w:val="center"/>
            </w:pPr>
            <w:r>
              <w:rPr>
                <w:color w:val="000000"/>
                <w:kern w:val="0"/>
                <w:sz w:val="24"/>
                <w:szCs w:val="24"/>
              </w:rPr>
              <w:t>20.17%</w:t>
            </w:r>
          </w:p>
        </w:tc>
        <w:tc>
          <w:tcPr>
            <w:vAlign w:val="center"/>
          </w:tcPr>
          <w:p>
            <w:pPr>
              <w:jc w:val="center"/>
            </w:pPr>
            <w:r>
              <w:rPr>
                <w:color w:val="000000"/>
                <w:kern w:val="0"/>
                <w:sz w:val="24"/>
                <w:szCs w:val="24"/>
              </w:rPr>
              <w:t>0.27%</w:t>
            </w:r>
          </w:p>
        </w:tc>
        <w:tc>
          <w:tcPr>
            <w:vAlign w:val="center"/>
          </w:tcPr>
          <w:p>
            <w:pPr>
              <w:jc w:val="center"/>
            </w:pPr>
            <w:r>
              <w:rPr>
                <w:color w:val="000000"/>
                <w:kern w:val="0"/>
                <w:sz w:val="24"/>
                <w:szCs w:val="24"/>
              </w:rPr>
              <w:t>11.86%</w:t>
            </w:r>
          </w:p>
        </w:tc>
        <w:tc>
          <w:tcPr>
            <w:vAlign w:val="center"/>
          </w:tcPr>
          <w:p>
            <w:pPr>
              <w:jc w:val="center"/>
            </w:pPr>
            <w:r>
              <w:rPr>
                <w:color w:val="000000"/>
                <w:kern w:val="0"/>
                <w:sz w:val="24"/>
                <w:szCs w:val="24"/>
              </w:rPr>
              <w:t>0.01%</w:t>
            </w:r>
          </w:p>
        </w:tc>
        <w:tc>
          <w:tcPr>
            <w:vAlign w:val="center"/>
          </w:tcPr>
          <w:p>
            <w:pPr>
              <w:jc w:val="center"/>
            </w:pPr>
            <w:r>
              <w:rPr>
                <w:color w:val="000000"/>
                <w:kern w:val="0"/>
                <w:sz w:val="24"/>
                <w:szCs w:val="24"/>
              </w:rPr>
              <w:t>8.31%</w:t>
            </w:r>
          </w:p>
        </w:tc>
        <w:tc>
          <w:tcPr>
            <w:vAlign w:val="center"/>
          </w:tcPr>
          <w:p>
            <w:pPr>
              <w:jc w:val="center"/>
            </w:pPr>
            <w:r>
              <w:rPr>
                <w:color w:val="000000"/>
                <w:kern w:val="0"/>
                <w:sz w:val="24"/>
                <w:szCs w:val="24"/>
              </w:rPr>
              <w:t>0.26%</w:t>
            </w:r>
          </w:p>
        </w:tc>
      </w:tr>
      <w:tr>
        <w:tc>
          <w:tcPr>
            <w:vAlign w:val="center"/>
          </w:tcPr>
          <w:p>
            <w:pPr>
              <w:jc w:val="left"/>
            </w:pPr>
            <w:r>
              <w:rPr>
                <w:color w:val="000000"/>
                <w:kern w:val="0"/>
                <w:sz w:val="24"/>
                <w:szCs w:val="24"/>
              </w:rPr>
              <w:t>过去五年</w:t>
            </w:r>
          </w:p>
        </w:tc>
        <w:tc>
          <w:tcPr>
            <w:vAlign w:val="center"/>
          </w:tcPr>
          <w:p>
            <w:pPr>
              <w:jc w:val="center"/>
            </w:pPr>
            <w:r>
              <w:rPr>
                <w:color w:val="000000"/>
                <w:kern w:val="0"/>
                <w:sz w:val="24"/>
                <w:szCs w:val="24"/>
              </w:rPr>
              <w:t>28.83%</w:t>
            </w:r>
          </w:p>
        </w:tc>
        <w:tc>
          <w:tcPr>
            <w:vAlign w:val="center"/>
          </w:tcPr>
          <w:p>
            <w:pPr>
              <w:jc w:val="center"/>
            </w:pPr>
            <w:r>
              <w:rPr>
                <w:color w:val="000000"/>
                <w:kern w:val="0"/>
                <w:sz w:val="24"/>
                <w:szCs w:val="24"/>
              </w:rPr>
              <w:t>0.23%</w:t>
            </w:r>
          </w:p>
        </w:tc>
        <w:tc>
          <w:tcPr>
            <w:vAlign w:val="center"/>
          </w:tcPr>
          <w:p>
            <w:pPr>
              <w:jc w:val="center"/>
            </w:pPr>
            <w:r>
              <w:rPr>
                <w:color w:val="000000"/>
                <w:kern w:val="0"/>
                <w:sz w:val="24"/>
                <w:szCs w:val="24"/>
              </w:rPr>
              <w:t>19.87%</w:t>
            </w:r>
          </w:p>
        </w:tc>
        <w:tc>
          <w:tcPr>
            <w:vAlign w:val="center"/>
          </w:tcPr>
          <w:p>
            <w:pPr>
              <w:jc w:val="center"/>
            </w:pPr>
            <w:r>
              <w:rPr>
                <w:color w:val="000000"/>
                <w:kern w:val="0"/>
                <w:sz w:val="24"/>
                <w:szCs w:val="24"/>
              </w:rPr>
              <w:t>0.01%</w:t>
            </w:r>
          </w:p>
        </w:tc>
        <w:tc>
          <w:tcPr>
            <w:vAlign w:val="center"/>
          </w:tcPr>
          <w:p>
            <w:pPr>
              <w:jc w:val="center"/>
            </w:pPr>
            <w:r>
              <w:rPr>
                <w:color w:val="000000"/>
                <w:kern w:val="0"/>
                <w:sz w:val="24"/>
                <w:szCs w:val="24"/>
              </w:rPr>
              <w:t>8.96%</w:t>
            </w:r>
          </w:p>
        </w:tc>
        <w:tc>
          <w:tcPr>
            <w:vAlign w:val="center"/>
          </w:tcPr>
          <w:p>
            <w:pPr>
              <w:jc w:val="center"/>
            </w:pPr>
            <w:r>
              <w:rPr>
                <w:color w:val="000000"/>
                <w:kern w:val="0"/>
                <w:sz w:val="24"/>
                <w:szCs w:val="24"/>
              </w:rPr>
              <w:t>0.22%</w:t>
            </w:r>
          </w:p>
        </w:tc>
      </w:tr>
      <w:tr>
        <w:tc>
          <w:tcPr>
            <w:vAlign w:val="center"/>
          </w:tcPr>
          <w:p>
            <w:pPr>
              <w:jc w:val="left"/>
            </w:pPr>
            <w:r>
              <w:rPr>
                <w:color w:val="000000"/>
                <w:kern w:val="0"/>
                <w:sz w:val="24"/>
                <w:szCs w:val="24"/>
              </w:rPr>
              <w:t>自基金合同生效起至今</w:t>
            </w:r>
          </w:p>
        </w:tc>
        <w:tc>
          <w:tcPr>
            <w:vAlign w:val="center"/>
          </w:tcPr>
          <w:p>
            <w:pPr>
              <w:jc w:val="center"/>
            </w:pPr>
            <w:r>
              <w:rPr>
                <w:color w:val="000000"/>
                <w:kern w:val="0"/>
                <w:sz w:val="24"/>
                <w:szCs w:val="24"/>
              </w:rPr>
              <w:t>143.88%</w:t>
            </w:r>
          </w:p>
        </w:tc>
        <w:tc>
          <w:tcPr>
            <w:vAlign w:val="center"/>
          </w:tcPr>
          <w:p>
            <w:pPr>
              <w:jc w:val="center"/>
            </w:pPr>
            <w:r>
              <w:rPr>
                <w:color w:val="000000"/>
                <w:kern w:val="0"/>
                <w:sz w:val="24"/>
                <w:szCs w:val="24"/>
              </w:rPr>
              <w:t>0.41%</w:t>
            </w:r>
          </w:p>
        </w:tc>
        <w:tc>
          <w:tcPr>
            <w:vAlign w:val="center"/>
          </w:tcPr>
          <w:p>
            <w:pPr>
              <w:jc w:val="center"/>
            </w:pPr>
            <w:r>
              <w:rPr>
                <w:color w:val="000000"/>
                <w:kern w:val="0"/>
                <w:sz w:val="24"/>
                <w:szCs w:val="24"/>
              </w:rPr>
              <w:t>45.72%</w:t>
            </w:r>
          </w:p>
        </w:tc>
        <w:tc>
          <w:tcPr>
            <w:vAlign w:val="center"/>
          </w:tcPr>
          <w:p>
            <w:pPr>
              <w:jc w:val="center"/>
            </w:pPr>
            <w:r>
              <w:rPr>
                <w:color w:val="000000"/>
                <w:kern w:val="0"/>
                <w:sz w:val="24"/>
                <w:szCs w:val="24"/>
              </w:rPr>
              <w:t>0.01%</w:t>
            </w:r>
          </w:p>
        </w:tc>
        <w:tc>
          <w:tcPr>
            <w:vAlign w:val="center"/>
          </w:tcPr>
          <w:p>
            <w:pPr>
              <w:jc w:val="center"/>
            </w:pPr>
            <w:r>
              <w:rPr>
                <w:color w:val="000000"/>
                <w:kern w:val="0"/>
                <w:sz w:val="24"/>
                <w:szCs w:val="24"/>
              </w:rPr>
              <w:t>98.16%</w:t>
            </w:r>
          </w:p>
        </w:tc>
        <w:tc>
          <w:tcPr>
            <w:vAlign w:val="center"/>
          </w:tcPr>
          <w:p>
            <w:pPr>
              <w:jc w:val="center"/>
            </w:pPr>
            <w:r>
              <w:rPr>
                <w:color w:val="000000"/>
                <w:kern w:val="0"/>
                <w:sz w:val="24"/>
                <w:szCs w:val="24"/>
              </w:rPr>
              <w:t>0.40%</w:t>
            </w:r>
          </w:p>
        </w:tc>
      </w:tr>
    </w:tbl>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3.2.2</w:t>
        </w:r>
        <w:r w:rsidR="00D87469" w:rsidRPr="00370BEA">
          <w:rPr>
            <w:rStyle w:val="afb"/>
            <w:rFonts w:hint="eastAsia"/>
            <w:color w:val="000000"/>
            <w:sz w:val="24"/>
            <w:shd w:color="auto" w:fill="FFFFFF" w:val="clear"/>
          </w:rPr>
          <w:t/>
        </w:r>
        <w:proofErr w:type="spellStart"/>
        <w:r w:rsidR="00D87469" w:rsidRPr="00370BEA">
          <w:rPr>
            <w:rStyle w:val="afb"/>
            <w:rFonts w:hint="eastAsia"/>
            <w:color w:val="000000"/>
            <w:sz w:val="24"/>
            <w:shd w:color="auto" w:fill="FFFFFF" w:val="clear"/>
          </w:rPr>
          <w:t/>
        </w:r>
        <w:proofErr w:type="spellEnd"/>
        <w:r w:rsidR="00D87469" w:rsidRPr="00370BEA">
          <w:rPr>
            <w:rStyle w:val="afb"/>
            <w:rFonts w:hint="eastAsia"/>
            <w:color w:val="000000"/>
            <w:sz w:val="24"/>
            <w:shd w:color="auto" w:fill="FFFFFF" w:val="clear"/>
          </w:rPr>
          <w:t>自基金合同生效以来</w:t>
        </w:r>
      </w:smartTag>
      <w:r w:rsidRPr="00264E55">
        <w:rPr>
          <w:rFonts w:ascii="宋体" w:hAnsi="宋体" w:hint="eastAsia"/>
          <w:b/>
          <w:bCs/>
          <w:color w:val="000000"/>
          <w:kern w:val="0"/>
          <w:sz w:val="24"/>
          <w:szCs w:val="24"/>
        </w:rPr>
        <w:t>基金累计净值增长率变动及其与同期业绩比较基准收益率变动的比较</w:t>
      </w:r>
    </w:p>
    <w:p w:rsidP="009E7C6A" w:rsidR="00750D48" w:rsidRDefault="00750D48" w:rsidRPr="0074694E">
      <w:pPr>
        <w:spacing w:line="360" w:lineRule="auto"/>
        <w:jc w:val="center"/>
        <w:rPr>
          <w:color w:val="000000"/>
          <w:sz w:val="24"/>
          <w:szCs w:val="24"/>
        </w:rPr>
      </w:pPr>
      <w:r w:rsidRPr="0074694E">
        <w:rPr>
          <w:color w:val="000000"/>
          <w:sz w:val="24"/>
          <w:szCs w:val="24"/>
        </w:rPr>
        <w:t/>
      </w:r>
      <w:proofErr w:type="spellStart"/>
      <w:r w:rsidRPr="0074694E">
        <w:rPr>
          <w:color w:val="000000"/>
          <w:sz w:val="24"/>
          <w:szCs w:val="24"/>
        </w:rPr>
        <w:t/>
      </w:r>
      <w:proofErr w:type="spellEnd"/>
      <w:r w:rsidRPr="0074694E">
        <w:rPr>
          <w:color w:val="000000"/>
          <w:sz w:val="24"/>
          <w:szCs w:val="24"/>
        </w:rPr>
        <w:t>易方达岁丰添利债券型证券投资基金</w:t>
      </w:r>
    </w:p>
    <w:p w:rsidP="009E7C6A" w:rsidR="00750D48" w:rsidRDefault="00750D48" w:rsidRPr="0074694E">
      <w:pPr>
        <w:pStyle w:val="a5"/>
        <w:snapToGrid w:val="0"/>
        <w:spacing w:line="360" w:lineRule="auto"/>
        <w:jc w:val="center"/>
        <w:rPr>
          <w:rFonts w:ascii="Times New Roman" w:hAnsi="Times New Roman"/>
          <w:color w:val="000000"/>
          <w:sz w:val="24"/>
          <w:szCs w:val="24"/>
        </w:rPr>
      </w:pPr>
      <w:r w:rsidRPr="0074694E">
        <w:rPr>
          <w:rFonts w:ascii="Times New Roman" w:hAnsi="Times New Roman"/>
          <w:color w:val="000000"/>
          <w:sz w:val="24"/>
          <w:szCs w:val="24"/>
        </w:rPr>
        <w:t>累计净值增长率与业绩比较基准收益率的历史走势对比图</w:t>
      </w:r>
    </w:p>
    <w:p w:rsidP="009E7C6A" w:rsidR="00750D48" w:rsidRDefault="005F7917" w:rsidRPr="0074694E">
      <w:pPr>
        <w:pStyle w:val="a5"/>
        <w:snapToGrid w:val="0"/>
        <w:spacing w:line="360" w:lineRule="auto"/>
        <w:ind w:firstLine="480"/>
        <w:jc w:val="center"/>
        <w:rPr>
          <w:rFonts w:ascii="Times New Roman" w:hAnsi="Times New Roman"/>
          <w:sz w:val="24"/>
          <w:szCs w:val="24"/>
        </w:rPr>
      </w:pPr>
      <w:r w:rsidRPr="0074694E">
        <w:rPr>
          <w:rFonts w:ascii="Times New Roman" w:hAnsi="Times New Roman"/>
          <w:sz w:val="24"/>
          <w:szCs w:val="24"/>
        </w:rPr>
        <w:t>（</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2010年11月9日</w:t>
      </w:r>
      <w:r w:rsidRPr="0074694E">
        <w:rPr>
          <w:rFonts w:ascii="Times New Roman" w:hAnsi="Times New Roman"/>
          <w:sz w:val="24"/>
          <w:szCs w:val="24"/>
        </w:rPr>
        <w:t>至</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2020年6月30日</w:t>
      </w:r>
      <w:r w:rsidRPr="0074694E">
        <w:rPr>
          <w:rFonts w:ascii="Times New Roman" w:hAnsi="Times New Roman"/>
          <w:sz w:val="24"/>
          <w:szCs w:val="24"/>
        </w:rPr>
        <w:t>）</w:t>
      </w:r>
    </w:p>
    <w:p w:rsidP="004061AC" w:rsidR="00750D48" w:rsidRDefault="00B371D4" w:rsidRPr="00264E55">
      <w:pPr>
        <w:pStyle w:val="a5"/>
        <w:snapToGrid w:val="0"/>
        <w:spacing w:before="120" w:line="360" w:lineRule="auto"/>
        <w:jc w:val="center"/>
        <w:rPr>
          <w:rFonts w:hAnsi="宋体"/>
          <w:color w:val="000000"/>
          <w:sz w:val="24"/>
          <w:szCs w:val="24"/>
        </w:rPr>
      </w:pPr>
      <w:r>
        <w:rPr>
          <w:rFonts w:hAnsi="宋体"/>
          <w:noProof/>
          <w:color w:val="000000"/>
          <w:sz w:val="24"/>
          <w:szCs w:val="24"/>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12.5pt;height:241.5pt;visibility:visible" type="#_x0000_t75">
            <v:imagedata o:title="" r:id="rId11"/>
          </v:shape>
        </w:pic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注：自基金合同生效至报告期末，基金份额净值增长率为143.88%，同期业绩比较基准收益率为45.72%。</w:t>
      </w:r>
    </w:p>
    <w:p w:rsidP="00693843" w:rsidR="00750D48" w:rsidRDefault="00750D48" w:rsidRPr="00232B03">
      <w:pPr>
        <w:tabs>
          <w:tab w:pos="1800" w:val="left"/>
        </w:tabs>
        <w:spacing w:line="288" w:lineRule="auto"/>
        <w:rPr>
          <w:color w:val="000000"/>
          <w:sz w:val="24"/>
          <w:szCs w:val="24"/>
        </w:rPr>
      </w:pP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4  </w:t>
      </w:r>
      <w:r w:rsidRPr="00264E55">
        <w:rPr>
          <w:rFonts w:ascii="宋体" w:hAnsi="宋体" w:hint="eastAsia"/>
          <w:color w:val="000000"/>
          <w:kern w:val="0"/>
          <w:sz w:val="24"/>
          <w:szCs w:val="24"/>
        </w:rPr>
        <w:t>管理人报告</w:t>
      </w:r>
    </w:p>
    <w:p w:rsidP="004D28A3" w:rsidR="004D28A3" w:rsidRDefault="00750D48" w:rsidRPr="0078105B">
      <w:pPr>
        <w:autoSpaceDE w:val="0"/>
        <w:autoSpaceDN w:val="0"/>
        <w:adjustRightInd w:val="0"/>
        <w:spacing w:line="360" w:lineRule="auto"/>
        <w:jc w:val="left"/>
        <w:rPr>
          <w:rFonts w:ascii="宋体" w:cs="Arial"/>
          <w:b/>
          <w:color w:val="000000"/>
          <w:kern w:val="0"/>
          <w:sz w:val="24"/>
        </w:rPr>
      </w:pPr>
      <w:r w:rsidRPr="00264E55">
        <w:rPr>
          <w:rFonts w:ascii="宋体" w:hAnsi="宋体"/>
          <w:b/>
          <w:bCs/>
          <w:color w:val="000000"/>
          <w:kern w:val="0"/>
          <w:sz w:val="24"/>
          <w:szCs w:val="24"/>
        </w:rPr>
        <w:t xml:space="preserve">4.1 </w:t>
      </w:r>
      <w:r w:rsidRPr="00264E55">
        <w:rPr>
          <w:rFonts w:ascii="宋体" w:hAnsi="宋体" w:hint="eastAsia"/>
          <w:b/>
          <w:bCs/>
          <w:color w:val="000000"/>
          <w:kern w:val="0"/>
          <w:sz w:val="24"/>
          <w:szCs w:val="24"/>
        </w:rPr>
        <w:t>基金经理</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或基金经理小组</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4D28A3" w:rsidRPr="0078105B" w:rsidTr="003328D9">
        <w:trPr>
          <w:cantSplit/>
        </w:trPr>
        <w:tc>
          <w:tcPr>
            <w:tcW w:type="dxa" w:w="56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4D28A3" w:rsidRPr="0078105B" w:rsidTr="003328D9">
        <w:trPr>
          <w:cantSplit/>
        </w:trPr>
        <w:tc>
          <w:tcPr>
            <w:tcW w:type="dxa" w:w="56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835"/>
            <w:vMerge/>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胡剑</w:t>
            </w:r>
          </w:p>
        </w:tc>
        <w:tc>
          <w:tcPr>
            <w:vAlign w:val="center"/>
          </w:tcPr>
          <w:p>
            <w:pPr>
              <w:jc w:val="left"/>
            </w:pPr>
            <w:r>
              <w:rPr>
                <w:color w:val="000000"/>
                <w:sz w:val="24"/>
              </w:rPr>
              <w:t>本基金的基金经理、易方达稳健收益债券型证券投资基金的基金经理、易方达信用债债券型证券投资基金的基金经理、易方达裕惠回报定期开放式混合型发起式证券投资基金的基金经理、易方达丰惠混合型证券投资基金的基金经理（自2017年03月24日至2020年06月08日）、易方达瑞富灵活配置混合型证券投资基金的基金经理、易方达3年封闭运作战略配售灵活配置混合型证券投资基金（LOF）的基金经理、易方达恒利3个月定期开放债券型发起式证券投资基金的基金经理、易方达恒益定期开放债券型发起式证券投资基金的基金经理、易方达恒盛3个月定期开放混合型发起式证券投资基金的基金经理、易方达富惠纯债债券型证券投资基金的基金经理、易方达中债7-10年期国开行债券指数证券投资基金的基金经理、易方达中债3-5年期国债指数证券投资基金的基金经理、固定收益研究部总经理、固定收益投资部总经理</w:t>
            </w:r>
          </w:p>
        </w:tc>
        <w:tc>
          <w:tcPr>
            <w:vAlign w:val="center"/>
          </w:tcPr>
          <w:p>
            <w:pPr>
              <w:jc w:val="center"/>
            </w:pPr>
            <w:r>
              <w:rPr>
                <w:color w:val="000000"/>
                <w:sz w:val="24"/>
              </w:rPr>
              <w:t>2019-01-04</w:t>
            </w:r>
          </w:p>
        </w:tc>
        <w:tc>
          <w:tcPr>
            <w:vAlign w:val="center"/>
          </w:tcPr>
          <w:p>
            <w:pPr>
              <w:jc w:val="center"/>
            </w:pPr>
            <w:r>
              <w:rPr>
                <w:color w:val="000000"/>
                <w:sz w:val="24"/>
              </w:rPr>
              <w:t>-</w:t>
            </w:r>
          </w:p>
        </w:tc>
        <w:tc>
          <w:tcPr>
            <w:vAlign w:val="center"/>
          </w:tcPr>
          <w:p>
            <w:pPr>
              <w:jc w:val="center"/>
            </w:pPr>
            <w:r>
              <w:rPr>
                <w:color w:val="000000"/>
                <w:sz w:val="24"/>
              </w:rPr>
              <w:t>14年</w:t>
            </w:r>
          </w:p>
        </w:tc>
        <w:tc>
          <w:tcPr>
            <w:vAlign w:val="center"/>
          </w:tcPr>
          <w:p>
            <w:pPr>
              <w:jc w:val="both"/>
            </w:pPr>
            <w:r>
              <w:rPr>
                <w:color w:val="000000"/>
                <w:sz w:val="24"/>
              </w:rPr>
              <w:t>硕士研究生，具有基金从业资格。曾任易方达基金管理有限公司固定收益部债券研究员、基金经理助理、固定收益研究部负责人、固定收益总部总经理助理、易方达中债新综合债券指数发起式证券投资基金（LOF）基金经理、易方达纯债债券型证券投资基金基金经理、易方达永旭添利定期开放债券型证券投资基金基金经理、易方达纯债1年定期开放债券型证券投资基金基金经理、易方达裕景添利6个月定期开放债券型证券投资基金基金经理、易方达瑞智灵活配置混合型证券投资基金基金经理、易方达瑞兴灵活配置混合型证券投资基金基金经理、易方达瑞祥灵活配置混合型证券投资基金基金经理、易方达高等级信用债债券型证券投资基金基金经理、易方达瑞祺灵活配置混合型证券投资基金基金经理、易方达瑞财灵活配置混合型证券投资基金基金经理。</w:t>
            </w:r>
          </w:p>
        </w:tc>
      </w:tr>
    </w:tbl>
    <w:p>
      <w:pPr>
        <w:spacing w:line="360" w:lineRule="auto"/>
        <w:ind w:firstLine="480" w:firstLineChars="200"/>
        <w:rPr>
          <w:color w:val="000000"/>
          <w:sz w:val="24"/>
          <w:szCs w:val="24"/>
        </w:rPr>
      </w:pPr>
      <w:r>
        <w:rPr>
          <w:color w:val="000000"/>
          <w:sz w:val="24"/>
          <w:szCs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4D28A3" w:rsidR="00750D48" w:rsidRDefault="004D28A3" w:rsidRPr="00232B03">
      <w:pPr>
        <w:spacing w:line="360" w:lineRule="auto"/>
        <w:ind w:firstLine="480" w:firstLineChars="200"/>
        <w:rPr>
          <w:color w:val="000000"/>
          <w:sz w:val="24"/>
          <w:szCs w:val="24"/>
        </w:rPr>
      </w:pPr>
      <w:r w:rsidRPr="004D28A3">
        <w:rPr>
          <w:color w:val="000000"/>
          <w:sz w:val="24"/>
          <w:szCs w:val="24"/>
        </w:rPr>
        <w:t>2.证券从业的含义遵从《证券业从业人员资格管理办法》的相关规定。</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4.2 </w:t>
      </w:r>
      <w:r w:rsidRPr="00264E55">
        <w:rPr>
          <w:rFonts w:ascii="宋体" w:hAnsi="宋体" w:hint="eastAsia"/>
          <w:b/>
          <w:bCs/>
          <w:color w:val="000000"/>
          <w:kern w:val="0"/>
          <w:sz w:val="24"/>
          <w:szCs w:val="24"/>
        </w:rPr>
        <w:t>管理人对报告期内本基金运作遵规守信情况的说明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4.3 </w:t>
      </w:r>
      <w:r w:rsidRPr="00264E55">
        <w:rPr>
          <w:rFonts w:ascii="宋体" w:hAnsi="宋体" w:hint="eastAsia"/>
          <w:b/>
          <w:bCs/>
          <w:color w:val="000000"/>
          <w:kern w:val="0"/>
          <w:sz w:val="24"/>
          <w:szCs w:val="24"/>
        </w:rPr>
        <w:t>公平交易专项说明</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4.3.1</w:t>
        </w:r>
      </w:smartTag>
      <w:r w:rsidRPr="00264E55">
        <w:rPr>
          <w:rFonts w:ascii="宋体" w:hAnsi="宋体" w:hint="eastAsia"/>
          <w:color w:val="000000"/>
          <w:sz w:val="24"/>
          <w:szCs w:val="24"/>
        </w:rPr>
        <w:t>公平交易制度的执行情况</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4.3.2</w:t>
        </w:r>
      </w:smartTag>
      <w:r w:rsidRPr="00264E55">
        <w:rPr>
          <w:rFonts w:ascii="宋体" w:hAnsi="宋体" w:hint="eastAsia"/>
          <w:color w:val="000000"/>
          <w:sz w:val="24"/>
          <w:szCs w:val="24"/>
        </w:rPr>
        <w:t>异常交易行为的专项说明</w:t>
      </w:r>
    </w:p>
    <w:p>
      <w:pPr>
        <w:spacing w:line="360" w:lineRule="auto"/>
        <w:ind w:firstLine="480" w:firstLineChars="200"/>
        <w:rPr>
          <w:color w:val="000000"/>
          <w:sz w:val="24"/>
          <w:szCs w:val="24"/>
        </w:rPr>
      </w:pPr>
      <w:r>
        <w:rPr>
          <w:color w:val="000000"/>
          <w:sz w:val="24"/>
          <w:szCs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lastRenderedPageBreak/>
        <w:t/>
      </w:r>
      <w:proofErr w:type="spellStart"/>
      <w:r w:rsidRPr="006C56AA">
        <w:rPr>
          <w:color w:val="000000"/>
          <w:sz w:val="24"/>
          <w:szCs w:val="24"/>
        </w:rPr>
        <w:t/>
      </w:r>
      <w:proofErr w:type="spellEnd"/>
      <w:r w:rsidRPr="006C56AA">
        <w:rPr>
          <w:color w:val="000000"/>
          <w:sz w:val="24"/>
          <w:szCs w:val="24"/>
        </w:rPr>
        <w:t>本报告期内，未发现本基金有可能导致不公平交易和利益输送的异常交易。</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4.4 </w:t>
      </w:r>
      <w:r w:rsidRPr="00264E55">
        <w:rPr>
          <w:rFonts w:ascii="宋体" w:hAnsi="宋体" w:hint="eastAsia"/>
          <w:b/>
          <w:bCs/>
          <w:color w:val="000000"/>
          <w:kern w:val="0"/>
          <w:sz w:val="24"/>
          <w:szCs w:val="24"/>
        </w:rPr>
        <w:t>报告期内基金的投资策略和业绩表现说明</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4.4.1</w:t>
        </w:r>
      </w:smartTag>
      <w:r w:rsidRPr="00264E55">
        <w:rPr>
          <w:rFonts w:ascii="宋体" w:cs="宋体" w:hAnsi="宋体" w:hint="eastAsia"/>
          <w:sz w:val="24"/>
          <w:szCs w:val="24"/>
        </w:rPr>
        <w:t>报告期内基金投资策略和运作分析</w:t>
      </w:r>
    </w:p>
    <w:p>
      <w:pPr>
        <w:spacing w:line="360" w:lineRule="auto"/>
        <w:ind w:firstLine="480" w:firstLineChars="200"/>
        <w:rPr>
          <w:color w:val="000000"/>
          <w:sz w:val="24"/>
          <w:szCs w:val="24"/>
        </w:rPr>
      </w:pPr>
      <w:r>
        <w:rPr>
          <w:color w:val="000000"/>
          <w:sz w:val="24"/>
          <w:szCs w:val="24"/>
        </w:rPr>
        <w:t>2020年二季度宏观经济总体来看边际企稳复苏，4月工业增加值同比增长3.9%，5月工业增加值同比增长4.4%，显示虽然经济回升的速度在放缓，但是仍然处于持续回升的过程中。投资方面，2020年1-5月份全国固定资产投资同比下降6.3%，降幅比1-3月份收窄9.8个百分点，投资总体也在恢复，结构上基建和制造业投资连续两个月回升，房地产投资在5月出现小幅回落。消费方面，4月和5月社会消费品零售总额同比下降分别为7.5%和2.8%，也呈现持续恢复的态势，其中服装、日用品等商品消费的恢复较快，餐饮消费拖累较多。通胀方面，4月和5月CPI同比分别上涨3.3%和2.4%，连续低于市场预期，结构上，主要是食品明显低于预期，非食品总体来看基本符合预期，但从高频数据来看环比已经开始上涨，反映供需平衡的状况在持续改善。金融数据方面，4月新增社会融资数据较好，高于市场预期，5月社融数据符合市场预期，多增的幅度有所下降，但是社融月度环比仍然保持较高增速，总体融资环境持续有所改善。</w:t>
      </w:r>
    </w:p>
    <w:p>
      <w:pPr>
        <w:spacing w:line="360" w:lineRule="auto"/>
        <w:ind w:firstLine="480" w:firstLineChars="200"/>
        <w:rPr>
          <w:color w:val="000000"/>
          <w:sz w:val="24"/>
          <w:szCs w:val="24"/>
        </w:rPr>
      </w:pPr>
      <w:r>
        <w:rPr>
          <w:color w:val="000000"/>
          <w:sz w:val="24"/>
          <w:szCs w:val="24"/>
        </w:rPr>
        <w:t>债券市场在二季度收益率先下后上，整体波动较大。季度初，海内外疫情影响仍在持续，市场风险偏好仍处于相对低位。清明节期间央行实行定向降准、下调超额准备金利率等操作，资金面整体非常宽松，长端收益率震荡下行。但到5月上旬，货币政策进一步宽松不及预期叠加经济修复延续，长端收益率开始上行。随后，社融放量强化经济修复预期，收益率进一步大幅上行，且短端上行幅度更大，曲线呈现出熊平趋势。进入6月，货币环境仍未好转，叠加首批1000亿元特别国债发行但央行无配套动作，市场情绪进一步悲观，继续推动长端收益率上行。直到上半年末，央行适时开启逆回购呵护半年末流动性，市场情绪有所恢复，长端收益率趋于稳定。信用债走势与利率债类似，全季来看收益率整体大幅上行。</w:t>
      </w:r>
    </w:p>
    <w:p>
      <w:pPr>
        <w:spacing w:line="360" w:lineRule="auto"/>
        <w:ind w:firstLine="480" w:firstLineChars="200"/>
        <w:rPr>
          <w:color w:val="000000"/>
          <w:sz w:val="24"/>
          <w:szCs w:val="24"/>
        </w:rPr>
      </w:pPr>
      <w:r>
        <w:rPr>
          <w:color w:val="000000"/>
          <w:sz w:val="24"/>
          <w:szCs w:val="24"/>
        </w:rPr>
        <w:t>股票市场方面，二季度整体上涨，创业板表现好于主板，医药和科技板块表现较好。全季看，上证指数上涨10.02%，上证50指数上涨11.92%，沪深300指数上涨15.24%，创业板指数上涨29.26%。</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报告期内本基金维持了中性偏高的杠杆水平，重点关注信用风险以及组合的流动性风险，积极根据市场情况进行利率债波段操作；权益仓位方面，保留的股票仓位旨在承受一定波动的前提下获得长期超过债券的回报。从各类资产的贡献度来看，信用债和权益资产为组合贡献了较多正收益。</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4.4.2</w:t>
        </w:r>
      </w:smartTag>
      <w:r w:rsidRPr="00264E55">
        <w:rPr>
          <w:rFonts w:ascii="宋体" w:cs="宋体" w:hAnsi="宋体" w:hint="eastAsia"/>
          <w:sz w:val="24"/>
          <w:szCs w:val="24"/>
        </w:rPr>
        <w:t>报告期内基金的业绩表现</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截至报告期末，本基金份额净值为1.591元，本报告期份额净值增长率为3.18%，同期业绩比较基准收益率为0.98%。</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5  </w:t>
      </w:r>
      <w:r w:rsidRPr="00264E55">
        <w:rPr>
          <w:rFonts w:ascii="宋体" w:hAnsi="宋体" w:hint="eastAsia"/>
          <w:color w:val="000000"/>
          <w:kern w:val="0"/>
          <w:sz w:val="24"/>
          <w:szCs w:val="24"/>
        </w:rPr>
        <w:t>投资组合报告</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 </w:t>
      </w:r>
      <w:r w:rsidRPr="00264E55">
        <w:rPr>
          <w:rFonts w:ascii="宋体" w:hAnsi="宋体" w:hint="eastAsia"/>
          <w:b/>
          <w:bCs/>
          <w:color w:val="000000"/>
          <w:kern w:val="0"/>
          <w:sz w:val="24"/>
          <w:szCs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3357"/>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项目</w:t>
            </w:r>
          </w:p>
        </w:tc>
        <w:tc>
          <w:tcPr>
            <w:tcW w:type="dxa" w:w="2977"/>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金额</w:t>
            </w:r>
            <w:r w:rsidR="005F7917" w:rsidRPr="00232B03">
              <w:rPr>
                <w:color w:val="000000"/>
                <w:kern w:val="0"/>
                <w:sz w:val="24"/>
                <w:szCs w:val="24"/>
              </w:rPr>
              <w:t>（元）</w:t>
            </w:r>
          </w:p>
        </w:tc>
        <w:tc>
          <w:tcPr>
            <w:tcW w:type="dxa" w:w="1843"/>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占基金总资产的比例</w:t>
            </w:r>
            <w:r w:rsidR="005F7917" w:rsidRPr="00232B03">
              <w:rPr>
                <w:color w:val="000000"/>
                <w:kern w:val="0"/>
                <w:sz w:val="24"/>
                <w:szCs w:val="24"/>
              </w:rPr>
              <w:t>（</w:t>
            </w:r>
            <w:r w:rsidR="005F7917" w:rsidRPr="00232B03">
              <w:rPr>
                <w:color w:val="000000"/>
                <w:kern w:val="0"/>
                <w:sz w:val="24"/>
                <w:szCs w:val="24"/>
              </w:rPr>
              <w:t>%</w:t>
            </w:r>
            <w:r w:rsidR="005F7917"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1</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权益投资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15,802,236.70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10.74</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其中：股票</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15,802,236.70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10.74</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2</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固定收益投资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121,085,123.76</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82.33</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其中：债券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121,085,123.76</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82.33</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autoSpaceDE w:val="0"/>
              <w:autoSpaceDN w:val="0"/>
              <w:adjustRightInd w:val="0"/>
              <w:spacing w:before="29" w:line="360" w:lineRule="auto"/>
              <w:ind w:left="17"/>
              <w:jc w:val="left"/>
              <w:rPr>
                <w:color w:val="000000"/>
                <w:kern w:val="0"/>
                <w:sz w:val="24"/>
                <w:szCs w:val="24"/>
              </w:rPr>
            </w:pPr>
            <w:r w:rsidRPr="00232B03">
              <w:rPr>
                <w:color w:val="000000"/>
                <w:kern w:val="0"/>
                <w:sz w:val="24"/>
                <w:szCs w:val="24"/>
              </w:rPr>
              <w:t>资产支持证券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3</w:t>
            </w:r>
          </w:p>
        </w:tc>
        <w:tc>
          <w:tcPr>
            <w:tcW w:type="dxa" w:w="3357"/>
          </w:tcPr>
          <w:p w:rsidP="00EB572F" w:rsidR="00750D48" w:rsidRDefault="00750D48" w:rsidRPr="00232B03">
            <w:pPr>
              <w:spacing w:before="29" w:line="360" w:lineRule="auto"/>
              <w:ind w:left="105" w:leftChars="50"/>
              <w:rPr>
                <w:color w:val="000000"/>
                <w:kern w:val="0"/>
                <w:sz w:val="24"/>
                <w:szCs w:val="24"/>
              </w:rPr>
            </w:pPr>
            <w:r w:rsidRPr="00232B03">
              <w:rPr>
                <w:color w:val="000000"/>
                <w:kern w:val="0"/>
                <w:sz w:val="24"/>
                <w:szCs w:val="24"/>
              </w:rPr>
              <w:t>贵金属投资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4</w:t>
            </w:r>
          </w:p>
        </w:tc>
        <w:tc>
          <w:tcPr>
            <w:tcW w:type="dxa" w:w="3357"/>
            <w:vAlign w:val="center"/>
          </w:tcPr>
          <w:p w:rsidP="00B05049" w:rsidR="00750D48" w:rsidRDefault="00750D48" w:rsidRPr="00232B03">
            <w:pPr>
              <w:spacing w:before="29" w:line="360" w:lineRule="auto"/>
              <w:ind w:left="17"/>
              <w:jc w:val="left"/>
              <w:rPr>
                <w:color w:val="000000"/>
                <w:kern w:val="0"/>
                <w:sz w:val="24"/>
                <w:szCs w:val="24"/>
              </w:rPr>
            </w:pPr>
            <w:r w:rsidRPr="00232B03">
              <w:rPr>
                <w:color w:val="000000"/>
                <w:kern w:val="0"/>
                <w:sz w:val="24"/>
                <w:szCs w:val="24"/>
              </w:rPr>
              <w:t>金融衍生品投资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5</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其中：买断式回购的买入返售金融资产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6</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银行存款和结算备付金合计</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2,846,631.40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1.94</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7</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其他资产</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7,345,290.34</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4.99</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8</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合计</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147,079,282.20</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100.00</w:t>
            </w:r>
          </w:p>
        </w:tc>
      </w:tr>
    </w:tbl>
    <w:p w:rsidP="008C2A4F" w:rsidR="008C2A4F" w:rsidRDefault="008C2A4F" w:rsidRPr="00220C32">
      <w:pPr>
        <w:autoSpaceDE w:val="0"/>
        <w:autoSpaceDN w:val="0"/>
        <w:adjustRightInd w:val="0"/>
        <w:spacing w:line="360" w:lineRule="auto"/>
        <w:jc w:val="left"/>
        <w:rPr>
          <w:rFonts w:asciiTheme="minorEastAsia" w:eastAsiaTheme="minorEastAsia" w:hAnsiTheme="minorEastAsia"/>
          <w:b/>
          <w:bCs/>
          <w:color w:themeColor="text1" w:val="000000"/>
          <w:kern w:val="0"/>
          <w:sz w:val="24"/>
          <w:szCs w:val="24"/>
        </w:rPr>
      </w:pPr>
      <w:r w:rsidRPr="00220C32">
        <w:rPr>
          <w:rFonts w:asciiTheme="minorEastAsia" w:eastAsiaTheme="minorEastAsia" w:hAnsiTheme="minorEastAsia"/>
          <w:b/>
          <w:bCs/>
          <w:color w:themeColor="text1" w:val="000000"/>
          <w:kern w:val="0"/>
          <w:sz w:val="24"/>
          <w:szCs w:val="24"/>
        </w:rPr>
        <w:lastRenderedPageBreak/>
        <w:t xml:space="preserve">5.2 </w:t>
      </w:r>
      <w:r w:rsidRPr="00220C32">
        <w:rPr>
          <w:rFonts w:asciiTheme="minorEastAsia" w:eastAsiaTheme="minorEastAsia" w:hAnsiTheme="minorEastAsia" w:hint="eastAsia"/>
          <w:b/>
          <w:bCs/>
          <w:color w:themeColor="text1" w:val="000000"/>
          <w:kern w:val="0"/>
          <w:sz w:val="24"/>
          <w:szCs w:val="24"/>
        </w:rPr>
        <w:t>报告期末按行业分类的股票投资组合</w:t>
      </w:r>
    </w:p>
    <w:p w:rsidP="008C2A4F" w:rsidR="008C2A4F" w:rsidRDefault="008C2A4F" w:rsidRPr="000D7474">
      <w:pPr>
        <w:rPr>
          <w:rFonts w:asciiTheme="minorEastAsia" w:eastAsiaTheme="minorEastAsia" w:hAnsiTheme="minorEastAsia"/>
          <w:b/>
          <w:bCs/>
          <w:color w:themeColor="text1" w:val="000000"/>
          <w:kern w:val="0"/>
          <w:sz w:val="24"/>
          <w:szCs w:val="24"/>
        </w:rPr>
      </w:pPr>
      <w:r w:rsidRPr="000D7474">
        <w:rPr>
          <w:rFonts w:asciiTheme="minorEastAsia" w:eastAsiaTheme="minorEastAsia" w:hAnsiTheme="minorEastAsia"/>
          <w:b/>
          <w:bCs/>
          <w:color w:themeColor="text1" w:val="000000"/>
          <w:kern w:val="0"/>
          <w:sz w:val="24"/>
          <w:szCs w:val="24"/>
        </w:rPr>
        <w:t/>
      </w:r>
      <w:proofErr w:type="spellStart"/>
      <w:r w:rsidRPr="000D7474">
        <w:rPr>
          <w:rFonts w:asciiTheme="minorEastAsia" w:eastAsiaTheme="minorEastAsia" w:hAnsiTheme="minorEastAsia"/>
          <w:b/>
          <w:bCs/>
          <w:color w:themeColor="text1" w:val="000000"/>
          <w:kern w:val="0"/>
          <w:sz w:val="24"/>
          <w:szCs w:val="24"/>
        </w:rPr>
        <w:t/>
      </w:r>
      <w:proofErr w:type="spellEnd"/>
      <w:r w:rsidRPr="000D7474">
        <w:rPr>
          <w:rFonts w:asciiTheme="minorEastAsia" w:eastAsiaTheme="minorEastAsia" w:hAnsiTheme="minorEastAsia"/>
          <w:b/>
          <w:bCs/>
          <w:color w:themeColor="text1" w:val="000000"/>
          <w:kern w:val="0"/>
          <w:sz w:val="24"/>
          <w:szCs w:val="24"/>
        </w:rPr>
        <w:t/>
      </w:r>
      <w:r w:rsidRPr="000D7474">
        <w:rPr>
          <w:rFonts w:asciiTheme="minorEastAsia" w:eastAsiaTheme="minorEastAsia" w:hAnsiTheme="minorEastAsia" w:hint="eastAsia"/>
          <w:b/>
          <w:bCs/>
          <w:color w:themeColor="text1" w:val="000000"/>
          <w:kern w:val="0"/>
          <w:sz w:val="24"/>
          <w:szCs w:val="24"/>
        </w:rPr>
        <w:t>5.2.1报告期末按行业分类的境内股票投资组合</w:t>
      </w:r>
    </w:p>
    <w:tbl>
      <w:tblPr>
        <w:tblW w:type="dxa" w:w="8789"/>
        <w:tblInd w:type="dxa" w:w="-137"/>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709"/>
        <w:gridCol w:w="3544"/>
        <w:gridCol w:w="2977"/>
        <w:gridCol w:w="1559"/>
      </w:tblGrid>
      <w:tr w:rsidR="008C2A4F" w:rsidRPr="008C2A4F" w:rsidTr="003B5535">
        <w:trPr>
          <w:trHeight w:val="390"/>
        </w:trPr>
        <w:tc>
          <w:tcPr>
            <w:tcW w:type="dxa" w:w="709"/>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代码</w:t>
            </w: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行业类别</w:t>
            </w:r>
          </w:p>
        </w:tc>
        <w:tc>
          <w:tcPr>
            <w:tcW w:type="dxa" w:w="2977"/>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公允价值（元）</w:t>
            </w:r>
          </w:p>
        </w:tc>
        <w:tc>
          <w:tcPr>
            <w:tcW w:type="dxa" w:w="155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占基金资产净值比例（％）</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A</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农、林、牧、渔业</w:t>
            </w:r>
          </w:p>
        </w:tc>
        <w:tc>
          <w:tcPr>
            <w:tcW w:type="dxa" w:w="2977"/>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B</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采矿业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3,684,938.40</w:t>
            </w:r>
          </w:p>
          <w:p w:rsidP="003328D9" w:rsidR="008C2A4F" w:rsidRDefault="008C2A4F" w:rsidRPr="008C2A4F">
            <w:pPr>
              <w:jc w:val="right"/>
              <w:rPr>
                <w:rFonts w:eastAsiaTheme="minorEastAsia"/>
                <w:color w:themeColor="text1" w:val="000000"/>
                <w:kern w:val="0"/>
                <w:sz w:val="24"/>
                <w:szCs w:val="24"/>
              </w:rPr>
            </w:pP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3.21</w:t>
            </w:r>
          </w:p>
          <w:p w:rsidP="003328D9" w:rsidR="008C2A4F" w:rsidRDefault="008C2A4F" w:rsidRPr="008C2A4F">
            <w:pPr>
              <w:jc w:val="right"/>
              <w:rPr>
                <w:rFonts w:eastAsiaTheme="minorEastAsia"/>
                <w:color w:themeColor="text1" w:val="000000"/>
                <w:kern w:val="0"/>
                <w:sz w:val="24"/>
                <w:szCs w:val="24"/>
              </w:rPr>
            </w:pP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C</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制造业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10,127,401.70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8.81</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D</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电力、热力、燃气及水生产和供应业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E</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建筑业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F</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批发和零售业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G</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交通运输、仓储和邮政业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H</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住宿和餐饮业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I</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信息传输、软件和信息技术服务业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8,815.00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0.01</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J</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金融业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1,981,081.60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1.72</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K</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房地产业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L</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租赁和商务服务业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M</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科学研究和技术服务业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N</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水利、环境和公共设施管理业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O</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居民服务、修理和其他服务业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P</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教育</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lastRenderedPageBreak/>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Q</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卫生和社会工作</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R</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文化、体育和娱乐业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S</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综合</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合计</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15,802,236.70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13.74</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5.3 </w:t>
      </w:r>
      <w:r w:rsidRPr="00264E55">
        <w:rPr>
          <w:rFonts w:ascii="宋体" w:hAnsi="宋体" w:hint="eastAsia"/>
          <w:b/>
          <w:bCs/>
          <w:color w:val="000000"/>
          <w:kern w:val="0"/>
          <w:sz w:val="24"/>
          <w:szCs w:val="24"/>
        </w:rPr>
        <w:t>报告期末按公允价值占基金资产净值比例大小排序的前十名股票投资明细</w:t>
      </w:r>
    </w:p>
    <w:tbl>
      <w:tblPr>
        <w:tblW w:type="dxa" w:w="8789"/>
        <w:tblInd w:type="dxa" w:w="-176"/>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1276"/>
        <w:gridCol w:w="1418"/>
        <w:gridCol w:w="1701"/>
        <w:gridCol w:w="1984"/>
        <w:gridCol w:w="1559"/>
      </w:tblGrid>
      <w:tr w:rsidR="00750D48" w:rsidRPr="00264E55" w:rsidTr="00191BDE">
        <w:tc>
          <w:tcPr>
            <w:tcW w:type="dxa" w:w="851"/>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股票代码</w:t>
            </w:r>
          </w:p>
        </w:tc>
        <w:tc>
          <w:tcPr>
            <w:tcW w:type="dxa" w:w="1418"/>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股票名称</w:t>
            </w:r>
          </w:p>
        </w:tc>
        <w:tc>
          <w:tcPr>
            <w:tcW w:type="dxa" w:w="1701"/>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（股）</w:t>
            </w:r>
          </w:p>
        </w:tc>
        <w:tc>
          <w:tcPr>
            <w:tcW w:type="dxa" w:w="1984"/>
            <w:vAlign w:val="center"/>
          </w:tcPr>
          <w:p w:rsidP="005F7917"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559"/>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000568</w:t>
            </w:r>
          </w:p>
        </w:tc>
        <w:tc>
          <w:tcPr>
            <w:vAlign w:val="center"/>
          </w:tcPr>
          <w:p>
            <w:pPr>
              <w:jc w:val="center"/>
            </w:pPr>
            <w:r>
              <w:rPr>
                <w:color w:val="000000"/>
                <w:kern w:val="0"/>
                <w:sz w:val="24"/>
                <w:szCs w:val="24"/>
              </w:rPr>
              <w:t>泸州老窖</w:t>
            </w:r>
          </w:p>
        </w:tc>
        <w:tc>
          <w:tcPr>
            <w:vAlign w:val="center"/>
          </w:tcPr>
          <w:p>
            <w:pPr>
              <w:jc w:val="right"/>
            </w:pPr>
            <w:r>
              <w:rPr>
                <w:color w:val="000000"/>
                <w:kern w:val="0"/>
                <w:sz w:val="24"/>
                <w:szCs w:val="24"/>
              </w:rPr>
              <w:t>41,667</w:t>
            </w:r>
          </w:p>
        </w:tc>
        <w:tc>
          <w:tcPr>
            <w:vAlign w:val="center"/>
          </w:tcPr>
          <w:p>
            <w:pPr>
              <w:jc w:val="right"/>
            </w:pPr>
            <w:r>
              <w:rPr>
                <w:color w:val="000000"/>
                <w:kern w:val="0"/>
                <w:sz w:val="24"/>
                <w:szCs w:val="24"/>
              </w:rPr>
              <w:t>3,796,697.04</w:t>
            </w:r>
          </w:p>
        </w:tc>
        <w:tc>
          <w:tcPr>
            <w:vAlign w:val="center"/>
          </w:tcPr>
          <w:p>
            <w:pPr>
              <w:jc w:val="right"/>
            </w:pPr>
            <w:r>
              <w:rPr>
                <w:color w:val="000000"/>
                <w:kern w:val="0"/>
                <w:sz w:val="24"/>
                <w:szCs w:val="24"/>
              </w:rPr>
              <w:t>3.30</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601899</w:t>
            </w:r>
          </w:p>
        </w:tc>
        <w:tc>
          <w:tcPr>
            <w:vAlign w:val="center"/>
          </w:tcPr>
          <w:p>
            <w:pPr>
              <w:jc w:val="center"/>
            </w:pPr>
            <w:r>
              <w:rPr>
                <w:color w:val="000000"/>
                <w:kern w:val="0"/>
                <w:sz w:val="24"/>
                <w:szCs w:val="24"/>
              </w:rPr>
              <w:t>紫金矿业</w:t>
            </w:r>
          </w:p>
        </w:tc>
        <w:tc>
          <w:tcPr>
            <w:vAlign w:val="center"/>
          </w:tcPr>
          <w:p>
            <w:pPr>
              <w:jc w:val="right"/>
            </w:pPr>
            <w:r>
              <w:rPr>
                <w:color w:val="000000"/>
                <w:kern w:val="0"/>
                <w:sz w:val="24"/>
                <w:szCs w:val="24"/>
              </w:rPr>
              <w:t>837,486</w:t>
            </w:r>
          </w:p>
        </w:tc>
        <w:tc>
          <w:tcPr>
            <w:vAlign w:val="center"/>
          </w:tcPr>
          <w:p>
            <w:pPr>
              <w:jc w:val="right"/>
            </w:pPr>
            <w:r>
              <w:rPr>
                <w:color w:val="000000"/>
                <w:kern w:val="0"/>
                <w:sz w:val="24"/>
                <w:szCs w:val="24"/>
              </w:rPr>
              <w:t>3,684,938.40</w:t>
            </w:r>
          </w:p>
        </w:tc>
        <w:tc>
          <w:tcPr>
            <w:vAlign w:val="center"/>
          </w:tcPr>
          <w:p>
            <w:pPr>
              <w:jc w:val="right"/>
            </w:pPr>
            <w:r>
              <w:rPr>
                <w:color w:val="000000"/>
                <w:kern w:val="0"/>
                <w:sz w:val="24"/>
                <w:szCs w:val="24"/>
              </w:rPr>
              <w:t>3.21</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603338</w:t>
            </w:r>
          </w:p>
        </w:tc>
        <w:tc>
          <w:tcPr>
            <w:vAlign w:val="center"/>
          </w:tcPr>
          <w:p>
            <w:pPr>
              <w:jc w:val="center"/>
            </w:pPr>
            <w:r>
              <w:rPr>
                <w:color w:val="000000"/>
                <w:kern w:val="0"/>
                <w:sz w:val="24"/>
                <w:szCs w:val="24"/>
              </w:rPr>
              <w:t>浙江鼎力</w:t>
            </w:r>
          </w:p>
        </w:tc>
        <w:tc>
          <w:tcPr>
            <w:vAlign w:val="center"/>
          </w:tcPr>
          <w:p>
            <w:pPr>
              <w:jc w:val="right"/>
            </w:pPr>
            <w:r>
              <w:rPr>
                <w:color w:val="000000"/>
                <w:kern w:val="0"/>
                <w:sz w:val="24"/>
                <w:szCs w:val="24"/>
              </w:rPr>
              <w:t>46,988</w:t>
            </w:r>
          </w:p>
        </w:tc>
        <w:tc>
          <w:tcPr>
            <w:vAlign w:val="center"/>
          </w:tcPr>
          <w:p>
            <w:pPr>
              <w:jc w:val="right"/>
            </w:pPr>
            <w:r>
              <w:rPr>
                <w:color w:val="000000"/>
                <w:kern w:val="0"/>
                <w:sz w:val="24"/>
                <w:szCs w:val="24"/>
              </w:rPr>
              <w:t>3,560,280.76</w:t>
            </w:r>
          </w:p>
        </w:tc>
        <w:tc>
          <w:tcPr>
            <w:vAlign w:val="center"/>
          </w:tcPr>
          <w:p>
            <w:pPr>
              <w:jc w:val="right"/>
            </w:pPr>
            <w:r>
              <w:rPr>
                <w:color w:val="000000"/>
                <w:kern w:val="0"/>
                <w:sz w:val="24"/>
                <w:szCs w:val="24"/>
              </w:rPr>
              <w:t>3.10</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002273</w:t>
            </w:r>
          </w:p>
        </w:tc>
        <w:tc>
          <w:tcPr>
            <w:vAlign w:val="center"/>
          </w:tcPr>
          <w:p>
            <w:pPr>
              <w:jc w:val="center"/>
            </w:pPr>
            <w:r>
              <w:rPr>
                <w:color w:val="000000"/>
                <w:kern w:val="0"/>
                <w:sz w:val="24"/>
                <w:szCs w:val="24"/>
              </w:rPr>
              <w:t>水晶光电</w:t>
            </w:r>
          </w:p>
        </w:tc>
        <w:tc>
          <w:tcPr>
            <w:vAlign w:val="center"/>
          </w:tcPr>
          <w:p>
            <w:pPr>
              <w:jc w:val="right"/>
            </w:pPr>
            <w:r>
              <w:rPr>
                <w:color w:val="000000"/>
                <w:kern w:val="0"/>
                <w:sz w:val="24"/>
                <w:szCs w:val="24"/>
              </w:rPr>
              <w:t>161,635</w:t>
            </w:r>
          </w:p>
        </w:tc>
        <w:tc>
          <w:tcPr>
            <w:vAlign w:val="center"/>
          </w:tcPr>
          <w:p>
            <w:pPr>
              <w:jc w:val="right"/>
            </w:pPr>
            <w:r>
              <w:rPr>
                <w:color w:val="000000"/>
                <w:kern w:val="0"/>
                <w:sz w:val="24"/>
                <w:szCs w:val="24"/>
              </w:rPr>
              <w:t>2,770,423.90</w:t>
            </w:r>
          </w:p>
        </w:tc>
        <w:tc>
          <w:tcPr>
            <w:vAlign w:val="center"/>
          </w:tcPr>
          <w:p>
            <w:pPr>
              <w:jc w:val="right"/>
            </w:pPr>
            <w:r>
              <w:rPr>
                <w:color w:val="000000"/>
                <w:kern w:val="0"/>
                <w:sz w:val="24"/>
                <w:szCs w:val="24"/>
              </w:rPr>
              <w:t>2.41</w:t>
            </w:r>
          </w:p>
        </w:tc>
      </w:tr>
      <w:tr>
        <w:tc>
          <w:tcPr>
            <w:vAlign w:val="center"/>
          </w:tcPr>
          <w:p>
            <w:pPr>
              <w:jc w:val="center"/>
            </w:pPr>
            <w:r>
              <w:rPr>
                <w:color w:val="000000"/>
                <w:kern w:val="0"/>
                <w:sz w:val="24"/>
                <w:szCs w:val="24"/>
              </w:rPr>
              <w:t>5</w:t>
            </w:r>
          </w:p>
        </w:tc>
        <w:tc>
          <w:tcPr>
            <w:vAlign w:val="center"/>
          </w:tcPr>
          <w:p>
            <w:pPr>
              <w:jc w:val="center"/>
            </w:pPr>
            <w:r>
              <w:rPr>
                <w:color w:val="000000"/>
                <w:kern w:val="0"/>
                <w:sz w:val="24"/>
                <w:szCs w:val="24"/>
              </w:rPr>
              <w:t>000001</w:t>
            </w:r>
          </w:p>
        </w:tc>
        <w:tc>
          <w:tcPr>
            <w:vAlign w:val="center"/>
          </w:tcPr>
          <w:p>
            <w:pPr>
              <w:jc w:val="center"/>
            </w:pPr>
            <w:r>
              <w:rPr>
                <w:color w:val="000000"/>
                <w:kern w:val="0"/>
                <w:sz w:val="24"/>
                <w:szCs w:val="24"/>
              </w:rPr>
              <w:t>平安银行</w:t>
            </w:r>
          </w:p>
        </w:tc>
        <w:tc>
          <w:tcPr>
            <w:vAlign w:val="center"/>
          </w:tcPr>
          <w:p>
            <w:pPr>
              <w:jc w:val="right"/>
            </w:pPr>
            <w:r>
              <w:rPr>
                <w:color w:val="000000"/>
                <w:kern w:val="0"/>
                <w:sz w:val="24"/>
                <w:szCs w:val="24"/>
              </w:rPr>
              <w:t>154,772</w:t>
            </w:r>
          </w:p>
        </w:tc>
        <w:tc>
          <w:tcPr>
            <w:vAlign w:val="center"/>
          </w:tcPr>
          <w:p>
            <w:pPr>
              <w:jc w:val="right"/>
            </w:pPr>
            <w:r>
              <w:rPr>
                <w:color w:val="000000"/>
                <w:kern w:val="0"/>
                <w:sz w:val="24"/>
                <w:szCs w:val="24"/>
              </w:rPr>
              <w:t>1,981,081.60</w:t>
            </w:r>
          </w:p>
        </w:tc>
        <w:tc>
          <w:tcPr>
            <w:vAlign w:val="center"/>
          </w:tcPr>
          <w:p>
            <w:pPr>
              <w:jc w:val="right"/>
            </w:pPr>
            <w:r>
              <w:rPr>
                <w:color w:val="000000"/>
                <w:kern w:val="0"/>
                <w:sz w:val="24"/>
                <w:szCs w:val="24"/>
              </w:rPr>
              <w:t>1.72</w:t>
            </w:r>
          </w:p>
        </w:tc>
      </w:tr>
      <w:tr>
        <w:tc>
          <w:tcPr>
            <w:vAlign w:val="center"/>
          </w:tcPr>
          <w:p>
            <w:pPr>
              <w:jc w:val="center"/>
            </w:pPr>
            <w:r>
              <w:rPr>
                <w:color w:val="000000"/>
                <w:kern w:val="0"/>
                <w:sz w:val="24"/>
                <w:szCs w:val="24"/>
              </w:rPr>
              <w:t>6</w:t>
            </w:r>
          </w:p>
        </w:tc>
        <w:tc>
          <w:tcPr>
            <w:vAlign w:val="center"/>
          </w:tcPr>
          <w:p>
            <w:pPr>
              <w:jc w:val="center"/>
            </w:pPr>
            <w:r>
              <w:rPr>
                <w:color w:val="000000"/>
                <w:kern w:val="0"/>
                <w:sz w:val="24"/>
                <w:szCs w:val="24"/>
              </w:rPr>
              <w:t>300845</w:t>
            </w:r>
          </w:p>
        </w:tc>
        <w:tc>
          <w:tcPr>
            <w:vAlign w:val="center"/>
          </w:tcPr>
          <w:p>
            <w:pPr>
              <w:jc w:val="center"/>
            </w:pPr>
            <w:r>
              <w:rPr>
                <w:color w:val="000000"/>
                <w:kern w:val="0"/>
                <w:sz w:val="24"/>
                <w:szCs w:val="24"/>
              </w:rPr>
              <w:t>捷安高科</w:t>
            </w:r>
          </w:p>
        </w:tc>
        <w:tc>
          <w:tcPr>
            <w:vAlign w:val="center"/>
          </w:tcPr>
          <w:p>
            <w:pPr>
              <w:jc w:val="right"/>
            </w:pPr>
            <w:r>
              <w:rPr>
                <w:color w:val="000000"/>
                <w:kern w:val="0"/>
                <w:sz w:val="24"/>
                <w:szCs w:val="24"/>
              </w:rPr>
              <w:t>500</w:t>
            </w:r>
          </w:p>
        </w:tc>
        <w:tc>
          <w:tcPr>
            <w:vAlign w:val="center"/>
          </w:tcPr>
          <w:p>
            <w:pPr>
              <w:jc w:val="right"/>
            </w:pPr>
            <w:r>
              <w:rPr>
                <w:color w:val="000000"/>
                <w:kern w:val="0"/>
                <w:sz w:val="24"/>
                <w:szCs w:val="24"/>
              </w:rPr>
              <w:t>8,815.00</w:t>
            </w:r>
          </w:p>
        </w:tc>
        <w:tc>
          <w:tcPr>
            <w:vAlign w:val="center"/>
          </w:tcPr>
          <w:p>
            <w:pPr>
              <w:jc w:val="right"/>
            </w:pPr>
            <w:r>
              <w:rPr>
                <w:color w:val="000000"/>
                <w:kern w:val="0"/>
                <w:sz w:val="24"/>
                <w:szCs w:val="24"/>
              </w:rPr>
              <w:t>0.01</w:t>
            </w:r>
          </w:p>
        </w:tc>
      </w:tr>
    </w:tbl>
    <w:p w:rsidP="00CA4677" w:rsidR="00CA4677" w:rsidRDefault="00750D48" w:rsidRPr="00283CAD">
      <w:pPr>
        <w:autoSpaceDE w:val="0"/>
        <w:autoSpaceDN w:val="0"/>
        <w:adjustRightInd w:val="0"/>
        <w:spacing w:line="360" w:lineRule="auto"/>
        <w:jc w:val="left"/>
        <w:rPr>
          <w:rFonts w:eastAsiaTheme="minorEastAsia"/>
          <w:b/>
          <w:bCs/>
          <w:color w:themeColor="text1" w:val="000000"/>
          <w:kern w:val="0"/>
          <w:sz w:val="24"/>
          <w:szCs w:val="24"/>
        </w:rPr>
      </w:pPr>
      <w:r w:rsidRPr="00264E55">
        <w:rPr>
          <w:rFonts w:ascii="宋体" w:hAnsi="宋体"/>
          <w:b/>
          <w:bCs/>
          <w:color w:val="000000"/>
          <w:kern w:val="0"/>
          <w:sz w:val="24"/>
          <w:szCs w:val="24"/>
        </w:rPr>
        <w:t xml:space="preserve">5.4 </w:t>
      </w:r>
      <w:r w:rsidRPr="00264E55">
        <w:rPr>
          <w:rFonts w:ascii="宋体" w:hAnsi="宋体" w:hint="eastAsia"/>
          <w:b/>
          <w:bCs/>
          <w:color w:val="000000"/>
          <w:kern w:val="0"/>
          <w:sz w:val="24"/>
          <w:szCs w:val="24"/>
        </w:rPr>
        <w:t>报告期末按债券品种分类的债券投资组合</w:t>
      </w:r>
    </w:p>
    <w:tbl>
      <w:tblPr>
        <w:tblStyle w:val="af7"/>
        <w:tblW w:type="dxa" w:w="8755"/>
        <w:jc w:val="center"/>
        <w:tblLayout w:type="fixed"/>
        <w:tblLook w:firstColumn="1" w:firstRow="1" w:lastColumn="0" w:lastRow="0" w:noHBand="0" w:noVBand="1" w:val="04A0"/>
      </w:tblPr>
      <w:tblGrid>
        <w:gridCol w:w="817"/>
        <w:gridCol w:w="3260"/>
        <w:gridCol w:w="2949"/>
        <w:gridCol w:w="1729"/>
      </w:tblGrid>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序号</w:t>
            </w:r>
          </w:p>
        </w:tc>
        <w:tc>
          <w:tcPr>
            <w:tcW w:type="dxa" w:w="3260"/>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债券品种</w:t>
            </w: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
            </w:r>
          </w:p>
        </w:tc>
        <w:tc>
          <w:tcPr>
            <w:tcW w:type="dxa" w:w="294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公允价值</w:t>
            </w:r>
            <w:r w:rsidRPr="00283CAD">
              <w:rPr>
                <w:rFonts w:eastAsiaTheme="minorEastAsia"/>
                <w:color w:themeColor="text1" w:val="000000"/>
                <w:sz w:val="24"/>
                <w:szCs w:val="24"/>
              </w:rPr>
              <w:t>(</w:t>
            </w:r>
            <w:r w:rsidRPr="00283CAD">
              <w:rPr>
                <w:rFonts w:eastAsiaTheme="minorEastAsia"/>
                <w:color w:themeColor="text1" w:val="000000"/>
                <w:sz w:val="24"/>
                <w:szCs w:val="24"/>
              </w:rPr>
              <w:t>元</w:t>
            </w:r>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占基金资产净值比例</w:t>
            </w:r>
            <w:r w:rsidRPr="00283CAD">
              <w:rPr>
                <w:rFonts w:eastAsiaTheme="minorEastAsia"/>
                <w:color w:themeColor="text1" w:val="000000"/>
                <w:sz w:val="24"/>
                <w:szCs w:val="24"/>
              </w:rPr>
              <w:t>(</w:t>
            </w:r>
            <w:r w:rsidRPr="00283CAD">
              <w:rPr>
                <w:rFonts w:eastAsiaTheme="minorEastAsia"/>
                <w:color w:themeColor="text1" w:val="000000"/>
                <w:sz w:val="24"/>
                <w:szCs w:val="24"/>
              </w:rPr>
              <w:t>％</w:t>
            </w: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国家债券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5,202,600.00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4.53</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2</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央行票据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3</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金融债券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41,500,350.00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36.10</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其中：政策性金融债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41,500,350.00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36.10</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4</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64,089,810.00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55.74</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5</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企业短期融资券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6</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中期票据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7</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可转债</w:t>
            </w:r>
            <w:r w:rsidR="004B5343" w:rsidRPr="004B5343">
              <w:rPr>
                <w:rFonts w:eastAsiaTheme="minorEastAsia" w:hint="eastAsia"/>
                <w:color w:themeColor="text1" w:val="000000"/>
                <w:sz w:val="24"/>
                <w:szCs w:val="24"/>
              </w:rPr>
              <w:t>（可交换债）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10,292,363.76</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lastRenderedPageBreak/>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8.95</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lastRenderedPageBreak/>
              <w:t>8</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同业存单</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9</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其他</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10</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合计</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121,085,123.76</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105.31</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5.5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的前五名债券投资明细</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959"/>
        <w:gridCol w:w="1276"/>
        <w:gridCol w:w="1275"/>
        <w:gridCol w:w="1560"/>
        <w:gridCol w:w="1984"/>
        <w:gridCol w:w="1474"/>
      </w:tblGrid>
      <w:tr w:rsidR="00750D48" w:rsidRPr="00264E55" w:rsidTr="005602F3">
        <w:tc>
          <w:tcPr>
            <w:tcW w:type="dxa" w:w="959"/>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债券代码</w:t>
            </w:r>
          </w:p>
        </w:tc>
        <w:tc>
          <w:tcPr>
            <w:tcW w:type="dxa" w:w="1275"/>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债券名称</w:t>
            </w:r>
          </w:p>
        </w:tc>
        <w:tc>
          <w:tcPr>
            <w:tcW w:type="dxa" w:w="1560"/>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（张）</w:t>
            </w:r>
          </w:p>
        </w:tc>
        <w:tc>
          <w:tcPr>
            <w:tcW w:type="dxa" w:w="198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47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190208</w:t>
            </w:r>
          </w:p>
        </w:tc>
        <w:tc>
          <w:tcPr>
            <w:vAlign w:val="center"/>
          </w:tcPr>
          <w:p>
            <w:pPr>
              <w:jc w:val="center"/>
            </w:pPr>
            <w:r>
              <w:rPr>
                <w:color w:val="000000"/>
                <w:kern w:val="0"/>
                <w:sz w:val="24"/>
                <w:szCs w:val="24"/>
              </w:rPr>
              <w:t>19国开08</w:t>
            </w:r>
          </w:p>
        </w:tc>
        <w:tc>
          <w:tcPr>
            <w:vAlign w:val="center"/>
          </w:tcPr>
          <w:p>
            <w:pPr>
              <w:jc w:val="right"/>
            </w:pPr>
            <w:r>
              <w:rPr>
                <w:color w:val="000000"/>
                <w:kern w:val="0"/>
                <w:sz w:val="24"/>
                <w:szCs w:val="24"/>
              </w:rPr>
              <w:t>200,000</w:t>
            </w:r>
          </w:p>
        </w:tc>
        <w:tc>
          <w:tcPr>
            <w:vAlign w:val="center"/>
          </w:tcPr>
          <w:p>
            <w:pPr>
              <w:jc w:val="right"/>
            </w:pPr>
            <w:r>
              <w:rPr>
                <w:color w:val="000000"/>
                <w:kern w:val="0"/>
                <w:sz w:val="24"/>
                <w:szCs w:val="24"/>
              </w:rPr>
              <w:t>20,350,000.00</w:t>
            </w:r>
          </w:p>
        </w:tc>
        <w:tc>
          <w:tcPr>
            <w:vAlign w:val="center"/>
          </w:tcPr>
          <w:p>
            <w:pPr>
              <w:jc w:val="right"/>
            </w:pPr>
            <w:r>
              <w:rPr>
                <w:color w:val="000000"/>
                <w:kern w:val="0"/>
                <w:sz w:val="24"/>
                <w:szCs w:val="24"/>
              </w:rPr>
              <w:t>17.70</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190203</w:t>
            </w:r>
          </w:p>
        </w:tc>
        <w:tc>
          <w:tcPr>
            <w:vAlign w:val="center"/>
          </w:tcPr>
          <w:p>
            <w:pPr>
              <w:jc w:val="center"/>
            </w:pPr>
            <w:r>
              <w:rPr>
                <w:color w:val="000000"/>
                <w:kern w:val="0"/>
                <w:sz w:val="24"/>
                <w:szCs w:val="24"/>
              </w:rPr>
              <w:t>19国开03</w:t>
            </w:r>
          </w:p>
        </w:tc>
        <w:tc>
          <w:tcPr>
            <w:vAlign w:val="center"/>
          </w:tcPr>
          <w:p>
            <w:pPr>
              <w:jc w:val="right"/>
            </w:pPr>
            <w:r>
              <w:rPr>
                <w:color w:val="000000"/>
                <w:kern w:val="0"/>
                <w:sz w:val="24"/>
                <w:szCs w:val="24"/>
              </w:rPr>
              <w:t>100,000</w:t>
            </w:r>
          </w:p>
        </w:tc>
        <w:tc>
          <w:tcPr>
            <w:vAlign w:val="center"/>
          </w:tcPr>
          <w:p>
            <w:pPr>
              <w:jc w:val="right"/>
            </w:pPr>
            <w:r>
              <w:rPr>
                <w:color w:val="000000"/>
                <w:kern w:val="0"/>
                <w:sz w:val="24"/>
                <w:szCs w:val="24"/>
              </w:rPr>
              <w:t>10,139,000.00</w:t>
            </w:r>
          </w:p>
        </w:tc>
        <w:tc>
          <w:tcPr>
            <w:vAlign w:val="center"/>
          </w:tcPr>
          <w:p>
            <w:pPr>
              <w:jc w:val="right"/>
            </w:pPr>
            <w:r>
              <w:rPr>
                <w:color w:val="000000"/>
                <w:kern w:val="0"/>
                <w:sz w:val="24"/>
                <w:szCs w:val="24"/>
              </w:rPr>
              <w:t>8.82</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190305</w:t>
            </w:r>
          </w:p>
        </w:tc>
        <w:tc>
          <w:tcPr>
            <w:vAlign w:val="center"/>
          </w:tcPr>
          <w:p>
            <w:pPr>
              <w:jc w:val="center"/>
            </w:pPr>
            <w:r>
              <w:rPr>
                <w:color w:val="000000"/>
                <w:kern w:val="0"/>
                <w:sz w:val="24"/>
                <w:szCs w:val="24"/>
              </w:rPr>
              <w:t>19进出05</w:t>
            </w:r>
          </w:p>
        </w:tc>
        <w:tc>
          <w:tcPr>
            <w:vAlign w:val="center"/>
          </w:tcPr>
          <w:p>
            <w:pPr>
              <w:jc w:val="right"/>
            </w:pPr>
            <w:r>
              <w:rPr>
                <w:color w:val="000000"/>
                <w:kern w:val="0"/>
                <w:sz w:val="24"/>
                <w:szCs w:val="24"/>
              </w:rPr>
              <w:t>100,000</w:t>
            </w:r>
          </w:p>
        </w:tc>
        <w:tc>
          <w:tcPr>
            <w:vAlign w:val="center"/>
          </w:tcPr>
          <w:p>
            <w:pPr>
              <w:jc w:val="right"/>
            </w:pPr>
            <w:r>
              <w:rPr>
                <w:color w:val="000000"/>
                <w:kern w:val="0"/>
                <w:sz w:val="24"/>
                <w:szCs w:val="24"/>
              </w:rPr>
              <w:t>10,110,000.00</w:t>
            </w:r>
          </w:p>
        </w:tc>
        <w:tc>
          <w:tcPr>
            <w:vAlign w:val="center"/>
          </w:tcPr>
          <w:p>
            <w:pPr>
              <w:jc w:val="right"/>
            </w:pPr>
            <w:r>
              <w:rPr>
                <w:color w:val="000000"/>
                <w:kern w:val="0"/>
                <w:sz w:val="24"/>
                <w:szCs w:val="24"/>
              </w:rPr>
              <w:t>8.79</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132004</w:t>
            </w:r>
          </w:p>
        </w:tc>
        <w:tc>
          <w:tcPr>
            <w:vAlign w:val="center"/>
          </w:tcPr>
          <w:p>
            <w:pPr>
              <w:jc w:val="center"/>
            </w:pPr>
            <w:r>
              <w:rPr>
                <w:color w:val="000000"/>
                <w:kern w:val="0"/>
                <w:sz w:val="24"/>
                <w:szCs w:val="24"/>
              </w:rPr>
              <w:t>15国盛EB</w:t>
            </w:r>
          </w:p>
        </w:tc>
        <w:tc>
          <w:tcPr>
            <w:vAlign w:val="center"/>
          </w:tcPr>
          <w:p>
            <w:pPr>
              <w:jc w:val="right"/>
            </w:pPr>
            <w:r>
              <w:rPr>
                <w:color w:val="000000"/>
                <w:kern w:val="0"/>
                <w:sz w:val="24"/>
                <w:szCs w:val="24"/>
              </w:rPr>
              <w:t>61,610</w:t>
            </w:r>
          </w:p>
        </w:tc>
        <w:tc>
          <w:tcPr>
            <w:vAlign w:val="center"/>
          </w:tcPr>
          <w:p>
            <w:pPr>
              <w:jc w:val="right"/>
            </w:pPr>
            <w:r>
              <w:rPr>
                <w:color w:val="000000"/>
                <w:kern w:val="0"/>
                <w:sz w:val="24"/>
                <w:szCs w:val="24"/>
              </w:rPr>
              <w:t>6,165,928.80</w:t>
            </w:r>
          </w:p>
        </w:tc>
        <w:tc>
          <w:tcPr>
            <w:vAlign w:val="center"/>
          </w:tcPr>
          <w:p>
            <w:pPr>
              <w:jc w:val="right"/>
            </w:pPr>
            <w:r>
              <w:rPr>
                <w:color w:val="000000"/>
                <w:kern w:val="0"/>
                <w:sz w:val="24"/>
                <w:szCs w:val="24"/>
              </w:rPr>
              <w:t>5.36</w:t>
            </w:r>
          </w:p>
        </w:tc>
      </w:tr>
      <w:tr>
        <w:tc>
          <w:tcPr>
            <w:vAlign w:val="center"/>
          </w:tcPr>
          <w:p>
            <w:pPr>
              <w:jc w:val="center"/>
            </w:pPr>
            <w:r>
              <w:rPr>
                <w:color w:val="000000"/>
                <w:kern w:val="0"/>
                <w:sz w:val="24"/>
                <w:szCs w:val="24"/>
              </w:rPr>
              <w:t>5</w:t>
            </w:r>
          </w:p>
        </w:tc>
        <w:tc>
          <w:tcPr>
            <w:vAlign w:val="center"/>
          </w:tcPr>
          <w:p>
            <w:pPr>
              <w:jc w:val="center"/>
            </w:pPr>
            <w:r>
              <w:rPr>
                <w:color w:val="000000"/>
                <w:kern w:val="0"/>
                <w:sz w:val="24"/>
                <w:szCs w:val="24"/>
              </w:rPr>
              <w:t>019627</w:t>
            </w:r>
          </w:p>
        </w:tc>
        <w:tc>
          <w:tcPr>
            <w:vAlign w:val="center"/>
          </w:tcPr>
          <w:p>
            <w:pPr>
              <w:jc w:val="center"/>
            </w:pPr>
            <w:r>
              <w:rPr>
                <w:color w:val="000000"/>
                <w:kern w:val="0"/>
                <w:sz w:val="24"/>
                <w:szCs w:val="24"/>
              </w:rPr>
              <w:t>20国债01</w:t>
            </w:r>
          </w:p>
        </w:tc>
        <w:tc>
          <w:tcPr>
            <w:vAlign w:val="center"/>
          </w:tcPr>
          <w:p>
            <w:pPr>
              <w:jc w:val="right"/>
            </w:pPr>
            <w:r>
              <w:rPr>
                <w:color w:val="000000"/>
                <w:kern w:val="0"/>
                <w:sz w:val="24"/>
                <w:szCs w:val="24"/>
              </w:rPr>
              <w:t>52,000</w:t>
            </w:r>
          </w:p>
        </w:tc>
        <w:tc>
          <w:tcPr>
            <w:vAlign w:val="center"/>
          </w:tcPr>
          <w:p>
            <w:pPr>
              <w:jc w:val="right"/>
            </w:pPr>
            <w:r>
              <w:rPr>
                <w:color w:val="000000"/>
                <w:kern w:val="0"/>
                <w:sz w:val="24"/>
                <w:szCs w:val="24"/>
              </w:rPr>
              <w:t>5,202,600.00</w:t>
            </w:r>
          </w:p>
        </w:tc>
        <w:tc>
          <w:tcPr>
            <w:vAlign w:val="center"/>
          </w:tcPr>
          <w:p>
            <w:pPr>
              <w:jc w:val="right"/>
            </w:pPr>
            <w:r>
              <w:rPr>
                <w:color w:val="000000"/>
                <w:kern w:val="0"/>
                <w:sz w:val="24"/>
                <w:szCs w:val="24"/>
              </w:rPr>
              <w:t>4.53</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5.6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的前十名资产支持证券投资明细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本基金本报告期末未持有资产支持证券。</w:t>
      </w:r>
    </w:p>
    <w:p w:rsidP="001D63BB" w:rsidR="00750D48" w:rsidRDefault="00750D48" w:rsidRPr="001D63BB">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r w:rsidRPr="001B0A62">
        <w:rPr>
          <w:rFonts w:ascii="宋体" w:hAnsi="宋体"/>
          <w:b/>
          <w:bCs/>
          <w:color w:val="000000"/>
          <w:kern w:val="0"/>
          <w:sz w:val="24"/>
          <w:szCs w:val="24"/>
        </w:rPr>
        <w:t>5.</w:t>
      </w:r>
      <w:r>
        <w:rPr>
          <w:rFonts w:ascii="宋体" w:hAnsi="宋体"/>
          <w:b/>
          <w:bCs/>
          <w:color w:val="000000"/>
          <w:kern w:val="0"/>
          <w:sz w:val="24"/>
          <w:szCs w:val="24"/>
        </w:rPr>
        <w:t/>
      </w:r>
      <w:r w:rsidRPr="001B0A62">
        <w:rPr>
          <w:rFonts w:ascii="宋体"/>
          <w:b/>
          <w:bCs/>
          <w:color w:val="000000"/>
          <w:kern w:val="0"/>
          <w:sz w:val="24"/>
          <w:szCs w:val="24"/>
        </w:rPr>
        <w:t>7</w:t>
      </w:r>
      <w:r w:rsidRPr="001D63BB">
        <w:rPr>
          <w:rFonts w:ascii="宋体" w:hAnsi="宋体" w:hint="eastAsia"/>
          <w:b/>
          <w:bCs/>
          <w:color w:val="000000"/>
          <w:kern w:val="0"/>
          <w:sz w:val="24"/>
          <w:szCs w:val="24"/>
        </w:rPr>
        <w:t>报告期末按公允价值占基金资产净值比例大小排序的前五名贵金属投资明细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本基金本报告期末未持有贵金属。</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Pr>
          <w:rFonts w:asci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5.</w:t>
      </w:r>
      <w:r w:rsidRPr="001B0A62">
        <w:rPr>
          <w:rFonts w:ascii="宋体" w:hAns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8</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的前五名权证投资明细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本基金本报告期末未持有权证。</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w:t>
      </w:r>
      <w:r>
        <w:rPr>
          <w:rFonts w:ascii="宋体"/>
          <w:b/>
          <w:bCs/>
          <w:color w:val="000000"/>
          <w:kern w:val="0"/>
          <w:sz w:val="24"/>
          <w:szCs w:val="24"/>
        </w:rPr>
        <w:t>.</w:t>
      </w:r>
      <w:r>
        <w:rPr>
          <w:rFonts w:ascii="宋体" w:hAnsi="宋体"/>
          <w:b/>
          <w:bCs/>
          <w:color w:val="000000"/>
          <w:kern w:val="0"/>
          <w:sz w:val="24"/>
          <w:szCs w:val="24"/>
        </w:rPr>
        <w:t/>
      </w:r>
      <w:r w:rsidRPr="001B0A62">
        <w:rPr>
          <w:rFonts w:ascii="宋体"/>
          <w:b/>
          <w:bCs/>
          <w:color w:val="000000"/>
          <w:kern w:val="0"/>
          <w:sz w:val="24"/>
          <w:szCs w:val="24"/>
        </w:rPr>
        <w:t>9</w:t>
      </w:r>
      <w:r w:rsidRPr="001B0A62">
        <w:rPr>
          <w:rFonts w:ascii="宋体" w:hAnsi="宋体" w:hint="eastAsia"/>
          <w:b/>
          <w:bCs/>
          <w:color w:val="000000"/>
          <w:kern w:val="0"/>
          <w:sz w:val="24"/>
          <w:szCs w:val="24"/>
        </w:rPr>
        <w:t>报告期末本基金投资的股指期货交易情况说明</w:t>
      </w:r>
    </w:p>
    <w:p w:rsidP="00277FAE" w:rsidR="00277FAE" w:rsidRDefault="00277FAE">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r>
        <w:rPr>
          <w:color w:val="000000"/>
          <w:sz w:val="24"/>
        </w:rPr>
        <w:t/>
      </w:r>
      <w:r>
        <w:rPr>
          <w:rFonts w:eastAsiaTheme="minorEastAsia"/>
          <w:color w:themeColor="text1" w:val="000000"/>
          <w:sz w:val="24"/>
        </w:rPr>
        <w:t/>
      </w:r>
      <w:proofErr w:type="spellEnd"/>
      <w:r>
        <w:rPr>
          <w:rFonts w:eastAsiaTheme="minorEastAsia"/>
          <w:color w:themeColor="text1" w:val="000000"/>
          <w:sz w:val="24"/>
        </w:rPr>
        <w:t>本基金本报告期末未投资股指期货。</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5.10</w:t>
      </w:r>
      <w:r w:rsidRPr="001B0A62">
        <w:rPr>
          <w:rFonts w:ascii="宋体" w:hAnsi="宋体" w:hint="eastAsia"/>
          <w:b/>
          <w:bCs/>
          <w:color w:val="000000"/>
          <w:kern w:val="0"/>
          <w:sz w:val="24"/>
          <w:szCs w:val="24"/>
        </w:rPr>
        <w:t>报告期末本基金投资的国债期货交易情况说明</w:t>
      </w:r>
    </w:p>
    <w:p w:rsidP="00277FAE" w:rsidR="00277FAE" w:rsidRDefault="00277FAE">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r>
        <w:rPr>
          <w:color w:val="000000"/>
          <w:sz w:val="24"/>
        </w:rPr>
        <w:t/>
      </w:r>
      <w:proofErr w:type="spellEnd"/>
      <w:r>
        <w:rPr>
          <w:color w:val="000000"/>
          <w:sz w:val="24"/>
        </w:rPr>
        <w:t>本基金本报告期末未投资国债期货。</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5.11 </w:t>
      </w:r>
      <w:r w:rsidRPr="00264E55">
        <w:rPr>
          <w:rFonts w:ascii="宋体" w:hAnsi="宋体" w:hint="eastAsia"/>
          <w:b/>
          <w:bCs/>
          <w:color w:val="000000"/>
          <w:kern w:val="0"/>
          <w:sz w:val="24"/>
          <w:szCs w:val="24"/>
        </w:rPr>
        <w:t>投资组合报告附注</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r w:rsidR="00750D48" w:rsidRPr="00264E55">
        <w:rPr>
          <w:rFonts w:ascii="宋体"/>
          <w:color w:val="000000"/>
          <w:sz w:val="24"/>
          <w:szCs w:val="24"/>
        </w:rPr>
        <w:t/>
      </w:r>
      <w:r w:rsidR="00750D48" w:rsidRPr="00264E55">
        <w:rPr>
          <w:rFonts w:ascii="宋体" w:hAnsi="宋体"/>
          <w:color w:val="000000"/>
          <w:sz w:val="24"/>
          <w:szCs w:val="24"/>
        </w:rPr>
        <w:t>5.11.1</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本基金投资的前十名证券的发行主体本期没有出现被监管部门立案调查，或在报告编制日前一年内受到公开谴责、处罚的情形。</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750D48" w:rsidRPr="00264E55">
        <w:rPr>
          <w:rFonts w:ascii="宋体" w:hAnsi="宋体"/>
          <w:color w:val="000000"/>
          <w:sz w:val="24"/>
          <w:szCs w:val="24"/>
        </w:rPr>
        <w:t/>
      </w:r>
      <w:proofErr w:type="gramStart"/>
      <w:r w:rsidR="00750D48" w:rsidRPr="00264E55">
        <w:rPr>
          <w:rFonts w:ascii="宋体" w:hAnsi="宋体"/>
          <w:color w:val="000000"/>
          <w:sz w:val="24"/>
          <w:szCs w:val="24"/>
        </w:rPr>
        <w:t/>
      </w:r>
      <w:proofErr w:type="gramEnd"/>
      <w:r w:rsidR="00750D48" w:rsidRPr="00264E55">
        <w:rPr>
          <w:rFonts w:ascii="宋体" w:hAnsi="宋体"/>
          <w:color w:val="000000"/>
          <w:sz w:val="24"/>
          <w:szCs w:val="24"/>
        </w:rPr>
        <w:t>5.11.2</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本基金投资的前十名股票没有超出基金合同规定的备选股票库。</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 xml:space="preserve">5.11.3 </w:t>
      </w:r>
      <w:r w:rsidR="00B371D4">
        <w:rPr>
          <w:rFonts w:ascii="宋体" w:hAnsi="宋体" w:hint="eastAsia"/>
          <w:bCs/>
          <w:color w:val="000000"/>
          <w:kern w:val="0"/>
          <w:sz w:val="24"/>
          <w:szCs w:val="24"/>
        </w:rPr>
        <w:t>其他</w:t>
      </w:r>
      <w:bookmarkStart w:id="2" w:name="_GoBack"/>
      <w:bookmarkEnd w:id="2"/>
      <w:r w:rsidRPr="001C7E00">
        <w:rPr>
          <w:rFonts w:ascii="宋体" w:hAnsi="宋体" w:hint="eastAsia"/>
          <w:bCs/>
          <w:color w:val="000000"/>
          <w:kern w:val="0"/>
          <w:sz w:val="24"/>
          <w:szCs w:val="24"/>
        </w:rPr>
        <w:t>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470"/>
        <w:gridCol w:w="4808"/>
      </w:tblGrid>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序号</w:t>
            </w:r>
          </w:p>
        </w:tc>
        <w:tc>
          <w:tcPr>
            <w:tcW w:type="dxa" w:w="2470"/>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名称</w:t>
            </w:r>
          </w:p>
        </w:tc>
        <w:tc>
          <w:tcPr>
            <w:tcW w:type="dxa" w:w="4808"/>
            <w:vAlign w:val="center"/>
          </w:tcPr>
          <w:p w:rsidP="005F7917"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金额</w:t>
            </w:r>
            <w:r w:rsidR="005F7917" w:rsidRPr="00B227EA">
              <w:rPr>
                <w:color w:val="000000"/>
                <w:kern w:val="0"/>
                <w:sz w:val="24"/>
                <w:szCs w:val="24"/>
              </w:rPr>
              <w:t>（元）</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lastRenderedPageBreak/>
              <w:t>1</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存出保证金</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3,441.82</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2</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应收证券清算款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4,496,669.87</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3</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应收股利</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4</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应收利息</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2,561,022.33</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5</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应收申购款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284,156.32</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6</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其他应收款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7</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待摊费用</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8</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9</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合计</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7,345,290.34</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5.11.4</w:t>
      </w:r>
      <w:r w:rsidRPr="001C7E00">
        <w:rPr>
          <w:rFonts w:ascii="宋体" w:hAnsi="宋体" w:hint="eastAsia"/>
          <w:bCs/>
          <w:color w:val="000000"/>
          <w:kern w:val="0"/>
          <w:sz w:val="24"/>
          <w:szCs w:val="24"/>
        </w:rPr>
        <w:t>报告期末持有的处于转股期的可转换债券明细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808"/>
        <w:gridCol w:w="1729"/>
        <w:gridCol w:w="1658"/>
        <w:gridCol w:w="1697"/>
        <w:gridCol w:w="1621"/>
      </w:tblGrid>
      <w:tr w:rsidR="00750D48" w:rsidRPr="00264E55" w:rsidTr="00B05049">
        <w:tc>
          <w:tcPr>
            <w:tcW w:type="dxa" w:w="1808"/>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序号</w:t>
            </w:r>
          </w:p>
        </w:tc>
        <w:tc>
          <w:tcPr>
            <w:tcW w:type="dxa" w:w="1729"/>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债券代码</w:t>
            </w:r>
          </w:p>
        </w:tc>
        <w:tc>
          <w:tcPr>
            <w:tcW w:type="dxa" w:w="1658"/>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债券名称</w:t>
            </w:r>
          </w:p>
        </w:tc>
        <w:tc>
          <w:tcPr>
            <w:tcW w:type="dxa" w:w="1697"/>
            <w:vAlign w:val="center"/>
          </w:tcPr>
          <w:p w:rsidP="005F7917"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公允价值</w:t>
            </w:r>
            <w:r w:rsidR="005F7917" w:rsidRPr="00B227EA">
              <w:rPr>
                <w:color w:val="000000"/>
                <w:kern w:val="0"/>
                <w:sz w:val="24"/>
                <w:szCs w:val="24"/>
              </w:rPr>
              <w:t>（元）</w:t>
            </w:r>
          </w:p>
        </w:tc>
        <w:tc>
          <w:tcPr>
            <w:tcW w:type="dxa" w:w="1621"/>
            <w:vAlign w:val="center"/>
          </w:tcPr>
          <w:p w:rsidP="005F7917"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占基金资产净值比例</w:t>
            </w:r>
            <w:r w:rsidR="005F7917" w:rsidRPr="00B227EA">
              <w:rPr>
                <w:color w:val="000000"/>
                <w:kern w:val="0"/>
                <w:sz w:val="24"/>
                <w:szCs w:val="24"/>
              </w:rPr>
              <w:t>（</w:t>
            </w:r>
            <w:r w:rsidR="005F7917" w:rsidRPr="00B227EA">
              <w:rPr>
                <w:color w:val="000000"/>
                <w:kern w:val="0"/>
                <w:sz w:val="24"/>
                <w:szCs w:val="24"/>
              </w:rPr>
              <w:t>%</w:t>
            </w:r>
            <w:r w:rsidR="005F7917" w:rsidRPr="00B227EA">
              <w:rPr>
                <w:color w:val="000000"/>
                <w:kern w:val="0"/>
                <w:sz w:val="24"/>
                <w:szCs w:val="24"/>
              </w:rPr>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132004</w:t>
            </w:r>
          </w:p>
        </w:tc>
        <w:tc>
          <w:tcPr>
            <w:vAlign w:val="center"/>
          </w:tcPr>
          <w:p>
            <w:pPr>
              <w:jc w:val="center"/>
            </w:pPr>
            <w:r>
              <w:rPr>
                <w:color w:val="000000"/>
                <w:kern w:val="0"/>
                <w:sz w:val="24"/>
                <w:szCs w:val="24"/>
              </w:rPr>
              <w:t>15国盛EB</w:t>
            </w:r>
          </w:p>
        </w:tc>
        <w:tc>
          <w:tcPr>
            <w:vAlign w:val="center"/>
          </w:tcPr>
          <w:p>
            <w:pPr>
              <w:jc w:val="right"/>
            </w:pPr>
            <w:r>
              <w:rPr>
                <w:color w:val="000000"/>
                <w:kern w:val="0"/>
                <w:sz w:val="24"/>
                <w:szCs w:val="24"/>
              </w:rPr>
              <w:t>6,165,928.80</w:t>
            </w:r>
          </w:p>
        </w:tc>
        <w:tc>
          <w:tcPr>
            <w:vAlign w:val="center"/>
          </w:tcPr>
          <w:p>
            <w:pPr>
              <w:jc w:val="right"/>
            </w:pPr>
            <w:r>
              <w:rPr>
                <w:color w:val="000000"/>
                <w:kern w:val="0"/>
                <w:sz w:val="24"/>
                <w:szCs w:val="24"/>
              </w:rPr>
              <w:t>5.36</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128015</w:t>
            </w:r>
          </w:p>
        </w:tc>
        <w:tc>
          <w:tcPr>
            <w:vAlign w:val="center"/>
          </w:tcPr>
          <w:p>
            <w:pPr>
              <w:jc w:val="center"/>
            </w:pPr>
            <w:r>
              <w:rPr>
                <w:color w:val="000000"/>
                <w:kern w:val="0"/>
                <w:sz w:val="24"/>
                <w:szCs w:val="24"/>
              </w:rPr>
              <w:t>久其转债</w:t>
            </w:r>
          </w:p>
        </w:tc>
        <w:tc>
          <w:tcPr>
            <w:vAlign w:val="center"/>
          </w:tcPr>
          <w:p>
            <w:pPr>
              <w:jc w:val="right"/>
            </w:pPr>
            <w:r>
              <w:rPr>
                <w:color w:val="000000"/>
                <w:kern w:val="0"/>
                <w:sz w:val="24"/>
                <w:szCs w:val="24"/>
              </w:rPr>
              <w:t>2,569,403.20</w:t>
            </w:r>
          </w:p>
        </w:tc>
        <w:tc>
          <w:tcPr>
            <w:vAlign w:val="center"/>
          </w:tcPr>
          <w:p>
            <w:pPr>
              <w:jc w:val="right"/>
            </w:pPr>
            <w:r>
              <w:rPr>
                <w:color w:val="000000"/>
                <w:kern w:val="0"/>
                <w:sz w:val="24"/>
                <w:szCs w:val="24"/>
              </w:rPr>
              <w:t>2.23</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128010</w:t>
            </w:r>
          </w:p>
        </w:tc>
        <w:tc>
          <w:tcPr>
            <w:vAlign w:val="center"/>
          </w:tcPr>
          <w:p>
            <w:pPr>
              <w:jc w:val="center"/>
            </w:pPr>
            <w:r>
              <w:rPr>
                <w:color w:val="000000"/>
                <w:kern w:val="0"/>
                <w:sz w:val="24"/>
                <w:szCs w:val="24"/>
              </w:rPr>
              <w:t>顺昌转债</w:t>
            </w:r>
          </w:p>
        </w:tc>
        <w:tc>
          <w:tcPr>
            <w:vAlign w:val="center"/>
          </w:tcPr>
          <w:p>
            <w:pPr>
              <w:jc w:val="right"/>
            </w:pPr>
            <w:r>
              <w:rPr>
                <w:color w:val="000000"/>
                <w:kern w:val="0"/>
                <w:sz w:val="24"/>
                <w:szCs w:val="24"/>
              </w:rPr>
              <w:t>1,208,589.60</w:t>
            </w:r>
          </w:p>
        </w:tc>
        <w:tc>
          <w:tcPr>
            <w:vAlign w:val="center"/>
          </w:tcPr>
          <w:p>
            <w:pPr>
              <w:jc w:val="right"/>
            </w:pPr>
            <w:r>
              <w:rPr>
                <w:color w:val="000000"/>
                <w:kern w:val="0"/>
                <w:sz w:val="24"/>
                <w:szCs w:val="24"/>
              </w:rPr>
              <w:t>1.05</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128023</w:t>
            </w:r>
          </w:p>
        </w:tc>
        <w:tc>
          <w:tcPr>
            <w:vAlign w:val="center"/>
          </w:tcPr>
          <w:p>
            <w:pPr>
              <w:jc w:val="center"/>
            </w:pPr>
            <w:r>
              <w:rPr>
                <w:color w:val="000000"/>
                <w:kern w:val="0"/>
                <w:sz w:val="24"/>
                <w:szCs w:val="24"/>
              </w:rPr>
              <w:t>亚太转债</w:t>
            </w:r>
          </w:p>
        </w:tc>
        <w:tc>
          <w:tcPr>
            <w:vAlign w:val="center"/>
          </w:tcPr>
          <w:p>
            <w:pPr>
              <w:jc w:val="right"/>
            </w:pPr>
            <w:r>
              <w:rPr>
                <w:color w:val="000000"/>
                <w:kern w:val="0"/>
                <w:sz w:val="24"/>
                <w:szCs w:val="24"/>
              </w:rPr>
              <w:t>348,442.16</w:t>
            </w:r>
          </w:p>
        </w:tc>
        <w:tc>
          <w:tcPr>
            <w:vAlign w:val="center"/>
          </w:tcPr>
          <w:p>
            <w:pPr>
              <w:jc w:val="right"/>
            </w:pPr>
            <w:r>
              <w:rPr>
                <w:color w:val="000000"/>
                <w:kern w:val="0"/>
                <w:sz w:val="24"/>
                <w:szCs w:val="24"/>
              </w:rPr>
              <w:t>0.30</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5.11.5</w:t>
      </w:r>
      <w:r w:rsidRPr="001C7E00">
        <w:rPr>
          <w:rFonts w:ascii="宋体" w:hAnsi="宋体" w:hint="eastAsia"/>
          <w:bCs/>
          <w:color w:val="000000"/>
          <w:kern w:val="0"/>
          <w:sz w:val="24"/>
          <w:szCs w:val="24"/>
        </w:rPr>
        <w:t>报告期末前十名股票中存在流通受限情况的说明</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083"/>
        <w:gridCol w:w="1302"/>
        <w:gridCol w:w="1301"/>
        <w:gridCol w:w="1805"/>
        <w:gridCol w:w="1655"/>
        <w:gridCol w:w="1367"/>
      </w:tblGrid>
      <w:tr w:rsidR="00750D48" w:rsidRPr="00264E55" w:rsidTr="00B05049">
        <w:tc>
          <w:tcPr>
            <w:tcW w:type="dxa" w:w="1083"/>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序号</w:t>
            </w:r>
          </w:p>
        </w:tc>
        <w:tc>
          <w:tcPr>
            <w:tcW w:type="dxa" w:w="1302"/>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股票代码</w:t>
            </w:r>
          </w:p>
        </w:tc>
        <w:tc>
          <w:tcPr>
            <w:tcW w:type="dxa" w:w="1301"/>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股票名称</w:t>
            </w:r>
          </w:p>
        </w:tc>
        <w:tc>
          <w:tcPr>
            <w:tcW w:type="dxa" w:w="1805"/>
            <w:vAlign w:val="center"/>
          </w:tcPr>
          <w:p w:rsidP="005F7917"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流通受限部分的公允价值</w:t>
            </w:r>
            <w:r w:rsidR="005F7917" w:rsidRPr="00B227EA">
              <w:rPr>
                <w:color w:val="000000"/>
                <w:kern w:val="0"/>
                <w:sz w:val="24"/>
                <w:szCs w:val="24"/>
              </w:rPr>
              <w:t>（元）</w:t>
            </w:r>
          </w:p>
        </w:tc>
        <w:tc>
          <w:tcPr>
            <w:tcW w:type="dxa" w:w="1655"/>
            <w:vAlign w:val="center"/>
          </w:tcPr>
          <w:p w:rsidP="005F7917"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占基金资产净值比例</w:t>
            </w:r>
            <w:r w:rsidR="005F7917" w:rsidRPr="00B227EA">
              <w:rPr>
                <w:color w:val="000000"/>
                <w:kern w:val="0"/>
                <w:sz w:val="24"/>
                <w:szCs w:val="24"/>
              </w:rPr>
              <w:t>（</w:t>
            </w:r>
            <w:r w:rsidR="005F7917" w:rsidRPr="00B227EA">
              <w:rPr>
                <w:color w:val="000000"/>
                <w:kern w:val="0"/>
                <w:sz w:val="24"/>
                <w:szCs w:val="24"/>
              </w:rPr>
              <w:t>%</w:t>
            </w:r>
            <w:r w:rsidR="005F7917" w:rsidRPr="00B227EA">
              <w:rPr>
                <w:color w:val="000000"/>
                <w:kern w:val="0"/>
                <w:sz w:val="24"/>
                <w:szCs w:val="24"/>
              </w:rPr>
              <w:t>）</w:t>
            </w:r>
          </w:p>
        </w:tc>
        <w:tc>
          <w:tcPr>
            <w:tcW w:type="dxa" w:w="1367"/>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流通受限情况说明</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300845</w:t>
            </w:r>
          </w:p>
        </w:tc>
        <w:tc>
          <w:tcPr>
            <w:vAlign w:val="center"/>
          </w:tcPr>
          <w:p>
            <w:pPr>
              <w:jc w:val="center"/>
            </w:pPr>
            <w:r>
              <w:rPr>
                <w:color w:val="000000"/>
                <w:kern w:val="0"/>
                <w:sz w:val="24"/>
                <w:szCs w:val="24"/>
              </w:rPr>
              <w:t>捷安高科</w:t>
            </w:r>
          </w:p>
        </w:tc>
        <w:tc>
          <w:tcPr>
            <w:vAlign w:val="center"/>
          </w:tcPr>
          <w:p>
            <w:pPr>
              <w:jc w:val="right"/>
            </w:pPr>
            <w:r>
              <w:rPr>
                <w:color w:val="000000"/>
                <w:kern w:val="0"/>
                <w:sz w:val="24"/>
                <w:szCs w:val="24"/>
              </w:rPr>
              <w:t>8,815.00</w:t>
            </w:r>
          </w:p>
        </w:tc>
        <w:tc>
          <w:tcPr>
            <w:vAlign w:val="center"/>
          </w:tcPr>
          <w:p>
            <w:pPr>
              <w:jc w:val="right"/>
            </w:pPr>
            <w:r>
              <w:rPr>
                <w:color w:val="000000"/>
                <w:kern w:val="0"/>
                <w:sz w:val="24"/>
                <w:szCs w:val="24"/>
              </w:rPr>
              <w:t>0.01</w:t>
            </w:r>
          </w:p>
        </w:tc>
        <w:tc>
          <w:tcPr>
            <w:vAlign w:val="center"/>
          </w:tcPr>
          <w:p>
            <w:pPr>
              <w:jc w:val="right"/>
            </w:pPr>
            <w:r>
              <w:rPr>
                <w:color w:val="000000"/>
                <w:kern w:val="0"/>
                <w:sz w:val="24"/>
                <w:szCs w:val="24"/>
              </w:rPr>
              <w:t>新股流通受限</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6  </w:t>
      </w:r>
      <w:r w:rsidRPr="00264E55">
        <w:rPr>
          <w:rFonts w:ascii="宋体" w:hAnsi="宋体" w:hint="eastAsia"/>
          <w:color w:val="000000"/>
          <w:kern w:val="0"/>
          <w:sz w:val="24"/>
          <w:szCs w:val="24"/>
        </w:rPr>
        <w:t>开放式基金份额变动</w:t>
      </w:r>
    </w:p>
    <w:p w:rsidP="004061AC" w:rsidR="00750D48" w:rsidRDefault="00750D48" w:rsidRPr="00264E55">
      <w:pPr>
        <w:autoSpaceDE w:val="0"/>
        <w:autoSpaceDN w:val="0"/>
        <w:adjustRightInd w:val="0"/>
        <w:spacing w:before="29" w:line="360" w:lineRule="auto"/>
        <w:ind w:left="15"/>
        <w:jc w:val="right"/>
        <w:rPr>
          <w:rFonts w:ascii="宋体"/>
          <w:color w:val="000000"/>
          <w:kern w:val="0"/>
          <w:sz w:val="24"/>
          <w:szCs w:val="24"/>
        </w:rPr>
      </w:pPr>
      <w:r w:rsidRPr="00264E55">
        <w:rPr>
          <w:rFonts w:ascii="宋体" w:cs="宋体" w:hAnsi="宋体" w:hint="eastAsia"/>
          <w:color w:val="000000"/>
          <w:kern w:val="0"/>
          <w:sz w:val="24"/>
          <w:szCs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609"/>
        <w:gridCol w:w="4025"/>
      </w:tblGrid>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报告期期初基金份额总额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73,612,277.01</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基金总申购份额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14,522,455.73</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减：</w:t>
            </w: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基金总赎回份额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15,874,409.49</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基金拆分变动份额</w:t>
            </w:r>
            <w:r w:rsidR="00921BFA" w:rsidRPr="00921BFA">
              <w:rPr>
                <w:rFonts w:hint="eastAsia"/>
                <w:color w:val="000000"/>
                <w:kern w:val="0"/>
                <w:sz w:val="24"/>
                <w:szCs w:val="24"/>
              </w:rPr>
              <w:t>（份额减少以“</w:t>
            </w:r>
            <w:r w:rsidR="00921BFA" w:rsidRPr="00921BFA">
              <w:rPr>
                <w:rFonts w:hint="eastAsia"/>
                <w:color w:val="000000"/>
                <w:kern w:val="0"/>
                <w:sz w:val="24"/>
                <w:szCs w:val="24"/>
              </w:rPr>
              <w:t>-</w:t>
            </w:r>
            <w:r w:rsidR="00921BFA" w:rsidRPr="00921BFA">
              <w:rPr>
                <w:rFonts w:hint="eastAsia"/>
                <w:color w:val="000000"/>
                <w:kern w:val="0"/>
                <w:sz w:val="24"/>
                <w:szCs w:val="24"/>
              </w:rPr>
              <w:t>”填列）</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报告期期末基金份额总额</w:t>
            </w:r>
          </w:p>
        </w:tc>
        <w:tc>
          <w:tcPr>
            <w:tcW w:type="dxa" w:w="4025"/>
            <w:vAlign w:val="center"/>
          </w:tcPr>
          <w:p w:rsidP="000A2B53"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72,260,323.25</w:t>
            </w:r>
          </w:p>
        </w:tc>
      </w:tr>
    </w:tbl>
    <w:p w:rsidP="004D28A3" w:rsidR="00750D48" w:rsidRDefault="00750D48">
      <w:pPr>
        <w:pStyle w:val="1"/>
        <w:tabs>
          <w:tab w:pos="4156" w:val="center"/>
          <w:tab w:pos="8312" w:val="right"/>
        </w:tabs>
        <w:spacing w:after="312" w:afterLines="100" w:before="312" w:beforeLines="100" w:line="360" w:lineRule="auto"/>
        <w:jc w:val="center"/>
        <w:rPr>
          <w:rFonts w:ascii="方正仿宋简体"/>
          <w:sz w:val="24"/>
          <w:szCs w:val="24"/>
        </w:rPr>
      </w:pPr>
      <w:r>
        <w:rPr>
          <w:rFonts w:ascii="宋体" w:cs="Arial" w:hAnsi="宋体" w:hint="eastAsia"/>
          <w:color w:val="000000"/>
          <w:kern w:val="0"/>
          <w:sz w:val="24"/>
          <w:szCs w:val="24"/>
        </w:rPr>
        <w:lastRenderedPageBreak/>
        <w:t>§</w:t>
      </w:r>
      <w:r>
        <w:rPr>
          <w:rFonts w:ascii="宋体" w:cs="Arial"/>
          <w:color w:val="000000"/>
          <w:kern w:val="0"/>
          <w:sz w:val="24"/>
          <w:szCs w:val="24"/>
        </w:rPr>
        <w:t/>
      </w:r>
      <w:r>
        <w:rPr>
          <w:rFonts w:ascii="宋体" w:cs="Arial" w:hAnsi="宋体"/>
          <w:color w:val="000000"/>
          <w:kern w:val="0"/>
          <w:sz w:val="24"/>
          <w:szCs w:val="24"/>
        </w:rPr>
        <w:t xml:space="preserve">7  </w:t>
      </w:r>
      <w:r>
        <w:rPr>
          <w:rFonts w:ascii="方正仿宋简体" w:hint="eastAsia"/>
          <w:sz w:val="24"/>
          <w:szCs w:val="24"/>
        </w:rPr>
        <w:t>基金管理人运用固有资金投资本基金情况</w:t>
      </w:r>
    </w:p>
    <w:p w:rsidP="00EB374A" w:rsidR="00750D48" w:rsidRDefault="00750D48">
      <w:pPr>
        <w:spacing w:line="360" w:lineRule="auto"/>
        <w:jc w:val="left"/>
        <w:rPr>
          <w:sz w:val="24"/>
          <w:szCs w:val="24"/>
        </w:rPr>
      </w:pPr>
      <w:r>
        <w:rPr>
          <w:b/>
          <w:sz w:val="24"/>
        </w:rPr>
        <w:t/>
      </w:r>
      <w:proofErr w:type="spellStart"/>
      <w:r>
        <w:rPr>
          <w:b/>
          <w:sz w:val="24"/>
        </w:rPr>
        <w:t/>
      </w:r>
      <w:proofErr w:type="spellEnd"/>
      <w:r>
        <w:rPr>
          <w:b/>
          <w:sz w:val="24"/>
        </w:rPr>
        <w:t xml:space="preserve">7.1 </w:t>
      </w:r>
      <w:r>
        <w:rPr>
          <w:rFonts w:hint="eastAsia"/>
          <w:b/>
          <w:sz w:val="24"/>
        </w:rPr>
        <w:t>基金管理人持有本基金份额变动情况</w:t>
      </w:r>
    </w:p>
    <w:p w:rsidP="00AC11B0" w:rsidR="00AC11B0" w:rsidRDefault="00AC11B0" w:rsidRPr="005A564A">
      <w:pPr>
        <w:autoSpaceDE w:val="0"/>
        <w:autoSpaceDN w:val="0"/>
        <w:adjustRightInd w:val="0"/>
        <w:spacing w:before="29" w:line="360" w:lineRule="auto"/>
        <w:ind w:left="15"/>
        <w:jc w:val="right"/>
        <w:rPr>
          <w:sz w:val="24"/>
        </w:rPr>
      </w:pPr>
      <w:r w:rsidRPr="005A564A">
        <w:rPr>
          <w:sz w:val="24"/>
        </w:rPr>
        <w:t/>
      </w:r>
      <w:proofErr w:type="spellStart"/>
      <w:r w:rsidRPr="005A564A">
        <w:rPr>
          <w:sz w:val="24"/>
        </w:rPr>
        <w:t/>
      </w:r>
      <w:proofErr w:type="spellEnd"/>
      <w:r w:rsidRPr="005A564A">
        <w:rPr>
          <w:sz w:val="24"/>
        </w:rPr>
        <w:t/>
      </w:r>
      <w:r w:rsidRPr="005A564A">
        <w:rPr>
          <w:sz w:val="24"/>
        </w:rPr>
        <w:t>单位：份</w:t>
      </w:r>
    </w:p>
    <w:tbl>
      <w:tblPr>
        <w:tblW w:type="dxa" w:w="8415"/>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1" w:firstRow="1" w:lastColumn="0" w:lastRow="0" w:noHBand="0" w:noVBand="1" w:val="04A0"/>
      </w:tblPr>
      <w:tblGrid>
        <w:gridCol w:w="5037"/>
        <w:gridCol w:w="3378"/>
      </w:tblGrid>
      <w:tr w:rsidR="00AC11B0" w:rsidRPr="003B42FF" w:rsidTr="003B5535">
        <w:tc>
          <w:tcPr>
            <w:tcW w:type="dxa" w:w="5037"/>
            <w:vAlign w:val="center"/>
            <w:hideMark/>
          </w:tcPr>
          <w:p w:rsidP="003328D9" w:rsidR="00AC11B0" w:rsidRDefault="00AC11B0" w:rsidRPr="003B42FF">
            <w:pPr>
              <w:pStyle w:val="ad"/>
              <w:adjustRightInd w:val="0"/>
              <w:snapToGrid w:val="0"/>
              <w:spacing w:line="360" w:lineRule="exact"/>
              <w:rPr>
                <w:rFonts w:eastAsiaTheme="minorEastAsia"/>
                <w:color w:themeColor="text1" w:val="000000"/>
              </w:rPr>
            </w:pPr>
            <w:r w:rsidRPr="003B42FF">
              <w:rPr>
                <w:rFonts w:eastAsiaTheme="minorEastAsia"/>
                <w:color w:themeColor="text1" w:val="000000"/>
              </w:rPr>
              <w:t>报告期期初管理人持有的本基金份额</w:t>
            </w:r>
            <w:r w:rsidRPr="003B42FF">
              <w:rPr>
                <w:rFonts w:eastAsiaTheme="minorEastAsia"/>
                <w:bCs/>
                <w:color w:val="000000"/>
              </w:rPr>
              <w:t/>
            </w:r>
            <w:proofErr w:type="spellStart"/>
            <w:r w:rsidRPr="003B42FF">
              <w:rPr>
                <w:rFonts w:eastAsiaTheme="minorEastAsia"/>
                <w:bCs/>
                <w:color w:val="000000"/>
              </w:rPr>
              <w:t/>
            </w:r>
            <w:proofErr w:type="spellEnd"/>
            <w:r w:rsidRPr="003B42FF">
              <w:rPr>
                <w:rFonts w:eastAsiaTheme="minorEastAsia"/>
                <w:bCs/>
                <w:color w:val="000000"/>
              </w:rPr>
              <w:t/>
            </w:r>
            <w:r w:rsidRPr="003B42FF">
              <w:rPr>
                <w:rFonts w:eastAsiaTheme="minorEastAsia"/>
                <w:color w:themeColor="text1" w:val="000000"/>
              </w:rPr>
              <w:t/>
            </w:r>
            <w:proofErr w:type="spellStart"/>
            <w:r w:rsidRPr="003B42FF">
              <w:rPr>
                <w:rFonts w:eastAsiaTheme="minorEastAsia"/>
                <w:color w:themeColor="text1" w:val="000000"/>
              </w:rPr>
              <w:t/>
            </w:r>
            <w:proofErr w:type="spellEnd"/>
            <w:r w:rsidRPr="003B42FF">
              <w:rPr>
                <w:rFonts w:eastAsiaTheme="minorEastAsia"/>
                <w:color w:themeColor="text1" w:val="000000"/>
              </w:rPr>
              <w:t/>
            </w:r>
          </w:p>
        </w:tc>
        <w:tc>
          <w:tcPr>
            <w:tcW w:type="dxa" w:w="3378"/>
            <w:vAlign w:val="center"/>
            <w:hideMark/>
          </w:tcPr>
          <w:p w:rsidP="003328D9" w:rsidR="00AC11B0" w:rsidRDefault="00AC11B0" w:rsidRPr="003B42FF">
            <w:pPr>
              <w:jc w:val="right"/>
              <w:rPr>
                <w:rFonts w:eastAsiaTheme="minorEastAsia"/>
                <w:color w:themeColor="text1" w:val="000000"/>
                <w:sz w:val="24"/>
                <w:szCs w:val="24"/>
              </w:rPr>
            </w:pPr>
            <w:r w:rsidRPr="003B42FF">
              <w:rPr>
                <w:rFonts w:eastAsiaTheme="minorEastAsia"/>
                <w:color w:themeColor="text1" w:val="000000"/>
                <w:sz w:val="24"/>
                <w:szCs w:val="24"/>
              </w:rPr>
              <w:t>3,663,744.46</w:t>
            </w:r>
          </w:p>
        </w:tc>
      </w:tr>
      <w:tr w:rsidR="00AC11B0" w:rsidRPr="003B42FF" w:rsidTr="003B5535">
        <w:tc>
          <w:tcPr>
            <w:tcW w:type="dxa" w:w="5037"/>
            <w:vAlign w:val="center"/>
            <w:hideMark/>
          </w:tcPr>
          <w:p w:rsidP="003328D9" w:rsidR="00AC11B0" w:rsidRDefault="00AC11B0" w:rsidRPr="003B42FF">
            <w:pPr>
              <w:adjustRightInd w:val="0"/>
              <w:snapToGrid w:val="0"/>
              <w:spacing w:line="360" w:lineRule="exact"/>
              <w:rPr>
                <w:rFonts w:eastAsiaTheme="minorEastAsia"/>
                <w:color w:themeColor="text1" w:val="000000"/>
                <w:sz w:val="24"/>
                <w:szCs w:val="24"/>
              </w:rPr>
            </w:pPr>
            <w:r w:rsidRPr="003B42FF">
              <w:rPr>
                <w:rFonts w:eastAsiaTheme="minorEastAsia"/>
                <w:color w:themeColor="text1" w:val="000000"/>
                <w:kern w:val="0"/>
                <w:sz w:val="24"/>
                <w:szCs w:val="24"/>
              </w:rPr>
              <w:t/>
            </w:r>
            <w:proofErr w:type="spellStart"/>
            <w:r w:rsidRPr="003B42FF">
              <w:rPr>
                <w:rFonts w:eastAsiaTheme="minorEastAsia"/>
                <w:color w:themeColor="text1" w:val="000000"/>
                <w:kern w:val="0"/>
                <w:sz w:val="24"/>
                <w:szCs w:val="24"/>
              </w:rPr>
              <w:t/>
            </w:r>
            <w:r w:rsidR="00DA718D">
              <w:rPr>
                <w:color w:val="000000"/>
                <w:kern w:val="0"/>
                <w:sz w:val="24"/>
              </w:rPr>
              <w:t/>
            </w:r>
            <w:proofErr w:type="spellEnd"/>
            <w:r w:rsidRPr="003B42FF">
              <w:rPr>
                <w:rFonts w:eastAsiaTheme="minorEastAsia"/>
                <w:color w:themeColor="text1" w:val="000000"/>
                <w:kern w:val="0"/>
                <w:sz w:val="24"/>
                <w:szCs w:val="24"/>
              </w:rPr>
              <w:t>报告期</w:t>
            </w:r>
            <w:r w:rsidR="00B53067" w:rsidRPr="00B53067">
              <w:rPr>
                <w:rFonts w:eastAsiaTheme="minorEastAsia"/>
                <w:color w:themeColor="text1" w:val="000000"/>
                <w:sz w:val="24"/>
                <w:szCs w:val="24"/>
              </w:rPr>
              <w:t>期间</w:t>
            </w:r>
            <w:r w:rsidRPr="003B42FF">
              <w:rPr>
                <w:rFonts w:eastAsiaTheme="minorEastAsia"/>
                <w:color w:themeColor="text1" w:val="000000"/>
                <w:sz w:val="24"/>
                <w:szCs w:val="24"/>
              </w:rPr>
              <w:t>买入</w:t>
            </w:r>
            <w:r w:rsidRPr="003B42FF">
              <w:rPr>
                <w:rFonts w:eastAsiaTheme="minorEastAsia"/>
                <w:color w:themeColor="text1" w:val="000000"/>
                <w:sz w:val="24"/>
                <w:szCs w:val="24"/>
              </w:rPr>
              <w:t>/</w:t>
            </w:r>
            <w:r w:rsidRPr="003B42FF">
              <w:rPr>
                <w:rFonts w:eastAsiaTheme="minorEastAsia"/>
                <w:color w:themeColor="text1" w:val="000000"/>
                <w:sz w:val="24"/>
                <w:szCs w:val="24"/>
              </w:rPr>
              <w:t>申购总份额</w:t>
            </w:r>
          </w:p>
        </w:tc>
        <w:tc>
          <w:tcPr>
            <w:tcW w:type="dxa" w:w="3378"/>
            <w:vAlign w:val="center"/>
            <w:hideMark/>
          </w:tcPr>
          <w:p w:rsidP="003328D9" w:rsidR="00AC11B0" w:rsidRDefault="00AC11B0" w:rsidRPr="003B42FF">
            <w:pPr>
              <w:jc w:val="right"/>
              <w:rPr>
                <w:rFonts w:eastAsiaTheme="minorEastAsia"/>
                <w:color w:themeColor="text1" w:val="000000"/>
                <w:kern w:val="0"/>
                <w:sz w:val="24"/>
                <w:szCs w:val="24"/>
              </w:rPr>
            </w:pPr>
            <w:r w:rsidRPr="003B42FF">
              <w:rPr>
                <w:rFonts w:eastAsiaTheme="minorEastAsia"/>
                <w:color w:themeColor="text1" w:val="000000"/>
                <w:sz w:val="24"/>
                <w:szCs w:val="24"/>
              </w:rPr>
              <w:t/>
            </w:r>
            <w:proofErr w:type="spellStart"/>
            <w:r w:rsidRPr="003B42FF">
              <w:rPr>
                <w:rFonts w:eastAsiaTheme="minorEastAsia"/>
                <w:color w:themeColor="text1" w:val="000000"/>
                <w:sz w:val="24"/>
                <w:szCs w:val="24"/>
              </w:rPr>
              <w:t/>
            </w:r>
            <w:proofErr w:type="spellEnd"/>
            <w:r w:rsidRPr="003B42FF">
              <w:rPr>
                <w:rFonts w:eastAsiaTheme="minorEastAsia"/>
                <w:color w:themeColor="text1" w:val="000000"/>
                <w:sz w:val="24"/>
                <w:szCs w:val="24"/>
              </w:rPr>
              <w:t>-</w:t>
            </w:r>
          </w:p>
        </w:tc>
      </w:tr>
      <w:tr w:rsidR="00AC11B0" w:rsidRPr="003B42FF" w:rsidTr="003B5535">
        <w:tc>
          <w:tcPr>
            <w:tcW w:type="dxa" w:w="5037"/>
            <w:vAlign w:val="center"/>
            <w:hideMark/>
          </w:tcPr>
          <w:p w:rsidP="003328D9" w:rsidR="00AC11B0" w:rsidRDefault="00AC11B0" w:rsidRPr="003B42FF">
            <w:pPr>
              <w:adjustRightInd w:val="0"/>
              <w:snapToGrid w:val="0"/>
              <w:spacing w:line="360" w:lineRule="exact"/>
              <w:rPr>
                <w:rFonts w:eastAsiaTheme="minorEastAsia"/>
                <w:color w:themeColor="text1" w:val="000000"/>
                <w:sz w:val="24"/>
                <w:szCs w:val="24"/>
              </w:rPr>
            </w:pPr>
            <w:r w:rsidRPr="003B42FF">
              <w:rPr>
                <w:rFonts w:eastAsiaTheme="minorEastAsia"/>
                <w:color w:themeColor="text1" w:val="000000"/>
                <w:kern w:val="0"/>
                <w:sz w:val="24"/>
                <w:szCs w:val="24"/>
              </w:rPr>
              <w:t/>
            </w:r>
            <w:proofErr w:type="spellStart"/>
            <w:r w:rsidRPr="003B42FF">
              <w:rPr>
                <w:rFonts w:eastAsiaTheme="minorEastAsia"/>
                <w:color w:themeColor="text1" w:val="000000"/>
                <w:kern w:val="0"/>
                <w:sz w:val="24"/>
                <w:szCs w:val="24"/>
              </w:rPr>
              <w:t/>
            </w:r>
            <w:r w:rsidR="00DA718D">
              <w:rPr>
                <w:color w:val="000000"/>
                <w:kern w:val="0"/>
                <w:sz w:val="24"/>
              </w:rPr>
              <w:t/>
            </w:r>
            <w:proofErr w:type="spellEnd"/>
            <w:r w:rsidRPr="003B42FF">
              <w:rPr>
                <w:rFonts w:eastAsiaTheme="minorEastAsia"/>
                <w:color w:themeColor="text1" w:val="000000"/>
                <w:kern w:val="0"/>
                <w:sz w:val="24"/>
                <w:szCs w:val="24"/>
              </w:rPr>
              <w:t>报告期</w:t>
            </w:r>
            <w:r w:rsidR="00B53067" w:rsidRPr="00B53067">
              <w:rPr>
                <w:rFonts w:eastAsiaTheme="minorEastAsia"/>
                <w:color w:themeColor="text1" w:val="000000"/>
                <w:sz w:val="24"/>
                <w:szCs w:val="24"/>
              </w:rPr>
              <w:t>期间</w:t>
            </w:r>
            <w:r w:rsidRPr="003B42FF">
              <w:rPr>
                <w:rFonts w:eastAsiaTheme="minorEastAsia"/>
                <w:color w:themeColor="text1" w:val="000000"/>
                <w:sz w:val="24"/>
                <w:szCs w:val="24"/>
              </w:rPr>
              <w:t>卖出</w:t>
            </w:r>
            <w:r w:rsidRPr="003B42FF">
              <w:rPr>
                <w:rFonts w:eastAsiaTheme="minorEastAsia"/>
                <w:color w:themeColor="text1" w:val="000000"/>
                <w:sz w:val="24"/>
                <w:szCs w:val="24"/>
              </w:rPr>
              <w:t>/</w:t>
            </w:r>
            <w:r w:rsidRPr="003B42FF">
              <w:rPr>
                <w:rFonts w:eastAsiaTheme="minorEastAsia"/>
                <w:color w:themeColor="text1" w:val="000000"/>
                <w:sz w:val="24"/>
                <w:szCs w:val="24"/>
              </w:rPr>
              <w:t>赎回总份额</w:t>
            </w:r>
          </w:p>
        </w:tc>
        <w:tc>
          <w:tcPr>
            <w:tcW w:type="dxa" w:w="3378"/>
            <w:vAlign w:val="center"/>
            <w:hideMark/>
          </w:tcPr>
          <w:p w:rsidP="003328D9" w:rsidR="00AC11B0" w:rsidRDefault="00AC11B0" w:rsidRPr="003B42FF">
            <w:pPr>
              <w:jc w:val="right"/>
              <w:rPr>
                <w:rFonts w:eastAsiaTheme="minorEastAsia"/>
                <w:color w:themeColor="text1" w:val="000000"/>
                <w:kern w:val="0"/>
                <w:sz w:val="24"/>
                <w:szCs w:val="24"/>
              </w:rPr>
            </w:pPr>
            <w:r w:rsidRPr="003B42FF">
              <w:rPr>
                <w:rFonts w:eastAsiaTheme="minorEastAsia"/>
                <w:color w:themeColor="text1" w:val="000000"/>
                <w:sz w:val="24"/>
                <w:szCs w:val="24"/>
              </w:rPr>
              <w:t/>
            </w:r>
            <w:proofErr w:type="spellStart"/>
            <w:r w:rsidRPr="003B42FF">
              <w:rPr>
                <w:rFonts w:eastAsiaTheme="minorEastAsia"/>
                <w:color w:themeColor="text1" w:val="000000"/>
                <w:sz w:val="24"/>
                <w:szCs w:val="24"/>
              </w:rPr>
              <w:t/>
            </w:r>
            <w:proofErr w:type="spellEnd"/>
            <w:r w:rsidRPr="003B42FF">
              <w:rPr>
                <w:rFonts w:eastAsiaTheme="minorEastAsia"/>
                <w:color w:themeColor="text1" w:val="000000"/>
                <w:sz w:val="24"/>
                <w:szCs w:val="24"/>
              </w:rPr>
              <w:t>-</w:t>
            </w:r>
          </w:p>
        </w:tc>
      </w:tr>
      <w:tr w:rsidR="00AC11B0" w:rsidRPr="003B42FF" w:rsidTr="003B5535">
        <w:tc>
          <w:tcPr>
            <w:tcW w:type="dxa" w:w="5037"/>
            <w:vAlign w:val="center"/>
            <w:hideMark/>
          </w:tcPr>
          <w:p w:rsidP="003328D9" w:rsidR="00AC11B0" w:rsidRDefault="00AC11B0" w:rsidRPr="003B42FF">
            <w:pPr>
              <w:adjustRightInd w:val="0"/>
              <w:snapToGrid w:val="0"/>
              <w:spacing w:line="360" w:lineRule="exact"/>
              <w:rPr>
                <w:rFonts w:eastAsiaTheme="minorEastAsia"/>
                <w:color w:themeColor="text1" w:val="000000"/>
                <w:sz w:val="24"/>
                <w:szCs w:val="24"/>
              </w:rPr>
            </w:pPr>
            <w:r w:rsidRPr="003B42FF">
              <w:rPr>
                <w:rFonts w:eastAsiaTheme="minorEastAsia"/>
                <w:color w:themeColor="text1" w:val="000000"/>
                <w:sz w:val="24"/>
                <w:szCs w:val="24"/>
              </w:rPr>
              <w:t>报告期期末管理人持有的本基金份额</w:t>
            </w:r>
          </w:p>
        </w:tc>
        <w:tc>
          <w:tcPr>
            <w:tcW w:type="dxa" w:w="3378"/>
            <w:vAlign w:val="center"/>
            <w:hideMark/>
          </w:tcPr>
          <w:p w:rsidP="003328D9" w:rsidR="00AC11B0" w:rsidRDefault="00AC11B0" w:rsidRPr="003B42FF">
            <w:pPr>
              <w:jc w:val="right"/>
              <w:rPr>
                <w:rFonts w:eastAsiaTheme="minorEastAsia"/>
                <w:color w:themeColor="text1" w:val="000000"/>
                <w:sz w:val="24"/>
                <w:szCs w:val="24"/>
              </w:rPr>
            </w:pPr>
            <w:r w:rsidRPr="003B42FF">
              <w:rPr>
                <w:rFonts w:eastAsiaTheme="minorEastAsia"/>
                <w:color w:themeColor="text1" w:val="000000"/>
                <w:sz w:val="24"/>
                <w:szCs w:val="24"/>
              </w:rPr>
              <w:t/>
            </w:r>
            <w:proofErr w:type="spellStart"/>
            <w:r w:rsidRPr="003B42FF">
              <w:rPr>
                <w:rFonts w:eastAsiaTheme="minorEastAsia"/>
                <w:color w:themeColor="text1" w:val="000000"/>
                <w:sz w:val="24"/>
                <w:szCs w:val="24"/>
              </w:rPr>
              <w:t/>
            </w:r>
            <w:proofErr w:type="spellEnd"/>
            <w:r w:rsidRPr="003B42FF">
              <w:rPr>
                <w:rFonts w:eastAsiaTheme="minorEastAsia"/>
                <w:color w:themeColor="text1" w:val="000000"/>
                <w:sz w:val="24"/>
                <w:szCs w:val="24"/>
              </w:rPr>
              <w:t>3,663,744.46</w:t>
            </w:r>
          </w:p>
        </w:tc>
      </w:tr>
      <w:tr w:rsidR="00AC11B0" w:rsidRPr="003B42FF" w:rsidTr="003B5535">
        <w:tc>
          <w:tcPr>
            <w:tcW w:type="dxa" w:w="5037"/>
            <w:vAlign w:val="center"/>
            <w:hideMark/>
          </w:tcPr>
          <w:p w:rsidP="003328D9" w:rsidR="00AC11B0" w:rsidRDefault="00AC11B0" w:rsidRPr="003B42FF">
            <w:pPr>
              <w:adjustRightInd w:val="0"/>
              <w:snapToGrid w:val="0"/>
              <w:spacing w:line="360" w:lineRule="exact"/>
              <w:rPr>
                <w:rFonts w:eastAsiaTheme="minorEastAsia"/>
                <w:color w:themeColor="text1" w:val="000000"/>
                <w:sz w:val="24"/>
                <w:szCs w:val="24"/>
              </w:rPr>
            </w:pPr>
            <w:r w:rsidRPr="003B42FF">
              <w:rPr>
                <w:rFonts w:eastAsiaTheme="minorEastAsia"/>
                <w:color w:themeColor="text1" w:val="000000"/>
                <w:sz w:val="24"/>
                <w:szCs w:val="24"/>
              </w:rPr>
              <w:t>报告期期末持有的本基金份额占基金总份额比例（</w:t>
            </w:r>
            <w:r w:rsidRPr="003B42FF">
              <w:rPr>
                <w:rFonts w:eastAsiaTheme="minorEastAsia"/>
                <w:color w:themeColor="text1" w:val="000000"/>
                <w:sz w:val="24"/>
                <w:szCs w:val="24"/>
              </w:rPr>
              <w:t>%</w:t>
            </w:r>
            <w:r w:rsidRPr="003B42FF">
              <w:rPr>
                <w:rFonts w:eastAsiaTheme="minorEastAsia"/>
                <w:color w:themeColor="text1" w:val="000000"/>
                <w:sz w:val="24"/>
                <w:szCs w:val="24"/>
              </w:rPr>
              <w:t>）</w:t>
            </w:r>
          </w:p>
        </w:tc>
        <w:tc>
          <w:tcPr>
            <w:tcW w:type="dxa" w:w="3378"/>
            <w:vAlign w:val="center"/>
            <w:hideMark/>
          </w:tcPr>
          <w:p w:rsidP="003328D9" w:rsidR="00AC11B0" w:rsidRDefault="00AC11B0" w:rsidRPr="003B42FF">
            <w:pPr>
              <w:jc w:val="right"/>
              <w:rPr>
                <w:rFonts w:eastAsiaTheme="minorEastAsia"/>
                <w:color w:themeColor="text1" w:val="000000"/>
                <w:kern w:val="0"/>
                <w:sz w:val="24"/>
                <w:szCs w:val="24"/>
              </w:rPr>
            </w:pPr>
            <w:r w:rsidRPr="003B42FF">
              <w:rPr>
                <w:rFonts w:eastAsiaTheme="minorEastAsia"/>
                <w:color w:themeColor="text1" w:val="000000"/>
                <w:sz w:val="24"/>
                <w:szCs w:val="24"/>
              </w:rPr>
              <w:t/>
            </w:r>
            <w:proofErr w:type="spellStart"/>
            <w:r w:rsidRPr="003B42FF">
              <w:rPr>
                <w:rFonts w:eastAsiaTheme="minorEastAsia"/>
                <w:color w:themeColor="text1" w:val="000000"/>
                <w:sz w:val="24"/>
                <w:szCs w:val="24"/>
              </w:rPr>
              <w:t/>
            </w:r>
            <w:proofErr w:type="spellEnd"/>
            <w:r w:rsidRPr="003B42FF">
              <w:rPr>
                <w:rFonts w:eastAsiaTheme="minorEastAsia"/>
                <w:color w:themeColor="text1" w:val="000000"/>
                <w:sz w:val="24"/>
                <w:szCs w:val="24"/>
              </w:rPr>
              <w:t>5.0702</w:t>
            </w:r>
          </w:p>
        </w:tc>
      </w:tr>
    </w:tbl>
    <w:p w:rsidP="00EB374A" w:rsidR="00750D48" w:rsidRDefault="00750D48">
      <w:pPr>
        <w:spacing w:line="360" w:lineRule="auto"/>
        <w:jc w:val="left"/>
        <w:rPr>
          <w:sz w:val="24"/>
        </w:rPr>
      </w:pPr>
      <w:r>
        <w:rPr>
          <w:b/>
          <w:sz w:val="24"/>
        </w:rPr>
        <w:t/>
      </w:r>
      <w:proofErr w:type="spellStart"/>
      <w:r>
        <w:rPr>
          <w:b/>
          <w:sz w:val="24"/>
        </w:rPr>
        <w:t/>
      </w:r>
      <w:proofErr w:type="spellEnd"/>
      <w:r>
        <w:rPr>
          <w:b/>
          <w:sz w:val="24"/>
        </w:rPr>
        <w:t xml:space="preserve">7.2 </w:t>
      </w:r>
      <w:r>
        <w:rPr>
          <w:rFonts w:hint="eastAsia"/>
          <w:b/>
          <w:sz w:val="24"/>
        </w:rPr>
        <w:t>基金管理人运用固有资金投资本基金交易明细</w:t>
      </w:r>
    </w:p>
    <w:p w:rsidP="006C56AA"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本报告期内基金管理人未运用固有资金申购、赎回、买卖本基金份额。</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color w:val="000000"/>
          <w:kern w:val="0"/>
          <w:sz w:val="24"/>
          <w:szCs w:val="24"/>
        </w:rPr>
        <w:t/>
      </w:r>
      <w:r w:rsidRPr="00264E55">
        <w:rPr>
          <w:rFonts w:ascii="宋体" w:hAnsi="宋体"/>
          <w:color w:val="000000"/>
          <w:kern w:val="0"/>
          <w:sz w:val="24"/>
          <w:szCs w:val="24"/>
        </w:rPr>
        <w:t xml:space="preserve">8  </w:t>
      </w:r>
      <w:r w:rsidRPr="00264E55">
        <w:rPr>
          <w:rFonts w:ascii="宋体" w:hAnsi="宋体" w:hint="eastAsia"/>
          <w:color w:val="000000"/>
          <w:kern w:val="0"/>
          <w:sz w:val="24"/>
          <w:szCs w:val="24"/>
        </w:rPr>
        <w:t>备查文件目录</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8.1 </w:t>
      </w:r>
      <w:r w:rsidRPr="00264E55">
        <w:rPr>
          <w:rFonts w:ascii="宋体" w:hAnsi="宋体" w:hint="eastAsia"/>
          <w:b/>
          <w:bCs/>
          <w:color w:val="000000"/>
          <w:kern w:val="0"/>
          <w:sz w:val="24"/>
          <w:szCs w:val="24"/>
        </w:rPr>
        <w:t>备查文件目录</w:t>
      </w:r>
    </w:p>
    <w:p>
      <w:pPr>
        <w:spacing w:line="360" w:lineRule="auto"/>
        <w:ind w:firstLine="480" w:firstLineChars="200"/>
        <w:rPr>
          <w:color w:val="000000"/>
          <w:sz w:val="24"/>
          <w:szCs w:val="24"/>
        </w:rPr>
      </w:pPr>
      <w:r>
        <w:rPr>
          <w:color w:val="000000"/>
          <w:sz w:val="24"/>
          <w:szCs w:val="24"/>
        </w:rPr>
        <w:t>1.中国证监会核准易方达岁丰添利债券型证券投资基金募集的文件；</w:t>
      </w:r>
    </w:p>
    <w:p>
      <w:pPr>
        <w:spacing w:line="360" w:lineRule="auto"/>
        <w:ind w:firstLine="480" w:firstLineChars="200"/>
        <w:rPr>
          <w:color w:val="000000"/>
          <w:sz w:val="24"/>
          <w:szCs w:val="24"/>
        </w:rPr>
      </w:pPr>
      <w:r>
        <w:rPr>
          <w:color w:val="000000"/>
          <w:sz w:val="24"/>
          <w:szCs w:val="24"/>
        </w:rPr>
        <w:t>2.《易方达岁丰添利债券型证券投资基金基金合同》；</w:t>
      </w:r>
    </w:p>
    <w:p>
      <w:pPr>
        <w:spacing w:line="360" w:lineRule="auto"/>
        <w:ind w:firstLine="480" w:firstLineChars="200"/>
        <w:rPr>
          <w:color w:val="000000"/>
          <w:sz w:val="24"/>
          <w:szCs w:val="24"/>
        </w:rPr>
      </w:pPr>
      <w:r>
        <w:rPr>
          <w:color w:val="000000"/>
          <w:sz w:val="24"/>
          <w:szCs w:val="24"/>
        </w:rPr>
        <w:t>3.《易方达岁丰添利债券型证券投资基金托管协议》；</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4.基金管理人业务资格批件、营业执照。</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8.2 </w:t>
      </w:r>
      <w:r w:rsidRPr="00264E55">
        <w:rPr>
          <w:rFonts w:ascii="宋体" w:hAnsi="宋体" w:hint="eastAsia"/>
          <w:b/>
          <w:bCs/>
          <w:color w:val="000000"/>
          <w:kern w:val="0"/>
          <w:sz w:val="24"/>
          <w:szCs w:val="24"/>
        </w:rPr>
        <w:t>存放地点</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广州市天河区珠江新城珠江东路30号广州银行大厦40-43楼。</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8.3 </w:t>
      </w:r>
      <w:r w:rsidRPr="00264E55">
        <w:rPr>
          <w:rFonts w:ascii="宋体" w:hAnsi="宋体" w:hint="eastAsia"/>
          <w:b/>
          <w:bCs/>
          <w:color w:val="000000"/>
          <w:kern w:val="0"/>
          <w:sz w:val="24"/>
          <w:szCs w:val="24"/>
        </w:rPr>
        <w:t>查阅方式</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投资者可在营业时间免费查阅，也可按工本费购买复印件。</w:t>
      </w: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C71497" w:rsidR="00750D48" w:rsidRDefault="00750D48" w:rsidRPr="00264E55">
      <w:pPr>
        <w:spacing w:line="360" w:lineRule="auto"/>
        <w:jc w:val="right"/>
        <w:rPr>
          <w:rFonts w:ascii="宋体" w:hAnsi="宋体"/>
          <w:b/>
          <w:bCs/>
          <w:sz w:val="24"/>
          <w:szCs w:val="24"/>
        </w:rPr>
      </w:pPr>
      <w:r w:rsidRPr="00264E55">
        <w:rPr>
          <w:rFonts w:asci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易方达基金管理有限公司</w:t>
      </w:r>
    </w:p>
    <w:p w:rsidP="00191817" w:rsidR="00750D48" w:rsidRDefault="00750D48" w:rsidRPr="00191817">
      <w:pPr>
        <w:spacing w:line="360" w:lineRule="auto"/>
        <w:jc w:val="right"/>
        <w:rPr>
          <w:rFonts w:ascii="宋体" w:hAnsi="宋体"/>
          <w:b/>
          <w:bCs/>
          <w:sz w:val="24"/>
          <w:szCs w:val="24"/>
        </w:rPr>
      </w:pPr>
      <w:r w:rsidRPr="00264E55">
        <w:rPr>
          <w:rFonts w:ascii="宋体" w:hAns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二〇二〇年七月二十一日</w:t>
      </w:r>
    </w:p>
    <w:sectPr w:rsidR="00750D48" w:rsidRPr="00191817" w:rsidSect="00304A12">
      <w:footerReference r:id="rId12" w:type="defaul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A26" w:rsidRDefault="00BE5A26" w:rsidP="00876D65">
      <w:r>
        <w:separator/>
      </w:r>
    </w:p>
  </w:endnote>
  <w:endnote w:type="continuationSeparator" w:id="0">
    <w:p w:rsidR="00BE5A26" w:rsidRDefault="00BE5A26" w:rsidP="0087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
    <w:altName w:val="Arial"/>
    <w:charset w:val="00"/>
    <w:family w:val="auto"/>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EF56B5"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w:t>
    </w:r>
    <w:r>
      <w:rPr>
        <w:rStyle w:val="a7"/>
      </w:rPr>
      <w:fldChar w:fldCharType="end"/>
    </w:r>
    <w:proofErr w:type="gramStart"/>
    <w:r>
      <w:rPr>
        <w:rStyle w:val="a7"/>
        <w:rFonts w:hint="eastAsia"/>
      </w:rPr>
      <w:t>页共</w:t>
    </w:r>
    <w:proofErr w:type="gramEnd"/>
    <w:r w:rsidR="00764C38">
      <w:fldChar w:fldCharType="begin"/>
    </w:r>
    <w:r w:rsidR="00764C38">
      <w:instrText xml:space="preserve"> NUMPAGES  \* Arabic  \* MERGEFORMAT </w:instrText>
    </w:r>
    <w:r w:rsidR="00764C38">
      <w:fldChar w:fldCharType="separate"/>
    </w:r>
    <w:r w:rsidR="00B371D4" w:rsidRPr="00B371D4">
      <w:rPr>
        <w:rStyle w:val="a7"/>
        <w:noProof/>
      </w:rPr>
      <w:t>27</w:t>
    </w:r>
    <w:r w:rsidR="00764C38">
      <w:rPr>
        <w:rStyle w:val="a7"/>
        <w:noProof/>
      </w:rPr>
      <w:fldChar w:fldCharType="end"/>
    </w:r>
    <w:r>
      <w:rPr>
        <w:rStyle w:val="a7"/>
        <w:rFonts w:hint="eastAsia"/>
      </w:rPr>
      <w:t>页</w:t>
    </w:r>
  </w:p>
  <w:p w:rsidP="00EF56B5" w:rsidR="003328D9" w:rsidRDefault="003328D9" w:rsidRPr="00EF56B5">
    <w:pPr>
      <w:pStyle w:val="a6"/>
    </w:pP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18</w:t>
    </w:r>
    <w:r>
      <w:rPr>
        <w:rStyle w:val="a7"/>
      </w:rPr>
      <w:fldChar w:fldCharType="end"/>
    </w:r>
    <w:proofErr w:type="gramStart"/>
    <w:r>
      <w:rPr>
        <w:rStyle w:val="a7"/>
        <w:rFonts w:hint="eastAsia"/>
      </w:rPr>
      <w:t>页共</w:t>
    </w:r>
    <w:proofErr w:type="gramEnd"/>
    <w:fldSimple w:instr=" NUMPAGES  \* Arabic  \* MERGEFORMAT ">
      <w:r w:rsidR="00B371D4" w:rsidRPr="00B371D4">
        <w:rPr>
          <w:rStyle w:val="a7"/>
          <w:noProof/>
        </w:rPr>
        <w:t>27</w:t>
      </w:r>
    </w:fldSimple>
    <w:r>
      <w:rPr>
        <w:rStyle w:val="a7"/>
        <w:rFonts w:hint="eastAsia"/>
      </w:rPr>
      <w:t>页</w:t>
    </w:r>
  </w:p>
  <w:p w:rsidR="003328D9" w:rsidRDefault="003328D9">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P="00876D65" w:rsidR="00BE5A26" w:rsidRDefault="00BE5A26">
      <w:r>
        <w:separator/>
      </w:r>
    </w:p>
  </w:footnote>
  <w:footnote w:id="0" w:type="continuationSeparator">
    <w:p w:rsidP="00876D65" w:rsidR="00BE5A26" w:rsidRDefault="00BE5A26">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090A26" w:rsidR="003328D9" w:rsidRDefault="003328D9" w:rsidRPr="00093704">
    <w:pPr>
      <w:pStyle w:val="a9"/>
      <w:pBdr>
        <w:bottom w:color="auto" w:space="0" w:sz="6" w:val="single"/>
      </w:pBdr>
      <w:jc w:val="right"/>
    </w:pPr>
    <w:r w:rsidRPr="00093704">
      <w:t/>
    </w:r>
    <w:proofErr w:type="spellStart"/>
    <w:proofErr w:type="gramStart"/>
    <w:r w:rsidRPr="00093704">
      <w:t/>
    </w:r>
    <w:proofErr w:type="spellEnd"/>
    <w:proofErr w:type="gramEnd"/>
    <w:r w:rsidRPr="00093704">
      <w:t>易方达岁丰添利债券型证券投资基金</w:t>
    </w:r>
    <w:proofErr w:type="spellStart"/>
    <w:r w:rsidRPr="00093704">
      <w:t/>
    </w:r>
    <w:proofErr w:type="spellEnd"/>
    <w:r w:rsidRPr="00093704">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plc="04090003">
      <w:start w:val="1"/>
      <w:numFmt w:val="bullet"/>
      <w:lvlText w:val=""/>
      <w:lvlJc w:val="left"/>
      <w:pPr>
        <w:tabs>
          <w:tab w:pos="1260" w:val="num"/>
        </w:tabs>
        <w:ind w:hanging="420" w:left="1260"/>
      </w:pPr>
      <w:rPr>
        <w:rFonts w:ascii="Wingdings" w:hAnsi="Wingdings" w:hint="default"/>
      </w:rPr>
    </w:lvl>
    <w:lvl w:ilvl="2" w:tplc="04090005">
      <w:start w:val="1"/>
      <w:numFmt w:val="bullet"/>
      <w:lvlText w:val=""/>
      <w:lvlJc w:val="left"/>
      <w:pPr>
        <w:tabs>
          <w:tab w:pos="1680" w:val="num"/>
        </w:tabs>
        <w:ind w:hanging="420" w:left="1680"/>
      </w:pPr>
      <w:rPr>
        <w:rFonts w:ascii="Wingdings" w:hAnsi="Wingdings" w:hint="default"/>
      </w:rPr>
    </w:lvl>
    <w:lvl w:ilvl="3" w:tplc="04090001">
      <w:start w:val="1"/>
      <w:numFmt w:val="bullet"/>
      <w:lvlText w:val=""/>
      <w:lvlJc w:val="left"/>
      <w:pPr>
        <w:tabs>
          <w:tab w:pos="2100" w:val="num"/>
        </w:tabs>
        <w:ind w:hanging="420" w:left="2100"/>
      </w:pPr>
      <w:rPr>
        <w:rFonts w:ascii="Wingdings" w:hAnsi="Wingdings" w:hint="default"/>
      </w:rPr>
    </w:lvl>
    <w:lvl w:ilvl="4" w:tplc="04090003">
      <w:start w:val="1"/>
      <w:numFmt w:val="bullet"/>
      <w:lvlText w:val=""/>
      <w:lvlJc w:val="left"/>
      <w:pPr>
        <w:tabs>
          <w:tab w:pos="2520" w:val="num"/>
        </w:tabs>
        <w:ind w:hanging="420" w:left="2520"/>
      </w:pPr>
      <w:rPr>
        <w:rFonts w:ascii="Wingdings" w:hAnsi="Wingdings" w:hint="default"/>
      </w:rPr>
    </w:lvl>
    <w:lvl w:ilvl="5" w:tplc="04090005">
      <w:start w:val="1"/>
      <w:numFmt w:val="bullet"/>
      <w:lvlText w:val=""/>
      <w:lvlJc w:val="left"/>
      <w:pPr>
        <w:tabs>
          <w:tab w:pos="2940" w:val="num"/>
        </w:tabs>
        <w:ind w:hanging="420" w:left="2940"/>
      </w:pPr>
      <w:rPr>
        <w:rFonts w:ascii="Wingdings" w:hAnsi="Wingdings" w:hint="default"/>
      </w:rPr>
    </w:lvl>
    <w:lvl w:ilvl="6" w:tplc="04090001">
      <w:start w:val="1"/>
      <w:numFmt w:val="bullet"/>
      <w:lvlText w:val=""/>
      <w:lvlJc w:val="left"/>
      <w:pPr>
        <w:tabs>
          <w:tab w:pos="3360" w:val="num"/>
        </w:tabs>
        <w:ind w:hanging="420" w:left="3360"/>
      </w:pPr>
      <w:rPr>
        <w:rFonts w:ascii="Wingdings" w:hAnsi="Wingdings" w:hint="default"/>
      </w:rPr>
    </w:lvl>
    <w:lvl w:ilvl="7" w:tplc="04090003">
      <w:start w:val="1"/>
      <w:numFmt w:val="bullet"/>
      <w:lvlText w:val=""/>
      <w:lvlJc w:val="left"/>
      <w:pPr>
        <w:tabs>
          <w:tab w:pos="3780" w:val="num"/>
        </w:tabs>
        <w:ind w:hanging="420" w:left="3780"/>
      </w:pPr>
      <w:rPr>
        <w:rFonts w:ascii="Wingdings" w:hAnsi="Wingdings" w:hint="default"/>
      </w:rPr>
    </w:lvl>
    <w:lvl w:ilvl="8"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szCs w:val="24"/>
      </w:rPr>
    </w:lvl>
    <w:lvl w:ilvl="1" w:tplc="04090019">
      <w:start w:val="1"/>
      <w:numFmt w:val="lowerLetter"/>
      <w:lvlText w:val="%2)"/>
      <w:lvlJc w:val="left"/>
      <w:pPr>
        <w:tabs>
          <w:tab w:pos="1320" w:val="num"/>
        </w:tabs>
        <w:ind w:hanging="420" w:left="1320"/>
      </w:pPr>
      <w:rPr>
        <w:rFonts w:cs="Times New Roman"/>
      </w:rPr>
    </w:lvl>
    <w:lvl w:ilvl="2" w:tplc="0409001B">
      <w:start w:val="1"/>
      <w:numFmt w:val="lowerRoman"/>
      <w:lvlText w:val="%3."/>
      <w:lvlJc w:val="right"/>
      <w:pPr>
        <w:tabs>
          <w:tab w:pos="1740" w:val="num"/>
        </w:tabs>
        <w:ind w:hanging="420" w:left="1740"/>
      </w:pPr>
      <w:rPr>
        <w:rFonts w:cs="Times New Roman"/>
      </w:rPr>
    </w:lvl>
    <w:lvl w:ilvl="3" w:tplc="0409000F">
      <w:start w:val="1"/>
      <w:numFmt w:val="decimal"/>
      <w:lvlText w:val="%4."/>
      <w:lvlJc w:val="left"/>
      <w:pPr>
        <w:tabs>
          <w:tab w:pos="2160" w:val="num"/>
        </w:tabs>
        <w:ind w:hanging="420" w:left="2160"/>
      </w:pPr>
      <w:rPr>
        <w:rFonts w:cs="Times New Roman"/>
      </w:rPr>
    </w:lvl>
    <w:lvl w:ilvl="4" w:tplc="04090019">
      <w:start w:val="1"/>
      <w:numFmt w:val="lowerLetter"/>
      <w:lvlText w:val="%5)"/>
      <w:lvlJc w:val="left"/>
      <w:pPr>
        <w:tabs>
          <w:tab w:pos="2580" w:val="num"/>
        </w:tabs>
        <w:ind w:hanging="420" w:left="2580"/>
      </w:pPr>
      <w:rPr>
        <w:rFonts w:cs="Times New Roman"/>
      </w:rPr>
    </w:lvl>
    <w:lvl w:ilvl="5" w:tplc="0409001B">
      <w:start w:val="1"/>
      <w:numFmt w:val="lowerRoman"/>
      <w:lvlText w:val="%6."/>
      <w:lvlJc w:val="right"/>
      <w:pPr>
        <w:tabs>
          <w:tab w:pos="3000" w:val="num"/>
        </w:tabs>
        <w:ind w:hanging="420" w:left="3000"/>
      </w:pPr>
      <w:rPr>
        <w:rFonts w:cs="Times New Roman"/>
      </w:rPr>
    </w:lvl>
    <w:lvl w:ilvl="6" w:tplc="0409000F">
      <w:start w:val="1"/>
      <w:numFmt w:val="decimal"/>
      <w:lvlText w:val="%7."/>
      <w:lvlJc w:val="left"/>
      <w:pPr>
        <w:tabs>
          <w:tab w:pos="3420" w:val="num"/>
        </w:tabs>
        <w:ind w:hanging="420" w:left="3420"/>
      </w:pPr>
      <w:rPr>
        <w:rFonts w:cs="Times New Roman"/>
      </w:rPr>
    </w:lvl>
    <w:lvl w:ilvl="7" w:tplc="04090019">
      <w:start w:val="1"/>
      <w:numFmt w:val="lowerLetter"/>
      <w:lvlText w:val="%8)"/>
      <w:lvlJc w:val="left"/>
      <w:pPr>
        <w:tabs>
          <w:tab w:pos="3840" w:val="num"/>
        </w:tabs>
        <w:ind w:hanging="420" w:left="3840"/>
      </w:pPr>
      <w:rPr>
        <w:rFonts w:cs="Times New Roman"/>
      </w:rPr>
    </w:lvl>
    <w:lvl w:ilvl="8"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plc="0409000F">
      <w:start w:val="1"/>
      <w:numFmt w:val="decimal"/>
      <w:lvlText w:val="%4."/>
      <w:lvlJc w:val="left"/>
      <w:pPr>
        <w:tabs>
          <w:tab w:pos="1680" w:val="num"/>
        </w:tabs>
        <w:ind w:hanging="420" w:left="1680"/>
      </w:pPr>
      <w:rPr>
        <w:rFonts w:cs="Times New Roman"/>
      </w:rPr>
    </w:lvl>
    <w:lvl w:ilvl="4" w:tplc="04090019">
      <w:start w:val="1"/>
      <w:numFmt w:val="lowerLetter"/>
      <w:lvlText w:val="%5)"/>
      <w:lvlJc w:val="left"/>
      <w:pPr>
        <w:tabs>
          <w:tab w:pos="2100" w:val="num"/>
        </w:tabs>
        <w:ind w:hanging="420" w:left="2100"/>
      </w:pPr>
      <w:rPr>
        <w:rFonts w:cs="Times New Roman"/>
      </w:rPr>
    </w:lvl>
    <w:lvl w:ilvl="5" w:tplc="0409001B">
      <w:start w:val="1"/>
      <w:numFmt w:val="lowerRoman"/>
      <w:lvlText w:val="%6."/>
      <w:lvlJc w:val="right"/>
      <w:pPr>
        <w:tabs>
          <w:tab w:pos="2520" w:val="num"/>
        </w:tabs>
        <w:ind w:hanging="420" w:left="2520"/>
      </w:pPr>
      <w:rPr>
        <w:rFonts w:cs="Times New Roman"/>
      </w:rPr>
    </w:lvl>
    <w:lvl w:ilvl="6" w:tplc="0409000F">
      <w:start w:val="1"/>
      <w:numFmt w:val="decimal"/>
      <w:lvlText w:val="%7."/>
      <w:lvlJc w:val="left"/>
      <w:pPr>
        <w:tabs>
          <w:tab w:pos="2940" w:val="num"/>
        </w:tabs>
        <w:ind w:hanging="420" w:left="2940"/>
      </w:pPr>
      <w:rPr>
        <w:rFonts w:cs="Times New Roman"/>
      </w:rPr>
    </w:lvl>
    <w:lvl w:ilvl="7" w:tplc="04090019">
      <w:start w:val="1"/>
      <w:numFmt w:val="lowerLetter"/>
      <w:lvlText w:val="%8)"/>
      <w:lvlJc w:val="left"/>
      <w:pPr>
        <w:tabs>
          <w:tab w:pos="3360" w:val="num"/>
        </w:tabs>
        <w:ind w:hanging="420" w:left="3360"/>
      </w:pPr>
      <w:rPr>
        <w:rFonts w:cs="Times New Roman"/>
      </w:rPr>
    </w:lvl>
    <w:lvl w:ilvl="8"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bordersDoNotSurroundHeader/>
  <w:bordersDoNotSurroundFooter/>
  <w:proofState w:grammar="clean"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061AC"/>
    <w:rsid w:val="00013E6E"/>
    <w:rsid w:val="00014099"/>
    <w:rsid w:val="000160C5"/>
    <w:rsid w:val="000210E7"/>
    <w:rsid w:val="000212F7"/>
    <w:rsid w:val="00031EBB"/>
    <w:rsid w:val="00033B8D"/>
    <w:rsid w:val="00043852"/>
    <w:rsid w:val="000450DD"/>
    <w:rsid w:val="000463DE"/>
    <w:rsid w:val="000553BD"/>
    <w:rsid w:val="00065E3C"/>
    <w:rsid w:val="0008313A"/>
    <w:rsid w:val="000875EA"/>
    <w:rsid w:val="000907D2"/>
    <w:rsid w:val="00090A26"/>
    <w:rsid w:val="00093704"/>
    <w:rsid w:val="00095F2A"/>
    <w:rsid w:val="000A2B53"/>
    <w:rsid w:val="000A438A"/>
    <w:rsid w:val="000B5257"/>
    <w:rsid w:val="000B624F"/>
    <w:rsid w:val="000B73C6"/>
    <w:rsid w:val="000C190B"/>
    <w:rsid w:val="000C1E17"/>
    <w:rsid w:val="000C493C"/>
    <w:rsid w:val="000C5216"/>
    <w:rsid w:val="000D0E6C"/>
    <w:rsid w:val="000D3ED4"/>
    <w:rsid w:val="000F2DE1"/>
    <w:rsid w:val="000F6CC8"/>
    <w:rsid w:val="00111261"/>
    <w:rsid w:val="00133843"/>
    <w:rsid w:val="00137452"/>
    <w:rsid w:val="00142CAF"/>
    <w:rsid w:val="00144F93"/>
    <w:rsid w:val="00147376"/>
    <w:rsid w:val="00150E7E"/>
    <w:rsid w:val="00154BE1"/>
    <w:rsid w:val="00154C17"/>
    <w:rsid w:val="00160EDC"/>
    <w:rsid w:val="0016180A"/>
    <w:rsid w:val="001675CD"/>
    <w:rsid w:val="00170435"/>
    <w:rsid w:val="00171EF0"/>
    <w:rsid w:val="001761D2"/>
    <w:rsid w:val="001830D7"/>
    <w:rsid w:val="00185A34"/>
    <w:rsid w:val="001878B0"/>
    <w:rsid w:val="0019049E"/>
    <w:rsid w:val="00191817"/>
    <w:rsid w:val="00191BDE"/>
    <w:rsid w:val="00196E6C"/>
    <w:rsid w:val="001A73E8"/>
    <w:rsid w:val="001B0A62"/>
    <w:rsid w:val="001B2F35"/>
    <w:rsid w:val="001B3C1C"/>
    <w:rsid w:val="001B6E7E"/>
    <w:rsid w:val="001C0993"/>
    <w:rsid w:val="001C79F2"/>
    <w:rsid w:val="001C7E00"/>
    <w:rsid w:val="001D0DB0"/>
    <w:rsid w:val="001D5B8F"/>
    <w:rsid w:val="001D63BB"/>
    <w:rsid w:val="001D6A4B"/>
    <w:rsid w:val="001D74DB"/>
    <w:rsid w:val="001E4630"/>
    <w:rsid w:val="001F0964"/>
    <w:rsid w:val="001F0EB2"/>
    <w:rsid w:val="001F30DA"/>
    <w:rsid w:val="001F5DC5"/>
    <w:rsid w:val="001F5F5D"/>
    <w:rsid w:val="00200FAB"/>
    <w:rsid w:val="00213821"/>
    <w:rsid w:val="00217B92"/>
    <w:rsid w:val="002279D3"/>
    <w:rsid w:val="00232B03"/>
    <w:rsid w:val="00240248"/>
    <w:rsid w:val="0024363B"/>
    <w:rsid w:val="00261111"/>
    <w:rsid w:val="00264E55"/>
    <w:rsid w:val="002661ED"/>
    <w:rsid w:val="00266337"/>
    <w:rsid w:val="00275745"/>
    <w:rsid w:val="0027688F"/>
    <w:rsid w:val="00276E44"/>
    <w:rsid w:val="00277FAE"/>
    <w:rsid w:val="00280C9F"/>
    <w:rsid w:val="00286BEF"/>
    <w:rsid w:val="00286FA2"/>
    <w:rsid w:val="002918E3"/>
    <w:rsid w:val="002973A9"/>
    <w:rsid w:val="002B1D1A"/>
    <w:rsid w:val="002C28F2"/>
    <w:rsid w:val="002C5960"/>
    <w:rsid w:val="002D6FB6"/>
    <w:rsid w:val="002E2255"/>
    <w:rsid w:val="002E3B09"/>
    <w:rsid w:val="002E4594"/>
    <w:rsid w:val="002E52B3"/>
    <w:rsid w:val="00303679"/>
    <w:rsid w:val="00304A12"/>
    <w:rsid w:val="00305636"/>
    <w:rsid w:val="00311662"/>
    <w:rsid w:val="00312A9F"/>
    <w:rsid w:val="00312F1C"/>
    <w:rsid w:val="00312F30"/>
    <w:rsid w:val="00315D5D"/>
    <w:rsid w:val="00316484"/>
    <w:rsid w:val="00316E01"/>
    <w:rsid w:val="00317067"/>
    <w:rsid w:val="00320300"/>
    <w:rsid w:val="00324508"/>
    <w:rsid w:val="003259C8"/>
    <w:rsid w:val="0032741D"/>
    <w:rsid w:val="003307FE"/>
    <w:rsid w:val="003328D9"/>
    <w:rsid w:val="003350A8"/>
    <w:rsid w:val="003376B7"/>
    <w:rsid w:val="00342369"/>
    <w:rsid w:val="003470E2"/>
    <w:rsid w:val="00352719"/>
    <w:rsid w:val="00354432"/>
    <w:rsid w:val="00355364"/>
    <w:rsid w:val="00364A60"/>
    <w:rsid w:val="00364CCB"/>
    <w:rsid w:val="0039085F"/>
    <w:rsid w:val="00392044"/>
    <w:rsid w:val="00394069"/>
    <w:rsid w:val="003A6061"/>
    <w:rsid w:val="003B5535"/>
    <w:rsid w:val="003B6FBC"/>
    <w:rsid w:val="003D7406"/>
    <w:rsid w:val="003D7FAF"/>
    <w:rsid w:val="003E62FB"/>
    <w:rsid w:val="003F39DF"/>
    <w:rsid w:val="003F63BE"/>
    <w:rsid w:val="00403A06"/>
    <w:rsid w:val="004061AC"/>
    <w:rsid w:val="00407DBB"/>
    <w:rsid w:val="004149AC"/>
    <w:rsid w:val="00415AEF"/>
    <w:rsid w:val="0042009D"/>
    <w:rsid w:val="00427F58"/>
    <w:rsid w:val="0043199A"/>
    <w:rsid w:val="00433805"/>
    <w:rsid w:val="0046668C"/>
    <w:rsid w:val="00466850"/>
    <w:rsid w:val="00467048"/>
    <w:rsid w:val="00471408"/>
    <w:rsid w:val="004858E0"/>
    <w:rsid w:val="004934E9"/>
    <w:rsid w:val="004943C2"/>
    <w:rsid w:val="004A11A7"/>
    <w:rsid w:val="004A4D5B"/>
    <w:rsid w:val="004B5343"/>
    <w:rsid w:val="004B7A92"/>
    <w:rsid w:val="004C0259"/>
    <w:rsid w:val="004C702F"/>
    <w:rsid w:val="004D28A3"/>
    <w:rsid w:val="004D495A"/>
    <w:rsid w:val="004D75CD"/>
    <w:rsid w:val="004E5975"/>
    <w:rsid w:val="004E790A"/>
    <w:rsid w:val="004F04C1"/>
    <w:rsid w:val="004F50FD"/>
    <w:rsid w:val="004F6891"/>
    <w:rsid w:val="00500A03"/>
    <w:rsid w:val="00501495"/>
    <w:rsid w:val="00507F99"/>
    <w:rsid w:val="00512200"/>
    <w:rsid w:val="005143CD"/>
    <w:rsid w:val="005144F2"/>
    <w:rsid w:val="005242A5"/>
    <w:rsid w:val="005249DD"/>
    <w:rsid w:val="00531BA5"/>
    <w:rsid w:val="00531F10"/>
    <w:rsid w:val="00532E86"/>
    <w:rsid w:val="00540B13"/>
    <w:rsid w:val="00542434"/>
    <w:rsid w:val="00542470"/>
    <w:rsid w:val="00542546"/>
    <w:rsid w:val="005425BA"/>
    <w:rsid w:val="005454FB"/>
    <w:rsid w:val="005602F3"/>
    <w:rsid w:val="005659E4"/>
    <w:rsid w:val="005761EE"/>
    <w:rsid w:val="00582D99"/>
    <w:rsid w:val="0058551C"/>
    <w:rsid w:val="00590656"/>
    <w:rsid w:val="0059076B"/>
    <w:rsid w:val="005973CB"/>
    <w:rsid w:val="00597E49"/>
    <w:rsid w:val="005A0F1F"/>
    <w:rsid w:val="005A2B83"/>
    <w:rsid w:val="005A478E"/>
    <w:rsid w:val="005A6675"/>
    <w:rsid w:val="005B2E9C"/>
    <w:rsid w:val="005B4F93"/>
    <w:rsid w:val="005B73D2"/>
    <w:rsid w:val="005C5E5B"/>
    <w:rsid w:val="005D2B36"/>
    <w:rsid w:val="005E1093"/>
    <w:rsid w:val="005E475E"/>
    <w:rsid w:val="005E78C0"/>
    <w:rsid w:val="005F3996"/>
    <w:rsid w:val="005F6AF6"/>
    <w:rsid w:val="005F7730"/>
    <w:rsid w:val="005F7917"/>
    <w:rsid w:val="005F7E00"/>
    <w:rsid w:val="00604C26"/>
    <w:rsid w:val="006066D2"/>
    <w:rsid w:val="0061286A"/>
    <w:rsid w:val="00613D7A"/>
    <w:rsid w:val="00614CC4"/>
    <w:rsid w:val="0062025E"/>
    <w:rsid w:val="00626998"/>
    <w:rsid w:val="006269FB"/>
    <w:rsid w:val="00631ED8"/>
    <w:rsid w:val="00635B05"/>
    <w:rsid w:val="00636DB7"/>
    <w:rsid w:val="0063783A"/>
    <w:rsid w:val="006423B9"/>
    <w:rsid w:val="00654B0D"/>
    <w:rsid w:val="00655CD8"/>
    <w:rsid w:val="006571DC"/>
    <w:rsid w:val="00660D4B"/>
    <w:rsid w:val="00664ECC"/>
    <w:rsid w:val="00670989"/>
    <w:rsid w:val="006757DC"/>
    <w:rsid w:val="00676095"/>
    <w:rsid w:val="006926A7"/>
    <w:rsid w:val="00693843"/>
    <w:rsid w:val="0069426C"/>
    <w:rsid w:val="00694DFB"/>
    <w:rsid w:val="006A1C62"/>
    <w:rsid w:val="006A48FD"/>
    <w:rsid w:val="006A67F8"/>
    <w:rsid w:val="006A7AF1"/>
    <w:rsid w:val="006B11BB"/>
    <w:rsid w:val="006B4C11"/>
    <w:rsid w:val="006C12B8"/>
    <w:rsid w:val="006C37FC"/>
    <w:rsid w:val="006C56AA"/>
    <w:rsid w:val="006C7EA3"/>
    <w:rsid w:val="006D07F3"/>
    <w:rsid w:val="006D39E9"/>
    <w:rsid w:val="006D3BE3"/>
    <w:rsid w:val="006D7004"/>
    <w:rsid w:val="006D789D"/>
    <w:rsid w:val="006D7FF8"/>
    <w:rsid w:val="006E042A"/>
    <w:rsid w:val="006E322B"/>
    <w:rsid w:val="006F49EE"/>
    <w:rsid w:val="006F5E68"/>
    <w:rsid w:val="00706D60"/>
    <w:rsid w:val="007075E3"/>
    <w:rsid w:val="00707F66"/>
    <w:rsid w:val="007125DB"/>
    <w:rsid w:val="00720D28"/>
    <w:rsid w:val="00722333"/>
    <w:rsid w:val="00722509"/>
    <w:rsid w:val="00727FCD"/>
    <w:rsid w:val="00733DDD"/>
    <w:rsid w:val="00744628"/>
    <w:rsid w:val="0074694E"/>
    <w:rsid w:val="00750CDF"/>
    <w:rsid w:val="00750D48"/>
    <w:rsid w:val="00752BA5"/>
    <w:rsid w:val="00755D86"/>
    <w:rsid w:val="00764C38"/>
    <w:rsid w:val="00767C98"/>
    <w:rsid w:val="00770971"/>
    <w:rsid w:val="00780186"/>
    <w:rsid w:val="0078089C"/>
    <w:rsid w:val="00787D16"/>
    <w:rsid w:val="00796CA8"/>
    <w:rsid w:val="00797305"/>
    <w:rsid w:val="007B035B"/>
    <w:rsid w:val="007B4C04"/>
    <w:rsid w:val="007B5AFB"/>
    <w:rsid w:val="007C1B9B"/>
    <w:rsid w:val="007C54B1"/>
    <w:rsid w:val="007C5862"/>
    <w:rsid w:val="007F31E6"/>
    <w:rsid w:val="008014F9"/>
    <w:rsid w:val="0080358B"/>
    <w:rsid w:val="008059BD"/>
    <w:rsid w:val="00812D46"/>
    <w:rsid w:val="00815999"/>
    <w:rsid w:val="00815A38"/>
    <w:rsid w:val="0082103F"/>
    <w:rsid w:val="008279FE"/>
    <w:rsid w:val="00831259"/>
    <w:rsid w:val="0083208A"/>
    <w:rsid w:val="0083218A"/>
    <w:rsid w:val="00832A00"/>
    <w:rsid w:val="00837845"/>
    <w:rsid w:val="008442C4"/>
    <w:rsid w:val="00846739"/>
    <w:rsid w:val="00853140"/>
    <w:rsid w:val="00854537"/>
    <w:rsid w:val="008606B6"/>
    <w:rsid w:val="008635E6"/>
    <w:rsid w:val="00866CF2"/>
    <w:rsid w:val="008700EC"/>
    <w:rsid w:val="00876D65"/>
    <w:rsid w:val="00891261"/>
    <w:rsid w:val="00895A8A"/>
    <w:rsid w:val="008A09E5"/>
    <w:rsid w:val="008A21B2"/>
    <w:rsid w:val="008B2FDD"/>
    <w:rsid w:val="008C2A4F"/>
    <w:rsid w:val="008C75E7"/>
    <w:rsid w:val="008C7CA8"/>
    <w:rsid w:val="008D09EC"/>
    <w:rsid w:val="008D799F"/>
    <w:rsid w:val="008E07EB"/>
    <w:rsid w:val="008E2DCB"/>
    <w:rsid w:val="008E326D"/>
    <w:rsid w:val="008F5A8D"/>
    <w:rsid w:val="008F5F67"/>
    <w:rsid w:val="008F60F2"/>
    <w:rsid w:val="0090217D"/>
    <w:rsid w:val="00904749"/>
    <w:rsid w:val="00905C5E"/>
    <w:rsid w:val="009078DC"/>
    <w:rsid w:val="00907B61"/>
    <w:rsid w:val="00910586"/>
    <w:rsid w:val="009161AF"/>
    <w:rsid w:val="00921AC7"/>
    <w:rsid w:val="00921BFA"/>
    <w:rsid w:val="00922880"/>
    <w:rsid w:val="00924582"/>
    <w:rsid w:val="00931291"/>
    <w:rsid w:val="00932DC0"/>
    <w:rsid w:val="0093367D"/>
    <w:rsid w:val="00933B24"/>
    <w:rsid w:val="009431FA"/>
    <w:rsid w:val="00943BB5"/>
    <w:rsid w:val="00945AF6"/>
    <w:rsid w:val="009510DE"/>
    <w:rsid w:val="00951C43"/>
    <w:rsid w:val="0095204B"/>
    <w:rsid w:val="0095280A"/>
    <w:rsid w:val="00954A4B"/>
    <w:rsid w:val="009550BE"/>
    <w:rsid w:val="00955531"/>
    <w:rsid w:val="00955BE8"/>
    <w:rsid w:val="00957594"/>
    <w:rsid w:val="00963F40"/>
    <w:rsid w:val="00965CFB"/>
    <w:rsid w:val="0098122D"/>
    <w:rsid w:val="00986596"/>
    <w:rsid w:val="00990685"/>
    <w:rsid w:val="00991411"/>
    <w:rsid w:val="00992238"/>
    <w:rsid w:val="009A0ABE"/>
    <w:rsid w:val="009B2D4B"/>
    <w:rsid w:val="009B3243"/>
    <w:rsid w:val="009C4E99"/>
    <w:rsid w:val="009C5186"/>
    <w:rsid w:val="009C60F7"/>
    <w:rsid w:val="009D0952"/>
    <w:rsid w:val="009D54EA"/>
    <w:rsid w:val="009E285B"/>
    <w:rsid w:val="009E31DA"/>
    <w:rsid w:val="009E402C"/>
    <w:rsid w:val="009E7C6A"/>
    <w:rsid w:val="009F7ED4"/>
    <w:rsid w:val="00A03AAC"/>
    <w:rsid w:val="00A047D1"/>
    <w:rsid w:val="00A22AD0"/>
    <w:rsid w:val="00A22DA8"/>
    <w:rsid w:val="00A234BE"/>
    <w:rsid w:val="00A31671"/>
    <w:rsid w:val="00A45320"/>
    <w:rsid w:val="00A52C6D"/>
    <w:rsid w:val="00A5612C"/>
    <w:rsid w:val="00A5689C"/>
    <w:rsid w:val="00A57AE4"/>
    <w:rsid w:val="00A63F19"/>
    <w:rsid w:val="00A66F3F"/>
    <w:rsid w:val="00A66F42"/>
    <w:rsid w:val="00A727C1"/>
    <w:rsid w:val="00A746EB"/>
    <w:rsid w:val="00A76625"/>
    <w:rsid w:val="00A82CBA"/>
    <w:rsid w:val="00A83500"/>
    <w:rsid w:val="00A90049"/>
    <w:rsid w:val="00A917BF"/>
    <w:rsid w:val="00A96A94"/>
    <w:rsid w:val="00AA257D"/>
    <w:rsid w:val="00AA3A38"/>
    <w:rsid w:val="00AA4F94"/>
    <w:rsid w:val="00AB047E"/>
    <w:rsid w:val="00AC11B0"/>
    <w:rsid w:val="00AC592E"/>
    <w:rsid w:val="00AC6C10"/>
    <w:rsid w:val="00AC7BC6"/>
    <w:rsid w:val="00AD24AA"/>
    <w:rsid w:val="00AE7962"/>
    <w:rsid w:val="00AF5BA0"/>
    <w:rsid w:val="00B014D7"/>
    <w:rsid w:val="00B05049"/>
    <w:rsid w:val="00B12B7D"/>
    <w:rsid w:val="00B16985"/>
    <w:rsid w:val="00B221B8"/>
    <w:rsid w:val="00B227EA"/>
    <w:rsid w:val="00B27206"/>
    <w:rsid w:val="00B32AA7"/>
    <w:rsid w:val="00B3392B"/>
    <w:rsid w:val="00B371D4"/>
    <w:rsid w:val="00B4012D"/>
    <w:rsid w:val="00B40F64"/>
    <w:rsid w:val="00B42A76"/>
    <w:rsid w:val="00B53067"/>
    <w:rsid w:val="00B66B7D"/>
    <w:rsid w:val="00B7378D"/>
    <w:rsid w:val="00B82413"/>
    <w:rsid w:val="00B85352"/>
    <w:rsid w:val="00B87214"/>
    <w:rsid w:val="00B912D0"/>
    <w:rsid w:val="00B92FF5"/>
    <w:rsid w:val="00B959E6"/>
    <w:rsid w:val="00BA0A6A"/>
    <w:rsid w:val="00BA40BB"/>
    <w:rsid w:val="00BA4338"/>
    <w:rsid w:val="00BA604D"/>
    <w:rsid w:val="00BB6813"/>
    <w:rsid w:val="00BC4585"/>
    <w:rsid w:val="00BC50F1"/>
    <w:rsid w:val="00BC73E5"/>
    <w:rsid w:val="00BD7473"/>
    <w:rsid w:val="00BD7703"/>
    <w:rsid w:val="00BE12B4"/>
    <w:rsid w:val="00BE3D2D"/>
    <w:rsid w:val="00BE420D"/>
    <w:rsid w:val="00BE5A26"/>
    <w:rsid w:val="00C11A5E"/>
    <w:rsid w:val="00C21520"/>
    <w:rsid w:val="00C222B2"/>
    <w:rsid w:val="00C225FB"/>
    <w:rsid w:val="00C41870"/>
    <w:rsid w:val="00C46B88"/>
    <w:rsid w:val="00C5218C"/>
    <w:rsid w:val="00C52191"/>
    <w:rsid w:val="00C5642F"/>
    <w:rsid w:val="00C57A3E"/>
    <w:rsid w:val="00C63554"/>
    <w:rsid w:val="00C71497"/>
    <w:rsid w:val="00C72F5B"/>
    <w:rsid w:val="00C73619"/>
    <w:rsid w:val="00C73BCD"/>
    <w:rsid w:val="00C77AEF"/>
    <w:rsid w:val="00C77E37"/>
    <w:rsid w:val="00C86EB7"/>
    <w:rsid w:val="00C87129"/>
    <w:rsid w:val="00C91E1B"/>
    <w:rsid w:val="00CA2BD3"/>
    <w:rsid w:val="00CA4677"/>
    <w:rsid w:val="00CA5FD5"/>
    <w:rsid w:val="00CA7703"/>
    <w:rsid w:val="00CB0F92"/>
    <w:rsid w:val="00CD4E6D"/>
    <w:rsid w:val="00CD5707"/>
    <w:rsid w:val="00CD7702"/>
    <w:rsid w:val="00CD7FC9"/>
    <w:rsid w:val="00CE0716"/>
    <w:rsid w:val="00CE075A"/>
    <w:rsid w:val="00CE29EA"/>
    <w:rsid w:val="00CF47EB"/>
    <w:rsid w:val="00CF6572"/>
    <w:rsid w:val="00CF7885"/>
    <w:rsid w:val="00D02347"/>
    <w:rsid w:val="00D04755"/>
    <w:rsid w:val="00D13737"/>
    <w:rsid w:val="00D15D27"/>
    <w:rsid w:val="00D1638E"/>
    <w:rsid w:val="00D21D10"/>
    <w:rsid w:val="00D21FFF"/>
    <w:rsid w:val="00D272A5"/>
    <w:rsid w:val="00D43AFB"/>
    <w:rsid w:val="00D5071D"/>
    <w:rsid w:val="00D564C7"/>
    <w:rsid w:val="00D57B7C"/>
    <w:rsid w:val="00D62BEE"/>
    <w:rsid w:val="00D65B44"/>
    <w:rsid w:val="00D8099B"/>
    <w:rsid w:val="00D866A8"/>
    <w:rsid w:val="00D87469"/>
    <w:rsid w:val="00D90B03"/>
    <w:rsid w:val="00D92F47"/>
    <w:rsid w:val="00D94B8D"/>
    <w:rsid w:val="00D96C8D"/>
    <w:rsid w:val="00DA2876"/>
    <w:rsid w:val="00DA718D"/>
    <w:rsid w:val="00DB0A8D"/>
    <w:rsid w:val="00DB348F"/>
    <w:rsid w:val="00DC0B51"/>
    <w:rsid w:val="00DD03DC"/>
    <w:rsid w:val="00DD5919"/>
    <w:rsid w:val="00DE27F7"/>
    <w:rsid w:val="00DE38CC"/>
    <w:rsid w:val="00E06069"/>
    <w:rsid w:val="00E115C0"/>
    <w:rsid w:val="00E44E18"/>
    <w:rsid w:val="00E54301"/>
    <w:rsid w:val="00E5483F"/>
    <w:rsid w:val="00E55ABD"/>
    <w:rsid w:val="00E60817"/>
    <w:rsid w:val="00E6412C"/>
    <w:rsid w:val="00E645C0"/>
    <w:rsid w:val="00E8246B"/>
    <w:rsid w:val="00E90C35"/>
    <w:rsid w:val="00EA70F1"/>
    <w:rsid w:val="00EB2516"/>
    <w:rsid w:val="00EB2C07"/>
    <w:rsid w:val="00EB374A"/>
    <w:rsid w:val="00EB3CE7"/>
    <w:rsid w:val="00EB572F"/>
    <w:rsid w:val="00EC1B4D"/>
    <w:rsid w:val="00ED040B"/>
    <w:rsid w:val="00ED62BE"/>
    <w:rsid w:val="00EF17AB"/>
    <w:rsid w:val="00EF56B5"/>
    <w:rsid w:val="00EF6FA5"/>
    <w:rsid w:val="00F078B5"/>
    <w:rsid w:val="00F11104"/>
    <w:rsid w:val="00F126C4"/>
    <w:rsid w:val="00F13122"/>
    <w:rsid w:val="00F16E3F"/>
    <w:rsid w:val="00F171C5"/>
    <w:rsid w:val="00F22499"/>
    <w:rsid w:val="00F22B0F"/>
    <w:rsid w:val="00F234A0"/>
    <w:rsid w:val="00F24B42"/>
    <w:rsid w:val="00F24F73"/>
    <w:rsid w:val="00F27299"/>
    <w:rsid w:val="00F31F6E"/>
    <w:rsid w:val="00F3389C"/>
    <w:rsid w:val="00F375F2"/>
    <w:rsid w:val="00F40868"/>
    <w:rsid w:val="00F54EAE"/>
    <w:rsid w:val="00F66A51"/>
    <w:rsid w:val="00F71057"/>
    <w:rsid w:val="00F71A4B"/>
    <w:rsid w:val="00F728CF"/>
    <w:rsid w:val="00F743D4"/>
    <w:rsid w:val="00F83B17"/>
    <w:rsid w:val="00F87EDA"/>
    <w:rsid w:val="00F932F8"/>
    <w:rsid w:val="00F970EE"/>
    <w:rsid w:val="00FB0BC9"/>
    <w:rsid w:val="00FB0F9B"/>
    <w:rsid w:val="00FB41D3"/>
    <w:rsid w:val="00FB4F70"/>
    <w:rsid w:val="00FB5EFC"/>
    <w:rsid w:val="00FB77BB"/>
    <w:rsid w:val="00FC15AA"/>
    <w:rsid w:val="00FD1375"/>
    <w:rsid w:val="00FD359E"/>
    <w:rsid w:val="00FD5F37"/>
    <w:rsid w:val="00FE0A17"/>
    <w:rsid w:val="00FE179F"/>
    <w:rsid w:val="00FF213A"/>
    <w:rsid w:val="00FF3C2E"/>
    <w:rsid w:val="00FF6E8F"/>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cs="Times New Roman" w:eastAsia="宋体" w:hAnsi="Calibri"/>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footnote text" w:semiHidden="0" w:uiPriority="0" w:unhideWhenUsed="0"/>
    <w:lsdException w:locked="1" w:name="caption" w:qFormat="1" w:uiPriority="0"/>
    <w:lsdException w:locked="1" w:name="footnote reference" w:semiHidden="0" w:uiPriority="0" w:unhideWhenUsed="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Date" w:semiHidden="0" w:uiPriority="0" w:unhideWhenUsed="0"/>
    <w:lsdException w:locked="1" w:name="Strong" w:qFormat="1" w:semiHidden="0" w:uiPriority="22" w:unhideWhenUsed="0"/>
    <w:lsdException w:locked="1" w:name="Emphasis" w:qFormat="1" w:semiHidden="0" w:uiPriority="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4061AC"/>
    <w:pPr>
      <w:widowControl w:val="0"/>
      <w:jc w:val="both"/>
    </w:pPr>
    <w:rPr>
      <w:rFonts w:ascii="Times New Roman" w:hAnsi="Times New Roman"/>
      <w:kern w:val="2"/>
      <w:sz w:val="21"/>
      <w:szCs w:val="21"/>
    </w:rPr>
  </w:style>
  <w:style w:styleId="1" w:type="paragraph">
    <w:name w:val="heading 1"/>
    <w:basedOn w:val="a"/>
    <w:next w:val="a"/>
    <w:link w:val="1Char"/>
    <w:uiPriority w:val="99"/>
    <w:qFormat/>
    <w:rsid w:val="004061AC"/>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4061AC"/>
    <w:pPr>
      <w:keepNext/>
      <w:keepLines/>
      <w:spacing w:after="260" w:before="260" w:line="360" w:lineRule="auto"/>
      <w:outlineLvl w:val="1"/>
    </w:pPr>
    <w:rPr>
      <w:rFonts w:ascii="Arial" w:hAnsi="Arial"/>
      <w:b/>
      <w:bCs/>
      <w:kern w:val="0"/>
      <w:sz w:val="24"/>
      <w:szCs w:val="24"/>
    </w:rPr>
  </w:style>
  <w:style w:styleId="3" w:type="paragraph">
    <w:name w:val="heading 3"/>
    <w:basedOn w:val="a"/>
    <w:next w:val="a"/>
    <w:link w:val="3Char"/>
    <w:uiPriority w:val="99"/>
    <w:qFormat/>
    <w:rsid w:val="004061AC"/>
    <w:pPr>
      <w:keepNext/>
      <w:keepLines/>
      <w:spacing w:after="260" w:before="260" w:line="416" w:lineRule="auto"/>
      <w:outlineLvl w:val="2"/>
    </w:pPr>
    <w:rPr>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4061AC"/>
    <w:rPr>
      <w:rFonts w:ascii="Times New Roman" w:cs="Times New Roman" w:eastAsia="宋体" w:hAnsi="Times New Roman"/>
      <w:b/>
      <w:bCs/>
      <w:kern w:val="44"/>
      <w:sz w:val="44"/>
      <w:szCs w:val="44"/>
    </w:rPr>
  </w:style>
  <w:style w:customStyle="1" w:styleId="2Char" w:type="character">
    <w:name w:val="标题 2 Char"/>
    <w:link w:val="2"/>
    <w:uiPriority w:val="99"/>
    <w:locked/>
    <w:rsid w:val="004061AC"/>
    <w:rPr>
      <w:rFonts w:ascii="Arial" w:cs="Arial" w:eastAsia="宋体" w:hAnsi="Arial"/>
      <w:b/>
      <w:bCs/>
      <w:sz w:val="24"/>
      <w:szCs w:val="24"/>
    </w:rPr>
  </w:style>
  <w:style w:customStyle="1" w:styleId="3Char" w:type="character">
    <w:name w:val="标题 3 Char"/>
    <w:link w:val="3"/>
    <w:uiPriority w:val="99"/>
    <w:locked/>
    <w:rsid w:val="004061AC"/>
    <w:rPr>
      <w:rFonts w:ascii="Times New Roman" w:cs="Times New Roman" w:eastAsia="宋体" w:hAnsi="Times New Roman"/>
      <w:b/>
      <w:bCs/>
      <w:sz w:val="32"/>
      <w:szCs w:val="32"/>
    </w:rPr>
  </w:style>
  <w:style w:styleId="a0" w:type="paragraph">
    <w:name w:val="Normal Indent"/>
    <w:basedOn w:val="a"/>
    <w:uiPriority w:val="99"/>
    <w:rsid w:val="004061AC"/>
    <w:pPr>
      <w:ind w:firstLine="420" w:firstLineChars="200"/>
    </w:pPr>
  </w:style>
  <w:style w:styleId="a4" w:type="paragraph">
    <w:name w:val="Body Text Indent"/>
    <w:basedOn w:val="a"/>
    <w:link w:val="Char"/>
    <w:uiPriority w:val="99"/>
    <w:rsid w:val="004061AC"/>
    <w:pPr>
      <w:widowControl/>
      <w:spacing w:after="100" w:afterAutospacing="1" w:before="100" w:beforeAutospacing="1"/>
      <w:jc w:val="left"/>
    </w:pPr>
    <w:rPr>
      <w:rFonts w:ascii="Arial Unicode MS" w:eastAsia="Arial Unicode MS" w:hAnsi="Arial Unicode MS"/>
      <w:kern w:val="0"/>
      <w:sz w:val="24"/>
      <w:szCs w:val="24"/>
    </w:rPr>
  </w:style>
  <w:style w:customStyle="1" w:styleId="Char" w:type="character">
    <w:name w:val="正文文本缩进 Char"/>
    <w:link w:val="a4"/>
    <w:uiPriority w:val="99"/>
    <w:locked/>
    <w:rsid w:val="004061AC"/>
    <w:rPr>
      <w:rFonts w:ascii="Arial Unicode MS" w:cs="Arial Unicode MS" w:eastAsia="Arial Unicode MS" w:hAnsi="Arial Unicode MS"/>
      <w:kern w:val="0"/>
      <w:sz w:val="24"/>
      <w:szCs w:val="24"/>
    </w:rPr>
  </w:style>
  <w:style w:styleId="a5" w:type="paragraph">
    <w:name w:val="Plain Text"/>
    <w:basedOn w:val="a"/>
    <w:link w:val="Char0"/>
    <w:uiPriority w:val="99"/>
    <w:rsid w:val="004061AC"/>
    <w:rPr>
      <w:rFonts w:ascii="宋体" w:hAnsi="Courier New"/>
      <w:kern w:val="0"/>
    </w:rPr>
  </w:style>
  <w:style w:customStyle="1" w:styleId="Char0" w:type="character">
    <w:name w:val="纯文本 Char"/>
    <w:link w:val="a5"/>
    <w:uiPriority w:val="99"/>
    <w:locked/>
    <w:rsid w:val="004061AC"/>
    <w:rPr>
      <w:rFonts w:ascii="宋体" w:cs="宋体" w:eastAsia="宋体" w:hAnsi="Courier New"/>
      <w:sz w:val="21"/>
      <w:szCs w:val="21"/>
    </w:rPr>
  </w:style>
  <w:style w:styleId="20" w:type="paragraph">
    <w:name w:val="Body Text Indent 2"/>
    <w:basedOn w:val="a"/>
    <w:link w:val="2Char0"/>
    <w:uiPriority w:val="99"/>
    <w:rsid w:val="004061AC"/>
    <w:pPr>
      <w:spacing w:line="560" w:lineRule="exact"/>
      <w:ind w:firstLine="480" w:firstLineChars="200"/>
    </w:pPr>
    <w:rPr>
      <w:rFonts w:ascii="宋体" w:hAnsi="宋体"/>
      <w:color w:val="FF0000"/>
      <w:kern w:val="0"/>
      <w:sz w:val="24"/>
      <w:szCs w:val="24"/>
    </w:rPr>
  </w:style>
  <w:style w:customStyle="1" w:styleId="2Char0" w:type="character">
    <w:name w:val="正文文本缩进 2 Char"/>
    <w:link w:val="20"/>
    <w:uiPriority w:val="99"/>
    <w:locked/>
    <w:rsid w:val="004061AC"/>
    <w:rPr>
      <w:rFonts w:ascii="宋体" w:cs="宋体" w:eastAsia="宋体" w:hAnsi="宋体"/>
      <w:color w:val="FF0000"/>
      <w:sz w:val="24"/>
      <w:szCs w:val="24"/>
    </w:rPr>
  </w:style>
  <w:style w:styleId="a6" w:type="paragraph">
    <w:name w:val="footer"/>
    <w:basedOn w:val="a"/>
    <w:link w:val="Char1"/>
    <w:uiPriority w:val="99"/>
    <w:rsid w:val="004061AC"/>
    <w:pPr>
      <w:tabs>
        <w:tab w:pos="4153" w:val="center"/>
        <w:tab w:pos="8306" w:val="right"/>
      </w:tabs>
      <w:snapToGrid w:val="0"/>
      <w:jc w:val="left"/>
    </w:pPr>
    <w:rPr>
      <w:kern w:val="0"/>
      <w:sz w:val="18"/>
      <w:szCs w:val="18"/>
    </w:rPr>
  </w:style>
  <w:style w:customStyle="1" w:styleId="Char1" w:type="character">
    <w:name w:val="页脚 Char"/>
    <w:link w:val="a6"/>
    <w:uiPriority w:val="99"/>
    <w:locked/>
    <w:rsid w:val="004061AC"/>
    <w:rPr>
      <w:rFonts w:ascii="Times New Roman" w:cs="Times New Roman" w:eastAsia="宋体" w:hAnsi="Times New Roman"/>
      <w:sz w:val="18"/>
      <w:szCs w:val="18"/>
    </w:rPr>
  </w:style>
  <w:style w:styleId="a7" w:type="character">
    <w:name w:val="page number"/>
    <w:uiPriority w:val="99"/>
    <w:rsid w:val="004061AC"/>
    <w:rPr>
      <w:rFonts w:cs="Times New Roman"/>
    </w:rPr>
  </w:style>
  <w:style w:styleId="a8" w:type="character">
    <w:name w:val="Hyperlink"/>
    <w:uiPriority w:val="99"/>
    <w:rsid w:val="004061AC"/>
    <w:rPr>
      <w:rFonts w:cs="Times New Roman"/>
      <w:color w:val="0000FF"/>
      <w:u w:val="single"/>
    </w:rPr>
  </w:style>
  <w:style w:styleId="30" w:type="paragraph">
    <w:name w:val="Body Text Indent 3"/>
    <w:basedOn w:val="a"/>
    <w:link w:val="3Char0"/>
    <w:uiPriority w:val="99"/>
    <w:rsid w:val="004061AC"/>
    <w:pPr>
      <w:spacing w:line="560" w:lineRule="exact"/>
      <w:ind w:firstLine="420" w:firstLineChars="200"/>
    </w:pPr>
    <w:rPr>
      <w:rFonts w:ascii="Arial" w:hAnsi="Arial"/>
      <w:color w:val="FF0000"/>
      <w:kern w:val="0"/>
    </w:rPr>
  </w:style>
  <w:style w:customStyle="1" w:styleId="3Char0" w:type="character">
    <w:name w:val="正文文本缩进 3 Char"/>
    <w:link w:val="30"/>
    <w:uiPriority w:val="99"/>
    <w:locked/>
    <w:rsid w:val="004061AC"/>
    <w:rPr>
      <w:rFonts w:ascii="Arial" w:cs="Arial" w:eastAsia="宋体" w:hAnsi="Arial"/>
      <w:color w:val="FF0000"/>
      <w:sz w:val="21"/>
      <w:szCs w:val="21"/>
    </w:rPr>
  </w:style>
  <w:style w:styleId="a9" w:type="paragraph">
    <w:name w:val="header"/>
    <w:basedOn w:val="a"/>
    <w:link w:val="Char2"/>
    <w:uiPriority w:val="99"/>
    <w:rsid w:val="004061AC"/>
    <w:pPr>
      <w:pBdr>
        <w:bottom w:color="auto" w:space="1" w:sz="6" w:val="single"/>
      </w:pBdr>
      <w:tabs>
        <w:tab w:pos="4153" w:val="center"/>
        <w:tab w:pos="8306" w:val="right"/>
      </w:tabs>
      <w:snapToGrid w:val="0"/>
      <w:jc w:val="center"/>
    </w:pPr>
    <w:rPr>
      <w:kern w:val="0"/>
      <w:sz w:val="18"/>
      <w:szCs w:val="18"/>
    </w:rPr>
  </w:style>
  <w:style w:customStyle="1" w:styleId="Char2" w:type="character">
    <w:name w:val="页眉 Char"/>
    <w:link w:val="a9"/>
    <w:uiPriority w:val="99"/>
    <w:locked/>
    <w:rsid w:val="004061AC"/>
    <w:rPr>
      <w:rFonts w:ascii="Times New Roman" w:cs="Times New Roman" w:eastAsia="宋体" w:hAnsi="Times New Roman"/>
      <w:sz w:val="18"/>
      <w:szCs w:val="18"/>
    </w:rPr>
  </w:style>
  <w:style w:styleId="aa" w:type="character">
    <w:name w:val="FollowedHyperlink"/>
    <w:uiPriority w:val="99"/>
    <w:rsid w:val="004061AC"/>
    <w:rPr>
      <w:rFonts w:cs="Times New Roman"/>
      <w:color w:val="800080"/>
      <w:u w:val="single"/>
    </w:rPr>
  </w:style>
  <w:style w:styleId="ab" w:type="paragraph">
    <w:name w:val="List"/>
    <w:basedOn w:val="ac"/>
    <w:uiPriority w:val="99"/>
    <w:rsid w:val="004061AC"/>
    <w:pPr>
      <w:spacing w:after="220" w:line="220" w:lineRule="atLeast"/>
      <w:ind w:hanging="360" w:left="1440"/>
    </w:pPr>
  </w:style>
  <w:style w:styleId="ac" w:type="paragraph">
    <w:name w:val="Body Text"/>
    <w:basedOn w:val="a"/>
    <w:link w:val="Char3"/>
    <w:uiPriority w:val="99"/>
    <w:rsid w:val="004061AC"/>
    <w:pPr>
      <w:spacing w:after="120"/>
    </w:pPr>
    <w:rPr>
      <w:kern w:val="0"/>
    </w:rPr>
  </w:style>
  <w:style w:customStyle="1" w:styleId="Char3" w:type="character">
    <w:name w:val="正文文本 Char"/>
    <w:link w:val="ac"/>
    <w:uiPriority w:val="99"/>
    <w:locked/>
    <w:rsid w:val="004061AC"/>
    <w:rPr>
      <w:rFonts w:ascii="Times New Roman" w:cs="Times New Roman" w:eastAsia="宋体" w:hAnsi="Times New Roman"/>
      <w:sz w:val="21"/>
      <w:szCs w:val="21"/>
    </w:rPr>
  </w:style>
  <w:style w:styleId="ad" w:type="paragraph">
    <w:name w:val="Date"/>
    <w:basedOn w:val="a"/>
    <w:next w:val="a"/>
    <w:link w:val="Char4"/>
    <w:uiPriority w:val="99"/>
    <w:rsid w:val="004061AC"/>
    <w:rPr>
      <w:kern w:val="0"/>
      <w:sz w:val="24"/>
      <w:szCs w:val="24"/>
    </w:rPr>
  </w:style>
  <w:style w:customStyle="1" w:styleId="Char4" w:type="character">
    <w:name w:val="日期 Char"/>
    <w:link w:val="ad"/>
    <w:uiPriority w:val="99"/>
    <w:locked/>
    <w:rsid w:val="004061AC"/>
    <w:rPr>
      <w:rFonts w:ascii="Times New Roman" w:cs="Times New Roman" w:eastAsia="宋体" w:hAnsi="Times New Roman"/>
      <w:sz w:val="24"/>
      <w:szCs w:val="24"/>
    </w:rPr>
  </w:style>
  <w:style w:customStyle="1" w:styleId="c1" w:type="character">
    <w:name w:val="c1"/>
    <w:uiPriority w:val="99"/>
    <w:rsid w:val="004061AC"/>
    <w:rPr>
      <w:rFonts w:cs="Times New Roman"/>
      <w:color w:val="000000"/>
      <w:sz w:val="18"/>
      <w:szCs w:val="18"/>
    </w:rPr>
  </w:style>
  <w:style w:styleId="10" w:type="paragraph">
    <w:name w:val="index 1"/>
    <w:basedOn w:val="a"/>
    <w:next w:val="a"/>
    <w:autoRedefine/>
    <w:uiPriority w:val="99"/>
    <w:semiHidden/>
    <w:rsid w:val="004061AC"/>
    <w:pPr>
      <w:jc w:val="right"/>
    </w:pPr>
    <w:rPr>
      <w:color w:val="008000"/>
    </w:rPr>
  </w:style>
  <w:style w:customStyle="1" w:styleId="font5" w:type="paragraph">
    <w:name w:val="font5"/>
    <w:basedOn w:val="a"/>
    <w:uiPriority w:val="99"/>
    <w:rsid w:val="004061AC"/>
    <w:pPr>
      <w:widowControl/>
      <w:spacing w:after="100" w:afterAutospacing="1" w:before="100" w:beforeAutospacing="1"/>
      <w:jc w:val="left"/>
    </w:pPr>
    <w:rPr>
      <w:rFonts w:ascii="宋体" w:cs="宋体" w:hAnsi="宋体"/>
      <w:kern w:val="0"/>
      <w:sz w:val="18"/>
      <w:szCs w:val="18"/>
    </w:rPr>
  </w:style>
  <w:style w:customStyle="1" w:styleId="xl24" w:type="paragraph">
    <w:name w:val="xl24"/>
    <w:basedOn w:val="a"/>
    <w:uiPriority w:val="99"/>
    <w:rsid w:val="004061AC"/>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szCs w:val="24"/>
    </w:rPr>
  </w:style>
  <w:style w:customStyle="1" w:styleId="xl26" w:type="paragraph">
    <w:name w:val="xl2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7" w:type="paragraph">
    <w:name w:val="xl2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9" w:type="paragraph">
    <w:name w:val="xl29"/>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0" w:type="paragraph">
    <w:name w:val="xl30"/>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1" w:type="paragraph">
    <w:name w:val="xl31"/>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4061AC"/>
    <w:rPr>
      <w:kern w:val="0"/>
      <w:sz w:val="18"/>
      <w:szCs w:val="18"/>
    </w:rPr>
  </w:style>
  <w:style w:customStyle="1" w:styleId="Char5" w:type="character">
    <w:name w:val="批注框文本 Char"/>
    <w:link w:val="ae"/>
    <w:uiPriority w:val="99"/>
    <w:semiHidden/>
    <w:locked/>
    <w:rsid w:val="004061AC"/>
    <w:rPr>
      <w:rFonts w:ascii="Times New Roman" w:cs="Times New Roman" w:eastAsia="宋体" w:hAnsi="Times New Roman"/>
      <w:sz w:val="18"/>
      <w:szCs w:val="18"/>
    </w:rPr>
  </w:style>
  <w:style w:styleId="af" w:type="character">
    <w:name w:val="annotation reference"/>
    <w:uiPriority w:val="99"/>
    <w:semiHidden/>
    <w:rsid w:val="004061AC"/>
    <w:rPr>
      <w:rFonts w:cs="Times New Roman"/>
      <w:sz w:val="21"/>
      <w:szCs w:val="21"/>
    </w:rPr>
  </w:style>
  <w:style w:styleId="af0" w:type="paragraph">
    <w:name w:val="annotation text"/>
    <w:basedOn w:val="a"/>
    <w:link w:val="Char6"/>
    <w:uiPriority w:val="99"/>
    <w:semiHidden/>
    <w:rsid w:val="004061AC"/>
    <w:pPr>
      <w:jc w:val="left"/>
    </w:pPr>
    <w:rPr>
      <w:kern w:val="0"/>
    </w:rPr>
  </w:style>
  <w:style w:customStyle="1" w:styleId="Char6" w:type="character">
    <w:name w:val="批注文字 Char"/>
    <w:link w:val="af0"/>
    <w:uiPriority w:val="99"/>
    <w:semiHidden/>
    <w:locked/>
    <w:rsid w:val="004061AC"/>
    <w:rPr>
      <w:rFonts w:ascii="Times New Roman" w:cs="Times New Roman" w:eastAsia="宋体" w:hAnsi="Times New Roman"/>
      <w:sz w:val="21"/>
      <w:szCs w:val="21"/>
    </w:rPr>
  </w:style>
  <w:style w:styleId="af1" w:type="paragraph">
    <w:name w:val="annotation subject"/>
    <w:basedOn w:val="af0"/>
    <w:next w:val="af0"/>
    <w:link w:val="Char7"/>
    <w:uiPriority w:val="99"/>
    <w:semiHidden/>
    <w:rsid w:val="004061AC"/>
    <w:rPr>
      <w:b/>
      <w:bCs/>
    </w:rPr>
  </w:style>
  <w:style w:customStyle="1" w:styleId="Char7" w:type="character">
    <w:name w:val="批注主题 Char"/>
    <w:link w:val="af1"/>
    <w:uiPriority w:val="99"/>
    <w:semiHidden/>
    <w:locked/>
    <w:rsid w:val="004061AC"/>
    <w:rPr>
      <w:rFonts w:ascii="Times New Roman" w:cs="Times New Roman" w:eastAsia="宋体" w:hAnsi="Times New Roman"/>
      <w:b/>
      <w:bCs/>
      <w:sz w:val="21"/>
      <w:szCs w:val="21"/>
    </w:rPr>
  </w:style>
  <w:style w:customStyle="1" w:styleId="Char8" w:type="paragraph">
    <w:name w:val="Char"/>
    <w:basedOn w:val="a"/>
    <w:uiPriority w:val="99"/>
    <w:rsid w:val="004061AC"/>
  </w:style>
  <w:style w:styleId="af2" w:type="paragraph">
    <w:name w:val="Document Map"/>
    <w:basedOn w:val="a"/>
    <w:link w:val="Char9"/>
    <w:uiPriority w:val="99"/>
    <w:semiHidden/>
    <w:rsid w:val="004061AC"/>
    <w:pPr>
      <w:shd w:color="auto" w:fill="000080" w:val="clear"/>
    </w:pPr>
    <w:rPr>
      <w:kern w:val="0"/>
    </w:rPr>
  </w:style>
  <w:style w:customStyle="1" w:styleId="Char9" w:type="character">
    <w:name w:val="文档结构图 Char"/>
    <w:link w:val="af2"/>
    <w:uiPriority w:val="99"/>
    <w:semiHidden/>
    <w:locked/>
    <w:rsid w:val="004061AC"/>
    <w:rPr>
      <w:rFonts w:ascii="Times New Roman" w:cs="Times New Roman" w:eastAsia="宋体" w:hAnsi="Times New Roman"/>
      <w:sz w:val="21"/>
      <w:szCs w:val="21"/>
      <w:shd w:color="auto" w:fill="000080" w:val="clear"/>
    </w:rPr>
  </w:style>
  <w:style w:customStyle="1" w:styleId="af3" w:type="paragraph">
    <w:name w:val="正文 + (符号) 宋体"/>
    <w:aliases w:val="小四,紧缩量  0.2 磅"/>
    <w:basedOn w:val="a"/>
    <w:uiPriority w:val="99"/>
    <w:rsid w:val="004061AC"/>
    <w:pPr>
      <w:autoSpaceDE w:val="0"/>
      <w:autoSpaceDN w:val="0"/>
      <w:adjustRightInd w:val="0"/>
      <w:ind w:firstLine="1229" w:firstLineChars="512" w:right="1409" w:rightChars="671"/>
      <w:jc w:val="distribute"/>
    </w:pPr>
    <w:rPr>
      <w:sz w:val="24"/>
      <w:szCs w:val="24"/>
    </w:rPr>
  </w:style>
  <w:style w:styleId="af4" w:type="paragraph">
    <w:name w:val="footnote text"/>
    <w:basedOn w:val="a"/>
    <w:link w:val="Chara"/>
    <w:uiPriority w:val="99"/>
    <w:rsid w:val="004061AC"/>
    <w:pPr>
      <w:snapToGrid w:val="0"/>
      <w:jc w:val="left"/>
    </w:pPr>
    <w:rPr>
      <w:kern w:val="0"/>
      <w:sz w:val="18"/>
      <w:szCs w:val="18"/>
    </w:rPr>
  </w:style>
  <w:style w:customStyle="1" w:styleId="Chara" w:type="character">
    <w:name w:val="脚注文本 Char"/>
    <w:link w:val="af4"/>
    <w:uiPriority w:val="99"/>
    <w:locked/>
    <w:rsid w:val="004061AC"/>
    <w:rPr>
      <w:rFonts w:ascii="Times New Roman" w:cs="Times New Roman" w:eastAsia="宋体" w:hAnsi="Times New Roman"/>
      <w:sz w:val="18"/>
      <w:szCs w:val="18"/>
    </w:rPr>
  </w:style>
  <w:style w:styleId="af5" w:type="character">
    <w:name w:val="footnote reference"/>
    <w:uiPriority w:val="99"/>
    <w:rsid w:val="004061AC"/>
    <w:rPr>
      <w:rFonts w:cs="Times New Roman"/>
      <w:vertAlign w:val="superscript"/>
    </w:rPr>
  </w:style>
  <w:style w:styleId="af6" w:type="paragraph">
    <w:name w:val="Normal (Web)"/>
    <w:basedOn w:val="a"/>
    <w:uiPriority w:val="99"/>
    <w:rsid w:val="004061AC"/>
    <w:pPr>
      <w:widowControl/>
      <w:spacing w:after="100" w:afterAutospacing="1" w:before="100" w:beforeAutospacing="1"/>
      <w:jc w:val="left"/>
    </w:pPr>
    <w:rPr>
      <w:rFonts w:ascii="宋体" w:cs="宋体" w:hAnsi="宋体"/>
      <w:kern w:val="0"/>
      <w:sz w:val="24"/>
      <w:szCs w:val="24"/>
    </w:rPr>
  </w:style>
  <w:style w:styleId="af7" w:type="table">
    <w:name w:val="Table Grid"/>
    <w:basedOn w:val="a2"/>
    <w:qFormat/>
    <w:rsid w:val="004061AC"/>
    <w:pPr>
      <w:widowControl w:val="0"/>
      <w:jc w:val="both"/>
    </w:pPr>
    <w:rPr>
      <w:rFonts w:ascii="Times New Roman" w:hAnsi="Times New Roman"/>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4061AC"/>
  </w:style>
  <w:style w:customStyle="1" w:styleId="CharCharCharCharCharChar1CharCharChar" w:type="paragraph">
    <w:name w:val="Char Char Char Char Char Char1 Char Char Char"/>
    <w:basedOn w:val="a"/>
    <w:uiPriority w:val="99"/>
    <w:rsid w:val="004061AC"/>
    <w:pPr>
      <w:autoSpaceDE w:val="0"/>
      <w:autoSpaceDN w:val="0"/>
      <w:adjustRightInd w:val="0"/>
      <w:jc w:val="left"/>
      <w:textAlignment w:val="baseline"/>
    </w:pPr>
    <w:rPr>
      <w:rFonts w:ascii="宋体" w:cs="宋体"/>
      <w:kern w:val="0"/>
      <w:sz w:val="34"/>
      <w:szCs w:val="34"/>
    </w:rPr>
  </w:style>
  <w:style w:customStyle="1" w:styleId="CharCharCharCharCharChar1CharCharChar2" w:type="paragraph">
    <w:name w:val="Char Char Char Char Char Char1 Char Char Char2"/>
    <w:basedOn w:val="a"/>
    <w:uiPriority w:val="99"/>
    <w:rsid w:val="004061AC"/>
    <w:pPr>
      <w:autoSpaceDE w:val="0"/>
      <w:autoSpaceDN w:val="0"/>
      <w:adjustRightInd w:val="0"/>
      <w:jc w:val="left"/>
      <w:textAlignment w:val="baseline"/>
    </w:pPr>
    <w:rPr>
      <w:rFonts w:ascii="宋体" w:cs="宋体"/>
      <w:kern w:val="0"/>
      <w:sz w:val="34"/>
      <w:szCs w:val="34"/>
    </w:rPr>
  </w:style>
  <w:style w:styleId="af8" w:type="paragraph">
    <w:name w:val="Title"/>
    <w:basedOn w:val="a"/>
    <w:next w:val="a"/>
    <w:link w:val="Charb"/>
    <w:uiPriority w:val="99"/>
    <w:qFormat/>
    <w:rsid w:val="004061AC"/>
    <w:pPr>
      <w:spacing w:after="60" w:before="240"/>
      <w:jc w:val="center"/>
      <w:outlineLvl w:val="0"/>
    </w:pPr>
    <w:rPr>
      <w:rFonts w:ascii="Cambria" w:hAnsi="Cambria"/>
      <w:b/>
      <w:bCs/>
      <w:kern w:val="0"/>
      <w:sz w:val="32"/>
      <w:szCs w:val="32"/>
    </w:rPr>
  </w:style>
  <w:style w:customStyle="1" w:styleId="Charb" w:type="character">
    <w:name w:val="标题 Char"/>
    <w:link w:val="af8"/>
    <w:uiPriority w:val="99"/>
    <w:locked/>
    <w:rsid w:val="004061AC"/>
    <w:rPr>
      <w:rFonts w:ascii="Cambria" w:cs="Cambria" w:eastAsia="宋体" w:hAnsi="Cambria"/>
      <w:b/>
      <w:bCs/>
      <w:sz w:val="32"/>
      <w:szCs w:val="32"/>
    </w:rPr>
  </w:style>
  <w:style w:customStyle="1" w:styleId="CharCharCharCharCharChar1CharCharChar1" w:type="paragraph">
    <w:name w:val="Char Char Char Char Char Char1 Char Char Char1"/>
    <w:basedOn w:val="a"/>
    <w:uiPriority w:val="99"/>
    <w:rsid w:val="004061AC"/>
    <w:pPr>
      <w:autoSpaceDE w:val="0"/>
      <w:autoSpaceDN w:val="0"/>
      <w:adjustRightInd w:val="0"/>
      <w:jc w:val="left"/>
      <w:textAlignment w:val="baseline"/>
    </w:pPr>
    <w:rPr>
      <w:rFonts w:ascii="宋体" w:cs="宋体"/>
      <w:kern w:val="0"/>
      <w:sz w:val="34"/>
      <w:szCs w:val="34"/>
    </w:rPr>
  </w:style>
  <w:style w:styleId="af9" w:type="paragraph">
    <w:name w:val="No Spacing"/>
    <w:link w:val="Charc"/>
    <w:uiPriority w:val="99"/>
    <w:qFormat/>
    <w:rsid w:val="004061AC"/>
    <w:rPr>
      <w:rFonts w:cs="Calibri"/>
      <w:sz w:val="22"/>
      <w:szCs w:val="22"/>
    </w:rPr>
  </w:style>
  <w:style w:customStyle="1" w:styleId="Charc" w:type="character">
    <w:name w:val="无间隔 Char"/>
    <w:link w:val="af9"/>
    <w:uiPriority w:val="99"/>
    <w:locked/>
    <w:rsid w:val="004061AC"/>
    <w:rPr>
      <w:rFonts w:cs="Calibri"/>
      <w:sz w:val="22"/>
      <w:szCs w:val="22"/>
      <w:lang w:bidi="ar-SA" w:eastAsia="zh-CN" w:val="en-US"/>
    </w:rPr>
  </w:style>
  <w:style w:customStyle="1" w:styleId="t1" w:type="character">
    <w:name w:val="t1"/>
    <w:uiPriority w:val="99"/>
    <w:rsid w:val="004061AC"/>
    <w:rPr>
      <w:rFonts w:cs="Times New Roman"/>
      <w:color w:val="auto"/>
    </w:rPr>
  </w:style>
  <w:style w:styleId="afa" w:type="paragraph">
    <w:name w:val="List Paragraph"/>
    <w:basedOn w:val="a"/>
    <w:uiPriority w:val="99"/>
    <w:qFormat/>
    <w:rsid w:val="00154BE1"/>
    <w:pPr>
      <w:ind w:firstLine="420" w:firstLineChars="200"/>
    </w:pPr>
  </w:style>
  <w:style w:customStyle="1" w:styleId="Default" w:type="paragraph">
    <w:name w:val="Default"/>
    <w:uiPriority w:val="99"/>
    <w:rsid w:val="00275745"/>
    <w:pPr>
      <w:widowControl w:val="0"/>
      <w:autoSpaceDE w:val="0"/>
      <w:autoSpaceDN w:val="0"/>
      <w:adjustRightInd w:val="0"/>
    </w:pPr>
    <w:rPr>
      <w:rFonts w:ascii="FangSong" w:cs="FangSong" w:hAnsi="FangSong"/>
      <w:color w:val="000000"/>
      <w:sz w:val="24"/>
      <w:szCs w:val="24"/>
    </w:rPr>
  </w:style>
  <w:style w:styleId="afb" w:type="character">
    <w:name w:val="Strong"/>
    <w:uiPriority w:val="22"/>
    <w:qFormat/>
    <w:locked/>
    <w:rsid w:val="00D8746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98932">
      <w:bodyDiv w:val="1"/>
      <w:marLeft w:val="0"/>
      <w:marRight w:val="0"/>
      <w:marTop w:val="0"/>
      <w:marBottom w:val="0"/>
      <w:divBdr>
        <w:top w:val="none" w:sz="0" w:space="0" w:color="auto"/>
        <w:left w:val="none" w:sz="0" w:space="0" w:color="auto"/>
        <w:bottom w:val="none" w:sz="0" w:space="0" w:color="auto"/>
        <w:right w:val="none" w:sz="0" w:space="0" w:color="auto"/>
      </w:divBdr>
    </w:div>
    <w:div w:id="105783393">
      <w:bodyDiv w:val="1"/>
      <w:marLeft w:val="0"/>
      <w:marRight w:val="0"/>
      <w:marTop w:val="0"/>
      <w:marBottom w:val="0"/>
      <w:divBdr>
        <w:top w:val="none" w:sz="0" w:space="0" w:color="auto"/>
        <w:left w:val="none" w:sz="0" w:space="0" w:color="auto"/>
        <w:bottom w:val="none" w:sz="0" w:space="0" w:color="auto"/>
        <w:right w:val="none" w:sz="0" w:space="0" w:color="auto"/>
      </w:divBdr>
    </w:div>
    <w:div w:id="1494878767">
      <w:marLeft w:val="0"/>
      <w:marRight w:val="0"/>
      <w:marTop w:val="0"/>
      <w:marBottom w:val="0"/>
      <w:divBdr>
        <w:top w:val="none" w:sz="0" w:space="0" w:color="auto"/>
        <w:left w:val="none" w:sz="0" w:space="0" w:color="auto"/>
        <w:bottom w:val="none" w:sz="0" w:space="0" w:color="auto"/>
        <w:right w:val="none" w:sz="0" w:space="0" w:color="auto"/>
      </w:divBdr>
    </w:div>
    <w:div w:id="1494878768">
      <w:marLeft w:val="0"/>
      <w:marRight w:val="0"/>
      <w:marTop w:val="0"/>
      <w:marBottom w:val="0"/>
      <w:divBdr>
        <w:top w:val="none" w:sz="0" w:space="0" w:color="auto"/>
        <w:left w:val="none" w:sz="0" w:space="0" w:color="auto"/>
        <w:bottom w:val="none" w:sz="0" w:space="0" w:color="auto"/>
        <w:right w:val="none" w:sz="0" w:space="0" w:color="auto"/>
      </w:divBdr>
    </w:div>
    <w:div w:id="1830948889">
      <w:bodyDiv w:val="1"/>
      <w:marLeft w:val="0"/>
      <w:marRight w:val="0"/>
      <w:marTop w:val="0"/>
      <w:marBottom w:val="0"/>
      <w:divBdr>
        <w:top w:val="none" w:sz="0" w:space="0" w:color="auto"/>
        <w:left w:val="none" w:sz="0" w:space="0" w:color="auto"/>
        <w:bottom w:val="none" w:sz="0" w:space="0" w:color="auto"/>
        <w:right w:val="none" w:sz="0" w:space="0" w:color="auto"/>
      </w:divBdr>
    </w:div>
    <w:div w:id="201792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media/image1.jpeg" Type="http://schemas.openxmlformats.org/officeDocument/2006/relationships/image"/>
<Relationship Id="rId12" Target="footer2.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tylesWithEffects.xml" Type="http://schemas.microsoft.com/office/2007/relationships/stylesWithEffect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385AF-767C-48D7-B7B5-A5BAB9648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1799</TotalTime>
  <Pages>27</Pages>
  <Words>3847</Words>
  <Characters>21932</Characters>
  <Application>Microsoft Office Word</Application>
  <DocSecurity>0</DocSecurity>
  <Lines>182</Lines>
  <Paragraphs>51</Paragraphs>
  <ScaleCrop>false</ScaleCrop>
  <Company/>
  <LinksUpToDate>false</LinksUpToDate>
  <CharactersWithSpaces>25728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2012-10-16T06:07:00Z</dcterms:created>
  <cp:lastModifiedBy>sirong han</cp:lastModifiedBy>
  <dcterms:modified xsi:type="dcterms:W3CDTF">2020-07-09T03:00:00Z</dcterms:modified>
  <cp:revision>343</cp:revision>
</cp:coreProperties>
</file>