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易方达黄金交易型开放式证券投资基金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中国工商银行股份有限公司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基金托管人中国工商银行股份有限公司根据本基金合同规定，于2020年7月17日复核了本报告中的财务指标、净值表现和投资组合报告等内容，保证复核内容不存在虚假记载、误导性陈述或者重大遗漏。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易方达黄金ETF</w:t>
            </w:r>
          </w:p>
        </w:tc>
      </w:tr>
      <w:tr w:rsidR="00815999" w:rsidRPr="00264E55" w:rsidTr="003328D9">
        <w:tc>
          <w:tcPr>
            <w:tcW w:type="dxa" w:w="2835"/>
            <w:vAlign w:val="center"/>
          </w:tcPr>
          <w:p w:rsidP="00815999" w:rsidR="00815999" w:rsidRDefault="00815999" w:rsidRPr="00232B03">
            <w:pPr>
              <w:adjustRightInd w:val="0"/>
              <w:spacing w:before="29" w:line="360" w:lineRule="auto"/>
              <w:ind w:left="17"/>
              <w:jc w:val="left"/>
              <w:rPr>
                <w:kern w:val="0"/>
                <w:sz w:val="24"/>
                <w:szCs w:val="24"/>
              </w:rPr>
            </w:pPr>
            <w:r w:rsidRPr="00232B03">
              <w:rPr>
                <w:kern w:val="0"/>
                <w:sz w:val="24"/>
                <w:szCs w:val="24"/>
              </w:rPr>
              <w:t>场内简称</w:t>
            </w:r>
          </w:p>
        </w:tc>
        <w:tc>
          <w:tcPr>
            <w:tcW w:type="dxa" w:w="5479"/>
            <w:gridSpan w:val="2"/>
            <w:vAlign w:val="center"/>
          </w:tcPr>
          <w:p w:rsidP="00815999" w:rsidR="00815999" w:rsidRDefault="00815999" w:rsidRPr="00232B03">
            <w:pPr>
              <w:adjustRightInd w:val="0"/>
              <w:spacing w:before="29" w:line="360" w:lineRule="auto"/>
              <w:ind w:left="17"/>
              <w:jc w:val="left"/>
              <w:rPr>
                <w:kern w:val="0"/>
                <w:sz w:val="24"/>
                <w:szCs w:val="24"/>
              </w:rPr>
            </w:pPr>
            <w:r w:rsidRPr="00232B03">
              <w:rPr>
                <w:kern w:val="0"/>
                <w:sz w:val="24"/>
                <w:szCs w:val="24"/>
              </w:rPr>
              <w:t/>
            </w:r>
            <w:proofErr w:type="spellStart"/>
            <w:r w:rsidRPr="00232B03">
              <w:rPr>
                <w:kern w:val="0"/>
                <w:sz w:val="24"/>
                <w:szCs w:val="24"/>
              </w:rPr>
              <w:t/>
            </w:r>
            <w:proofErr w:type="spellEnd"/>
            <w:r w:rsidRPr="00232B03">
              <w:rPr>
                <w:kern w:val="0"/>
                <w:sz w:val="24"/>
                <w:szCs w:val="24"/>
              </w:rPr>
              <w:t/>
            </w:r>
            <w:proofErr w:type="spellStart"/>
            <w:r w:rsidRPr="00232B03">
              <w:rPr>
                <w:kern w:val="0"/>
                <w:sz w:val="24"/>
                <w:szCs w:val="24"/>
              </w:rPr>
              <w:t/>
            </w:r>
            <w:proofErr w:type="spellEnd"/>
            <w:r w:rsidRPr="00232B03">
              <w:rPr>
                <w:kern w:val="0"/>
                <w:sz w:val="24"/>
                <w:szCs w:val="24"/>
              </w:rPr>
              <w:t>黄金ETF</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159934</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159934</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交易型开放式（ETF）</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2013年11月29日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915,462,646.00</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紧密跟踪业绩比较基准，追求跟踪偏离度与跟踪误差最小化。</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投资于黄金现货合约的比例不低于基金资产净值的95%。为紧密追踪业绩比较基准的表现，本基金力争将日均跟踪偏离度控制在0.2%以内，年化跟踪误差控制在2%以内。当黄金现货实盘合约流动性不足或黄金现货延期交收合约投资成本更低时，本基金可适当投资于黄金现货延期交收合约。为降低基金费用对跟踪偏离度与跟踪误差的影响，本基金可以将持有的黄金现货合约借出给信誉良好的机构，取得租赁收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上海黄金交易所Au99.99现货实盘合约收盘价</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本基金追踪上海黄金交易所Au99.99现货实盘合约收盘价表现，具有与上海黄金交易所Au99.99 现货实盘合约相似的风险收益特征。</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中国工商银行股份有限公司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103,196,309.86</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285,672,530.76</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0.3140</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3,556,697,575.27</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3.8851</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pPr>
        <w:spacing w:line="360" w:lineRule="auto"/>
        <w:ind w:firstLine="480" w:firstLineChars="200"/>
        <w:rPr>
          <w:color w:val="000000"/>
          <w:sz w:val="24"/>
          <w:szCs w:val="24"/>
        </w:rPr>
      </w:pPr>
      <w:r>
        <w:rPr>
          <w:color w:val="000000"/>
          <w:sz w:val="24"/>
        </w:rPr>
        <w:t>2.本期已实现收益指基金本期利息收入、投资收益、其他收入（不含公允价值变动收益）扣除相关费用后的余额，本期利润为本期已实现收益加上本期公允价值变动收益。</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3.本基金已于2013年12月11日进行了基金份额折算，折算比例为0.40739099。</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9.04%</w:t>
            </w:r>
          </w:p>
        </w:tc>
        <w:tc>
          <w:tcPr>
            <w:vAlign w:val="center"/>
          </w:tcPr>
          <w:p>
            <w:pPr>
              <w:jc w:val="center"/>
            </w:pPr>
            <w:r>
              <w:rPr>
                <w:color w:val="000000"/>
                <w:kern w:val="0"/>
                <w:sz w:val="24"/>
                <w:szCs w:val="24"/>
              </w:rPr>
              <w:t>0.86%</w:t>
            </w:r>
          </w:p>
        </w:tc>
        <w:tc>
          <w:tcPr>
            <w:vAlign w:val="center"/>
          </w:tcPr>
          <w:p>
            <w:pPr>
              <w:jc w:val="center"/>
            </w:pPr>
            <w:r>
              <w:rPr>
                <w:color w:val="000000"/>
                <w:kern w:val="0"/>
                <w:sz w:val="24"/>
                <w:szCs w:val="24"/>
              </w:rPr>
              <w:t>9.19%</w:t>
            </w:r>
          </w:p>
        </w:tc>
        <w:tc>
          <w:tcPr>
            <w:vAlign w:val="center"/>
          </w:tcPr>
          <w:p>
            <w:pPr>
              <w:jc w:val="center"/>
            </w:pPr>
            <w:r>
              <w:rPr>
                <w:color w:val="000000"/>
                <w:kern w:val="0"/>
                <w:sz w:val="24"/>
                <w:szCs w:val="24"/>
              </w:rPr>
              <w:t>0.86%</w:t>
            </w:r>
          </w:p>
        </w:tc>
        <w:tc>
          <w:tcPr>
            <w:vAlign w:val="center"/>
          </w:tcPr>
          <w:p>
            <w:pPr>
              <w:jc w:val="center"/>
            </w:pPr>
            <w:r>
              <w:rPr>
                <w:color w:val="000000"/>
                <w:kern w:val="0"/>
                <w:sz w:val="24"/>
                <w:szCs w:val="24"/>
              </w:rPr>
              <w:t>-0.15%</w:t>
            </w:r>
          </w:p>
        </w:tc>
        <w:tc>
          <w:tcPr>
            <w:vAlign w:val="center"/>
          </w:tcPr>
          <w:p>
            <w:pPr>
              <w:jc w:val="center"/>
            </w:pPr>
            <w:r>
              <w:rPr>
                <w:color w:val="000000"/>
                <w:kern w:val="0"/>
                <w:sz w:val="24"/>
                <w:szCs w:val="24"/>
              </w:rPr>
              <w:t>0.00%</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16.38%</w:t>
            </w:r>
          </w:p>
        </w:tc>
        <w:tc>
          <w:tcPr>
            <w:vAlign w:val="center"/>
          </w:tcPr>
          <w:p>
            <w:pPr>
              <w:jc w:val="center"/>
            </w:pPr>
            <w:r>
              <w:rPr>
                <w:color w:val="000000"/>
                <w:kern w:val="0"/>
                <w:sz w:val="24"/>
                <w:szCs w:val="24"/>
              </w:rPr>
              <w:t>1.22%</w:t>
            </w:r>
          </w:p>
        </w:tc>
        <w:tc>
          <w:tcPr>
            <w:vAlign w:val="center"/>
          </w:tcPr>
          <w:p>
            <w:pPr>
              <w:jc w:val="center"/>
            </w:pPr>
            <w:r>
              <w:rPr>
                <w:color w:val="000000"/>
                <w:kern w:val="0"/>
                <w:sz w:val="24"/>
                <w:szCs w:val="24"/>
              </w:rPr>
              <w:t>16.71%</w:t>
            </w:r>
          </w:p>
        </w:tc>
        <w:tc>
          <w:tcPr>
            <w:vAlign w:val="center"/>
          </w:tcPr>
          <w:p>
            <w:pPr>
              <w:jc w:val="center"/>
            </w:pPr>
            <w:r>
              <w:rPr>
                <w:color w:val="000000"/>
                <w:kern w:val="0"/>
                <w:sz w:val="24"/>
                <w:szCs w:val="24"/>
              </w:rPr>
              <w:t>1.22%</w:t>
            </w:r>
          </w:p>
        </w:tc>
        <w:tc>
          <w:tcPr>
            <w:vAlign w:val="center"/>
          </w:tcPr>
          <w:p>
            <w:pPr>
              <w:jc w:val="center"/>
            </w:pPr>
            <w:r>
              <w:rPr>
                <w:color w:val="000000"/>
                <w:kern w:val="0"/>
                <w:sz w:val="24"/>
                <w:szCs w:val="24"/>
              </w:rPr>
              <w:t>-0.33%</w:t>
            </w:r>
          </w:p>
        </w:tc>
        <w:tc>
          <w:tcPr>
            <w:vAlign w:val="center"/>
          </w:tcPr>
          <w:p>
            <w:pPr>
              <w:jc w:val="center"/>
            </w:pPr>
            <w:r>
              <w:rPr>
                <w:color w:val="000000"/>
                <w:kern w:val="0"/>
                <w:sz w:val="24"/>
                <w:szCs w:val="24"/>
              </w:rPr>
              <w:t>0.00%</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25.75%</w:t>
            </w:r>
          </w:p>
        </w:tc>
        <w:tc>
          <w:tcPr>
            <w:vAlign w:val="center"/>
          </w:tcPr>
          <w:p>
            <w:pPr>
              <w:jc w:val="center"/>
            </w:pPr>
            <w:r>
              <w:rPr>
                <w:color w:val="000000"/>
                <w:kern w:val="0"/>
                <w:sz w:val="24"/>
                <w:szCs w:val="24"/>
              </w:rPr>
              <w:t>1.08%</w:t>
            </w:r>
          </w:p>
        </w:tc>
        <w:tc>
          <w:tcPr>
            <w:vAlign w:val="center"/>
          </w:tcPr>
          <w:p>
            <w:pPr>
              <w:jc w:val="center"/>
            </w:pPr>
            <w:r>
              <w:rPr>
                <w:color w:val="000000"/>
                <w:kern w:val="0"/>
                <w:sz w:val="24"/>
                <w:szCs w:val="24"/>
              </w:rPr>
              <w:t>26.50%</w:t>
            </w:r>
          </w:p>
        </w:tc>
        <w:tc>
          <w:tcPr>
            <w:vAlign w:val="center"/>
          </w:tcPr>
          <w:p>
            <w:pPr>
              <w:jc w:val="center"/>
            </w:pPr>
            <w:r>
              <w:rPr>
                <w:color w:val="000000"/>
                <w:kern w:val="0"/>
                <w:sz w:val="24"/>
                <w:szCs w:val="24"/>
              </w:rPr>
              <w:t>1.08%</w:t>
            </w:r>
          </w:p>
        </w:tc>
        <w:tc>
          <w:tcPr>
            <w:vAlign w:val="center"/>
          </w:tcPr>
          <w:p>
            <w:pPr>
              <w:jc w:val="center"/>
            </w:pPr>
            <w:r>
              <w:rPr>
                <w:color w:val="000000"/>
                <w:kern w:val="0"/>
                <w:sz w:val="24"/>
                <w:szCs w:val="24"/>
              </w:rPr>
              <w:t>-0.75%</w:t>
            </w:r>
          </w:p>
        </w:tc>
        <w:tc>
          <w:tcPr>
            <w:vAlign w:val="center"/>
          </w:tcPr>
          <w:p>
            <w:pPr>
              <w:jc w:val="center"/>
            </w:pPr>
            <w:r>
              <w:rPr>
                <w:color w:val="000000"/>
                <w:kern w:val="0"/>
                <w:sz w:val="24"/>
                <w:szCs w:val="24"/>
              </w:rPr>
              <w:t>0.00%</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43.01%</w:t>
            </w:r>
          </w:p>
        </w:tc>
        <w:tc>
          <w:tcPr>
            <w:vAlign w:val="center"/>
          </w:tcPr>
          <w:p>
            <w:pPr>
              <w:jc w:val="center"/>
            </w:pPr>
            <w:r>
              <w:rPr>
                <w:color w:val="000000"/>
                <w:kern w:val="0"/>
                <w:sz w:val="24"/>
                <w:szCs w:val="24"/>
              </w:rPr>
              <w:t>0.73%</w:t>
            </w:r>
          </w:p>
        </w:tc>
        <w:tc>
          <w:tcPr>
            <w:vAlign w:val="center"/>
          </w:tcPr>
          <w:p>
            <w:pPr>
              <w:jc w:val="center"/>
            </w:pPr>
            <w:r>
              <w:rPr>
                <w:color w:val="000000"/>
                <w:kern w:val="0"/>
                <w:sz w:val="24"/>
                <w:szCs w:val="24"/>
              </w:rPr>
              <w:t>45.65%</w:t>
            </w:r>
          </w:p>
        </w:tc>
        <w:tc>
          <w:tcPr>
            <w:vAlign w:val="center"/>
          </w:tcPr>
          <w:p>
            <w:pPr>
              <w:jc w:val="center"/>
            </w:pPr>
            <w:r>
              <w:rPr>
                <w:color w:val="000000"/>
                <w:kern w:val="0"/>
                <w:sz w:val="24"/>
                <w:szCs w:val="24"/>
              </w:rPr>
              <w:t>0.73%</w:t>
            </w:r>
          </w:p>
        </w:tc>
        <w:tc>
          <w:tcPr>
            <w:vAlign w:val="center"/>
          </w:tcPr>
          <w:p>
            <w:pPr>
              <w:jc w:val="center"/>
            </w:pPr>
            <w:r>
              <w:rPr>
                <w:color w:val="000000"/>
                <w:kern w:val="0"/>
                <w:sz w:val="24"/>
                <w:szCs w:val="24"/>
              </w:rPr>
              <w:t>-2.64%</w:t>
            </w:r>
          </w:p>
        </w:tc>
        <w:tc>
          <w:tcPr>
            <w:vAlign w:val="center"/>
          </w:tcPr>
          <w:p>
            <w:pPr>
              <w:jc w:val="center"/>
            </w:pPr>
            <w:r>
              <w:rPr>
                <w:color w:val="000000"/>
                <w:kern w:val="0"/>
                <w:sz w:val="24"/>
                <w:szCs w:val="24"/>
              </w:rPr>
              <w:t>0.00%</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65.65%</w:t>
            </w:r>
          </w:p>
        </w:tc>
        <w:tc>
          <w:tcPr>
            <w:vAlign w:val="center"/>
          </w:tcPr>
          <w:p>
            <w:pPr>
              <w:jc w:val="center"/>
            </w:pPr>
            <w:r>
              <w:rPr>
                <w:color w:val="000000"/>
                <w:kern w:val="0"/>
                <w:sz w:val="24"/>
                <w:szCs w:val="24"/>
              </w:rPr>
              <w:t>0.78%</w:t>
            </w:r>
          </w:p>
        </w:tc>
        <w:tc>
          <w:tcPr>
            <w:vAlign w:val="center"/>
          </w:tcPr>
          <w:p>
            <w:pPr>
              <w:jc w:val="center"/>
            </w:pPr>
            <w:r>
              <w:rPr>
                <w:color w:val="000000"/>
                <w:kern w:val="0"/>
                <w:sz w:val="24"/>
                <w:szCs w:val="24"/>
              </w:rPr>
              <w:t>69.30%</w:t>
            </w:r>
          </w:p>
        </w:tc>
        <w:tc>
          <w:tcPr>
            <w:vAlign w:val="center"/>
          </w:tcPr>
          <w:p>
            <w:pPr>
              <w:jc w:val="center"/>
            </w:pPr>
            <w:r>
              <w:rPr>
                <w:color w:val="000000"/>
                <w:kern w:val="0"/>
                <w:sz w:val="24"/>
                <w:szCs w:val="24"/>
              </w:rPr>
              <w:t>0.78%</w:t>
            </w:r>
          </w:p>
        </w:tc>
        <w:tc>
          <w:tcPr>
            <w:vAlign w:val="center"/>
          </w:tcPr>
          <w:p>
            <w:pPr>
              <w:jc w:val="center"/>
            </w:pPr>
            <w:r>
              <w:rPr>
                <w:color w:val="000000"/>
                <w:kern w:val="0"/>
                <w:sz w:val="24"/>
                <w:szCs w:val="24"/>
              </w:rPr>
              <w:t>-3.65%</w:t>
            </w:r>
          </w:p>
        </w:tc>
        <w:tc>
          <w:tcPr>
            <w:vAlign w:val="center"/>
          </w:tcPr>
          <w:p>
            <w:pPr>
              <w:jc w:val="center"/>
            </w:pPr>
            <w:r>
              <w:rPr>
                <w:color w:val="000000"/>
                <w:kern w:val="0"/>
                <w:sz w:val="24"/>
                <w:szCs w:val="24"/>
              </w:rPr>
              <w:t>0.00%</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58.28%</w:t>
            </w:r>
          </w:p>
        </w:tc>
        <w:tc>
          <w:tcPr>
            <w:vAlign w:val="center"/>
          </w:tcPr>
          <w:p>
            <w:pPr>
              <w:jc w:val="center"/>
            </w:pPr>
            <w:r>
              <w:rPr>
                <w:color w:val="000000"/>
                <w:kern w:val="0"/>
                <w:sz w:val="24"/>
                <w:szCs w:val="24"/>
              </w:rPr>
              <w:t>0.79%</w:t>
            </w:r>
          </w:p>
        </w:tc>
        <w:tc>
          <w:tcPr>
            <w:vAlign w:val="center"/>
          </w:tcPr>
          <w:p>
            <w:pPr>
              <w:jc w:val="center"/>
            </w:pPr>
            <w:r>
              <w:rPr>
                <w:color w:val="000000"/>
                <w:kern w:val="0"/>
                <w:sz w:val="24"/>
                <w:szCs w:val="24"/>
              </w:rPr>
              <w:t>62.62%</w:t>
            </w:r>
          </w:p>
        </w:tc>
        <w:tc>
          <w:tcPr>
            <w:vAlign w:val="center"/>
          </w:tcPr>
          <w:p>
            <w:pPr>
              <w:jc w:val="center"/>
            </w:pPr>
            <w:r>
              <w:rPr>
                <w:color w:val="000000"/>
                <w:kern w:val="0"/>
                <w:sz w:val="24"/>
                <w:szCs w:val="24"/>
              </w:rPr>
              <w:t>0.80%</w:t>
            </w:r>
          </w:p>
        </w:tc>
        <w:tc>
          <w:tcPr>
            <w:vAlign w:val="center"/>
          </w:tcPr>
          <w:p>
            <w:pPr>
              <w:jc w:val="center"/>
            </w:pPr>
            <w:r>
              <w:rPr>
                <w:color w:val="000000"/>
                <w:kern w:val="0"/>
                <w:sz w:val="24"/>
                <w:szCs w:val="24"/>
              </w:rPr>
              <w:t>-4.34%</w:t>
            </w:r>
          </w:p>
        </w:tc>
        <w:tc>
          <w:tcPr>
            <w:vAlign w:val="center"/>
          </w:tcPr>
          <w:p>
            <w:pPr>
              <w:jc w:val="center"/>
            </w:pPr>
            <w:r>
              <w:rPr>
                <w:color w:val="000000"/>
                <w:kern w:val="0"/>
                <w:sz w:val="24"/>
                <w:szCs w:val="24"/>
              </w:rPr>
              <w:t>-0.01%</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易方达黄金交易型开放式证券投资基金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2013年11月29日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注：自基金合同生效至报告期末，基金份额净值增长率为58.28%，同期业绩比较基准收益率为62.62%。</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FAN BING（范冰）</w:t>
            </w:r>
          </w:p>
        </w:tc>
        <w:tc>
          <w:tcPr>
            <w:vAlign w:val="center"/>
          </w:tcPr>
          <w:p>
            <w:pPr>
              <w:jc w:val="left"/>
            </w:pPr>
            <w:r>
              <w:rPr>
                <w:color w:val="000000"/>
                <w:sz w:val="24"/>
              </w:rPr>
              <w:t>本基金的基金经理、易方达标普500指数证券投资基金（LOF）的基金经理、易方达标普医疗保健指数证券投资基金（LOF）的基金经理、易方达中证海外中国互联网50交易型开放式指数证券投资基金的基金经理、易方达原油证券投资基金（QDII）的基金经理、易方达标普信息科技指数证券投资基金（LOF）的基金经理、易方达标普生物科技指数证券投资基金（LOF）的基金经理、易方达黄金交易型开放式证券投资基金联接基金的基金经理、易方达纳斯达克100指数证券投资基金（LOF）的基金经理、易方达MSCI中国A股国际通交易型开放式指数证券投资基金的基金经理、易方达中证海外中国互联网50交易型开放式指数证券投资基金联接基金的基金经理、易方达MSCI中国A股国际通交易型开放式指数证券投资基金发起式联接基金的基金经理、易方达日兴资管日经225交易型开放式指数证券投资基金（QDII）的基金经理、易方达中证香港证券投资主题交易型开放式指数证券投资基金的基金经理</w:t>
            </w:r>
          </w:p>
        </w:tc>
        <w:tc>
          <w:tcPr>
            <w:vAlign w:val="center"/>
          </w:tcPr>
          <w:p>
            <w:pPr>
              <w:jc w:val="center"/>
            </w:pPr>
            <w:r>
              <w:rPr>
                <w:color w:val="000000"/>
                <w:sz w:val="24"/>
              </w:rPr>
              <w:t>2017-03-25</w:t>
            </w:r>
          </w:p>
        </w:tc>
        <w:tc>
          <w:tcPr>
            <w:vAlign w:val="center"/>
          </w:tcPr>
          <w:p>
            <w:pPr>
              <w:jc w:val="center"/>
            </w:pPr>
            <w:r>
              <w:rPr>
                <w:color w:val="000000"/>
                <w:sz w:val="24"/>
              </w:rPr>
              <w:t>-</w:t>
            </w:r>
          </w:p>
        </w:tc>
        <w:tc>
          <w:tcPr>
            <w:vAlign w:val="center"/>
          </w:tcPr>
          <w:p>
            <w:pPr>
              <w:jc w:val="center"/>
            </w:pPr>
            <w:r>
              <w:rPr>
                <w:color w:val="000000"/>
                <w:sz w:val="24"/>
              </w:rPr>
              <w:t>15年</w:t>
            </w:r>
          </w:p>
        </w:tc>
        <w:tc>
          <w:tcPr>
            <w:vAlign w:val="center"/>
          </w:tcPr>
          <w:p>
            <w:pPr>
              <w:jc w:val="both"/>
            </w:pPr>
            <w:r>
              <w:rPr>
                <w:color w:val="000000"/>
                <w:sz w:val="24"/>
              </w:rPr>
              <w:t>新加坡籍，硕士研究生，具有基金从业资格。曾任皇家加拿大银行托管部核算专员，美国道富集团中台交易支持专员，巴克莱资产管理公司悉尼金融数据部高级金融数据分析员、悉尼金融数据部主管、新加坡金融数据部主管，贝莱德集团金融数据运营部部门经理、风险控制与咨询部客户经理、亚太股票指数基金部基金经理，易方达基金管理有限公司易方达标普全球高端消费品指数增强型证券投资基金基金经理。</w:t>
            </w:r>
          </w:p>
        </w:tc>
      </w:tr>
      <w:tr>
        <w:tc>
          <w:tcPr>
            <w:vAlign w:val="center"/>
          </w:tcPr>
          <w:p>
            <w:pPr>
              <w:jc w:val="center"/>
            </w:pPr>
            <w:r>
              <w:rPr>
                <w:color w:val="000000"/>
                <w:sz w:val="24"/>
              </w:rPr>
              <w:t>余海燕</w:t>
            </w:r>
          </w:p>
        </w:tc>
        <w:tc>
          <w:tcPr>
            <w:vAlign w:val="center"/>
          </w:tcPr>
          <w:p>
            <w:pPr>
              <w:jc w:val="left"/>
            </w:pPr>
            <w:r>
              <w:rPr>
                <w:color w:val="000000"/>
                <w:sz w:val="24"/>
              </w:rPr>
              <w:t>本基金的基金经理、易方达沪深300医药卫生交易型开放式指数证券投资基金的基金经理、易方达沪深300非银行金融交易型开放式指数证券投资基金的基金经理、易方达沪深300非银行金融交易型开放式指数证券投资基金联接基金的基金经理、易方达上证50指数分级证券投资基金的基金经理、易方达国企改革指数分级证券投资基金的基金经理、易方达证券公司指数分级证券投资基金的基金经理、易方达军工指数分级证券投资基金的基金经理、易方达沪深300交易型开放式指数发起式证券投资基金的基金经理、易方达沪深300交易型开放式指数发起式证券投资基金联接基金的基金经理、易方达中证500交易型开放式指数证券投资基金的基金经理、易方达中证海外中国互联网50交易型开放式指数证券投资基金的基金经理、易方达中证军工交易型开放式指数证券投资基金的基金经理、易方达中证全指证券公司交易型开放式指数证券投资基金的基金经理、易方达沪深300医药卫生交易型开放式指数证券投资基金联接基金的基金经理、易方达黄金交易型开放式证券投资基金联接基金的基金经理、易方达恒生中国企业交易型开放式指数证券投资基金的基金经理、易方达恒生中国企业交易型开放式指数证券投资基金联接基金的基金经理、易方达中证海外中国互联网50交易型开放式指数证券投资基金联接基金的基金经理、易方达中证500交易型开放式指数证券投资基金发起式联接基金的基金经理、易方达日兴资管日经225交易型开放式指数证券投资基金（QDII）的基金经理、易方达上证50交易型开放式指数证券投资基金的基金经理、易方达上证50交易型开放式指数证券投资基金发起式联接基金的基金经理、指数投资部副总经理</w:t>
            </w:r>
          </w:p>
        </w:tc>
        <w:tc>
          <w:tcPr>
            <w:vAlign w:val="center"/>
          </w:tcPr>
          <w:p>
            <w:pPr>
              <w:jc w:val="center"/>
            </w:pPr>
            <w:r>
              <w:rPr>
                <w:color w:val="000000"/>
                <w:sz w:val="24"/>
              </w:rPr>
              <w:t>2018-08-11</w:t>
            </w:r>
          </w:p>
        </w:tc>
        <w:tc>
          <w:tcPr>
            <w:vAlign w:val="center"/>
          </w:tcPr>
          <w:p>
            <w:pPr>
              <w:jc w:val="center"/>
            </w:pPr>
            <w:r>
              <w:rPr>
                <w:color w:val="000000"/>
                <w:sz w:val="24"/>
              </w:rPr>
              <w:t>-</w:t>
            </w:r>
          </w:p>
        </w:tc>
        <w:tc>
          <w:tcPr>
            <w:vAlign w:val="center"/>
          </w:tcPr>
          <w:p>
            <w:pPr>
              <w:jc w:val="center"/>
            </w:pPr>
            <w:r>
              <w:rPr>
                <w:color w:val="000000"/>
                <w:sz w:val="24"/>
              </w:rPr>
              <w:t>15年</w:t>
            </w:r>
          </w:p>
        </w:tc>
        <w:tc>
          <w:tcPr>
            <w:vAlign w:val="center"/>
          </w:tcPr>
          <w:p>
            <w:pPr>
              <w:jc w:val="both"/>
            </w:pPr>
            <w:r>
              <w:rPr>
                <w:color w:val="000000"/>
                <w:sz w:val="24"/>
              </w:rPr>
              <w:t>硕士研究生，具有基金从业资格。曾任汇丰银行Consumer Credit Risk信用风险分析师，华宝兴业基金管理有限公司分析师、基金经理助理、基金经理，易方达基金管理有限公司投资发展部产品经理。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回顾2020年二季度，全球经济前景仍然充满不确定性，疫情感染人数继续攀升。全球主要经济体纷纷开启货币及财政政策刺激，提高了市场的风险偏好。美联储6月货币政策会议决议鸽派基调明显，符合市场预期，加息路径点阵图显示，利率预计将维持在当前水平直至2022年。欧洲央行也维持基准利率水平不变，并提高了流行病紧急资产购买计划的规模。2020年6月以来，受疫情影响，美国多地撤回了经济重启计划。美国和中国及欧洲的贸易摩擦升温，再次对全球风险偏好形成压制。在全球货币宽松和避险情绪推动下，黄金价格在二季度走强，创出2013年以来的新高。</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作为被动管理型基金，报告期内，本基金紧密跟踪上海黄金交易所Au99.99现货实盘合约价格，取得与业绩比较基准基本一致的业绩表现。</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截至报告期末，本基金份额净值为3.8851元，本报告期份额净值增长率为9.04%，同期业绩比较基准收益率为9.19%，年化跟踪误差0.041%，在合同规定的目标控制范围之内。</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3,549,303,964.80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99.74</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7,617,921.63</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0.21</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1,793,960.41</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0.05</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3,558,715,846.84</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p w:rsidP="00403A06" w:rsidR="008C2A4F" w:rsidRDefault="008C2A4F" w:rsidRPr="00403A06">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本基金本报告期末未持有境内股票。</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本基金本报告期末未持有股票。</w:t>
      </w:r>
    </w:p>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p w:rsidP="00403A06" w:rsidR="00750D48" w:rsidRDefault="00CA4677"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本基金本报告期末未持有债券。</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本基金本报告期末未持有债券。</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tbl>
      <w:tblPr>
        <w:tblW w:type="dxa" w:w="9036"/>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071"/>
        <w:gridCol w:w="1773"/>
        <w:gridCol w:w="1548"/>
        <w:gridCol w:w="1548"/>
        <w:gridCol w:w="1652"/>
        <w:gridCol w:w="1444"/>
      </w:tblGrid>
      <w:tr w:rsidR="00750D48" w:rsidTr="005602F3">
        <w:trPr>
          <w:jc w:val="center"/>
        </w:trPr>
        <w:tc>
          <w:tcPr>
            <w:tcW w:type="dxa" w:w="1071"/>
            <w:vAlign w:val="center"/>
          </w:tcPr>
          <w:p w:rsidP="00B05049" w:rsidR="00750D48" w:rsidRDefault="00750D48" w:rsidRPr="00232B03">
            <w:pPr>
              <w:adjustRightInd w:val="0"/>
              <w:snapToGrid w:val="0"/>
              <w:spacing w:line="360" w:lineRule="exact"/>
              <w:jc w:val="center"/>
              <w:rPr>
                <w:kern w:val="0"/>
                <w:sz w:val="24"/>
              </w:rPr>
            </w:pPr>
            <w:r w:rsidRPr="00232B03">
              <w:rPr>
                <w:kern w:val="0"/>
                <w:sz w:val="24"/>
              </w:rPr>
              <w:lastRenderedPageBreak/>
              <w:t>序号</w:t>
            </w:r>
          </w:p>
        </w:tc>
        <w:tc>
          <w:tcPr>
            <w:tcW w:type="dxa" w:w="1773"/>
            <w:vAlign w:val="center"/>
          </w:tcPr>
          <w:p w:rsidP="00B05049" w:rsidR="00750D48" w:rsidRDefault="00750D48" w:rsidRPr="00232B03">
            <w:pPr>
              <w:adjustRightInd w:val="0"/>
              <w:snapToGrid w:val="0"/>
              <w:spacing w:line="360" w:lineRule="exact"/>
              <w:jc w:val="center"/>
              <w:rPr>
                <w:kern w:val="0"/>
                <w:sz w:val="24"/>
              </w:rPr>
            </w:pPr>
            <w:r w:rsidRPr="00232B03">
              <w:rPr>
                <w:kern w:val="0"/>
                <w:sz w:val="24"/>
              </w:rPr>
              <w:t>贵金属代码</w:t>
            </w:r>
          </w:p>
        </w:tc>
        <w:tc>
          <w:tcPr>
            <w:tcW w:type="dxa" w:w="1548"/>
            <w:vAlign w:val="center"/>
          </w:tcPr>
          <w:p w:rsidP="00B05049" w:rsidR="00750D48" w:rsidRDefault="00750D48" w:rsidRPr="00232B03">
            <w:pPr>
              <w:adjustRightInd w:val="0"/>
              <w:snapToGrid w:val="0"/>
              <w:spacing w:line="360" w:lineRule="exact"/>
              <w:jc w:val="center"/>
              <w:rPr>
                <w:kern w:val="0"/>
                <w:sz w:val="24"/>
              </w:rPr>
            </w:pPr>
            <w:r w:rsidRPr="00232B03">
              <w:rPr>
                <w:kern w:val="0"/>
                <w:sz w:val="24"/>
              </w:rPr>
              <w:t>贵金属名称</w:t>
            </w:r>
          </w:p>
        </w:tc>
        <w:tc>
          <w:tcPr>
            <w:tcW w:type="dxa" w:w="1548"/>
            <w:vAlign w:val="center"/>
          </w:tcPr>
          <w:p w:rsidP="00B05049" w:rsidR="00750D48" w:rsidRDefault="00750D48" w:rsidRPr="00232B03">
            <w:pPr>
              <w:adjustRightInd w:val="0"/>
              <w:snapToGrid w:val="0"/>
              <w:spacing w:line="360" w:lineRule="exact"/>
              <w:jc w:val="center"/>
              <w:rPr>
                <w:kern w:val="0"/>
                <w:sz w:val="24"/>
              </w:rPr>
            </w:pPr>
            <w:r w:rsidRPr="00232B03">
              <w:rPr>
                <w:kern w:val="0"/>
                <w:sz w:val="24"/>
              </w:rPr>
              <w:t>数量（份）</w:t>
            </w:r>
          </w:p>
        </w:tc>
        <w:tc>
          <w:tcPr>
            <w:tcW w:type="dxa" w:w="1652"/>
            <w:vAlign w:val="center"/>
          </w:tcPr>
          <w:p w:rsidP="00B05049" w:rsidR="00750D48" w:rsidRDefault="00750D48" w:rsidRPr="00232B03">
            <w:pPr>
              <w:adjustRightInd w:val="0"/>
              <w:snapToGrid w:val="0"/>
              <w:spacing w:line="360" w:lineRule="exact"/>
              <w:jc w:val="center"/>
              <w:rPr>
                <w:kern w:val="0"/>
                <w:sz w:val="24"/>
              </w:rPr>
            </w:pPr>
            <w:r w:rsidRPr="00232B03">
              <w:rPr>
                <w:kern w:val="0"/>
                <w:sz w:val="24"/>
              </w:rPr>
              <w:t>公允价值（元）</w:t>
            </w:r>
          </w:p>
        </w:tc>
        <w:tc>
          <w:tcPr>
            <w:tcW w:type="dxa" w:w="1444"/>
            <w:vAlign w:val="center"/>
          </w:tcPr>
          <w:p w:rsidP="00B05049" w:rsidR="00750D48" w:rsidRDefault="00750D48" w:rsidRPr="00232B03">
            <w:pPr>
              <w:adjustRightInd w:val="0"/>
              <w:snapToGrid w:val="0"/>
              <w:spacing w:line="360" w:lineRule="exact"/>
              <w:jc w:val="center"/>
              <w:rPr>
                <w:kern w:val="0"/>
                <w:sz w:val="24"/>
              </w:rPr>
            </w:pPr>
            <w:r w:rsidRPr="00232B03">
              <w:rPr>
                <w:kern w:val="0"/>
                <w:sz w:val="24"/>
              </w:rPr>
              <w:t>占基金资产净值比例（％）</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Au99.99</w:t>
            </w:r>
          </w:p>
        </w:tc>
        <w:tc>
          <w:tcPr>
            <w:vAlign w:val="center"/>
          </w:tcPr>
          <w:p>
            <w:pPr>
              <w:jc w:val="center"/>
            </w:pPr>
            <w:r>
              <w:rPr>
                <w:color w:val="000000"/>
                <w:kern w:val="0"/>
                <w:sz w:val="24"/>
                <w:szCs w:val="24"/>
              </w:rPr>
              <w:t>Au99.99</w:t>
            </w:r>
          </w:p>
        </w:tc>
        <w:tc>
          <w:tcPr>
            <w:vAlign w:val="center"/>
          </w:tcPr>
          <w:p>
            <w:pPr>
              <w:jc w:val="right"/>
            </w:pPr>
            <w:r>
              <w:rPr>
                <w:color w:val="000000"/>
                <w:kern w:val="0"/>
                <w:sz w:val="24"/>
                <w:szCs w:val="24"/>
              </w:rPr>
              <w:t>8,923,230</w:t>
            </w:r>
          </w:p>
        </w:tc>
        <w:tc>
          <w:tcPr>
            <w:vAlign w:val="center"/>
          </w:tcPr>
          <w:p>
            <w:pPr>
              <w:jc w:val="right"/>
            </w:pPr>
            <w:r>
              <w:rPr>
                <w:color w:val="000000"/>
                <w:kern w:val="0"/>
                <w:sz w:val="24"/>
                <w:szCs w:val="24"/>
              </w:rPr>
              <w:t>3,549,303,964.80</w:t>
            </w:r>
          </w:p>
        </w:tc>
        <w:tc>
          <w:tcPr>
            <w:vAlign w:val="center"/>
          </w:tcPr>
          <w:p>
            <w:pPr>
              <w:jc w:val="right"/>
            </w:pPr>
            <w:r>
              <w:rPr>
                <w:color w:val="000000"/>
                <w:kern w:val="0"/>
                <w:sz w:val="24"/>
                <w:szCs w:val="24"/>
              </w:rPr>
              <w:t>99.79</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本基金本报告期末未持有股票，不存在投资的前十名股票超出基金合同规定的备选股票库情况。</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254,400.00</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194,172.72</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1,345,387.69</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1,793,960.41</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本基金本报告期末未持有股票。</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874,962,646.00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295,200,000.00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254,700,000.00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915,462,646.00</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本报告期内基金管理人未持有本基金份额。</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B7A92" w:rsidR="004B7A92" w:rsidRDefault="004B7A92" w:rsidRPr="004B7A92">
      <w:pPr>
        <w:pStyle w:val="1"/>
        <w:spacing w:after="312" w:afterLines="100" w:before="312" w:beforeLines="100" w:line="360" w:lineRule="auto"/>
        <w:jc w:val="center"/>
        <w:rPr>
          <w:rFonts w:ascii="宋体" w:hAnsi="宋体"/>
          <w:color w:val="000000"/>
          <w:kern w:val="0"/>
          <w:sz w:val="24"/>
          <w:szCs w:val="24"/>
        </w:rPr>
      </w:pPr>
      <w:r w:rsidRPr="004B7A92">
        <w:rPr>
          <w:rFonts w:ascii="宋体" w:hAnsi="宋体"/>
          <w:color w:val="000000"/>
          <w:kern w:val="0"/>
          <w:sz w:val="24"/>
          <w:szCs w:val="24"/>
        </w:rPr>
        <w:lastRenderedPageBreak/>
        <w:t/>
      </w:r>
      <w:proofErr w:type="spellStart"/>
      <w:r w:rsidRPr="004B7A92">
        <w:rPr>
          <w:rFonts w:ascii="宋体" w:hAnsi="宋体"/>
          <w:color w:val="000000"/>
          <w:kern w:val="0"/>
          <w:sz w:val="24"/>
          <w:szCs w:val="24"/>
        </w:rPr>
        <w:t/>
      </w:r>
      <w:proofErr w:type="spellEnd"/>
      <w:r w:rsidRPr="004B7A92">
        <w:rPr>
          <w:rFonts w:ascii="宋体" w:hAnsi="宋体"/>
          <w:color w:val="000000"/>
          <w:kern w:val="0"/>
          <w:sz w:val="24"/>
          <w:szCs w:val="24"/>
        </w:rPr>
        <w:t/>
      </w:r>
      <w:r w:rsidR="00013E6E" w:rsidRPr="00264E55">
        <w:rPr>
          <w:rFonts w:ascii="宋体" w:hAnsi="宋体" w:hint="eastAsia"/>
          <w:color w:val="000000"/>
          <w:kern w:val="0"/>
          <w:sz w:val="24"/>
          <w:szCs w:val="24"/>
        </w:rPr>
        <w:t>§</w:t>
      </w:r>
      <w:r w:rsidRPr="004B7A92">
        <w:rPr>
          <w:rFonts w:ascii="宋体" w:hAnsi="宋体"/>
          <w:color w:val="000000"/>
          <w:kern w:val="0"/>
          <w:sz w:val="24"/>
          <w:szCs w:val="24"/>
        </w:rPr>
        <w:t>8</w:t>
      </w:r>
      <w:r w:rsidR="0043199A" w:rsidRPr="00264E55">
        <w:rPr>
          <w:rFonts w:ascii="宋体" w:hAnsi="宋体"/>
          <w:color w:val="000000"/>
          <w:kern w:val="0"/>
          <w:sz w:val="24"/>
          <w:szCs w:val="24"/>
        </w:rPr>
        <w:t xml:space="preserve">  </w:t>
      </w:r>
      <w:r w:rsidRPr="004B7A92">
        <w:rPr>
          <w:rFonts w:ascii="宋体" w:hAnsi="宋体"/>
          <w:color w:val="000000"/>
          <w:kern w:val="0"/>
          <w:sz w:val="24"/>
          <w:szCs w:val="24"/>
        </w:rPr>
        <w:t>影响投资者决策的其他重要信息</w:t>
      </w:r>
    </w:p>
    <w:p w:rsidP="001F5F5D" w:rsidR="001F5F5D" w:rsidRDefault="001F5F5D" w:rsidRPr="001F5F5D">
      <w:pPr>
        <w:autoSpaceDE w:val="0"/>
        <w:autoSpaceDN w:val="0"/>
        <w:adjustRightInd w:val="0"/>
        <w:spacing w:line="360" w:lineRule="auto"/>
        <w:jc w:val="left"/>
        <w:rPr>
          <w:rFonts w:ascii="宋体"/>
          <w:b/>
          <w:bCs/>
          <w:color w:val="000000"/>
          <w:kern w:val="0"/>
          <w:sz w:val="24"/>
          <w:szCs w:val="24"/>
        </w:rPr>
      </w:pPr>
      <w:r w:rsidRPr="001F5F5D">
        <w:rPr>
          <w:rFonts w:ascii="宋体"/>
          <w:b/>
          <w:bCs/>
          <w:color w:val="000000"/>
          <w:kern w:val="0"/>
          <w:sz w:val="24"/>
          <w:szCs w:val="24"/>
        </w:rPr>
        <w:t/>
      </w:r>
      <w:proofErr w:type="spellStart"/>
      <w:r w:rsidRPr="001F5F5D">
        <w:rPr>
          <w:rFonts w:ascii="宋体"/>
          <w:b/>
          <w:bCs/>
          <w:color w:val="000000"/>
          <w:kern w:val="0"/>
          <w:sz w:val="24"/>
          <w:szCs w:val="24"/>
        </w:rPr>
        <w:t/>
      </w:r>
      <w:proofErr w:type="spellEnd"/>
      <w:r w:rsidRPr="001F5F5D">
        <w:rPr>
          <w:rFonts w:ascii="宋体"/>
          <w:b/>
          <w:bCs/>
          <w:color w:val="000000"/>
          <w:kern w:val="0"/>
          <w:sz w:val="24"/>
          <w:szCs w:val="24"/>
        </w:rPr>
        <w:t>8.1 报告期内单一投资者持有基金份额比例达到或超过20%的情况</w:t>
      </w:r>
    </w:p>
    <w:tbl>
      <w:tblPr>
        <w:tblStyle w:val="af7"/>
        <w:tblW w:type="dxa" w:w="9640"/>
        <w:jc w:val="center"/>
        <w:tblLayout w:type="fixed"/>
        <w:tblLook w:firstColumn="1" w:firstRow="1" w:lastColumn="0" w:lastRow="0" w:noHBand="0" w:noVBand="1" w:val="04A0"/>
      </w:tblPr>
      <w:tblGrid>
        <w:gridCol w:w="1798"/>
        <w:gridCol w:w="709"/>
        <w:gridCol w:w="1985"/>
        <w:gridCol w:w="1134"/>
        <w:gridCol w:w="992"/>
        <w:gridCol w:w="1134"/>
        <w:gridCol w:w="1037"/>
        <w:gridCol w:w="851"/>
      </w:tblGrid>
      <w:tr w:rsidR="001F5F5D" w:rsidRPr="00FC0759" w:rsidTr="007125DB">
        <w:trPr>
          <w:jc w:val="center"/>
        </w:trPr>
        <w:tc>
          <w:tcPr>
            <w:tcW w:type="dxa" w:w="1798"/>
            <w:vMerge w:val="restart"/>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投资者类别</w:t>
            </w:r>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
        </w:tc>
        <w:tc>
          <w:tcPr>
            <w:tcW w:type="dxa" w:w="5954"/>
            <w:gridSpan w:val="5"/>
            <w:vAlign w:val="center"/>
          </w:tcPr>
          <w:p w:rsidP="00D9482C" w:rsidR="001F5F5D" w:rsidRDefault="001F5F5D" w:rsidRPr="00FC0759">
            <w:pPr>
              <w:autoSpaceDE w:val="0"/>
              <w:autoSpaceDN w:val="0"/>
              <w:adjustRightInd w:val="0"/>
              <w:ind w:firstLine="1126"/>
              <w:jc w:val="center"/>
              <w:rPr>
                <w:rFonts w:eastAsiaTheme="minorEastAsia"/>
                <w:b/>
                <w:bCs/>
                <w:color w:themeColor="text1" w:val="000000"/>
                <w:sz w:val="24"/>
                <w:szCs w:val="24"/>
              </w:rPr>
            </w:pPr>
            <w:r w:rsidRPr="00FC0759">
              <w:rPr>
                <w:color w:val="000000"/>
                <w:sz w:val="24"/>
                <w:szCs w:val="24"/>
              </w:rPr>
              <w:t>报告期内持有基金份额变化情况</w:t>
            </w:r>
          </w:p>
        </w:tc>
        <w:tc>
          <w:tcPr>
            <w:tcW w:type="dxa" w:w="1888"/>
            <w:gridSpan w:val="2"/>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报告期末持有基金情况</w:t>
            </w:r>
          </w:p>
        </w:tc>
      </w:tr>
      <w:tr w:rsidR="001F5F5D" w:rsidRPr="00FC0759" w:rsidTr="007125DB">
        <w:trPr>
          <w:jc w:val="center"/>
        </w:trPr>
        <w:tc>
          <w:tcPr>
            <w:tcW w:type="dxa" w:w="1798"/>
            <w:vMerge/>
            <w:vAlign w:val="center"/>
          </w:tcPr>
          <w:p w:rsidP="00D9482C" w:rsidR="001F5F5D" w:rsidRDefault="001F5F5D" w:rsidRPr="00FC0759">
            <w:pPr>
              <w:autoSpaceDE w:val="0"/>
              <w:autoSpaceDN w:val="0"/>
              <w:adjustRightInd w:val="0"/>
              <w:ind w:firstLine="1234"/>
              <w:jc w:val="center"/>
              <w:rPr>
                <w:rFonts w:eastAsiaTheme="minorEastAsia"/>
                <w:b/>
                <w:bCs/>
                <w:color w:themeColor="text1" w:val="000000"/>
                <w:sz w:val="24"/>
                <w:szCs w:val="24"/>
              </w:rPr>
            </w:pPr>
          </w:p>
        </w:tc>
        <w:tc>
          <w:tcPr>
            <w:tcW w:type="dxa" w:w="709"/>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序号</w:t>
            </w:r>
          </w:p>
        </w:tc>
        <w:tc>
          <w:tcPr>
            <w:tcW w:type="dxa" w:w="1985"/>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持有基金份额比例达到或者超过</w:t>
            </w:r>
            <w:r w:rsidRPr="00FC0759">
              <w:rPr>
                <w:color w:val="000000"/>
                <w:sz w:val="24"/>
                <w:szCs w:val="24"/>
              </w:rPr>
              <w:t>20%</w:t>
            </w:r>
            <w:r w:rsidRPr="00FC0759">
              <w:rPr>
                <w:color w:val="000000"/>
                <w:sz w:val="24"/>
                <w:szCs w:val="24"/>
              </w:rPr>
              <w:t>的时间区间</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期初份额</w:t>
            </w:r>
          </w:p>
        </w:tc>
        <w:tc>
          <w:tcPr>
            <w:tcW w:type="dxa" w:w="992"/>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申购份额</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赎回份额</w:t>
            </w:r>
          </w:p>
        </w:tc>
        <w:tc>
          <w:tcPr>
            <w:tcW w:type="dxa" w:w="1037"/>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持有份额</w:t>
            </w:r>
          </w:p>
        </w:tc>
        <w:tc>
          <w:tcPr>
            <w:tcW w:type="dxa" w:w="851"/>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份额占比</w:t>
            </w:r>
          </w:p>
        </w:tc>
      </w:tr>
      <w:tr>
        <w:tc>
          <w:tcPr>
            <w:vMerge w:val="restart"/>
            <w:vAlign w:val="center"/>
          </w:tcPr>
          <w:p>
            <w:r>
              <w:rPr>
                <w:sz w:val="24"/>
                <w:szCs w:val="24"/>
              </w:rPr>
              <w:t/>
            </w:r>
            <w:r>
              <w:rPr>
                <w:sz w:val="24"/>
                <w:szCs w:val="24"/>
              </w:rPr>
              <w:t>中国工商银行股份有限公司－易方达黄金交易型开放式证券投资基金联接基金</w:t>
            </w:r>
          </w:p>
        </w:tc>
        <w:tc>
          <w:tcPr>
            <w:vAlign w:val="center"/>
          </w:tcPr>
          <w:p>
            <w:pPr>
              <w:jc w:val="center"/>
            </w:pPr>
            <w:r>
              <w:rPr>
                <w:sz w:val="24"/>
                <w:szCs w:val="24"/>
              </w:rPr>
              <w:t>1</w:t>
            </w:r>
          </w:p>
        </w:tc>
        <w:tc>
          <w:tcPr>
            <w:vAlign w:val="center"/>
          </w:tcPr>
          <w:p>
            <w:pPr>
              <w:jc w:val="center"/>
            </w:pPr>
            <w:r>
              <w:rPr>
                <w:sz w:val="24"/>
                <w:szCs w:val="24"/>
              </w:rPr>
              <w:t>2020年04月01日~2020年06月30日</w:t>
            </w:r>
          </w:p>
        </w:tc>
        <w:tc>
          <w:tcPr>
            <w:vAlign w:val="center"/>
          </w:tcPr>
          <w:p>
            <w:pPr>
              <w:jc w:val="center"/>
            </w:pPr>
            <w:r>
              <w:rPr>
                <w:sz w:val="24"/>
                <w:szCs w:val="24"/>
              </w:rPr>
              <w:t>614,253,300.00</w:t>
            </w:r>
          </w:p>
        </w:tc>
        <w:tc>
          <w:tcPr>
            <w:vAlign w:val="center"/>
          </w:tcPr>
          <w:p>
            <w:pPr>
              <w:jc w:val="center"/>
            </w:pPr>
            <w:r>
              <w:rPr>
                <w:sz w:val="24"/>
                <w:szCs w:val="24"/>
              </w:rPr>
              <w:t>96,123,500.00</w:t>
            </w:r>
          </w:p>
        </w:tc>
        <w:tc>
          <w:tcPr>
            <w:vAlign w:val="center"/>
          </w:tcPr>
          <w:p>
            <w:pPr>
              <w:jc w:val="center"/>
            </w:pPr>
            <w:r>
              <w:rPr>
                <w:sz w:val="24"/>
                <w:szCs w:val="24"/>
              </w:rPr>
              <w:t>92,350,000.00</w:t>
            </w:r>
          </w:p>
        </w:tc>
        <w:tc>
          <w:tcPr>
            <w:vAlign w:val="center"/>
          </w:tcPr>
          <w:p>
            <w:pPr>
              <w:jc w:val="center"/>
            </w:pPr>
            <w:r>
              <w:rPr>
                <w:sz w:val="24"/>
                <w:szCs w:val="24"/>
              </w:rPr>
              <w:t>618,026,800.00</w:t>
            </w:r>
          </w:p>
        </w:tc>
        <w:tc>
          <w:tcPr>
            <w:vAlign w:val="center"/>
          </w:tcPr>
          <w:p>
            <w:pPr>
              <w:jc w:val="center"/>
            </w:pPr>
            <w:r>
              <w:rPr>
                <w:sz w:val="24"/>
                <w:szCs w:val="24"/>
              </w:rPr>
              <w:t>67.51%</w:t>
            </w:r>
          </w:p>
        </w:tc>
      </w:tr>
    </w:tbl>
    <w:tbl>
      <w:tblPr>
        <w:tblStyle w:val="af7"/>
        <w:tblW w:type="dxa" w:w="9637"/>
        <w:jc w:val="center"/>
        <w:tblLayout w:type="fixed"/>
        <w:tblLook w:firstColumn="1" w:firstRow="1" w:lastColumn="0" w:lastRow="0" w:noHBand="0" w:noVBand="1" w:val="04A0"/>
      </w:tblPr>
      <w:tblGrid>
        <w:gridCol w:w="9637"/>
      </w:tblGrid>
      <w:tr w:rsidR="001F5F5D" w:rsidRPr="00FC0759" w:rsidTr="00D9482C">
        <w:trPr>
          <w:jc w:val="center"/>
        </w:trPr>
        <w:tc>
          <w:tcPr>
            <w:tcW w:type="dxa" w:w="9637"/>
            <w:vAlign w:val="center"/>
          </w:tcPr>
          <w:p w:rsidP="003350A8" w:rsidR="001F5F5D" w:rsidRDefault="001F5F5D" w:rsidRPr="00FC0759">
            <w:pPr>
              <w:autoSpaceDE w:val="0"/>
              <w:autoSpaceDN w:val="0"/>
              <w:adjustRightInd w:val="0"/>
              <w:jc w:val="center"/>
              <w:rPr>
                <w:sz w:val="24"/>
                <w:szCs w:val="24"/>
              </w:rPr>
            </w:pPr>
            <w:r w:rsidRPr="00FC0759">
              <w:rPr>
                <w:color w:val="000000"/>
                <w:sz w:val="24"/>
                <w:szCs w:val="24"/>
              </w:rPr>
              <w:t>产品特有风险</w:t>
            </w:r>
            <w:r w:rsidRPr="00FC0759">
              <w:rPr>
                <w:sz w:val="24"/>
                <w:szCs w:val="24"/>
              </w:rPr>
              <w:t/>
            </w:r>
            <w:proofErr w:type="spellStart"/>
            <w:r w:rsidRPr="00FC0759">
              <w:rPr>
                <w:sz w:val="24"/>
                <w:szCs w:val="24"/>
              </w:rPr>
              <w:t/>
            </w:r>
            <w:proofErr w:type="spellEnd"/>
            <w:r w:rsidRPr="00FC0759">
              <w:rPr>
                <w:sz w:val="24"/>
                <w:szCs w:val="24"/>
              </w:rPr>
              <w:t/>
            </w:r>
          </w:p>
        </w:tc>
      </w:tr>
      <w:tr w:rsidR="001F5F5D" w:rsidRPr="00FC0759" w:rsidTr="00D9482C">
        <w:trPr>
          <w:jc w:val="center"/>
        </w:trPr>
        <w:tc>
          <w:tcPr>
            <w:tcW w:type="dxa" w:w="9637"/>
            <w:vAlign w:val="center"/>
          </w:tcPr>
          <w:p w:rsidP="00D9482C" w:rsidR="001F5F5D" w:rsidRDefault="001F5F5D" w:rsidRPr="00FC0759">
            <w:pPr>
              <w:autoSpaceDE w:val="0"/>
              <w:autoSpaceDN w:val="0"/>
              <w:adjustRightInd w:val="0"/>
              <w:jc w:val="left"/>
              <w:rPr>
                <w:sz w:val="24"/>
                <w:szCs w:val="24"/>
              </w:rPr>
            </w:pPr>
            <w:r w:rsidRPr="00FC0759">
              <w:rPr>
                <w:sz w:val="24"/>
                <w:szCs w:val="24"/>
              </w:rPr>
              <w:t>报告期内，本基金存在单一投资者持有份额比例达到或超过20%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5000万元，基金还可能面临转换运作方式、与其他基金合并或者终止基金合同等情形；持有基金份额占比较高的投资者在召开持有人大会并对审议事项进行投票表决时可能拥有较大话语权。</w:t>
            </w:r>
          </w:p>
        </w:tc>
      </w:tr>
    </w:tbl>
    <w:p w:rsidP="001F5F5D" w:rsidR="001F5F5D" w:rsidRDefault="001F5F5D" w:rsidRPr="00FC0759">
      <w:pPr>
        <w:autoSpaceDE w:val="0"/>
        <w:autoSpaceDN w:val="0"/>
        <w:adjustRightInd w:val="0"/>
        <w:spacing w:line="360" w:lineRule="auto"/>
        <w:ind w:firstLine="480" w:firstLineChars="200"/>
        <w:jc w:val="left"/>
        <w:rPr>
          <w:rFonts w:eastAsiaTheme="minorEastAsia"/>
          <w:bCs/>
          <w:color w:themeColor="text1" w:val="000000"/>
          <w:kern w:val="0"/>
          <w:sz w:val="24"/>
          <w:szCs w:val="24"/>
        </w:rPr>
      </w:pPr>
      <w:r w:rsidRPr="00FC0759">
        <w:rPr>
          <w:bCs/>
          <w:color w:themeColor="text1" w:val="000000"/>
          <w:kern w:val="0"/>
          <w:sz w:val="24"/>
          <w:szCs w:val="24"/>
        </w:rPr>
        <w:t>注：申购份额包括申购或者买入基金份额，赎回份额包括赎回或者卖出基金份额。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9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1.中国证监会核准易方达黄金交易型开放式证券投资基金募集的文件；</w:t>
      </w:r>
    </w:p>
    <w:p>
      <w:pPr>
        <w:spacing w:line="360" w:lineRule="auto"/>
        <w:ind w:firstLine="480" w:firstLineChars="200"/>
        <w:rPr>
          <w:color w:val="000000"/>
          <w:sz w:val="24"/>
          <w:szCs w:val="24"/>
        </w:rPr>
      </w:pPr>
      <w:r>
        <w:rPr>
          <w:color w:val="000000"/>
          <w:sz w:val="24"/>
          <w:szCs w:val="24"/>
        </w:rPr>
        <w:t>2.《易方达黄金交易型开放式证券投资基金基金合同》；</w:t>
      </w:r>
    </w:p>
    <w:p>
      <w:pPr>
        <w:spacing w:line="360" w:lineRule="auto"/>
        <w:ind w:firstLine="480" w:firstLineChars="200"/>
        <w:rPr>
          <w:color w:val="000000"/>
          <w:sz w:val="24"/>
          <w:szCs w:val="24"/>
        </w:rPr>
      </w:pPr>
      <w:r>
        <w:rPr>
          <w:color w:val="000000"/>
          <w:sz w:val="24"/>
          <w:szCs w:val="24"/>
        </w:rPr>
        <w:t>3.《易方达黄金交易型开放式证券投资基金托管协议》；</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4.基金管理人业务资格批件、营业执照。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易方达黄金交易型开放式证券投资基金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